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Theme="minorHAnsi" w:hAnsi="Times New Roman" w:cs="Times New Roman"/>
          <w:color w:val="auto"/>
          <w:sz w:val="24"/>
          <w:szCs w:val="24"/>
          <w:highlight w:val="yellow"/>
          <w:lang w:eastAsia="en-US"/>
        </w:rPr>
        <w:id w:val="-744263839"/>
        <w:docPartObj>
          <w:docPartGallery w:val="Table of Contents"/>
          <w:docPartUnique/>
        </w:docPartObj>
      </w:sdtPr>
      <w:sdtEndPr>
        <w:rPr>
          <w:b/>
          <w:bCs/>
        </w:rPr>
      </w:sdtEndPr>
      <w:sdtContent>
        <w:p w14:paraId="7E7F9E85" w14:textId="43F9B2DC" w:rsidR="008A0537" w:rsidRPr="003B69D0" w:rsidRDefault="008A0537" w:rsidP="003B450C">
          <w:pPr>
            <w:pStyle w:val="Hlavikaobsahu"/>
            <w:spacing w:before="0" w:line="240" w:lineRule="auto"/>
            <w:jc w:val="center"/>
            <w:rPr>
              <w:rFonts w:ascii="Times New Roman" w:hAnsi="Times New Roman" w:cs="Times New Roman"/>
              <w:b/>
              <w:color w:val="auto"/>
              <w:sz w:val="26"/>
              <w:szCs w:val="26"/>
            </w:rPr>
          </w:pPr>
          <w:r w:rsidRPr="003B69D0">
            <w:rPr>
              <w:rFonts w:ascii="Times New Roman" w:hAnsi="Times New Roman" w:cs="Times New Roman"/>
              <w:b/>
              <w:color w:val="auto"/>
              <w:sz w:val="26"/>
              <w:szCs w:val="26"/>
            </w:rPr>
            <w:t>Obsah</w:t>
          </w:r>
        </w:p>
        <w:p w14:paraId="5EF5B0BA" w14:textId="516F1621" w:rsidR="009D1848" w:rsidRPr="008C7D00" w:rsidRDefault="00C27205" w:rsidP="009D1848">
          <w:pPr>
            <w:pStyle w:val="Obsah1"/>
            <w:rPr>
              <w:rFonts w:eastAsiaTheme="minorEastAsia"/>
              <w:kern w:val="2"/>
              <w:sz w:val="24"/>
              <w:szCs w:val="24"/>
              <w:lang w:eastAsia="sk-SK"/>
              <w14:ligatures w14:val="standardContextual"/>
            </w:rPr>
          </w:pPr>
          <w:r w:rsidRPr="008C7D00">
            <w:rPr>
              <w:sz w:val="24"/>
              <w:szCs w:val="24"/>
              <w:highlight w:val="yellow"/>
            </w:rPr>
            <w:fldChar w:fldCharType="begin"/>
          </w:r>
          <w:r w:rsidRPr="008C7D00">
            <w:rPr>
              <w:sz w:val="24"/>
              <w:szCs w:val="24"/>
              <w:highlight w:val="yellow"/>
            </w:rPr>
            <w:instrText xml:space="preserve"> TOC \o "1-5" \h \z \u </w:instrText>
          </w:r>
          <w:r w:rsidRPr="008C7D00">
            <w:rPr>
              <w:sz w:val="24"/>
              <w:szCs w:val="24"/>
              <w:highlight w:val="yellow"/>
            </w:rPr>
            <w:fldChar w:fldCharType="separate"/>
          </w:r>
          <w:hyperlink w:anchor="_Toc196314114" w:history="1">
            <w:r w:rsidR="009D1848" w:rsidRPr="008C7D00">
              <w:rPr>
                <w:rStyle w:val="Hypertextovprepojenie"/>
                <w:rFonts w:cs="Times New Roman"/>
                <w:sz w:val="24"/>
                <w:szCs w:val="24"/>
              </w:rPr>
              <w:t>Zhrnutie</w:t>
            </w:r>
            <w:r w:rsidR="009D1848" w:rsidRPr="008C7D00">
              <w:rPr>
                <w:webHidden/>
                <w:sz w:val="24"/>
                <w:szCs w:val="24"/>
              </w:rPr>
              <w:tab/>
            </w:r>
            <w:r w:rsidR="009D1848" w:rsidRPr="008C7D00">
              <w:rPr>
                <w:webHidden/>
                <w:sz w:val="24"/>
                <w:szCs w:val="24"/>
              </w:rPr>
              <w:fldChar w:fldCharType="begin"/>
            </w:r>
            <w:r w:rsidR="009D1848" w:rsidRPr="008C7D00">
              <w:rPr>
                <w:webHidden/>
                <w:sz w:val="24"/>
                <w:szCs w:val="24"/>
              </w:rPr>
              <w:instrText xml:space="preserve"> PAGEREF _Toc196314114 \h </w:instrText>
            </w:r>
            <w:r w:rsidR="009D1848" w:rsidRPr="008C7D00">
              <w:rPr>
                <w:webHidden/>
                <w:sz w:val="24"/>
                <w:szCs w:val="24"/>
              </w:rPr>
            </w:r>
            <w:r w:rsidR="009D1848" w:rsidRPr="008C7D00">
              <w:rPr>
                <w:webHidden/>
                <w:sz w:val="24"/>
                <w:szCs w:val="24"/>
              </w:rPr>
              <w:fldChar w:fldCharType="separate"/>
            </w:r>
            <w:r w:rsidR="00C64CBA">
              <w:rPr>
                <w:webHidden/>
                <w:sz w:val="24"/>
                <w:szCs w:val="24"/>
              </w:rPr>
              <w:t>4</w:t>
            </w:r>
            <w:r w:rsidR="009D1848" w:rsidRPr="008C7D00">
              <w:rPr>
                <w:webHidden/>
                <w:sz w:val="24"/>
                <w:szCs w:val="24"/>
              </w:rPr>
              <w:fldChar w:fldCharType="end"/>
            </w:r>
          </w:hyperlink>
        </w:p>
        <w:p w14:paraId="1289B194" w14:textId="3CE87A8B" w:rsidR="009D1848" w:rsidRPr="008C7D00" w:rsidRDefault="00C64CBA" w:rsidP="009D1848">
          <w:pPr>
            <w:pStyle w:val="Obsah1"/>
            <w:rPr>
              <w:rFonts w:eastAsiaTheme="minorEastAsia"/>
              <w:kern w:val="2"/>
              <w:sz w:val="24"/>
              <w:szCs w:val="24"/>
              <w:lang w:eastAsia="sk-SK"/>
              <w14:ligatures w14:val="standardContextual"/>
            </w:rPr>
          </w:pPr>
          <w:hyperlink w:anchor="_Toc196314115" w:history="1">
            <w:r w:rsidR="009D1848" w:rsidRPr="008C7D00">
              <w:rPr>
                <w:rStyle w:val="Hypertextovprepojenie"/>
                <w:rFonts w:cs="Times New Roman"/>
                <w:sz w:val="24"/>
                <w:szCs w:val="24"/>
              </w:rPr>
              <w:t>1</w:t>
            </w:r>
            <w:r w:rsidR="009D1848" w:rsidRPr="008C7D00">
              <w:rPr>
                <w:rFonts w:eastAsiaTheme="minorEastAsia"/>
                <w:kern w:val="2"/>
                <w:sz w:val="24"/>
                <w:szCs w:val="24"/>
                <w:lang w:eastAsia="sk-SK"/>
                <w14:ligatures w14:val="standardContextual"/>
              </w:rPr>
              <w:tab/>
            </w:r>
            <w:r w:rsidR="009D1848" w:rsidRPr="008C7D00">
              <w:rPr>
                <w:rStyle w:val="Hypertextovprepojenie"/>
                <w:rFonts w:cs="Times New Roman"/>
                <w:sz w:val="24"/>
                <w:szCs w:val="24"/>
              </w:rPr>
              <w:t>Ekonomický rámec rozpočtového hospodárenia Slovenskej republiky</w:t>
            </w:r>
            <w:r w:rsidR="009D1848" w:rsidRPr="008C7D00">
              <w:rPr>
                <w:webHidden/>
                <w:sz w:val="24"/>
                <w:szCs w:val="24"/>
              </w:rPr>
              <w:tab/>
            </w:r>
            <w:r w:rsidR="009D1848" w:rsidRPr="008C7D00">
              <w:rPr>
                <w:webHidden/>
                <w:sz w:val="24"/>
                <w:szCs w:val="24"/>
              </w:rPr>
              <w:fldChar w:fldCharType="begin"/>
            </w:r>
            <w:r w:rsidR="009D1848" w:rsidRPr="008C7D00">
              <w:rPr>
                <w:webHidden/>
                <w:sz w:val="24"/>
                <w:szCs w:val="24"/>
              </w:rPr>
              <w:instrText xml:space="preserve"> PAGEREF _Toc196314115 \h </w:instrText>
            </w:r>
            <w:r w:rsidR="009D1848" w:rsidRPr="008C7D00">
              <w:rPr>
                <w:webHidden/>
                <w:sz w:val="24"/>
                <w:szCs w:val="24"/>
              </w:rPr>
            </w:r>
            <w:r w:rsidR="009D1848" w:rsidRPr="008C7D00">
              <w:rPr>
                <w:webHidden/>
                <w:sz w:val="24"/>
                <w:szCs w:val="24"/>
              </w:rPr>
              <w:fldChar w:fldCharType="separate"/>
            </w:r>
            <w:r>
              <w:rPr>
                <w:webHidden/>
                <w:sz w:val="24"/>
                <w:szCs w:val="24"/>
              </w:rPr>
              <w:t>5</w:t>
            </w:r>
            <w:r w:rsidR="009D1848" w:rsidRPr="008C7D00">
              <w:rPr>
                <w:webHidden/>
                <w:sz w:val="24"/>
                <w:szCs w:val="24"/>
              </w:rPr>
              <w:fldChar w:fldCharType="end"/>
            </w:r>
          </w:hyperlink>
        </w:p>
        <w:p w14:paraId="476E44B8" w14:textId="70145CCD" w:rsidR="009D1848" w:rsidRPr="008C7D00" w:rsidRDefault="00C64CBA" w:rsidP="009D1848">
          <w:pPr>
            <w:pStyle w:val="Obsah2"/>
            <w:spacing w:line="274" w:lineRule="auto"/>
            <w:rPr>
              <w:rFonts w:eastAsiaTheme="minorEastAsia" w:cs="Times New Roman"/>
              <w:b w:val="0"/>
              <w:bCs w:val="0"/>
              <w:kern w:val="2"/>
              <w:sz w:val="24"/>
              <w:szCs w:val="24"/>
              <w:lang w:eastAsia="sk-SK"/>
              <w14:ligatures w14:val="standardContextual"/>
            </w:rPr>
          </w:pPr>
          <w:hyperlink w:anchor="_Toc196314116" w:history="1">
            <w:r w:rsidR="009D1848" w:rsidRPr="008C7D00">
              <w:rPr>
                <w:rStyle w:val="Hypertextovprepojenie"/>
                <w:rFonts w:cs="Times New Roman"/>
                <w:sz w:val="24"/>
                <w:szCs w:val="24"/>
              </w:rPr>
              <w:t>1.1</w:t>
            </w:r>
            <w:r w:rsidR="009D1848" w:rsidRPr="008C7D00">
              <w:rPr>
                <w:rFonts w:eastAsiaTheme="minorEastAsia" w:cs="Times New Roman"/>
                <w:b w:val="0"/>
                <w:bCs w:val="0"/>
                <w:kern w:val="2"/>
                <w:sz w:val="24"/>
                <w:szCs w:val="24"/>
                <w:lang w:eastAsia="sk-SK"/>
                <w14:ligatures w14:val="standardContextual"/>
              </w:rPr>
              <w:tab/>
            </w:r>
            <w:r w:rsidR="009D1848" w:rsidRPr="008C7D00">
              <w:rPr>
                <w:rStyle w:val="Hypertextovprepojenie"/>
                <w:rFonts w:cs="Times New Roman"/>
                <w:sz w:val="24"/>
                <w:szCs w:val="24"/>
              </w:rPr>
              <w:t>Vonkajšie ekonomické prostredie</w:t>
            </w:r>
            <w:r w:rsidR="009D1848" w:rsidRPr="008C7D00">
              <w:rPr>
                <w:rFonts w:cs="Times New Roman"/>
                <w:webHidden/>
                <w:sz w:val="24"/>
                <w:szCs w:val="24"/>
              </w:rPr>
              <w:tab/>
            </w:r>
            <w:r w:rsidR="009D1848" w:rsidRPr="008C7D00">
              <w:rPr>
                <w:rFonts w:cs="Times New Roman"/>
                <w:webHidden/>
                <w:sz w:val="24"/>
                <w:szCs w:val="24"/>
              </w:rPr>
              <w:fldChar w:fldCharType="begin"/>
            </w:r>
            <w:r w:rsidR="009D1848" w:rsidRPr="008C7D00">
              <w:rPr>
                <w:rFonts w:cs="Times New Roman"/>
                <w:webHidden/>
                <w:sz w:val="24"/>
                <w:szCs w:val="24"/>
              </w:rPr>
              <w:instrText xml:space="preserve"> PAGEREF _Toc196314116 \h </w:instrText>
            </w:r>
            <w:r w:rsidR="009D1848" w:rsidRPr="008C7D00">
              <w:rPr>
                <w:rFonts w:cs="Times New Roman"/>
                <w:webHidden/>
                <w:sz w:val="24"/>
                <w:szCs w:val="24"/>
              </w:rPr>
            </w:r>
            <w:r w:rsidR="009D1848" w:rsidRPr="008C7D00">
              <w:rPr>
                <w:rFonts w:cs="Times New Roman"/>
                <w:webHidden/>
                <w:sz w:val="24"/>
                <w:szCs w:val="24"/>
              </w:rPr>
              <w:fldChar w:fldCharType="separate"/>
            </w:r>
            <w:r>
              <w:rPr>
                <w:rFonts w:cs="Times New Roman"/>
                <w:webHidden/>
                <w:sz w:val="24"/>
                <w:szCs w:val="24"/>
              </w:rPr>
              <w:t>5</w:t>
            </w:r>
            <w:r w:rsidR="009D1848" w:rsidRPr="008C7D00">
              <w:rPr>
                <w:rFonts w:cs="Times New Roman"/>
                <w:webHidden/>
                <w:sz w:val="24"/>
                <w:szCs w:val="24"/>
              </w:rPr>
              <w:fldChar w:fldCharType="end"/>
            </w:r>
          </w:hyperlink>
        </w:p>
        <w:p w14:paraId="6C4F2B65" w14:textId="209D50EA" w:rsidR="009D1848" w:rsidRPr="008C7D00" w:rsidRDefault="00C64CBA" w:rsidP="009D1848">
          <w:pPr>
            <w:pStyle w:val="Obsah2"/>
            <w:spacing w:line="274" w:lineRule="auto"/>
            <w:rPr>
              <w:rFonts w:eastAsiaTheme="minorEastAsia" w:cs="Times New Roman"/>
              <w:b w:val="0"/>
              <w:bCs w:val="0"/>
              <w:kern w:val="2"/>
              <w:sz w:val="24"/>
              <w:szCs w:val="24"/>
              <w:lang w:eastAsia="sk-SK"/>
              <w14:ligatures w14:val="standardContextual"/>
            </w:rPr>
          </w:pPr>
          <w:hyperlink w:anchor="_Toc196314117" w:history="1">
            <w:r w:rsidR="009D1848" w:rsidRPr="008C7D00">
              <w:rPr>
                <w:rStyle w:val="Hypertextovprepojenie"/>
                <w:rFonts w:cs="Times New Roman"/>
                <w:sz w:val="24"/>
                <w:szCs w:val="24"/>
              </w:rPr>
              <w:t>1.2</w:t>
            </w:r>
            <w:r w:rsidR="009D1848" w:rsidRPr="008C7D00">
              <w:rPr>
                <w:rFonts w:eastAsiaTheme="minorEastAsia" w:cs="Times New Roman"/>
                <w:b w:val="0"/>
                <w:bCs w:val="0"/>
                <w:kern w:val="2"/>
                <w:sz w:val="24"/>
                <w:szCs w:val="24"/>
                <w:lang w:eastAsia="sk-SK"/>
                <w14:ligatures w14:val="standardContextual"/>
              </w:rPr>
              <w:tab/>
            </w:r>
            <w:r w:rsidR="009D1848" w:rsidRPr="008C7D00">
              <w:rPr>
                <w:rStyle w:val="Hypertextovprepojenie"/>
                <w:rFonts w:cs="Times New Roman"/>
                <w:sz w:val="24"/>
                <w:szCs w:val="24"/>
              </w:rPr>
              <w:t>Makroekonomický vývoj SR</w:t>
            </w:r>
            <w:r w:rsidR="009D1848" w:rsidRPr="008C7D00">
              <w:rPr>
                <w:rFonts w:cs="Times New Roman"/>
                <w:webHidden/>
                <w:sz w:val="24"/>
                <w:szCs w:val="24"/>
              </w:rPr>
              <w:tab/>
            </w:r>
            <w:r w:rsidR="009D1848" w:rsidRPr="008C7D00">
              <w:rPr>
                <w:rFonts w:cs="Times New Roman"/>
                <w:webHidden/>
                <w:sz w:val="24"/>
                <w:szCs w:val="24"/>
              </w:rPr>
              <w:fldChar w:fldCharType="begin"/>
            </w:r>
            <w:r w:rsidR="009D1848" w:rsidRPr="008C7D00">
              <w:rPr>
                <w:rFonts w:cs="Times New Roman"/>
                <w:webHidden/>
                <w:sz w:val="24"/>
                <w:szCs w:val="24"/>
              </w:rPr>
              <w:instrText xml:space="preserve"> PAGEREF _Toc196314117 \h </w:instrText>
            </w:r>
            <w:r w:rsidR="009D1848" w:rsidRPr="008C7D00">
              <w:rPr>
                <w:rFonts w:cs="Times New Roman"/>
                <w:webHidden/>
                <w:sz w:val="24"/>
                <w:szCs w:val="24"/>
              </w:rPr>
            </w:r>
            <w:r w:rsidR="009D1848" w:rsidRPr="008C7D00">
              <w:rPr>
                <w:rFonts w:cs="Times New Roman"/>
                <w:webHidden/>
                <w:sz w:val="24"/>
                <w:szCs w:val="24"/>
              </w:rPr>
              <w:fldChar w:fldCharType="separate"/>
            </w:r>
            <w:r>
              <w:rPr>
                <w:rFonts w:cs="Times New Roman"/>
                <w:webHidden/>
                <w:sz w:val="24"/>
                <w:szCs w:val="24"/>
              </w:rPr>
              <w:t>6</w:t>
            </w:r>
            <w:r w:rsidR="009D1848" w:rsidRPr="008C7D00">
              <w:rPr>
                <w:rFonts w:cs="Times New Roman"/>
                <w:webHidden/>
                <w:sz w:val="24"/>
                <w:szCs w:val="24"/>
              </w:rPr>
              <w:fldChar w:fldCharType="end"/>
            </w:r>
          </w:hyperlink>
        </w:p>
        <w:p w14:paraId="3440B8C1" w14:textId="037B7B55" w:rsidR="009D1848" w:rsidRPr="008C7D00" w:rsidRDefault="00C64CBA" w:rsidP="009D1848">
          <w:pPr>
            <w:pStyle w:val="Obsah3"/>
            <w:rPr>
              <w:rFonts w:eastAsiaTheme="minorEastAsia"/>
              <w:kern w:val="2"/>
              <w:sz w:val="24"/>
              <w:szCs w:val="24"/>
              <w:lang w:eastAsia="sk-SK"/>
              <w14:ligatures w14:val="standardContextual"/>
            </w:rPr>
          </w:pPr>
          <w:hyperlink w:anchor="_Toc196314118" w:history="1">
            <w:r w:rsidR="009D1848" w:rsidRPr="008C7D00">
              <w:rPr>
                <w:rStyle w:val="Hypertextovprepojenie"/>
                <w:sz w:val="24"/>
                <w:szCs w:val="24"/>
              </w:rPr>
              <w:t>1.2.1</w:t>
            </w:r>
            <w:r w:rsidR="009D1848" w:rsidRPr="008C7D00">
              <w:rPr>
                <w:rFonts w:eastAsiaTheme="minorEastAsia"/>
                <w:kern w:val="2"/>
                <w:sz w:val="24"/>
                <w:szCs w:val="24"/>
                <w:lang w:eastAsia="sk-SK"/>
                <w14:ligatures w14:val="standardContextual"/>
              </w:rPr>
              <w:tab/>
            </w:r>
            <w:r w:rsidR="009D1848" w:rsidRPr="008C7D00">
              <w:rPr>
                <w:rStyle w:val="Hypertextovprepojenie"/>
                <w:sz w:val="24"/>
                <w:szCs w:val="24"/>
              </w:rPr>
              <w:t>Hrubý domáci produkt</w:t>
            </w:r>
            <w:r w:rsidR="009D1848" w:rsidRPr="008C7D00">
              <w:rPr>
                <w:webHidden/>
                <w:sz w:val="24"/>
                <w:szCs w:val="24"/>
              </w:rPr>
              <w:tab/>
            </w:r>
            <w:r w:rsidR="009D1848" w:rsidRPr="008C7D00">
              <w:rPr>
                <w:webHidden/>
                <w:sz w:val="24"/>
                <w:szCs w:val="24"/>
              </w:rPr>
              <w:fldChar w:fldCharType="begin"/>
            </w:r>
            <w:r w:rsidR="009D1848" w:rsidRPr="008C7D00">
              <w:rPr>
                <w:webHidden/>
                <w:sz w:val="24"/>
                <w:szCs w:val="24"/>
              </w:rPr>
              <w:instrText xml:space="preserve"> PAGEREF _Toc196314118 \h </w:instrText>
            </w:r>
            <w:r w:rsidR="009D1848" w:rsidRPr="008C7D00">
              <w:rPr>
                <w:webHidden/>
                <w:sz w:val="24"/>
                <w:szCs w:val="24"/>
              </w:rPr>
            </w:r>
            <w:r w:rsidR="009D1848" w:rsidRPr="008C7D00">
              <w:rPr>
                <w:webHidden/>
                <w:sz w:val="24"/>
                <w:szCs w:val="24"/>
              </w:rPr>
              <w:fldChar w:fldCharType="separate"/>
            </w:r>
            <w:r>
              <w:rPr>
                <w:webHidden/>
                <w:sz w:val="24"/>
                <w:szCs w:val="24"/>
              </w:rPr>
              <w:t>6</w:t>
            </w:r>
            <w:r w:rsidR="009D1848" w:rsidRPr="008C7D00">
              <w:rPr>
                <w:webHidden/>
                <w:sz w:val="24"/>
                <w:szCs w:val="24"/>
              </w:rPr>
              <w:fldChar w:fldCharType="end"/>
            </w:r>
          </w:hyperlink>
        </w:p>
        <w:p w14:paraId="31FC8FB8" w14:textId="65E88A26" w:rsidR="009D1848" w:rsidRPr="008C7D00" w:rsidRDefault="00C64CBA" w:rsidP="009D1848">
          <w:pPr>
            <w:pStyle w:val="Obsah3"/>
            <w:rPr>
              <w:rFonts w:eastAsiaTheme="minorEastAsia"/>
              <w:kern w:val="2"/>
              <w:sz w:val="24"/>
              <w:szCs w:val="24"/>
              <w:lang w:eastAsia="sk-SK"/>
              <w14:ligatures w14:val="standardContextual"/>
            </w:rPr>
          </w:pPr>
          <w:hyperlink w:anchor="_Toc196314119" w:history="1">
            <w:r w:rsidR="009D1848" w:rsidRPr="008C7D00">
              <w:rPr>
                <w:rStyle w:val="Hypertextovprepojenie"/>
                <w:sz w:val="24"/>
                <w:szCs w:val="24"/>
              </w:rPr>
              <w:t>1.2.2</w:t>
            </w:r>
            <w:r w:rsidR="009D1848" w:rsidRPr="008C7D00">
              <w:rPr>
                <w:rFonts w:eastAsiaTheme="minorEastAsia"/>
                <w:kern w:val="2"/>
                <w:sz w:val="24"/>
                <w:szCs w:val="24"/>
                <w:lang w:eastAsia="sk-SK"/>
                <w14:ligatures w14:val="standardContextual"/>
              </w:rPr>
              <w:tab/>
            </w:r>
            <w:r w:rsidR="009D1848" w:rsidRPr="008C7D00">
              <w:rPr>
                <w:rStyle w:val="Hypertextovprepojenie"/>
                <w:sz w:val="24"/>
                <w:szCs w:val="24"/>
              </w:rPr>
              <w:t>Trh práce</w:t>
            </w:r>
            <w:r w:rsidR="009D1848" w:rsidRPr="008C7D00">
              <w:rPr>
                <w:webHidden/>
                <w:sz w:val="24"/>
                <w:szCs w:val="24"/>
              </w:rPr>
              <w:tab/>
            </w:r>
            <w:r w:rsidR="009D1848" w:rsidRPr="008C7D00">
              <w:rPr>
                <w:webHidden/>
                <w:sz w:val="24"/>
                <w:szCs w:val="24"/>
              </w:rPr>
              <w:fldChar w:fldCharType="begin"/>
            </w:r>
            <w:r w:rsidR="009D1848" w:rsidRPr="008C7D00">
              <w:rPr>
                <w:webHidden/>
                <w:sz w:val="24"/>
                <w:szCs w:val="24"/>
              </w:rPr>
              <w:instrText xml:space="preserve"> PAGEREF _Toc196314119 \h </w:instrText>
            </w:r>
            <w:r w:rsidR="009D1848" w:rsidRPr="008C7D00">
              <w:rPr>
                <w:webHidden/>
                <w:sz w:val="24"/>
                <w:szCs w:val="24"/>
              </w:rPr>
            </w:r>
            <w:r w:rsidR="009D1848" w:rsidRPr="008C7D00">
              <w:rPr>
                <w:webHidden/>
                <w:sz w:val="24"/>
                <w:szCs w:val="24"/>
              </w:rPr>
              <w:fldChar w:fldCharType="separate"/>
            </w:r>
            <w:r>
              <w:rPr>
                <w:webHidden/>
                <w:sz w:val="24"/>
                <w:szCs w:val="24"/>
              </w:rPr>
              <w:t>7</w:t>
            </w:r>
            <w:r w:rsidR="009D1848" w:rsidRPr="008C7D00">
              <w:rPr>
                <w:webHidden/>
                <w:sz w:val="24"/>
                <w:szCs w:val="24"/>
              </w:rPr>
              <w:fldChar w:fldCharType="end"/>
            </w:r>
          </w:hyperlink>
        </w:p>
        <w:p w14:paraId="412243E2" w14:textId="5D0DD5AB" w:rsidR="009D1848" w:rsidRPr="008C7D00" w:rsidRDefault="00C64CBA" w:rsidP="009D1848">
          <w:pPr>
            <w:pStyle w:val="Obsah3"/>
            <w:rPr>
              <w:rFonts w:eastAsiaTheme="minorEastAsia"/>
              <w:kern w:val="2"/>
              <w:sz w:val="24"/>
              <w:szCs w:val="24"/>
              <w:lang w:eastAsia="sk-SK"/>
              <w14:ligatures w14:val="standardContextual"/>
            </w:rPr>
          </w:pPr>
          <w:hyperlink w:anchor="_Toc196314120" w:history="1">
            <w:r w:rsidR="009D1848" w:rsidRPr="008C7D00">
              <w:rPr>
                <w:rStyle w:val="Hypertextovprepojenie"/>
                <w:sz w:val="24"/>
                <w:szCs w:val="24"/>
              </w:rPr>
              <w:t>1.2.3</w:t>
            </w:r>
            <w:r w:rsidR="009D1848" w:rsidRPr="008C7D00">
              <w:rPr>
                <w:rFonts w:eastAsiaTheme="minorEastAsia"/>
                <w:kern w:val="2"/>
                <w:sz w:val="24"/>
                <w:szCs w:val="24"/>
                <w:lang w:eastAsia="sk-SK"/>
                <w14:ligatures w14:val="standardContextual"/>
              </w:rPr>
              <w:tab/>
            </w:r>
            <w:r w:rsidR="009D1848" w:rsidRPr="008C7D00">
              <w:rPr>
                <w:rStyle w:val="Hypertextovprepojenie"/>
                <w:sz w:val="24"/>
                <w:szCs w:val="24"/>
              </w:rPr>
              <w:t>Cenový vývoj</w:t>
            </w:r>
            <w:r w:rsidR="009D1848" w:rsidRPr="008C7D00">
              <w:rPr>
                <w:webHidden/>
                <w:sz w:val="24"/>
                <w:szCs w:val="24"/>
              </w:rPr>
              <w:tab/>
            </w:r>
            <w:r w:rsidR="009D1848" w:rsidRPr="008C7D00">
              <w:rPr>
                <w:webHidden/>
                <w:sz w:val="24"/>
                <w:szCs w:val="24"/>
              </w:rPr>
              <w:fldChar w:fldCharType="begin"/>
            </w:r>
            <w:r w:rsidR="009D1848" w:rsidRPr="008C7D00">
              <w:rPr>
                <w:webHidden/>
                <w:sz w:val="24"/>
                <w:szCs w:val="24"/>
              </w:rPr>
              <w:instrText xml:space="preserve"> PAGEREF _Toc196314120 \h </w:instrText>
            </w:r>
            <w:r w:rsidR="009D1848" w:rsidRPr="008C7D00">
              <w:rPr>
                <w:webHidden/>
                <w:sz w:val="24"/>
                <w:szCs w:val="24"/>
              </w:rPr>
            </w:r>
            <w:r w:rsidR="009D1848" w:rsidRPr="008C7D00">
              <w:rPr>
                <w:webHidden/>
                <w:sz w:val="24"/>
                <w:szCs w:val="24"/>
              </w:rPr>
              <w:fldChar w:fldCharType="separate"/>
            </w:r>
            <w:r>
              <w:rPr>
                <w:webHidden/>
                <w:sz w:val="24"/>
                <w:szCs w:val="24"/>
              </w:rPr>
              <w:t>7</w:t>
            </w:r>
            <w:r w:rsidR="009D1848" w:rsidRPr="008C7D00">
              <w:rPr>
                <w:webHidden/>
                <w:sz w:val="24"/>
                <w:szCs w:val="24"/>
              </w:rPr>
              <w:fldChar w:fldCharType="end"/>
            </w:r>
          </w:hyperlink>
        </w:p>
        <w:p w14:paraId="5A931E3A" w14:textId="5F36416D" w:rsidR="009D1848" w:rsidRPr="008C7D00" w:rsidRDefault="00C64CBA" w:rsidP="009D1848">
          <w:pPr>
            <w:pStyle w:val="Obsah3"/>
            <w:rPr>
              <w:rFonts w:eastAsiaTheme="minorEastAsia"/>
              <w:kern w:val="2"/>
              <w:sz w:val="24"/>
              <w:szCs w:val="24"/>
              <w:lang w:eastAsia="sk-SK"/>
              <w14:ligatures w14:val="standardContextual"/>
            </w:rPr>
          </w:pPr>
          <w:hyperlink w:anchor="_Toc196314121" w:history="1">
            <w:r w:rsidR="009D1848" w:rsidRPr="008C7D00">
              <w:rPr>
                <w:rStyle w:val="Hypertextovprepojenie"/>
                <w:sz w:val="24"/>
                <w:szCs w:val="24"/>
              </w:rPr>
              <w:t>1.2.4</w:t>
            </w:r>
            <w:r w:rsidR="009D1848" w:rsidRPr="008C7D00">
              <w:rPr>
                <w:rFonts w:eastAsiaTheme="minorEastAsia"/>
                <w:kern w:val="2"/>
                <w:sz w:val="24"/>
                <w:szCs w:val="24"/>
                <w:lang w:eastAsia="sk-SK"/>
                <w14:ligatures w14:val="standardContextual"/>
              </w:rPr>
              <w:tab/>
            </w:r>
            <w:r w:rsidR="009D1848" w:rsidRPr="008C7D00">
              <w:rPr>
                <w:rStyle w:val="Hypertextovprepojenie"/>
                <w:sz w:val="24"/>
                <w:szCs w:val="24"/>
              </w:rPr>
              <w:t>Platobná bilancia</w:t>
            </w:r>
            <w:r w:rsidR="009D1848" w:rsidRPr="008C7D00">
              <w:rPr>
                <w:webHidden/>
                <w:sz w:val="24"/>
                <w:szCs w:val="24"/>
              </w:rPr>
              <w:tab/>
            </w:r>
            <w:r w:rsidR="009D1848" w:rsidRPr="008C7D00">
              <w:rPr>
                <w:webHidden/>
                <w:sz w:val="24"/>
                <w:szCs w:val="24"/>
              </w:rPr>
              <w:fldChar w:fldCharType="begin"/>
            </w:r>
            <w:r w:rsidR="009D1848" w:rsidRPr="008C7D00">
              <w:rPr>
                <w:webHidden/>
                <w:sz w:val="24"/>
                <w:szCs w:val="24"/>
              </w:rPr>
              <w:instrText xml:space="preserve"> PAGEREF _Toc196314121 \h </w:instrText>
            </w:r>
            <w:r w:rsidR="009D1848" w:rsidRPr="008C7D00">
              <w:rPr>
                <w:webHidden/>
                <w:sz w:val="24"/>
                <w:szCs w:val="24"/>
              </w:rPr>
            </w:r>
            <w:r w:rsidR="009D1848" w:rsidRPr="008C7D00">
              <w:rPr>
                <w:webHidden/>
                <w:sz w:val="24"/>
                <w:szCs w:val="24"/>
              </w:rPr>
              <w:fldChar w:fldCharType="separate"/>
            </w:r>
            <w:r>
              <w:rPr>
                <w:webHidden/>
                <w:sz w:val="24"/>
                <w:szCs w:val="24"/>
              </w:rPr>
              <w:t>8</w:t>
            </w:r>
            <w:r w:rsidR="009D1848" w:rsidRPr="008C7D00">
              <w:rPr>
                <w:webHidden/>
                <w:sz w:val="24"/>
                <w:szCs w:val="24"/>
              </w:rPr>
              <w:fldChar w:fldCharType="end"/>
            </w:r>
          </w:hyperlink>
        </w:p>
        <w:p w14:paraId="58FB6AD7" w14:textId="1A13A1AB" w:rsidR="009D1848" w:rsidRPr="008C7D00" w:rsidRDefault="00C64CBA" w:rsidP="009D1848">
          <w:pPr>
            <w:pStyle w:val="Obsah3"/>
            <w:rPr>
              <w:rFonts w:eastAsiaTheme="minorEastAsia"/>
              <w:kern w:val="2"/>
              <w:sz w:val="24"/>
              <w:szCs w:val="24"/>
              <w:lang w:eastAsia="sk-SK"/>
              <w14:ligatures w14:val="standardContextual"/>
            </w:rPr>
          </w:pPr>
          <w:hyperlink w:anchor="_Toc196314122" w:history="1">
            <w:r w:rsidR="009D1848" w:rsidRPr="008C7D00">
              <w:rPr>
                <w:rStyle w:val="Hypertextovprepojenie"/>
                <w:sz w:val="24"/>
                <w:szCs w:val="24"/>
              </w:rPr>
              <w:t>1.2.5</w:t>
            </w:r>
            <w:r w:rsidR="009D1848" w:rsidRPr="008C7D00">
              <w:rPr>
                <w:rFonts w:eastAsiaTheme="minorEastAsia"/>
                <w:kern w:val="2"/>
                <w:sz w:val="24"/>
                <w:szCs w:val="24"/>
                <w:lang w:eastAsia="sk-SK"/>
                <w14:ligatures w14:val="standardContextual"/>
              </w:rPr>
              <w:tab/>
            </w:r>
            <w:r w:rsidR="009D1848" w:rsidRPr="008C7D00">
              <w:rPr>
                <w:rStyle w:val="Hypertextovprepojenie"/>
                <w:sz w:val="24"/>
                <w:szCs w:val="24"/>
              </w:rPr>
              <w:t>Porovnanie makroekonomických predpokladov rozpočtu a skutočnosti</w:t>
            </w:r>
            <w:r w:rsidR="009D1848" w:rsidRPr="008C7D00">
              <w:rPr>
                <w:webHidden/>
                <w:sz w:val="24"/>
                <w:szCs w:val="24"/>
              </w:rPr>
              <w:tab/>
            </w:r>
            <w:r w:rsidR="009D1848" w:rsidRPr="008C7D00">
              <w:rPr>
                <w:webHidden/>
                <w:sz w:val="24"/>
                <w:szCs w:val="24"/>
              </w:rPr>
              <w:fldChar w:fldCharType="begin"/>
            </w:r>
            <w:r w:rsidR="009D1848" w:rsidRPr="008C7D00">
              <w:rPr>
                <w:webHidden/>
                <w:sz w:val="24"/>
                <w:szCs w:val="24"/>
              </w:rPr>
              <w:instrText xml:space="preserve"> PAGEREF _Toc196314122 \h </w:instrText>
            </w:r>
            <w:r w:rsidR="009D1848" w:rsidRPr="008C7D00">
              <w:rPr>
                <w:webHidden/>
                <w:sz w:val="24"/>
                <w:szCs w:val="24"/>
              </w:rPr>
            </w:r>
            <w:r w:rsidR="009D1848" w:rsidRPr="008C7D00">
              <w:rPr>
                <w:webHidden/>
                <w:sz w:val="24"/>
                <w:szCs w:val="24"/>
              </w:rPr>
              <w:fldChar w:fldCharType="separate"/>
            </w:r>
            <w:r>
              <w:rPr>
                <w:webHidden/>
                <w:sz w:val="24"/>
                <w:szCs w:val="24"/>
              </w:rPr>
              <w:t>8</w:t>
            </w:r>
            <w:r w:rsidR="009D1848" w:rsidRPr="008C7D00">
              <w:rPr>
                <w:webHidden/>
                <w:sz w:val="24"/>
                <w:szCs w:val="24"/>
              </w:rPr>
              <w:fldChar w:fldCharType="end"/>
            </w:r>
          </w:hyperlink>
        </w:p>
        <w:p w14:paraId="403E96CB" w14:textId="4342DA3B" w:rsidR="009D1848" w:rsidRPr="008C7D00" w:rsidRDefault="00C64CBA" w:rsidP="009D1848">
          <w:pPr>
            <w:pStyle w:val="Obsah1"/>
            <w:rPr>
              <w:rFonts w:eastAsiaTheme="minorEastAsia"/>
              <w:kern w:val="2"/>
              <w:sz w:val="24"/>
              <w:szCs w:val="24"/>
              <w:lang w:eastAsia="sk-SK"/>
              <w14:ligatures w14:val="standardContextual"/>
            </w:rPr>
          </w:pPr>
          <w:hyperlink w:anchor="_Toc196314123" w:history="1">
            <w:r w:rsidR="009D1848" w:rsidRPr="008C7D00">
              <w:rPr>
                <w:rStyle w:val="Hypertextovprepojenie"/>
                <w:rFonts w:cs="Times New Roman"/>
                <w:sz w:val="24"/>
                <w:szCs w:val="24"/>
              </w:rPr>
              <w:t>2</w:t>
            </w:r>
            <w:r w:rsidR="009D1848" w:rsidRPr="008C7D00">
              <w:rPr>
                <w:rFonts w:eastAsiaTheme="minorEastAsia"/>
                <w:kern w:val="2"/>
                <w:sz w:val="24"/>
                <w:szCs w:val="24"/>
                <w:lang w:eastAsia="sk-SK"/>
                <w14:ligatures w14:val="standardContextual"/>
              </w:rPr>
              <w:tab/>
            </w:r>
            <w:r w:rsidR="009D1848" w:rsidRPr="008C7D00">
              <w:rPr>
                <w:rStyle w:val="Hypertextovprepojenie"/>
                <w:rFonts w:cs="Times New Roman"/>
                <w:sz w:val="24"/>
                <w:szCs w:val="24"/>
              </w:rPr>
              <w:t>Hospodárenie verejnej správy v metodike ESA 2010</w:t>
            </w:r>
            <w:r w:rsidR="009D1848" w:rsidRPr="008C7D00">
              <w:rPr>
                <w:webHidden/>
                <w:sz w:val="24"/>
                <w:szCs w:val="24"/>
              </w:rPr>
              <w:tab/>
            </w:r>
            <w:r w:rsidR="009D1848" w:rsidRPr="008C7D00">
              <w:rPr>
                <w:webHidden/>
                <w:sz w:val="24"/>
                <w:szCs w:val="24"/>
              </w:rPr>
              <w:fldChar w:fldCharType="begin"/>
            </w:r>
            <w:r w:rsidR="009D1848" w:rsidRPr="008C7D00">
              <w:rPr>
                <w:webHidden/>
                <w:sz w:val="24"/>
                <w:szCs w:val="24"/>
              </w:rPr>
              <w:instrText xml:space="preserve"> PAGEREF _Toc196314123 \h </w:instrText>
            </w:r>
            <w:r w:rsidR="009D1848" w:rsidRPr="008C7D00">
              <w:rPr>
                <w:webHidden/>
                <w:sz w:val="24"/>
                <w:szCs w:val="24"/>
              </w:rPr>
            </w:r>
            <w:r w:rsidR="009D1848" w:rsidRPr="008C7D00">
              <w:rPr>
                <w:webHidden/>
                <w:sz w:val="24"/>
                <w:szCs w:val="24"/>
              </w:rPr>
              <w:fldChar w:fldCharType="separate"/>
            </w:r>
            <w:r>
              <w:rPr>
                <w:webHidden/>
                <w:sz w:val="24"/>
                <w:szCs w:val="24"/>
              </w:rPr>
              <w:t>10</w:t>
            </w:r>
            <w:r w:rsidR="009D1848" w:rsidRPr="008C7D00">
              <w:rPr>
                <w:webHidden/>
                <w:sz w:val="24"/>
                <w:szCs w:val="24"/>
              </w:rPr>
              <w:fldChar w:fldCharType="end"/>
            </w:r>
          </w:hyperlink>
        </w:p>
        <w:p w14:paraId="3C2BB7AC" w14:textId="7A5D49B8" w:rsidR="009D1848" w:rsidRPr="008C7D00" w:rsidRDefault="00C64CBA" w:rsidP="009D1848">
          <w:pPr>
            <w:pStyle w:val="Obsah2"/>
            <w:spacing w:line="274" w:lineRule="auto"/>
            <w:rPr>
              <w:rFonts w:eastAsiaTheme="minorEastAsia" w:cs="Times New Roman"/>
              <w:b w:val="0"/>
              <w:bCs w:val="0"/>
              <w:kern w:val="2"/>
              <w:sz w:val="24"/>
              <w:szCs w:val="24"/>
              <w:lang w:eastAsia="sk-SK"/>
              <w14:ligatures w14:val="standardContextual"/>
            </w:rPr>
          </w:pPr>
          <w:hyperlink w:anchor="_Toc196314124" w:history="1">
            <w:r w:rsidR="009D1848" w:rsidRPr="008C7D00">
              <w:rPr>
                <w:rStyle w:val="Hypertextovprepojenie"/>
                <w:rFonts w:cs="Times New Roman"/>
                <w:sz w:val="24"/>
                <w:szCs w:val="24"/>
              </w:rPr>
              <w:t>2.1</w:t>
            </w:r>
            <w:r w:rsidR="009D1848" w:rsidRPr="008C7D00">
              <w:rPr>
                <w:rFonts w:eastAsiaTheme="minorEastAsia" w:cs="Times New Roman"/>
                <w:b w:val="0"/>
                <w:bCs w:val="0"/>
                <w:kern w:val="2"/>
                <w:sz w:val="24"/>
                <w:szCs w:val="24"/>
                <w:lang w:eastAsia="sk-SK"/>
                <w14:ligatures w14:val="standardContextual"/>
              </w:rPr>
              <w:tab/>
            </w:r>
            <w:r w:rsidR="009D1848" w:rsidRPr="008C7D00">
              <w:rPr>
                <w:rStyle w:val="Hypertextovprepojenie"/>
                <w:rFonts w:cs="Times New Roman"/>
                <w:sz w:val="24"/>
                <w:szCs w:val="24"/>
              </w:rPr>
              <w:t>Zámery, ciele a opatrenia rozpočtovej politiky v roku 2023</w:t>
            </w:r>
            <w:r w:rsidR="009D1848" w:rsidRPr="008C7D00">
              <w:rPr>
                <w:rFonts w:cs="Times New Roman"/>
                <w:webHidden/>
                <w:sz w:val="24"/>
                <w:szCs w:val="24"/>
              </w:rPr>
              <w:tab/>
            </w:r>
            <w:r w:rsidR="009D1848" w:rsidRPr="008C7D00">
              <w:rPr>
                <w:rFonts w:cs="Times New Roman"/>
                <w:webHidden/>
                <w:sz w:val="24"/>
                <w:szCs w:val="24"/>
              </w:rPr>
              <w:fldChar w:fldCharType="begin"/>
            </w:r>
            <w:r w:rsidR="009D1848" w:rsidRPr="008C7D00">
              <w:rPr>
                <w:rFonts w:cs="Times New Roman"/>
                <w:webHidden/>
                <w:sz w:val="24"/>
                <w:szCs w:val="24"/>
              </w:rPr>
              <w:instrText xml:space="preserve"> PAGEREF _Toc196314124 \h </w:instrText>
            </w:r>
            <w:r w:rsidR="009D1848" w:rsidRPr="008C7D00">
              <w:rPr>
                <w:rFonts w:cs="Times New Roman"/>
                <w:webHidden/>
                <w:sz w:val="24"/>
                <w:szCs w:val="24"/>
              </w:rPr>
            </w:r>
            <w:r w:rsidR="009D1848" w:rsidRPr="008C7D00">
              <w:rPr>
                <w:rFonts w:cs="Times New Roman"/>
                <w:webHidden/>
                <w:sz w:val="24"/>
                <w:szCs w:val="24"/>
              </w:rPr>
              <w:fldChar w:fldCharType="separate"/>
            </w:r>
            <w:r>
              <w:rPr>
                <w:rFonts w:cs="Times New Roman"/>
                <w:webHidden/>
                <w:sz w:val="24"/>
                <w:szCs w:val="24"/>
              </w:rPr>
              <w:t>10</w:t>
            </w:r>
            <w:r w:rsidR="009D1848" w:rsidRPr="008C7D00">
              <w:rPr>
                <w:rFonts w:cs="Times New Roman"/>
                <w:webHidden/>
                <w:sz w:val="24"/>
                <w:szCs w:val="24"/>
              </w:rPr>
              <w:fldChar w:fldCharType="end"/>
            </w:r>
          </w:hyperlink>
        </w:p>
        <w:p w14:paraId="743217B9" w14:textId="67C1561B" w:rsidR="009D1848" w:rsidRPr="008C7D00" w:rsidRDefault="00C64CBA" w:rsidP="009D1848">
          <w:pPr>
            <w:pStyle w:val="Obsah2"/>
            <w:spacing w:line="274" w:lineRule="auto"/>
            <w:rPr>
              <w:rFonts w:eastAsiaTheme="minorEastAsia" w:cs="Times New Roman"/>
              <w:b w:val="0"/>
              <w:bCs w:val="0"/>
              <w:kern w:val="2"/>
              <w:sz w:val="24"/>
              <w:szCs w:val="24"/>
              <w:lang w:eastAsia="sk-SK"/>
              <w14:ligatures w14:val="standardContextual"/>
            </w:rPr>
          </w:pPr>
          <w:hyperlink w:anchor="_Toc196314125" w:history="1">
            <w:r w:rsidR="009D1848" w:rsidRPr="008C7D00">
              <w:rPr>
                <w:rStyle w:val="Hypertextovprepojenie"/>
                <w:rFonts w:cs="Times New Roman"/>
                <w:sz w:val="24"/>
                <w:szCs w:val="24"/>
              </w:rPr>
              <w:t>2.2</w:t>
            </w:r>
            <w:r w:rsidR="009D1848" w:rsidRPr="008C7D00">
              <w:rPr>
                <w:rFonts w:eastAsiaTheme="minorEastAsia" w:cs="Times New Roman"/>
                <w:b w:val="0"/>
                <w:bCs w:val="0"/>
                <w:kern w:val="2"/>
                <w:sz w:val="24"/>
                <w:szCs w:val="24"/>
                <w:lang w:eastAsia="sk-SK"/>
                <w14:ligatures w14:val="standardContextual"/>
              </w:rPr>
              <w:tab/>
            </w:r>
            <w:r w:rsidR="009D1848" w:rsidRPr="008C7D00">
              <w:rPr>
                <w:rStyle w:val="Hypertextovprepojenie"/>
                <w:rFonts w:cs="Times New Roman"/>
                <w:sz w:val="24"/>
                <w:szCs w:val="24"/>
              </w:rPr>
              <w:t>Saldo verejnej správy</w:t>
            </w:r>
            <w:r w:rsidR="009D1848" w:rsidRPr="008C7D00">
              <w:rPr>
                <w:rFonts w:cs="Times New Roman"/>
                <w:webHidden/>
                <w:sz w:val="24"/>
                <w:szCs w:val="24"/>
              </w:rPr>
              <w:tab/>
            </w:r>
            <w:r w:rsidR="009D1848" w:rsidRPr="008C7D00">
              <w:rPr>
                <w:rFonts w:cs="Times New Roman"/>
                <w:webHidden/>
                <w:sz w:val="24"/>
                <w:szCs w:val="24"/>
              </w:rPr>
              <w:fldChar w:fldCharType="begin"/>
            </w:r>
            <w:r w:rsidR="009D1848" w:rsidRPr="008C7D00">
              <w:rPr>
                <w:rFonts w:cs="Times New Roman"/>
                <w:webHidden/>
                <w:sz w:val="24"/>
                <w:szCs w:val="24"/>
              </w:rPr>
              <w:instrText xml:space="preserve"> PAGEREF _Toc196314125 \h </w:instrText>
            </w:r>
            <w:r w:rsidR="009D1848" w:rsidRPr="008C7D00">
              <w:rPr>
                <w:rFonts w:cs="Times New Roman"/>
                <w:webHidden/>
                <w:sz w:val="24"/>
                <w:szCs w:val="24"/>
              </w:rPr>
            </w:r>
            <w:r w:rsidR="009D1848" w:rsidRPr="008C7D00">
              <w:rPr>
                <w:rFonts w:cs="Times New Roman"/>
                <w:webHidden/>
                <w:sz w:val="24"/>
                <w:szCs w:val="24"/>
              </w:rPr>
              <w:fldChar w:fldCharType="separate"/>
            </w:r>
            <w:r>
              <w:rPr>
                <w:rFonts w:cs="Times New Roman"/>
                <w:webHidden/>
                <w:sz w:val="24"/>
                <w:szCs w:val="24"/>
              </w:rPr>
              <w:t>13</w:t>
            </w:r>
            <w:r w:rsidR="009D1848" w:rsidRPr="008C7D00">
              <w:rPr>
                <w:rFonts w:cs="Times New Roman"/>
                <w:webHidden/>
                <w:sz w:val="24"/>
                <w:szCs w:val="24"/>
              </w:rPr>
              <w:fldChar w:fldCharType="end"/>
            </w:r>
          </w:hyperlink>
        </w:p>
        <w:p w14:paraId="40C51708" w14:textId="508B7DB9" w:rsidR="009D1848" w:rsidRPr="008C7D00" w:rsidRDefault="00C64CBA" w:rsidP="009D1848">
          <w:pPr>
            <w:pStyle w:val="Obsah2"/>
            <w:spacing w:line="274" w:lineRule="auto"/>
            <w:rPr>
              <w:rFonts w:eastAsiaTheme="minorEastAsia" w:cs="Times New Roman"/>
              <w:b w:val="0"/>
              <w:bCs w:val="0"/>
              <w:kern w:val="2"/>
              <w:sz w:val="24"/>
              <w:szCs w:val="24"/>
              <w:lang w:eastAsia="sk-SK"/>
              <w14:ligatures w14:val="standardContextual"/>
            </w:rPr>
          </w:pPr>
          <w:hyperlink w:anchor="_Toc196314126" w:history="1">
            <w:r w:rsidR="009D1848" w:rsidRPr="008C7D00">
              <w:rPr>
                <w:rStyle w:val="Hypertextovprepojenie"/>
                <w:rFonts w:cs="Times New Roman"/>
                <w:sz w:val="24"/>
                <w:szCs w:val="24"/>
              </w:rPr>
              <w:t>2.3</w:t>
            </w:r>
            <w:r w:rsidR="009D1848" w:rsidRPr="008C7D00">
              <w:rPr>
                <w:rFonts w:eastAsiaTheme="minorEastAsia" w:cs="Times New Roman"/>
                <w:b w:val="0"/>
                <w:bCs w:val="0"/>
                <w:kern w:val="2"/>
                <w:sz w:val="24"/>
                <w:szCs w:val="24"/>
                <w:lang w:eastAsia="sk-SK"/>
                <w14:ligatures w14:val="standardContextual"/>
              </w:rPr>
              <w:tab/>
            </w:r>
            <w:r w:rsidR="009D1848" w:rsidRPr="008C7D00">
              <w:rPr>
                <w:rStyle w:val="Hypertextovprepojenie"/>
                <w:rFonts w:cs="Times New Roman"/>
                <w:sz w:val="24"/>
                <w:szCs w:val="24"/>
              </w:rPr>
              <w:t>Dlh verejnej správy</w:t>
            </w:r>
            <w:r w:rsidR="009D1848" w:rsidRPr="008C7D00">
              <w:rPr>
                <w:rFonts w:cs="Times New Roman"/>
                <w:webHidden/>
                <w:sz w:val="24"/>
                <w:szCs w:val="24"/>
              </w:rPr>
              <w:tab/>
            </w:r>
            <w:r w:rsidR="009D1848" w:rsidRPr="008C7D00">
              <w:rPr>
                <w:rFonts w:cs="Times New Roman"/>
                <w:webHidden/>
                <w:sz w:val="24"/>
                <w:szCs w:val="24"/>
              </w:rPr>
              <w:fldChar w:fldCharType="begin"/>
            </w:r>
            <w:r w:rsidR="009D1848" w:rsidRPr="008C7D00">
              <w:rPr>
                <w:rFonts w:cs="Times New Roman"/>
                <w:webHidden/>
                <w:sz w:val="24"/>
                <w:szCs w:val="24"/>
              </w:rPr>
              <w:instrText xml:space="preserve"> PAGEREF _Toc196314126 \h </w:instrText>
            </w:r>
            <w:r w:rsidR="009D1848" w:rsidRPr="008C7D00">
              <w:rPr>
                <w:rFonts w:cs="Times New Roman"/>
                <w:webHidden/>
                <w:sz w:val="24"/>
                <w:szCs w:val="24"/>
              </w:rPr>
            </w:r>
            <w:r w:rsidR="009D1848" w:rsidRPr="008C7D00">
              <w:rPr>
                <w:rFonts w:cs="Times New Roman"/>
                <w:webHidden/>
                <w:sz w:val="24"/>
                <w:szCs w:val="24"/>
              </w:rPr>
              <w:fldChar w:fldCharType="separate"/>
            </w:r>
            <w:r>
              <w:rPr>
                <w:rFonts w:cs="Times New Roman"/>
                <w:webHidden/>
                <w:sz w:val="24"/>
                <w:szCs w:val="24"/>
              </w:rPr>
              <w:t>33</w:t>
            </w:r>
            <w:r w:rsidR="009D1848" w:rsidRPr="008C7D00">
              <w:rPr>
                <w:rFonts w:cs="Times New Roman"/>
                <w:webHidden/>
                <w:sz w:val="24"/>
                <w:szCs w:val="24"/>
              </w:rPr>
              <w:fldChar w:fldCharType="end"/>
            </w:r>
          </w:hyperlink>
        </w:p>
        <w:p w14:paraId="64116D70" w14:textId="7E20BF5A" w:rsidR="009D1848" w:rsidRPr="008C7D00" w:rsidRDefault="00C64CBA" w:rsidP="009D1848">
          <w:pPr>
            <w:pStyle w:val="Obsah3"/>
            <w:rPr>
              <w:rFonts w:eastAsiaTheme="minorEastAsia"/>
              <w:kern w:val="2"/>
              <w:sz w:val="24"/>
              <w:szCs w:val="24"/>
              <w:lang w:eastAsia="sk-SK"/>
              <w14:ligatures w14:val="standardContextual"/>
            </w:rPr>
          </w:pPr>
          <w:hyperlink w:anchor="_Toc196314127" w:history="1">
            <w:r w:rsidR="009D1848" w:rsidRPr="008C7D00">
              <w:rPr>
                <w:rStyle w:val="Hypertextovprepojenie"/>
                <w:sz w:val="24"/>
                <w:szCs w:val="24"/>
              </w:rPr>
              <w:t>2.3.1</w:t>
            </w:r>
            <w:r w:rsidR="009D1848" w:rsidRPr="008C7D00">
              <w:rPr>
                <w:rFonts w:eastAsiaTheme="minorEastAsia"/>
                <w:kern w:val="2"/>
                <w:sz w:val="24"/>
                <w:szCs w:val="24"/>
                <w:lang w:eastAsia="sk-SK"/>
                <w14:ligatures w14:val="standardContextual"/>
              </w:rPr>
              <w:tab/>
            </w:r>
            <w:r w:rsidR="009D1848" w:rsidRPr="008C7D00">
              <w:rPr>
                <w:rStyle w:val="Hypertextovprepojenie"/>
                <w:sz w:val="24"/>
                <w:szCs w:val="24"/>
              </w:rPr>
              <w:t>Štátny dlh</w:t>
            </w:r>
            <w:r w:rsidR="009D1848" w:rsidRPr="008C7D00">
              <w:rPr>
                <w:webHidden/>
                <w:sz w:val="24"/>
                <w:szCs w:val="24"/>
              </w:rPr>
              <w:tab/>
            </w:r>
            <w:r w:rsidR="009D1848" w:rsidRPr="008C7D00">
              <w:rPr>
                <w:webHidden/>
                <w:sz w:val="24"/>
                <w:szCs w:val="24"/>
              </w:rPr>
              <w:fldChar w:fldCharType="begin"/>
            </w:r>
            <w:r w:rsidR="009D1848" w:rsidRPr="008C7D00">
              <w:rPr>
                <w:webHidden/>
                <w:sz w:val="24"/>
                <w:szCs w:val="24"/>
              </w:rPr>
              <w:instrText xml:space="preserve"> PAGEREF _Toc196314127 \h </w:instrText>
            </w:r>
            <w:r w:rsidR="009D1848" w:rsidRPr="008C7D00">
              <w:rPr>
                <w:webHidden/>
                <w:sz w:val="24"/>
                <w:szCs w:val="24"/>
              </w:rPr>
            </w:r>
            <w:r w:rsidR="009D1848" w:rsidRPr="008C7D00">
              <w:rPr>
                <w:webHidden/>
                <w:sz w:val="24"/>
                <w:szCs w:val="24"/>
              </w:rPr>
              <w:fldChar w:fldCharType="separate"/>
            </w:r>
            <w:r>
              <w:rPr>
                <w:webHidden/>
                <w:sz w:val="24"/>
                <w:szCs w:val="24"/>
              </w:rPr>
              <w:t>37</w:t>
            </w:r>
            <w:r w:rsidR="009D1848" w:rsidRPr="008C7D00">
              <w:rPr>
                <w:webHidden/>
                <w:sz w:val="24"/>
                <w:szCs w:val="24"/>
              </w:rPr>
              <w:fldChar w:fldCharType="end"/>
            </w:r>
          </w:hyperlink>
        </w:p>
        <w:p w14:paraId="0BA0523C" w14:textId="1548EAD3" w:rsidR="009D1848" w:rsidRPr="008C7D00" w:rsidRDefault="00C64CBA" w:rsidP="009D1848">
          <w:pPr>
            <w:pStyle w:val="Obsah3"/>
            <w:rPr>
              <w:rFonts w:eastAsiaTheme="minorEastAsia"/>
              <w:kern w:val="2"/>
              <w:sz w:val="24"/>
              <w:szCs w:val="24"/>
              <w:lang w:eastAsia="sk-SK"/>
              <w14:ligatures w14:val="standardContextual"/>
            </w:rPr>
          </w:pPr>
          <w:hyperlink w:anchor="_Toc196314128" w:history="1">
            <w:r w:rsidR="009D1848" w:rsidRPr="008C7D00">
              <w:rPr>
                <w:rStyle w:val="Hypertextovprepojenie"/>
                <w:sz w:val="24"/>
                <w:szCs w:val="24"/>
              </w:rPr>
              <w:t>2.3.2</w:t>
            </w:r>
            <w:r w:rsidR="009D1848" w:rsidRPr="008C7D00">
              <w:rPr>
                <w:rFonts w:eastAsiaTheme="minorEastAsia"/>
                <w:kern w:val="2"/>
                <w:sz w:val="24"/>
                <w:szCs w:val="24"/>
                <w:lang w:eastAsia="sk-SK"/>
                <w14:ligatures w14:val="standardContextual"/>
              </w:rPr>
              <w:tab/>
            </w:r>
            <w:r w:rsidR="009D1848" w:rsidRPr="008C7D00">
              <w:rPr>
                <w:rStyle w:val="Hypertextovprepojenie"/>
                <w:sz w:val="24"/>
                <w:szCs w:val="24"/>
              </w:rPr>
              <w:t>Maastrichtský dlh ostatných subjektov verejnej správy</w:t>
            </w:r>
            <w:r w:rsidR="009D1848" w:rsidRPr="008C7D00">
              <w:rPr>
                <w:webHidden/>
                <w:sz w:val="24"/>
                <w:szCs w:val="24"/>
              </w:rPr>
              <w:tab/>
            </w:r>
            <w:r w:rsidR="009D1848" w:rsidRPr="008C7D00">
              <w:rPr>
                <w:webHidden/>
                <w:sz w:val="24"/>
                <w:szCs w:val="24"/>
              </w:rPr>
              <w:fldChar w:fldCharType="begin"/>
            </w:r>
            <w:r w:rsidR="009D1848" w:rsidRPr="008C7D00">
              <w:rPr>
                <w:webHidden/>
                <w:sz w:val="24"/>
                <w:szCs w:val="24"/>
              </w:rPr>
              <w:instrText xml:space="preserve"> PAGEREF _Toc196314128 \h </w:instrText>
            </w:r>
            <w:r w:rsidR="009D1848" w:rsidRPr="008C7D00">
              <w:rPr>
                <w:webHidden/>
                <w:sz w:val="24"/>
                <w:szCs w:val="24"/>
              </w:rPr>
            </w:r>
            <w:r w:rsidR="009D1848" w:rsidRPr="008C7D00">
              <w:rPr>
                <w:webHidden/>
                <w:sz w:val="24"/>
                <w:szCs w:val="24"/>
              </w:rPr>
              <w:fldChar w:fldCharType="separate"/>
            </w:r>
            <w:r>
              <w:rPr>
                <w:webHidden/>
                <w:sz w:val="24"/>
                <w:szCs w:val="24"/>
              </w:rPr>
              <w:t>38</w:t>
            </w:r>
            <w:r w:rsidR="009D1848" w:rsidRPr="008C7D00">
              <w:rPr>
                <w:webHidden/>
                <w:sz w:val="24"/>
                <w:szCs w:val="24"/>
              </w:rPr>
              <w:fldChar w:fldCharType="end"/>
            </w:r>
          </w:hyperlink>
        </w:p>
        <w:p w14:paraId="207F7488" w14:textId="3258C522" w:rsidR="009D1848" w:rsidRPr="008C7D00" w:rsidRDefault="00C64CBA" w:rsidP="009D1848">
          <w:pPr>
            <w:pStyle w:val="Obsah2"/>
            <w:spacing w:line="274" w:lineRule="auto"/>
            <w:rPr>
              <w:rFonts w:eastAsiaTheme="minorEastAsia" w:cs="Times New Roman"/>
              <w:b w:val="0"/>
              <w:bCs w:val="0"/>
              <w:kern w:val="2"/>
              <w:sz w:val="24"/>
              <w:szCs w:val="24"/>
              <w:lang w:eastAsia="sk-SK"/>
              <w14:ligatures w14:val="standardContextual"/>
            </w:rPr>
          </w:pPr>
          <w:hyperlink w:anchor="_Toc196314129" w:history="1">
            <w:r w:rsidR="009D1848" w:rsidRPr="008C7D00">
              <w:rPr>
                <w:rStyle w:val="Hypertextovprepojenie"/>
                <w:rFonts w:cs="Times New Roman"/>
                <w:sz w:val="24"/>
                <w:szCs w:val="24"/>
              </w:rPr>
              <w:t>2.4</w:t>
            </w:r>
            <w:r w:rsidR="009D1848" w:rsidRPr="008C7D00">
              <w:rPr>
                <w:rFonts w:eastAsiaTheme="minorEastAsia" w:cs="Times New Roman"/>
                <w:b w:val="0"/>
                <w:bCs w:val="0"/>
                <w:kern w:val="2"/>
                <w:sz w:val="24"/>
                <w:szCs w:val="24"/>
                <w:lang w:eastAsia="sk-SK"/>
                <w14:ligatures w14:val="standardContextual"/>
              </w:rPr>
              <w:tab/>
            </w:r>
            <w:r w:rsidR="009D1848" w:rsidRPr="008C7D00">
              <w:rPr>
                <w:rStyle w:val="Hypertextovprepojenie"/>
                <w:rFonts w:cs="Times New Roman"/>
                <w:sz w:val="24"/>
                <w:szCs w:val="24"/>
              </w:rPr>
              <w:t>Limity verejných výdavkov</w:t>
            </w:r>
            <w:r w:rsidR="009D1848" w:rsidRPr="008C7D00">
              <w:rPr>
                <w:rFonts w:cs="Times New Roman"/>
                <w:webHidden/>
                <w:sz w:val="24"/>
                <w:szCs w:val="24"/>
              </w:rPr>
              <w:tab/>
            </w:r>
            <w:r w:rsidR="009D1848" w:rsidRPr="008C7D00">
              <w:rPr>
                <w:rFonts w:cs="Times New Roman"/>
                <w:webHidden/>
                <w:sz w:val="24"/>
                <w:szCs w:val="24"/>
              </w:rPr>
              <w:fldChar w:fldCharType="begin"/>
            </w:r>
            <w:r w:rsidR="009D1848" w:rsidRPr="008C7D00">
              <w:rPr>
                <w:rFonts w:cs="Times New Roman"/>
                <w:webHidden/>
                <w:sz w:val="24"/>
                <w:szCs w:val="24"/>
              </w:rPr>
              <w:instrText xml:space="preserve"> PAGEREF _Toc196314129 \h </w:instrText>
            </w:r>
            <w:r w:rsidR="009D1848" w:rsidRPr="008C7D00">
              <w:rPr>
                <w:rFonts w:cs="Times New Roman"/>
                <w:webHidden/>
                <w:sz w:val="24"/>
                <w:szCs w:val="24"/>
              </w:rPr>
            </w:r>
            <w:r w:rsidR="009D1848" w:rsidRPr="008C7D00">
              <w:rPr>
                <w:rFonts w:cs="Times New Roman"/>
                <w:webHidden/>
                <w:sz w:val="24"/>
                <w:szCs w:val="24"/>
              </w:rPr>
              <w:fldChar w:fldCharType="separate"/>
            </w:r>
            <w:r>
              <w:rPr>
                <w:rFonts w:cs="Times New Roman"/>
                <w:webHidden/>
                <w:sz w:val="24"/>
                <w:szCs w:val="24"/>
              </w:rPr>
              <w:t>42</w:t>
            </w:r>
            <w:r w:rsidR="009D1848" w:rsidRPr="008C7D00">
              <w:rPr>
                <w:rFonts w:cs="Times New Roman"/>
                <w:webHidden/>
                <w:sz w:val="24"/>
                <w:szCs w:val="24"/>
              </w:rPr>
              <w:fldChar w:fldCharType="end"/>
            </w:r>
          </w:hyperlink>
        </w:p>
        <w:p w14:paraId="54A649BD" w14:textId="22AC4E63" w:rsidR="009D1848" w:rsidRPr="008C7D00" w:rsidRDefault="00C64CBA" w:rsidP="009D1848">
          <w:pPr>
            <w:pStyle w:val="Obsah2"/>
            <w:spacing w:line="274" w:lineRule="auto"/>
            <w:rPr>
              <w:rFonts w:eastAsiaTheme="minorEastAsia" w:cs="Times New Roman"/>
              <w:b w:val="0"/>
              <w:bCs w:val="0"/>
              <w:kern w:val="2"/>
              <w:sz w:val="24"/>
              <w:szCs w:val="24"/>
              <w:lang w:eastAsia="sk-SK"/>
              <w14:ligatures w14:val="standardContextual"/>
            </w:rPr>
          </w:pPr>
          <w:hyperlink w:anchor="_Toc196314130" w:history="1">
            <w:r w:rsidR="009D1848" w:rsidRPr="008C7D00">
              <w:rPr>
                <w:rStyle w:val="Hypertextovprepojenie"/>
                <w:rFonts w:cs="Times New Roman"/>
                <w:sz w:val="24"/>
                <w:szCs w:val="24"/>
              </w:rPr>
              <w:t>2.5</w:t>
            </w:r>
            <w:r w:rsidR="009D1848" w:rsidRPr="008C7D00">
              <w:rPr>
                <w:rFonts w:eastAsiaTheme="minorEastAsia" w:cs="Times New Roman"/>
                <w:b w:val="0"/>
                <w:bCs w:val="0"/>
                <w:kern w:val="2"/>
                <w:sz w:val="24"/>
                <w:szCs w:val="24"/>
                <w:lang w:eastAsia="sk-SK"/>
                <w14:ligatures w14:val="standardContextual"/>
              </w:rPr>
              <w:tab/>
            </w:r>
            <w:r w:rsidR="009D1848" w:rsidRPr="008C7D00">
              <w:rPr>
                <w:rStyle w:val="Hypertextovprepojenie"/>
                <w:rFonts w:cs="Times New Roman"/>
                <w:sz w:val="24"/>
                <w:szCs w:val="24"/>
              </w:rPr>
              <w:t>Porovnanie salda a dlhu verejnej správy v Európskej únii</w:t>
            </w:r>
            <w:r w:rsidR="009D1848" w:rsidRPr="008C7D00">
              <w:rPr>
                <w:rFonts w:cs="Times New Roman"/>
                <w:webHidden/>
                <w:sz w:val="24"/>
                <w:szCs w:val="24"/>
              </w:rPr>
              <w:tab/>
            </w:r>
            <w:r w:rsidR="009D1848" w:rsidRPr="008C7D00">
              <w:rPr>
                <w:rFonts w:cs="Times New Roman"/>
                <w:webHidden/>
                <w:sz w:val="24"/>
                <w:szCs w:val="24"/>
              </w:rPr>
              <w:fldChar w:fldCharType="begin"/>
            </w:r>
            <w:r w:rsidR="009D1848" w:rsidRPr="008C7D00">
              <w:rPr>
                <w:rFonts w:cs="Times New Roman"/>
                <w:webHidden/>
                <w:sz w:val="24"/>
                <w:szCs w:val="24"/>
              </w:rPr>
              <w:instrText xml:space="preserve"> PAGEREF _Toc196314130 \h </w:instrText>
            </w:r>
            <w:r w:rsidR="009D1848" w:rsidRPr="008C7D00">
              <w:rPr>
                <w:rFonts w:cs="Times New Roman"/>
                <w:webHidden/>
                <w:sz w:val="24"/>
                <w:szCs w:val="24"/>
              </w:rPr>
            </w:r>
            <w:r w:rsidR="009D1848" w:rsidRPr="008C7D00">
              <w:rPr>
                <w:rFonts w:cs="Times New Roman"/>
                <w:webHidden/>
                <w:sz w:val="24"/>
                <w:szCs w:val="24"/>
              </w:rPr>
              <w:fldChar w:fldCharType="separate"/>
            </w:r>
            <w:r>
              <w:rPr>
                <w:rFonts w:cs="Times New Roman"/>
                <w:webHidden/>
                <w:sz w:val="24"/>
                <w:szCs w:val="24"/>
              </w:rPr>
              <w:t>43</w:t>
            </w:r>
            <w:r w:rsidR="009D1848" w:rsidRPr="008C7D00">
              <w:rPr>
                <w:rFonts w:cs="Times New Roman"/>
                <w:webHidden/>
                <w:sz w:val="24"/>
                <w:szCs w:val="24"/>
              </w:rPr>
              <w:fldChar w:fldCharType="end"/>
            </w:r>
          </w:hyperlink>
        </w:p>
        <w:p w14:paraId="0A67CAAE" w14:textId="2C08DB94" w:rsidR="009D1848" w:rsidRPr="008C7D00" w:rsidRDefault="00C64CBA" w:rsidP="009D1848">
          <w:pPr>
            <w:pStyle w:val="Obsah1"/>
            <w:rPr>
              <w:rFonts w:eastAsiaTheme="minorEastAsia"/>
              <w:kern w:val="2"/>
              <w:sz w:val="24"/>
              <w:szCs w:val="24"/>
              <w:lang w:eastAsia="sk-SK"/>
              <w14:ligatures w14:val="standardContextual"/>
            </w:rPr>
          </w:pPr>
          <w:hyperlink w:anchor="_Toc196314131" w:history="1">
            <w:r w:rsidR="009D1848" w:rsidRPr="008C7D00">
              <w:rPr>
                <w:rStyle w:val="Hypertextovprepojenie"/>
                <w:rFonts w:cs="Times New Roman"/>
                <w:sz w:val="24"/>
                <w:szCs w:val="24"/>
              </w:rPr>
              <w:t>3</w:t>
            </w:r>
            <w:r w:rsidR="009D1848" w:rsidRPr="008C7D00">
              <w:rPr>
                <w:rFonts w:eastAsiaTheme="minorEastAsia"/>
                <w:kern w:val="2"/>
                <w:sz w:val="24"/>
                <w:szCs w:val="24"/>
                <w:lang w:eastAsia="sk-SK"/>
                <w14:ligatures w14:val="standardContextual"/>
              </w:rPr>
              <w:tab/>
            </w:r>
            <w:r w:rsidR="009D1848" w:rsidRPr="008C7D00">
              <w:rPr>
                <w:rStyle w:val="Hypertextovprepojenie"/>
                <w:rFonts w:cs="Times New Roman"/>
                <w:sz w:val="24"/>
                <w:szCs w:val="24"/>
              </w:rPr>
              <w:t>Hospodárenie štátneho rozpočtu na hotovostnom princípe</w:t>
            </w:r>
            <w:r w:rsidR="009D1848" w:rsidRPr="008C7D00">
              <w:rPr>
                <w:webHidden/>
                <w:sz w:val="24"/>
                <w:szCs w:val="24"/>
              </w:rPr>
              <w:tab/>
            </w:r>
            <w:r w:rsidR="009D1848" w:rsidRPr="008C7D00">
              <w:rPr>
                <w:webHidden/>
                <w:sz w:val="24"/>
                <w:szCs w:val="24"/>
              </w:rPr>
              <w:fldChar w:fldCharType="begin"/>
            </w:r>
            <w:r w:rsidR="009D1848" w:rsidRPr="008C7D00">
              <w:rPr>
                <w:webHidden/>
                <w:sz w:val="24"/>
                <w:szCs w:val="24"/>
              </w:rPr>
              <w:instrText xml:space="preserve"> PAGEREF _Toc196314131 \h </w:instrText>
            </w:r>
            <w:r w:rsidR="009D1848" w:rsidRPr="008C7D00">
              <w:rPr>
                <w:webHidden/>
                <w:sz w:val="24"/>
                <w:szCs w:val="24"/>
              </w:rPr>
            </w:r>
            <w:r w:rsidR="009D1848" w:rsidRPr="008C7D00">
              <w:rPr>
                <w:webHidden/>
                <w:sz w:val="24"/>
                <w:szCs w:val="24"/>
              </w:rPr>
              <w:fldChar w:fldCharType="separate"/>
            </w:r>
            <w:r>
              <w:rPr>
                <w:webHidden/>
                <w:sz w:val="24"/>
                <w:szCs w:val="24"/>
              </w:rPr>
              <w:t>45</w:t>
            </w:r>
            <w:r w:rsidR="009D1848" w:rsidRPr="008C7D00">
              <w:rPr>
                <w:webHidden/>
                <w:sz w:val="24"/>
                <w:szCs w:val="24"/>
              </w:rPr>
              <w:fldChar w:fldCharType="end"/>
            </w:r>
          </w:hyperlink>
        </w:p>
        <w:p w14:paraId="4AD721B8" w14:textId="270F9D95" w:rsidR="009D1848" w:rsidRPr="008C7D00" w:rsidRDefault="00C64CBA" w:rsidP="009D1848">
          <w:pPr>
            <w:pStyle w:val="Obsah2"/>
            <w:spacing w:line="274" w:lineRule="auto"/>
            <w:rPr>
              <w:rFonts w:eastAsiaTheme="minorEastAsia" w:cs="Times New Roman"/>
              <w:b w:val="0"/>
              <w:bCs w:val="0"/>
              <w:kern w:val="2"/>
              <w:sz w:val="24"/>
              <w:szCs w:val="24"/>
              <w:lang w:eastAsia="sk-SK"/>
              <w14:ligatures w14:val="standardContextual"/>
            </w:rPr>
          </w:pPr>
          <w:hyperlink w:anchor="_Toc196314132" w:history="1">
            <w:r w:rsidR="009D1848" w:rsidRPr="008C7D00">
              <w:rPr>
                <w:rStyle w:val="Hypertextovprepojenie"/>
                <w:rFonts w:cs="Times New Roman"/>
                <w:sz w:val="24"/>
                <w:szCs w:val="24"/>
              </w:rPr>
              <w:t>3.1</w:t>
            </w:r>
            <w:r w:rsidR="009D1848" w:rsidRPr="008C7D00">
              <w:rPr>
                <w:rFonts w:eastAsiaTheme="minorEastAsia" w:cs="Times New Roman"/>
                <w:b w:val="0"/>
                <w:bCs w:val="0"/>
                <w:kern w:val="2"/>
                <w:sz w:val="24"/>
                <w:szCs w:val="24"/>
                <w:lang w:eastAsia="sk-SK"/>
                <w14:ligatures w14:val="standardContextual"/>
              </w:rPr>
              <w:tab/>
            </w:r>
            <w:r w:rsidR="009D1848" w:rsidRPr="008C7D00">
              <w:rPr>
                <w:rStyle w:val="Hypertextovprepojenie"/>
                <w:rFonts w:cs="Times New Roman"/>
                <w:sz w:val="24"/>
                <w:szCs w:val="24"/>
              </w:rPr>
              <w:t>Príjmy štátneho rozpočtu</w:t>
            </w:r>
            <w:r w:rsidR="009D1848" w:rsidRPr="008C7D00">
              <w:rPr>
                <w:rFonts w:cs="Times New Roman"/>
                <w:webHidden/>
                <w:sz w:val="24"/>
                <w:szCs w:val="24"/>
              </w:rPr>
              <w:tab/>
            </w:r>
            <w:r w:rsidR="009D1848" w:rsidRPr="008C7D00">
              <w:rPr>
                <w:rFonts w:cs="Times New Roman"/>
                <w:webHidden/>
                <w:sz w:val="24"/>
                <w:szCs w:val="24"/>
              </w:rPr>
              <w:fldChar w:fldCharType="begin"/>
            </w:r>
            <w:r w:rsidR="009D1848" w:rsidRPr="008C7D00">
              <w:rPr>
                <w:rFonts w:cs="Times New Roman"/>
                <w:webHidden/>
                <w:sz w:val="24"/>
                <w:szCs w:val="24"/>
              </w:rPr>
              <w:instrText xml:space="preserve"> PAGEREF _Toc196314132 \h </w:instrText>
            </w:r>
            <w:r w:rsidR="009D1848" w:rsidRPr="008C7D00">
              <w:rPr>
                <w:rFonts w:cs="Times New Roman"/>
                <w:webHidden/>
                <w:sz w:val="24"/>
                <w:szCs w:val="24"/>
              </w:rPr>
            </w:r>
            <w:r w:rsidR="009D1848" w:rsidRPr="008C7D00">
              <w:rPr>
                <w:rFonts w:cs="Times New Roman"/>
                <w:webHidden/>
                <w:sz w:val="24"/>
                <w:szCs w:val="24"/>
              </w:rPr>
              <w:fldChar w:fldCharType="separate"/>
            </w:r>
            <w:r>
              <w:rPr>
                <w:rFonts w:cs="Times New Roman"/>
                <w:webHidden/>
                <w:sz w:val="24"/>
                <w:szCs w:val="24"/>
              </w:rPr>
              <w:t>47</w:t>
            </w:r>
            <w:r w:rsidR="009D1848" w:rsidRPr="008C7D00">
              <w:rPr>
                <w:rFonts w:cs="Times New Roman"/>
                <w:webHidden/>
                <w:sz w:val="24"/>
                <w:szCs w:val="24"/>
              </w:rPr>
              <w:fldChar w:fldCharType="end"/>
            </w:r>
          </w:hyperlink>
        </w:p>
        <w:p w14:paraId="3A3565A3" w14:textId="03F82399" w:rsidR="009D1848" w:rsidRPr="008C7D00" w:rsidRDefault="00C64CBA" w:rsidP="009D1848">
          <w:pPr>
            <w:pStyle w:val="Obsah3"/>
            <w:rPr>
              <w:rFonts w:eastAsiaTheme="minorEastAsia"/>
              <w:kern w:val="2"/>
              <w:sz w:val="24"/>
              <w:szCs w:val="24"/>
              <w:lang w:eastAsia="sk-SK"/>
              <w14:ligatures w14:val="standardContextual"/>
            </w:rPr>
          </w:pPr>
          <w:hyperlink w:anchor="_Toc196314133" w:history="1">
            <w:r w:rsidR="009D1848" w:rsidRPr="008C7D00">
              <w:rPr>
                <w:rStyle w:val="Hypertextovprepojenie"/>
                <w:sz w:val="24"/>
                <w:szCs w:val="24"/>
              </w:rPr>
              <w:t>3.1.1</w:t>
            </w:r>
            <w:r w:rsidR="009D1848" w:rsidRPr="008C7D00">
              <w:rPr>
                <w:rFonts w:eastAsiaTheme="minorEastAsia"/>
                <w:kern w:val="2"/>
                <w:sz w:val="24"/>
                <w:szCs w:val="24"/>
                <w:lang w:eastAsia="sk-SK"/>
                <w14:ligatures w14:val="standardContextual"/>
              </w:rPr>
              <w:tab/>
            </w:r>
            <w:r w:rsidR="009D1848" w:rsidRPr="008C7D00">
              <w:rPr>
                <w:rStyle w:val="Hypertextovprepojenie"/>
                <w:sz w:val="24"/>
                <w:szCs w:val="24"/>
              </w:rPr>
              <w:t>Daňové príjmy</w:t>
            </w:r>
            <w:r w:rsidR="009D1848" w:rsidRPr="008C7D00">
              <w:rPr>
                <w:webHidden/>
                <w:sz w:val="24"/>
                <w:szCs w:val="24"/>
              </w:rPr>
              <w:tab/>
            </w:r>
            <w:r w:rsidR="009D1848" w:rsidRPr="008C7D00">
              <w:rPr>
                <w:webHidden/>
                <w:sz w:val="24"/>
                <w:szCs w:val="24"/>
              </w:rPr>
              <w:fldChar w:fldCharType="begin"/>
            </w:r>
            <w:r w:rsidR="009D1848" w:rsidRPr="008C7D00">
              <w:rPr>
                <w:webHidden/>
                <w:sz w:val="24"/>
                <w:szCs w:val="24"/>
              </w:rPr>
              <w:instrText xml:space="preserve"> PAGEREF _Toc196314133 \h </w:instrText>
            </w:r>
            <w:r w:rsidR="009D1848" w:rsidRPr="008C7D00">
              <w:rPr>
                <w:webHidden/>
                <w:sz w:val="24"/>
                <w:szCs w:val="24"/>
              </w:rPr>
            </w:r>
            <w:r w:rsidR="009D1848" w:rsidRPr="008C7D00">
              <w:rPr>
                <w:webHidden/>
                <w:sz w:val="24"/>
                <w:szCs w:val="24"/>
              </w:rPr>
              <w:fldChar w:fldCharType="separate"/>
            </w:r>
            <w:r>
              <w:rPr>
                <w:webHidden/>
                <w:sz w:val="24"/>
                <w:szCs w:val="24"/>
              </w:rPr>
              <w:t>47</w:t>
            </w:r>
            <w:r w:rsidR="009D1848" w:rsidRPr="008C7D00">
              <w:rPr>
                <w:webHidden/>
                <w:sz w:val="24"/>
                <w:szCs w:val="24"/>
              </w:rPr>
              <w:fldChar w:fldCharType="end"/>
            </w:r>
          </w:hyperlink>
        </w:p>
        <w:p w14:paraId="2D88F73B" w14:textId="2E713F09" w:rsidR="009D1848" w:rsidRPr="008C7D00" w:rsidRDefault="00C64CBA" w:rsidP="009D1848">
          <w:pPr>
            <w:pStyle w:val="Obsah3"/>
            <w:rPr>
              <w:rFonts w:eastAsiaTheme="minorEastAsia"/>
              <w:kern w:val="2"/>
              <w:sz w:val="24"/>
              <w:szCs w:val="24"/>
              <w:lang w:eastAsia="sk-SK"/>
              <w14:ligatures w14:val="standardContextual"/>
            </w:rPr>
          </w:pPr>
          <w:hyperlink w:anchor="_Toc196314134" w:history="1">
            <w:r w:rsidR="009D1848" w:rsidRPr="008C7D00">
              <w:rPr>
                <w:rStyle w:val="Hypertextovprepojenie"/>
                <w:sz w:val="24"/>
                <w:szCs w:val="24"/>
              </w:rPr>
              <w:t>3.1.2</w:t>
            </w:r>
            <w:r w:rsidR="009D1848" w:rsidRPr="008C7D00">
              <w:rPr>
                <w:rFonts w:eastAsiaTheme="minorEastAsia"/>
                <w:kern w:val="2"/>
                <w:sz w:val="24"/>
                <w:szCs w:val="24"/>
                <w:lang w:eastAsia="sk-SK"/>
                <w14:ligatures w14:val="standardContextual"/>
              </w:rPr>
              <w:tab/>
            </w:r>
            <w:r w:rsidR="009D1848" w:rsidRPr="008C7D00">
              <w:rPr>
                <w:rStyle w:val="Hypertextovprepojenie"/>
                <w:sz w:val="24"/>
                <w:szCs w:val="24"/>
              </w:rPr>
              <w:t>Nedaňové príjmy</w:t>
            </w:r>
            <w:r w:rsidR="009D1848" w:rsidRPr="008C7D00">
              <w:rPr>
                <w:webHidden/>
                <w:sz w:val="24"/>
                <w:szCs w:val="24"/>
              </w:rPr>
              <w:tab/>
            </w:r>
            <w:r w:rsidR="009D1848" w:rsidRPr="008C7D00">
              <w:rPr>
                <w:webHidden/>
                <w:sz w:val="24"/>
                <w:szCs w:val="24"/>
              </w:rPr>
              <w:fldChar w:fldCharType="begin"/>
            </w:r>
            <w:r w:rsidR="009D1848" w:rsidRPr="008C7D00">
              <w:rPr>
                <w:webHidden/>
                <w:sz w:val="24"/>
                <w:szCs w:val="24"/>
              </w:rPr>
              <w:instrText xml:space="preserve"> PAGEREF _Toc196314134 \h </w:instrText>
            </w:r>
            <w:r w:rsidR="009D1848" w:rsidRPr="008C7D00">
              <w:rPr>
                <w:webHidden/>
                <w:sz w:val="24"/>
                <w:szCs w:val="24"/>
              </w:rPr>
            </w:r>
            <w:r w:rsidR="009D1848" w:rsidRPr="008C7D00">
              <w:rPr>
                <w:webHidden/>
                <w:sz w:val="24"/>
                <w:szCs w:val="24"/>
              </w:rPr>
              <w:fldChar w:fldCharType="separate"/>
            </w:r>
            <w:r>
              <w:rPr>
                <w:webHidden/>
                <w:sz w:val="24"/>
                <w:szCs w:val="24"/>
              </w:rPr>
              <w:t>51</w:t>
            </w:r>
            <w:r w:rsidR="009D1848" w:rsidRPr="008C7D00">
              <w:rPr>
                <w:webHidden/>
                <w:sz w:val="24"/>
                <w:szCs w:val="24"/>
              </w:rPr>
              <w:fldChar w:fldCharType="end"/>
            </w:r>
          </w:hyperlink>
        </w:p>
        <w:p w14:paraId="7A81642D" w14:textId="1BFA1BB6" w:rsidR="009D1848" w:rsidRPr="008C7D00" w:rsidRDefault="00C64CBA" w:rsidP="009D1848">
          <w:pPr>
            <w:pStyle w:val="Obsah3"/>
            <w:rPr>
              <w:rFonts w:eastAsiaTheme="minorEastAsia"/>
              <w:kern w:val="2"/>
              <w:sz w:val="24"/>
              <w:szCs w:val="24"/>
              <w:lang w:eastAsia="sk-SK"/>
              <w14:ligatures w14:val="standardContextual"/>
            </w:rPr>
          </w:pPr>
          <w:hyperlink w:anchor="_Toc196314135" w:history="1">
            <w:r w:rsidR="009D1848" w:rsidRPr="008C7D00">
              <w:rPr>
                <w:rStyle w:val="Hypertextovprepojenie"/>
                <w:sz w:val="24"/>
                <w:szCs w:val="24"/>
              </w:rPr>
              <w:t>3.1.3</w:t>
            </w:r>
            <w:r w:rsidR="009D1848" w:rsidRPr="008C7D00">
              <w:rPr>
                <w:rFonts w:eastAsiaTheme="minorEastAsia"/>
                <w:kern w:val="2"/>
                <w:sz w:val="24"/>
                <w:szCs w:val="24"/>
                <w:lang w:eastAsia="sk-SK"/>
                <w14:ligatures w14:val="standardContextual"/>
              </w:rPr>
              <w:tab/>
            </w:r>
            <w:r w:rsidR="009D1848" w:rsidRPr="008C7D00">
              <w:rPr>
                <w:rStyle w:val="Hypertextovprepojenie"/>
                <w:sz w:val="24"/>
                <w:szCs w:val="24"/>
              </w:rPr>
              <w:t>Granty a transfery</w:t>
            </w:r>
            <w:r w:rsidR="009D1848" w:rsidRPr="008C7D00">
              <w:rPr>
                <w:webHidden/>
                <w:sz w:val="24"/>
                <w:szCs w:val="24"/>
              </w:rPr>
              <w:tab/>
            </w:r>
            <w:r w:rsidR="009D1848" w:rsidRPr="008C7D00">
              <w:rPr>
                <w:webHidden/>
                <w:sz w:val="24"/>
                <w:szCs w:val="24"/>
              </w:rPr>
              <w:fldChar w:fldCharType="begin"/>
            </w:r>
            <w:r w:rsidR="009D1848" w:rsidRPr="008C7D00">
              <w:rPr>
                <w:webHidden/>
                <w:sz w:val="24"/>
                <w:szCs w:val="24"/>
              </w:rPr>
              <w:instrText xml:space="preserve"> PAGEREF _Toc196314135 \h </w:instrText>
            </w:r>
            <w:r w:rsidR="009D1848" w:rsidRPr="008C7D00">
              <w:rPr>
                <w:webHidden/>
                <w:sz w:val="24"/>
                <w:szCs w:val="24"/>
              </w:rPr>
            </w:r>
            <w:r w:rsidR="009D1848" w:rsidRPr="008C7D00">
              <w:rPr>
                <w:webHidden/>
                <w:sz w:val="24"/>
                <w:szCs w:val="24"/>
              </w:rPr>
              <w:fldChar w:fldCharType="separate"/>
            </w:r>
            <w:r>
              <w:rPr>
                <w:webHidden/>
                <w:sz w:val="24"/>
                <w:szCs w:val="24"/>
              </w:rPr>
              <w:t>56</w:t>
            </w:r>
            <w:r w:rsidR="009D1848" w:rsidRPr="008C7D00">
              <w:rPr>
                <w:webHidden/>
                <w:sz w:val="24"/>
                <w:szCs w:val="24"/>
              </w:rPr>
              <w:fldChar w:fldCharType="end"/>
            </w:r>
          </w:hyperlink>
        </w:p>
        <w:p w14:paraId="50ED1911" w14:textId="2CA4E198" w:rsidR="009D1848" w:rsidRPr="008C7D00" w:rsidRDefault="00C64CBA" w:rsidP="009D1848">
          <w:pPr>
            <w:pStyle w:val="Obsah2"/>
            <w:spacing w:line="274" w:lineRule="auto"/>
            <w:rPr>
              <w:rFonts w:eastAsiaTheme="minorEastAsia" w:cs="Times New Roman"/>
              <w:b w:val="0"/>
              <w:bCs w:val="0"/>
              <w:kern w:val="2"/>
              <w:sz w:val="24"/>
              <w:szCs w:val="24"/>
              <w:lang w:eastAsia="sk-SK"/>
              <w14:ligatures w14:val="standardContextual"/>
            </w:rPr>
          </w:pPr>
          <w:hyperlink w:anchor="_Toc196314136" w:history="1">
            <w:r w:rsidR="009D1848" w:rsidRPr="008C7D00">
              <w:rPr>
                <w:rStyle w:val="Hypertextovprepojenie"/>
                <w:rFonts w:cs="Times New Roman"/>
                <w:sz w:val="24"/>
                <w:szCs w:val="24"/>
              </w:rPr>
              <w:t>3.2</w:t>
            </w:r>
            <w:r w:rsidR="009D1848" w:rsidRPr="008C7D00">
              <w:rPr>
                <w:rFonts w:eastAsiaTheme="minorEastAsia" w:cs="Times New Roman"/>
                <w:b w:val="0"/>
                <w:bCs w:val="0"/>
                <w:kern w:val="2"/>
                <w:sz w:val="24"/>
                <w:szCs w:val="24"/>
                <w:lang w:eastAsia="sk-SK"/>
                <w14:ligatures w14:val="standardContextual"/>
              </w:rPr>
              <w:tab/>
            </w:r>
            <w:r w:rsidR="009D1848" w:rsidRPr="008C7D00">
              <w:rPr>
                <w:rStyle w:val="Hypertextovprepojenie"/>
                <w:rFonts w:cs="Times New Roman"/>
                <w:sz w:val="24"/>
                <w:szCs w:val="24"/>
              </w:rPr>
              <w:t>Výdavky štátneho rozpočtu</w:t>
            </w:r>
            <w:r w:rsidR="009D1848" w:rsidRPr="008C7D00">
              <w:rPr>
                <w:rFonts w:cs="Times New Roman"/>
                <w:webHidden/>
                <w:sz w:val="24"/>
                <w:szCs w:val="24"/>
              </w:rPr>
              <w:tab/>
            </w:r>
            <w:r w:rsidR="009D1848" w:rsidRPr="008C7D00">
              <w:rPr>
                <w:rFonts w:cs="Times New Roman"/>
                <w:webHidden/>
                <w:sz w:val="24"/>
                <w:szCs w:val="24"/>
              </w:rPr>
              <w:fldChar w:fldCharType="begin"/>
            </w:r>
            <w:r w:rsidR="009D1848" w:rsidRPr="008C7D00">
              <w:rPr>
                <w:rFonts w:cs="Times New Roman"/>
                <w:webHidden/>
                <w:sz w:val="24"/>
                <w:szCs w:val="24"/>
              </w:rPr>
              <w:instrText xml:space="preserve"> PAGEREF _Toc196314136 \h </w:instrText>
            </w:r>
            <w:r w:rsidR="009D1848" w:rsidRPr="008C7D00">
              <w:rPr>
                <w:rFonts w:cs="Times New Roman"/>
                <w:webHidden/>
                <w:sz w:val="24"/>
                <w:szCs w:val="24"/>
              </w:rPr>
            </w:r>
            <w:r w:rsidR="009D1848" w:rsidRPr="008C7D00">
              <w:rPr>
                <w:rFonts w:cs="Times New Roman"/>
                <w:webHidden/>
                <w:sz w:val="24"/>
                <w:szCs w:val="24"/>
              </w:rPr>
              <w:fldChar w:fldCharType="separate"/>
            </w:r>
            <w:r>
              <w:rPr>
                <w:rFonts w:cs="Times New Roman"/>
                <w:webHidden/>
                <w:sz w:val="24"/>
                <w:szCs w:val="24"/>
              </w:rPr>
              <w:t>58</w:t>
            </w:r>
            <w:r w:rsidR="009D1848" w:rsidRPr="008C7D00">
              <w:rPr>
                <w:rFonts w:cs="Times New Roman"/>
                <w:webHidden/>
                <w:sz w:val="24"/>
                <w:szCs w:val="24"/>
              </w:rPr>
              <w:fldChar w:fldCharType="end"/>
            </w:r>
          </w:hyperlink>
        </w:p>
        <w:p w14:paraId="32E791CB" w14:textId="676CB7A3" w:rsidR="009D1848" w:rsidRPr="008C7D00" w:rsidRDefault="00C64CBA" w:rsidP="009D1848">
          <w:pPr>
            <w:pStyle w:val="Obsah4"/>
            <w:tabs>
              <w:tab w:val="left" w:pos="899"/>
            </w:tabs>
            <w:spacing w:line="274" w:lineRule="auto"/>
            <w:rPr>
              <w:rFonts w:ascii="Times New Roman" w:eastAsiaTheme="minorEastAsia" w:hAnsi="Times New Roman" w:cs="Times New Roman"/>
              <w:noProof/>
              <w:kern w:val="2"/>
              <w:sz w:val="24"/>
              <w:szCs w:val="24"/>
              <w:lang w:eastAsia="sk-SK"/>
              <w14:ligatures w14:val="standardContextual"/>
            </w:rPr>
          </w:pPr>
          <w:hyperlink w:anchor="_Toc196314137" w:history="1">
            <w:r w:rsidR="009D1848" w:rsidRPr="008C7D00">
              <w:rPr>
                <w:rStyle w:val="Hypertextovprepojenie"/>
                <w:rFonts w:ascii="Times New Roman" w:hAnsi="Times New Roman" w:cs="Times New Roman"/>
                <w:noProof/>
                <w:sz w:val="24"/>
                <w:szCs w:val="24"/>
                <w14:scene3d>
                  <w14:camera w14:prst="orthographicFront"/>
                  <w14:lightRig w14:rig="threePt" w14:dir="t">
                    <w14:rot w14:lat="0" w14:lon="0" w14:rev="0"/>
                  </w14:lightRig>
                </w14:scene3d>
              </w:rPr>
              <w:t>3.2.1.1</w:t>
            </w:r>
            <w:r w:rsidR="009D1848" w:rsidRPr="008C7D00">
              <w:rPr>
                <w:rFonts w:ascii="Times New Roman" w:eastAsiaTheme="minorEastAsia" w:hAnsi="Times New Roman" w:cs="Times New Roman"/>
                <w:noProof/>
                <w:kern w:val="2"/>
                <w:sz w:val="24"/>
                <w:szCs w:val="24"/>
                <w:lang w:eastAsia="sk-SK"/>
                <w14:ligatures w14:val="standardContextual"/>
              </w:rPr>
              <w:tab/>
            </w:r>
            <w:r w:rsidR="009D1848" w:rsidRPr="008C7D00">
              <w:rPr>
                <w:rStyle w:val="Hypertextovprepojenie"/>
                <w:rFonts w:ascii="Times New Roman" w:hAnsi="Times New Roman" w:cs="Times New Roman"/>
                <w:noProof/>
                <w:sz w:val="24"/>
                <w:szCs w:val="24"/>
              </w:rPr>
              <w:t>Bežné výdavky</w:t>
            </w:r>
            <w:r w:rsidR="009D1848" w:rsidRPr="008C7D00">
              <w:rPr>
                <w:rFonts w:ascii="Times New Roman" w:hAnsi="Times New Roman" w:cs="Times New Roman"/>
                <w:noProof/>
                <w:webHidden/>
                <w:sz w:val="24"/>
                <w:szCs w:val="24"/>
              </w:rPr>
              <w:tab/>
            </w:r>
            <w:r w:rsidR="008C7D00">
              <w:rPr>
                <w:rFonts w:ascii="Times New Roman" w:hAnsi="Times New Roman" w:cs="Times New Roman"/>
                <w:noProof/>
                <w:webHidden/>
                <w:sz w:val="24"/>
                <w:szCs w:val="24"/>
              </w:rPr>
              <w:tab/>
            </w:r>
            <w:r w:rsidR="008C7D00">
              <w:rPr>
                <w:rFonts w:ascii="Times New Roman" w:hAnsi="Times New Roman" w:cs="Times New Roman"/>
                <w:noProof/>
                <w:webHidden/>
                <w:sz w:val="24"/>
                <w:szCs w:val="24"/>
              </w:rPr>
              <w:tab/>
            </w:r>
            <w:r w:rsidR="008C7D00">
              <w:rPr>
                <w:rFonts w:ascii="Times New Roman" w:hAnsi="Times New Roman" w:cs="Times New Roman"/>
                <w:noProof/>
                <w:webHidden/>
                <w:sz w:val="24"/>
                <w:szCs w:val="24"/>
              </w:rPr>
              <w:tab/>
            </w:r>
            <w:r w:rsidR="008C7D00">
              <w:rPr>
                <w:rFonts w:ascii="Times New Roman" w:hAnsi="Times New Roman" w:cs="Times New Roman"/>
                <w:noProof/>
                <w:webHidden/>
                <w:sz w:val="24"/>
                <w:szCs w:val="24"/>
              </w:rPr>
              <w:tab/>
            </w:r>
            <w:r w:rsidR="008C7D00">
              <w:rPr>
                <w:rFonts w:ascii="Times New Roman" w:hAnsi="Times New Roman" w:cs="Times New Roman"/>
                <w:noProof/>
                <w:webHidden/>
                <w:sz w:val="24"/>
                <w:szCs w:val="24"/>
              </w:rPr>
              <w:tab/>
            </w:r>
            <w:r w:rsidR="008C7D00">
              <w:rPr>
                <w:rFonts w:ascii="Times New Roman" w:hAnsi="Times New Roman" w:cs="Times New Roman"/>
                <w:noProof/>
                <w:webHidden/>
                <w:sz w:val="24"/>
                <w:szCs w:val="24"/>
              </w:rPr>
              <w:tab/>
            </w:r>
            <w:r w:rsidR="008C7D00">
              <w:rPr>
                <w:rFonts w:ascii="Times New Roman" w:hAnsi="Times New Roman" w:cs="Times New Roman"/>
                <w:noProof/>
                <w:webHidden/>
                <w:sz w:val="24"/>
                <w:szCs w:val="24"/>
              </w:rPr>
              <w:tab/>
            </w:r>
            <w:r w:rsidR="008C7D00">
              <w:rPr>
                <w:rFonts w:ascii="Times New Roman" w:hAnsi="Times New Roman" w:cs="Times New Roman"/>
                <w:noProof/>
                <w:webHidden/>
                <w:sz w:val="24"/>
                <w:szCs w:val="24"/>
              </w:rPr>
              <w:tab/>
            </w:r>
            <w:r w:rsidR="008C7D00">
              <w:rPr>
                <w:rFonts w:ascii="Times New Roman" w:hAnsi="Times New Roman" w:cs="Times New Roman"/>
                <w:noProof/>
                <w:webHidden/>
                <w:sz w:val="24"/>
                <w:szCs w:val="24"/>
              </w:rPr>
              <w:tab/>
            </w:r>
            <w:r w:rsidR="008C7D00">
              <w:rPr>
                <w:rFonts w:ascii="Times New Roman" w:hAnsi="Times New Roman" w:cs="Times New Roman"/>
                <w:noProof/>
                <w:webHidden/>
                <w:sz w:val="24"/>
                <w:szCs w:val="24"/>
              </w:rPr>
              <w:tab/>
            </w:r>
            <w:r w:rsidR="008C7D00">
              <w:rPr>
                <w:rFonts w:ascii="Times New Roman" w:hAnsi="Times New Roman" w:cs="Times New Roman"/>
                <w:noProof/>
                <w:webHidden/>
                <w:sz w:val="24"/>
                <w:szCs w:val="24"/>
              </w:rPr>
              <w:tab/>
              <w:t xml:space="preserve"> </w:t>
            </w:r>
            <w:r w:rsidR="009D1848" w:rsidRPr="008C7D00">
              <w:rPr>
                <w:rFonts w:ascii="Times New Roman" w:hAnsi="Times New Roman" w:cs="Times New Roman"/>
                <w:noProof/>
                <w:webHidden/>
                <w:sz w:val="24"/>
                <w:szCs w:val="24"/>
              </w:rPr>
              <w:fldChar w:fldCharType="begin"/>
            </w:r>
            <w:r w:rsidR="009D1848" w:rsidRPr="008C7D00">
              <w:rPr>
                <w:rFonts w:ascii="Times New Roman" w:hAnsi="Times New Roman" w:cs="Times New Roman"/>
                <w:noProof/>
                <w:webHidden/>
                <w:sz w:val="24"/>
                <w:szCs w:val="24"/>
              </w:rPr>
              <w:instrText xml:space="preserve"> PAGEREF _Toc196314137 \h </w:instrText>
            </w:r>
            <w:r w:rsidR="009D1848" w:rsidRPr="008C7D00">
              <w:rPr>
                <w:rFonts w:ascii="Times New Roman" w:hAnsi="Times New Roman" w:cs="Times New Roman"/>
                <w:noProof/>
                <w:webHidden/>
                <w:sz w:val="24"/>
                <w:szCs w:val="24"/>
              </w:rPr>
            </w:r>
            <w:r w:rsidR="009D1848" w:rsidRPr="008C7D0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58</w:t>
            </w:r>
            <w:r w:rsidR="009D1848" w:rsidRPr="008C7D00">
              <w:rPr>
                <w:rFonts w:ascii="Times New Roman" w:hAnsi="Times New Roman" w:cs="Times New Roman"/>
                <w:noProof/>
                <w:webHidden/>
                <w:sz w:val="24"/>
                <w:szCs w:val="24"/>
              </w:rPr>
              <w:fldChar w:fldCharType="end"/>
            </w:r>
          </w:hyperlink>
        </w:p>
        <w:p w14:paraId="78D0F2CF" w14:textId="03018916" w:rsidR="009D1848" w:rsidRPr="008C7D00" w:rsidRDefault="00C64CBA" w:rsidP="009D1848">
          <w:pPr>
            <w:pStyle w:val="Obsah4"/>
            <w:tabs>
              <w:tab w:val="left" w:pos="899"/>
            </w:tabs>
            <w:spacing w:line="274" w:lineRule="auto"/>
            <w:rPr>
              <w:rFonts w:ascii="Times New Roman" w:eastAsiaTheme="minorEastAsia" w:hAnsi="Times New Roman" w:cs="Times New Roman"/>
              <w:noProof/>
              <w:kern w:val="2"/>
              <w:sz w:val="24"/>
              <w:szCs w:val="24"/>
              <w:lang w:eastAsia="sk-SK"/>
              <w14:ligatures w14:val="standardContextual"/>
            </w:rPr>
          </w:pPr>
          <w:hyperlink w:anchor="_Toc196314138" w:history="1">
            <w:r w:rsidR="009D1848" w:rsidRPr="008C7D00">
              <w:rPr>
                <w:rStyle w:val="Hypertextovprepojenie"/>
                <w:rFonts w:ascii="Times New Roman" w:hAnsi="Times New Roman" w:cs="Times New Roman"/>
                <w:noProof/>
                <w:sz w:val="24"/>
                <w:szCs w:val="24"/>
                <w14:scene3d>
                  <w14:camera w14:prst="orthographicFront"/>
                  <w14:lightRig w14:rig="threePt" w14:dir="t">
                    <w14:rot w14:lat="0" w14:lon="0" w14:rev="0"/>
                  </w14:lightRig>
                </w14:scene3d>
              </w:rPr>
              <w:t>3.2.1.2</w:t>
            </w:r>
            <w:r w:rsidR="009D1848" w:rsidRPr="008C7D00">
              <w:rPr>
                <w:rFonts w:ascii="Times New Roman" w:eastAsiaTheme="minorEastAsia" w:hAnsi="Times New Roman" w:cs="Times New Roman"/>
                <w:noProof/>
                <w:kern w:val="2"/>
                <w:sz w:val="24"/>
                <w:szCs w:val="24"/>
                <w:lang w:eastAsia="sk-SK"/>
                <w14:ligatures w14:val="standardContextual"/>
              </w:rPr>
              <w:tab/>
            </w:r>
            <w:r w:rsidR="009D1848" w:rsidRPr="008C7D00">
              <w:rPr>
                <w:rStyle w:val="Hypertextovprepojenie"/>
                <w:rFonts w:ascii="Times New Roman" w:hAnsi="Times New Roman" w:cs="Times New Roman"/>
                <w:noProof/>
                <w:sz w:val="24"/>
                <w:szCs w:val="24"/>
              </w:rPr>
              <w:t>Kapitálové výdavky</w:t>
            </w:r>
            <w:r w:rsidR="009D1848" w:rsidRPr="008C7D00">
              <w:rPr>
                <w:rFonts w:ascii="Times New Roman" w:hAnsi="Times New Roman" w:cs="Times New Roman"/>
                <w:noProof/>
                <w:webHidden/>
                <w:sz w:val="24"/>
                <w:szCs w:val="24"/>
              </w:rPr>
              <w:tab/>
            </w:r>
            <w:r w:rsidR="008C7D00">
              <w:rPr>
                <w:rFonts w:ascii="Times New Roman" w:hAnsi="Times New Roman" w:cs="Times New Roman"/>
                <w:noProof/>
                <w:webHidden/>
                <w:sz w:val="24"/>
                <w:szCs w:val="24"/>
              </w:rPr>
              <w:t xml:space="preserve">                                                                                      </w:t>
            </w:r>
            <w:r w:rsidR="009D1848" w:rsidRPr="008C7D00">
              <w:rPr>
                <w:rFonts w:ascii="Times New Roman" w:hAnsi="Times New Roman" w:cs="Times New Roman"/>
                <w:noProof/>
                <w:webHidden/>
                <w:sz w:val="24"/>
                <w:szCs w:val="24"/>
              </w:rPr>
              <w:fldChar w:fldCharType="begin"/>
            </w:r>
            <w:r w:rsidR="009D1848" w:rsidRPr="008C7D00">
              <w:rPr>
                <w:rFonts w:ascii="Times New Roman" w:hAnsi="Times New Roman" w:cs="Times New Roman"/>
                <w:noProof/>
                <w:webHidden/>
                <w:sz w:val="24"/>
                <w:szCs w:val="24"/>
              </w:rPr>
              <w:instrText xml:space="preserve"> PAGEREF _Toc196314138 \h </w:instrText>
            </w:r>
            <w:r w:rsidR="009D1848" w:rsidRPr="008C7D00">
              <w:rPr>
                <w:rFonts w:ascii="Times New Roman" w:hAnsi="Times New Roman" w:cs="Times New Roman"/>
                <w:noProof/>
                <w:webHidden/>
                <w:sz w:val="24"/>
                <w:szCs w:val="24"/>
              </w:rPr>
            </w:r>
            <w:r w:rsidR="009D1848" w:rsidRPr="008C7D0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68</w:t>
            </w:r>
            <w:r w:rsidR="009D1848" w:rsidRPr="008C7D00">
              <w:rPr>
                <w:rFonts w:ascii="Times New Roman" w:hAnsi="Times New Roman" w:cs="Times New Roman"/>
                <w:noProof/>
                <w:webHidden/>
                <w:sz w:val="24"/>
                <w:szCs w:val="24"/>
              </w:rPr>
              <w:fldChar w:fldCharType="end"/>
            </w:r>
          </w:hyperlink>
        </w:p>
        <w:p w14:paraId="02FFD5C8" w14:textId="05220146" w:rsidR="009D1848" w:rsidRPr="008C7D00" w:rsidRDefault="00C64CBA" w:rsidP="009D1848">
          <w:pPr>
            <w:pStyle w:val="Obsah3"/>
            <w:rPr>
              <w:rFonts w:eastAsiaTheme="minorEastAsia"/>
              <w:kern w:val="2"/>
              <w:sz w:val="24"/>
              <w:szCs w:val="24"/>
              <w:lang w:eastAsia="sk-SK"/>
              <w14:ligatures w14:val="standardContextual"/>
            </w:rPr>
          </w:pPr>
          <w:hyperlink w:anchor="_Toc196314139" w:history="1">
            <w:r w:rsidR="009D1848" w:rsidRPr="008C7D00">
              <w:rPr>
                <w:rStyle w:val="Hypertextovprepojenie"/>
                <w:sz w:val="24"/>
                <w:szCs w:val="24"/>
              </w:rPr>
              <w:t>3.2.2</w:t>
            </w:r>
            <w:r w:rsidR="009D1848" w:rsidRPr="008C7D00">
              <w:rPr>
                <w:rFonts w:eastAsiaTheme="minorEastAsia"/>
                <w:kern w:val="2"/>
                <w:sz w:val="24"/>
                <w:szCs w:val="24"/>
                <w:lang w:eastAsia="sk-SK"/>
                <w14:ligatures w14:val="standardContextual"/>
              </w:rPr>
              <w:tab/>
            </w:r>
            <w:r w:rsidR="009D1848" w:rsidRPr="008C7D00">
              <w:rPr>
                <w:rStyle w:val="Hypertextovprepojenie"/>
                <w:sz w:val="24"/>
                <w:szCs w:val="24"/>
              </w:rPr>
              <w:t>Čerpanie rezerv štátneho rozpočtu</w:t>
            </w:r>
            <w:r w:rsidR="009D1848" w:rsidRPr="008C7D00">
              <w:rPr>
                <w:webHidden/>
                <w:sz w:val="24"/>
                <w:szCs w:val="24"/>
              </w:rPr>
              <w:tab/>
            </w:r>
            <w:r w:rsidR="009D1848" w:rsidRPr="008C7D00">
              <w:rPr>
                <w:webHidden/>
                <w:sz w:val="24"/>
                <w:szCs w:val="24"/>
              </w:rPr>
              <w:fldChar w:fldCharType="begin"/>
            </w:r>
            <w:r w:rsidR="009D1848" w:rsidRPr="008C7D00">
              <w:rPr>
                <w:webHidden/>
                <w:sz w:val="24"/>
                <w:szCs w:val="24"/>
              </w:rPr>
              <w:instrText xml:space="preserve"> PAGEREF _Toc196314139 \h </w:instrText>
            </w:r>
            <w:r w:rsidR="009D1848" w:rsidRPr="008C7D00">
              <w:rPr>
                <w:webHidden/>
                <w:sz w:val="24"/>
                <w:szCs w:val="24"/>
              </w:rPr>
            </w:r>
            <w:r w:rsidR="009D1848" w:rsidRPr="008C7D00">
              <w:rPr>
                <w:webHidden/>
                <w:sz w:val="24"/>
                <w:szCs w:val="24"/>
              </w:rPr>
              <w:fldChar w:fldCharType="separate"/>
            </w:r>
            <w:r>
              <w:rPr>
                <w:webHidden/>
                <w:sz w:val="24"/>
                <w:szCs w:val="24"/>
              </w:rPr>
              <w:t>73</w:t>
            </w:r>
            <w:r w:rsidR="009D1848" w:rsidRPr="008C7D00">
              <w:rPr>
                <w:webHidden/>
                <w:sz w:val="24"/>
                <w:szCs w:val="24"/>
              </w:rPr>
              <w:fldChar w:fldCharType="end"/>
            </w:r>
          </w:hyperlink>
        </w:p>
        <w:p w14:paraId="2BB90065" w14:textId="42D02A1D" w:rsidR="009D1848" w:rsidRPr="008C7D00" w:rsidRDefault="00C64CBA" w:rsidP="009D1848">
          <w:pPr>
            <w:pStyle w:val="Obsah2"/>
            <w:spacing w:line="274" w:lineRule="auto"/>
            <w:rPr>
              <w:rFonts w:eastAsiaTheme="minorEastAsia" w:cs="Times New Roman"/>
              <w:b w:val="0"/>
              <w:bCs w:val="0"/>
              <w:kern w:val="2"/>
              <w:sz w:val="24"/>
              <w:szCs w:val="24"/>
              <w:lang w:eastAsia="sk-SK"/>
              <w14:ligatures w14:val="standardContextual"/>
            </w:rPr>
          </w:pPr>
          <w:hyperlink w:anchor="_Toc196314140" w:history="1">
            <w:r w:rsidR="009D1848" w:rsidRPr="008C7D00">
              <w:rPr>
                <w:rStyle w:val="Hypertextovprepojenie"/>
                <w:rFonts w:cs="Times New Roman"/>
                <w:sz w:val="24"/>
                <w:szCs w:val="24"/>
              </w:rPr>
              <w:t>3.3</w:t>
            </w:r>
            <w:r w:rsidR="009D1848" w:rsidRPr="008C7D00">
              <w:rPr>
                <w:rFonts w:eastAsiaTheme="minorEastAsia" w:cs="Times New Roman"/>
                <w:b w:val="0"/>
                <w:bCs w:val="0"/>
                <w:kern w:val="2"/>
                <w:sz w:val="24"/>
                <w:szCs w:val="24"/>
                <w:lang w:eastAsia="sk-SK"/>
                <w14:ligatures w14:val="standardContextual"/>
              </w:rPr>
              <w:tab/>
            </w:r>
            <w:r w:rsidR="009D1848" w:rsidRPr="008C7D00">
              <w:rPr>
                <w:rStyle w:val="Hypertextovprepojenie"/>
                <w:rFonts w:cs="Times New Roman"/>
                <w:sz w:val="24"/>
                <w:szCs w:val="24"/>
              </w:rPr>
              <w:t>Štátne finančné aktíva</w:t>
            </w:r>
            <w:r w:rsidR="009D1848" w:rsidRPr="008C7D00">
              <w:rPr>
                <w:rFonts w:cs="Times New Roman"/>
                <w:webHidden/>
                <w:sz w:val="24"/>
                <w:szCs w:val="24"/>
              </w:rPr>
              <w:tab/>
            </w:r>
            <w:r w:rsidR="009D1848" w:rsidRPr="008C7D00">
              <w:rPr>
                <w:rFonts w:cs="Times New Roman"/>
                <w:webHidden/>
                <w:sz w:val="24"/>
                <w:szCs w:val="24"/>
              </w:rPr>
              <w:fldChar w:fldCharType="begin"/>
            </w:r>
            <w:r w:rsidR="009D1848" w:rsidRPr="008C7D00">
              <w:rPr>
                <w:rFonts w:cs="Times New Roman"/>
                <w:webHidden/>
                <w:sz w:val="24"/>
                <w:szCs w:val="24"/>
              </w:rPr>
              <w:instrText xml:space="preserve"> PAGEREF _Toc196314140 \h </w:instrText>
            </w:r>
            <w:r w:rsidR="009D1848" w:rsidRPr="008C7D00">
              <w:rPr>
                <w:rFonts w:cs="Times New Roman"/>
                <w:webHidden/>
                <w:sz w:val="24"/>
                <w:szCs w:val="24"/>
              </w:rPr>
            </w:r>
            <w:r w:rsidR="009D1848" w:rsidRPr="008C7D00">
              <w:rPr>
                <w:rFonts w:cs="Times New Roman"/>
                <w:webHidden/>
                <w:sz w:val="24"/>
                <w:szCs w:val="24"/>
              </w:rPr>
              <w:fldChar w:fldCharType="separate"/>
            </w:r>
            <w:r>
              <w:rPr>
                <w:rFonts w:cs="Times New Roman"/>
                <w:webHidden/>
                <w:sz w:val="24"/>
                <w:szCs w:val="24"/>
              </w:rPr>
              <w:t>75</w:t>
            </w:r>
            <w:r w:rsidR="009D1848" w:rsidRPr="008C7D00">
              <w:rPr>
                <w:rFonts w:cs="Times New Roman"/>
                <w:webHidden/>
                <w:sz w:val="24"/>
                <w:szCs w:val="24"/>
              </w:rPr>
              <w:fldChar w:fldCharType="end"/>
            </w:r>
          </w:hyperlink>
        </w:p>
        <w:p w14:paraId="7350F902" w14:textId="759E768C" w:rsidR="009D1848" w:rsidRPr="008C7D00" w:rsidRDefault="00C64CBA" w:rsidP="009D1848">
          <w:pPr>
            <w:pStyle w:val="Obsah2"/>
            <w:spacing w:line="274" w:lineRule="auto"/>
            <w:rPr>
              <w:rFonts w:eastAsiaTheme="minorEastAsia" w:cs="Times New Roman"/>
              <w:b w:val="0"/>
              <w:bCs w:val="0"/>
              <w:kern w:val="2"/>
              <w:sz w:val="24"/>
              <w:szCs w:val="24"/>
              <w:lang w:eastAsia="sk-SK"/>
              <w14:ligatures w14:val="standardContextual"/>
            </w:rPr>
          </w:pPr>
          <w:hyperlink w:anchor="_Toc196314141" w:history="1">
            <w:r w:rsidR="009D1848" w:rsidRPr="008C7D00">
              <w:rPr>
                <w:rStyle w:val="Hypertextovprepojenie"/>
                <w:rFonts w:cs="Times New Roman"/>
                <w:sz w:val="24"/>
                <w:szCs w:val="24"/>
              </w:rPr>
              <w:t>3.4</w:t>
            </w:r>
            <w:r w:rsidR="009D1848" w:rsidRPr="008C7D00">
              <w:rPr>
                <w:rFonts w:eastAsiaTheme="minorEastAsia" w:cs="Times New Roman"/>
                <w:b w:val="0"/>
                <w:bCs w:val="0"/>
                <w:kern w:val="2"/>
                <w:sz w:val="24"/>
                <w:szCs w:val="24"/>
                <w:lang w:eastAsia="sk-SK"/>
                <w14:ligatures w14:val="standardContextual"/>
              </w:rPr>
              <w:tab/>
            </w:r>
            <w:r w:rsidR="009D1848" w:rsidRPr="008C7D00">
              <w:rPr>
                <w:rStyle w:val="Hypertextovprepojenie"/>
                <w:rFonts w:cs="Times New Roman"/>
                <w:sz w:val="24"/>
                <w:szCs w:val="24"/>
              </w:rPr>
              <w:t>Vzťahy štátneho rozpočtu k Európskej únii</w:t>
            </w:r>
            <w:r w:rsidR="009D1848" w:rsidRPr="008C7D00">
              <w:rPr>
                <w:rFonts w:cs="Times New Roman"/>
                <w:webHidden/>
                <w:sz w:val="24"/>
                <w:szCs w:val="24"/>
              </w:rPr>
              <w:tab/>
            </w:r>
            <w:r w:rsidR="009D1848" w:rsidRPr="008C7D00">
              <w:rPr>
                <w:rFonts w:cs="Times New Roman"/>
                <w:webHidden/>
                <w:sz w:val="24"/>
                <w:szCs w:val="24"/>
              </w:rPr>
              <w:fldChar w:fldCharType="begin"/>
            </w:r>
            <w:r w:rsidR="009D1848" w:rsidRPr="008C7D00">
              <w:rPr>
                <w:rFonts w:cs="Times New Roman"/>
                <w:webHidden/>
                <w:sz w:val="24"/>
                <w:szCs w:val="24"/>
              </w:rPr>
              <w:instrText xml:space="preserve"> PAGEREF _Toc196314141 \h </w:instrText>
            </w:r>
            <w:r w:rsidR="009D1848" w:rsidRPr="008C7D00">
              <w:rPr>
                <w:rFonts w:cs="Times New Roman"/>
                <w:webHidden/>
                <w:sz w:val="24"/>
                <w:szCs w:val="24"/>
              </w:rPr>
            </w:r>
            <w:r w:rsidR="009D1848" w:rsidRPr="008C7D00">
              <w:rPr>
                <w:rFonts w:cs="Times New Roman"/>
                <w:webHidden/>
                <w:sz w:val="24"/>
                <w:szCs w:val="24"/>
              </w:rPr>
              <w:fldChar w:fldCharType="separate"/>
            </w:r>
            <w:r>
              <w:rPr>
                <w:rFonts w:cs="Times New Roman"/>
                <w:webHidden/>
                <w:sz w:val="24"/>
                <w:szCs w:val="24"/>
              </w:rPr>
              <w:t>78</w:t>
            </w:r>
            <w:r w:rsidR="009D1848" w:rsidRPr="008C7D00">
              <w:rPr>
                <w:rFonts w:cs="Times New Roman"/>
                <w:webHidden/>
                <w:sz w:val="24"/>
                <w:szCs w:val="24"/>
              </w:rPr>
              <w:fldChar w:fldCharType="end"/>
            </w:r>
          </w:hyperlink>
        </w:p>
        <w:p w14:paraId="046DBC2A" w14:textId="61ADD282" w:rsidR="009D1848" w:rsidRPr="008C7D00" w:rsidRDefault="00C64CBA" w:rsidP="009D1848">
          <w:pPr>
            <w:pStyle w:val="Obsah2"/>
            <w:spacing w:line="274" w:lineRule="auto"/>
            <w:rPr>
              <w:rFonts w:eastAsiaTheme="minorEastAsia" w:cs="Times New Roman"/>
              <w:b w:val="0"/>
              <w:bCs w:val="0"/>
              <w:kern w:val="2"/>
              <w:sz w:val="24"/>
              <w:szCs w:val="24"/>
              <w:lang w:eastAsia="sk-SK"/>
              <w14:ligatures w14:val="standardContextual"/>
            </w:rPr>
          </w:pPr>
          <w:hyperlink w:anchor="_Toc196314142" w:history="1">
            <w:r w:rsidR="009D1848" w:rsidRPr="008C7D00">
              <w:rPr>
                <w:rStyle w:val="Hypertextovprepojenie"/>
                <w:rFonts w:cs="Times New Roman"/>
                <w:b w:val="0"/>
                <w:bCs w:val="0"/>
                <w:sz w:val="24"/>
                <w:szCs w:val="24"/>
              </w:rPr>
              <w:t>3.4.1</w:t>
            </w:r>
            <w:r w:rsidR="009D1848" w:rsidRPr="008C7D00">
              <w:rPr>
                <w:rFonts w:eastAsiaTheme="minorEastAsia" w:cs="Times New Roman"/>
                <w:b w:val="0"/>
                <w:bCs w:val="0"/>
                <w:kern w:val="2"/>
                <w:sz w:val="24"/>
                <w:szCs w:val="24"/>
                <w:lang w:eastAsia="sk-SK"/>
                <w14:ligatures w14:val="standardContextual"/>
              </w:rPr>
              <w:tab/>
            </w:r>
            <w:r w:rsidR="009D1848" w:rsidRPr="008C7D00">
              <w:rPr>
                <w:rStyle w:val="Hypertextovprepojenie"/>
                <w:rFonts w:cs="Times New Roman"/>
                <w:b w:val="0"/>
                <w:bCs w:val="0"/>
                <w:sz w:val="24"/>
                <w:szCs w:val="24"/>
              </w:rPr>
              <w:t>Príjmy z rozpočtu Európskej únie – prostriedky EÚ</w:t>
            </w:r>
            <w:r w:rsidR="009D1848" w:rsidRPr="008C7D00">
              <w:rPr>
                <w:rFonts w:cs="Times New Roman"/>
                <w:b w:val="0"/>
                <w:bCs w:val="0"/>
                <w:webHidden/>
                <w:sz w:val="24"/>
                <w:szCs w:val="24"/>
              </w:rPr>
              <w:tab/>
            </w:r>
            <w:r w:rsidR="009D1848" w:rsidRPr="008C7D00">
              <w:rPr>
                <w:rFonts w:cs="Times New Roman"/>
                <w:b w:val="0"/>
                <w:bCs w:val="0"/>
                <w:webHidden/>
                <w:sz w:val="24"/>
                <w:szCs w:val="24"/>
              </w:rPr>
              <w:fldChar w:fldCharType="begin"/>
            </w:r>
            <w:r w:rsidR="009D1848" w:rsidRPr="008C7D00">
              <w:rPr>
                <w:rFonts w:cs="Times New Roman"/>
                <w:b w:val="0"/>
                <w:bCs w:val="0"/>
                <w:webHidden/>
                <w:sz w:val="24"/>
                <w:szCs w:val="24"/>
              </w:rPr>
              <w:instrText xml:space="preserve"> PAGEREF _Toc196314142 \h </w:instrText>
            </w:r>
            <w:r w:rsidR="009D1848" w:rsidRPr="008C7D00">
              <w:rPr>
                <w:rFonts w:cs="Times New Roman"/>
                <w:b w:val="0"/>
                <w:bCs w:val="0"/>
                <w:webHidden/>
                <w:sz w:val="24"/>
                <w:szCs w:val="24"/>
              </w:rPr>
            </w:r>
            <w:r w:rsidR="009D1848" w:rsidRPr="008C7D00">
              <w:rPr>
                <w:rFonts w:cs="Times New Roman"/>
                <w:b w:val="0"/>
                <w:bCs w:val="0"/>
                <w:webHidden/>
                <w:sz w:val="24"/>
                <w:szCs w:val="24"/>
              </w:rPr>
              <w:fldChar w:fldCharType="separate"/>
            </w:r>
            <w:r>
              <w:rPr>
                <w:rFonts w:cs="Times New Roman"/>
                <w:b w:val="0"/>
                <w:bCs w:val="0"/>
                <w:webHidden/>
                <w:sz w:val="24"/>
                <w:szCs w:val="24"/>
              </w:rPr>
              <w:t>81</w:t>
            </w:r>
            <w:r w:rsidR="009D1848" w:rsidRPr="008C7D00">
              <w:rPr>
                <w:rFonts w:cs="Times New Roman"/>
                <w:b w:val="0"/>
                <w:bCs w:val="0"/>
                <w:webHidden/>
                <w:sz w:val="24"/>
                <w:szCs w:val="24"/>
              </w:rPr>
              <w:fldChar w:fldCharType="end"/>
            </w:r>
          </w:hyperlink>
        </w:p>
        <w:p w14:paraId="00D8433F" w14:textId="7693F979" w:rsidR="009D1848" w:rsidRPr="008C7D00" w:rsidRDefault="00C64CBA" w:rsidP="009D1848">
          <w:pPr>
            <w:pStyle w:val="Obsah2"/>
            <w:spacing w:line="274" w:lineRule="auto"/>
            <w:rPr>
              <w:rFonts w:eastAsiaTheme="minorEastAsia" w:cs="Times New Roman"/>
              <w:b w:val="0"/>
              <w:bCs w:val="0"/>
              <w:kern w:val="2"/>
              <w:sz w:val="24"/>
              <w:szCs w:val="24"/>
              <w:lang w:eastAsia="sk-SK"/>
              <w14:ligatures w14:val="standardContextual"/>
            </w:rPr>
          </w:pPr>
          <w:hyperlink w:anchor="_Toc196314143" w:history="1">
            <w:r w:rsidR="009D1848" w:rsidRPr="008C7D00">
              <w:rPr>
                <w:rStyle w:val="Hypertextovprepojenie"/>
                <w:rFonts w:cs="Times New Roman"/>
                <w:b w:val="0"/>
                <w:bCs w:val="0"/>
                <w:sz w:val="24"/>
                <w:szCs w:val="24"/>
              </w:rPr>
              <w:t>3.4.2</w:t>
            </w:r>
            <w:r w:rsidR="009D1848" w:rsidRPr="008C7D00">
              <w:rPr>
                <w:rFonts w:eastAsiaTheme="minorEastAsia" w:cs="Times New Roman"/>
                <w:b w:val="0"/>
                <w:bCs w:val="0"/>
                <w:kern w:val="2"/>
                <w:sz w:val="24"/>
                <w:szCs w:val="24"/>
                <w:lang w:eastAsia="sk-SK"/>
                <w14:ligatures w14:val="standardContextual"/>
              </w:rPr>
              <w:tab/>
            </w:r>
            <w:r w:rsidR="009D1848" w:rsidRPr="008C7D00">
              <w:rPr>
                <w:rStyle w:val="Hypertextovprepojenie"/>
                <w:rFonts w:cs="Times New Roman"/>
                <w:b w:val="0"/>
                <w:bCs w:val="0"/>
                <w:sz w:val="24"/>
                <w:szCs w:val="24"/>
              </w:rPr>
              <w:t>Výdavky štátneho rozpočtu rozpočtované vo väzbe na príjmy z EÚ</w:t>
            </w:r>
            <w:r w:rsidR="009D1848" w:rsidRPr="008C7D00">
              <w:rPr>
                <w:rFonts w:cs="Times New Roman"/>
                <w:b w:val="0"/>
                <w:bCs w:val="0"/>
                <w:webHidden/>
                <w:sz w:val="24"/>
                <w:szCs w:val="24"/>
              </w:rPr>
              <w:tab/>
            </w:r>
            <w:r w:rsidR="009D1848" w:rsidRPr="008C7D00">
              <w:rPr>
                <w:rFonts w:cs="Times New Roman"/>
                <w:b w:val="0"/>
                <w:bCs w:val="0"/>
                <w:webHidden/>
                <w:sz w:val="24"/>
                <w:szCs w:val="24"/>
              </w:rPr>
              <w:fldChar w:fldCharType="begin"/>
            </w:r>
            <w:r w:rsidR="009D1848" w:rsidRPr="008C7D00">
              <w:rPr>
                <w:rFonts w:cs="Times New Roman"/>
                <w:b w:val="0"/>
                <w:bCs w:val="0"/>
                <w:webHidden/>
                <w:sz w:val="24"/>
                <w:szCs w:val="24"/>
              </w:rPr>
              <w:instrText xml:space="preserve"> PAGEREF _Toc196314143 \h </w:instrText>
            </w:r>
            <w:r w:rsidR="009D1848" w:rsidRPr="008C7D00">
              <w:rPr>
                <w:rFonts w:cs="Times New Roman"/>
                <w:b w:val="0"/>
                <w:bCs w:val="0"/>
                <w:webHidden/>
                <w:sz w:val="24"/>
                <w:szCs w:val="24"/>
              </w:rPr>
            </w:r>
            <w:r w:rsidR="009D1848" w:rsidRPr="008C7D00">
              <w:rPr>
                <w:rFonts w:cs="Times New Roman"/>
                <w:b w:val="0"/>
                <w:bCs w:val="0"/>
                <w:webHidden/>
                <w:sz w:val="24"/>
                <w:szCs w:val="24"/>
              </w:rPr>
              <w:fldChar w:fldCharType="separate"/>
            </w:r>
            <w:r>
              <w:rPr>
                <w:rFonts w:cs="Times New Roman"/>
                <w:b w:val="0"/>
                <w:bCs w:val="0"/>
                <w:webHidden/>
                <w:sz w:val="24"/>
                <w:szCs w:val="24"/>
              </w:rPr>
              <w:t>83</w:t>
            </w:r>
            <w:r w:rsidR="009D1848" w:rsidRPr="008C7D00">
              <w:rPr>
                <w:rFonts w:cs="Times New Roman"/>
                <w:b w:val="0"/>
                <w:bCs w:val="0"/>
                <w:webHidden/>
                <w:sz w:val="24"/>
                <w:szCs w:val="24"/>
              </w:rPr>
              <w:fldChar w:fldCharType="end"/>
            </w:r>
          </w:hyperlink>
        </w:p>
        <w:p w14:paraId="03986CE8" w14:textId="33AB7AA4" w:rsidR="009D1848" w:rsidRPr="008C7D00" w:rsidRDefault="00C64CBA" w:rsidP="009D1848">
          <w:pPr>
            <w:pStyle w:val="Obsah2"/>
            <w:spacing w:line="274" w:lineRule="auto"/>
            <w:rPr>
              <w:rFonts w:eastAsiaTheme="minorEastAsia" w:cs="Times New Roman"/>
              <w:b w:val="0"/>
              <w:bCs w:val="0"/>
              <w:kern w:val="2"/>
              <w:sz w:val="24"/>
              <w:szCs w:val="24"/>
              <w:lang w:eastAsia="sk-SK"/>
              <w14:ligatures w14:val="standardContextual"/>
            </w:rPr>
          </w:pPr>
          <w:hyperlink w:anchor="_Toc196314144" w:history="1">
            <w:r w:rsidR="009D1848" w:rsidRPr="008C7D00">
              <w:rPr>
                <w:rStyle w:val="Hypertextovprepojenie"/>
                <w:rFonts w:cs="Times New Roman"/>
                <w:b w:val="0"/>
                <w:bCs w:val="0"/>
                <w:sz w:val="24"/>
                <w:szCs w:val="24"/>
              </w:rPr>
              <w:t>3.4.3</w:t>
            </w:r>
            <w:r w:rsidR="009D1848" w:rsidRPr="008C7D00">
              <w:rPr>
                <w:rFonts w:eastAsiaTheme="minorEastAsia" w:cs="Times New Roman"/>
                <w:b w:val="0"/>
                <w:bCs w:val="0"/>
                <w:kern w:val="2"/>
                <w:sz w:val="24"/>
                <w:szCs w:val="24"/>
                <w:lang w:eastAsia="sk-SK"/>
                <w14:ligatures w14:val="standardContextual"/>
              </w:rPr>
              <w:tab/>
            </w:r>
            <w:r w:rsidR="009D1848" w:rsidRPr="008C7D00">
              <w:rPr>
                <w:rStyle w:val="Hypertextovprepojenie"/>
                <w:rFonts w:cs="Times New Roman"/>
                <w:b w:val="0"/>
                <w:bCs w:val="0"/>
                <w:sz w:val="24"/>
                <w:szCs w:val="24"/>
              </w:rPr>
              <w:t>Zhrnutie čerpania záväzkov programových období po vstupe SR do EÚ</w:t>
            </w:r>
            <w:r w:rsidR="009D1848" w:rsidRPr="008C7D00">
              <w:rPr>
                <w:rFonts w:cs="Times New Roman"/>
                <w:b w:val="0"/>
                <w:bCs w:val="0"/>
                <w:webHidden/>
                <w:sz w:val="24"/>
                <w:szCs w:val="24"/>
              </w:rPr>
              <w:tab/>
            </w:r>
            <w:r w:rsidR="009D1848" w:rsidRPr="008C7D00">
              <w:rPr>
                <w:rFonts w:cs="Times New Roman"/>
                <w:b w:val="0"/>
                <w:bCs w:val="0"/>
                <w:webHidden/>
                <w:sz w:val="24"/>
                <w:szCs w:val="24"/>
              </w:rPr>
              <w:fldChar w:fldCharType="begin"/>
            </w:r>
            <w:r w:rsidR="009D1848" w:rsidRPr="008C7D00">
              <w:rPr>
                <w:rFonts w:cs="Times New Roman"/>
                <w:b w:val="0"/>
                <w:bCs w:val="0"/>
                <w:webHidden/>
                <w:sz w:val="24"/>
                <w:szCs w:val="24"/>
              </w:rPr>
              <w:instrText xml:space="preserve"> PAGEREF _Toc196314144 \h </w:instrText>
            </w:r>
            <w:r w:rsidR="009D1848" w:rsidRPr="008C7D00">
              <w:rPr>
                <w:rFonts w:cs="Times New Roman"/>
                <w:b w:val="0"/>
                <w:bCs w:val="0"/>
                <w:webHidden/>
                <w:sz w:val="24"/>
                <w:szCs w:val="24"/>
              </w:rPr>
            </w:r>
            <w:r w:rsidR="009D1848" w:rsidRPr="008C7D00">
              <w:rPr>
                <w:rFonts w:cs="Times New Roman"/>
                <w:b w:val="0"/>
                <w:bCs w:val="0"/>
                <w:webHidden/>
                <w:sz w:val="24"/>
                <w:szCs w:val="24"/>
              </w:rPr>
              <w:fldChar w:fldCharType="separate"/>
            </w:r>
            <w:r>
              <w:rPr>
                <w:rFonts w:cs="Times New Roman"/>
                <w:b w:val="0"/>
                <w:bCs w:val="0"/>
                <w:webHidden/>
                <w:sz w:val="24"/>
                <w:szCs w:val="24"/>
              </w:rPr>
              <w:t>89</w:t>
            </w:r>
            <w:r w:rsidR="009D1848" w:rsidRPr="008C7D00">
              <w:rPr>
                <w:rFonts w:cs="Times New Roman"/>
                <w:b w:val="0"/>
                <w:bCs w:val="0"/>
                <w:webHidden/>
                <w:sz w:val="24"/>
                <w:szCs w:val="24"/>
              </w:rPr>
              <w:fldChar w:fldCharType="end"/>
            </w:r>
          </w:hyperlink>
        </w:p>
        <w:p w14:paraId="0996A96C" w14:textId="353C6D31" w:rsidR="009D1848" w:rsidRPr="008C7D00" w:rsidRDefault="00C64CBA" w:rsidP="009D1848">
          <w:pPr>
            <w:pStyle w:val="Obsah1"/>
            <w:rPr>
              <w:rFonts w:eastAsiaTheme="minorEastAsia"/>
              <w:kern w:val="2"/>
              <w:sz w:val="24"/>
              <w:szCs w:val="24"/>
              <w:lang w:eastAsia="sk-SK"/>
              <w14:ligatures w14:val="standardContextual"/>
            </w:rPr>
          </w:pPr>
          <w:hyperlink w:anchor="_Toc196314145" w:history="1">
            <w:r w:rsidR="009D1848" w:rsidRPr="008C7D00">
              <w:rPr>
                <w:rStyle w:val="Hypertextovprepojenie"/>
                <w:rFonts w:cs="Times New Roman"/>
                <w:sz w:val="24"/>
                <w:szCs w:val="24"/>
              </w:rPr>
              <w:t>Tabuľková príloha k hotovostnému plneniu ŠR</w:t>
            </w:r>
            <w:r w:rsidR="009D1848" w:rsidRPr="008C7D00">
              <w:rPr>
                <w:webHidden/>
                <w:sz w:val="24"/>
                <w:szCs w:val="24"/>
              </w:rPr>
              <w:tab/>
            </w:r>
            <w:r w:rsidR="009D1848" w:rsidRPr="008C7D00">
              <w:rPr>
                <w:webHidden/>
                <w:sz w:val="24"/>
                <w:szCs w:val="24"/>
              </w:rPr>
              <w:fldChar w:fldCharType="begin"/>
            </w:r>
            <w:r w:rsidR="009D1848" w:rsidRPr="008C7D00">
              <w:rPr>
                <w:webHidden/>
                <w:sz w:val="24"/>
                <w:szCs w:val="24"/>
              </w:rPr>
              <w:instrText xml:space="preserve"> PAGEREF _Toc196314145 \h </w:instrText>
            </w:r>
            <w:r w:rsidR="009D1848" w:rsidRPr="008C7D00">
              <w:rPr>
                <w:webHidden/>
                <w:sz w:val="24"/>
                <w:szCs w:val="24"/>
              </w:rPr>
            </w:r>
            <w:r w:rsidR="009D1848" w:rsidRPr="008C7D00">
              <w:rPr>
                <w:webHidden/>
                <w:sz w:val="24"/>
                <w:szCs w:val="24"/>
              </w:rPr>
              <w:fldChar w:fldCharType="separate"/>
            </w:r>
            <w:r>
              <w:rPr>
                <w:webHidden/>
                <w:sz w:val="24"/>
                <w:szCs w:val="24"/>
              </w:rPr>
              <w:t>91</w:t>
            </w:r>
            <w:r w:rsidR="009D1848" w:rsidRPr="008C7D00">
              <w:rPr>
                <w:webHidden/>
                <w:sz w:val="24"/>
                <w:szCs w:val="24"/>
              </w:rPr>
              <w:fldChar w:fldCharType="end"/>
            </w:r>
          </w:hyperlink>
        </w:p>
        <w:p w14:paraId="00AA119E" w14:textId="4F88EF6B" w:rsidR="008A0537" w:rsidRPr="009D1848" w:rsidRDefault="00C27205" w:rsidP="009D1848">
          <w:pPr>
            <w:spacing w:after="0" w:line="274" w:lineRule="auto"/>
            <w:rPr>
              <w:rFonts w:cs="Times New Roman"/>
              <w:sz w:val="24"/>
              <w:szCs w:val="24"/>
              <w:highlight w:val="yellow"/>
            </w:rPr>
          </w:pPr>
          <w:r w:rsidRPr="008C7D00">
            <w:rPr>
              <w:rFonts w:cs="Times New Roman"/>
              <w:sz w:val="24"/>
              <w:szCs w:val="24"/>
              <w:highlight w:val="yellow"/>
            </w:rPr>
            <w:fldChar w:fldCharType="end"/>
          </w:r>
        </w:p>
      </w:sdtContent>
    </w:sdt>
    <w:p w14:paraId="483A000F" w14:textId="44F5601A" w:rsidR="003B450C" w:rsidRDefault="00BE44CB">
      <w:pPr>
        <w:spacing w:after="160" w:line="259" w:lineRule="auto"/>
        <w:jc w:val="left"/>
        <w:rPr>
          <w:rFonts w:cs="Times New Roman"/>
          <w:sz w:val="24"/>
          <w:szCs w:val="24"/>
          <w:highlight w:val="yellow"/>
        </w:rPr>
      </w:pPr>
      <w:r w:rsidRPr="00593BFD">
        <w:rPr>
          <w:rFonts w:cs="Times New Roman"/>
          <w:sz w:val="24"/>
          <w:szCs w:val="24"/>
          <w:highlight w:val="yellow"/>
        </w:rPr>
        <w:br w:type="page"/>
      </w:r>
    </w:p>
    <w:p w14:paraId="6A28D697" w14:textId="31F9DA8B" w:rsidR="00927B94" w:rsidRPr="00927B94" w:rsidRDefault="00927B94">
      <w:pPr>
        <w:pStyle w:val="Zoznamobrzkov"/>
        <w:tabs>
          <w:tab w:val="right" w:pos="8920"/>
        </w:tabs>
        <w:rPr>
          <w:b/>
          <w:color w:val="5B9BD5" w:themeColor="accent1"/>
          <w:sz w:val="24"/>
          <w:szCs w:val="24"/>
        </w:rPr>
      </w:pPr>
      <w:r w:rsidRPr="00927B94">
        <w:rPr>
          <w:b/>
          <w:color w:val="5B9BD5" w:themeColor="accent1"/>
          <w:sz w:val="24"/>
          <w:szCs w:val="24"/>
        </w:rPr>
        <w:lastRenderedPageBreak/>
        <w:t>Zoznam tabuliek</w:t>
      </w:r>
    </w:p>
    <w:p w14:paraId="75805105" w14:textId="3F9CEB25" w:rsidR="00927B94" w:rsidRPr="00927B94" w:rsidRDefault="00927B94" w:rsidP="00A23A00">
      <w:pPr>
        <w:pStyle w:val="Zoznamobrzkov"/>
        <w:tabs>
          <w:tab w:val="right" w:pos="8920"/>
        </w:tabs>
        <w:spacing w:line="240" w:lineRule="auto"/>
        <w:rPr>
          <w:rFonts w:asciiTheme="minorHAnsi" w:eastAsiaTheme="minorEastAsia" w:hAnsiTheme="minorHAnsi"/>
          <w:noProof/>
          <w:lang w:eastAsia="sk-SK"/>
        </w:rPr>
      </w:pPr>
      <w:r>
        <w:rPr>
          <w:rFonts w:cs="Times New Roman"/>
          <w:sz w:val="24"/>
          <w:szCs w:val="24"/>
          <w:highlight w:val="yellow"/>
        </w:rPr>
        <w:fldChar w:fldCharType="begin"/>
      </w:r>
      <w:r>
        <w:rPr>
          <w:rFonts w:cs="Times New Roman"/>
          <w:sz w:val="24"/>
          <w:szCs w:val="24"/>
          <w:highlight w:val="yellow"/>
        </w:rPr>
        <w:instrText xml:space="preserve"> TOC \h \z \c "Tabuľka" </w:instrText>
      </w:r>
      <w:r>
        <w:rPr>
          <w:rFonts w:cs="Times New Roman"/>
          <w:sz w:val="24"/>
          <w:szCs w:val="24"/>
          <w:highlight w:val="yellow"/>
        </w:rPr>
        <w:fldChar w:fldCharType="separate"/>
      </w:r>
      <w:hyperlink w:anchor="_Toc196389248" w:history="1">
        <w:r w:rsidRPr="00927B94">
          <w:rPr>
            <w:rStyle w:val="Hypertextovprepojenie"/>
            <w:bCs/>
            <w:noProof/>
          </w:rPr>
          <w:t>Tabuľka 1 - Vývoj vybraných makroekonomických ukazovateľov eurozóny</w:t>
        </w:r>
        <w:r w:rsidRPr="00927B94">
          <w:rPr>
            <w:noProof/>
            <w:webHidden/>
          </w:rPr>
          <w:tab/>
        </w:r>
        <w:r w:rsidRPr="00927B94">
          <w:rPr>
            <w:noProof/>
            <w:webHidden/>
          </w:rPr>
          <w:fldChar w:fldCharType="begin"/>
        </w:r>
        <w:r w:rsidRPr="00927B94">
          <w:rPr>
            <w:noProof/>
            <w:webHidden/>
          </w:rPr>
          <w:instrText xml:space="preserve"> PAGEREF _Toc196389248 \h </w:instrText>
        </w:r>
        <w:r w:rsidRPr="00927B94">
          <w:rPr>
            <w:noProof/>
            <w:webHidden/>
          </w:rPr>
        </w:r>
        <w:r w:rsidRPr="00927B94">
          <w:rPr>
            <w:noProof/>
            <w:webHidden/>
          </w:rPr>
          <w:fldChar w:fldCharType="separate"/>
        </w:r>
        <w:r w:rsidR="00C64CBA">
          <w:rPr>
            <w:noProof/>
            <w:webHidden/>
          </w:rPr>
          <w:t>6</w:t>
        </w:r>
        <w:r w:rsidRPr="00927B94">
          <w:rPr>
            <w:noProof/>
            <w:webHidden/>
          </w:rPr>
          <w:fldChar w:fldCharType="end"/>
        </w:r>
      </w:hyperlink>
    </w:p>
    <w:p w14:paraId="56B124DA" w14:textId="4D8323CD" w:rsidR="00927B94" w:rsidRPr="00927B94" w:rsidRDefault="00C64CBA">
      <w:pPr>
        <w:pStyle w:val="Zoznamobrzkov"/>
        <w:tabs>
          <w:tab w:val="right" w:pos="8920"/>
        </w:tabs>
        <w:rPr>
          <w:rFonts w:asciiTheme="minorHAnsi" w:eastAsiaTheme="minorEastAsia" w:hAnsiTheme="minorHAnsi"/>
          <w:noProof/>
          <w:lang w:eastAsia="sk-SK"/>
        </w:rPr>
      </w:pPr>
      <w:hyperlink w:anchor="_Toc196389249" w:history="1">
        <w:r w:rsidR="00927B94" w:rsidRPr="00927B94">
          <w:rPr>
            <w:rStyle w:val="Hypertextovprepojenie"/>
            <w:rFonts w:cs="Times New Roman"/>
            <w:bCs/>
            <w:noProof/>
          </w:rPr>
          <w:t>Tabuľka 2 - Vývoj HDP a jeho hlavných zložiek</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_Toc196389249 \h </w:instrText>
        </w:r>
        <w:r w:rsidR="00927B94" w:rsidRPr="00927B94">
          <w:rPr>
            <w:noProof/>
            <w:webHidden/>
          </w:rPr>
        </w:r>
        <w:r w:rsidR="00927B94" w:rsidRPr="00927B94">
          <w:rPr>
            <w:noProof/>
            <w:webHidden/>
          </w:rPr>
          <w:fldChar w:fldCharType="separate"/>
        </w:r>
        <w:r>
          <w:rPr>
            <w:noProof/>
            <w:webHidden/>
          </w:rPr>
          <w:t>6</w:t>
        </w:r>
        <w:r w:rsidR="00927B94" w:rsidRPr="00927B94">
          <w:rPr>
            <w:noProof/>
            <w:webHidden/>
          </w:rPr>
          <w:fldChar w:fldCharType="end"/>
        </w:r>
      </w:hyperlink>
    </w:p>
    <w:p w14:paraId="64DF98BC" w14:textId="3B638ADE" w:rsidR="00927B94" w:rsidRPr="00927B94" w:rsidRDefault="00C64CBA">
      <w:pPr>
        <w:pStyle w:val="Zoznamobrzkov"/>
        <w:tabs>
          <w:tab w:val="right" w:pos="8920"/>
        </w:tabs>
        <w:rPr>
          <w:rFonts w:asciiTheme="minorHAnsi" w:eastAsiaTheme="minorEastAsia" w:hAnsiTheme="minorHAnsi"/>
          <w:noProof/>
          <w:lang w:eastAsia="sk-SK"/>
        </w:rPr>
      </w:pPr>
      <w:hyperlink w:anchor="_Toc196389250" w:history="1">
        <w:r w:rsidR="00927B94" w:rsidRPr="00927B94">
          <w:rPr>
            <w:rStyle w:val="Hypertextovprepojenie"/>
            <w:rFonts w:cs="Times New Roman"/>
            <w:bCs/>
            <w:noProof/>
          </w:rPr>
          <w:t>Tabuľka 3 - Porovnanie skutočnosti s predpokladmi pre tvorbu rozpočtu na roky 2024-2026</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_Toc196389250 \h </w:instrText>
        </w:r>
        <w:r w:rsidR="00927B94" w:rsidRPr="00927B94">
          <w:rPr>
            <w:noProof/>
            <w:webHidden/>
          </w:rPr>
        </w:r>
        <w:r w:rsidR="00927B94" w:rsidRPr="00927B94">
          <w:rPr>
            <w:noProof/>
            <w:webHidden/>
          </w:rPr>
          <w:fldChar w:fldCharType="separate"/>
        </w:r>
        <w:r>
          <w:rPr>
            <w:noProof/>
            <w:webHidden/>
          </w:rPr>
          <w:t>8</w:t>
        </w:r>
        <w:r w:rsidR="00927B94" w:rsidRPr="00927B94">
          <w:rPr>
            <w:noProof/>
            <w:webHidden/>
          </w:rPr>
          <w:fldChar w:fldCharType="end"/>
        </w:r>
      </w:hyperlink>
    </w:p>
    <w:p w14:paraId="70F34075" w14:textId="668ED664" w:rsidR="00927B94" w:rsidRPr="00927B94" w:rsidRDefault="00C64CBA">
      <w:pPr>
        <w:pStyle w:val="Zoznamobrzkov"/>
        <w:tabs>
          <w:tab w:val="right" w:pos="8920"/>
        </w:tabs>
        <w:rPr>
          <w:rFonts w:asciiTheme="minorHAnsi" w:eastAsiaTheme="minorEastAsia" w:hAnsiTheme="minorHAnsi"/>
          <w:noProof/>
          <w:lang w:eastAsia="sk-SK"/>
        </w:rPr>
      </w:pPr>
      <w:hyperlink w:anchor="_Toc196389251" w:history="1">
        <w:r w:rsidR="00927B94" w:rsidRPr="00927B94">
          <w:rPr>
            <w:rStyle w:val="Hypertextovprepojenie"/>
            <w:rFonts w:cs="Times New Roman"/>
            <w:bCs/>
            <w:noProof/>
          </w:rPr>
          <w:t>Tabuľka 4 - Prognóza vybraných ukazovateľov ekonomiky (december 2023)</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_Toc196389251 \h </w:instrText>
        </w:r>
        <w:r w:rsidR="00927B94" w:rsidRPr="00927B94">
          <w:rPr>
            <w:noProof/>
            <w:webHidden/>
          </w:rPr>
        </w:r>
        <w:r w:rsidR="00927B94" w:rsidRPr="00927B94">
          <w:rPr>
            <w:noProof/>
            <w:webHidden/>
          </w:rPr>
          <w:fldChar w:fldCharType="separate"/>
        </w:r>
        <w:r>
          <w:rPr>
            <w:noProof/>
            <w:webHidden/>
          </w:rPr>
          <w:t>9</w:t>
        </w:r>
        <w:r w:rsidR="00927B94" w:rsidRPr="00927B94">
          <w:rPr>
            <w:noProof/>
            <w:webHidden/>
          </w:rPr>
          <w:fldChar w:fldCharType="end"/>
        </w:r>
      </w:hyperlink>
    </w:p>
    <w:p w14:paraId="3EFCB261" w14:textId="3E45572F" w:rsidR="00927B94" w:rsidRPr="00927B94" w:rsidRDefault="00C64CBA">
      <w:pPr>
        <w:pStyle w:val="Zoznamobrzkov"/>
        <w:tabs>
          <w:tab w:val="right" w:pos="8920"/>
        </w:tabs>
        <w:rPr>
          <w:rFonts w:asciiTheme="minorHAnsi" w:eastAsiaTheme="minorEastAsia" w:hAnsiTheme="minorHAnsi"/>
          <w:noProof/>
          <w:lang w:eastAsia="sk-SK"/>
        </w:rPr>
      </w:pPr>
      <w:hyperlink w:anchor="_Toc196389252" w:history="1">
        <w:r w:rsidR="00927B94" w:rsidRPr="00927B94">
          <w:rPr>
            <w:rStyle w:val="Hypertextovprepojenie"/>
            <w:rFonts w:cs="Times New Roman"/>
            <w:bCs/>
            <w:iCs/>
            <w:noProof/>
          </w:rPr>
          <w:t>Tabuľka 5 - Porovnanie prognóz Európskej komisie (EK) a MF SR</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_Toc196389252 \h </w:instrText>
        </w:r>
        <w:r w:rsidR="00927B94" w:rsidRPr="00927B94">
          <w:rPr>
            <w:noProof/>
            <w:webHidden/>
          </w:rPr>
        </w:r>
        <w:r w:rsidR="00927B94" w:rsidRPr="00927B94">
          <w:rPr>
            <w:noProof/>
            <w:webHidden/>
          </w:rPr>
          <w:fldChar w:fldCharType="separate"/>
        </w:r>
        <w:r>
          <w:rPr>
            <w:noProof/>
            <w:webHidden/>
          </w:rPr>
          <w:t>9</w:t>
        </w:r>
        <w:r w:rsidR="00927B94" w:rsidRPr="00927B94">
          <w:rPr>
            <w:noProof/>
            <w:webHidden/>
          </w:rPr>
          <w:fldChar w:fldCharType="end"/>
        </w:r>
      </w:hyperlink>
    </w:p>
    <w:p w14:paraId="7F540009" w14:textId="641643DE" w:rsidR="00927B94" w:rsidRPr="00927B94" w:rsidRDefault="00C64CBA">
      <w:pPr>
        <w:pStyle w:val="Zoznamobrzkov"/>
        <w:tabs>
          <w:tab w:val="right" w:pos="8920"/>
        </w:tabs>
        <w:rPr>
          <w:rFonts w:asciiTheme="minorHAnsi" w:eastAsiaTheme="minorEastAsia" w:hAnsiTheme="minorHAnsi"/>
          <w:noProof/>
          <w:lang w:eastAsia="sk-SK"/>
        </w:rPr>
      </w:pPr>
      <w:hyperlink w:anchor="_Toc196389253" w:history="1">
        <w:r w:rsidR="00927B94" w:rsidRPr="00927B94">
          <w:rPr>
            <w:rStyle w:val="Hypertextovprepojenie"/>
            <w:noProof/>
          </w:rPr>
          <w:t>Tabuľka 6 - Bilancia rozpočtu verejnej správy v metodike ESA 2010</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_Toc196389253 \h </w:instrText>
        </w:r>
        <w:r w:rsidR="00927B94" w:rsidRPr="00927B94">
          <w:rPr>
            <w:noProof/>
            <w:webHidden/>
          </w:rPr>
        </w:r>
        <w:r w:rsidR="00927B94" w:rsidRPr="00927B94">
          <w:rPr>
            <w:noProof/>
            <w:webHidden/>
          </w:rPr>
          <w:fldChar w:fldCharType="separate"/>
        </w:r>
        <w:r>
          <w:rPr>
            <w:noProof/>
            <w:webHidden/>
          </w:rPr>
          <w:t>13</w:t>
        </w:r>
        <w:r w:rsidR="00927B94" w:rsidRPr="00927B94">
          <w:rPr>
            <w:noProof/>
            <w:webHidden/>
          </w:rPr>
          <w:fldChar w:fldCharType="end"/>
        </w:r>
      </w:hyperlink>
    </w:p>
    <w:p w14:paraId="54926070" w14:textId="580EEE02" w:rsidR="00927B94" w:rsidRPr="00927B94" w:rsidRDefault="00C64CBA">
      <w:pPr>
        <w:pStyle w:val="Zoznamobrzkov"/>
        <w:tabs>
          <w:tab w:val="right" w:pos="8920"/>
        </w:tabs>
        <w:rPr>
          <w:rFonts w:asciiTheme="minorHAnsi" w:eastAsiaTheme="minorEastAsia" w:hAnsiTheme="minorHAnsi"/>
          <w:noProof/>
          <w:lang w:eastAsia="sk-SK"/>
        </w:rPr>
      </w:pPr>
      <w:hyperlink w:anchor="_Toc196389254" w:history="1">
        <w:r w:rsidR="00927B94" w:rsidRPr="00927B94">
          <w:rPr>
            <w:rStyle w:val="Hypertextovprepojenie"/>
            <w:rFonts w:eastAsia="Times New Roman" w:cs="Times New Roman"/>
            <w:bCs/>
            <w:noProof/>
            <w:lang w:eastAsia="sk-SK"/>
          </w:rPr>
          <w:t xml:space="preserve">Tabuľka 7 - Saldo verejnej správy </w:t>
        </w:r>
        <w:r w:rsidR="00927B94" w:rsidRPr="00927B94">
          <w:rPr>
            <w:rStyle w:val="Hypertextovprepojenie"/>
            <w:noProof/>
          </w:rPr>
          <w:t xml:space="preserve">v metodike </w:t>
        </w:r>
        <w:r w:rsidR="00927B94" w:rsidRPr="00927B94">
          <w:rPr>
            <w:rStyle w:val="Hypertextovprepojenie"/>
            <w:rFonts w:eastAsia="Times New Roman" w:cs="Times New Roman"/>
            <w:bCs/>
            <w:noProof/>
            <w:lang w:eastAsia="sk-SK"/>
          </w:rPr>
          <w:t>ESA2010 - rozdiel oproti rozpočtu</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_Toc196389254 \h </w:instrText>
        </w:r>
        <w:r w:rsidR="00927B94" w:rsidRPr="00927B94">
          <w:rPr>
            <w:noProof/>
            <w:webHidden/>
          </w:rPr>
        </w:r>
        <w:r w:rsidR="00927B94" w:rsidRPr="00927B94">
          <w:rPr>
            <w:noProof/>
            <w:webHidden/>
          </w:rPr>
          <w:fldChar w:fldCharType="separate"/>
        </w:r>
        <w:r>
          <w:rPr>
            <w:noProof/>
            <w:webHidden/>
          </w:rPr>
          <w:t>14</w:t>
        </w:r>
        <w:r w:rsidR="00927B94" w:rsidRPr="00927B94">
          <w:rPr>
            <w:noProof/>
            <w:webHidden/>
          </w:rPr>
          <w:fldChar w:fldCharType="end"/>
        </w:r>
      </w:hyperlink>
    </w:p>
    <w:p w14:paraId="0E8A9C9B" w14:textId="1FFBE154" w:rsidR="00927B94" w:rsidRPr="00927B94" w:rsidRDefault="00C64CBA">
      <w:pPr>
        <w:pStyle w:val="Zoznamobrzkov"/>
        <w:tabs>
          <w:tab w:val="right" w:pos="8920"/>
        </w:tabs>
        <w:rPr>
          <w:rFonts w:asciiTheme="minorHAnsi" w:eastAsiaTheme="minorEastAsia" w:hAnsiTheme="minorHAnsi"/>
          <w:noProof/>
          <w:lang w:eastAsia="sk-SK"/>
        </w:rPr>
      </w:pPr>
      <w:hyperlink w:anchor="_Toc196389255" w:history="1">
        <w:r w:rsidR="00927B94" w:rsidRPr="00927B94">
          <w:rPr>
            <w:rStyle w:val="Hypertextovprepojenie"/>
            <w:noProof/>
          </w:rPr>
          <w:t>Tabuľka 8 - Vybrané daňové a odvodové príjmy v metodike ESA2010</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_Toc196389255 \h </w:instrText>
        </w:r>
        <w:r w:rsidR="00927B94" w:rsidRPr="00927B94">
          <w:rPr>
            <w:noProof/>
            <w:webHidden/>
          </w:rPr>
        </w:r>
        <w:r w:rsidR="00927B94" w:rsidRPr="00927B94">
          <w:rPr>
            <w:noProof/>
            <w:webHidden/>
          </w:rPr>
          <w:fldChar w:fldCharType="separate"/>
        </w:r>
        <w:r>
          <w:rPr>
            <w:noProof/>
            <w:webHidden/>
          </w:rPr>
          <w:t>16</w:t>
        </w:r>
        <w:r w:rsidR="00927B94" w:rsidRPr="00927B94">
          <w:rPr>
            <w:noProof/>
            <w:webHidden/>
          </w:rPr>
          <w:fldChar w:fldCharType="end"/>
        </w:r>
      </w:hyperlink>
    </w:p>
    <w:p w14:paraId="76A699B5" w14:textId="2A155687" w:rsidR="00927B94" w:rsidRPr="00927B94" w:rsidRDefault="00C64CBA">
      <w:pPr>
        <w:pStyle w:val="Zoznamobrzkov"/>
        <w:tabs>
          <w:tab w:val="right" w:pos="8920"/>
        </w:tabs>
        <w:rPr>
          <w:rFonts w:asciiTheme="minorHAnsi" w:eastAsiaTheme="minorEastAsia" w:hAnsiTheme="minorHAnsi"/>
          <w:noProof/>
          <w:lang w:eastAsia="sk-SK"/>
        </w:rPr>
      </w:pPr>
      <w:hyperlink w:anchor="_Toc196389256" w:history="1">
        <w:r w:rsidR="00927B94" w:rsidRPr="00927B94">
          <w:rPr>
            <w:rStyle w:val="Hypertextovprepojenie"/>
            <w:noProof/>
          </w:rPr>
          <w:t>Tabuľka 9 - Legislatívne zmeny nezapracované v rozpočte VS na roky 2024-2027</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_Toc196389256 \h </w:instrText>
        </w:r>
        <w:r w:rsidR="00927B94" w:rsidRPr="00927B94">
          <w:rPr>
            <w:noProof/>
            <w:webHidden/>
          </w:rPr>
        </w:r>
        <w:r w:rsidR="00927B94" w:rsidRPr="00927B94">
          <w:rPr>
            <w:noProof/>
            <w:webHidden/>
          </w:rPr>
          <w:fldChar w:fldCharType="separate"/>
        </w:r>
        <w:r>
          <w:rPr>
            <w:noProof/>
            <w:webHidden/>
          </w:rPr>
          <w:t>17</w:t>
        </w:r>
        <w:r w:rsidR="00927B94" w:rsidRPr="00927B94">
          <w:rPr>
            <w:noProof/>
            <w:webHidden/>
          </w:rPr>
          <w:fldChar w:fldCharType="end"/>
        </w:r>
      </w:hyperlink>
    </w:p>
    <w:p w14:paraId="7063A5D1" w14:textId="5058E897" w:rsidR="00927B94" w:rsidRPr="00927B94" w:rsidRDefault="00C64CBA">
      <w:pPr>
        <w:pStyle w:val="Zoznamobrzkov"/>
        <w:tabs>
          <w:tab w:val="right" w:pos="8920"/>
        </w:tabs>
        <w:rPr>
          <w:rFonts w:asciiTheme="minorHAnsi" w:eastAsiaTheme="minorEastAsia" w:hAnsiTheme="minorHAnsi"/>
          <w:noProof/>
          <w:lang w:eastAsia="sk-SK"/>
        </w:rPr>
      </w:pPr>
      <w:hyperlink w:anchor="_Toc196389257" w:history="1">
        <w:r w:rsidR="00927B94" w:rsidRPr="00927B94">
          <w:rPr>
            <w:rStyle w:val="Hypertextovprepojenie"/>
            <w:noProof/>
          </w:rPr>
          <w:t>Tabuľka 10 - Príjmy ŠR z dividend a odvodov zo zisku v metodike ESA2010</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_Toc196389257 \h </w:instrText>
        </w:r>
        <w:r w:rsidR="00927B94" w:rsidRPr="00927B94">
          <w:rPr>
            <w:noProof/>
            <w:webHidden/>
          </w:rPr>
        </w:r>
        <w:r w:rsidR="00927B94" w:rsidRPr="00927B94">
          <w:rPr>
            <w:noProof/>
            <w:webHidden/>
          </w:rPr>
          <w:fldChar w:fldCharType="separate"/>
        </w:r>
        <w:r>
          <w:rPr>
            <w:noProof/>
            <w:webHidden/>
          </w:rPr>
          <w:t>19</w:t>
        </w:r>
        <w:r w:rsidR="00927B94" w:rsidRPr="00927B94">
          <w:rPr>
            <w:noProof/>
            <w:webHidden/>
          </w:rPr>
          <w:fldChar w:fldCharType="end"/>
        </w:r>
      </w:hyperlink>
    </w:p>
    <w:p w14:paraId="39DD46E0" w14:textId="0B85009E" w:rsidR="00927B94" w:rsidRPr="00927B94" w:rsidRDefault="00C64CBA">
      <w:pPr>
        <w:pStyle w:val="Zoznamobrzkov"/>
        <w:tabs>
          <w:tab w:val="right" w:pos="8920"/>
        </w:tabs>
        <w:rPr>
          <w:rFonts w:asciiTheme="minorHAnsi" w:eastAsiaTheme="minorEastAsia" w:hAnsiTheme="minorHAnsi"/>
          <w:noProof/>
          <w:lang w:eastAsia="sk-SK"/>
        </w:rPr>
      </w:pPr>
      <w:hyperlink w:anchor="_Toc196389258" w:history="1">
        <w:r w:rsidR="00927B94" w:rsidRPr="00927B94">
          <w:rPr>
            <w:rStyle w:val="Hypertextovprepojenie"/>
            <w:noProof/>
          </w:rPr>
          <w:t>Tabuľka 11 - Akruálne výdavky na energopomoc 2024</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_Toc196389258 \h </w:instrText>
        </w:r>
        <w:r w:rsidR="00927B94" w:rsidRPr="00927B94">
          <w:rPr>
            <w:noProof/>
            <w:webHidden/>
          </w:rPr>
        </w:r>
        <w:r w:rsidR="00927B94" w:rsidRPr="00927B94">
          <w:rPr>
            <w:noProof/>
            <w:webHidden/>
          </w:rPr>
          <w:fldChar w:fldCharType="separate"/>
        </w:r>
        <w:r>
          <w:rPr>
            <w:noProof/>
            <w:webHidden/>
          </w:rPr>
          <w:t>25</w:t>
        </w:r>
        <w:r w:rsidR="00927B94" w:rsidRPr="00927B94">
          <w:rPr>
            <w:noProof/>
            <w:webHidden/>
          </w:rPr>
          <w:fldChar w:fldCharType="end"/>
        </w:r>
      </w:hyperlink>
    </w:p>
    <w:p w14:paraId="78F4D444" w14:textId="194ECBD8" w:rsidR="00927B94" w:rsidRPr="00927B94" w:rsidRDefault="00C64CBA">
      <w:pPr>
        <w:pStyle w:val="Zoznamobrzkov"/>
        <w:tabs>
          <w:tab w:val="right" w:pos="8920"/>
        </w:tabs>
        <w:rPr>
          <w:rFonts w:asciiTheme="minorHAnsi" w:eastAsiaTheme="minorEastAsia" w:hAnsiTheme="minorHAnsi"/>
          <w:noProof/>
          <w:lang w:eastAsia="sk-SK"/>
        </w:rPr>
      </w:pPr>
      <w:hyperlink w:anchor="_Toc196389259" w:history="1">
        <w:r w:rsidR="00927B94" w:rsidRPr="00927B94">
          <w:rPr>
            <w:rStyle w:val="Hypertextovprepojenie"/>
            <w:rFonts w:eastAsia="Times New Roman" w:cs="Times New Roman"/>
            <w:bCs/>
            <w:noProof/>
            <w:lang w:eastAsia="sk-SK"/>
          </w:rPr>
          <w:t>Tabuľka 12 - Schodok verejnej správy podľa jednotlivých subjektov (zložiek)</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_Toc196389259 \h </w:instrText>
        </w:r>
        <w:r w:rsidR="00927B94" w:rsidRPr="00927B94">
          <w:rPr>
            <w:noProof/>
            <w:webHidden/>
          </w:rPr>
        </w:r>
        <w:r w:rsidR="00927B94" w:rsidRPr="00927B94">
          <w:rPr>
            <w:noProof/>
            <w:webHidden/>
          </w:rPr>
          <w:fldChar w:fldCharType="separate"/>
        </w:r>
        <w:r>
          <w:rPr>
            <w:noProof/>
            <w:webHidden/>
          </w:rPr>
          <w:t>32</w:t>
        </w:r>
        <w:r w:rsidR="00927B94" w:rsidRPr="00927B94">
          <w:rPr>
            <w:noProof/>
            <w:webHidden/>
          </w:rPr>
          <w:fldChar w:fldCharType="end"/>
        </w:r>
      </w:hyperlink>
    </w:p>
    <w:p w14:paraId="63802D30" w14:textId="2C81D230" w:rsidR="00927B94" w:rsidRPr="00927B94" w:rsidRDefault="00C64CBA">
      <w:pPr>
        <w:pStyle w:val="Zoznamobrzkov"/>
        <w:tabs>
          <w:tab w:val="right" w:pos="8920"/>
        </w:tabs>
        <w:rPr>
          <w:rFonts w:asciiTheme="minorHAnsi" w:eastAsiaTheme="minorEastAsia" w:hAnsiTheme="minorHAnsi"/>
          <w:noProof/>
          <w:lang w:eastAsia="sk-SK"/>
        </w:rPr>
      </w:pPr>
      <w:hyperlink w:anchor="_Toc196389260" w:history="1">
        <w:r w:rsidR="00927B94" w:rsidRPr="00927B94">
          <w:rPr>
            <w:rStyle w:val="Hypertextovprepojenie"/>
            <w:rFonts w:cs="Times New Roman"/>
            <w:noProof/>
          </w:rPr>
          <w:t>Tabuľka 13 - Štruktúra hrubého dlhu verejnej správy (% v HDP</w:t>
        </w:r>
        <w:r w:rsidR="00927B94" w:rsidRPr="00927B94">
          <w:rPr>
            <w:rStyle w:val="Hypertextovprepojenie"/>
            <w:noProof/>
          </w:rPr>
          <w:t>)</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_Toc196389260 \h </w:instrText>
        </w:r>
        <w:r w:rsidR="00927B94" w:rsidRPr="00927B94">
          <w:rPr>
            <w:noProof/>
            <w:webHidden/>
          </w:rPr>
        </w:r>
        <w:r w:rsidR="00927B94" w:rsidRPr="00927B94">
          <w:rPr>
            <w:noProof/>
            <w:webHidden/>
          </w:rPr>
          <w:fldChar w:fldCharType="separate"/>
        </w:r>
        <w:r>
          <w:rPr>
            <w:noProof/>
            <w:webHidden/>
          </w:rPr>
          <w:t>34</w:t>
        </w:r>
        <w:r w:rsidR="00927B94" w:rsidRPr="00927B94">
          <w:rPr>
            <w:noProof/>
            <w:webHidden/>
          </w:rPr>
          <w:fldChar w:fldCharType="end"/>
        </w:r>
      </w:hyperlink>
    </w:p>
    <w:p w14:paraId="47526746" w14:textId="62415EBD" w:rsidR="00927B94" w:rsidRPr="00927B94" w:rsidRDefault="00C64CBA">
      <w:pPr>
        <w:pStyle w:val="Zoznamobrzkov"/>
        <w:tabs>
          <w:tab w:val="right" w:pos="8920"/>
        </w:tabs>
        <w:rPr>
          <w:rFonts w:asciiTheme="minorHAnsi" w:eastAsiaTheme="minorEastAsia" w:hAnsiTheme="minorHAnsi"/>
          <w:noProof/>
          <w:lang w:eastAsia="sk-SK"/>
        </w:rPr>
      </w:pPr>
      <w:hyperlink w:anchor="_Toc196389261" w:history="1">
        <w:r w:rsidR="00927B94" w:rsidRPr="00927B94">
          <w:rPr>
            <w:rStyle w:val="Hypertextovprepojenie"/>
            <w:rFonts w:eastAsia="Times New Roman" w:cs="Times New Roman"/>
            <w:bCs/>
            <w:noProof/>
            <w:lang w:eastAsia="sk-SK"/>
          </w:rPr>
          <w:t>Tabuľka 14 - Maastrichtský dlh VS podľa jednotlivých subjektov (zložiek)</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_Toc196389261 \h </w:instrText>
        </w:r>
        <w:r w:rsidR="00927B94" w:rsidRPr="00927B94">
          <w:rPr>
            <w:noProof/>
            <w:webHidden/>
          </w:rPr>
        </w:r>
        <w:r w:rsidR="00927B94" w:rsidRPr="00927B94">
          <w:rPr>
            <w:noProof/>
            <w:webHidden/>
          </w:rPr>
          <w:fldChar w:fldCharType="separate"/>
        </w:r>
        <w:r>
          <w:rPr>
            <w:noProof/>
            <w:webHidden/>
          </w:rPr>
          <w:t>35</w:t>
        </w:r>
        <w:r w:rsidR="00927B94" w:rsidRPr="00927B94">
          <w:rPr>
            <w:noProof/>
            <w:webHidden/>
          </w:rPr>
          <w:fldChar w:fldCharType="end"/>
        </w:r>
      </w:hyperlink>
    </w:p>
    <w:p w14:paraId="3F50C44B" w14:textId="244C5103" w:rsidR="00927B94" w:rsidRPr="00927B94" w:rsidRDefault="00C64CBA">
      <w:pPr>
        <w:pStyle w:val="Zoznamobrzkov"/>
        <w:tabs>
          <w:tab w:val="right" w:pos="8920"/>
        </w:tabs>
        <w:rPr>
          <w:rFonts w:asciiTheme="minorHAnsi" w:eastAsiaTheme="minorEastAsia" w:hAnsiTheme="minorHAnsi"/>
          <w:noProof/>
          <w:lang w:eastAsia="sk-SK"/>
        </w:rPr>
      </w:pPr>
      <w:hyperlink w:anchor="_Toc196389262" w:history="1">
        <w:r w:rsidR="00927B94" w:rsidRPr="00927B94">
          <w:rPr>
            <w:rStyle w:val="Hypertextovprepojenie"/>
            <w:rFonts w:eastAsia="Times New Roman" w:cs="Times New Roman"/>
            <w:bCs/>
            <w:noProof/>
            <w:lang w:eastAsia="sk-SK"/>
          </w:rPr>
          <w:t>Tabuľka 15 - Štruktúra štátneho dlhu podľa dlhových nástrojov</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_Toc196389262 \h </w:instrText>
        </w:r>
        <w:r w:rsidR="00927B94" w:rsidRPr="00927B94">
          <w:rPr>
            <w:noProof/>
            <w:webHidden/>
          </w:rPr>
        </w:r>
        <w:r w:rsidR="00927B94" w:rsidRPr="00927B94">
          <w:rPr>
            <w:noProof/>
            <w:webHidden/>
          </w:rPr>
          <w:fldChar w:fldCharType="separate"/>
        </w:r>
        <w:r>
          <w:rPr>
            <w:noProof/>
            <w:webHidden/>
          </w:rPr>
          <w:t>37</w:t>
        </w:r>
        <w:r w:rsidR="00927B94" w:rsidRPr="00927B94">
          <w:rPr>
            <w:noProof/>
            <w:webHidden/>
          </w:rPr>
          <w:fldChar w:fldCharType="end"/>
        </w:r>
      </w:hyperlink>
    </w:p>
    <w:p w14:paraId="18873F40" w14:textId="2C315D3A" w:rsidR="00927B94" w:rsidRPr="00927B94" w:rsidRDefault="00C64CBA">
      <w:pPr>
        <w:pStyle w:val="Zoznamobrzkov"/>
        <w:tabs>
          <w:tab w:val="right" w:pos="8920"/>
        </w:tabs>
        <w:rPr>
          <w:rFonts w:asciiTheme="minorHAnsi" w:eastAsiaTheme="minorEastAsia" w:hAnsiTheme="minorHAnsi"/>
          <w:noProof/>
          <w:lang w:eastAsia="sk-SK"/>
        </w:rPr>
      </w:pPr>
      <w:hyperlink w:anchor="_Toc196389263" w:history="1">
        <w:r w:rsidR="00927B94" w:rsidRPr="00927B94">
          <w:rPr>
            <w:rStyle w:val="Hypertextovprepojenie"/>
            <w:rFonts w:eastAsia="Times New Roman" w:cs="Times New Roman"/>
            <w:bCs/>
            <w:noProof/>
            <w:lang w:eastAsia="sk-SK"/>
          </w:rPr>
          <w:t>Tabuľka 16 - Štátny dlh podľa pôvodnej splatnosti</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_Toc196389263 \h </w:instrText>
        </w:r>
        <w:r w:rsidR="00927B94" w:rsidRPr="00927B94">
          <w:rPr>
            <w:noProof/>
            <w:webHidden/>
          </w:rPr>
        </w:r>
        <w:r w:rsidR="00927B94" w:rsidRPr="00927B94">
          <w:rPr>
            <w:noProof/>
            <w:webHidden/>
          </w:rPr>
          <w:fldChar w:fldCharType="separate"/>
        </w:r>
        <w:r>
          <w:rPr>
            <w:noProof/>
            <w:webHidden/>
          </w:rPr>
          <w:t>38</w:t>
        </w:r>
        <w:r w:rsidR="00927B94" w:rsidRPr="00927B94">
          <w:rPr>
            <w:noProof/>
            <w:webHidden/>
          </w:rPr>
          <w:fldChar w:fldCharType="end"/>
        </w:r>
      </w:hyperlink>
    </w:p>
    <w:p w14:paraId="1792311A" w14:textId="28B2585F" w:rsidR="00927B94" w:rsidRPr="00927B94" w:rsidRDefault="00C64CBA">
      <w:pPr>
        <w:pStyle w:val="Zoznamobrzkov"/>
        <w:tabs>
          <w:tab w:val="right" w:pos="8920"/>
        </w:tabs>
        <w:rPr>
          <w:rFonts w:asciiTheme="minorHAnsi" w:eastAsiaTheme="minorEastAsia" w:hAnsiTheme="minorHAnsi"/>
          <w:noProof/>
          <w:lang w:eastAsia="sk-SK"/>
        </w:rPr>
      </w:pPr>
      <w:hyperlink w:anchor="_Toc196389264" w:history="1">
        <w:r w:rsidR="00927B94" w:rsidRPr="00927B94">
          <w:rPr>
            <w:rStyle w:val="Hypertextovprepojenie"/>
            <w:rFonts w:eastAsia="Times New Roman" w:cs="Times New Roman"/>
            <w:bCs/>
            <w:noProof/>
            <w:lang w:eastAsia="sk-SK"/>
          </w:rPr>
          <w:t>Tabuľka 17 - Štruktúra dlh obcí podľa dlhového nástroja</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_Toc196389264 \h </w:instrText>
        </w:r>
        <w:r w:rsidR="00927B94" w:rsidRPr="00927B94">
          <w:rPr>
            <w:noProof/>
            <w:webHidden/>
          </w:rPr>
        </w:r>
        <w:r w:rsidR="00927B94" w:rsidRPr="00927B94">
          <w:rPr>
            <w:noProof/>
            <w:webHidden/>
          </w:rPr>
          <w:fldChar w:fldCharType="separate"/>
        </w:r>
        <w:r>
          <w:rPr>
            <w:noProof/>
            <w:webHidden/>
          </w:rPr>
          <w:t>38</w:t>
        </w:r>
        <w:r w:rsidR="00927B94" w:rsidRPr="00927B94">
          <w:rPr>
            <w:noProof/>
            <w:webHidden/>
          </w:rPr>
          <w:fldChar w:fldCharType="end"/>
        </w:r>
      </w:hyperlink>
    </w:p>
    <w:p w14:paraId="5E72646C" w14:textId="3BFB94FF" w:rsidR="00927B94" w:rsidRPr="00927B94" w:rsidRDefault="00C64CBA">
      <w:pPr>
        <w:pStyle w:val="Zoznamobrzkov"/>
        <w:tabs>
          <w:tab w:val="right" w:pos="8920"/>
        </w:tabs>
        <w:rPr>
          <w:rFonts w:asciiTheme="minorHAnsi" w:eastAsiaTheme="minorEastAsia" w:hAnsiTheme="minorHAnsi"/>
          <w:noProof/>
          <w:lang w:eastAsia="sk-SK"/>
        </w:rPr>
      </w:pPr>
      <w:hyperlink w:anchor="_Toc196389265" w:history="1">
        <w:r w:rsidR="00927B94" w:rsidRPr="00927B94">
          <w:rPr>
            <w:rStyle w:val="Hypertextovprepojenie"/>
            <w:rFonts w:eastAsia="Times New Roman" w:cs="Times New Roman"/>
            <w:bCs/>
            <w:noProof/>
            <w:lang w:eastAsia="sk-SK"/>
          </w:rPr>
          <w:t>Tabuľka 18 - Štruktúra dlhu VÚC podľa dlhového nástroja</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_Toc196389265 \h </w:instrText>
        </w:r>
        <w:r w:rsidR="00927B94" w:rsidRPr="00927B94">
          <w:rPr>
            <w:noProof/>
            <w:webHidden/>
          </w:rPr>
        </w:r>
        <w:r w:rsidR="00927B94" w:rsidRPr="00927B94">
          <w:rPr>
            <w:noProof/>
            <w:webHidden/>
          </w:rPr>
          <w:fldChar w:fldCharType="separate"/>
        </w:r>
        <w:r>
          <w:rPr>
            <w:noProof/>
            <w:webHidden/>
          </w:rPr>
          <w:t>39</w:t>
        </w:r>
        <w:r w:rsidR="00927B94" w:rsidRPr="00927B94">
          <w:rPr>
            <w:noProof/>
            <w:webHidden/>
          </w:rPr>
          <w:fldChar w:fldCharType="end"/>
        </w:r>
      </w:hyperlink>
    </w:p>
    <w:p w14:paraId="658362FE" w14:textId="4E45071E" w:rsidR="00927B94" w:rsidRPr="00927B94" w:rsidRDefault="00C64CBA">
      <w:pPr>
        <w:pStyle w:val="Zoznamobrzkov"/>
        <w:tabs>
          <w:tab w:val="right" w:pos="8920"/>
        </w:tabs>
        <w:rPr>
          <w:rFonts w:asciiTheme="minorHAnsi" w:eastAsiaTheme="minorEastAsia" w:hAnsiTheme="minorHAnsi"/>
          <w:noProof/>
          <w:lang w:eastAsia="sk-SK"/>
        </w:rPr>
      </w:pPr>
      <w:hyperlink w:anchor="_Toc196389266" w:history="1">
        <w:r w:rsidR="00927B94" w:rsidRPr="00927B94">
          <w:rPr>
            <w:rStyle w:val="Hypertextovprepojenie"/>
            <w:rFonts w:eastAsia="Times New Roman" w:cs="Times New Roman"/>
            <w:bCs/>
            <w:noProof/>
            <w:lang w:eastAsia="sk-SK"/>
          </w:rPr>
          <w:t>Tabuľka 19 - Nekonsolidovaný dlh VÚC podľa samosprávnych krajov k 31.12.2024</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_Toc196389266 \h </w:instrText>
        </w:r>
        <w:r w:rsidR="00927B94" w:rsidRPr="00927B94">
          <w:rPr>
            <w:noProof/>
            <w:webHidden/>
          </w:rPr>
        </w:r>
        <w:r w:rsidR="00927B94" w:rsidRPr="00927B94">
          <w:rPr>
            <w:noProof/>
            <w:webHidden/>
          </w:rPr>
          <w:fldChar w:fldCharType="separate"/>
        </w:r>
        <w:r>
          <w:rPr>
            <w:noProof/>
            <w:webHidden/>
          </w:rPr>
          <w:t>40</w:t>
        </w:r>
        <w:r w:rsidR="00927B94" w:rsidRPr="00927B94">
          <w:rPr>
            <w:noProof/>
            <w:webHidden/>
          </w:rPr>
          <w:fldChar w:fldCharType="end"/>
        </w:r>
      </w:hyperlink>
    </w:p>
    <w:p w14:paraId="7C79895B" w14:textId="27BE1181" w:rsidR="00927B94" w:rsidRPr="00927B94" w:rsidRDefault="00C64CBA">
      <w:pPr>
        <w:pStyle w:val="Zoznamobrzkov"/>
        <w:tabs>
          <w:tab w:val="right" w:pos="8920"/>
        </w:tabs>
        <w:rPr>
          <w:rFonts w:asciiTheme="minorHAnsi" w:eastAsiaTheme="minorEastAsia" w:hAnsiTheme="minorHAnsi"/>
          <w:noProof/>
          <w:lang w:eastAsia="sk-SK"/>
        </w:rPr>
      </w:pPr>
      <w:hyperlink w:anchor="_Toc196389267" w:history="1">
        <w:r w:rsidR="00927B94" w:rsidRPr="00927B94">
          <w:rPr>
            <w:rStyle w:val="Hypertextovprepojenie"/>
            <w:rFonts w:eastAsia="Times New Roman" w:cs="Times New Roman"/>
            <w:bCs/>
            <w:noProof/>
            <w:lang w:eastAsia="sk-SK"/>
          </w:rPr>
          <w:t>Tabuľka 20 - Výdavky verejnej správy spadajúce pod LVV – skutočnosť 2024</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_Toc196389267 \h </w:instrText>
        </w:r>
        <w:r w:rsidR="00927B94" w:rsidRPr="00927B94">
          <w:rPr>
            <w:noProof/>
            <w:webHidden/>
          </w:rPr>
        </w:r>
        <w:r w:rsidR="00927B94" w:rsidRPr="00927B94">
          <w:rPr>
            <w:noProof/>
            <w:webHidden/>
          </w:rPr>
          <w:fldChar w:fldCharType="separate"/>
        </w:r>
        <w:r>
          <w:rPr>
            <w:noProof/>
            <w:webHidden/>
          </w:rPr>
          <w:t>42</w:t>
        </w:r>
        <w:r w:rsidR="00927B94" w:rsidRPr="00927B94">
          <w:rPr>
            <w:noProof/>
            <w:webHidden/>
          </w:rPr>
          <w:fldChar w:fldCharType="end"/>
        </w:r>
      </w:hyperlink>
    </w:p>
    <w:p w14:paraId="5D975527" w14:textId="717225B3" w:rsidR="00927B94" w:rsidRPr="00927B94" w:rsidRDefault="00C64CBA">
      <w:pPr>
        <w:pStyle w:val="Zoznamobrzkov"/>
        <w:tabs>
          <w:tab w:val="right" w:pos="8920"/>
        </w:tabs>
        <w:rPr>
          <w:rFonts w:asciiTheme="minorHAnsi" w:eastAsiaTheme="minorEastAsia" w:hAnsiTheme="minorHAnsi"/>
          <w:noProof/>
          <w:lang w:eastAsia="sk-SK"/>
        </w:rPr>
      </w:pPr>
      <w:hyperlink w:anchor="_Toc196389268" w:history="1">
        <w:r w:rsidR="00927B94" w:rsidRPr="00927B94">
          <w:rPr>
            <w:rStyle w:val="Hypertextovprepojenie"/>
            <w:rFonts w:eastAsia="Times New Roman" w:cs="Times New Roman"/>
            <w:bCs/>
            <w:noProof/>
            <w:lang w:eastAsia="sk-SK"/>
          </w:rPr>
          <w:t>Tabuľka 21 - Saldo a dlh v EÚ 27 (% HDP)</w:t>
        </w:r>
        <w:r w:rsidR="00927B94" w:rsidRPr="00927B94">
          <w:rPr>
            <w:rStyle w:val="Hypertextovprepojenie"/>
            <w:rFonts w:eastAsia="Times New Roman" w:cs="Times New Roman"/>
            <w:bCs/>
            <w:noProof/>
            <w:vertAlign w:val="superscript"/>
            <w:lang w:eastAsia="sk-SK"/>
          </w:rPr>
          <w:t>1)</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_Toc196389268 \h </w:instrText>
        </w:r>
        <w:r w:rsidR="00927B94" w:rsidRPr="00927B94">
          <w:rPr>
            <w:noProof/>
            <w:webHidden/>
          </w:rPr>
        </w:r>
        <w:r w:rsidR="00927B94" w:rsidRPr="00927B94">
          <w:rPr>
            <w:noProof/>
            <w:webHidden/>
          </w:rPr>
          <w:fldChar w:fldCharType="separate"/>
        </w:r>
        <w:r>
          <w:rPr>
            <w:noProof/>
            <w:webHidden/>
          </w:rPr>
          <w:t>43</w:t>
        </w:r>
        <w:r w:rsidR="00927B94" w:rsidRPr="00927B94">
          <w:rPr>
            <w:noProof/>
            <w:webHidden/>
          </w:rPr>
          <w:fldChar w:fldCharType="end"/>
        </w:r>
      </w:hyperlink>
    </w:p>
    <w:p w14:paraId="11AAA4FE" w14:textId="52D573F1" w:rsidR="00927B94" w:rsidRPr="00927B94" w:rsidRDefault="00C64CBA">
      <w:pPr>
        <w:pStyle w:val="Zoznamobrzkov"/>
        <w:tabs>
          <w:tab w:val="right" w:pos="8920"/>
        </w:tabs>
        <w:rPr>
          <w:rFonts w:asciiTheme="minorHAnsi" w:eastAsiaTheme="minorEastAsia" w:hAnsiTheme="minorHAnsi"/>
          <w:noProof/>
          <w:lang w:eastAsia="sk-SK"/>
        </w:rPr>
      </w:pPr>
      <w:hyperlink w:anchor="_Toc196389269" w:history="1">
        <w:r w:rsidR="00927B94" w:rsidRPr="00927B94">
          <w:rPr>
            <w:rStyle w:val="Hypertextovprepojenie"/>
            <w:rFonts w:eastAsia="Times New Roman" w:cs="Times New Roman"/>
            <w:bCs/>
            <w:noProof/>
            <w:lang w:eastAsia="sk-SK"/>
          </w:rPr>
          <w:t>Tabuľka 22 - Štátny rozpočet na hotovostnej báze</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_Toc196389269 \h </w:instrText>
        </w:r>
        <w:r w:rsidR="00927B94" w:rsidRPr="00927B94">
          <w:rPr>
            <w:noProof/>
            <w:webHidden/>
          </w:rPr>
        </w:r>
        <w:r w:rsidR="00927B94" w:rsidRPr="00927B94">
          <w:rPr>
            <w:noProof/>
            <w:webHidden/>
          </w:rPr>
          <w:fldChar w:fldCharType="separate"/>
        </w:r>
        <w:r>
          <w:rPr>
            <w:noProof/>
            <w:webHidden/>
          </w:rPr>
          <w:t>45</w:t>
        </w:r>
        <w:r w:rsidR="00927B94" w:rsidRPr="00927B94">
          <w:rPr>
            <w:noProof/>
            <w:webHidden/>
          </w:rPr>
          <w:fldChar w:fldCharType="end"/>
        </w:r>
      </w:hyperlink>
    </w:p>
    <w:p w14:paraId="5A88665C" w14:textId="2D7DEEF5" w:rsidR="00927B94" w:rsidRPr="00927B94" w:rsidRDefault="00C64CBA">
      <w:pPr>
        <w:pStyle w:val="Zoznamobrzkov"/>
        <w:tabs>
          <w:tab w:val="right" w:pos="8920"/>
        </w:tabs>
        <w:rPr>
          <w:rFonts w:asciiTheme="minorHAnsi" w:eastAsiaTheme="minorEastAsia" w:hAnsiTheme="minorHAnsi"/>
          <w:noProof/>
          <w:lang w:eastAsia="sk-SK"/>
        </w:rPr>
      </w:pPr>
      <w:hyperlink w:anchor="_Toc196389270" w:history="1">
        <w:r w:rsidR="00927B94" w:rsidRPr="00927B94">
          <w:rPr>
            <w:rStyle w:val="Hypertextovprepojenie"/>
            <w:rFonts w:eastAsia="Times New Roman" w:cs="Times New Roman"/>
            <w:bCs/>
            <w:noProof/>
            <w:lang w:eastAsia="sk-SK"/>
          </w:rPr>
          <w:t>Tabuľka 23 - Základný rámec štátneho rozpočtu</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_Toc196389270 \h </w:instrText>
        </w:r>
        <w:r w:rsidR="00927B94" w:rsidRPr="00927B94">
          <w:rPr>
            <w:noProof/>
            <w:webHidden/>
          </w:rPr>
        </w:r>
        <w:r w:rsidR="00927B94" w:rsidRPr="00927B94">
          <w:rPr>
            <w:noProof/>
            <w:webHidden/>
          </w:rPr>
          <w:fldChar w:fldCharType="separate"/>
        </w:r>
        <w:r>
          <w:rPr>
            <w:noProof/>
            <w:webHidden/>
          </w:rPr>
          <w:t>46</w:t>
        </w:r>
        <w:r w:rsidR="00927B94" w:rsidRPr="00927B94">
          <w:rPr>
            <w:noProof/>
            <w:webHidden/>
          </w:rPr>
          <w:fldChar w:fldCharType="end"/>
        </w:r>
      </w:hyperlink>
    </w:p>
    <w:p w14:paraId="3DCBB934" w14:textId="18FC4B77" w:rsidR="00927B94" w:rsidRPr="00927B94" w:rsidRDefault="00C64CBA">
      <w:pPr>
        <w:pStyle w:val="Zoznamobrzkov"/>
        <w:tabs>
          <w:tab w:val="right" w:pos="8920"/>
        </w:tabs>
        <w:rPr>
          <w:rFonts w:asciiTheme="minorHAnsi" w:eastAsiaTheme="minorEastAsia" w:hAnsiTheme="minorHAnsi"/>
          <w:noProof/>
          <w:lang w:eastAsia="sk-SK"/>
        </w:rPr>
      </w:pPr>
      <w:hyperlink w:anchor="_Toc196389271" w:history="1">
        <w:r w:rsidR="00927B94" w:rsidRPr="00927B94">
          <w:rPr>
            <w:rStyle w:val="Hypertextovprepojenie"/>
            <w:rFonts w:eastAsia="Times New Roman" w:cs="Times New Roman"/>
            <w:bCs/>
            <w:noProof/>
            <w:lang w:eastAsia="sk-SK"/>
          </w:rPr>
          <w:t>Tabuľka 24 - Daňové príjmy štátneho rozpočtu na hotovostnej báze</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_Toc196389271 \h </w:instrText>
        </w:r>
        <w:r w:rsidR="00927B94" w:rsidRPr="00927B94">
          <w:rPr>
            <w:noProof/>
            <w:webHidden/>
          </w:rPr>
        </w:r>
        <w:r w:rsidR="00927B94" w:rsidRPr="00927B94">
          <w:rPr>
            <w:noProof/>
            <w:webHidden/>
          </w:rPr>
          <w:fldChar w:fldCharType="separate"/>
        </w:r>
        <w:r>
          <w:rPr>
            <w:noProof/>
            <w:webHidden/>
          </w:rPr>
          <w:t>47</w:t>
        </w:r>
        <w:r w:rsidR="00927B94" w:rsidRPr="00927B94">
          <w:rPr>
            <w:noProof/>
            <w:webHidden/>
          </w:rPr>
          <w:fldChar w:fldCharType="end"/>
        </w:r>
      </w:hyperlink>
    </w:p>
    <w:p w14:paraId="4B8CDB4E" w14:textId="5432D8EF" w:rsidR="00927B94" w:rsidRPr="00927B94" w:rsidRDefault="00C64CBA">
      <w:pPr>
        <w:pStyle w:val="Zoznamobrzkov"/>
        <w:tabs>
          <w:tab w:val="right" w:pos="8920"/>
        </w:tabs>
        <w:rPr>
          <w:rFonts w:asciiTheme="minorHAnsi" w:eastAsiaTheme="minorEastAsia" w:hAnsiTheme="minorHAnsi"/>
          <w:noProof/>
          <w:lang w:eastAsia="sk-SK"/>
        </w:rPr>
      </w:pPr>
      <w:hyperlink w:anchor="_Toc196389272" w:history="1">
        <w:r w:rsidR="00927B94" w:rsidRPr="00927B94">
          <w:rPr>
            <w:rStyle w:val="Hypertextovprepojenie"/>
            <w:rFonts w:eastAsia="Times New Roman" w:cs="Times New Roman"/>
            <w:bCs/>
            <w:noProof/>
            <w:lang w:eastAsia="sk-SK"/>
          </w:rPr>
          <w:t>Tabuľka 25 - Prevod podielu dane na osobitný účel</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_Toc196389272 \h </w:instrText>
        </w:r>
        <w:r w:rsidR="00927B94" w:rsidRPr="00927B94">
          <w:rPr>
            <w:noProof/>
            <w:webHidden/>
          </w:rPr>
        </w:r>
        <w:r w:rsidR="00927B94" w:rsidRPr="00927B94">
          <w:rPr>
            <w:noProof/>
            <w:webHidden/>
          </w:rPr>
          <w:fldChar w:fldCharType="separate"/>
        </w:r>
        <w:r>
          <w:rPr>
            <w:noProof/>
            <w:webHidden/>
          </w:rPr>
          <w:t>50</w:t>
        </w:r>
        <w:r w:rsidR="00927B94" w:rsidRPr="00927B94">
          <w:rPr>
            <w:noProof/>
            <w:webHidden/>
          </w:rPr>
          <w:fldChar w:fldCharType="end"/>
        </w:r>
      </w:hyperlink>
    </w:p>
    <w:p w14:paraId="75C609E3" w14:textId="02F4FF9D" w:rsidR="00927B94" w:rsidRPr="00927B94" w:rsidRDefault="00C64CBA">
      <w:pPr>
        <w:pStyle w:val="Zoznamobrzkov"/>
        <w:tabs>
          <w:tab w:val="right" w:pos="8920"/>
        </w:tabs>
        <w:rPr>
          <w:rFonts w:asciiTheme="minorHAnsi" w:eastAsiaTheme="minorEastAsia" w:hAnsiTheme="minorHAnsi"/>
          <w:noProof/>
          <w:lang w:eastAsia="sk-SK"/>
        </w:rPr>
      </w:pPr>
      <w:hyperlink w:anchor="_Toc196389273" w:history="1">
        <w:r w:rsidR="00927B94" w:rsidRPr="00927B94">
          <w:rPr>
            <w:rStyle w:val="Hypertextovprepojenie"/>
            <w:rFonts w:eastAsia="Times New Roman" w:cs="Times New Roman"/>
            <w:bCs/>
            <w:noProof/>
            <w:lang w:eastAsia="sk-SK"/>
          </w:rPr>
          <w:t>Tabuľka 26 - Povolené úľavy na dani a odpustenia nedoplatku / sankcie v roku 2024</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_Toc196389273 \h </w:instrText>
        </w:r>
        <w:r w:rsidR="00927B94" w:rsidRPr="00927B94">
          <w:rPr>
            <w:noProof/>
            <w:webHidden/>
          </w:rPr>
        </w:r>
        <w:r w:rsidR="00927B94" w:rsidRPr="00927B94">
          <w:rPr>
            <w:noProof/>
            <w:webHidden/>
          </w:rPr>
          <w:fldChar w:fldCharType="separate"/>
        </w:r>
        <w:r>
          <w:rPr>
            <w:noProof/>
            <w:webHidden/>
          </w:rPr>
          <w:t>51</w:t>
        </w:r>
        <w:r w:rsidR="00927B94" w:rsidRPr="00927B94">
          <w:rPr>
            <w:noProof/>
            <w:webHidden/>
          </w:rPr>
          <w:fldChar w:fldCharType="end"/>
        </w:r>
      </w:hyperlink>
    </w:p>
    <w:p w14:paraId="49763F67" w14:textId="4C67D20C" w:rsidR="00927B94" w:rsidRPr="00927B94" w:rsidRDefault="00C64CBA">
      <w:pPr>
        <w:pStyle w:val="Zoznamobrzkov"/>
        <w:tabs>
          <w:tab w:val="right" w:pos="8920"/>
        </w:tabs>
        <w:rPr>
          <w:rFonts w:asciiTheme="minorHAnsi" w:eastAsiaTheme="minorEastAsia" w:hAnsiTheme="minorHAnsi"/>
          <w:noProof/>
          <w:lang w:eastAsia="sk-SK"/>
        </w:rPr>
      </w:pPr>
      <w:hyperlink w:anchor="_Toc196389274" w:history="1">
        <w:r w:rsidR="00927B94" w:rsidRPr="00927B94">
          <w:rPr>
            <w:rStyle w:val="Hypertextovprepojenie"/>
            <w:rFonts w:eastAsia="Times New Roman" w:cs="Times New Roman"/>
            <w:bCs/>
            <w:noProof/>
            <w:lang w:eastAsia="sk-SK"/>
          </w:rPr>
          <w:t>Tabuľka 27 - Nedaňové príjmy štátneho rozpočtu na hotovostnej báze</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_Toc196389274 \h </w:instrText>
        </w:r>
        <w:r w:rsidR="00927B94" w:rsidRPr="00927B94">
          <w:rPr>
            <w:noProof/>
            <w:webHidden/>
          </w:rPr>
        </w:r>
        <w:r w:rsidR="00927B94" w:rsidRPr="00927B94">
          <w:rPr>
            <w:noProof/>
            <w:webHidden/>
          </w:rPr>
          <w:fldChar w:fldCharType="separate"/>
        </w:r>
        <w:r>
          <w:rPr>
            <w:noProof/>
            <w:webHidden/>
          </w:rPr>
          <w:t>52</w:t>
        </w:r>
        <w:r w:rsidR="00927B94" w:rsidRPr="00927B94">
          <w:rPr>
            <w:noProof/>
            <w:webHidden/>
          </w:rPr>
          <w:fldChar w:fldCharType="end"/>
        </w:r>
      </w:hyperlink>
    </w:p>
    <w:p w14:paraId="586B28A9" w14:textId="6E2DC376" w:rsidR="00927B94" w:rsidRPr="00927B94" w:rsidRDefault="00C64CBA">
      <w:pPr>
        <w:pStyle w:val="Zoznamobrzkov"/>
        <w:tabs>
          <w:tab w:val="right" w:pos="8920"/>
        </w:tabs>
        <w:rPr>
          <w:rFonts w:asciiTheme="minorHAnsi" w:eastAsiaTheme="minorEastAsia" w:hAnsiTheme="minorHAnsi"/>
          <w:noProof/>
          <w:lang w:eastAsia="sk-SK"/>
        </w:rPr>
      </w:pPr>
      <w:hyperlink w:anchor="_Toc196389275" w:history="1">
        <w:r w:rsidR="00927B94" w:rsidRPr="00927B94">
          <w:rPr>
            <w:rStyle w:val="Hypertextovprepojenie"/>
            <w:rFonts w:eastAsia="Times New Roman" w:cs="Times New Roman"/>
            <w:bCs/>
            <w:noProof/>
            <w:lang w:eastAsia="sk-SK"/>
          </w:rPr>
          <w:t>Tabuľka 28 - Hotovostné dividendy podľa kapitol ŠR</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_Toc196389275 \h </w:instrText>
        </w:r>
        <w:r w:rsidR="00927B94" w:rsidRPr="00927B94">
          <w:rPr>
            <w:noProof/>
            <w:webHidden/>
          </w:rPr>
        </w:r>
        <w:r w:rsidR="00927B94" w:rsidRPr="00927B94">
          <w:rPr>
            <w:noProof/>
            <w:webHidden/>
          </w:rPr>
          <w:fldChar w:fldCharType="separate"/>
        </w:r>
        <w:r>
          <w:rPr>
            <w:noProof/>
            <w:webHidden/>
          </w:rPr>
          <w:t>53</w:t>
        </w:r>
        <w:r w:rsidR="00927B94" w:rsidRPr="00927B94">
          <w:rPr>
            <w:noProof/>
            <w:webHidden/>
          </w:rPr>
          <w:fldChar w:fldCharType="end"/>
        </w:r>
      </w:hyperlink>
    </w:p>
    <w:p w14:paraId="2203B7DC" w14:textId="47541D7B" w:rsidR="00927B94" w:rsidRPr="00927B94" w:rsidRDefault="00C64CBA">
      <w:pPr>
        <w:pStyle w:val="Zoznamobrzkov"/>
        <w:tabs>
          <w:tab w:val="right" w:pos="8920"/>
        </w:tabs>
        <w:rPr>
          <w:rFonts w:asciiTheme="minorHAnsi" w:eastAsiaTheme="minorEastAsia" w:hAnsiTheme="minorHAnsi"/>
          <w:noProof/>
          <w:lang w:eastAsia="sk-SK"/>
        </w:rPr>
      </w:pPr>
      <w:hyperlink w:anchor="_Toc196389276" w:history="1">
        <w:r w:rsidR="00927B94" w:rsidRPr="00927B94">
          <w:rPr>
            <w:rStyle w:val="Hypertextovprepojenie"/>
            <w:rFonts w:eastAsia="Times New Roman" w:cs="Times New Roman"/>
            <w:bCs/>
            <w:noProof/>
            <w:lang w:eastAsia="sk-SK"/>
          </w:rPr>
          <w:t>Tabuľka 29 - Granty a transfery štátneho rozpočtu na hotovostnej báze</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_Toc196389276 \h </w:instrText>
        </w:r>
        <w:r w:rsidR="00927B94" w:rsidRPr="00927B94">
          <w:rPr>
            <w:noProof/>
            <w:webHidden/>
          </w:rPr>
        </w:r>
        <w:r w:rsidR="00927B94" w:rsidRPr="00927B94">
          <w:rPr>
            <w:noProof/>
            <w:webHidden/>
          </w:rPr>
          <w:fldChar w:fldCharType="separate"/>
        </w:r>
        <w:r>
          <w:rPr>
            <w:noProof/>
            <w:webHidden/>
          </w:rPr>
          <w:t>56</w:t>
        </w:r>
        <w:r w:rsidR="00927B94" w:rsidRPr="00927B94">
          <w:rPr>
            <w:noProof/>
            <w:webHidden/>
          </w:rPr>
          <w:fldChar w:fldCharType="end"/>
        </w:r>
      </w:hyperlink>
    </w:p>
    <w:p w14:paraId="03B12BF2" w14:textId="57EC8FFD" w:rsidR="00927B94" w:rsidRPr="00927B94" w:rsidRDefault="00C64CBA">
      <w:pPr>
        <w:pStyle w:val="Zoznamobrzkov"/>
        <w:tabs>
          <w:tab w:val="right" w:pos="8920"/>
        </w:tabs>
        <w:rPr>
          <w:rFonts w:asciiTheme="minorHAnsi" w:eastAsiaTheme="minorEastAsia" w:hAnsiTheme="minorHAnsi"/>
          <w:noProof/>
          <w:lang w:eastAsia="sk-SK"/>
        </w:rPr>
      </w:pPr>
      <w:hyperlink w:anchor="_Toc196389277" w:history="1">
        <w:r w:rsidR="00927B94" w:rsidRPr="00927B94">
          <w:rPr>
            <w:rStyle w:val="Hypertextovprepojenie"/>
            <w:rFonts w:eastAsia="Times New Roman" w:cs="Times New Roman"/>
            <w:bCs/>
            <w:noProof/>
            <w:lang w:eastAsia="sk-SK"/>
          </w:rPr>
          <w:t>Tabuľka 30 - Bežné výdavky štátneho rozpočtu</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_Toc196389277 \h </w:instrText>
        </w:r>
        <w:r w:rsidR="00927B94" w:rsidRPr="00927B94">
          <w:rPr>
            <w:noProof/>
            <w:webHidden/>
          </w:rPr>
        </w:r>
        <w:r w:rsidR="00927B94" w:rsidRPr="00927B94">
          <w:rPr>
            <w:noProof/>
            <w:webHidden/>
          </w:rPr>
          <w:fldChar w:fldCharType="separate"/>
        </w:r>
        <w:r>
          <w:rPr>
            <w:noProof/>
            <w:webHidden/>
          </w:rPr>
          <w:t>58</w:t>
        </w:r>
        <w:r w:rsidR="00927B94" w:rsidRPr="00927B94">
          <w:rPr>
            <w:noProof/>
            <w:webHidden/>
          </w:rPr>
          <w:fldChar w:fldCharType="end"/>
        </w:r>
      </w:hyperlink>
    </w:p>
    <w:p w14:paraId="3EEF9F28" w14:textId="65FB33F4" w:rsidR="00927B94" w:rsidRPr="00927B94" w:rsidRDefault="00C64CBA">
      <w:pPr>
        <w:pStyle w:val="Zoznamobrzkov"/>
        <w:tabs>
          <w:tab w:val="right" w:pos="8920"/>
        </w:tabs>
        <w:rPr>
          <w:rFonts w:asciiTheme="minorHAnsi" w:eastAsiaTheme="minorEastAsia" w:hAnsiTheme="minorHAnsi"/>
          <w:noProof/>
          <w:lang w:eastAsia="sk-SK"/>
        </w:rPr>
      </w:pPr>
      <w:hyperlink w:anchor="_Toc196389278" w:history="1">
        <w:r w:rsidR="00927B94" w:rsidRPr="00927B94">
          <w:rPr>
            <w:rStyle w:val="Hypertextovprepojenie"/>
            <w:rFonts w:eastAsia="Times New Roman" w:cs="Times New Roman"/>
            <w:bCs/>
            <w:noProof/>
            <w:lang w:eastAsia="sk-SK"/>
          </w:rPr>
          <w:t>Tabuľka 31 - Bežné transfery štátneho rozpočtu</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_Toc196389278 \h </w:instrText>
        </w:r>
        <w:r w:rsidR="00927B94" w:rsidRPr="00927B94">
          <w:rPr>
            <w:noProof/>
            <w:webHidden/>
          </w:rPr>
        </w:r>
        <w:r w:rsidR="00927B94" w:rsidRPr="00927B94">
          <w:rPr>
            <w:noProof/>
            <w:webHidden/>
          </w:rPr>
          <w:fldChar w:fldCharType="separate"/>
        </w:r>
        <w:r>
          <w:rPr>
            <w:noProof/>
            <w:webHidden/>
          </w:rPr>
          <w:t>64</w:t>
        </w:r>
        <w:r w:rsidR="00927B94" w:rsidRPr="00927B94">
          <w:rPr>
            <w:noProof/>
            <w:webHidden/>
          </w:rPr>
          <w:fldChar w:fldCharType="end"/>
        </w:r>
      </w:hyperlink>
    </w:p>
    <w:p w14:paraId="09B99CDF" w14:textId="65E76AE5" w:rsidR="00927B94" w:rsidRPr="00927B94" w:rsidRDefault="00C64CBA">
      <w:pPr>
        <w:pStyle w:val="Zoznamobrzkov"/>
        <w:tabs>
          <w:tab w:val="right" w:pos="8920"/>
        </w:tabs>
        <w:rPr>
          <w:rFonts w:asciiTheme="minorHAnsi" w:eastAsiaTheme="minorEastAsia" w:hAnsiTheme="minorHAnsi"/>
          <w:noProof/>
          <w:lang w:eastAsia="sk-SK"/>
        </w:rPr>
      </w:pPr>
      <w:hyperlink w:anchor="_Toc196389279" w:history="1">
        <w:r w:rsidR="00927B94" w:rsidRPr="00927B94">
          <w:rPr>
            <w:rStyle w:val="Hypertextovprepojenie"/>
            <w:rFonts w:eastAsia="Times New Roman" w:cs="Times New Roman"/>
            <w:bCs/>
            <w:noProof/>
            <w:lang w:eastAsia="sk-SK"/>
          </w:rPr>
          <w:t>Tabuľka 32 - Výdavky na dlhovú službu</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_Toc196389279 \h </w:instrText>
        </w:r>
        <w:r w:rsidR="00927B94" w:rsidRPr="00927B94">
          <w:rPr>
            <w:noProof/>
            <w:webHidden/>
          </w:rPr>
        </w:r>
        <w:r w:rsidR="00927B94" w:rsidRPr="00927B94">
          <w:rPr>
            <w:noProof/>
            <w:webHidden/>
          </w:rPr>
          <w:fldChar w:fldCharType="separate"/>
        </w:r>
        <w:r>
          <w:rPr>
            <w:noProof/>
            <w:webHidden/>
          </w:rPr>
          <w:t>66</w:t>
        </w:r>
        <w:r w:rsidR="00927B94" w:rsidRPr="00927B94">
          <w:rPr>
            <w:noProof/>
            <w:webHidden/>
          </w:rPr>
          <w:fldChar w:fldCharType="end"/>
        </w:r>
      </w:hyperlink>
    </w:p>
    <w:p w14:paraId="30C3DA99" w14:textId="72FBDEB9" w:rsidR="00927B94" w:rsidRPr="00927B94" w:rsidRDefault="00C64CBA">
      <w:pPr>
        <w:pStyle w:val="Zoznamobrzkov"/>
        <w:tabs>
          <w:tab w:val="right" w:pos="8920"/>
        </w:tabs>
        <w:rPr>
          <w:rFonts w:asciiTheme="minorHAnsi" w:eastAsiaTheme="minorEastAsia" w:hAnsiTheme="minorHAnsi"/>
          <w:noProof/>
          <w:lang w:eastAsia="sk-SK"/>
        </w:rPr>
      </w:pPr>
      <w:hyperlink w:anchor="_Toc196389280" w:history="1">
        <w:r w:rsidR="00927B94" w:rsidRPr="00927B94">
          <w:rPr>
            <w:rStyle w:val="Hypertextovprepojenie"/>
            <w:rFonts w:eastAsia="Times New Roman" w:cs="Times New Roman"/>
            <w:bCs/>
            <w:noProof/>
            <w:lang w:eastAsia="sk-SK"/>
          </w:rPr>
          <w:t>Tabuľka 33 - Prehľad príjmov a výdavkov na saldo účte Štátneho dlhu</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_Toc196389280 \h </w:instrText>
        </w:r>
        <w:r w:rsidR="00927B94" w:rsidRPr="00927B94">
          <w:rPr>
            <w:noProof/>
            <w:webHidden/>
          </w:rPr>
        </w:r>
        <w:r w:rsidR="00927B94" w:rsidRPr="00927B94">
          <w:rPr>
            <w:noProof/>
            <w:webHidden/>
          </w:rPr>
          <w:fldChar w:fldCharType="separate"/>
        </w:r>
        <w:r>
          <w:rPr>
            <w:noProof/>
            <w:webHidden/>
          </w:rPr>
          <w:t>66</w:t>
        </w:r>
        <w:r w:rsidR="00927B94" w:rsidRPr="00927B94">
          <w:rPr>
            <w:noProof/>
            <w:webHidden/>
          </w:rPr>
          <w:fldChar w:fldCharType="end"/>
        </w:r>
      </w:hyperlink>
    </w:p>
    <w:p w14:paraId="64A5F346" w14:textId="5FC31F60" w:rsidR="00927B94" w:rsidRPr="00927B94" w:rsidRDefault="00C64CBA">
      <w:pPr>
        <w:pStyle w:val="Zoznamobrzkov"/>
        <w:tabs>
          <w:tab w:val="right" w:pos="8920"/>
        </w:tabs>
        <w:rPr>
          <w:rFonts w:asciiTheme="minorHAnsi" w:eastAsiaTheme="minorEastAsia" w:hAnsiTheme="minorHAnsi"/>
          <w:noProof/>
          <w:lang w:eastAsia="sk-SK"/>
        </w:rPr>
      </w:pPr>
      <w:hyperlink w:anchor="_Toc196389281" w:history="1">
        <w:r w:rsidR="00927B94" w:rsidRPr="00927B94">
          <w:rPr>
            <w:rStyle w:val="Hypertextovprepojenie"/>
            <w:rFonts w:eastAsia="Times New Roman" w:cs="Times New Roman"/>
            <w:bCs/>
            <w:noProof/>
            <w:lang w:eastAsia="sk-SK"/>
          </w:rPr>
          <w:t>Tabuľka 34 - Kapitálové výdavky štátneho rozpočtu</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_Toc196389281 \h </w:instrText>
        </w:r>
        <w:r w:rsidR="00927B94" w:rsidRPr="00927B94">
          <w:rPr>
            <w:noProof/>
            <w:webHidden/>
          </w:rPr>
        </w:r>
        <w:r w:rsidR="00927B94" w:rsidRPr="00927B94">
          <w:rPr>
            <w:noProof/>
            <w:webHidden/>
          </w:rPr>
          <w:fldChar w:fldCharType="separate"/>
        </w:r>
        <w:r>
          <w:rPr>
            <w:noProof/>
            <w:webHidden/>
          </w:rPr>
          <w:t>69</w:t>
        </w:r>
        <w:r w:rsidR="00927B94" w:rsidRPr="00927B94">
          <w:rPr>
            <w:noProof/>
            <w:webHidden/>
          </w:rPr>
          <w:fldChar w:fldCharType="end"/>
        </w:r>
      </w:hyperlink>
    </w:p>
    <w:p w14:paraId="4D72C083" w14:textId="5F3373D5" w:rsidR="00927B94" w:rsidRPr="00927B94" w:rsidRDefault="00C64CBA">
      <w:pPr>
        <w:pStyle w:val="Zoznamobrzkov"/>
        <w:tabs>
          <w:tab w:val="right" w:pos="8920"/>
        </w:tabs>
        <w:rPr>
          <w:rFonts w:asciiTheme="minorHAnsi" w:eastAsiaTheme="minorEastAsia" w:hAnsiTheme="minorHAnsi"/>
          <w:noProof/>
          <w:lang w:eastAsia="sk-SK"/>
        </w:rPr>
      </w:pPr>
      <w:hyperlink w:anchor="_Toc196389282" w:history="1">
        <w:r w:rsidR="00927B94" w:rsidRPr="00927B94">
          <w:rPr>
            <w:rStyle w:val="Hypertextovprepojenie"/>
            <w:rFonts w:eastAsia="Times New Roman" w:cs="Times New Roman"/>
            <w:bCs/>
            <w:noProof/>
            <w:lang w:eastAsia="sk-SK"/>
          </w:rPr>
          <w:t>Tabuľka 35 - Kapitálové transfery štátneho rozpočtu</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_Toc196389282 \h </w:instrText>
        </w:r>
        <w:r w:rsidR="00927B94" w:rsidRPr="00927B94">
          <w:rPr>
            <w:noProof/>
            <w:webHidden/>
          </w:rPr>
        </w:r>
        <w:r w:rsidR="00927B94" w:rsidRPr="00927B94">
          <w:rPr>
            <w:noProof/>
            <w:webHidden/>
          </w:rPr>
          <w:fldChar w:fldCharType="separate"/>
        </w:r>
        <w:r>
          <w:rPr>
            <w:noProof/>
            <w:webHidden/>
          </w:rPr>
          <w:t>71</w:t>
        </w:r>
        <w:r w:rsidR="00927B94" w:rsidRPr="00927B94">
          <w:rPr>
            <w:noProof/>
            <w:webHidden/>
          </w:rPr>
          <w:fldChar w:fldCharType="end"/>
        </w:r>
      </w:hyperlink>
    </w:p>
    <w:p w14:paraId="465033A3" w14:textId="2772F710" w:rsidR="00927B94" w:rsidRPr="00927B94" w:rsidRDefault="00C64CBA">
      <w:pPr>
        <w:pStyle w:val="Zoznamobrzkov"/>
        <w:tabs>
          <w:tab w:val="right" w:pos="8920"/>
        </w:tabs>
        <w:rPr>
          <w:rFonts w:asciiTheme="minorHAnsi" w:eastAsiaTheme="minorEastAsia" w:hAnsiTheme="minorHAnsi"/>
          <w:noProof/>
          <w:lang w:eastAsia="sk-SK"/>
        </w:rPr>
      </w:pPr>
      <w:hyperlink w:anchor="_Toc196389283" w:history="1">
        <w:r w:rsidR="00927B94" w:rsidRPr="00927B94">
          <w:rPr>
            <w:rStyle w:val="Hypertextovprepojenie"/>
            <w:bCs/>
            <w:noProof/>
          </w:rPr>
          <w:t>Tabuľka 36 - Prehľad hospodárenia s rezervami v roku 2024</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_Toc196389283 \h </w:instrText>
        </w:r>
        <w:r w:rsidR="00927B94" w:rsidRPr="00927B94">
          <w:rPr>
            <w:noProof/>
            <w:webHidden/>
          </w:rPr>
        </w:r>
        <w:r w:rsidR="00927B94" w:rsidRPr="00927B94">
          <w:rPr>
            <w:noProof/>
            <w:webHidden/>
          </w:rPr>
          <w:fldChar w:fldCharType="separate"/>
        </w:r>
        <w:r>
          <w:rPr>
            <w:noProof/>
            <w:webHidden/>
          </w:rPr>
          <w:t>73</w:t>
        </w:r>
        <w:r w:rsidR="00927B94" w:rsidRPr="00927B94">
          <w:rPr>
            <w:noProof/>
            <w:webHidden/>
          </w:rPr>
          <w:fldChar w:fldCharType="end"/>
        </w:r>
      </w:hyperlink>
    </w:p>
    <w:p w14:paraId="0DD9CA16" w14:textId="50EE80C9" w:rsidR="00927B94" w:rsidRPr="00927B94" w:rsidRDefault="00C64CBA">
      <w:pPr>
        <w:pStyle w:val="Zoznamobrzkov"/>
        <w:tabs>
          <w:tab w:val="right" w:pos="8920"/>
        </w:tabs>
        <w:rPr>
          <w:rFonts w:asciiTheme="minorHAnsi" w:eastAsiaTheme="minorEastAsia" w:hAnsiTheme="minorHAnsi"/>
          <w:noProof/>
          <w:lang w:eastAsia="sk-SK"/>
        </w:rPr>
      </w:pPr>
      <w:hyperlink w:anchor="_Toc196389284" w:history="1">
        <w:r w:rsidR="00927B94" w:rsidRPr="00927B94">
          <w:rPr>
            <w:rStyle w:val="Hypertextovprepojenie"/>
            <w:rFonts w:eastAsia="Times New Roman" w:cs="Times New Roman"/>
            <w:bCs/>
            <w:noProof/>
            <w:lang w:eastAsia="sk-SK"/>
          </w:rPr>
          <w:t>Tabuľka 37 - Pohyb na vybraných účtoch štátnych finančných aktív</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_Toc196389284 \h </w:instrText>
        </w:r>
        <w:r w:rsidR="00927B94" w:rsidRPr="00927B94">
          <w:rPr>
            <w:noProof/>
            <w:webHidden/>
          </w:rPr>
        </w:r>
        <w:r w:rsidR="00927B94" w:rsidRPr="00927B94">
          <w:rPr>
            <w:noProof/>
            <w:webHidden/>
          </w:rPr>
          <w:fldChar w:fldCharType="separate"/>
        </w:r>
        <w:r>
          <w:rPr>
            <w:noProof/>
            <w:webHidden/>
          </w:rPr>
          <w:t>76</w:t>
        </w:r>
        <w:r w:rsidR="00927B94" w:rsidRPr="00927B94">
          <w:rPr>
            <w:noProof/>
            <w:webHidden/>
          </w:rPr>
          <w:fldChar w:fldCharType="end"/>
        </w:r>
      </w:hyperlink>
    </w:p>
    <w:p w14:paraId="772A679C" w14:textId="7B95BEF5" w:rsidR="00927B94" w:rsidRPr="00927B94" w:rsidRDefault="00C64CBA">
      <w:pPr>
        <w:pStyle w:val="Zoznamobrzkov"/>
        <w:tabs>
          <w:tab w:val="right" w:pos="8920"/>
        </w:tabs>
        <w:rPr>
          <w:rFonts w:asciiTheme="minorHAnsi" w:eastAsiaTheme="minorEastAsia" w:hAnsiTheme="minorHAnsi"/>
          <w:noProof/>
          <w:lang w:eastAsia="sk-SK"/>
        </w:rPr>
      </w:pPr>
      <w:hyperlink w:anchor="_Toc196389285" w:history="1">
        <w:r w:rsidR="00927B94" w:rsidRPr="00927B94">
          <w:rPr>
            <w:rStyle w:val="Hypertextovprepojenie"/>
            <w:bCs/>
            <w:noProof/>
          </w:rPr>
          <w:t>Tabuľka 38 - Príjmy z rozpočtu EÚ, odvody a príspevky do všeobecného rozpočtu EÚ</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_Toc196389285 \h </w:instrText>
        </w:r>
        <w:r w:rsidR="00927B94" w:rsidRPr="00927B94">
          <w:rPr>
            <w:noProof/>
            <w:webHidden/>
          </w:rPr>
        </w:r>
        <w:r w:rsidR="00927B94" w:rsidRPr="00927B94">
          <w:rPr>
            <w:noProof/>
            <w:webHidden/>
          </w:rPr>
          <w:fldChar w:fldCharType="separate"/>
        </w:r>
        <w:r>
          <w:rPr>
            <w:noProof/>
            <w:webHidden/>
          </w:rPr>
          <w:t>79</w:t>
        </w:r>
        <w:r w:rsidR="00927B94" w:rsidRPr="00927B94">
          <w:rPr>
            <w:noProof/>
            <w:webHidden/>
          </w:rPr>
          <w:fldChar w:fldCharType="end"/>
        </w:r>
      </w:hyperlink>
    </w:p>
    <w:p w14:paraId="30D5BFAA" w14:textId="358DE759" w:rsidR="00927B94" w:rsidRPr="00927B94" w:rsidRDefault="00C64CBA">
      <w:pPr>
        <w:pStyle w:val="Zoznamobrzkov"/>
        <w:tabs>
          <w:tab w:val="right" w:pos="8920"/>
        </w:tabs>
        <w:rPr>
          <w:rFonts w:asciiTheme="minorHAnsi" w:eastAsiaTheme="minorEastAsia" w:hAnsiTheme="minorHAnsi"/>
          <w:noProof/>
          <w:lang w:eastAsia="sk-SK"/>
        </w:rPr>
      </w:pPr>
      <w:hyperlink w:anchor="_Toc196389286" w:history="1">
        <w:r w:rsidR="00927B94" w:rsidRPr="00927B94">
          <w:rPr>
            <w:rStyle w:val="Hypertextovprepojenie"/>
            <w:rFonts w:ascii="Times-Bold" w:hAnsi="Times-Bold"/>
            <w:bCs/>
            <w:noProof/>
          </w:rPr>
          <w:t>Tabuľka 39 – Čistá finančná pozícia SR voči rozpočtu EÚ na hotovostnej báze</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_Toc196389286 \h </w:instrText>
        </w:r>
        <w:r w:rsidR="00927B94" w:rsidRPr="00927B94">
          <w:rPr>
            <w:noProof/>
            <w:webHidden/>
          </w:rPr>
        </w:r>
        <w:r w:rsidR="00927B94" w:rsidRPr="00927B94">
          <w:rPr>
            <w:noProof/>
            <w:webHidden/>
          </w:rPr>
          <w:fldChar w:fldCharType="separate"/>
        </w:r>
        <w:r>
          <w:rPr>
            <w:noProof/>
            <w:webHidden/>
          </w:rPr>
          <w:t>80</w:t>
        </w:r>
        <w:r w:rsidR="00927B94" w:rsidRPr="00927B94">
          <w:rPr>
            <w:noProof/>
            <w:webHidden/>
          </w:rPr>
          <w:fldChar w:fldCharType="end"/>
        </w:r>
      </w:hyperlink>
    </w:p>
    <w:p w14:paraId="13269721" w14:textId="7BAA06D2" w:rsidR="00927B94" w:rsidRPr="00927B94" w:rsidRDefault="00C64CBA">
      <w:pPr>
        <w:pStyle w:val="Zoznamobrzkov"/>
        <w:tabs>
          <w:tab w:val="right" w:pos="8920"/>
        </w:tabs>
        <w:rPr>
          <w:rFonts w:asciiTheme="minorHAnsi" w:eastAsiaTheme="minorEastAsia" w:hAnsiTheme="minorHAnsi"/>
          <w:noProof/>
          <w:lang w:eastAsia="sk-SK"/>
        </w:rPr>
      </w:pPr>
      <w:hyperlink w:anchor="_Toc196389287" w:history="1">
        <w:r w:rsidR="00927B94" w:rsidRPr="00927B94">
          <w:rPr>
            <w:rStyle w:val="Hypertextovprepojenie"/>
            <w:rFonts w:ascii="Times-Bold" w:hAnsi="Times-Bold"/>
            <w:bCs/>
            <w:noProof/>
          </w:rPr>
          <w:t>Tabuľka 40 - Plnenie príjmov z rozpočtu EÚ (prostriedky EÚ, zahraničné granty)</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_Toc196389287 \h </w:instrText>
        </w:r>
        <w:r w:rsidR="00927B94" w:rsidRPr="00927B94">
          <w:rPr>
            <w:noProof/>
            <w:webHidden/>
          </w:rPr>
        </w:r>
        <w:r w:rsidR="00927B94" w:rsidRPr="00927B94">
          <w:rPr>
            <w:noProof/>
            <w:webHidden/>
          </w:rPr>
          <w:fldChar w:fldCharType="separate"/>
        </w:r>
        <w:r>
          <w:rPr>
            <w:noProof/>
            <w:webHidden/>
          </w:rPr>
          <w:t>82</w:t>
        </w:r>
        <w:r w:rsidR="00927B94" w:rsidRPr="00927B94">
          <w:rPr>
            <w:noProof/>
            <w:webHidden/>
          </w:rPr>
          <w:fldChar w:fldCharType="end"/>
        </w:r>
      </w:hyperlink>
    </w:p>
    <w:p w14:paraId="4A809392" w14:textId="2EF54B13" w:rsidR="00927B94" w:rsidRPr="00927B94" w:rsidRDefault="00C64CBA">
      <w:pPr>
        <w:pStyle w:val="Zoznamobrzkov"/>
        <w:tabs>
          <w:tab w:val="right" w:pos="8920"/>
        </w:tabs>
        <w:rPr>
          <w:rFonts w:asciiTheme="minorHAnsi" w:eastAsiaTheme="minorEastAsia" w:hAnsiTheme="minorHAnsi"/>
          <w:noProof/>
          <w:lang w:eastAsia="sk-SK"/>
        </w:rPr>
      </w:pPr>
      <w:hyperlink w:anchor="_Toc196389288" w:history="1">
        <w:r w:rsidR="00927B94" w:rsidRPr="00927B94">
          <w:rPr>
            <w:rStyle w:val="Hypertextovprepojenie"/>
            <w:bCs/>
            <w:noProof/>
          </w:rPr>
          <w:t>Tabuľka 41 - Výdavky za prostriedky EÚ</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_Toc196389288 \h </w:instrText>
        </w:r>
        <w:r w:rsidR="00927B94" w:rsidRPr="00927B94">
          <w:rPr>
            <w:noProof/>
            <w:webHidden/>
          </w:rPr>
        </w:r>
        <w:r w:rsidR="00927B94" w:rsidRPr="00927B94">
          <w:rPr>
            <w:noProof/>
            <w:webHidden/>
          </w:rPr>
          <w:fldChar w:fldCharType="separate"/>
        </w:r>
        <w:r>
          <w:rPr>
            <w:noProof/>
            <w:webHidden/>
          </w:rPr>
          <w:t>84</w:t>
        </w:r>
        <w:r w:rsidR="00927B94" w:rsidRPr="00927B94">
          <w:rPr>
            <w:noProof/>
            <w:webHidden/>
          </w:rPr>
          <w:fldChar w:fldCharType="end"/>
        </w:r>
      </w:hyperlink>
    </w:p>
    <w:p w14:paraId="41AA25ED" w14:textId="2CD31F24" w:rsidR="00927B94" w:rsidRPr="00927B94" w:rsidRDefault="00C64CBA">
      <w:pPr>
        <w:pStyle w:val="Zoznamobrzkov"/>
        <w:tabs>
          <w:tab w:val="right" w:pos="8920"/>
        </w:tabs>
        <w:rPr>
          <w:rFonts w:asciiTheme="minorHAnsi" w:eastAsiaTheme="minorEastAsia" w:hAnsiTheme="minorHAnsi"/>
          <w:noProof/>
          <w:lang w:eastAsia="sk-SK"/>
        </w:rPr>
      </w:pPr>
      <w:hyperlink w:anchor="_Toc196389289" w:history="1">
        <w:r w:rsidR="00927B94" w:rsidRPr="00927B94">
          <w:rPr>
            <w:rStyle w:val="Hypertextovprepojenie"/>
            <w:bCs/>
            <w:noProof/>
          </w:rPr>
          <w:t>Tabuľka 42 - Celkový prehľad spolufin. zo ŠR vrátane vnútorných politík EÚ</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_Toc196389289 \h </w:instrText>
        </w:r>
        <w:r w:rsidR="00927B94" w:rsidRPr="00927B94">
          <w:rPr>
            <w:noProof/>
            <w:webHidden/>
          </w:rPr>
        </w:r>
        <w:r w:rsidR="00927B94" w:rsidRPr="00927B94">
          <w:rPr>
            <w:noProof/>
            <w:webHidden/>
          </w:rPr>
          <w:fldChar w:fldCharType="separate"/>
        </w:r>
        <w:r>
          <w:rPr>
            <w:noProof/>
            <w:webHidden/>
          </w:rPr>
          <w:t>85</w:t>
        </w:r>
        <w:r w:rsidR="00927B94" w:rsidRPr="00927B94">
          <w:rPr>
            <w:noProof/>
            <w:webHidden/>
          </w:rPr>
          <w:fldChar w:fldCharType="end"/>
        </w:r>
      </w:hyperlink>
    </w:p>
    <w:p w14:paraId="377DBF6D" w14:textId="553DD677" w:rsidR="00927B94" w:rsidRPr="00927B94" w:rsidRDefault="00C64CBA">
      <w:pPr>
        <w:pStyle w:val="Zoznamobrzkov"/>
        <w:tabs>
          <w:tab w:val="right" w:pos="8920"/>
        </w:tabs>
        <w:rPr>
          <w:rFonts w:asciiTheme="minorHAnsi" w:eastAsiaTheme="minorEastAsia" w:hAnsiTheme="minorHAnsi"/>
          <w:noProof/>
          <w:lang w:eastAsia="sk-SK"/>
        </w:rPr>
      </w:pPr>
      <w:hyperlink w:anchor="_Toc196389290" w:history="1">
        <w:r w:rsidR="00927B94" w:rsidRPr="00927B94">
          <w:rPr>
            <w:rStyle w:val="Hypertextovprepojenie"/>
            <w:rFonts w:eastAsia="Times New Roman" w:cs="Times New Roman"/>
            <w:bCs/>
            <w:noProof/>
            <w:lang w:eastAsia="sk-SK"/>
          </w:rPr>
          <w:t>Tabuľka 43 - Výdavky spolufin. zo ŠR k prostriedkom EÚ</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_Toc196389290 \h </w:instrText>
        </w:r>
        <w:r w:rsidR="00927B94" w:rsidRPr="00927B94">
          <w:rPr>
            <w:noProof/>
            <w:webHidden/>
          </w:rPr>
        </w:r>
        <w:r w:rsidR="00927B94" w:rsidRPr="00927B94">
          <w:rPr>
            <w:noProof/>
            <w:webHidden/>
          </w:rPr>
          <w:fldChar w:fldCharType="separate"/>
        </w:r>
        <w:r>
          <w:rPr>
            <w:noProof/>
            <w:webHidden/>
          </w:rPr>
          <w:t>87</w:t>
        </w:r>
        <w:r w:rsidR="00927B94" w:rsidRPr="00927B94">
          <w:rPr>
            <w:noProof/>
            <w:webHidden/>
          </w:rPr>
          <w:fldChar w:fldCharType="end"/>
        </w:r>
      </w:hyperlink>
    </w:p>
    <w:p w14:paraId="6E2599A1" w14:textId="455A9370" w:rsidR="00927B94" w:rsidRPr="00927B94" w:rsidRDefault="00C64CBA">
      <w:pPr>
        <w:pStyle w:val="Zoznamobrzkov"/>
        <w:tabs>
          <w:tab w:val="right" w:pos="8920"/>
        </w:tabs>
        <w:rPr>
          <w:rFonts w:asciiTheme="minorHAnsi" w:eastAsiaTheme="minorEastAsia" w:hAnsiTheme="minorHAnsi"/>
          <w:noProof/>
          <w:lang w:eastAsia="sk-SK"/>
        </w:rPr>
      </w:pPr>
      <w:hyperlink w:anchor="_Toc196389291" w:history="1">
        <w:r w:rsidR="00927B94" w:rsidRPr="00927B94">
          <w:rPr>
            <w:rStyle w:val="Hypertextovprepojenie"/>
            <w:bCs/>
            <w:noProof/>
          </w:rPr>
          <w:t>Tabuľka 44 – Spolufinancovanie zo ŠR k zahraničným grantom</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_Toc196389291 \h </w:instrText>
        </w:r>
        <w:r w:rsidR="00927B94" w:rsidRPr="00927B94">
          <w:rPr>
            <w:noProof/>
            <w:webHidden/>
          </w:rPr>
        </w:r>
        <w:r w:rsidR="00927B94" w:rsidRPr="00927B94">
          <w:rPr>
            <w:noProof/>
            <w:webHidden/>
          </w:rPr>
          <w:fldChar w:fldCharType="separate"/>
        </w:r>
        <w:r>
          <w:rPr>
            <w:noProof/>
            <w:webHidden/>
          </w:rPr>
          <w:t>88</w:t>
        </w:r>
        <w:r w:rsidR="00927B94" w:rsidRPr="00927B94">
          <w:rPr>
            <w:noProof/>
            <w:webHidden/>
          </w:rPr>
          <w:fldChar w:fldCharType="end"/>
        </w:r>
      </w:hyperlink>
    </w:p>
    <w:p w14:paraId="338397F2" w14:textId="5C419E72" w:rsidR="00927B94" w:rsidRDefault="00C64CBA">
      <w:pPr>
        <w:pStyle w:val="Zoznamobrzkov"/>
        <w:tabs>
          <w:tab w:val="right" w:pos="8920"/>
        </w:tabs>
        <w:rPr>
          <w:rFonts w:asciiTheme="minorHAnsi" w:eastAsiaTheme="minorEastAsia" w:hAnsiTheme="minorHAnsi"/>
          <w:noProof/>
          <w:lang w:eastAsia="sk-SK"/>
        </w:rPr>
      </w:pPr>
      <w:hyperlink w:anchor="_Toc196389292" w:history="1">
        <w:r w:rsidR="00927B94" w:rsidRPr="00927B94">
          <w:rPr>
            <w:rStyle w:val="Hypertextovprepojenie"/>
            <w:bCs/>
            <w:noProof/>
          </w:rPr>
          <w:t>Tabuľka 45 - Prehľad čerpania iniciatívy SAFE k 31.12.2024</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_Toc196389292 \h </w:instrText>
        </w:r>
        <w:r w:rsidR="00927B94" w:rsidRPr="00927B94">
          <w:rPr>
            <w:noProof/>
            <w:webHidden/>
          </w:rPr>
        </w:r>
        <w:r w:rsidR="00927B94" w:rsidRPr="00927B94">
          <w:rPr>
            <w:noProof/>
            <w:webHidden/>
          </w:rPr>
          <w:fldChar w:fldCharType="separate"/>
        </w:r>
        <w:r>
          <w:rPr>
            <w:noProof/>
            <w:webHidden/>
          </w:rPr>
          <w:t>90</w:t>
        </w:r>
        <w:r w:rsidR="00927B94" w:rsidRPr="00927B94">
          <w:rPr>
            <w:noProof/>
            <w:webHidden/>
          </w:rPr>
          <w:fldChar w:fldCharType="end"/>
        </w:r>
      </w:hyperlink>
    </w:p>
    <w:p w14:paraId="7800A77E" w14:textId="5B270D83" w:rsidR="00927B94" w:rsidRDefault="00927B94">
      <w:pPr>
        <w:spacing w:after="160" w:line="259" w:lineRule="auto"/>
        <w:jc w:val="left"/>
        <w:rPr>
          <w:rFonts w:cs="Times New Roman"/>
          <w:sz w:val="24"/>
          <w:szCs w:val="24"/>
          <w:highlight w:val="yellow"/>
        </w:rPr>
      </w:pPr>
      <w:r>
        <w:rPr>
          <w:rFonts w:cs="Times New Roman"/>
          <w:sz w:val="24"/>
          <w:szCs w:val="24"/>
          <w:highlight w:val="yellow"/>
        </w:rPr>
        <w:fldChar w:fldCharType="end"/>
      </w:r>
    </w:p>
    <w:p w14:paraId="5EC9B26B" w14:textId="00B66A64" w:rsidR="00927B94" w:rsidRPr="00927B94" w:rsidRDefault="00927B94" w:rsidP="00927B94">
      <w:pPr>
        <w:pStyle w:val="Zoznamobrzkov"/>
        <w:tabs>
          <w:tab w:val="right" w:pos="8920"/>
        </w:tabs>
        <w:rPr>
          <w:b/>
          <w:color w:val="5B9BD5" w:themeColor="accent1"/>
          <w:sz w:val="24"/>
          <w:szCs w:val="24"/>
        </w:rPr>
      </w:pPr>
      <w:r w:rsidRPr="00927B94">
        <w:rPr>
          <w:b/>
          <w:color w:val="5B9BD5" w:themeColor="accent1"/>
          <w:sz w:val="24"/>
          <w:szCs w:val="24"/>
        </w:rPr>
        <w:t xml:space="preserve">Zoznam </w:t>
      </w:r>
      <w:r>
        <w:rPr>
          <w:b/>
          <w:color w:val="5B9BD5" w:themeColor="accent1"/>
          <w:sz w:val="24"/>
          <w:szCs w:val="24"/>
        </w:rPr>
        <w:t>grafov</w:t>
      </w:r>
    </w:p>
    <w:p w14:paraId="3137A2AA" w14:textId="29819173" w:rsidR="00927B94" w:rsidRPr="00927B94" w:rsidRDefault="00927B94">
      <w:pPr>
        <w:pStyle w:val="Zoznamobrzkov"/>
        <w:tabs>
          <w:tab w:val="right" w:pos="8920"/>
        </w:tabs>
        <w:rPr>
          <w:rFonts w:asciiTheme="minorHAnsi" w:eastAsiaTheme="minorEastAsia" w:hAnsiTheme="minorHAnsi"/>
          <w:noProof/>
          <w:lang w:eastAsia="sk-SK"/>
        </w:rPr>
      </w:pPr>
      <w:r>
        <w:rPr>
          <w:rFonts w:cs="Times New Roman"/>
          <w:sz w:val="24"/>
          <w:szCs w:val="24"/>
          <w:highlight w:val="yellow"/>
        </w:rPr>
        <w:fldChar w:fldCharType="begin"/>
      </w:r>
      <w:r>
        <w:rPr>
          <w:rFonts w:cs="Times New Roman"/>
          <w:sz w:val="24"/>
          <w:szCs w:val="24"/>
          <w:highlight w:val="yellow"/>
        </w:rPr>
        <w:instrText xml:space="preserve"> TOC \h \z \c "Graf" </w:instrText>
      </w:r>
      <w:r>
        <w:rPr>
          <w:rFonts w:cs="Times New Roman"/>
          <w:sz w:val="24"/>
          <w:szCs w:val="24"/>
          <w:highlight w:val="yellow"/>
        </w:rPr>
        <w:fldChar w:fldCharType="separate"/>
      </w:r>
      <w:hyperlink w:anchor="_Toc196389293" w:history="1">
        <w:r w:rsidRPr="00927B94">
          <w:rPr>
            <w:rStyle w:val="Hypertextovprepojenie"/>
            <w:rFonts w:cs="Times New Roman"/>
            <w:bCs/>
            <w:noProof/>
          </w:rPr>
          <w:t>Graf 1 - Vývoj HDP a jeho hlavných zložiek</w:t>
        </w:r>
        <w:r w:rsidRPr="00927B94">
          <w:rPr>
            <w:noProof/>
            <w:webHidden/>
          </w:rPr>
          <w:tab/>
        </w:r>
        <w:r w:rsidRPr="00927B94">
          <w:rPr>
            <w:noProof/>
            <w:webHidden/>
          </w:rPr>
          <w:fldChar w:fldCharType="begin"/>
        </w:r>
        <w:r w:rsidRPr="00927B94">
          <w:rPr>
            <w:noProof/>
            <w:webHidden/>
          </w:rPr>
          <w:instrText xml:space="preserve"> PAGEREF _Toc196389293 \h </w:instrText>
        </w:r>
        <w:r w:rsidRPr="00927B94">
          <w:rPr>
            <w:noProof/>
            <w:webHidden/>
          </w:rPr>
        </w:r>
        <w:r w:rsidRPr="00927B94">
          <w:rPr>
            <w:noProof/>
            <w:webHidden/>
          </w:rPr>
          <w:fldChar w:fldCharType="separate"/>
        </w:r>
        <w:r w:rsidR="00C64CBA">
          <w:rPr>
            <w:noProof/>
            <w:webHidden/>
          </w:rPr>
          <w:t>6</w:t>
        </w:r>
        <w:r w:rsidRPr="00927B94">
          <w:rPr>
            <w:noProof/>
            <w:webHidden/>
          </w:rPr>
          <w:fldChar w:fldCharType="end"/>
        </w:r>
      </w:hyperlink>
    </w:p>
    <w:p w14:paraId="3E683444" w14:textId="59B5DC0B" w:rsidR="00927B94" w:rsidRPr="00927B94" w:rsidRDefault="00C64CBA">
      <w:pPr>
        <w:pStyle w:val="Zoznamobrzkov"/>
        <w:tabs>
          <w:tab w:val="right" w:pos="8920"/>
        </w:tabs>
        <w:rPr>
          <w:rFonts w:asciiTheme="minorHAnsi" w:eastAsiaTheme="minorEastAsia" w:hAnsiTheme="minorHAnsi"/>
          <w:noProof/>
          <w:lang w:eastAsia="sk-SK"/>
        </w:rPr>
      </w:pPr>
      <w:hyperlink w:anchor="_Toc196389294" w:history="1">
        <w:r w:rsidR="00927B94" w:rsidRPr="00927B94">
          <w:rPr>
            <w:rStyle w:val="Hypertextovprepojenie"/>
            <w:rFonts w:cs="Times New Roman"/>
            <w:noProof/>
          </w:rPr>
          <w:t>Graf 2 - Príspevky sektorov k vývoju medzi-kvartálneho rastu zamestnanosti (ESA, v p. b.)</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_Toc196389294 \h </w:instrText>
        </w:r>
        <w:r w:rsidR="00927B94" w:rsidRPr="00927B94">
          <w:rPr>
            <w:noProof/>
            <w:webHidden/>
          </w:rPr>
        </w:r>
        <w:r w:rsidR="00927B94" w:rsidRPr="00927B94">
          <w:rPr>
            <w:noProof/>
            <w:webHidden/>
          </w:rPr>
          <w:fldChar w:fldCharType="separate"/>
        </w:r>
        <w:r>
          <w:rPr>
            <w:noProof/>
            <w:webHidden/>
          </w:rPr>
          <w:t>7</w:t>
        </w:r>
        <w:r w:rsidR="00927B94" w:rsidRPr="00927B94">
          <w:rPr>
            <w:noProof/>
            <w:webHidden/>
          </w:rPr>
          <w:fldChar w:fldCharType="end"/>
        </w:r>
      </w:hyperlink>
    </w:p>
    <w:p w14:paraId="3EA9ECBF" w14:textId="70244405" w:rsidR="00927B94" w:rsidRPr="00927B94" w:rsidRDefault="00C64CBA">
      <w:pPr>
        <w:pStyle w:val="Zoznamobrzkov"/>
        <w:tabs>
          <w:tab w:val="right" w:pos="8920"/>
        </w:tabs>
        <w:rPr>
          <w:rFonts w:asciiTheme="minorHAnsi" w:eastAsiaTheme="minorEastAsia" w:hAnsiTheme="minorHAnsi"/>
          <w:noProof/>
          <w:lang w:eastAsia="sk-SK"/>
        </w:rPr>
      </w:pPr>
      <w:hyperlink w:anchor="_Toc196389295" w:history="1">
        <w:r w:rsidR="00927B94" w:rsidRPr="00927B94">
          <w:rPr>
            <w:rStyle w:val="Hypertextovprepojenie"/>
            <w:rFonts w:cs="Times New Roman"/>
            <w:noProof/>
          </w:rPr>
          <w:t>Graf 3 - Rast reálnej produktivity práce a mzdy (v %)</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_Toc196389295 \h </w:instrText>
        </w:r>
        <w:r w:rsidR="00927B94" w:rsidRPr="00927B94">
          <w:rPr>
            <w:noProof/>
            <w:webHidden/>
          </w:rPr>
        </w:r>
        <w:r w:rsidR="00927B94" w:rsidRPr="00927B94">
          <w:rPr>
            <w:noProof/>
            <w:webHidden/>
          </w:rPr>
          <w:fldChar w:fldCharType="separate"/>
        </w:r>
        <w:r>
          <w:rPr>
            <w:noProof/>
            <w:webHidden/>
          </w:rPr>
          <w:t>7</w:t>
        </w:r>
        <w:r w:rsidR="00927B94" w:rsidRPr="00927B94">
          <w:rPr>
            <w:noProof/>
            <w:webHidden/>
          </w:rPr>
          <w:fldChar w:fldCharType="end"/>
        </w:r>
      </w:hyperlink>
    </w:p>
    <w:p w14:paraId="17EC1F46" w14:textId="06C1266F" w:rsidR="00927B94" w:rsidRPr="00927B94" w:rsidRDefault="00C64CBA">
      <w:pPr>
        <w:pStyle w:val="Zoznamobrzkov"/>
        <w:tabs>
          <w:tab w:val="right" w:pos="8920"/>
        </w:tabs>
        <w:rPr>
          <w:rFonts w:asciiTheme="minorHAnsi" w:eastAsiaTheme="minorEastAsia" w:hAnsiTheme="minorHAnsi"/>
          <w:noProof/>
          <w:lang w:eastAsia="sk-SK"/>
        </w:rPr>
      </w:pPr>
      <w:hyperlink w:anchor="_Toc196389296" w:history="1">
        <w:r w:rsidR="00927B94" w:rsidRPr="00927B94">
          <w:rPr>
            <w:rStyle w:val="Hypertextovprepojenie"/>
            <w:rFonts w:cs="Times New Roman"/>
            <w:noProof/>
          </w:rPr>
          <w:t>Graf 4 - Štruktúra spotrebiteľskej inflácie–medziročné príspevky zložiek CPI (p. b.)</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_Toc196389296 \h </w:instrText>
        </w:r>
        <w:r w:rsidR="00927B94" w:rsidRPr="00927B94">
          <w:rPr>
            <w:noProof/>
            <w:webHidden/>
          </w:rPr>
        </w:r>
        <w:r w:rsidR="00927B94" w:rsidRPr="00927B94">
          <w:rPr>
            <w:noProof/>
            <w:webHidden/>
          </w:rPr>
          <w:fldChar w:fldCharType="separate"/>
        </w:r>
        <w:r>
          <w:rPr>
            <w:noProof/>
            <w:webHidden/>
          </w:rPr>
          <w:t>8</w:t>
        </w:r>
        <w:r w:rsidR="00927B94" w:rsidRPr="00927B94">
          <w:rPr>
            <w:noProof/>
            <w:webHidden/>
          </w:rPr>
          <w:fldChar w:fldCharType="end"/>
        </w:r>
      </w:hyperlink>
    </w:p>
    <w:p w14:paraId="587889A2" w14:textId="107F5D23" w:rsidR="00927B94" w:rsidRPr="00927B94" w:rsidRDefault="00C64CBA">
      <w:pPr>
        <w:pStyle w:val="Zoznamobrzkov"/>
        <w:tabs>
          <w:tab w:val="right" w:pos="8920"/>
        </w:tabs>
        <w:rPr>
          <w:rFonts w:asciiTheme="minorHAnsi" w:eastAsiaTheme="minorEastAsia" w:hAnsiTheme="minorHAnsi"/>
          <w:noProof/>
          <w:lang w:eastAsia="sk-SK"/>
        </w:rPr>
      </w:pPr>
      <w:hyperlink w:anchor="_Toc196389297" w:history="1">
        <w:r w:rsidR="00927B94" w:rsidRPr="00927B94">
          <w:rPr>
            <w:rStyle w:val="Hypertextovprepojenie"/>
            <w:rFonts w:cs="Times New Roman"/>
            <w:noProof/>
          </w:rPr>
          <w:t>Graf 5 - Vývoj bežného účtu platobnej bilancie podľa jeho zložiek (% HDP)</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_Toc196389297 \h </w:instrText>
        </w:r>
        <w:r w:rsidR="00927B94" w:rsidRPr="00927B94">
          <w:rPr>
            <w:noProof/>
            <w:webHidden/>
          </w:rPr>
        </w:r>
        <w:r w:rsidR="00927B94" w:rsidRPr="00927B94">
          <w:rPr>
            <w:noProof/>
            <w:webHidden/>
          </w:rPr>
          <w:fldChar w:fldCharType="separate"/>
        </w:r>
        <w:r>
          <w:rPr>
            <w:noProof/>
            <w:webHidden/>
          </w:rPr>
          <w:t>8</w:t>
        </w:r>
        <w:r w:rsidR="00927B94" w:rsidRPr="00927B94">
          <w:rPr>
            <w:noProof/>
            <w:webHidden/>
          </w:rPr>
          <w:fldChar w:fldCharType="end"/>
        </w:r>
      </w:hyperlink>
    </w:p>
    <w:p w14:paraId="2344F773" w14:textId="7CF6CCE3" w:rsidR="00927B94" w:rsidRDefault="00C64CBA">
      <w:pPr>
        <w:pStyle w:val="Zoznamobrzkov"/>
        <w:tabs>
          <w:tab w:val="right" w:pos="8920"/>
        </w:tabs>
        <w:rPr>
          <w:rFonts w:asciiTheme="minorHAnsi" w:eastAsiaTheme="minorEastAsia" w:hAnsiTheme="minorHAnsi"/>
          <w:noProof/>
          <w:lang w:eastAsia="sk-SK"/>
        </w:rPr>
      </w:pPr>
      <w:hyperlink w:anchor="_Toc196389298" w:history="1">
        <w:r w:rsidR="00927B94" w:rsidRPr="00927B94">
          <w:rPr>
            <w:rStyle w:val="Hypertextovprepojenie"/>
            <w:rFonts w:eastAsia="Arial Narrow" w:cs="Times New Roman"/>
            <w:bCs/>
            <w:noProof/>
            <w:u w:color="2C9ADC"/>
            <w:lang w:eastAsia="sk-SK"/>
          </w:rPr>
          <w:t>Graf 6 - Rozdiely vysvetľujúce skutočnú a rozpočtovanú úroveň hrubého dlhu VS (% HDP)</w:t>
        </w:r>
        <w:r w:rsidR="00927B94" w:rsidRPr="00927B94">
          <w:rPr>
            <w:noProof/>
            <w:webHidden/>
          </w:rPr>
          <w:tab/>
        </w:r>
        <w:r w:rsidR="00927B94" w:rsidRPr="00927B94">
          <w:rPr>
            <w:noProof/>
            <w:webHidden/>
          </w:rPr>
          <w:fldChar w:fldCharType="begin"/>
        </w:r>
        <w:r w:rsidR="00927B94" w:rsidRPr="00927B94">
          <w:rPr>
            <w:noProof/>
            <w:webHidden/>
          </w:rPr>
          <w:instrText xml:space="preserve"> PAGEREF _Toc196389298 \h </w:instrText>
        </w:r>
        <w:r w:rsidR="00927B94" w:rsidRPr="00927B94">
          <w:rPr>
            <w:noProof/>
            <w:webHidden/>
          </w:rPr>
        </w:r>
        <w:r w:rsidR="00927B94" w:rsidRPr="00927B94">
          <w:rPr>
            <w:noProof/>
            <w:webHidden/>
          </w:rPr>
          <w:fldChar w:fldCharType="separate"/>
        </w:r>
        <w:r>
          <w:rPr>
            <w:noProof/>
            <w:webHidden/>
          </w:rPr>
          <w:t>34</w:t>
        </w:r>
        <w:r w:rsidR="00927B94" w:rsidRPr="00927B94">
          <w:rPr>
            <w:noProof/>
            <w:webHidden/>
          </w:rPr>
          <w:fldChar w:fldCharType="end"/>
        </w:r>
      </w:hyperlink>
    </w:p>
    <w:p w14:paraId="1474ADAC" w14:textId="05E152E1" w:rsidR="00927B94" w:rsidRDefault="00927B94">
      <w:pPr>
        <w:spacing w:after="160" w:line="259" w:lineRule="auto"/>
        <w:jc w:val="left"/>
        <w:rPr>
          <w:rFonts w:cs="Times New Roman"/>
          <w:sz w:val="24"/>
          <w:szCs w:val="24"/>
          <w:highlight w:val="yellow"/>
        </w:rPr>
      </w:pPr>
      <w:r>
        <w:rPr>
          <w:rFonts w:cs="Times New Roman"/>
          <w:sz w:val="24"/>
          <w:szCs w:val="24"/>
          <w:highlight w:val="yellow"/>
        </w:rPr>
        <w:fldChar w:fldCharType="end"/>
      </w:r>
      <w:r>
        <w:rPr>
          <w:rFonts w:cs="Times New Roman"/>
          <w:sz w:val="24"/>
          <w:szCs w:val="24"/>
          <w:highlight w:val="yellow"/>
        </w:rPr>
        <w:br w:type="page"/>
      </w:r>
    </w:p>
    <w:p w14:paraId="258D44A7" w14:textId="77777777" w:rsidR="004E668B" w:rsidRPr="007C5C9A" w:rsidRDefault="004E668B" w:rsidP="004E668B">
      <w:pPr>
        <w:pStyle w:val="Nadpis1"/>
        <w:numPr>
          <w:ilvl w:val="0"/>
          <w:numId w:val="0"/>
        </w:numPr>
      </w:pPr>
      <w:bookmarkStart w:id="0" w:name="_Toc196314114"/>
      <w:r w:rsidRPr="007C5C9A">
        <w:lastRenderedPageBreak/>
        <w:t>Zhrnutie</w:t>
      </w:r>
      <w:bookmarkEnd w:id="0"/>
    </w:p>
    <w:p w14:paraId="0F79E32A" w14:textId="168EABCB" w:rsidR="009A05C7" w:rsidRPr="007C5C9A" w:rsidRDefault="009A05C7" w:rsidP="009A05C7">
      <w:pPr>
        <w:numPr>
          <w:ilvl w:val="0"/>
          <w:numId w:val="14"/>
        </w:numPr>
        <w:spacing w:line="240" w:lineRule="auto"/>
        <w:ind w:left="357" w:right="-284" w:hanging="357"/>
        <w:rPr>
          <w:sz w:val="24"/>
          <w:szCs w:val="24"/>
        </w:rPr>
      </w:pPr>
      <w:r w:rsidRPr="007C5C9A">
        <w:rPr>
          <w:b/>
          <w:sz w:val="24"/>
          <w:szCs w:val="24"/>
        </w:rPr>
        <w:t>Verejná správa v roku 2024 na základe predbežných výsledkov notifikovaných v metodike ESA 2010</w:t>
      </w:r>
      <w:r w:rsidRPr="007C5C9A">
        <w:rPr>
          <w:rStyle w:val="Odkaznapoznmkupodiarou"/>
          <w:b/>
          <w:sz w:val="24"/>
          <w:szCs w:val="24"/>
        </w:rPr>
        <w:footnoteReference w:id="1"/>
      </w:r>
      <w:r w:rsidRPr="007C5C9A">
        <w:rPr>
          <w:b/>
          <w:sz w:val="24"/>
          <w:szCs w:val="24"/>
        </w:rPr>
        <w:t xml:space="preserve"> hospodárila so schodkom 6 906 738 tis. eur, čo predstavuje</w:t>
      </w:r>
      <w:r w:rsidR="007232E9">
        <w:rPr>
          <w:b/>
          <w:sz w:val="24"/>
          <w:szCs w:val="24"/>
        </w:rPr>
        <w:t xml:space="preserve"> </w:t>
      </w:r>
      <w:r w:rsidRPr="007C5C9A">
        <w:rPr>
          <w:b/>
          <w:sz w:val="24"/>
          <w:szCs w:val="24"/>
        </w:rPr>
        <w:t>-</w:t>
      </w:r>
      <w:r w:rsidR="00F6250D">
        <w:rPr>
          <w:b/>
          <w:sz w:val="24"/>
          <w:szCs w:val="24"/>
        </w:rPr>
        <w:t> </w:t>
      </w:r>
      <w:r w:rsidRPr="007C5C9A">
        <w:rPr>
          <w:b/>
          <w:sz w:val="24"/>
          <w:szCs w:val="24"/>
        </w:rPr>
        <w:t>5,27 % HDP.</w:t>
      </w:r>
      <w:r w:rsidRPr="007C5C9A">
        <w:rPr>
          <w:sz w:val="24"/>
          <w:szCs w:val="24"/>
        </w:rPr>
        <w:t xml:space="preserve"> Rozpočet verejnej správy na rok 2024 predpokladal deficitné hospodárenie na úrovni -</w:t>
      </w:r>
      <w:r w:rsidR="00F6250D">
        <w:rPr>
          <w:sz w:val="24"/>
          <w:szCs w:val="24"/>
        </w:rPr>
        <w:t> </w:t>
      </w:r>
      <w:r w:rsidRPr="007C5C9A">
        <w:rPr>
          <w:sz w:val="24"/>
          <w:szCs w:val="24"/>
        </w:rPr>
        <w:t>5,97</w:t>
      </w:r>
      <w:r>
        <w:rPr>
          <w:sz w:val="24"/>
          <w:szCs w:val="24"/>
        </w:rPr>
        <w:t> % HDP.</w:t>
      </w:r>
    </w:p>
    <w:p w14:paraId="520C7309" w14:textId="77777777" w:rsidR="009A05C7" w:rsidRDefault="009A05C7" w:rsidP="009A05C7">
      <w:pPr>
        <w:numPr>
          <w:ilvl w:val="0"/>
          <w:numId w:val="14"/>
        </w:numPr>
        <w:spacing w:line="240" w:lineRule="auto"/>
        <w:ind w:left="357" w:right="-284" w:hanging="357"/>
        <w:rPr>
          <w:sz w:val="24"/>
          <w:szCs w:val="24"/>
        </w:rPr>
      </w:pPr>
      <w:r w:rsidRPr="007C5C9A">
        <w:rPr>
          <w:b/>
          <w:sz w:val="24"/>
          <w:szCs w:val="24"/>
        </w:rPr>
        <w:t>Dlh verejnej správy</w:t>
      </w:r>
      <w:r w:rsidRPr="007C5C9A">
        <w:rPr>
          <w:sz w:val="24"/>
          <w:szCs w:val="24"/>
        </w:rPr>
        <w:t xml:space="preserve"> </w:t>
      </w:r>
      <w:r>
        <w:rPr>
          <w:b/>
          <w:sz w:val="24"/>
          <w:szCs w:val="24"/>
        </w:rPr>
        <w:t>k 31. </w:t>
      </w:r>
      <w:r w:rsidRPr="007C5C9A">
        <w:rPr>
          <w:b/>
          <w:sz w:val="24"/>
          <w:szCs w:val="24"/>
        </w:rPr>
        <w:t>12.</w:t>
      </w:r>
      <w:r>
        <w:rPr>
          <w:b/>
          <w:sz w:val="24"/>
          <w:szCs w:val="24"/>
        </w:rPr>
        <w:t> </w:t>
      </w:r>
      <w:r w:rsidRPr="007C5C9A">
        <w:rPr>
          <w:b/>
          <w:sz w:val="24"/>
          <w:szCs w:val="24"/>
        </w:rPr>
        <w:t xml:space="preserve">2024 </w:t>
      </w:r>
      <w:r w:rsidRPr="007C5C9A">
        <w:rPr>
          <w:sz w:val="24"/>
          <w:szCs w:val="24"/>
        </w:rPr>
        <w:t>na základe</w:t>
      </w:r>
      <w:r>
        <w:rPr>
          <w:sz w:val="24"/>
          <w:szCs w:val="24"/>
        </w:rPr>
        <w:t xml:space="preserve"> jarnej notifikácie výsledkov v </w:t>
      </w:r>
      <w:r w:rsidRPr="007C5C9A">
        <w:rPr>
          <w:sz w:val="24"/>
          <w:szCs w:val="24"/>
        </w:rPr>
        <w:t xml:space="preserve">metodike ESA 2010 </w:t>
      </w:r>
      <w:r w:rsidRPr="007C5C9A">
        <w:rPr>
          <w:b/>
          <w:sz w:val="24"/>
          <w:szCs w:val="24"/>
        </w:rPr>
        <w:t>dosiahol výšku 77 648 309 tis. eur a v pomere k vyčíslenému HDP dosiahol 59,28 %.</w:t>
      </w:r>
      <w:r w:rsidRPr="007C5C9A">
        <w:rPr>
          <w:sz w:val="24"/>
          <w:szCs w:val="24"/>
        </w:rPr>
        <w:t xml:space="preserve"> Verejný dlh sa v roku 2024 očakával na úrovni 58,31 % HDP.</w:t>
      </w:r>
      <w:r>
        <w:rPr>
          <w:sz w:val="24"/>
          <w:szCs w:val="24"/>
        </w:rPr>
        <w:t xml:space="preserve"> Za čím stojí predovšetkým nárast emisií dlhopisov nad rámec potrieb krytia hotovostného schodku.</w:t>
      </w:r>
    </w:p>
    <w:p w14:paraId="42A603A0" w14:textId="77777777" w:rsidR="009A05C7" w:rsidRPr="00FC11EC" w:rsidRDefault="009A05C7" w:rsidP="009A05C7">
      <w:pPr>
        <w:numPr>
          <w:ilvl w:val="0"/>
          <w:numId w:val="14"/>
        </w:numPr>
        <w:spacing w:line="240" w:lineRule="auto"/>
        <w:ind w:left="357" w:right="-284" w:hanging="357"/>
        <w:rPr>
          <w:sz w:val="24"/>
          <w:szCs w:val="24"/>
        </w:rPr>
      </w:pPr>
      <w:r w:rsidRPr="00FC11EC">
        <w:rPr>
          <w:b/>
          <w:bCs/>
          <w:sz w:val="24"/>
          <w:szCs w:val="24"/>
        </w:rPr>
        <w:t>Verejné výdavky spadajúce pod limit verejných výdavkov dosiahli v roku 2024 celkovú hodnotu 57</w:t>
      </w:r>
      <w:r>
        <w:rPr>
          <w:b/>
          <w:bCs/>
          <w:sz w:val="24"/>
          <w:szCs w:val="24"/>
        </w:rPr>
        <w:t> </w:t>
      </w:r>
      <w:r w:rsidRPr="00FC11EC">
        <w:rPr>
          <w:b/>
          <w:bCs/>
          <w:sz w:val="24"/>
          <w:szCs w:val="24"/>
        </w:rPr>
        <w:t>605</w:t>
      </w:r>
      <w:r>
        <w:rPr>
          <w:b/>
          <w:bCs/>
          <w:sz w:val="24"/>
          <w:szCs w:val="24"/>
        </w:rPr>
        <w:t> 108 </w:t>
      </w:r>
      <w:r w:rsidRPr="00FC11EC">
        <w:rPr>
          <w:b/>
          <w:bCs/>
          <w:sz w:val="24"/>
          <w:szCs w:val="24"/>
        </w:rPr>
        <w:t>tis. eur</w:t>
      </w:r>
      <w:r w:rsidRPr="00FC11EC">
        <w:rPr>
          <w:sz w:val="24"/>
          <w:szCs w:val="24"/>
        </w:rPr>
        <w:t>, čo predstavuje úsporu oproti zákonom stanovenému limitu o 111 903 tis. eur.</w:t>
      </w:r>
    </w:p>
    <w:p w14:paraId="75E5E56B" w14:textId="77777777" w:rsidR="009A05C7" w:rsidRPr="007C5C9A" w:rsidRDefault="009A05C7" w:rsidP="009A05C7">
      <w:pPr>
        <w:numPr>
          <w:ilvl w:val="0"/>
          <w:numId w:val="14"/>
        </w:numPr>
        <w:spacing w:line="240" w:lineRule="auto"/>
        <w:ind w:left="357" w:right="-284" w:hanging="357"/>
        <w:rPr>
          <w:sz w:val="24"/>
          <w:szCs w:val="24"/>
        </w:rPr>
      </w:pPr>
      <w:r w:rsidRPr="007C5C9A">
        <w:rPr>
          <w:b/>
          <w:sz w:val="24"/>
          <w:szCs w:val="24"/>
        </w:rPr>
        <w:t>Rast reálnej ekonomiky podľa jarnej notifikácie dosiahol 2,</w:t>
      </w:r>
      <w:r>
        <w:rPr>
          <w:b/>
          <w:sz w:val="24"/>
          <w:szCs w:val="24"/>
        </w:rPr>
        <w:t>1 </w:t>
      </w:r>
      <w:r w:rsidRPr="007C5C9A">
        <w:rPr>
          <w:b/>
          <w:sz w:val="24"/>
          <w:szCs w:val="24"/>
        </w:rPr>
        <w:t>% (rast HDP v stálych cenách).</w:t>
      </w:r>
      <w:r w:rsidRPr="007C5C9A">
        <w:rPr>
          <w:sz w:val="24"/>
          <w:szCs w:val="24"/>
        </w:rPr>
        <w:t xml:space="preserve"> Predpokladaný scenár ekonomického vývoja pri tvorbe rozpočtu na rok 2024 odhadoval rast HDP na úrovni 2,7 %. Nominálne HDP dosiahlo 130 985 118 tis. eur (v bežných c</w:t>
      </w:r>
      <w:r>
        <w:rPr>
          <w:sz w:val="24"/>
          <w:szCs w:val="24"/>
        </w:rPr>
        <w:t>enách).</w:t>
      </w:r>
    </w:p>
    <w:p w14:paraId="0CC19B6C" w14:textId="21814D2B" w:rsidR="009A05C7" w:rsidRPr="004E668B" w:rsidRDefault="009A05C7" w:rsidP="009A05C7">
      <w:pPr>
        <w:numPr>
          <w:ilvl w:val="0"/>
          <w:numId w:val="14"/>
        </w:numPr>
        <w:spacing w:line="240" w:lineRule="auto"/>
        <w:ind w:left="357" w:right="-284" w:hanging="357"/>
        <w:rPr>
          <w:sz w:val="24"/>
          <w:szCs w:val="24"/>
        </w:rPr>
      </w:pPr>
      <w:r w:rsidRPr="004E668B">
        <w:rPr>
          <w:b/>
          <w:sz w:val="24"/>
          <w:szCs w:val="24"/>
        </w:rPr>
        <w:t>Hotovostný schodok štátneho rozpočtu</w:t>
      </w:r>
      <w:r w:rsidRPr="004E668B">
        <w:rPr>
          <w:sz w:val="24"/>
          <w:szCs w:val="24"/>
        </w:rPr>
        <w:t xml:space="preserve"> dosiahol 6 366 120 tis. eur a oproti rozpočtu je nižší o 1 249 811 tis. eur. V porovnaní s deficitom za rok 2023, je</w:t>
      </w:r>
      <w:r w:rsidR="0018600F">
        <w:rPr>
          <w:sz w:val="24"/>
          <w:szCs w:val="24"/>
        </w:rPr>
        <w:t xml:space="preserve"> dosiahnutý deficit za </w:t>
      </w:r>
      <w:r w:rsidRPr="004E668B">
        <w:rPr>
          <w:sz w:val="24"/>
          <w:szCs w:val="24"/>
        </w:rPr>
        <w:t>rok 2024 nižší o 1 309 217 tis. eur. Hotovostné príjmy štátneho rozpočtu dosiahli 24 457 784 tis. eur (103,2 % hodnoty príjmov roku 2023). Hotovostné výdavky boli 30 823 904 tis. eur (98,3 % hodnoty skutočných výdavkov roku 2023).</w:t>
      </w:r>
    </w:p>
    <w:p w14:paraId="02114686" w14:textId="5CF9901A" w:rsidR="006E67F8" w:rsidRPr="004E668B" w:rsidRDefault="009A05C7" w:rsidP="009A05C7">
      <w:pPr>
        <w:numPr>
          <w:ilvl w:val="0"/>
          <w:numId w:val="14"/>
        </w:numPr>
        <w:spacing w:line="240" w:lineRule="auto"/>
        <w:ind w:left="357" w:right="-284" w:hanging="357"/>
        <w:rPr>
          <w:sz w:val="24"/>
          <w:szCs w:val="24"/>
        </w:rPr>
      </w:pPr>
      <w:r w:rsidRPr="004E668B">
        <w:rPr>
          <w:b/>
          <w:sz w:val="24"/>
          <w:szCs w:val="24"/>
        </w:rPr>
        <w:t>Hotovostný schodok bol krytý štátnymi dlhopismi</w:t>
      </w:r>
      <w:r w:rsidRPr="004E668B">
        <w:rPr>
          <w:sz w:val="24"/>
          <w:szCs w:val="24"/>
        </w:rPr>
        <w:t xml:space="preserve"> v sume </w:t>
      </w:r>
      <w:r w:rsidR="00992F00">
        <w:rPr>
          <w:sz w:val="24"/>
          <w:szCs w:val="24"/>
        </w:rPr>
        <w:t>6 294 090</w:t>
      </w:r>
      <w:r w:rsidRPr="004E668B">
        <w:rPr>
          <w:sz w:val="24"/>
          <w:szCs w:val="24"/>
        </w:rPr>
        <w:t> tis. eur a prijatým zahraničným bankovým úverom v hodnote 72 030 tis. eur.</w:t>
      </w:r>
    </w:p>
    <w:p w14:paraId="4D18810A" w14:textId="77777777" w:rsidR="00CB3C45" w:rsidRPr="00593BFD" w:rsidRDefault="00CB3C45">
      <w:pPr>
        <w:spacing w:after="160" w:line="259" w:lineRule="auto"/>
        <w:jc w:val="left"/>
        <w:rPr>
          <w:bCs/>
          <w:highlight w:val="yellow"/>
        </w:rPr>
      </w:pPr>
      <w:r w:rsidRPr="00593BFD">
        <w:rPr>
          <w:bCs/>
          <w:highlight w:val="yellow"/>
        </w:rPr>
        <w:br w:type="page"/>
      </w:r>
    </w:p>
    <w:p w14:paraId="2F8BA07E" w14:textId="777DAF18" w:rsidR="005F5B88" w:rsidRPr="00204601" w:rsidRDefault="005F5B88" w:rsidP="00AF7C97">
      <w:pPr>
        <w:pStyle w:val="Nadpis1"/>
        <w:ind w:left="567" w:hanging="567"/>
      </w:pPr>
      <w:bookmarkStart w:id="1" w:name="_Toc6415626"/>
      <w:bookmarkStart w:id="2" w:name="_Toc196314115"/>
      <w:r w:rsidRPr="00204601">
        <w:lastRenderedPageBreak/>
        <w:t>Ekonomick</w:t>
      </w:r>
      <w:r w:rsidR="0021355F" w:rsidRPr="00204601">
        <w:t>ý</w:t>
      </w:r>
      <w:r w:rsidRPr="00204601">
        <w:t xml:space="preserve"> rámec rozpočtového hospodárenia Slovenskej republiky</w:t>
      </w:r>
      <w:bookmarkEnd w:id="1"/>
      <w:bookmarkEnd w:id="2"/>
    </w:p>
    <w:p w14:paraId="00885B5D" w14:textId="15FBB7BE" w:rsidR="009A05C7" w:rsidRPr="00593BFD" w:rsidRDefault="009A05C7" w:rsidP="009A05C7">
      <w:pPr>
        <w:spacing w:line="240" w:lineRule="auto"/>
        <w:rPr>
          <w:sz w:val="24"/>
          <w:szCs w:val="24"/>
          <w:highlight w:val="yellow"/>
        </w:rPr>
      </w:pPr>
      <w:bookmarkStart w:id="3" w:name="_Toc6415634"/>
      <w:r w:rsidRPr="00CF3F96">
        <w:rPr>
          <w:rFonts w:cs="Times New Roman"/>
          <w:sz w:val="24"/>
          <w:szCs w:val="24"/>
        </w:rPr>
        <w:t>V rok</w:t>
      </w:r>
      <w:r>
        <w:rPr>
          <w:rFonts w:cs="Times New Roman"/>
          <w:sz w:val="24"/>
          <w:szCs w:val="24"/>
        </w:rPr>
        <w:t xml:space="preserve">u 2024 dosiahol rast HDP </w:t>
      </w:r>
      <w:r w:rsidRPr="00F060A4">
        <w:rPr>
          <w:rFonts w:cs="Times New Roman"/>
          <w:sz w:val="24"/>
          <w:szCs w:val="24"/>
        </w:rPr>
        <w:t>2,1 %.</w:t>
      </w:r>
      <w:r w:rsidRPr="00CF3F96">
        <w:rPr>
          <w:rFonts w:cs="Times New Roman"/>
          <w:sz w:val="24"/>
          <w:szCs w:val="24"/>
        </w:rPr>
        <w:t xml:space="preserve"> Oproti očakávaniam r</w:t>
      </w:r>
      <w:r w:rsidR="00166452">
        <w:rPr>
          <w:rFonts w:cs="Times New Roman"/>
          <w:sz w:val="24"/>
          <w:szCs w:val="24"/>
        </w:rPr>
        <w:t>ozpočtu zaostal, predovšetkým v </w:t>
      </w:r>
      <w:r w:rsidRPr="00CF3F96">
        <w:rPr>
          <w:rFonts w:cs="Times New Roman"/>
          <w:sz w:val="24"/>
          <w:szCs w:val="24"/>
        </w:rPr>
        <w:t xml:space="preserve">dôsledku zvyšujúcej sa neistoty v oblasti </w:t>
      </w:r>
      <w:r>
        <w:rPr>
          <w:rFonts w:cs="Times New Roman"/>
          <w:sz w:val="24"/>
          <w:szCs w:val="24"/>
        </w:rPr>
        <w:t>globálneho obchodu a </w:t>
      </w:r>
      <w:r w:rsidRPr="00CF3F96">
        <w:rPr>
          <w:rFonts w:cs="Times New Roman"/>
          <w:sz w:val="24"/>
          <w:szCs w:val="24"/>
        </w:rPr>
        <w:t>stagnácie nemeckého priemyslu. Na druhej strane slovenskú ekonomiku podporila spotreba domácností z</w:t>
      </w:r>
      <w:r>
        <w:rPr>
          <w:rFonts w:cs="Times New Roman"/>
          <w:sz w:val="24"/>
          <w:szCs w:val="24"/>
        </w:rPr>
        <w:t> </w:t>
      </w:r>
      <w:r w:rsidRPr="00CF3F96">
        <w:rPr>
          <w:rFonts w:cs="Times New Roman"/>
          <w:sz w:val="24"/>
          <w:szCs w:val="24"/>
        </w:rPr>
        <w:t xml:space="preserve">dôvodu vyšších reálnych príjmov. Rast spotreby bol oproti očakávaniam miernejší, pričom opatrnejšie spotrebiteľské správanie tlmila aj konsolidácia verejných </w:t>
      </w:r>
      <w:r w:rsidR="007232E9">
        <w:rPr>
          <w:rFonts w:cs="Times New Roman"/>
          <w:sz w:val="24"/>
          <w:szCs w:val="24"/>
        </w:rPr>
        <w:t>financií. Investičná aktivita v </w:t>
      </w:r>
      <w:r w:rsidRPr="00CF3F96">
        <w:rPr>
          <w:rFonts w:cs="Times New Roman"/>
          <w:sz w:val="24"/>
          <w:szCs w:val="24"/>
        </w:rPr>
        <w:t>rámci Plánu obnovy a odolnosti podporila zatiaľ ekonomiku len mierne. Trh práce ostal stabilný, pričom miera nezamestnanosti klesla na nové minimum vo výške 5,3</w:t>
      </w:r>
      <w:r>
        <w:rPr>
          <w:rFonts w:cs="Times New Roman"/>
          <w:sz w:val="24"/>
          <w:szCs w:val="24"/>
        </w:rPr>
        <w:t> </w:t>
      </w:r>
      <w:r w:rsidRPr="00CF3F96">
        <w:rPr>
          <w:rFonts w:cs="Times New Roman"/>
          <w:sz w:val="24"/>
          <w:szCs w:val="24"/>
        </w:rPr>
        <w:t>%. Nižšia miera čerpania prostriedkov z fondov EÚ negatívne ovplyv</w:t>
      </w:r>
      <w:r>
        <w:rPr>
          <w:rFonts w:cs="Times New Roman"/>
          <w:sz w:val="24"/>
          <w:szCs w:val="24"/>
        </w:rPr>
        <w:t>nila tvorbu kapitálu. Signály o </w:t>
      </w:r>
      <w:r w:rsidRPr="00CF3F96">
        <w:rPr>
          <w:rFonts w:cs="Times New Roman"/>
          <w:sz w:val="24"/>
          <w:szCs w:val="24"/>
        </w:rPr>
        <w:t>silnejúcich protekcionistických tendenciách v globálnom obchode spolu so</w:t>
      </w:r>
      <w:r w:rsidR="0018600F">
        <w:rPr>
          <w:rFonts w:cs="Times New Roman"/>
          <w:sz w:val="24"/>
          <w:szCs w:val="24"/>
        </w:rPr>
        <w:t> </w:t>
      </w:r>
      <w:r w:rsidRPr="00CF3F96">
        <w:rPr>
          <w:rFonts w:cs="Times New Roman"/>
          <w:sz w:val="24"/>
          <w:szCs w:val="24"/>
        </w:rPr>
        <w:t>štrukturálnymi problémami európskeho priemyslu už zhoršili očakávania podnikateľov, čo prispelo len k miernemu nárastu exportnej aktivity.</w:t>
      </w:r>
    </w:p>
    <w:p w14:paraId="0A25B629" w14:textId="77777777" w:rsidR="009A05C7" w:rsidRPr="00204601" w:rsidRDefault="009A05C7" w:rsidP="00922F60">
      <w:pPr>
        <w:pStyle w:val="Nadpis2"/>
        <w:spacing w:before="240"/>
        <w:ind w:left="567" w:hanging="567"/>
      </w:pPr>
      <w:bookmarkStart w:id="4" w:name="_Toc6415627"/>
      <w:bookmarkStart w:id="5" w:name="_Toc196314116"/>
      <w:r w:rsidRPr="00204601">
        <w:t>Vonkajšie ekonomické prostredie</w:t>
      </w:r>
      <w:bookmarkEnd w:id="4"/>
      <w:bookmarkEnd w:id="5"/>
    </w:p>
    <w:p w14:paraId="63C9FF49" w14:textId="77777777" w:rsidR="009A05C7" w:rsidRPr="00CF3F96" w:rsidRDefault="009A05C7" w:rsidP="009A05C7">
      <w:pPr>
        <w:pStyle w:val="Pta"/>
        <w:spacing w:before="120" w:after="120"/>
        <w:rPr>
          <w:rFonts w:cs="Times New Roman"/>
          <w:sz w:val="24"/>
          <w:szCs w:val="24"/>
        </w:rPr>
      </w:pPr>
      <w:r w:rsidRPr="00CF3F96">
        <w:rPr>
          <w:rFonts w:cs="Times New Roman"/>
          <w:sz w:val="24"/>
          <w:szCs w:val="24"/>
        </w:rPr>
        <w:t>Rok 2024 sa niesol v znamení pokračujúceho globálneho spomaľovania. Hospodársky rast vo</w:t>
      </w:r>
      <w:r>
        <w:rPr>
          <w:rFonts w:cs="Times New Roman"/>
          <w:sz w:val="24"/>
          <w:szCs w:val="24"/>
        </w:rPr>
        <w:t> </w:t>
      </w:r>
      <w:r w:rsidRPr="00CF3F96">
        <w:rPr>
          <w:rFonts w:cs="Times New Roman"/>
          <w:sz w:val="24"/>
          <w:szCs w:val="24"/>
        </w:rPr>
        <w:t>svete podľa odhadov Medzinárodného menového fondu dosiahol 3,2</w:t>
      </w:r>
      <w:r>
        <w:rPr>
          <w:rFonts w:cs="Times New Roman"/>
          <w:sz w:val="24"/>
          <w:szCs w:val="24"/>
        </w:rPr>
        <w:t> </w:t>
      </w:r>
      <w:r w:rsidRPr="00CF3F96">
        <w:rPr>
          <w:rFonts w:cs="Times New Roman"/>
          <w:sz w:val="24"/>
          <w:szCs w:val="24"/>
        </w:rPr>
        <w:t>%, čo predstavuje mierny pokles oproti predchádzajúcim rokom. Globálna ekonomika sa aj naďalej vyrovnávala s</w:t>
      </w:r>
      <w:r>
        <w:rPr>
          <w:rFonts w:cs="Times New Roman"/>
          <w:sz w:val="24"/>
          <w:szCs w:val="24"/>
        </w:rPr>
        <w:t> </w:t>
      </w:r>
      <w:r w:rsidRPr="00CF3F96">
        <w:rPr>
          <w:rFonts w:cs="Times New Roman"/>
          <w:sz w:val="24"/>
          <w:szCs w:val="24"/>
        </w:rPr>
        <w:t>dôsledkami vysokej inflácie, prísnej menovej politiky a neistého geopolitického prostredia. Po</w:t>
      </w:r>
      <w:r>
        <w:rPr>
          <w:rFonts w:cs="Times New Roman"/>
          <w:sz w:val="24"/>
          <w:szCs w:val="24"/>
        </w:rPr>
        <w:t> </w:t>
      </w:r>
      <w:r w:rsidRPr="00CF3F96">
        <w:rPr>
          <w:rFonts w:cs="Times New Roman"/>
          <w:sz w:val="24"/>
          <w:szCs w:val="24"/>
        </w:rPr>
        <w:t>predchádzajúcich zvýšeniach úrokových sadzieb pristúpili viaceré centrálne banky, vrátane Európskej centrálnej banky, k ich opatrnému znižovaniu. Tento krok podporil návrat mierneho optimizmu na trhy, hoci riziková averzia investorov zostávala zvýšená.</w:t>
      </w:r>
    </w:p>
    <w:p w14:paraId="5753884B" w14:textId="4E1AD90B" w:rsidR="009A05C7" w:rsidRPr="00CF3F96" w:rsidRDefault="009A05C7" w:rsidP="009A05C7">
      <w:pPr>
        <w:pStyle w:val="Pta"/>
        <w:spacing w:before="120" w:after="120"/>
        <w:rPr>
          <w:rFonts w:cs="Times New Roman"/>
          <w:sz w:val="24"/>
          <w:szCs w:val="24"/>
        </w:rPr>
      </w:pPr>
      <w:r w:rsidRPr="00CF3F96">
        <w:rPr>
          <w:rFonts w:cs="Times New Roman"/>
          <w:sz w:val="24"/>
          <w:szCs w:val="24"/>
        </w:rPr>
        <w:t>Situácia v Európe zostala naďalej komplikovanou. Tlaku čelila najmä priemyselná výroba, na</w:t>
      </w:r>
      <w:r>
        <w:rPr>
          <w:rFonts w:cs="Times New Roman"/>
          <w:sz w:val="24"/>
          <w:szCs w:val="24"/>
        </w:rPr>
        <w:t> </w:t>
      </w:r>
      <w:r w:rsidRPr="00CF3F96">
        <w:rPr>
          <w:rFonts w:cs="Times New Roman"/>
          <w:sz w:val="24"/>
          <w:szCs w:val="24"/>
        </w:rPr>
        <w:t>ktorú naďalej doliehali vysoké ceny energií, no problematickou sa ukázala aj strata konkurencieschopnosti. Táto situácia sa najviac podpísala na Nemecku, najväčšej ekonomike eurozóny a kľúčovom obchodnom partnerovi Slovenska</w:t>
      </w:r>
      <w:r w:rsidR="00C84850">
        <w:rPr>
          <w:rFonts w:cs="Times New Roman"/>
          <w:sz w:val="24"/>
          <w:szCs w:val="24"/>
        </w:rPr>
        <w:t>.</w:t>
      </w:r>
      <w:r w:rsidRPr="00CF3F96">
        <w:rPr>
          <w:rFonts w:cs="Times New Roman"/>
          <w:sz w:val="24"/>
          <w:szCs w:val="24"/>
        </w:rPr>
        <w:t xml:space="preserve"> To zaznamenalo druhý po</w:t>
      </w:r>
      <w:r>
        <w:rPr>
          <w:rFonts w:cs="Times New Roman"/>
          <w:sz w:val="24"/>
          <w:szCs w:val="24"/>
        </w:rPr>
        <w:t> </w:t>
      </w:r>
      <w:r w:rsidRPr="00CF3F96">
        <w:rPr>
          <w:rFonts w:cs="Times New Roman"/>
          <w:sz w:val="24"/>
          <w:szCs w:val="24"/>
        </w:rPr>
        <w:t>sebe nasledujúci rok poklesu HDP, tentoraz o približne 0,2</w:t>
      </w:r>
      <w:r>
        <w:rPr>
          <w:rFonts w:cs="Times New Roman"/>
          <w:sz w:val="24"/>
          <w:szCs w:val="24"/>
        </w:rPr>
        <w:t> </w:t>
      </w:r>
      <w:r w:rsidRPr="00CF3F96">
        <w:rPr>
          <w:rFonts w:cs="Times New Roman"/>
          <w:sz w:val="24"/>
          <w:szCs w:val="24"/>
        </w:rPr>
        <w:t>%. Slabý výkon nemeckej ekonomiky b</w:t>
      </w:r>
      <w:r w:rsidR="0018600F">
        <w:rPr>
          <w:rFonts w:cs="Times New Roman"/>
          <w:sz w:val="24"/>
          <w:szCs w:val="24"/>
        </w:rPr>
        <w:t>ol dôsledkom viacerých faktorov – </w:t>
      </w:r>
      <w:r w:rsidRPr="00CF3F96">
        <w:rPr>
          <w:rFonts w:cs="Times New Roman"/>
          <w:sz w:val="24"/>
          <w:szCs w:val="24"/>
        </w:rPr>
        <w:t>oslabeného exportu, nízkej investičnej aktivity a</w:t>
      </w:r>
      <w:r>
        <w:rPr>
          <w:rFonts w:cs="Times New Roman"/>
          <w:sz w:val="24"/>
          <w:szCs w:val="24"/>
        </w:rPr>
        <w:t> </w:t>
      </w:r>
      <w:r w:rsidRPr="00CF3F96">
        <w:rPr>
          <w:rFonts w:cs="Times New Roman"/>
          <w:sz w:val="24"/>
          <w:szCs w:val="24"/>
        </w:rPr>
        <w:t>pretrvávajúcej energetickej, ale aj politickej neistoty. Táto situácia sa negatívne odrazila aj na našich blízkych obchodných partneroch vo V4.</w:t>
      </w:r>
      <w:r w:rsidRPr="00CF3F96">
        <w:rPr>
          <w:rFonts w:cs="Times New Roman"/>
          <w:b/>
          <w:bCs/>
          <w:sz w:val="24"/>
          <w:szCs w:val="24"/>
        </w:rPr>
        <w:t xml:space="preserve"> </w:t>
      </w:r>
      <w:r w:rsidRPr="00CF3F96">
        <w:rPr>
          <w:rFonts w:cs="Times New Roman"/>
          <w:sz w:val="24"/>
          <w:szCs w:val="24"/>
        </w:rPr>
        <w:t>Česká republika sa po slabšom výkone v</w:t>
      </w:r>
      <w:r w:rsidR="00F6250D">
        <w:rPr>
          <w:rFonts w:cs="Times New Roman"/>
          <w:sz w:val="24"/>
          <w:szCs w:val="24"/>
        </w:rPr>
        <w:t> </w:t>
      </w:r>
      <w:r w:rsidRPr="00CF3F96">
        <w:rPr>
          <w:rFonts w:cs="Times New Roman"/>
          <w:sz w:val="24"/>
          <w:szCs w:val="24"/>
        </w:rPr>
        <w:t>roku 2023 dočkala mierneho oživenia, keď jej e</w:t>
      </w:r>
      <w:r>
        <w:rPr>
          <w:rFonts w:cs="Times New Roman"/>
          <w:sz w:val="24"/>
          <w:szCs w:val="24"/>
        </w:rPr>
        <w:t>konomický rast tesne prekonal 1 </w:t>
      </w:r>
      <w:r w:rsidRPr="00CF3F96">
        <w:rPr>
          <w:rFonts w:cs="Times New Roman"/>
          <w:sz w:val="24"/>
          <w:szCs w:val="24"/>
        </w:rPr>
        <w:t>%. Priemyselný sektor napriek tomu zostal pod tlakom, podobne ako v Maďarsku, ktorého ekonomika po</w:t>
      </w:r>
      <w:r>
        <w:rPr>
          <w:rFonts w:cs="Times New Roman"/>
          <w:sz w:val="24"/>
          <w:szCs w:val="24"/>
        </w:rPr>
        <w:t> </w:t>
      </w:r>
      <w:r w:rsidRPr="00CF3F96">
        <w:rPr>
          <w:rFonts w:cs="Times New Roman"/>
          <w:sz w:val="24"/>
          <w:szCs w:val="24"/>
        </w:rPr>
        <w:t>minuloročnom poklese nedokázala doručiť významné oživenie a zaznamenala skôr stagnáciu. Naopak, Poľsko si v porovnaní so zvyškom regiónu udržalo nadpriemerné tempo rastu, podporené silným trhom práce a pokra</w:t>
      </w:r>
      <w:r w:rsidR="007232E9">
        <w:rPr>
          <w:rFonts w:cs="Times New Roman"/>
          <w:sz w:val="24"/>
          <w:szCs w:val="24"/>
        </w:rPr>
        <w:t>čujúcim čerpaním prostriedkov z </w:t>
      </w:r>
      <w:r w:rsidRPr="00CF3F96">
        <w:rPr>
          <w:rFonts w:cs="Times New Roman"/>
          <w:sz w:val="24"/>
          <w:szCs w:val="24"/>
        </w:rPr>
        <w:t>fondov EÚ. Dôležitou vzpruhou boli aj vysoké vládne výdavky na zbrojenie.</w:t>
      </w:r>
    </w:p>
    <w:p w14:paraId="3AA095A4" w14:textId="328AD33A" w:rsidR="009A05C7" w:rsidRDefault="009A05C7" w:rsidP="009A05C7">
      <w:pPr>
        <w:spacing w:line="240" w:lineRule="auto"/>
        <w:rPr>
          <w:rFonts w:cs="Times New Roman"/>
          <w:sz w:val="24"/>
          <w:szCs w:val="24"/>
        </w:rPr>
      </w:pPr>
      <w:r w:rsidRPr="00CF3F96">
        <w:rPr>
          <w:rFonts w:cs="Times New Roman"/>
          <w:sz w:val="24"/>
          <w:szCs w:val="24"/>
        </w:rPr>
        <w:t>Z globálneho hľadiska zostala situácia komplikovanou aj kvôli pokračujúcim geopolitickým rizikám. Vojna na Ukrajine pretrvávala a viedla k udržiavaniu sankcií voči Rusku. Nové napätie na Blízkom východe, najmä medzi Izr</w:t>
      </w:r>
      <w:r w:rsidR="007232E9">
        <w:rPr>
          <w:rFonts w:cs="Times New Roman"/>
          <w:sz w:val="24"/>
          <w:szCs w:val="24"/>
        </w:rPr>
        <w:t>aelom a hnutím Hamas vyústilo k </w:t>
      </w:r>
      <w:r w:rsidRPr="00CF3F96">
        <w:rPr>
          <w:rFonts w:cs="Times New Roman"/>
          <w:sz w:val="24"/>
          <w:szCs w:val="24"/>
        </w:rPr>
        <w:t>narušeniu obchodných trás v oblasti Červeného mora a k dočasnému zvýšeniu nákladov na</w:t>
      </w:r>
      <w:r w:rsidR="007232E9">
        <w:rPr>
          <w:rFonts w:cs="Times New Roman"/>
          <w:sz w:val="24"/>
          <w:szCs w:val="24"/>
        </w:rPr>
        <w:t> </w:t>
      </w:r>
      <w:r w:rsidRPr="00CF3F96">
        <w:rPr>
          <w:rFonts w:cs="Times New Roman"/>
          <w:sz w:val="24"/>
          <w:szCs w:val="24"/>
        </w:rPr>
        <w:t>prepravu tovarov. Napriek týmto výzvam nedošlo k výraznému zhoršeniu globálneho obchodu ani k obnove inflačných tlakov. Centrálne banky naprieč svetom tak započali pozvoľný cyklus uvoľňovania menovej politiky. Infláciu v eurozóne sa podarilo dostať pod kontrolu rýchlejšie ako v USA, čo napomohlo aj svižnejšiemu tempu uvoľňovania. Investičná aktivita firiem napriek tomu zostala tlmená aj vzhľadom na politickú nestabilitu vyplývajúcu z množstva volieb konajúcich sa vo</w:t>
      </w:r>
      <w:r>
        <w:rPr>
          <w:rFonts w:cs="Times New Roman"/>
          <w:sz w:val="24"/>
          <w:szCs w:val="24"/>
        </w:rPr>
        <w:t> </w:t>
      </w:r>
      <w:r w:rsidRPr="00CF3F96">
        <w:rPr>
          <w:rFonts w:cs="Times New Roman"/>
          <w:sz w:val="24"/>
          <w:szCs w:val="24"/>
        </w:rPr>
        <w:t xml:space="preserve">svete. Tými najvýznamnejším sa stali prezidentské voľby v USA, ktoré vyhral staronový prezident Donald Trump. Finančné trhy sa z výhry potešili a druhý rok </w:t>
      </w:r>
      <w:r w:rsidRPr="00CF3F96">
        <w:rPr>
          <w:rFonts w:cs="Times New Roman"/>
          <w:sz w:val="24"/>
          <w:szCs w:val="24"/>
        </w:rPr>
        <w:lastRenderedPageBreak/>
        <w:t>v rade americké trhy dokázali priniesť výnosy prevyšujúce 20</w:t>
      </w:r>
      <w:r>
        <w:rPr>
          <w:rFonts w:cs="Times New Roman"/>
          <w:sz w:val="24"/>
          <w:szCs w:val="24"/>
        </w:rPr>
        <w:t> </w:t>
      </w:r>
      <w:r w:rsidRPr="00CF3F96">
        <w:rPr>
          <w:rFonts w:cs="Times New Roman"/>
          <w:sz w:val="24"/>
          <w:szCs w:val="24"/>
        </w:rPr>
        <w:t>% napriek očakávaným izolacionistickým politikám.</w:t>
      </w:r>
    </w:p>
    <w:p w14:paraId="5F75DD8E" w14:textId="31262636" w:rsidR="003B7AF0" w:rsidRDefault="003B7AF0" w:rsidP="003B7AF0">
      <w:pPr>
        <w:pStyle w:val="Popis"/>
        <w:keepNext/>
        <w:spacing w:after="120"/>
      </w:pPr>
      <w:bookmarkStart w:id="6" w:name="_Toc196313627"/>
      <w:bookmarkStart w:id="7" w:name="_Toc196389248"/>
      <w:r w:rsidRPr="003B7AF0">
        <w:rPr>
          <w:b/>
          <w:bCs/>
          <w:i w:val="0"/>
          <w:iCs w:val="0"/>
          <w:color w:val="5B9BD5" w:themeColor="accent1"/>
          <w:sz w:val="20"/>
          <w:szCs w:val="20"/>
        </w:rPr>
        <w:t xml:space="preserve">Tabuľka </w:t>
      </w:r>
      <w:r w:rsidRPr="003B7AF0">
        <w:rPr>
          <w:b/>
          <w:bCs/>
          <w:i w:val="0"/>
          <w:iCs w:val="0"/>
          <w:color w:val="5B9BD5" w:themeColor="accent1"/>
          <w:sz w:val="20"/>
          <w:szCs w:val="20"/>
        </w:rPr>
        <w:fldChar w:fldCharType="begin"/>
      </w:r>
      <w:r w:rsidRPr="003B7AF0">
        <w:rPr>
          <w:b/>
          <w:bCs/>
          <w:i w:val="0"/>
          <w:iCs w:val="0"/>
          <w:color w:val="5B9BD5" w:themeColor="accent1"/>
          <w:sz w:val="20"/>
          <w:szCs w:val="20"/>
        </w:rPr>
        <w:instrText xml:space="preserve"> SEQ Tabuľka \* ARABIC </w:instrText>
      </w:r>
      <w:r w:rsidRPr="003B7AF0">
        <w:rPr>
          <w:b/>
          <w:bCs/>
          <w:i w:val="0"/>
          <w:iCs w:val="0"/>
          <w:color w:val="5B9BD5" w:themeColor="accent1"/>
          <w:sz w:val="20"/>
          <w:szCs w:val="20"/>
        </w:rPr>
        <w:fldChar w:fldCharType="separate"/>
      </w:r>
      <w:r w:rsidR="00C64CBA">
        <w:rPr>
          <w:b/>
          <w:bCs/>
          <w:i w:val="0"/>
          <w:iCs w:val="0"/>
          <w:noProof/>
          <w:color w:val="5B9BD5" w:themeColor="accent1"/>
          <w:sz w:val="20"/>
          <w:szCs w:val="20"/>
        </w:rPr>
        <w:t>1</w:t>
      </w:r>
      <w:r w:rsidRPr="003B7AF0">
        <w:rPr>
          <w:b/>
          <w:bCs/>
          <w:i w:val="0"/>
          <w:iCs w:val="0"/>
          <w:color w:val="5B9BD5" w:themeColor="accent1"/>
          <w:sz w:val="20"/>
          <w:szCs w:val="20"/>
        </w:rPr>
        <w:fldChar w:fldCharType="end"/>
      </w:r>
      <w:r w:rsidRPr="003B7AF0">
        <w:rPr>
          <w:b/>
          <w:bCs/>
          <w:i w:val="0"/>
          <w:iCs w:val="0"/>
          <w:color w:val="5B9BD5" w:themeColor="accent1"/>
          <w:sz w:val="20"/>
          <w:szCs w:val="20"/>
        </w:rPr>
        <w:t xml:space="preserve"> - Vývoj vybraných makroekonomických ukazovateľov eurozóny</w:t>
      </w:r>
      <w:bookmarkEnd w:id="6"/>
      <w:bookmarkEnd w:id="7"/>
    </w:p>
    <w:tbl>
      <w:tblPr>
        <w:tblW w:w="5000" w:type="pct"/>
        <w:tblCellMar>
          <w:left w:w="70" w:type="dxa"/>
          <w:right w:w="70" w:type="dxa"/>
        </w:tblCellMar>
        <w:tblLook w:val="04A0" w:firstRow="1" w:lastRow="0" w:firstColumn="1" w:lastColumn="0" w:noHBand="0" w:noVBand="1"/>
      </w:tblPr>
      <w:tblGrid>
        <w:gridCol w:w="4703"/>
        <w:gridCol w:w="1409"/>
        <w:gridCol w:w="1409"/>
        <w:gridCol w:w="1409"/>
      </w:tblGrid>
      <w:tr w:rsidR="009A05C7" w:rsidRPr="00384CEF" w14:paraId="12953FE4" w14:textId="77777777" w:rsidTr="000240DA">
        <w:trPr>
          <w:trHeight w:val="300"/>
          <w:tblHeader/>
        </w:trPr>
        <w:tc>
          <w:tcPr>
            <w:tcW w:w="2633" w:type="pct"/>
            <w:tcBorders>
              <w:top w:val="single" w:sz="4" w:space="0" w:color="auto"/>
              <w:left w:val="nil"/>
              <w:bottom w:val="single" w:sz="4" w:space="0" w:color="auto"/>
              <w:right w:val="nil"/>
            </w:tcBorders>
            <w:shd w:val="clear" w:color="auto" w:fill="auto"/>
            <w:noWrap/>
            <w:vAlign w:val="center"/>
            <w:hideMark/>
          </w:tcPr>
          <w:p w14:paraId="43E0143D" w14:textId="77777777" w:rsidR="009A05C7" w:rsidRPr="00384CEF" w:rsidRDefault="009A05C7" w:rsidP="000240DA">
            <w:pPr>
              <w:spacing w:after="0" w:line="240" w:lineRule="auto"/>
              <w:jc w:val="left"/>
              <w:rPr>
                <w:rFonts w:ascii="Calibri" w:eastAsia="Times New Roman" w:hAnsi="Calibri" w:cs="Calibri"/>
                <w:color w:val="000000"/>
                <w:lang w:eastAsia="sk-SK"/>
              </w:rPr>
            </w:pPr>
            <w:r w:rsidRPr="00384CEF">
              <w:rPr>
                <w:rFonts w:ascii="Calibri" w:eastAsia="Times New Roman" w:hAnsi="Calibri" w:cs="Calibri"/>
                <w:color w:val="000000"/>
                <w:lang w:eastAsia="sk-SK"/>
              </w:rPr>
              <w:t> </w:t>
            </w:r>
          </w:p>
        </w:tc>
        <w:tc>
          <w:tcPr>
            <w:tcW w:w="789" w:type="pct"/>
            <w:tcBorders>
              <w:top w:val="single" w:sz="4" w:space="0" w:color="auto"/>
              <w:left w:val="nil"/>
              <w:bottom w:val="single" w:sz="4" w:space="0" w:color="auto"/>
              <w:right w:val="nil"/>
            </w:tcBorders>
            <w:shd w:val="clear" w:color="auto" w:fill="auto"/>
            <w:noWrap/>
            <w:vAlign w:val="center"/>
            <w:hideMark/>
          </w:tcPr>
          <w:p w14:paraId="06753411" w14:textId="77777777" w:rsidR="009A05C7" w:rsidRPr="00384CEF" w:rsidRDefault="009A05C7" w:rsidP="000240DA">
            <w:pPr>
              <w:spacing w:after="0" w:line="240" w:lineRule="auto"/>
              <w:jc w:val="right"/>
              <w:rPr>
                <w:rFonts w:eastAsia="Times New Roman" w:cs="Times New Roman"/>
                <w:b/>
                <w:bCs/>
                <w:color w:val="000000"/>
                <w:sz w:val="18"/>
                <w:szCs w:val="18"/>
                <w:lang w:eastAsia="sk-SK"/>
              </w:rPr>
            </w:pPr>
            <w:r w:rsidRPr="00384CEF">
              <w:rPr>
                <w:rFonts w:eastAsia="Times New Roman" w:cs="Times New Roman"/>
                <w:b/>
                <w:bCs/>
                <w:color w:val="000000"/>
                <w:sz w:val="18"/>
                <w:szCs w:val="18"/>
                <w:lang w:eastAsia="sk-SK"/>
              </w:rPr>
              <w:t>2022</w:t>
            </w:r>
          </w:p>
        </w:tc>
        <w:tc>
          <w:tcPr>
            <w:tcW w:w="789" w:type="pct"/>
            <w:tcBorders>
              <w:top w:val="single" w:sz="4" w:space="0" w:color="auto"/>
              <w:left w:val="nil"/>
              <w:bottom w:val="single" w:sz="4" w:space="0" w:color="auto"/>
              <w:right w:val="nil"/>
            </w:tcBorders>
            <w:shd w:val="clear" w:color="auto" w:fill="auto"/>
            <w:noWrap/>
            <w:vAlign w:val="center"/>
            <w:hideMark/>
          </w:tcPr>
          <w:p w14:paraId="595B23BA" w14:textId="77777777" w:rsidR="009A05C7" w:rsidRPr="00384CEF" w:rsidRDefault="009A05C7" w:rsidP="000240DA">
            <w:pPr>
              <w:spacing w:after="0" w:line="240" w:lineRule="auto"/>
              <w:jc w:val="right"/>
              <w:rPr>
                <w:rFonts w:eastAsia="Times New Roman" w:cs="Times New Roman"/>
                <w:b/>
                <w:bCs/>
                <w:color w:val="000000"/>
                <w:sz w:val="18"/>
                <w:szCs w:val="18"/>
                <w:lang w:eastAsia="sk-SK"/>
              </w:rPr>
            </w:pPr>
            <w:r w:rsidRPr="00384CEF">
              <w:rPr>
                <w:rFonts w:eastAsia="Times New Roman" w:cs="Times New Roman"/>
                <w:b/>
                <w:bCs/>
                <w:color w:val="000000"/>
                <w:sz w:val="18"/>
                <w:szCs w:val="18"/>
                <w:lang w:eastAsia="sk-SK"/>
              </w:rPr>
              <w:t>2023</w:t>
            </w:r>
          </w:p>
        </w:tc>
        <w:tc>
          <w:tcPr>
            <w:tcW w:w="789" w:type="pct"/>
            <w:tcBorders>
              <w:top w:val="single" w:sz="4" w:space="0" w:color="auto"/>
              <w:left w:val="nil"/>
              <w:bottom w:val="single" w:sz="4" w:space="0" w:color="auto"/>
              <w:right w:val="nil"/>
            </w:tcBorders>
            <w:shd w:val="clear" w:color="auto" w:fill="auto"/>
            <w:noWrap/>
            <w:vAlign w:val="center"/>
            <w:hideMark/>
          </w:tcPr>
          <w:p w14:paraId="18766F37" w14:textId="77777777" w:rsidR="009A05C7" w:rsidRPr="00384CEF" w:rsidRDefault="009A05C7" w:rsidP="000240DA">
            <w:pPr>
              <w:spacing w:after="0" w:line="240" w:lineRule="auto"/>
              <w:jc w:val="right"/>
              <w:rPr>
                <w:rFonts w:eastAsia="Times New Roman" w:cs="Times New Roman"/>
                <w:b/>
                <w:bCs/>
                <w:color w:val="000000"/>
                <w:sz w:val="18"/>
                <w:szCs w:val="18"/>
                <w:lang w:eastAsia="sk-SK"/>
              </w:rPr>
            </w:pPr>
            <w:r w:rsidRPr="00384CEF">
              <w:rPr>
                <w:rFonts w:eastAsia="Times New Roman" w:cs="Times New Roman"/>
                <w:b/>
                <w:bCs/>
                <w:color w:val="000000"/>
                <w:sz w:val="18"/>
                <w:szCs w:val="18"/>
                <w:lang w:eastAsia="sk-SK"/>
              </w:rPr>
              <w:t>2024</w:t>
            </w:r>
          </w:p>
        </w:tc>
      </w:tr>
      <w:tr w:rsidR="009A05C7" w:rsidRPr="00384CEF" w14:paraId="2F6CC867" w14:textId="77777777" w:rsidTr="000240DA">
        <w:trPr>
          <w:trHeight w:val="280"/>
        </w:trPr>
        <w:tc>
          <w:tcPr>
            <w:tcW w:w="2633" w:type="pct"/>
            <w:tcBorders>
              <w:top w:val="single" w:sz="4" w:space="0" w:color="auto"/>
              <w:left w:val="nil"/>
              <w:bottom w:val="nil"/>
              <w:right w:val="nil"/>
            </w:tcBorders>
            <w:shd w:val="clear" w:color="auto" w:fill="auto"/>
            <w:noWrap/>
            <w:vAlign w:val="center"/>
            <w:hideMark/>
          </w:tcPr>
          <w:p w14:paraId="02C0B612" w14:textId="77777777" w:rsidR="009A05C7" w:rsidRPr="00384CEF" w:rsidRDefault="009A05C7" w:rsidP="000240DA">
            <w:pPr>
              <w:spacing w:after="0" w:line="240" w:lineRule="auto"/>
              <w:jc w:val="left"/>
              <w:rPr>
                <w:rFonts w:eastAsia="Times New Roman" w:cs="Times New Roman"/>
                <w:color w:val="000000"/>
                <w:sz w:val="18"/>
                <w:szCs w:val="18"/>
                <w:lang w:eastAsia="sk-SK"/>
              </w:rPr>
            </w:pPr>
            <w:r w:rsidRPr="00384CEF">
              <w:rPr>
                <w:rFonts w:eastAsia="Times New Roman" w:cs="Times New Roman"/>
                <w:color w:val="000000"/>
                <w:sz w:val="18"/>
                <w:szCs w:val="18"/>
                <w:lang w:eastAsia="sk-SK"/>
              </w:rPr>
              <w:t>Hrubý domáci produkt (% rast)</w:t>
            </w:r>
          </w:p>
        </w:tc>
        <w:tc>
          <w:tcPr>
            <w:tcW w:w="789" w:type="pct"/>
            <w:tcBorders>
              <w:top w:val="single" w:sz="4" w:space="0" w:color="auto"/>
              <w:left w:val="nil"/>
              <w:bottom w:val="nil"/>
              <w:right w:val="nil"/>
            </w:tcBorders>
            <w:shd w:val="clear" w:color="auto" w:fill="auto"/>
            <w:noWrap/>
            <w:vAlign w:val="center"/>
            <w:hideMark/>
          </w:tcPr>
          <w:p w14:paraId="36157268" w14:textId="77777777" w:rsidR="009A05C7" w:rsidRPr="00384CEF" w:rsidRDefault="009A05C7" w:rsidP="000240DA">
            <w:pPr>
              <w:spacing w:after="0" w:line="240" w:lineRule="auto"/>
              <w:jc w:val="right"/>
              <w:rPr>
                <w:rFonts w:eastAsia="Times New Roman" w:cs="Times New Roman"/>
                <w:color w:val="000000"/>
                <w:sz w:val="18"/>
                <w:szCs w:val="18"/>
                <w:lang w:eastAsia="sk-SK"/>
              </w:rPr>
            </w:pPr>
            <w:r w:rsidRPr="00384CEF">
              <w:rPr>
                <w:rFonts w:eastAsia="Times New Roman" w:cs="Times New Roman"/>
                <w:color w:val="000000"/>
                <w:sz w:val="18"/>
                <w:szCs w:val="18"/>
                <w:lang w:eastAsia="sk-SK"/>
              </w:rPr>
              <w:t>3,5</w:t>
            </w:r>
          </w:p>
        </w:tc>
        <w:tc>
          <w:tcPr>
            <w:tcW w:w="789" w:type="pct"/>
            <w:tcBorders>
              <w:top w:val="single" w:sz="4" w:space="0" w:color="auto"/>
              <w:left w:val="nil"/>
              <w:bottom w:val="nil"/>
              <w:right w:val="nil"/>
            </w:tcBorders>
            <w:shd w:val="clear" w:color="auto" w:fill="auto"/>
            <w:noWrap/>
            <w:vAlign w:val="center"/>
            <w:hideMark/>
          </w:tcPr>
          <w:p w14:paraId="6FD2DD84" w14:textId="77777777" w:rsidR="009A05C7" w:rsidRPr="00384CEF" w:rsidRDefault="009A05C7" w:rsidP="000240DA">
            <w:pPr>
              <w:spacing w:after="0" w:line="240" w:lineRule="auto"/>
              <w:jc w:val="right"/>
              <w:rPr>
                <w:rFonts w:eastAsia="Times New Roman" w:cs="Times New Roman"/>
                <w:color w:val="000000"/>
                <w:sz w:val="18"/>
                <w:szCs w:val="18"/>
                <w:lang w:eastAsia="sk-SK"/>
              </w:rPr>
            </w:pPr>
            <w:r w:rsidRPr="00384CEF">
              <w:rPr>
                <w:rFonts w:eastAsia="Times New Roman" w:cs="Times New Roman"/>
                <w:color w:val="000000"/>
                <w:sz w:val="18"/>
                <w:szCs w:val="18"/>
                <w:lang w:eastAsia="sk-SK"/>
              </w:rPr>
              <w:t>0,4</w:t>
            </w:r>
          </w:p>
        </w:tc>
        <w:tc>
          <w:tcPr>
            <w:tcW w:w="789" w:type="pct"/>
            <w:tcBorders>
              <w:top w:val="single" w:sz="4" w:space="0" w:color="auto"/>
              <w:left w:val="nil"/>
              <w:bottom w:val="nil"/>
              <w:right w:val="nil"/>
            </w:tcBorders>
            <w:shd w:val="clear" w:color="auto" w:fill="auto"/>
            <w:noWrap/>
            <w:vAlign w:val="center"/>
            <w:hideMark/>
          </w:tcPr>
          <w:p w14:paraId="07890AB7" w14:textId="77777777" w:rsidR="009A05C7" w:rsidRPr="00384CEF" w:rsidRDefault="009A05C7" w:rsidP="000240DA">
            <w:pPr>
              <w:spacing w:after="0" w:line="240" w:lineRule="auto"/>
              <w:jc w:val="right"/>
              <w:rPr>
                <w:rFonts w:eastAsia="Times New Roman" w:cs="Times New Roman"/>
                <w:color w:val="000000"/>
                <w:sz w:val="18"/>
                <w:szCs w:val="18"/>
                <w:lang w:eastAsia="sk-SK"/>
              </w:rPr>
            </w:pPr>
            <w:r w:rsidRPr="00384CEF">
              <w:rPr>
                <w:rFonts w:eastAsia="Times New Roman" w:cs="Times New Roman"/>
                <w:color w:val="000000"/>
                <w:sz w:val="18"/>
                <w:szCs w:val="18"/>
                <w:lang w:eastAsia="sk-SK"/>
              </w:rPr>
              <w:t>0,9</w:t>
            </w:r>
          </w:p>
        </w:tc>
      </w:tr>
      <w:tr w:rsidR="009A05C7" w:rsidRPr="00384CEF" w14:paraId="6DA254AA" w14:textId="77777777" w:rsidTr="000240DA">
        <w:trPr>
          <w:trHeight w:val="280"/>
        </w:trPr>
        <w:tc>
          <w:tcPr>
            <w:tcW w:w="2633" w:type="pct"/>
            <w:tcBorders>
              <w:top w:val="nil"/>
              <w:left w:val="nil"/>
              <w:bottom w:val="nil"/>
              <w:right w:val="nil"/>
            </w:tcBorders>
            <w:shd w:val="clear" w:color="auto" w:fill="auto"/>
            <w:noWrap/>
            <w:vAlign w:val="center"/>
            <w:hideMark/>
          </w:tcPr>
          <w:p w14:paraId="7B50DA8D" w14:textId="77777777" w:rsidR="009A05C7" w:rsidRPr="00384CEF" w:rsidRDefault="009A05C7" w:rsidP="000240DA">
            <w:pPr>
              <w:spacing w:after="0" w:line="240" w:lineRule="auto"/>
              <w:jc w:val="left"/>
              <w:rPr>
                <w:rFonts w:eastAsia="Times New Roman" w:cs="Times New Roman"/>
                <w:color w:val="000000"/>
                <w:sz w:val="18"/>
                <w:szCs w:val="18"/>
                <w:lang w:eastAsia="sk-SK"/>
              </w:rPr>
            </w:pPr>
            <w:r w:rsidRPr="00384CEF">
              <w:rPr>
                <w:rFonts w:eastAsia="Times New Roman" w:cs="Times New Roman"/>
                <w:color w:val="000000"/>
                <w:sz w:val="18"/>
                <w:szCs w:val="18"/>
                <w:lang w:eastAsia="sk-SK"/>
              </w:rPr>
              <w:t>Zamestnanosť (ESA, % rast)</w:t>
            </w:r>
          </w:p>
        </w:tc>
        <w:tc>
          <w:tcPr>
            <w:tcW w:w="789" w:type="pct"/>
            <w:tcBorders>
              <w:top w:val="nil"/>
              <w:left w:val="nil"/>
              <w:bottom w:val="nil"/>
              <w:right w:val="nil"/>
            </w:tcBorders>
            <w:shd w:val="clear" w:color="auto" w:fill="auto"/>
            <w:noWrap/>
            <w:vAlign w:val="center"/>
            <w:hideMark/>
          </w:tcPr>
          <w:p w14:paraId="67DD49D5" w14:textId="77777777" w:rsidR="009A05C7" w:rsidRPr="00384CEF" w:rsidRDefault="009A05C7" w:rsidP="000240DA">
            <w:pPr>
              <w:spacing w:after="0" w:line="240" w:lineRule="auto"/>
              <w:jc w:val="right"/>
              <w:rPr>
                <w:rFonts w:eastAsia="Times New Roman" w:cs="Times New Roman"/>
                <w:color w:val="000000"/>
                <w:sz w:val="18"/>
                <w:szCs w:val="18"/>
                <w:lang w:eastAsia="sk-SK"/>
              </w:rPr>
            </w:pPr>
            <w:r w:rsidRPr="00384CEF">
              <w:rPr>
                <w:rFonts w:eastAsia="Times New Roman" w:cs="Times New Roman"/>
                <w:color w:val="000000"/>
                <w:sz w:val="18"/>
                <w:szCs w:val="18"/>
                <w:lang w:eastAsia="sk-SK"/>
              </w:rPr>
              <w:t>2,4</w:t>
            </w:r>
          </w:p>
        </w:tc>
        <w:tc>
          <w:tcPr>
            <w:tcW w:w="789" w:type="pct"/>
            <w:tcBorders>
              <w:top w:val="nil"/>
              <w:left w:val="nil"/>
              <w:bottom w:val="nil"/>
              <w:right w:val="nil"/>
            </w:tcBorders>
            <w:shd w:val="clear" w:color="auto" w:fill="auto"/>
            <w:noWrap/>
            <w:vAlign w:val="center"/>
            <w:hideMark/>
          </w:tcPr>
          <w:p w14:paraId="2F665EE6" w14:textId="77777777" w:rsidR="009A05C7" w:rsidRPr="00384CEF" w:rsidRDefault="009A05C7" w:rsidP="000240DA">
            <w:pPr>
              <w:spacing w:after="0" w:line="240" w:lineRule="auto"/>
              <w:jc w:val="right"/>
              <w:rPr>
                <w:rFonts w:eastAsia="Times New Roman" w:cs="Times New Roman"/>
                <w:color w:val="000000"/>
                <w:sz w:val="18"/>
                <w:szCs w:val="18"/>
                <w:lang w:eastAsia="sk-SK"/>
              </w:rPr>
            </w:pPr>
            <w:r w:rsidRPr="00384CEF">
              <w:rPr>
                <w:rFonts w:eastAsia="Times New Roman" w:cs="Times New Roman"/>
                <w:color w:val="000000"/>
                <w:sz w:val="18"/>
                <w:szCs w:val="18"/>
                <w:lang w:eastAsia="sk-SK"/>
              </w:rPr>
              <w:t>2,5</w:t>
            </w:r>
          </w:p>
        </w:tc>
        <w:tc>
          <w:tcPr>
            <w:tcW w:w="789" w:type="pct"/>
            <w:tcBorders>
              <w:top w:val="nil"/>
              <w:left w:val="nil"/>
              <w:bottom w:val="nil"/>
              <w:right w:val="nil"/>
            </w:tcBorders>
            <w:shd w:val="clear" w:color="auto" w:fill="auto"/>
            <w:noWrap/>
            <w:vAlign w:val="center"/>
            <w:hideMark/>
          </w:tcPr>
          <w:p w14:paraId="05537453" w14:textId="77777777" w:rsidR="009A05C7" w:rsidRPr="00384CEF" w:rsidRDefault="009A05C7" w:rsidP="000240DA">
            <w:pPr>
              <w:spacing w:after="0" w:line="240" w:lineRule="auto"/>
              <w:jc w:val="right"/>
              <w:rPr>
                <w:rFonts w:eastAsia="Times New Roman" w:cs="Times New Roman"/>
                <w:color w:val="000000"/>
                <w:sz w:val="18"/>
                <w:szCs w:val="18"/>
                <w:lang w:eastAsia="sk-SK"/>
              </w:rPr>
            </w:pPr>
            <w:r w:rsidRPr="00384CEF">
              <w:rPr>
                <w:rFonts w:eastAsia="Times New Roman" w:cs="Times New Roman"/>
                <w:color w:val="000000"/>
                <w:sz w:val="18"/>
                <w:szCs w:val="18"/>
                <w:lang w:eastAsia="sk-SK"/>
              </w:rPr>
              <w:t>1,0</w:t>
            </w:r>
          </w:p>
        </w:tc>
      </w:tr>
      <w:tr w:rsidR="009A05C7" w:rsidRPr="00384CEF" w14:paraId="4F21FAC7" w14:textId="77777777" w:rsidTr="000240DA">
        <w:trPr>
          <w:trHeight w:val="280"/>
        </w:trPr>
        <w:tc>
          <w:tcPr>
            <w:tcW w:w="2633" w:type="pct"/>
            <w:tcBorders>
              <w:top w:val="nil"/>
              <w:left w:val="nil"/>
              <w:bottom w:val="nil"/>
              <w:right w:val="nil"/>
            </w:tcBorders>
            <w:shd w:val="clear" w:color="auto" w:fill="auto"/>
            <w:noWrap/>
            <w:vAlign w:val="center"/>
            <w:hideMark/>
          </w:tcPr>
          <w:p w14:paraId="0796E6A9" w14:textId="77777777" w:rsidR="009A05C7" w:rsidRPr="00384CEF" w:rsidRDefault="009A05C7" w:rsidP="000240DA">
            <w:pPr>
              <w:spacing w:after="0" w:line="240" w:lineRule="auto"/>
              <w:jc w:val="left"/>
              <w:rPr>
                <w:rFonts w:eastAsia="Times New Roman" w:cs="Times New Roman"/>
                <w:color w:val="000000"/>
                <w:sz w:val="18"/>
                <w:szCs w:val="18"/>
                <w:lang w:eastAsia="sk-SK"/>
              </w:rPr>
            </w:pPr>
            <w:r w:rsidRPr="00384CEF">
              <w:rPr>
                <w:rFonts w:eastAsia="Times New Roman" w:cs="Times New Roman"/>
                <w:color w:val="000000"/>
                <w:sz w:val="18"/>
                <w:szCs w:val="18"/>
                <w:lang w:eastAsia="sk-SK"/>
              </w:rPr>
              <w:t>Miera nezamestnanosti (VZPS, %)</w:t>
            </w:r>
          </w:p>
        </w:tc>
        <w:tc>
          <w:tcPr>
            <w:tcW w:w="789" w:type="pct"/>
            <w:tcBorders>
              <w:top w:val="nil"/>
              <w:left w:val="nil"/>
              <w:bottom w:val="nil"/>
              <w:right w:val="nil"/>
            </w:tcBorders>
            <w:shd w:val="clear" w:color="auto" w:fill="auto"/>
            <w:noWrap/>
            <w:vAlign w:val="center"/>
            <w:hideMark/>
          </w:tcPr>
          <w:p w14:paraId="431BA042" w14:textId="77777777" w:rsidR="009A05C7" w:rsidRPr="00384CEF" w:rsidRDefault="009A05C7" w:rsidP="000240DA">
            <w:pPr>
              <w:spacing w:after="0" w:line="240" w:lineRule="auto"/>
              <w:jc w:val="right"/>
              <w:rPr>
                <w:rFonts w:eastAsia="Times New Roman" w:cs="Times New Roman"/>
                <w:color w:val="000000"/>
                <w:sz w:val="18"/>
                <w:szCs w:val="18"/>
                <w:lang w:eastAsia="sk-SK"/>
              </w:rPr>
            </w:pPr>
            <w:r w:rsidRPr="00384CEF">
              <w:rPr>
                <w:rFonts w:eastAsia="Times New Roman" w:cs="Times New Roman"/>
                <w:color w:val="000000"/>
                <w:sz w:val="18"/>
                <w:szCs w:val="18"/>
                <w:lang w:eastAsia="sk-SK"/>
              </w:rPr>
              <w:t>6,8</w:t>
            </w:r>
          </w:p>
        </w:tc>
        <w:tc>
          <w:tcPr>
            <w:tcW w:w="789" w:type="pct"/>
            <w:tcBorders>
              <w:top w:val="nil"/>
              <w:left w:val="nil"/>
              <w:bottom w:val="nil"/>
              <w:right w:val="nil"/>
            </w:tcBorders>
            <w:shd w:val="clear" w:color="auto" w:fill="auto"/>
            <w:noWrap/>
            <w:vAlign w:val="center"/>
            <w:hideMark/>
          </w:tcPr>
          <w:p w14:paraId="15DFED07" w14:textId="77777777" w:rsidR="009A05C7" w:rsidRPr="00384CEF" w:rsidRDefault="009A05C7" w:rsidP="000240DA">
            <w:pPr>
              <w:spacing w:after="0" w:line="240" w:lineRule="auto"/>
              <w:jc w:val="right"/>
              <w:rPr>
                <w:rFonts w:eastAsia="Times New Roman" w:cs="Times New Roman"/>
                <w:color w:val="000000"/>
                <w:sz w:val="18"/>
                <w:szCs w:val="18"/>
                <w:lang w:eastAsia="sk-SK"/>
              </w:rPr>
            </w:pPr>
            <w:r w:rsidRPr="00384CEF">
              <w:rPr>
                <w:rFonts w:eastAsia="Times New Roman" w:cs="Times New Roman"/>
                <w:color w:val="000000"/>
                <w:sz w:val="18"/>
                <w:szCs w:val="18"/>
                <w:lang w:eastAsia="sk-SK"/>
              </w:rPr>
              <w:t>6,6</w:t>
            </w:r>
          </w:p>
        </w:tc>
        <w:tc>
          <w:tcPr>
            <w:tcW w:w="789" w:type="pct"/>
            <w:tcBorders>
              <w:top w:val="nil"/>
              <w:left w:val="nil"/>
              <w:bottom w:val="nil"/>
              <w:right w:val="nil"/>
            </w:tcBorders>
            <w:shd w:val="clear" w:color="auto" w:fill="auto"/>
            <w:noWrap/>
            <w:vAlign w:val="center"/>
            <w:hideMark/>
          </w:tcPr>
          <w:p w14:paraId="4A94F258" w14:textId="77777777" w:rsidR="009A05C7" w:rsidRPr="00384CEF" w:rsidRDefault="009A05C7" w:rsidP="000240DA">
            <w:pPr>
              <w:spacing w:after="0" w:line="240" w:lineRule="auto"/>
              <w:jc w:val="right"/>
              <w:rPr>
                <w:rFonts w:eastAsia="Times New Roman" w:cs="Times New Roman"/>
                <w:color w:val="000000"/>
                <w:sz w:val="18"/>
                <w:szCs w:val="18"/>
                <w:lang w:eastAsia="sk-SK"/>
              </w:rPr>
            </w:pPr>
            <w:r w:rsidRPr="00384CEF">
              <w:rPr>
                <w:rFonts w:eastAsia="Times New Roman" w:cs="Times New Roman"/>
                <w:color w:val="000000"/>
                <w:sz w:val="18"/>
                <w:szCs w:val="18"/>
                <w:lang w:eastAsia="sk-SK"/>
              </w:rPr>
              <w:t>6,4</w:t>
            </w:r>
          </w:p>
        </w:tc>
      </w:tr>
      <w:tr w:rsidR="009A05C7" w:rsidRPr="00384CEF" w14:paraId="21AEFDF1" w14:textId="77777777" w:rsidTr="000240DA">
        <w:trPr>
          <w:trHeight w:val="280"/>
        </w:trPr>
        <w:tc>
          <w:tcPr>
            <w:tcW w:w="2633" w:type="pct"/>
            <w:tcBorders>
              <w:top w:val="nil"/>
              <w:left w:val="nil"/>
              <w:bottom w:val="nil"/>
              <w:right w:val="nil"/>
            </w:tcBorders>
            <w:shd w:val="clear" w:color="auto" w:fill="auto"/>
            <w:noWrap/>
            <w:vAlign w:val="center"/>
            <w:hideMark/>
          </w:tcPr>
          <w:p w14:paraId="659E71D7" w14:textId="77777777" w:rsidR="009A05C7" w:rsidRPr="00384CEF" w:rsidRDefault="009A05C7" w:rsidP="000240DA">
            <w:pPr>
              <w:spacing w:after="0" w:line="240" w:lineRule="auto"/>
              <w:jc w:val="left"/>
              <w:rPr>
                <w:rFonts w:eastAsia="Times New Roman" w:cs="Times New Roman"/>
                <w:color w:val="000000"/>
                <w:sz w:val="18"/>
                <w:szCs w:val="18"/>
                <w:lang w:eastAsia="sk-SK"/>
              </w:rPr>
            </w:pPr>
            <w:r w:rsidRPr="00384CEF">
              <w:rPr>
                <w:rFonts w:eastAsia="Times New Roman" w:cs="Times New Roman"/>
                <w:color w:val="000000"/>
                <w:sz w:val="18"/>
                <w:szCs w:val="18"/>
                <w:lang w:eastAsia="sk-SK"/>
              </w:rPr>
              <w:t>Kompenzácie na zamestnanca* (% rast)</w:t>
            </w:r>
          </w:p>
        </w:tc>
        <w:tc>
          <w:tcPr>
            <w:tcW w:w="789" w:type="pct"/>
            <w:tcBorders>
              <w:top w:val="nil"/>
              <w:left w:val="nil"/>
              <w:bottom w:val="nil"/>
              <w:right w:val="nil"/>
            </w:tcBorders>
            <w:shd w:val="clear" w:color="auto" w:fill="auto"/>
            <w:noWrap/>
            <w:vAlign w:val="center"/>
            <w:hideMark/>
          </w:tcPr>
          <w:p w14:paraId="0A82453D" w14:textId="77777777" w:rsidR="009A05C7" w:rsidRPr="00384CEF" w:rsidRDefault="009A05C7" w:rsidP="000240DA">
            <w:pPr>
              <w:spacing w:after="0" w:line="240" w:lineRule="auto"/>
              <w:jc w:val="right"/>
              <w:rPr>
                <w:rFonts w:eastAsia="Times New Roman" w:cs="Times New Roman"/>
                <w:color w:val="000000"/>
                <w:sz w:val="18"/>
                <w:szCs w:val="18"/>
                <w:lang w:eastAsia="sk-SK"/>
              </w:rPr>
            </w:pPr>
            <w:r w:rsidRPr="00384CEF">
              <w:rPr>
                <w:rFonts w:eastAsia="Times New Roman" w:cs="Times New Roman"/>
                <w:color w:val="000000"/>
                <w:sz w:val="18"/>
                <w:szCs w:val="18"/>
                <w:lang w:eastAsia="sk-SK"/>
              </w:rPr>
              <w:t>4,5</w:t>
            </w:r>
          </w:p>
        </w:tc>
        <w:tc>
          <w:tcPr>
            <w:tcW w:w="789" w:type="pct"/>
            <w:tcBorders>
              <w:top w:val="nil"/>
              <w:left w:val="nil"/>
              <w:bottom w:val="nil"/>
              <w:right w:val="nil"/>
            </w:tcBorders>
            <w:shd w:val="clear" w:color="auto" w:fill="auto"/>
            <w:noWrap/>
            <w:vAlign w:val="center"/>
            <w:hideMark/>
          </w:tcPr>
          <w:p w14:paraId="42A6D980" w14:textId="77777777" w:rsidR="009A05C7" w:rsidRPr="00384CEF" w:rsidRDefault="009A05C7" w:rsidP="000240DA">
            <w:pPr>
              <w:spacing w:after="0" w:line="240" w:lineRule="auto"/>
              <w:jc w:val="right"/>
              <w:rPr>
                <w:rFonts w:eastAsia="Times New Roman" w:cs="Times New Roman"/>
                <w:color w:val="000000"/>
                <w:sz w:val="18"/>
                <w:szCs w:val="18"/>
                <w:lang w:eastAsia="sk-SK"/>
              </w:rPr>
            </w:pPr>
            <w:r w:rsidRPr="00384CEF">
              <w:rPr>
                <w:rFonts w:eastAsia="Times New Roman" w:cs="Times New Roman"/>
                <w:color w:val="000000"/>
                <w:sz w:val="18"/>
                <w:szCs w:val="18"/>
                <w:lang w:eastAsia="sk-SK"/>
              </w:rPr>
              <w:t>4,8</w:t>
            </w:r>
          </w:p>
        </w:tc>
        <w:tc>
          <w:tcPr>
            <w:tcW w:w="789" w:type="pct"/>
            <w:tcBorders>
              <w:top w:val="nil"/>
              <w:left w:val="nil"/>
              <w:bottom w:val="nil"/>
              <w:right w:val="nil"/>
            </w:tcBorders>
            <w:shd w:val="clear" w:color="auto" w:fill="auto"/>
            <w:noWrap/>
            <w:vAlign w:val="center"/>
            <w:hideMark/>
          </w:tcPr>
          <w:p w14:paraId="15F2E103" w14:textId="77777777" w:rsidR="009A05C7" w:rsidRPr="00384CEF" w:rsidRDefault="009A05C7" w:rsidP="000240DA">
            <w:pPr>
              <w:spacing w:after="0" w:line="240" w:lineRule="auto"/>
              <w:jc w:val="right"/>
              <w:rPr>
                <w:rFonts w:eastAsia="Times New Roman" w:cs="Times New Roman"/>
                <w:color w:val="000000"/>
                <w:sz w:val="18"/>
                <w:szCs w:val="18"/>
                <w:lang w:eastAsia="sk-SK"/>
              </w:rPr>
            </w:pPr>
            <w:r w:rsidRPr="00384CEF">
              <w:rPr>
                <w:rFonts w:eastAsia="Times New Roman" w:cs="Times New Roman"/>
                <w:color w:val="000000"/>
                <w:sz w:val="18"/>
                <w:szCs w:val="18"/>
                <w:lang w:eastAsia="sk-SK"/>
              </w:rPr>
              <w:t>4,5</w:t>
            </w:r>
          </w:p>
        </w:tc>
      </w:tr>
      <w:tr w:rsidR="009A05C7" w:rsidRPr="00384CEF" w14:paraId="058D1D50" w14:textId="77777777" w:rsidTr="000240DA">
        <w:trPr>
          <w:trHeight w:val="280"/>
        </w:trPr>
        <w:tc>
          <w:tcPr>
            <w:tcW w:w="2633" w:type="pct"/>
            <w:tcBorders>
              <w:top w:val="nil"/>
              <w:left w:val="nil"/>
              <w:bottom w:val="nil"/>
              <w:right w:val="nil"/>
            </w:tcBorders>
            <w:shd w:val="clear" w:color="auto" w:fill="auto"/>
            <w:noWrap/>
            <w:vAlign w:val="center"/>
            <w:hideMark/>
          </w:tcPr>
          <w:p w14:paraId="5150D5D3" w14:textId="77777777" w:rsidR="009A05C7" w:rsidRPr="00384CEF" w:rsidRDefault="009A05C7" w:rsidP="000240DA">
            <w:pPr>
              <w:spacing w:after="0" w:line="240" w:lineRule="auto"/>
              <w:jc w:val="left"/>
              <w:rPr>
                <w:rFonts w:eastAsia="Times New Roman" w:cs="Times New Roman"/>
                <w:color w:val="000000"/>
                <w:sz w:val="18"/>
                <w:szCs w:val="18"/>
                <w:lang w:eastAsia="sk-SK"/>
              </w:rPr>
            </w:pPr>
            <w:r w:rsidRPr="00384CEF">
              <w:rPr>
                <w:rFonts w:eastAsia="Times New Roman" w:cs="Times New Roman"/>
                <w:color w:val="000000"/>
                <w:sz w:val="18"/>
                <w:szCs w:val="18"/>
                <w:lang w:eastAsia="sk-SK"/>
              </w:rPr>
              <w:t>Miera inflácie (HICP, %)</w:t>
            </w:r>
          </w:p>
        </w:tc>
        <w:tc>
          <w:tcPr>
            <w:tcW w:w="789" w:type="pct"/>
            <w:tcBorders>
              <w:top w:val="nil"/>
              <w:left w:val="nil"/>
              <w:bottom w:val="nil"/>
              <w:right w:val="nil"/>
            </w:tcBorders>
            <w:shd w:val="clear" w:color="auto" w:fill="auto"/>
            <w:noWrap/>
            <w:vAlign w:val="center"/>
            <w:hideMark/>
          </w:tcPr>
          <w:p w14:paraId="2527E03D" w14:textId="77777777" w:rsidR="009A05C7" w:rsidRPr="00384CEF" w:rsidRDefault="009A05C7" w:rsidP="000240DA">
            <w:pPr>
              <w:spacing w:after="0" w:line="240" w:lineRule="auto"/>
              <w:jc w:val="right"/>
              <w:rPr>
                <w:rFonts w:eastAsia="Times New Roman" w:cs="Times New Roman"/>
                <w:color w:val="000000"/>
                <w:sz w:val="18"/>
                <w:szCs w:val="18"/>
                <w:lang w:eastAsia="sk-SK"/>
              </w:rPr>
            </w:pPr>
            <w:r w:rsidRPr="00384CEF">
              <w:rPr>
                <w:rFonts w:eastAsia="Times New Roman" w:cs="Times New Roman"/>
                <w:color w:val="000000"/>
                <w:sz w:val="18"/>
                <w:szCs w:val="18"/>
                <w:lang w:eastAsia="sk-SK"/>
              </w:rPr>
              <w:t>8,4</w:t>
            </w:r>
          </w:p>
        </w:tc>
        <w:tc>
          <w:tcPr>
            <w:tcW w:w="789" w:type="pct"/>
            <w:tcBorders>
              <w:top w:val="nil"/>
              <w:left w:val="nil"/>
              <w:bottom w:val="nil"/>
              <w:right w:val="nil"/>
            </w:tcBorders>
            <w:shd w:val="clear" w:color="auto" w:fill="auto"/>
            <w:noWrap/>
            <w:vAlign w:val="center"/>
            <w:hideMark/>
          </w:tcPr>
          <w:p w14:paraId="05D23CCF" w14:textId="77777777" w:rsidR="009A05C7" w:rsidRPr="00384CEF" w:rsidRDefault="009A05C7" w:rsidP="000240DA">
            <w:pPr>
              <w:spacing w:after="0" w:line="240" w:lineRule="auto"/>
              <w:jc w:val="right"/>
              <w:rPr>
                <w:rFonts w:eastAsia="Times New Roman" w:cs="Times New Roman"/>
                <w:color w:val="000000"/>
                <w:sz w:val="18"/>
                <w:szCs w:val="18"/>
                <w:lang w:eastAsia="sk-SK"/>
              </w:rPr>
            </w:pPr>
            <w:r w:rsidRPr="00384CEF">
              <w:rPr>
                <w:rFonts w:eastAsia="Times New Roman" w:cs="Times New Roman"/>
                <w:color w:val="000000"/>
                <w:sz w:val="18"/>
                <w:szCs w:val="18"/>
                <w:lang w:eastAsia="sk-SK"/>
              </w:rPr>
              <w:t>5,4</w:t>
            </w:r>
          </w:p>
        </w:tc>
        <w:tc>
          <w:tcPr>
            <w:tcW w:w="789" w:type="pct"/>
            <w:tcBorders>
              <w:top w:val="nil"/>
              <w:left w:val="nil"/>
              <w:bottom w:val="nil"/>
              <w:right w:val="nil"/>
            </w:tcBorders>
            <w:shd w:val="clear" w:color="auto" w:fill="auto"/>
            <w:noWrap/>
            <w:vAlign w:val="center"/>
            <w:hideMark/>
          </w:tcPr>
          <w:p w14:paraId="6D7390F6" w14:textId="77777777" w:rsidR="009A05C7" w:rsidRPr="00384CEF" w:rsidRDefault="009A05C7" w:rsidP="000240DA">
            <w:pPr>
              <w:spacing w:after="0" w:line="240" w:lineRule="auto"/>
              <w:jc w:val="right"/>
              <w:rPr>
                <w:rFonts w:eastAsia="Times New Roman" w:cs="Times New Roman"/>
                <w:color w:val="000000"/>
                <w:sz w:val="18"/>
                <w:szCs w:val="18"/>
                <w:lang w:eastAsia="sk-SK"/>
              </w:rPr>
            </w:pPr>
            <w:r w:rsidRPr="00384CEF">
              <w:rPr>
                <w:rFonts w:eastAsia="Times New Roman" w:cs="Times New Roman"/>
                <w:color w:val="000000"/>
                <w:sz w:val="18"/>
                <w:szCs w:val="18"/>
                <w:lang w:eastAsia="sk-SK"/>
              </w:rPr>
              <w:t>2,4</w:t>
            </w:r>
          </w:p>
        </w:tc>
      </w:tr>
      <w:tr w:rsidR="009A05C7" w:rsidRPr="00384CEF" w14:paraId="68555535" w14:textId="77777777" w:rsidTr="000240DA">
        <w:trPr>
          <w:trHeight w:val="280"/>
        </w:trPr>
        <w:tc>
          <w:tcPr>
            <w:tcW w:w="2633" w:type="pct"/>
            <w:tcBorders>
              <w:top w:val="nil"/>
              <w:left w:val="nil"/>
              <w:bottom w:val="nil"/>
              <w:right w:val="nil"/>
            </w:tcBorders>
            <w:shd w:val="clear" w:color="auto" w:fill="auto"/>
            <w:noWrap/>
            <w:vAlign w:val="center"/>
            <w:hideMark/>
          </w:tcPr>
          <w:p w14:paraId="11AA47ED" w14:textId="77777777" w:rsidR="009A05C7" w:rsidRPr="00384CEF" w:rsidRDefault="009A05C7" w:rsidP="000240DA">
            <w:pPr>
              <w:spacing w:after="0" w:line="240" w:lineRule="auto"/>
              <w:jc w:val="left"/>
              <w:rPr>
                <w:rFonts w:eastAsia="Times New Roman" w:cs="Times New Roman"/>
                <w:color w:val="000000"/>
                <w:sz w:val="18"/>
                <w:szCs w:val="18"/>
                <w:lang w:eastAsia="sk-SK"/>
              </w:rPr>
            </w:pPr>
            <w:r w:rsidRPr="00384CEF">
              <w:rPr>
                <w:rFonts w:eastAsia="Times New Roman" w:cs="Times New Roman"/>
                <w:color w:val="000000"/>
                <w:sz w:val="18"/>
                <w:szCs w:val="18"/>
                <w:lang w:eastAsia="sk-SK"/>
              </w:rPr>
              <w:t>10-ročný nemecký dlhopis (% výnos)</w:t>
            </w:r>
          </w:p>
        </w:tc>
        <w:tc>
          <w:tcPr>
            <w:tcW w:w="789" w:type="pct"/>
            <w:tcBorders>
              <w:top w:val="nil"/>
              <w:left w:val="nil"/>
              <w:bottom w:val="nil"/>
              <w:right w:val="nil"/>
            </w:tcBorders>
            <w:shd w:val="clear" w:color="auto" w:fill="auto"/>
            <w:noWrap/>
            <w:vAlign w:val="center"/>
            <w:hideMark/>
          </w:tcPr>
          <w:p w14:paraId="4C961BF9" w14:textId="77777777" w:rsidR="009A05C7" w:rsidRPr="00384CEF" w:rsidRDefault="009A05C7" w:rsidP="000240DA">
            <w:pPr>
              <w:spacing w:after="0" w:line="240" w:lineRule="auto"/>
              <w:jc w:val="right"/>
              <w:rPr>
                <w:rFonts w:eastAsia="Times New Roman" w:cs="Times New Roman"/>
                <w:color w:val="000000"/>
                <w:sz w:val="18"/>
                <w:szCs w:val="18"/>
                <w:lang w:eastAsia="sk-SK"/>
              </w:rPr>
            </w:pPr>
            <w:r w:rsidRPr="00384CEF">
              <w:rPr>
                <w:rFonts w:eastAsia="Times New Roman" w:cs="Times New Roman"/>
                <w:color w:val="000000"/>
                <w:sz w:val="18"/>
                <w:szCs w:val="18"/>
                <w:lang w:eastAsia="sk-SK"/>
              </w:rPr>
              <w:t>1,2</w:t>
            </w:r>
          </w:p>
        </w:tc>
        <w:tc>
          <w:tcPr>
            <w:tcW w:w="789" w:type="pct"/>
            <w:tcBorders>
              <w:top w:val="nil"/>
              <w:left w:val="nil"/>
              <w:bottom w:val="nil"/>
              <w:right w:val="nil"/>
            </w:tcBorders>
            <w:shd w:val="clear" w:color="auto" w:fill="auto"/>
            <w:noWrap/>
            <w:vAlign w:val="center"/>
            <w:hideMark/>
          </w:tcPr>
          <w:p w14:paraId="35BC073C" w14:textId="77777777" w:rsidR="009A05C7" w:rsidRPr="00384CEF" w:rsidRDefault="009A05C7" w:rsidP="000240DA">
            <w:pPr>
              <w:spacing w:after="0" w:line="240" w:lineRule="auto"/>
              <w:jc w:val="right"/>
              <w:rPr>
                <w:rFonts w:eastAsia="Times New Roman" w:cs="Times New Roman"/>
                <w:color w:val="000000"/>
                <w:sz w:val="18"/>
                <w:szCs w:val="18"/>
                <w:lang w:eastAsia="sk-SK"/>
              </w:rPr>
            </w:pPr>
            <w:r w:rsidRPr="00384CEF">
              <w:rPr>
                <w:rFonts w:eastAsia="Times New Roman" w:cs="Times New Roman"/>
                <w:color w:val="000000"/>
                <w:sz w:val="18"/>
                <w:szCs w:val="18"/>
                <w:lang w:eastAsia="sk-SK"/>
              </w:rPr>
              <w:t>2,5</w:t>
            </w:r>
          </w:p>
        </w:tc>
        <w:tc>
          <w:tcPr>
            <w:tcW w:w="789" w:type="pct"/>
            <w:tcBorders>
              <w:top w:val="nil"/>
              <w:left w:val="nil"/>
              <w:bottom w:val="nil"/>
              <w:right w:val="nil"/>
            </w:tcBorders>
            <w:shd w:val="clear" w:color="auto" w:fill="auto"/>
            <w:noWrap/>
            <w:vAlign w:val="center"/>
            <w:hideMark/>
          </w:tcPr>
          <w:p w14:paraId="096E523B" w14:textId="77777777" w:rsidR="009A05C7" w:rsidRPr="00384CEF" w:rsidRDefault="009A05C7" w:rsidP="000240DA">
            <w:pPr>
              <w:spacing w:after="0" w:line="240" w:lineRule="auto"/>
              <w:jc w:val="right"/>
              <w:rPr>
                <w:rFonts w:eastAsia="Times New Roman" w:cs="Times New Roman"/>
                <w:color w:val="000000"/>
                <w:sz w:val="18"/>
                <w:szCs w:val="18"/>
                <w:lang w:eastAsia="sk-SK"/>
              </w:rPr>
            </w:pPr>
            <w:r w:rsidRPr="00384CEF">
              <w:rPr>
                <w:rFonts w:eastAsia="Times New Roman" w:cs="Times New Roman"/>
                <w:color w:val="000000"/>
                <w:sz w:val="18"/>
                <w:szCs w:val="18"/>
                <w:lang w:eastAsia="sk-SK"/>
              </w:rPr>
              <w:t>2,4</w:t>
            </w:r>
          </w:p>
        </w:tc>
      </w:tr>
      <w:tr w:rsidR="009A05C7" w:rsidRPr="00384CEF" w14:paraId="1FADB86A" w14:textId="77777777" w:rsidTr="000240DA">
        <w:trPr>
          <w:trHeight w:val="280"/>
        </w:trPr>
        <w:tc>
          <w:tcPr>
            <w:tcW w:w="2633" w:type="pct"/>
            <w:tcBorders>
              <w:top w:val="nil"/>
              <w:left w:val="nil"/>
              <w:right w:val="nil"/>
            </w:tcBorders>
            <w:shd w:val="clear" w:color="auto" w:fill="auto"/>
            <w:noWrap/>
            <w:vAlign w:val="center"/>
            <w:hideMark/>
          </w:tcPr>
          <w:p w14:paraId="2CB2BFCD" w14:textId="77777777" w:rsidR="009A05C7" w:rsidRPr="00384CEF" w:rsidRDefault="009A05C7" w:rsidP="000240DA">
            <w:pPr>
              <w:spacing w:after="0" w:line="240" w:lineRule="auto"/>
              <w:jc w:val="left"/>
              <w:rPr>
                <w:rFonts w:eastAsia="Times New Roman" w:cs="Times New Roman"/>
                <w:color w:val="000000"/>
                <w:sz w:val="18"/>
                <w:szCs w:val="18"/>
                <w:lang w:eastAsia="sk-SK"/>
              </w:rPr>
            </w:pPr>
            <w:r w:rsidRPr="00384CEF">
              <w:rPr>
                <w:rFonts w:eastAsia="Times New Roman" w:cs="Times New Roman"/>
                <w:color w:val="000000"/>
                <w:sz w:val="18"/>
                <w:szCs w:val="18"/>
                <w:lang w:eastAsia="sk-SK"/>
              </w:rPr>
              <w:t>Kurz USD/EUR (priemer roka)</w:t>
            </w:r>
          </w:p>
        </w:tc>
        <w:tc>
          <w:tcPr>
            <w:tcW w:w="789" w:type="pct"/>
            <w:tcBorders>
              <w:top w:val="nil"/>
              <w:left w:val="nil"/>
              <w:right w:val="nil"/>
            </w:tcBorders>
            <w:shd w:val="clear" w:color="auto" w:fill="auto"/>
            <w:noWrap/>
            <w:vAlign w:val="center"/>
            <w:hideMark/>
          </w:tcPr>
          <w:p w14:paraId="6074E460" w14:textId="77777777" w:rsidR="009A05C7" w:rsidRPr="00384CEF" w:rsidRDefault="009A05C7" w:rsidP="000240DA">
            <w:pPr>
              <w:spacing w:after="0" w:line="240" w:lineRule="auto"/>
              <w:jc w:val="right"/>
              <w:rPr>
                <w:rFonts w:eastAsia="Times New Roman" w:cs="Times New Roman"/>
                <w:color w:val="000000"/>
                <w:sz w:val="18"/>
                <w:szCs w:val="18"/>
                <w:lang w:eastAsia="sk-SK"/>
              </w:rPr>
            </w:pPr>
            <w:r w:rsidRPr="00384CEF">
              <w:rPr>
                <w:rFonts w:eastAsia="Times New Roman" w:cs="Times New Roman"/>
                <w:color w:val="000000"/>
                <w:sz w:val="18"/>
                <w:szCs w:val="18"/>
                <w:lang w:eastAsia="sk-SK"/>
              </w:rPr>
              <w:t>1,1</w:t>
            </w:r>
          </w:p>
        </w:tc>
        <w:tc>
          <w:tcPr>
            <w:tcW w:w="789" w:type="pct"/>
            <w:tcBorders>
              <w:top w:val="nil"/>
              <w:left w:val="nil"/>
              <w:right w:val="nil"/>
            </w:tcBorders>
            <w:shd w:val="clear" w:color="auto" w:fill="auto"/>
            <w:noWrap/>
            <w:vAlign w:val="center"/>
            <w:hideMark/>
          </w:tcPr>
          <w:p w14:paraId="7F6A2CF5" w14:textId="77777777" w:rsidR="009A05C7" w:rsidRPr="00384CEF" w:rsidRDefault="009A05C7" w:rsidP="000240DA">
            <w:pPr>
              <w:spacing w:after="0" w:line="240" w:lineRule="auto"/>
              <w:jc w:val="right"/>
              <w:rPr>
                <w:rFonts w:eastAsia="Times New Roman" w:cs="Times New Roman"/>
                <w:color w:val="000000"/>
                <w:sz w:val="18"/>
                <w:szCs w:val="18"/>
                <w:lang w:eastAsia="sk-SK"/>
              </w:rPr>
            </w:pPr>
            <w:r w:rsidRPr="00384CEF">
              <w:rPr>
                <w:rFonts w:eastAsia="Times New Roman" w:cs="Times New Roman"/>
                <w:color w:val="000000"/>
                <w:sz w:val="18"/>
                <w:szCs w:val="18"/>
                <w:lang w:eastAsia="sk-SK"/>
              </w:rPr>
              <w:t>1,1</w:t>
            </w:r>
          </w:p>
        </w:tc>
        <w:tc>
          <w:tcPr>
            <w:tcW w:w="789" w:type="pct"/>
            <w:tcBorders>
              <w:top w:val="nil"/>
              <w:left w:val="nil"/>
              <w:right w:val="nil"/>
            </w:tcBorders>
            <w:shd w:val="clear" w:color="auto" w:fill="auto"/>
            <w:noWrap/>
            <w:vAlign w:val="center"/>
            <w:hideMark/>
          </w:tcPr>
          <w:p w14:paraId="274BBD66" w14:textId="77777777" w:rsidR="009A05C7" w:rsidRPr="00384CEF" w:rsidRDefault="009A05C7" w:rsidP="000240DA">
            <w:pPr>
              <w:spacing w:after="0" w:line="240" w:lineRule="auto"/>
              <w:jc w:val="right"/>
              <w:rPr>
                <w:rFonts w:eastAsia="Times New Roman" w:cs="Times New Roman"/>
                <w:color w:val="000000"/>
                <w:sz w:val="18"/>
                <w:szCs w:val="18"/>
                <w:lang w:eastAsia="sk-SK"/>
              </w:rPr>
            </w:pPr>
            <w:r w:rsidRPr="00384CEF">
              <w:rPr>
                <w:rFonts w:eastAsia="Times New Roman" w:cs="Times New Roman"/>
                <w:color w:val="000000"/>
                <w:sz w:val="18"/>
                <w:szCs w:val="18"/>
                <w:lang w:eastAsia="sk-SK"/>
              </w:rPr>
              <w:t>1,1</w:t>
            </w:r>
          </w:p>
        </w:tc>
      </w:tr>
      <w:tr w:rsidR="009A05C7" w:rsidRPr="00384CEF" w14:paraId="05C7F056" w14:textId="77777777" w:rsidTr="000240DA">
        <w:trPr>
          <w:trHeight w:val="290"/>
        </w:trPr>
        <w:tc>
          <w:tcPr>
            <w:tcW w:w="2633" w:type="pct"/>
            <w:tcBorders>
              <w:top w:val="nil"/>
              <w:left w:val="nil"/>
              <w:bottom w:val="single" w:sz="4" w:space="0" w:color="auto"/>
              <w:right w:val="nil"/>
            </w:tcBorders>
            <w:shd w:val="clear" w:color="auto" w:fill="auto"/>
            <w:noWrap/>
            <w:vAlign w:val="center"/>
            <w:hideMark/>
          </w:tcPr>
          <w:p w14:paraId="6688837C" w14:textId="77777777" w:rsidR="009A05C7" w:rsidRPr="00384CEF" w:rsidRDefault="009A05C7" w:rsidP="000240DA">
            <w:pPr>
              <w:spacing w:after="0" w:line="240" w:lineRule="auto"/>
              <w:jc w:val="left"/>
              <w:rPr>
                <w:rFonts w:eastAsia="Times New Roman" w:cs="Times New Roman"/>
                <w:color w:val="000000"/>
                <w:sz w:val="18"/>
                <w:szCs w:val="18"/>
                <w:lang w:eastAsia="sk-SK"/>
              </w:rPr>
            </w:pPr>
            <w:r w:rsidRPr="00384CEF">
              <w:rPr>
                <w:rFonts w:eastAsia="Times New Roman" w:cs="Times New Roman"/>
                <w:color w:val="000000"/>
                <w:sz w:val="18"/>
                <w:szCs w:val="18"/>
                <w:lang w:eastAsia="sk-SK"/>
              </w:rPr>
              <w:t>Cena ropy Brent (USD/bl)</w:t>
            </w:r>
          </w:p>
        </w:tc>
        <w:tc>
          <w:tcPr>
            <w:tcW w:w="789" w:type="pct"/>
            <w:tcBorders>
              <w:top w:val="nil"/>
              <w:left w:val="nil"/>
              <w:bottom w:val="single" w:sz="4" w:space="0" w:color="auto"/>
              <w:right w:val="nil"/>
            </w:tcBorders>
            <w:shd w:val="clear" w:color="auto" w:fill="auto"/>
            <w:noWrap/>
            <w:vAlign w:val="center"/>
            <w:hideMark/>
          </w:tcPr>
          <w:p w14:paraId="1E29291B" w14:textId="77777777" w:rsidR="009A05C7" w:rsidRPr="00384CEF" w:rsidRDefault="009A05C7" w:rsidP="000240DA">
            <w:pPr>
              <w:spacing w:after="0" w:line="240" w:lineRule="auto"/>
              <w:jc w:val="right"/>
              <w:rPr>
                <w:rFonts w:eastAsia="Times New Roman" w:cs="Times New Roman"/>
                <w:color w:val="000000"/>
                <w:sz w:val="18"/>
                <w:szCs w:val="18"/>
                <w:lang w:eastAsia="sk-SK"/>
              </w:rPr>
            </w:pPr>
            <w:r w:rsidRPr="00384CEF">
              <w:rPr>
                <w:rFonts w:eastAsia="Times New Roman" w:cs="Times New Roman"/>
                <w:color w:val="000000"/>
                <w:sz w:val="18"/>
                <w:szCs w:val="18"/>
                <w:lang w:eastAsia="sk-SK"/>
              </w:rPr>
              <w:t>98,9</w:t>
            </w:r>
          </w:p>
        </w:tc>
        <w:tc>
          <w:tcPr>
            <w:tcW w:w="789" w:type="pct"/>
            <w:tcBorders>
              <w:top w:val="nil"/>
              <w:left w:val="nil"/>
              <w:bottom w:val="single" w:sz="4" w:space="0" w:color="auto"/>
              <w:right w:val="nil"/>
            </w:tcBorders>
            <w:shd w:val="clear" w:color="auto" w:fill="auto"/>
            <w:noWrap/>
            <w:vAlign w:val="center"/>
            <w:hideMark/>
          </w:tcPr>
          <w:p w14:paraId="2C1AAA5B" w14:textId="77777777" w:rsidR="009A05C7" w:rsidRPr="00384CEF" w:rsidRDefault="009A05C7" w:rsidP="000240DA">
            <w:pPr>
              <w:spacing w:after="0" w:line="240" w:lineRule="auto"/>
              <w:jc w:val="right"/>
              <w:rPr>
                <w:rFonts w:eastAsia="Times New Roman" w:cs="Times New Roman"/>
                <w:color w:val="000000"/>
                <w:sz w:val="18"/>
                <w:szCs w:val="18"/>
                <w:lang w:eastAsia="sk-SK"/>
              </w:rPr>
            </w:pPr>
            <w:r w:rsidRPr="00384CEF">
              <w:rPr>
                <w:rFonts w:eastAsia="Times New Roman" w:cs="Times New Roman"/>
                <w:color w:val="000000"/>
                <w:sz w:val="18"/>
                <w:szCs w:val="18"/>
                <w:lang w:eastAsia="sk-SK"/>
              </w:rPr>
              <w:t>82,2</w:t>
            </w:r>
          </w:p>
        </w:tc>
        <w:tc>
          <w:tcPr>
            <w:tcW w:w="789" w:type="pct"/>
            <w:tcBorders>
              <w:top w:val="nil"/>
              <w:left w:val="nil"/>
              <w:bottom w:val="single" w:sz="4" w:space="0" w:color="auto"/>
              <w:right w:val="nil"/>
            </w:tcBorders>
            <w:shd w:val="clear" w:color="auto" w:fill="auto"/>
            <w:noWrap/>
            <w:vAlign w:val="center"/>
            <w:hideMark/>
          </w:tcPr>
          <w:p w14:paraId="16062BB8" w14:textId="77777777" w:rsidR="009A05C7" w:rsidRPr="00384CEF" w:rsidRDefault="009A05C7" w:rsidP="000240DA">
            <w:pPr>
              <w:spacing w:after="0" w:line="240" w:lineRule="auto"/>
              <w:jc w:val="right"/>
              <w:rPr>
                <w:rFonts w:eastAsia="Times New Roman" w:cs="Times New Roman"/>
                <w:color w:val="000000"/>
                <w:sz w:val="18"/>
                <w:szCs w:val="18"/>
                <w:lang w:eastAsia="sk-SK"/>
              </w:rPr>
            </w:pPr>
            <w:r w:rsidRPr="00384CEF">
              <w:rPr>
                <w:rFonts w:eastAsia="Times New Roman" w:cs="Times New Roman"/>
                <w:color w:val="000000"/>
                <w:sz w:val="18"/>
                <w:szCs w:val="18"/>
                <w:lang w:eastAsia="sk-SK"/>
              </w:rPr>
              <w:t>79,8</w:t>
            </w:r>
          </w:p>
        </w:tc>
      </w:tr>
    </w:tbl>
    <w:p w14:paraId="625BD973" w14:textId="77777777" w:rsidR="009A05C7" w:rsidRPr="00A3126D" w:rsidRDefault="009A05C7" w:rsidP="009A05C7">
      <w:pPr>
        <w:spacing w:after="0" w:line="240" w:lineRule="auto"/>
        <w:rPr>
          <w:rFonts w:eastAsia="Times New Roman" w:cs="Times New Roman"/>
          <w:iCs/>
          <w:color w:val="000000"/>
          <w:sz w:val="18"/>
          <w:szCs w:val="18"/>
          <w:lang w:eastAsia="sk-SK"/>
        </w:rPr>
      </w:pPr>
      <w:r w:rsidRPr="00384CEF">
        <w:rPr>
          <w:rFonts w:eastAsia="Times New Roman" w:cs="Times New Roman"/>
          <w:iCs/>
          <w:color w:val="000000"/>
          <w:sz w:val="18"/>
          <w:szCs w:val="18"/>
          <w:lang w:eastAsia="sk-SK"/>
        </w:rPr>
        <w:t>* suma všetkých miezd a odvodov na jedného zamestnanca („superhrubá“ mzda</w:t>
      </w:r>
      <w:r w:rsidRPr="00384CEF">
        <w:rPr>
          <w:rFonts w:eastAsia="Times New Roman" w:cs="Times New Roman"/>
          <w:color w:val="1F497D"/>
          <w:sz w:val="18"/>
          <w:szCs w:val="18"/>
          <w:lang w:eastAsia="sk-SK"/>
        </w:rPr>
        <w:t>)</w:t>
      </w:r>
      <w:r w:rsidRPr="00384CEF">
        <w:rPr>
          <w:rFonts w:eastAsia="Times New Roman" w:cs="Times New Roman"/>
          <w:iCs/>
          <w:color w:val="000000"/>
          <w:sz w:val="18"/>
          <w:szCs w:val="18"/>
          <w:lang w:eastAsia="sk-SK"/>
        </w:rPr>
        <w:t xml:space="preserve">                                 Zdroj: Eurostat, Bloomberg</w:t>
      </w:r>
    </w:p>
    <w:p w14:paraId="5DA4D402" w14:textId="77777777" w:rsidR="009A05C7" w:rsidRPr="00204601" w:rsidRDefault="009A05C7" w:rsidP="00922F60">
      <w:pPr>
        <w:pStyle w:val="Nadpis2"/>
        <w:spacing w:line="240" w:lineRule="auto"/>
        <w:ind w:left="567" w:hanging="567"/>
      </w:pPr>
      <w:bookmarkStart w:id="8" w:name="_Toc6415628"/>
      <w:bookmarkStart w:id="9" w:name="_Toc196314117"/>
      <w:r w:rsidRPr="00204601">
        <w:t>Makroekonomický vývoj SR</w:t>
      </w:r>
      <w:bookmarkEnd w:id="8"/>
      <w:bookmarkEnd w:id="9"/>
    </w:p>
    <w:p w14:paraId="17662FF7" w14:textId="77777777" w:rsidR="009A05C7" w:rsidRPr="00204601" w:rsidRDefault="009A05C7" w:rsidP="009A05C7">
      <w:pPr>
        <w:pStyle w:val="Nadpis3"/>
      </w:pPr>
      <w:bookmarkStart w:id="10" w:name="_Toc6415629"/>
      <w:bookmarkStart w:id="11" w:name="_Toc196314118"/>
      <w:r w:rsidRPr="00204601">
        <w:t>Hrubý domáci produkt</w:t>
      </w:r>
      <w:bookmarkEnd w:id="10"/>
      <w:bookmarkEnd w:id="11"/>
    </w:p>
    <w:p w14:paraId="464AC509" w14:textId="4FBE02AF" w:rsidR="009A05C7" w:rsidRPr="00593BFD" w:rsidRDefault="009A05C7" w:rsidP="009A05C7">
      <w:pPr>
        <w:spacing w:line="240" w:lineRule="auto"/>
        <w:rPr>
          <w:sz w:val="24"/>
          <w:szCs w:val="24"/>
          <w:highlight w:val="yellow"/>
        </w:rPr>
      </w:pPr>
      <w:r w:rsidRPr="00CF3F96">
        <w:rPr>
          <w:rFonts w:cs="Times New Roman"/>
          <w:sz w:val="24"/>
          <w:szCs w:val="24"/>
        </w:rPr>
        <w:t xml:space="preserve">Hospodársky rast Slovenskej republiky v roku 2024 bol primárne podporený domácim dopytom, pričom HDP vzrástol </w:t>
      </w:r>
      <w:r w:rsidRPr="00F060A4">
        <w:rPr>
          <w:rFonts w:cs="Times New Roman"/>
          <w:sz w:val="24"/>
          <w:szCs w:val="24"/>
        </w:rPr>
        <w:t>o 2,1</w:t>
      </w:r>
      <w:r>
        <w:rPr>
          <w:rFonts w:cs="Times New Roman"/>
          <w:sz w:val="24"/>
          <w:szCs w:val="24"/>
        </w:rPr>
        <w:t> </w:t>
      </w:r>
      <w:r w:rsidRPr="00CF3F96">
        <w:rPr>
          <w:rFonts w:cs="Times New Roman"/>
          <w:sz w:val="24"/>
          <w:szCs w:val="24"/>
        </w:rPr>
        <w:t>%. Rast spotreby domácností bol výsledkom poklesu inflácie a</w:t>
      </w:r>
      <w:r>
        <w:rPr>
          <w:rFonts w:cs="Times New Roman"/>
          <w:sz w:val="24"/>
          <w:szCs w:val="24"/>
        </w:rPr>
        <w:t> </w:t>
      </w:r>
      <w:r w:rsidRPr="00CF3F96">
        <w:rPr>
          <w:rFonts w:cs="Times New Roman"/>
          <w:sz w:val="24"/>
          <w:szCs w:val="24"/>
        </w:rPr>
        <w:t>stabilnej situácie na trhu práce. Ku koncu roka prispelo k miernemu oživeniu investičnej aktivity postupné zvyšovanie čerpani</w:t>
      </w:r>
      <w:r w:rsidR="007232E9">
        <w:rPr>
          <w:rFonts w:cs="Times New Roman"/>
          <w:sz w:val="24"/>
          <w:szCs w:val="24"/>
        </w:rPr>
        <w:t>a prostriedkov z Plánu obnovy a </w:t>
      </w:r>
      <w:r w:rsidRPr="00CF3F96">
        <w:rPr>
          <w:rFonts w:cs="Times New Roman"/>
          <w:sz w:val="24"/>
          <w:szCs w:val="24"/>
        </w:rPr>
        <w:t>odolnosti. Domácnosti zároveň zrýchlili spotrebu v očakávaní zvýšenia DPH od januára. Napriek týmto pozitívnym impulzom investičná činnosť ako ce</w:t>
      </w:r>
      <w:r w:rsidR="0018600F">
        <w:rPr>
          <w:rFonts w:cs="Times New Roman"/>
          <w:sz w:val="24"/>
          <w:szCs w:val="24"/>
        </w:rPr>
        <w:t>lok v priebehu roka pôsobila na </w:t>
      </w:r>
      <w:r w:rsidRPr="00CF3F96">
        <w:rPr>
          <w:rFonts w:cs="Times New Roman"/>
          <w:sz w:val="24"/>
          <w:szCs w:val="24"/>
        </w:rPr>
        <w:t>hospodársky rast tlmivo, keďže mobilizácia kapitálových zdrojov z nového programového obdobia fondov EÚ prebiehala len postupne.</w:t>
      </w:r>
    </w:p>
    <w:p w14:paraId="3D75CDDA" w14:textId="74811EB7" w:rsidR="009A05C7" w:rsidRDefault="009A05C7" w:rsidP="009A05C7">
      <w:pPr>
        <w:spacing w:line="240" w:lineRule="auto"/>
        <w:rPr>
          <w:rFonts w:cs="Times New Roman"/>
          <w:sz w:val="24"/>
          <w:szCs w:val="24"/>
        </w:rPr>
      </w:pPr>
      <w:r w:rsidRPr="00CF3F96">
        <w:rPr>
          <w:rFonts w:cs="Times New Roman"/>
          <w:sz w:val="24"/>
          <w:szCs w:val="24"/>
        </w:rPr>
        <w:t>Oživenie exportnej výkonnosti napredovalo v roku 2024 pomaly, predovšetkým v</w:t>
      </w:r>
      <w:r>
        <w:rPr>
          <w:rFonts w:cs="Times New Roman"/>
          <w:sz w:val="24"/>
          <w:szCs w:val="24"/>
        </w:rPr>
        <w:t> </w:t>
      </w:r>
      <w:r w:rsidRPr="00CF3F96">
        <w:rPr>
          <w:rFonts w:cs="Times New Roman"/>
          <w:sz w:val="24"/>
          <w:szCs w:val="24"/>
        </w:rPr>
        <w:t>dôsledku narastajúcej neistoty v oblasti globálneho obchodu a stagnácie nemeckého priemyslu. Čistý export sa udržal v prebytku, avšak v menšej miere ako v roku 2023, čo negatívne prispelo k</w:t>
      </w:r>
      <w:r>
        <w:rPr>
          <w:rFonts w:cs="Times New Roman"/>
          <w:sz w:val="24"/>
          <w:szCs w:val="24"/>
        </w:rPr>
        <w:t> </w:t>
      </w:r>
      <w:r w:rsidRPr="00CF3F96">
        <w:rPr>
          <w:rFonts w:cs="Times New Roman"/>
          <w:sz w:val="24"/>
          <w:szCs w:val="24"/>
        </w:rPr>
        <w:t>celkovému hospodárskemu výsledku ekonomiky. V odvetviach čelila mimoriadnym problémom kovovýroba, stavebníctvo ukázalo koncom roka náznaky oživenia. Automobilkám sa darilo s výnimkou niektorých mesiacov, no utlmenie v ostatných sektoroch nedokázali výrazne kompenzovať</w:t>
      </w:r>
      <w:r>
        <w:rPr>
          <w:rFonts w:cs="Times New Roman"/>
          <w:sz w:val="24"/>
          <w:szCs w:val="24"/>
        </w:rPr>
        <w:t>.</w:t>
      </w:r>
    </w:p>
    <w:p w14:paraId="6C2B7A2C" w14:textId="77777777" w:rsidR="004C043F" w:rsidRDefault="004C043F" w:rsidP="009A05C7">
      <w:pPr>
        <w:spacing w:line="240" w:lineRule="auto"/>
        <w:rPr>
          <w:rFonts w:cs="Times New Roman"/>
          <w:sz w:val="24"/>
          <w:szCs w:val="24"/>
        </w:rPr>
        <w:sectPr w:rsidR="004C043F" w:rsidSect="003B69D0">
          <w:footerReference w:type="even" r:id="rId8"/>
          <w:footerReference w:type="default" r:id="rId9"/>
          <w:pgSz w:w="11906" w:h="16838"/>
          <w:pgMar w:top="1418" w:right="1133" w:bottom="1418" w:left="1276" w:header="709" w:footer="709" w:gutter="567"/>
          <w:cols w:space="708"/>
          <w:docGrid w:linePitch="360"/>
        </w:sectPr>
      </w:pPr>
    </w:p>
    <w:p w14:paraId="1F0EAB47" w14:textId="4CEF46EE" w:rsidR="004C043F" w:rsidRPr="00054D55" w:rsidRDefault="004C043F" w:rsidP="004C043F">
      <w:pPr>
        <w:pStyle w:val="Popis"/>
        <w:keepNext/>
        <w:spacing w:after="120"/>
        <w:ind w:left="284"/>
        <w:jc w:val="left"/>
        <w:rPr>
          <w:rFonts w:cs="Times New Roman"/>
          <w:b/>
          <w:bCs/>
          <w:i w:val="0"/>
          <w:iCs w:val="0"/>
          <w:color w:val="5B9BD5" w:themeColor="accent1"/>
          <w:sz w:val="20"/>
          <w:szCs w:val="20"/>
        </w:rPr>
      </w:pPr>
      <w:bookmarkStart w:id="12" w:name="_Toc196389249"/>
      <w:r w:rsidRPr="00054D55">
        <w:rPr>
          <w:rFonts w:cs="Times New Roman"/>
          <w:b/>
          <w:bCs/>
          <w:i w:val="0"/>
          <w:iCs w:val="0"/>
          <w:color w:val="5B9BD5" w:themeColor="accent1"/>
          <w:sz w:val="20"/>
          <w:szCs w:val="20"/>
        </w:rPr>
        <w:t xml:space="preserve">Tabuľka </w:t>
      </w:r>
      <w:r w:rsidRPr="00054D55">
        <w:rPr>
          <w:rFonts w:cs="Times New Roman"/>
          <w:b/>
          <w:bCs/>
          <w:i w:val="0"/>
          <w:iCs w:val="0"/>
          <w:color w:val="5B9BD5" w:themeColor="accent1"/>
          <w:sz w:val="20"/>
          <w:szCs w:val="20"/>
        </w:rPr>
        <w:fldChar w:fldCharType="begin"/>
      </w:r>
      <w:r w:rsidRPr="00054D55">
        <w:rPr>
          <w:rFonts w:cs="Times New Roman"/>
          <w:b/>
          <w:bCs/>
          <w:i w:val="0"/>
          <w:iCs w:val="0"/>
          <w:color w:val="5B9BD5" w:themeColor="accent1"/>
          <w:sz w:val="20"/>
          <w:szCs w:val="20"/>
        </w:rPr>
        <w:instrText xml:space="preserve"> SEQ Tabuľka \* ARABIC </w:instrText>
      </w:r>
      <w:r w:rsidRPr="00054D55">
        <w:rPr>
          <w:rFonts w:cs="Times New Roman"/>
          <w:b/>
          <w:bCs/>
          <w:i w:val="0"/>
          <w:iCs w:val="0"/>
          <w:color w:val="5B9BD5" w:themeColor="accent1"/>
          <w:sz w:val="20"/>
          <w:szCs w:val="20"/>
        </w:rPr>
        <w:fldChar w:fldCharType="separate"/>
      </w:r>
      <w:r w:rsidR="00C64CBA">
        <w:rPr>
          <w:rFonts w:cs="Times New Roman"/>
          <w:b/>
          <w:bCs/>
          <w:i w:val="0"/>
          <w:iCs w:val="0"/>
          <w:noProof/>
          <w:color w:val="5B9BD5" w:themeColor="accent1"/>
          <w:sz w:val="20"/>
          <w:szCs w:val="20"/>
        </w:rPr>
        <w:t>2</w:t>
      </w:r>
      <w:r w:rsidRPr="00054D55">
        <w:rPr>
          <w:rFonts w:cs="Times New Roman"/>
          <w:b/>
          <w:bCs/>
          <w:i w:val="0"/>
          <w:iCs w:val="0"/>
          <w:color w:val="5B9BD5" w:themeColor="accent1"/>
          <w:sz w:val="20"/>
          <w:szCs w:val="20"/>
        </w:rPr>
        <w:fldChar w:fldCharType="end"/>
      </w:r>
      <w:r w:rsidRPr="00054D55">
        <w:rPr>
          <w:rFonts w:cs="Times New Roman"/>
          <w:b/>
          <w:bCs/>
          <w:i w:val="0"/>
          <w:iCs w:val="0"/>
          <w:color w:val="5B9BD5" w:themeColor="accent1"/>
          <w:sz w:val="20"/>
          <w:szCs w:val="20"/>
        </w:rPr>
        <w:t xml:space="preserve"> - Vývoj HDP a jeho hlavných zložiek</w:t>
      </w:r>
      <w:bookmarkEnd w:id="12"/>
    </w:p>
    <w:tbl>
      <w:tblPr>
        <w:tblW w:w="5537" w:type="dxa"/>
        <w:tblInd w:w="284" w:type="dxa"/>
        <w:tblCellMar>
          <w:left w:w="70" w:type="dxa"/>
          <w:right w:w="70" w:type="dxa"/>
        </w:tblCellMar>
        <w:tblLook w:val="04A0" w:firstRow="1" w:lastRow="0" w:firstColumn="1" w:lastColumn="0" w:noHBand="0" w:noVBand="1"/>
      </w:tblPr>
      <w:tblGrid>
        <w:gridCol w:w="1937"/>
        <w:gridCol w:w="756"/>
        <w:gridCol w:w="907"/>
        <w:gridCol w:w="907"/>
        <w:gridCol w:w="1030"/>
      </w:tblGrid>
      <w:tr w:rsidR="004C043F" w:rsidRPr="004C043F" w14:paraId="2193275F" w14:textId="77777777" w:rsidTr="004C043F">
        <w:trPr>
          <w:trHeight w:val="325"/>
        </w:trPr>
        <w:tc>
          <w:tcPr>
            <w:tcW w:w="2693" w:type="dxa"/>
            <w:gridSpan w:val="2"/>
            <w:tcBorders>
              <w:top w:val="single" w:sz="4" w:space="0" w:color="auto"/>
              <w:left w:val="nil"/>
              <w:bottom w:val="single" w:sz="4" w:space="0" w:color="auto"/>
              <w:right w:val="nil"/>
            </w:tcBorders>
            <w:shd w:val="clear" w:color="auto" w:fill="auto"/>
            <w:vAlign w:val="center"/>
            <w:hideMark/>
          </w:tcPr>
          <w:p w14:paraId="10CD8E19" w14:textId="77777777" w:rsidR="004C043F" w:rsidRPr="004C043F" w:rsidRDefault="004C043F" w:rsidP="00927B94">
            <w:pPr>
              <w:spacing w:after="0" w:line="240" w:lineRule="auto"/>
              <w:jc w:val="center"/>
              <w:rPr>
                <w:rFonts w:eastAsia="Times New Roman" w:cs="Times New Roman"/>
                <w:b/>
                <w:bCs/>
                <w:color w:val="000000"/>
                <w:sz w:val="18"/>
                <w:szCs w:val="18"/>
                <w:lang w:eastAsia="sk-SK"/>
              </w:rPr>
            </w:pPr>
            <w:r w:rsidRPr="004C043F">
              <w:rPr>
                <w:rFonts w:eastAsia="Times New Roman" w:cs="Times New Roman"/>
                <w:b/>
                <w:bCs/>
                <w:color w:val="000000"/>
                <w:sz w:val="18"/>
                <w:szCs w:val="18"/>
                <w:lang w:eastAsia="sk-SK"/>
              </w:rPr>
              <w:t>reálny rast v %</w:t>
            </w:r>
          </w:p>
        </w:tc>
        <w:tc>
          <w:tcPr>
            <w:tcW w:w="907" w:type="dxa"/>
            <w:tcBorders>
              <w:top w:val="single" w:sz="4" w:space="0" w:color="auto"/>
              <w:left w:val="nil"/>
              <w:bottom w:val="single" w:sz="4" w:space="0" w:color="auto"/>
              <w:right w:val="nil"/>
            </w:tcBorders>
            <w:shd w:val="clear" w:color="auto" w:fill="auto"/>
            <w:vAlign w:val="center"/>
            <w:hideMark/>
          </w:tcPr>
          <w:p w14:paraId="38D11D9D" w14:textId="77777777" w:rsidR="004C043F" w:rsidRPr="004C043F" w:rsidRDefault="004C043F" w:rsidP="00927B94">
            <w:pPr>
              <w:spacing w:after="0" w:line="240" w:lineRule="auto"/>
              <w:jc w:val="center"/>
              <w:rPr>
                <w:rFonts w:eastAsia="Times New Roman" w:cs="Times New Roman"/>
                <w:b/>
                <w:bCs/>
                <w:color w:val="000000"/>
                <w:sz w:val="18"/>
                <w:szCs w:val="18"/>
                <w:lang w:eastAsia="sk-SK"/>
              </w:rPr>
            </w:pPr>
            <w:r w:rsidRPr="004C043F">
              <w:rPr>
                <w:rFonts w:eastAsia="Times New Roman" w:cs="Times New Roman"/>
                <w:b/>
                <w:bCs/>
                <w:color w:val="000000"/>
                <w:sz w:val="18"/>
                <w:szCs w:val="18"/>
                <w:lang w:eastAsia="sk-SK"/>
              </w:rPr>
              <w:t>2022</w:t>
            </w:r>
          </w:p>
        </w:tc>
        <w:tc>
          <w:tcPr>
            <w:tcW w:w="907" w:type="dxa"/>
            <w:tcBorders>
              <w:top w:val="single" w:sz="4" w:space="0" w:color="auto"/>
              <w:left w:val="nil"/>
              <w:bottom w:val="single" w:sz="4" w:space="0" w:color="auto"/>
              <w:right w:val="nil"/>
            </w:tcBorders>
            <w:shd w:val="clear" w:color="auto" w:fill="auto"/>
            <w:vAlign w:val="center"/>
            <w:hideMark/>
          </w:tcPr>
          <w:p w14:paraId="4969E348" w14:textId="77777777" w:rsidR="004C043F" w:rsidRPr="004C043F" w:rsidRDefault="004C043F" w:rsidP="00927B94">
            <w:pPr>
              <w:spacing w:after="0" w:line="240" w:lineRule="auto"/>
              <w:jc w:val="center"/>
              <w:rPr>
                <w:rFonts w:eastAsia="Times New Roman" w:cs="Times New Roman"/>
                <w:b/>
                <w:bCs/>
                <w:color w:val="000000"/>
                <w:sz w:val="18"/>
                <w:szCs w:val="18"/>
                <w:lang w:eastAsia="sk-SK"/>
              </w:rPr>
            </w:pPr>
            <w:r w:rsidRPr="004C043F">
              <w:rPr>
                <w:rFonts w:eastAsia="Times New Roman" w:cs="Times New Roman"/>
                <w:b/>
                <w:bCs/>
                <w:color w:val="000000"/>
                <w:sz w:val="18"/>
                <w:szCs w:val="18"/>
                <w:lang w:eastAsia="sk-SK"/>
              </w:rPr>
              <w:t>2023</w:t>
            </w:r>
          </w:p>
        </w:tc>
        <w:tc>
          <w:tcPr>
            <w:tcW w:w="1030" w:type="dxa"/>
            <w:tcBorders>
              <w:top w:val="single" w:sz="4" w:space="0" w:color="auto"/>
              <w:left w:val="nil"/>
              <w:bottom w:val="single" w:sz="4" w:space="0" w:color="auto"/>
              <w:right w:val="nil"/>
            </w:tcBorders>
            <w:shd w:val="clear" w:color="auto" w:fill="auto"/>
            <w:vAlign w:val="center"/>
            <w:hideMark/>
          </w:tcPr>
          <w:p w14:paraId="7E41136D" w14:textId="77777777" w:rsidR="004C043F" w:rsidRPr="004C043F" w:rsidRDefault="004C043F" w:rsidP="00927B94">
            <w:pPr>
              <w:spacing w:after="0" w:line="240" w:lineRule="auto"/>
              <w:jc w:val="center"/>
              <w:rPr>
                <w:rFonts w:eastAsia="Times New Roman" w:cs="Times New Roman"/>
                <w:b/>
                <w:bCs/>
                <w:color w:val="000000"/>
                <w:sz w:val="18"/>
                <w:szCs w:val="18"/>
                <w:lang w:eastAsia="sk-SK"/>
              </w:rPr>
            </w:pPr>
            <w:r w:rsidRPr="004C043F">
              <w:rPr>
                <w:rFonts w:eastAsia="Times New Roman" w:cs="Times New Roman"/>
                <w:b/>
                <w:bCs/>
                <w:color w:val="000000"/>
                <w:sz w:val="18"/>
                <w:szCs w:val="18"/>
                <w:lang w:eastAsia="sk-SK"/>
              </w:rPr>
              <w:t>2024</w:t>
            </w:r>
          </w:p>
        </w:tc>
      </w:tr>
      <w:tr w:rsidR="004C043F" w:rsidRPr="004C043F" w14:paraId="1809E312" w14:textId="77777777" w:rsidTr="004C043F">
        <w:trPr>
          <w:trHeight w:val="314"/>
        </w:trPr>
        <w:tc>
          <w:tcPr>
            <w:tcW w:w="2693" w:type="dxa"/>
            <w:gridSpan w:val="2"/>
            <w:tcBorders>
              <w:top w:val="nil"/>
              <w:left w:val="nil"/>
              <w:bottom w:val="nil"/>
              <w:right w:val="nil"/>
            </w:tcBorders>
            <w:shd w:val="clear" w:color="auto" w:fill="auto"/>
            <w:vAlign w:val="center"/>
            <w:hideMark/>
          </w:tcPr>
          <w:p w14:paraId="255A3B35" w14:textId="77777777" w:rsidR="004C043F" w:rsidRPr="004C043F" w:rsidRDefault="004C043F" w:rsidP="00927B94">
            <w:pPr>
              <w:spacing w:after="0" w:line="240" w:lineRule="auto"/>
              <w:rPr>
                <w:rFonts w:eastAsia="Times New Roman" w:cs="Times New Roman"/>
                <w:b/>
                <w:bCs/>
                <w:color w:val="000000"/>
                <w:sz w:val="18"/>
                <w:szCs w:val="18"/>
                <w:lang w:eastAsia="sk-SK"/>
              </w:rPr>
            </w:pPr>
            <w:r w:rsidRPr="004C043F">
              <w:rPr>
                <w:rFonts w:eastAsia="Times New Roman" w:cs="Times New Roman"/>
                <w:b/>
                <w:bCs/>
                <w:color w:val="000000"/>
                <w:sz w:val="18"/>
                <w:szCs w:val="18"/>
                <w:lang w:eastAsia="sk-SK"/>
              </w:rPr>
              <w:t>HDP</w:t>
            </w:r>
          </w:p>
        </w:tc>
        <w:tc>
          <w:tcPr>
            <w:tcW w:w="907" w:type="dxa"/>
            <w:tcBorders>
              <w:top w:val="nil"/>
              <w:left w:val="nil"/>
              <w:bottom w:val="nil"/>
              <w:right w:val="nil"/>
            </w:tcBorders>
            <w:shd w:val="clear" w:color="auto" w:fill="auto"/>
            <w:vAlign w:val="center"/>
            <w:hideMark/>
          </w:tcPr>
          <w:p w14:paraId="119E35FA" w14:textId="77777777" w:rsidR="004C043F" w:rsidRPr="004C043F" w:rsidRDefault="004C043F" w:rsidP="00927B94">
            <w:pPr>
              <w:spacing w:after="0" w:line="240" w:lineRule="auto"/>
              <w:jc w:val="center"/>
              <w:rPr>
                <w:rFonts w:eastAsia="Times New Roman" w:cs="Times New Roman"/>
                <w:color w:val="000000"/>
                <w:sz w:val="18"/>
                <w:szCs w:val="18"/>
                <w:lang w:eastAsia="sk-SK"/>
              </w:rPr>
            </w:pPr>
            <w:r w:rsidRPr="004C043F">
              <w:rPr>
                <w:rFonts w:eastAsia="Times New Roman" w:cs="Times New Roman"/>
                <w:color w:val="000000"/>
                <w:sz w:val="18"/>
                <w:szCs w:val="18"/>
                <w:lang w:eastAsia="sk-SK"/>
              </w:rPr>
              <w:t>0,4</w:t>
            </w:r>
          </w:p>
        </w:tc>
        <w:tc>
          <w:tcPr>
            <w:tcW w:w="907" w:type="dxa"/>
            <w:tcBorders>
              <w:top w:val="nil"/>
              <w:left w:val="nil"/>
              <w:bottom w:val="nil"/>
              <w:right w:val="nil"/>
            </w:tcBorders>
            <w:shd w:val="clear" w:color="auto" w:fill="auto"/>
            <w:vAlign w:val="center"/>
            <w:hideMark/>
          </w:tcPr>
          <w:p w14:paraId="7D896380" w14:textId="77777777" w:rsidR="004C043F" w:rsidRPr="004C043F" w:rsidRDefault="004C043F" w:rsidP="00927B94">
            <w:pPr>
              <w:spacing w:after="0" w:line="240" w:lineRule="auto"/>
              <w:jc w:val="center"/>
              <w:rPr>
                <w:rFonts w:eastAsia="Times New Roman" w:cs="Times New Roman"/>
                <w:color w:val="000000"/>
                <w:sz w:val="18"/>
                <w:szCs w:val="18"/>
                <w:lang w:eastAsia="sk-SK"/>
              </w:rPr>
            </w:pPr>
            <w:r w:rsidRPr="004C043F">
              <w:rPr>
                <w:rFonts w:eastAsia="Times New Roman" w:cs="Times New Roman"/>
                <w:color w:val="000000"/>
                <w:sz w:val="18"/>
                <w:szCs w:val="18"/>
                <w:lang w:eastAsia="sk-SK"/>
              </w:rPr>
              <w:t>1,4</w:t>
            </w:r>
          </w:p>
        </w:tc>
        <w:tc>
          <w:tcPr>
            <w:tcW w:w="1030" w:type="dxa"/>
            <w:tcBorders>
              <w:top w:val="nil"/>
              <w:left w:val="nil"/>
              <w:bottom w:val="nil"/>
              <w:right w:val="nil"/>
            </w:tcBorders>
            <w:shd w:val="clear" w:color="auto" w:fill="auto"/>
            <w:vAlign w:val="center"/>
            <w:hideMark/>
          </w:tcPr>
          <w:p w14:paraId="1ABB21BC" w14:textId="77777777" w:rsidR="004C043F" w:rsidRPr="004C043F" w:rsidRDefault="004C043F" w:rsidP="00927B94">
            <w:pPr>
              <w:spacing w:after="0" w:line="240" w:lineRule="auto"/>
              <w:jc w:val="center"/>
              <w:rPr>
                <w:rFonts w:eastAsia="Times New Roman" w:cs="Times New Roman"/>
                <w:color w:val="000000"/>
                <w:sz w:val="18"/>
                <w:szCs w:val="18"/>
                <w:lang w:eastAsia="sk-SK"/>
              </w:rPr>
            </w:pPr>
            <w:r w:rsidRPr="004C043F">
              <w:rPr>
                <w:rFonts w:eastAsia="Times New Roman" w:cs="Times New Roman"/>
                <w:color w:val="000000"/>
                <w:sz w:val="18"/>
                <w:szCs w:val="18"/>
                <w:lang w:eastAsia="sk-SK"/>
              </w:rPr>
              <w:t>2,0</w:t>
            </w:r>
          </w:p>
        </w:tc>
      </w:tr>
      <w:tr w:rsidR="004C043F" w:rsidRPr="004C043F" w14:paraId="72C0B473" w14:textId="77777777" w:rsidTr="004C043F">
        <w:trPr>
          <w:trHeight w:val="325"/>
        </w:trPr>
        <w:tc>
          <w:tcPr>
            <w:tcW w:w="1937" w:type="dxa"/>
            <w:tcBorders>
              <w:top w:val="nil"/>
              <w:left w:val="nil"/>
              <w:bottom w:val="nil"/>
              <w:right w:val="nil"/>
            </w:tcBorders>
            <w:shd w:val="clear" w:color="auto" w:fill="auto"/>
            <w:vAlign w:val="center"/>
            <w:hideMark/>
          </w:tcPr>
          <w:p w14:paraId="4E58DEBD" w14:textId="77777777" w:rsidR="004C043F" w:rsidRPr="004C043F" w:rsidRDefault="004C043F" w:rsidP="00927B94">
            <w:pPr>
              <w:spacing w:after="0" w:line="240" w:lineRule="auto"/>
              <w:rPr>
                <w:rFonts w:eastAsia="Times New Roman" w:cs="Times New Roman"/>
                <w:color w:val="000000"/>
                <w:sz w:val="18"/>
                <w:szCs w:val="18"/>
                <w:lang w:eastAsia="sk-SK"/>
              </w:rPr>
            </w:pPr>
            <w:r w:rsidRPr="004C043F">
              <w:rPr>
                <w:rFonts w:eastAsia="Times New Roman" w:cs="Times New Roman"/>
                <w:color w:val="000000"/>
                <w:sz w:val="18"/>
                <w:szCs w:val="18"/>
                <w:lang w:eastAsia="sk-SK"/>
              </w:rPr>
              <w:t>z toho:</w:t>
            </w:r>
          </w:p>
        </w:tc>
        <w:tc>
          <w:tcPr>
            <w:tcW w:w="1662" w:type="dxa"/>
            <w:gridSpan w:val="2"/>
            <w:tcBorders>
              <w:top w:val="nil"/>
              <w:left w:val="nil"/>
              <w:bottom w:val="nil"/>
              <w:right w:val="nil"/>
            </w:tcBorders>
            <w:shd w:val="clear" w:color="auto" w:fill="auto"/>
            <w:vAlign w:val="center"/>
            <w:hideMark/>
          </w:tcPr>
          <w:p w14:paraId="4265D127" w14:textId="77777777" w:rsidR="004C043F" w:rsidRPr="004C043F" w:rsidRDefault="004C043F" w:rsidP="00927B94">
            <w:pPr>
              <w:spacing w:after="0" w:line="240" w:lineRule="auto"/>
              <w:rPr>
                <w:rFonts w:eastAsia="Times New Roman" w:cs="Times New Roman"/>
                <w:color w:val="000000"/>
                <w:sz w:val="18"/>
                <w:szCs w:val="18"/>
                <w:lang w:eastAsia="sk-SK"/>
              </w:rPr>
            </w:pPr>
          </w:p>
        </w:tc>
        <w:tc>
          <w:tcPr>
            <w:tcW w:w="907" w:type="dxa"/>
            <w:tcBorders>
              <w:top w:val="nil"/>
              <w:left w:val="nil"/>
              <w:bottom w:val="nil"/>
              <w:right w:val="nil"/>
            </w:tcBorders>
            <w:shd w:val="clear" w:color="auto" w:fill="auto"/>
            <w:vAlign w:val="center"/>
            <w:hideMark/>
          </w:tcPr>
          <w:p w14:paraId="57158C80" w14:textId="77777777" w:rsidR="004C043F" w:rsidRPr="004C043F" w:rsidRDefault="004C043F" w:rsidP="00927B94">
            <w:pPr>
              <w:spacing w:after="0" w:line="240" w:lineRule="auto"/>
              <w:jc w:val="left"/>
              <w:rPr>
                <w:rFonts w:eastAsia="Times New Roman" w:cs="Times New Roman"/>
                <w:sz w:val="18"/>
                <w:szCs w:val="18"/>
                <w:lang w:eastAsia="sk-SK"/>
              </w:rPr>
            </w:pPr>
          </w:p>
        </w:tc>
        <w:tc>
          <w:tcPr>
            <w:tcW w:w="1030" w:type="dxa"/>
            <w:tcBorders>
              <w:top w:val="nil"/>
              <w:left w:val="nil"/>
              <w:bottom w:val="nil"/>
              <w:right w:val="nil"/>
            </w:tcBorders>
            <w:shd w:val="clear" w:color="auto" w:fill="auto"/>
            <w:vAlign w:val="center"/>
            <w:hideMark/>
          </w:tcPr>
          <w:p w14:paraId="70BBE157" w14:textId="77777777" w:rsidR="004C043F" w:rsidRPr="004C043F" w:rsidRDefault="004C043F" w:rsidP="00927B94">
            <w:pPr>
              <w:spacing w:after="0" w:line="240" w:lineRule="auto"/>
              <w:jc w:val="left"/>
              <w:rPr>
                <w:rFonts w:eastAsia="Times New Roman" w:cs="Times New Roman"/>
                <w:sz w:val="18"/>
                <w:szCs w:val="18"/>
                <w:lang w:eastAsia="sk-SK"/>
              </w:rPr>
            </w:pPr>
          </w:p>
        </w:tc>
      </w:tr>
      <w:tr w:rsidR="004C043F" w:rsidRPr="004C043F" w14:paraId="2235FD95" w14:textId="77777777" w:rsidTr="004C043F">
        <w:trPr>
          <w:trHeight w:val="404"/>
        </w:trPr>
        <w:tc>
          <w:tcPr>
            <w:tcW w:w="2693" w:type="dxa"/>
            <w:gridSpan w:val="2"/>
            <w:tcBorders>
              <w:top w:val="nil"/>
              <w:left w:val="nil"/>
              <w:bottom w:val="nil"/>
              <w:right w:val="nil"/>
            </w:tcBorders>
            <w:shd w:val="clear" w:color="auto" w:fill="auto"/>
            <w:vAlign w:val="center"/>
            <w:hideMark/>
          </w:tcPr>
          <w:p w14:paraId="65D784B4" w14:textId="77777777" w:rsidR="004C043F" w:rsidRPr="004C043F" w:rsidRDefault="004C043F" w:rsidP="00927B94">
            <w:pPr>
              <w:spacing w:after="0" w:line="240" w:lineRule="auto"/>
              <w:rPr>
                <w:rFonts w:eastAsia="Times New Roman" w:cs="Times New Roman"/>
                <w:color w:val="000000"/>
                <w:sz w:val="18"/>
                <w:szCs w:val="18"/>
                <w:lang w:eastAsia="sk-SK"/>
              </w:rPr>
            </w:pPr>
            <w:r w:rsidRPr="004C043F">
              <w:rPr>
                <w:rFonts w:eastAsia="Times New Roman" w:cs="Times New Roman"/>
                <w:color w:val="000000"/>
                <w:sz w:val="18"/>
                <w:szCs w:val="18"/>
                <w:lang w:eastAsia="sk-SK"/>
              </w:rPr>
              <w:t xml:space="preserve">  Konečná spotreba domácností</w:t>
            </w:r>
          </w:p>
        </w:tc>
        <w:tc>
          <w:tcPr>
            <w:tcW w:w="907" w:type="dxa"/>
            <w:tcBorders>
              <w:top w:val="nil"/>
              <w:left w:val="nil"/>
              <w:bottom w:val="nil"/>
              <w:right w:val="nil"/>
            </w:tcBorders>
            <w:shd w:val="clear" w:color="auto" w:fill="auto"/>
            <w:vAlign w:val="center"/>
            <w:hideMark/>
          </w:tcPr>
          <w:p w14:paraId="180AE102" w14:textId="77777777" w:rsidR="004C043F" w:rsidRPr="004C043F" w:rsidRDefault="004C043F" w:rsidP="00927B94">
            <w:pPr>
              <w:spacing w:after="0" w:line="240" w:lineRule="auto"/>
              <w:jc w:val="center"/>
              <w:rPr>
                <w:rFonts w:eastAsia="Times New Roman" w:cs="Times New Roman"/>
                <w:color w:val="000000"/>
                <w:sz w:val="18"/>
                <w:szCs w:val="18"/>
                <w:lang w:eastAsia="sk-SK"/>
              </w:rPr>
            </w:pPr>
            <w:r w:rsidRPr="004C043F">
              <w:rPr>
                <w:rFonts w:eastAsia="Times New Roman" w:cs="Times New Roman"/>
                <w:color w:val="000000"/>
                <w:sz w:val="18"/>
                <w:szCs w:val="18"/>
                <w:lang w:eastAsia="sk-SK"/>
              </w:rPr>
              <w:t>5,2</w:t>
            </w:r>
          </w:p>
        </w:tc>
        <w:tc>
          <w:tcPr>
            <w:tcW w:w="907" w:type="dxa"/>
            <w:tcBorders>
              <w:top w:val="nil"/>
              <w:left w:val="nil"/>
              <w:bottom w:val="nil"/>
              <w:right w:val="nil"/>
            </w:tcBorders>
            <w:shd w:val="clear" w:color="auto" w:fill="auto"/>
            <w:vAlign w:val="center"/>
            <w:hideMark/>
          </w:tcPr>
          <w:p w14:paraId="7466C79D" w14:textId="77777777" w:rsidR="004C043F" w:rsidRPr="004C043F" w:rsidRDefault="004C043F" w:rsidP="00927B94">
            <w:pPr>
              <w:spacing w:after="0" w:line="240" w:lineRule="auto"/>
              <w:jc w:val="center"/>
              <w:rPr>
                <w:rFonts w:eastAsia="Times New Roman" w:cs="Times New Roman"/>
                <w:color w:val="000000"/>
                <w:sz w:val="18"/>
                <w:szCs w:val="18"/>
                <w:lang w:eastAsia="sk-SK"/>
              </w:rPr>
            </w:pPr>
            <w:r w:rsidRPr="004C043F">
              <w:rPr>
                <w:rFonts w:eastAsia="Times New Roman" w:cs="Times New Roman"/>
                <w:color w:val="000000"/>
                <w:sz w:val="18"/>
                <w:szCs w:val="18"/>
                <w:lang w:eastAsia="sk-SK"/>
              </w:rPr>
              <w:t>-3,3</w:t>
            </w:r>
          </w:p>
        </w:tc>
        <w:tc>
          <w:tcPr>
            <w:tcW w:w="1030" w:type="dxa"/>
            <w:tcBorders>
              <w:top w:val="nil"/>
              <w:left w:val="nil"/>
              <w:bottom w:val="nil"/>
              <w:right w:val="nil"/>
            </w:tcBorders>
            <w:shd w:val="clear" w:color="auto" w:fill="auto"/>
            <w:vAlign w:val="center"/>
            <w:hideMark/>
          </w:tcPr>
          <w:p w14:paraId="2604D397" w14:textId="77777777" w:rsidR="004C043F" w:rsidRPr="004C043F" w:rsidRDefault="004C043F" w:rsidP="00927B94">
            <w:pPr>
              <w:spacing w:after="0" w:line="240" w:lineRule="auto"/>
              <w:jc w:val="center"/>
              <w:rPr>
                <w:rFonts w:eastAsia="Times New Roman" w:cs="Times New Roman"/>
                <w:color w:val="000000"/>
                <w:sz w:val="18"/>
                <w:szCs w:val="18"/>
                <w:lang w:eastAsia="sk-SK"/>
              </w:rPr>
            </w:pPr>
            <w:r w:rsidRPr="004C043F">
              <w:rPr>
                <w:rFonts w:eastAsia="Times New Roman" w:cs="Times New Roman"/>
                <w:color w:val="000000"/>
                <w:sz w:val="18"/>
                <w:szCs w:val="18"/>
                <w:lang w:eastAsia="sk-SK"/>
              </w:rPr>
              <w:t>2,5</w:t>
            </w:r>
          </w:p>
        </w:tc>
      </w:tr>
      <w:tr w:rsidR="004C043F" w:rsidRPr="004C043F" w14:paraId="12A9E5E4" w14:textId="77777777" w:rsidTr="004C043F">
        <w:trPr>
          <w:trHeight w:val="404"/>
        </w:trPr>
        <w:tc>
          <w:tcPr>
            <w:tcW w:w="2693" w:type="dxa"/>
            <w:gridSpan w:val="2"/>
            <w:tcBorders>
              <w:top w:val="nil"/>
              <w:left w:val="nil"/>
              <w:bottom w:val="nil"/>
              <w:right w:val="nil"/>
            </w:tcBorders>
            <w:shd w:val="clear" w:color="auto" w:fill="auto"/>
            <w:vAlign w:val="center"/>
            <w:hideMark/>
          </w:tcPr>
          <w:p w14:paraId="0C4DF9AD" w14:textId="77777777" w:rsidR="004C043F" w:rsidRPr="004C043F" w:rsidRDefault="004C043F" w:rsidP="00927B94">
            <w:pPr>
              <w:spacing w:after="0" w:line="240" w:lineRule="auto"/>
              <w:rPr>
                <w:rFonts w:eastAsia="Times New Roman" w:cs="Times New Roman"/>
                <w:color w:val="000000"/>
                <w:sz w:val="18"/>
                <w:szCs w:val="18"/>
                <w:lang w:eastAsia="sk-SK"/>
              </w:rPr>
            </w:pPr>
            <w:r w:rsidRPr="004C043F">
              <w:rPr>
                <w:rFonts w:eastAsia="Times New Roman" w:cs="Times New Roman"/>
                <w:color w:val="000000"/>
                <w:sz w:val="18"/>
                <w:szCs w:val="18"/>
                <w:lang w:eastAsia="sk-SK"/>
              </w:rPr>
              <w:t xml:space="preserve">  Konečná spotreba ver. správy</w:t>
            </w:r>
          </w:p>
        </w:tc>
        <w:tc>
          <w:tcPr>
            <w:tcW w:w="907" w:type="dxa"/>
            <w:tcBorders>
              <w:top w:val="nil"/>
              <w:left w:val="nil"/>
              <w:bottom w:val="nil"/>
              <w:right w:val="nil"/>
            </w:tcBorders>
            <w:shd w:val="clear" w:color="auto" w:fill="auto"/>
            <w:vAlign w:val="center"/>
            <w:hideMark/>
          </w:tcPr>
          <w:p w14:paraId="26700C55" w14:textId="77777777" w:rsidR="004C043F" w:rsidRPr="004C043F" w:rsidRDefault="004C043F" w:rsidP="00927B94">
            <w:pPr>
              <w:spacing w:after="0" w:line="240" w:lineRule="auto"/>
              <w:jc w:val="center"/>
              <w:rPr>
                <w:rFonts w:eastAsia="Times New Roman" w:cs="Times New Roman"/>
                <w:color w:val="000000"/>
                <w:sz w:val="18"/>
                <w:szCs w:val="18"/>
                <w:lang w:eastAsia="sk-SK"/>
              </w:rPr>
            </w:pPr>
            <w:r w:rsidRPr="004C043F">
              <w:rPr>
                <w:rFonts w:eastAsia="Times New Roman" w:cs="Times New Roman"/>
                <w:color w:val="000000"/>
                <w:sz w:val="18"/>
                <w:szCs w:val="18"/>
                <w:lang w:eastAsia="sk-SK"/>
              </w:rPr>
              <w:t>-2,9</w:t>
            </w:r>
          </w:p>
        </w:tc>
        <w:tc>
          <w:tcPr>
            <w:tcW w:w="907" w:type="dxa"/>
            <w:tcBorders>
              <w:top w:val="nil"/>
              <w:left w:val="nil"/>
              <w:bottom w:val="nil"/>
              <w:right w:val="nil"/>
            </w:tcBorders>
            <w:shd w:val="clear" w:color="auto" w:fill="auto"/>
            <w:vAlign w:val="center"/>
            <w:hideMark/>
          </w:tcPr>
          <w:p w14:paraId="3395F258" w14:textId="77777777" w:rsidR="004C043F" w:rsidRPr="004C043F" w:rsidRDefault="004C043F" w:rsidP="00927B94">
            <w:pPr>
              <w:spacing w:after="0" w:line="240" w:lineRule="auto"/>
              <w:jc w:val="center"/>
              <w:rPr>
                <w:rFonts w:eastAsia="Times New Roman" w:cs="Times New Roman"/>
                <w:color w:val="000000"/>
                <w:sz w:val="18"/>
                <w:szCs w:val="18"/>
                <w:lang w:eastAsia="sk-SK"/>
              </w:rPr>
            </w:pPr>
            <w:r w:rsidRPr="004C043F">
              <w:rPr>
                <w:rFonts w:eastAsia="Times New Roman" w:cs="Times New Roman"/>
                <w:color w:val="000000"/>
                <w:sz w:val="18"/>
                <w:szCs w:val="18"/>
                <w:lang w:eastAsia="sk-SK"/>
              </w:rPr>
              <w:t>-3,0</w:t>
            </w:r>
          </w:p>
        </w:tc>
        <w:tc>
          <w:tcPr>
            <w:tcW w:w="1030" w:type="dxa"/>
            <w:tcBorders>
              <w:top w:val="nil"/>
              <w:left w:val="nil"/>
              <w:bottom w:val="nil"/>
              <w:right w:val="nil"/>
            </w:tcBorders>
            <w:shd w:val="clear" w:color="auto" w:fill="auto"/>
            <w:vAlign w:val="center"/>
            <w:hideMark/>
          </w:tcPr>
          <w:p w14:paraId="1A7EEF2A" w14:textId="77777777" w:rsidR="004C043F" w:rsidRPr="004C043F" w:rsidRDefault="004C043F" w:rsidP="00927B94">
            <w:pPr>
              <w:spacing w:after="0" w:line="240" w:lineRule="auto"/>
              <w:jc w:val="center"/>
              <w:rPr>
                <w:rFonts w:eastAsia="Times New Roman" w:cs="Times New Roman"/>
                <w:color w:val="000000"/>
                <w:sz w:val="18"/>
                <w:szCs w:val="18"/>
                <w:lang w:eastAsia="sk-SK"/>
              </w:rPr>
            </w:pPr>
            <w:r w:rsidRPr="004C043F">
              <w:rPr>
                <w:rFonts w:eastAsia="Times New Roman" w:cs="Times New Roman"/>
                <w:color w:val="000000"/>
                <w:sz w:val="18"/>
                <w:szCs w:val="18"/>
                <w:lang w:eastAsia="sk-SK"/>
              </w:rPr>
              <w:t>3,6</w:t>
            </w:r>
          </w:p>
        </w:tc>
      </w:tr>
      <w:tr w:rsidR="004C043F" w:rsidRPr="004C043F" w14:paraId="37D57DE3" w14:textId="77777777" w:rsidTr="004C043F">
        <w:trPr>
          <w:trHeight w:val="404"/>
        </w:trPr>
        <w:tc>
          <w:tcPr>
            <w:tcW w:w="2693" w:type="dxa"/>
            <w:gridSpan w:val="2"/>
            <w:tcBorders>
              <w:top w:val="nil"/>
              <w:left w:val="nil"/>
              <w:bottom w:val="nil"/>
              <w:right w:val="nil"/>
            </w:tcBorders>
            <w:shd w:val="clear" w:color="auto" w:fill="auto"/>
            <w:vAlign w:val="center"/>
            <w:hideMark/>
          </w:tcPr>
          <w:p w14:paraId="1AE5282F" w14:textId="77777777" w:rsidR="004C043F" w:rsidRPr="004C043F" w:rsidRDefault="004C043F" w:rsidP="00927B94">
            <w:pPr>
              <w:spacing w:after="0" w:line="240" w:lineRule="auto"/>
              <w:rPr>
                <w:rFonts w:eastAsia="Times New Roman" w:cs="Times New Roman"/>
                <w:color w:val="000000"/>
                <w:sz w:val="18"/>
                <w:szCs w:val="18"/>
                <w:lang w:eastAsia="sk-SK"/>
              </w:rPr>
            </w:pPr>
            <w:r w:rsidRPr="004C043F">
              <w:rPr>
                <w:rFonts w:eastAsia="Times New Roman" w:cs="Times New Roman"/>
                <w:color w:val="000000"/>
                <w:sz w:val="18"/>
                <w:szCs w:val="18"/>
                <w:lang w:eastAsia="sk-SK"/>
              </w:rPr>
              <w:t xml:space="preserve">  Tvorba hrubého fixného kapitálu</w:t>
            </w:r>
          </w:p>
        </w:tc>
        <w:tc>
          <w:tcPr>
            <w:tcW w:w="907" w:type="dxa"/>
            <w:tcBorders>
              <w:top w:val="nil"/>
              <w:left w:val="nil"/>
              <w:bottom w:val="nil"/>
              <w:right w:val="nil"/>
            </w:tcBorders>
            <w:shd w:val="clear" w:color="auto" w:fill="auto"/>
            <w:vAlign w:val="center"/>
            <w:hideMark/>
          </w:tcPr>
          <w:p w14:paraId="64434A12" w14:textId="77777777" w:rsidR="004C043F" w:rsidRPr="004C043F" w:rsidRDefault="004C043F" w:rsidP="00927B94">
            <w:pPr>
              <w:spacing w:after="0" w:line="240" w:lineRule="auto"/>
              <w:jc w:val="center"/>
              <w:rPr>
                <w:rFonts w:eastAsia="Times New Roman" w:cs="Times New Roman"/>
                <w:color w:val="000000"/>
                <w:sz w:val="18"/>
                <w:szCs w:val="18"/>
                <w:lang w:eastAsia="sk-SK"/>
              </w:rPr>
            </w:pPr>
            <w:r w:rsidRPr="004C043F">
              <w:rPr>
                <w:rFonts w:eastAsia="Times New Roman" w:cs="Times New Roman"/>
                <w:color w:val="000000"/>
                <w:sz w:val="18"/>
                <w:szCs w:val="18"/>
                <w:lang w:eastAsia="sk-SK"/>
              </w:rPr>
              <w:t>-1,9</w:t>
            </w:r>
          </w:p>
        </w:tc>
        <w:tc>
          <w:tcPr>
            <w:tcW w:w="907" w:type="dxa"/>
            <w:tcBorders>
              <w:top w:val="nil"/>
              <w:left w:val="nil"/>
              <w:bottom w:val="nil"/>
              <w:right w:val="nil"/>
            </w:tcBorders>
            <w:shd w:val="clear" w:color="auto" w:fill="auto"/>
            <w:vAlign w:val="center"/>
            <w:hideMark/>
          </w:tcPr>
          <w:p w14:paraId="047D7AD2" w14:textId="77777777" w:rsidR="004C043F" w:rsidRPr="004C043F" w:rsidRDefault="004C043F" w:rsidP="00927B94">
            <w:pPr>
              <w:spacing w:after="0" w:line="240" w:lineRule="auto"/>
              <w:jc w:val="center"/>
              <w:rPr>
                <w:rFonts w:eastAsia="Times New Roman" w:cs="Times New Roman"/>
                <w:color w:val="000000"/>
                <w:sz w:val="18"/>
                <w:szCs w:val="18"/>
                <w:lang w:eastAsia="sk-SK"/>
              </w:rPr>
            </w:pPr>
            <w:r w:rsidRPr="004C043F">
              <w:rPr>
                <w:rFonts w:eastAsia="Times New Roman" w:cs="Times New Roman"/>
                <w:color w:val="000000"/>
                <w:sz w:val="18"/>
                <w:szCs w:val="18"/>
                <w:lang w:eastAsia="sk-SK"/>
              </w:rPr>
              <w:t>16,6</w:t>
            </w:r>
          </w:p>
        </w:tc>
        <w:tc>
          <w:tcPr>
            <w:tcW w:w="1030" w:type="dxa"/>
            <w:tcBorders>
              <w:top w:val="nil"/>
              <w:left w:val="nil"/>
              <w:bottom w:val="nil"/>
              <w:right w:val="nil"/>
            </w:tcBorders>
            <w:shd w:val="clear" w:color="auto" w:fill="auto"/>
            <w:vAlign w:val="center"/>
            <w:hideMark/>
          </w:tcPr>
          <w:p w14:paraId="5CDD7B71" w14:textId="77777777" w:rsidR="004C043F" w:rsidRPr="004C043F" w:rsidRDefault="004C043F" w:rsidP="00927B94">
            <w:pPr>
              <w:spacing w:after="0" w:line="240" w:lineRule="auto"/>
              <w:jc w:val="center"/>
              <w:rPr>
                <w:rFonts w:eastAsia="Times New Roman" w:cs="Times New Roman"/>
                <w:color w:val="000000"/>
                <w:sz w:val="18"/>
                <w:szCs w:val="18"/>
                <w:lang w:eastAsia="sk-SK"/>
              </w:rPr>
            </w:pPr>
            <w:r w:rsidRPr="004C043F">
              <w:rPr>
                <w:rFonts w:eastAsia="Times New Roman" w:cs="Times New Roman"/>
                <w:color w:val="000000"/>
                <w:sz w:val="18"/>
                <w:szCs w:val="18"/>
                <w:lang w:eastAsia="sk-SK"/>
              </w:rPr>
              <w:t>-4,1</w:t>
            </w:r>
          </w:p>
        </w:tc>
      </w:tr>
      <w:tr w:rsidR="004C043F" w:rsidRPr="004C043F" w14:paraId="52F44B99" w14:textId="77777777" w:rsidTr="004C043F">
        <w:trPr>
          <w:trHeight w:val="404"/>
        </w:trPr>
        <w:tc>
          <w:tcPr>
            <w:tcW w:w="2693" w:type="dxa"/>
            <w:gridSpan w:val="2"/>
            <w:tcBorders>
              <w:top w:val="nil"/>
              <w:left w:val="nil"/>
              <w:bottom w:val="nil"/>
              <w:right w:val="nil"/>
            </w:tcBorders>
            <w:shd w:val="clear" w:color="auto" w:fill="auto"/>
            <w:vAlign w:val="center"/>
            <w:hideMark/>
          </w:tcPr>
          <w:p w14:paraId="144B2D28" w14:textId="77777777" w:rsidR="004C043F" w:rsidRPr="004C043F" w:rsidRDefault="004C043F" w:rsidP="00927B94">
            <w:pPr>
              <w:spacing w:after="0" w:line="240" w:lineRule="auto"/>
              <w:rPr>
                <w:rFonts w:eastAsia="Times New Roman" w:cs="Times New Roman"/>
                <w:color w:val="000000"/>
                <w:sz w:val="18"/>
                <w:szCs w:val="18"/>
                <w:lang w:eastAsia="sk-SK"/>
              </w:rPr>
            </w:pPr>
            <w:r w:rsidRPr="004C043F">
              <w:rPr>
                <w:rFonts w:eastAsia="Times New Roman" w:cs="Times New Roman"/>
                <w:color w:val="000000"/>
                <w:sz w:val="18"/>
                <w:szCs w:val="18"/>
                <w:lang w:eastAsia="sk-SK"/>
              </w:rPr>
              <w:t xml:space="preserve">  Vývoz výrobkov a služieb</w:t>
            </w:r>
          </w:p>
        </w:tc>
        <w:tc>
          <w:tcPr>
            <w:tcW w:w="907" w:type="dxa"/>
            <w:tcBorders>
              <w:top w:val="nil"/>
              <w:left w:val="nil"/>
              <w:bottom w:val="nil"/>
              <w:right w:val="nil"/>
            </w:tcBorders>
            <w:shd w:val="clear" w:color="auto" w:fill="auto"/>
            <w:vAlign w:val="center"/>
            <w:hideMark/>
          </w:tcPr>
          <w:p w14:paraId="23101A25" w14:textId="77777777" w:rsidR="004C043F" w:rsidRPr="004C043F" w:rsidRDefault="004C043F" w:rsidP="00927B94">
            <w:pPr>
              <w:spacing w:after="0" w:line="240" w:lineRule="auto"/>
              <w:jc w:val="center"/>
              <w:rPr>
                <w:rFonts w:eastAsia="Times New Roman" w:cs="Times New Roman"/>
                <w:color w:val="000000"/>
                <w:sz w:val="18"/>
                <w:szCs w:val="18"/>
                <w:lang w:eastAsia="sk-SK"/>
              </w:rPr>
            </w:pPr>
            <w:r w:rsidRPr="004C043F">
              <w:rPr>
                <w:rFonts w:eastAsia="Times New Roman" w:cs="Times New Roman"/>
                <w:color w:val="000000"/>
                <w:sz w:val="18"/>
                <w:szCs w:val="18"/>
                <w:lang w:eastAsia="sk-SK"/>
              </w:rPr>
              <w:t>2,8</w:t>
            </w:r>
          </w:p>
        </w:tc>
        <w:tc>
          <w:tcPr>
            <w:tcW w:w="907" w:type="dxa"/>
            <w:tcBorders>
              <w:top w:val="nil"/>
              <w:left w:val="nil"/>
              <w:bottom w:val="nil"/>
              <w:right w:val="nil"/>
            </w:tcBorders>
            <w:shd w:val="clear" w:color="auto" w:fill="auto"/>
            <w:vAlign w:val="center"/>
            <w:hideMark/>
          </w:tcPr>
          <w:p w14:paraId="3BC7C346" w14:textId="77777777" w:rsidR="004C043F" w:rsidRPr="004C043F" w:rsidRDefault="004C043F" w:rsidP="00927B94">
            <w:pPr>
              <w:spacing w:after="0" w:line="240" w:lineRule="auto"/>
              <w:jc w:val="center"/>
              <w:rPr>
                <w:rFonts w:eastAsia="Times New Roman" w:cs="Times New Roman"/>
                <w:color w:val="000000"/>
                <w:sz w:val="18"/>
                <w:szCs w:val="18"/>
                <w:lang w:eastAsia="sk-SK"/>
              </w:rPr>
            </w:pPr>
            <w:r w:rsidRPr="004C043F">
              <w:rPr>
                <w:rFonts w:eastAsia="Times New Roman" w:cs="Times New Roman"/>
                <w:color w:val="000000"/>
                <w:sz w:val="18"/>
                <w:szCs w:val="18"/>
                <w:lang w:eastAsia="sk-SK"/>
              </w:rPr>
              <w:t>-0,7</w:t>
            </w:r>
          </w:p>
        </w:tc>
        <w:tc>
          <w:tcPr>
            <w:tcW w:w="1030" w:type="dxa"/>
            <w:tcBorders>
              <w:top w:val="nil"/>
              <w:left w:val="nil"/>
              <w:bottom w:val="nil"/>
              <w:right w:val="nil"/>
            </w:tcBorders>
            <w:shd w:val="clear" w:color="auto" w:fill="auto"/>
            <w:vAlign w:val="center"/>
            <w:hideMark/>
          </w:tcPr>
          <w:p w14:paraId="799B395B" w14:textId="77777777" w:rsidR="004C043F" w:rsidRPr="004C043F" w:rsidRDefault="004C043F" w:rsidP="00927B94">
            <w:pPr>
              <w:spacing w:after="0" w:line="240" w:lineRule="auto"/>
              <w:jc w:val="center"/>
              <w:rPr>
                <w:rFonts w:eastAsia="Times New Roman" w:cs="Times New Roman"/>
                <w:color w:val="000000"/>
                <w:sz w:val="18"/>
                <w:szCs w:val="18"/>
                <w:lang w:eastAsia="sk-SK"/>
              </w:rPr>
            </w:pPr>
            <w:r w:rsidRPr="004C043F">
              <w:rPr>
                <w:rFonts w:eastAsia="Times New Roman" w:cs="Times New Roman"/>
                <w:color w:val="000000"/>
                <w:sz w:val="18"/>
                <w:szCs w:val="18"/>
                <w:lang w:eastAsia="sk-SK"/>
              </w:rPr>
              <w:t>1,0</w:t>
            </w:r>
          </w:p>
        </w:tc>
      </w:tr>
      <w:tr w:rsidR="004C043F" w:rsidRPr="004C043F" w14:paraId="5E642EDE" w14:textId="77777777" w:rsidTr="004C043F">
        <w:trPr>
          <w:trHeight w:val="404"/>
        </w:trPr>
        <w:tc>
          <w:tcPr>
            <w:tcW w:w="2693" w:type="dxa"/>
            <w:gridSpan w:val="2"/>
            <w:tcBorders>
              <w:top w:val="nil"/>
              <w:left w:val="nil"/>
              <w:bottom w:val="single" w:sz="4" w:space="0" w:color="auto"/>
              <w:right w:val="nil"/>
            </w:tcBorders>
            <w:shd w:val="clear" w:color="auto" w:fill="auto"/>
            <w:vAlign w:val="center"/>
            <w:hideMark/>
          </w:tcPr>
          <w:p w14:paraId="01050A06" w14:textId="77777777" w:rsidR="004C043F" w:rsidRPr="004C043F" w:rsidRDefault="004C043F" w:rsidP="00927B94">
            <w:pPr>
              <w:spacing w:after="0" w:line="240" w:lineRule="auto"/>
              <w:rPr>
                <w:rFonts w:eastAsia="Times New Roman" w:cs="Times New Roman"/>
                <w:color w:val="000000"/>
                <w:sz w:val="18"/>
                <w:szCs w:val="18"/>
                <w:lang w:eastAsia="sk-SK"/>
              </w:rPr>
            </w:pPr>
            <w:r w:rsidRPr="004C043F">
              <w:rPr>
                <w:rFonts w:eastAsia="Times New Roman" w:cs="Times New Roman"/>
                <w:color w:val="000000"/>
                <w:sz w:val="18"/>
                <w:szCs w:val="18"/>
                <w:lang w:eastAsia="sk-SK"/>
              </w:rPr>
              <w:t xml:space="preserve">  Dovoz výrobkov a služieb</w:t>
            </w:r>
          </w:p>
        </w:tc>
        <w:tc>
          <w:tcPr>
            <w:tcW w:w="907" w:type="dxa"/>
            <w:tcBorders>
              <w:top w:val="nil"/>
              <w:left w:val="nil"/>
              <w:bottom w:val="single" w:sz="4" w:space="0" w:color="auto"/>
              <w:right w:val="nil"/>
            </w:tcBorders>
            <w:shd w:val="clear" w:color="auto" w:fill="auto"/>
            <w:vAlign w:val="center"/>
            <w:hideMark/>
          </w:tcPr>
          <w:p w14:paraId="395E28B3" w14:textId="77777777" w:rsidR="004C043F" w:rsidRPr="004C043F" w:rsidRDefault="004C043F" w:rsidP="00927B94">
            <w:pPr>
              <w:spacing w:after="0" w:line="240" w:lineRule="auto"/>
              <w:jc w:val="center"/>
              <w:rPr>
                <w:rFonts w:eastAsia="Times New Roman" w:cs="Times New Roman"/>
                <w:color w:val="000000"/>
                <w:sz w:val="18"/>
                <w:szCs w:val="18"/>
                <w:lang w:eastAsia="sk-SK"/>
              </w:rPr>
            </w:pPr>
            <w:r w:rsidRPr="004C043F">
              <w:rPr>
                <w:rFonts w:eastAsia="Times New Roman" w:cs="Times New Roman"/>
                <w:color w:val="000000"/>
                <w:sz w:val="18"/>
                <w:szCs w:val="18"/>
                <w:lang w:eastAsia="sk-SK"/>
              </w:rPr>
              <w:t>4,2</w:t>
            </w:r>
          </w:p>
        </w:tc>
        <w:tc>
          <w:tcPr>
            <w:tcW w:w="907" w:type="dxa"/>
            <w:tcBorders>
              <w:top w:val="nil"/>
              <w:left w:val="nil"/>
              <w:bottom w:val="single" w:sz="4" w:space="0" w:color="auto"/>
              <w:right w:val="nil"/>
            </w:tcBorders>
            <w:shd w:val="clear" w:color="auto" w:fill="auto"/>
            <w:vAlign w:val="center"/>
            <w:hideMark/>
          </w:tcPr>
          <w:p w14:paraId="6C4C2E6C" w14:textId="77777777" w:rsidR="004C043F" w:rsidRPr="004C043F" w:rsidRDefault="004C043F" w:rsidP="00927B94">
            <w:pPr>
              <w:spacing w:after="0" w:line="240" w:lineRule="auto"/>
              <w:jc w:val="center"/>
              <w:rPr>
                <w:rFonts w:eastAsia="Times New Roman" w:cs="Times New Roman"/>
                <w:color w:val="000000"/>
                <w:sz w:val="18"/>
                <w:szCs w:val="18"/>
                <w:lang w:eastAsia="sk-SK"/>
              </w:rPr>
            </w:pPr>
            <w:r w:rsidRPr="004C043F">
              <w:rPr>
                <w:rFonts w:eastAsia="Times New Roman" w:cs="Times New Roman"/>
                <w:color w:val="000000"/>
                <w:sz w:val="18"/>
                <w:szCs w:val="18"/>
                <w:lang w:eastAsia="sk-SK"/>
              </w:rPr>
              <w:t>-7,7</w:t>
            </w:r>
          </w:p>
        </w:tc>
        <w:tc>
          <w:tcPr>
            <w:tcW w:w="1030" w:type="dxa"/>
            <w:tcBorders>
              <w:top w:val="nil"/>
              <w:left w:val="nil"/>
              <w:bottom w:val="single" w:sz="4" w:space="0" w:color="auto"/>
              <w:right w:val="nil"/>
            </w:tcBorders>
            <w:shd w:val="clear" w:color="auto" w:fill="auto"/>
            <w:vAlign w:val="center"/>
            <w:hideMark/>
          </w:tcPr>
          <w:p w14:paraId="419DD0E8" w14:textId="77777777" w:rsidR="004C043F" w:rsidRPr="004C043F" w:rsidRDefault="004C043F" w:rsidP="00927B94">
            <w:pPr>
              <w:spacing w:after="0" w:line="240" w:lineRule="auto"/>
              <w:jc w:val="center"/>
              <w:rPr>
                <w:rFonts w:eastAsia="Times New Roman" w:cs="Times New Roman"/>
                <w:color w:val="000000"/>
                <w:sz w:val="18"/>
                <w:szCs w:val="18"/>
                <w:lang w:eastAsia="sk-SK"/>
              </w:rPr>
            </w:pPr>
            <w:r w:rsidRPr="004C043F">
              <w:rPr>
                <w:rFonts w:eastAsia="Times New Roman" w:cs="Times New Roman"/>
                <w:color w:val="000000"/>
                <w:sz w:val="18"/>
                <w:szCs w:val="18"/>
                <w:lang w:eastAsia="sk-SK"/>
              </w:rPr>
              <w:t>2,5</w:t>
            </w:r>
          </w:p>
        </w:tc>
      </w:tr>
    </w:tbl>
    <w:p w14:paraId="4466EBA4" w14:textId="47E286EC" w:rsidR="004C043F" w:rsidRPr="00054D55" w:rsidRDefault="004C043F" w:rsidP="004C043F">
      <w:pPr>
        <w:pStyle w:val="Popis"/>
        <w:keepNext/>
        <w:spacing w:after="120"/>
        <w:jc w:val="left"/>
        <w:rPr>
          <w:rFonts w:cs="Times New Roman"/>
          <w:b/>
          <w:bCs/>
          <w:i w:val="0"/>
          <w:iCs w:val="0"/>
          <w:color w:val="5B9BD5" w:themeColor="accent1"/>
          <w:sz w:val="20"/>
          <w:szCs w:val="20"/>
        </w:rPr>
      </w:pPr>
      <w:bookmarkStart w:id="13" w:name="_Toc196389293"/>
      <w:r w:rsidRPr="00054D55">
        <w:rPr>
          <w:rFonts w:cs="Times New Roman"/>
          <w:b/>
          <w:bCs/>
          <w:i w:val="0"/>
          <w:iCs w:val="0"/>
          <w:color w:val="5B9BD5" w:themeColor="accent1"/>
          <w:sz w:val="20"/>
          <w:szCs w:val="20"/>
        </w:rPr>
        <w:t xml:space="preserve">Graf </w:t>
      </w:r>
      <w:r w:rsidRPr="00054D55">
        <w:rPr>
          <w:rFonts w:cs="Times New Roman"/>
          <w:b/>
          <w:bCs/>
          <w:i w:val="0"/>
          <w:iCs w:val="0"/>
          <w:color w:val="5B9BD5" w:themeColor="accent1"/>
          <w:sz w:val="20"/>
          <w:szCs w:val="20"/>
        </w:rPr>
        <w:fldChar w:fldCharType="begin"/>
      </w:r>
      <w:r w:rsidRPr="00054D55">
        <w:rPr>
          <w:rFonts w:cs="Times New Roman"/>
          <w:b/>
          <w:bCs/>
          <w:i w:val="0"/>
          <w:iCs w:val="0"/>
          <w:color w:val="5B9BD5" w:themeColor="accent1"/>
          <w:sz w:val="20"/>
          <w:szCs w:val="20"/>
        </w:rPr>
        <w:instrText xml:space="preserve"> SEQ Graf \* ARABIC </w:instrText>
      </w:r>
      <w:r w:rsidRPr="00054D55">
        <w:rPr>
          <w:rFonts w:cs="Times New Roman"/>
          <w:b/>
          <w:bCs/>
          <w:i w:val="0"/>
          <w:iCs w:val="0"/>
          <w:color w:val="5B9BD5" w:themeColor="accent1"/>
          <w:sz w:val="20"/>
          <w:szCs w:val="20"/>
        </w:rPr>
        <w:fldChar w:fldCharType="separate"/>
      </w:r>
      <w:r w:rsidR="00C64CBA">
        <w:rPr>
          <w:rFonts w:cs="Times New Roman"/>
          <w:b/>
          <w:bCs/>
          <w:i w:val="0"/>
          <w:iCs w:val="0"/>
          <w:noProof/>
          <w:color w:val="5B9BD5" w:themeColor="accent1"/>
          <w:sz w:val="20"/>
          <w:szCs w:val="20"/>
        </w:rPr>
        <w:t>1</w:t>
      </w:r>
      <w:r w:rsidRPr="00054D55">
        <w:rPr>
          <w:rFonts w:cs="Times New Roman"/>
          <w:b/>
          <w:bCs/>
          <w:i w:val="0"/>
          <w:iCs w:val="0"/>
          <w:color w:val="5B9BD5" w:themeColor="accent1"/>
          <w:sz w:val="20"/>
          <w:szCs w:val="20"/>
        </w:rPr>
        <w:fldChar w:fldCharType="end"/>
      </w:r>
      <w:r w:rsidRPr="00054D55">
        <w:rPr>
          <w:rFonts w:cs="Times New Roman"/>
          <w:b/>
          <w:bCs/>
          <w:i w:val="0"/>
          <w:iCs w:val="0"/>
          <w:color w:val="5B9BD5" w:themeColor="accent1"/>
          <w:sz w:val="20"/>
          <w:szCs w:val="20"/>
        </w:rPr>
        <w:t xml:space="preserve"> - Vývoj HDP a jeho hlavných zložiek</w:t>
      </w:r>
      <w:bookmarkEnd w:id="13"/>
    </w:p>
    <w:p w14:paraId="3B6AC91F" w14:textId="77777777" w:rsidR="004C043F" w:rsidRDefault="004C043F" w:rsidP="004C043F">
      <w:pPr>
        <w:pBdr>
          <w:top w:val="single" w:sz="4" w:space="1" w:color="auto"/>
          <w:bottom w:val="single" w:sz="4" w:space="1" w:color="auto"/>
        </w:pBdr>
        <w:spacing w:line="240" w:lineRule="auto"/>
        <w:ind w:right="113"/>
        <w:rPr>
          <w:rFonts w:cs="Times New Roman"/>
          <w:sz w:val="24"/>
          <w:szCs w:val="24"/>
        </w:rPr>
        <w:sectPr w:rsidR="004C043F" w:rsidSect="004C043F">
          <w:type w:val="continuous"/>
          <w:pgSz w:w="11906" w:h="16838"/>
          <w:pgMar w:top="1418" w:right="849" w:bottom="1418" w:left="1276" w:header="709" w:footer="709" w:gutter="567"/>
          <w:cols w:num="2" w:space="422"/>
          <w:docGrid w:linePitch="360"/>
        </w:sectPr>
      </w:pPr>
      <w:r w:rsidRPr="007E7AC3">
        <w:rPr>
          <w:noProof/>
          <w:lang w:eastAsia="sk-SK"/>
        </w:rPr>
        <w:drawing>
          <wp:inline distT="0" distB="0" distL="0" distR="0" wp14:anchorId="7C54D8B1" wp14:editId="3FA9747F">
            <wp:extent cx="2752254" cy="1867535"/>
            <wp:effectExtent l="0" t="0" r="0" b="0"/>
            <wp:docPr id="2" name="Graf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8844C9E" w14:textId="38DD8788" w:rsidR="00922F60" w:rsidRPr="004C043F" w:rsidRDefault="004C043F" w:rsidP="004C043F">
      <w:pPr>
        <w:spacing w:line="240" w:lineRule="auto"/>
        <w:ind w:left="3060"/>
        <w:rPr>
          <w:rFonts w:cs="Times New Roman"/>
          <w:sz w:val="18"/>
          <w:szCs w:val="18"/>
        </w:rPr>
      </w:pPr>
      <w:r>
        <w:rPr>
          <w:rFonts w:cs="Times New Roman"/>
          <w:sz w:val="18"/>
          <w:szCs w:val="18"/>
        </w:rPr>
        <w:t xml:space="preserve">     </w:t>
      </w:r>
      <w:r w:rsidRPr="004C043F">
        <w:rPr>
          <w:rFonts w:cs="Times New Roman"/>
          <w:sz w:val="18"/>
          <w:szCs w:val="18"/>
        </w:rPr>
        <w:t xml:space="preserve">Zdroj: ŠÚ SR </w:t>
      </w:r>
      <w:r>
        <w:rPr>
          <w:rFonts w:cs="Times New Roman"/>
          <w:sz w:val="18"/>
          <w:szCs w:val="18"/>
        </w:rPr>
        <w:tab/>
      </w:r>
      <w:r>
        <w:rPr>
          <w:rFonts w:cs="Times New Roman"/>
          <w:sz w:val="18"/>
          <w:szCs w:val="18"/>
        </w:rPr>
        <w:tab/>
      </w:r>
      <w:r>
        <w:rPr>
          <w:rFonts w:cs="Times New Roman"/>
          <w:sz w:val="18"/>
          <w:szCs w:val="18"/>
        </w:rPr>
        <w:tab/>
      </w:r>
      <w:r>
        <w:rPr>
          <w:rFonts w:cs="Times New Roman"/>
          <w:sz w:val="18"/>
          <w:szCs w:val="18"/>
        </w:rPr>
        <w:tab/>
      </w:r>
      <w:r>
        <w:rPr>
          <w:rFonts w:cs="Times New Roman"/>
          <w:sz w:val="18"/>
          <w:szCs w:val="18"/>
        </w:rPr>
        <w:tab/>
      </w:r>
      <w:r>
        <w:rPr>
          <w:rFonts w:cs="Times New Roman"/>
          <w:sz w:val="18"/>
          <w:szCs w:val="18"/>
        </w:rPr>
        <w:tab/>
      </w:r>
      <w:r>
        <w:rPr>
          <w:rFonts w:cs="Times New Roman"/>
          <w:sz w:val="18"/>
          <w:szCs w:val="18"/>
        </w:rPr>
        <w:tab/>
        <w:t xml:space="preserve">      </w:t>
      </w:r>
      <w:r w:rsidRPr="004C043F">
        <w:rPr>
          <w:rFonts w:cs="Times New Roman"/>
          <w:sz w:val="18"/>
          <w:szCs w:val="18"/>
        </w:rPr>
        <w:t>Zdroj: ŠÚ SR</w:t>
      </w:r>
    </w:p>
    <w:p w14:paraId="6316763E" w14:textId="77777777" w:rsidR="00922F60" w:rsidRDefault="00922F60" w:rsidP="009A05C7">
      <w:pPr>
        <w:spacing w:line="240" w:lineRule="auto"/>
        <w:rPr>
          <w:rFonts w:cs="Times New Roman"/>
          <w:sz w:val="24"/>
          <w:szCs w:val="24"/>
        </w:rPr>
      </w:pPr>
    </w:p>
    <w:p w14:paraId="653C5919" w14:textId="77777777" w:rsidR="004C043F" w:rsidRDefault="004C043F" w:rsidP="009A05C7">
      <w:pPr>
        <w:pStyle w:val="Popis"/>
        <w:keepNext/>
        <w:spacing w:after="120"/>
        <w:rPr>
          <w:rFonts w:cs="Times New Roman"/>
          <w:b/>
          <w:bCs/>
          <w:i w:val="0"/>
          <w:iCs w:val="0"/>
          <w:color w:val="5B9BD5" w:themeColor="accent1"/>
          <w:sz w:val="20"/>
          <w:szCs w:val="20"/>
        </w:rPr>
        <w:sectPr w:rsidR="004C043F" w:rsidSect="004C043F">
          <w:type w:val="continuous"/>
          <w:pgSz w:w="11906" w:h="16838"/>
          <w:pgMar w:top="1418" w:right="1133" w:bottom="1418" w:left="1276" w:header="709" w:footer="709" w:gutter="567"/>
          <w:cols w:space="708"/>
          <w:docGrid w:linePitch="360"/>
        </w:sectPr>
      </w:pPr>
      <w:bookmarkStart w:id="14" w:name="_Toc196313628"/>
    </w:p>
    <w:p w14:paraId="57F599B2" w14:textId="62CC73C7" w:rsidR="009A05C7" w:rsidRPr="00204601" w:rsidRDefault="009A05C7" w:rsidP="009A05C7">
      <w:pPr>
        <w:pStyle w:val="Nadpis3"/>
      </w:pPr>
      <w:bookmarkStart w:id="15" w:name="_Toc6415630"/>
      <w:bookmarkStart w:id="16" w:name="_Toc196314119"/>
      <w:bookmarkEnd w:id="14"/>
      <w:r w:rsidRPr="00204601">
        <w:rPr>
          <w:rFonts w:eastAsiaTheme="minorHAnsi"/>
        </w:rPr>
        <w:lastRenderedPageBreak/>
        <w:t xml:space="preserve">Trh </w:t>
      </w:r>
      <w:r w:rsidRPr="00204601">
        <w:t>práce</w:t>
      </w:r>
      <w:bookmarkEnd w:id="15"/>
      <w:bookmarkEnd w:id="16"/>
    </w:p>
    <w:p w14:paraId="0416221A" w14:textId="3CC331C9" w:rsidR="009A05C7" w:rsidRPr="00593BFD" w:rsidRDefault="009A05C7" w:rsidP="009A05C7">
      <w:pPr>
        <w:spacing w:line="240" w:lineRule="auto"/>
        <w:rPr>
          <w:sz w:val="24"/>
          <w:szCs w:val="24"/>
          <w:highlight w:val="yellow"/>
        </w:rPr>
      </w:pPr>
      <w:r w:rsidRPr="00CF3F96">
        <w:rPr>
          <w:rFonts w:cs="Times New Roman"/>
          <w:sz w:val="24"/>
          <w:szCs w:val="24"/>
        </w:rPr>
        <w:t>Zamestnanosť poklesla o 0,2</w:t>
      </w:r>
      <w:r>
        <w:rPr>
          <w:rFonts w:cs="Times New Roman"/>
          <w:sz w:val="24"/>
          <w:szCs w:val="24"/>
        </w:rPr>
        <w:t> </w:t>
      </w:r>
      <w:r w:rsidRPr="00CF3F96">
        <w:rPr>
          <w:rFonts w:cs="Times New Roman"/>
          <w:sz w:val="24"/>
          <w:szCs w:val="24"/>
        </w:rPr>
        <w:t>%, čo  zodpovedá takmer 4</w:t>
      </w:r>
      <w:r>
        <w:rPr>
          <w:rFonts w:cs="Times New Roman"/>
          <w:sz w:val="24"/>
          <w:szCs w:val="24"/>
        </w:rPr>
        <w:t> </w:t>
      </w:r>
      <w:r w:rsidRPr="00CF3F96">
        <w:rPr>
          <w:rFonts w:cs="Times New Roman"/>
          <w:sz w:val="24"/>
          <w:szCs w:val="24"/>
        </w:rPr>
        <w:t>tisícom pracovných miest. Negatívny vývoj ovplyvnili poklesy v prvom polroku, ku ktorým výra</w:t>
      </w:r>
      <w:r>
        <w:rPr>
          <w:rFonts w:cs="Times New Roman"/>
          <w:sz w:val="24"/>
          <w:szCs w:val="24"/>
        </w:rPr>
        <w:t>zne prispeli zvýšené odchody do </w:t>
      </w:r>
      <w:r w:rsidRPr="00CF3F96">
        <w:rPr>
          <w:rFonts w:cs="Times New Roman"/>
          <w:sz w:val="24"/>
          <w:szCs w:val="24"/>
        </w:rPr>
        <w:t>predčasného starobného dôchodku. Pracovných miest dlhodobo ubúda v priemysle a nízko-kvalifikovaných službách. Zamestnanosť rástla len vo verejnom sektore a stavebníctve, ktoré nadviazalo na predchádzajúci úspešný rok aj napriek medziročnému spomaleniu čerpania zdrojov z EÚ fondov. Aj napriek dočasnému výpadku staršej pracovnej sily miera participácie stúpala. Pribudli aj pracujúci cudzinci, ktorých počet sa na k</w:t>
      </w:r>
      <w:r>
        <w:rPr>
          <w:rFonts w:cs="Times New Roman"/>
          <w:sz w:val="24"/>
          <w:szCs w:val="24"/>
        </w:rPr>
        <w:t>onci roka vyšplhal k úrovni 114 </w:t>
      </w:r>
      <w:r w:rsidRPr="00CF3F96">
        <w:rPr>
          <w:rFonts w:cs="Times New Roman"/>
          <w:sz w:val="24"/>
          <w:szCs w:val="24"/>
        </w:rPr>
        <w:t>tisíc. Miera nezamestnanosti vlani poklesla na 5,3</w:t>
      </w:r>
      <w:r>
        <w:rPr>
          <w:rFonts w:cs="Times New Roman"/>
          <w:sz w:val="24"/>
          <w:szCs w:val="24"/>
        </w:rPr>
        <w:t> </w:t>
      </w:r>
      <w:r w:rsidRPr="00CF3F96">
        <w:rPr>
          <w:rFonts w:cs="Times New Roman"/>
          <w:sz w:val="24"/>
          <w:szCs w:val="24"/>
        </w:rPr>
        <w:t>%, čo je najmenej za</w:t>
      </w:r>
      <w:r w:rsidR="007232E9">
        <w:rPr>
          <w:rFonts w:cs="Times New Roman"/>
          <w:sz w:val="24"/>
          <w:szCs w:val="24"/>
        </w:rPr>
        <w:t> </w:t>
      </w:r>
      <w:r w:rsidRPr="00CF3F96">
        <w:rPr>
          <w:rFonts w:cs="Times New Roman"/>
          <w:sz w:val="24"/>
          <w:szCs w:val="24"/>
        </w:rPr>
        <w:t>30 rokov.</w:t>
      </w:r>
    </w:p>
    <w:p w14:paraId="6026EA27" w14:textId="495D7DCA" w:rsidR="009A05C7" w:rsidRDefault="009A05C7" w:rsidP="009A05C7">
      <w:pPr>
        <w:spacing w:line="240" w:lineRule="auto"/>
        <w:rPr>
          <w:rFonts w:cs="Times New Roman"/>
          <w:sz w:val="24"/>
          <w:szCs w:val="24"/>
        </w:rPr>
      </w:pPr>
      <w:r w:rsidRPr="00CF3F96">
        <w:rPr>
          <w:rFonts w:cs="Times New Roman"/>
          <w:sz w:val="24"/>
          <w:szCs w:val="24"/>
        </w:rPr>
        <w:t>Reálna mzda vzrástla v roku 202</w:t>
      </w:r>
      <w:r>
        <w:rPr>
          <w:rFonts w:cs="Times New Roman"/>
          <w:sz w:val="24"/>
          <w:szCs w:val="24"/>
        </w:rPr>
        <w:t>4 o 3,7 </w:t>
      </w:r>
      <w:r w:rsidRPr="00CF3F96">
        <w:rPr>
          <w:rFonts w:cs="Times New Roman"/>
          <w:sz w:val="24"/>
          <w:szCs w:val="24"/>
        </w:rPr>
        <w:t>%, čo predstavuje najvyššie tempo za posledné štyri roky.</w:t>
      </w:r>
      <w:r>
        <w:rPr>
          <w:rFonts w:cs="Times New Roman"/>
          <w:sz w:val="24"/>
          <w:szCs w:val="24"/>
        </w:rPr>
        <w:t xml:space="preserve"> Nominálne zvýšenie miezd o 6,6 </w:t>
      </w:r>
      <w:r w:rsidRPr="00CF3F96">
        <w:rPr>
          <w:rFonts w:cs="Times New Roman"/>
          <w:sz w:val="24"/>
          <w:szCs w:val="24"/>
        </w:rPr>
        <w:t>% medzi</w:t>
      </w:r>
      <w:r>
        <w:rPr>
          <w:rFonts w:cs="Times New Roman"/>
          <w:sz w:val="24"/>
          <w:szCs w:val="24"/>
        </w:rPr>
        <w:t>ročne mierne spomalilo spolu so </w:t>
      </w:r>
      <w:r w:rsidRPr="00CF3F96">
        <w:rPr>
          <w:rFonts w:cs="Times New Roman"/>
          <w:sz w:val="24"/>
          <w:szCs w:val="24"/>
        </w:rPr>
        <w:t>slabším rastom produktivity, inflácie a spätnej indexácie. Najviac si polepšili zamestnanci v priemysle, kde platy stúpli nad 8</w:t>
      </w:r>
      <w:r>
        <w:rPr>
          <w:rFonts w:cs="Times New Roman"/>
          <w:sz w:val="24"/>
          <w:szCs w:val="24"/>
        </w:rPr>
        <w:t> </w:t>
      </w:r>
      <w:r w:rsidRPr="00CF3F96">
        <w:rPr>
          <w:rFonts w:cs="Times New Roman"/>
          <w:sz w:val="24"/>
          <w:szCs w:val="24"/>
        </w:rPr>
        <w:t>%. Dynamicky rástli mzdy aj vo verejnom sektore, ktorý ťažil z dvojcifernej valorizácie zo septembra 2023. Verejný sektor tak v tempe zvyšovania platov minulý rok opäť predbehol súkromný sektor.</w:t>
      </w:r>
    </w:p>
    <w:p w14:paraId="6A195803" w14:textId="77777777" w:rsidR="004C043F" w:rsidRDefault="004C043F" w:rsidP="009A05C7">
      <w:pPr>
        <w:spacing w:line="240" w:lineRule="auto"/>
        <w:rPr>
          <w:rFonts w:cs="Times New Roman"/>
          <w:sz w:val="24"/>
          <w:szCs w:val="24"/>
        </w:rPr>
        <w:sectPr w:rsidR="004C043F" w:rsidSect="004C043F">
          <w:type w:val="continuous"/>
          <w:pgSz w:w="11906" w:h="16838"/>
          <w:pgMar w:top="1418" w:right="1133" w:bottom="1418" w:left="1276" w:header="709" w:footer="709" w:gutter="567"/>
          <w:cols w:space="708"/>
          <w:docGrid w:linePitch="360"/>
        </w:sectPr>
      </w:pPr>
    </w:p>
    <w:p w14:paraId="3A0B918C" w14:textId="236B0D06" w:rsidR="004C043F" w:rsidRDefault="004C043F" w:rsidP="004C043F">
      <w:pPr>
        <w:pStyle w:val="Popis"/>
        <w:keepNext/>
        <w:spacing w:after="120"/>
        <w:jc w:val="left"/>
      </w:pPr>
      <w:bookmarkStart w:id="17" w:name="_Toc196389294"/>
      <w:r w:rsidRPr="00D37A07">
        <w:rPr>
          <w:rFonts w:cs="Times New Roman"/>
          <w:b/>
          <w:i w:val="0"/>
          <w:iCs w:val="0"/>
          <w:color w:val="5B9BD5" w:themeColor="accent1"/>
          <w:sz w:val="20"/>
          <w:szCs w:val="20"/>
        </w:rPr>
        <w:t xml:space="preserve">Graf </w:t>
      </w:r>
      <w:r w:rsidRPr="00D37A07">
        <w:rPr>
          <w:rFonts w:cs="Times New Roman"/>
          <w:b/>
          <w:i w:val="0"/>
          <w:iCs w:val="0"/>
          <w:color w:val="5B9BD5" w:themeColor="accent1"/>
          <w:sz w:val="20"/>
          <w:szCs w:val="20"/>
        </w:rPr>
        <w:fldChar w:fldCharType="begin"/>
      </w:r>
      <w:r w:rsidRPr="00D37A07">
        <w:rPr>
          <w:rFonts w:cs="Times New Roman"/>
          <w:b/>
          <w:i w:val="0"/>
          <w:iCs w:val="0"/>
          <w:color w:val="5B9BD5" w:themeColor="accent1"/>
          <w:sz w:val="20"/>
          <w:szCs w:val="20"/>
        </w:rPr>
        <w:instrText xml:space="preserve"> SEQ Graf \* ARABIC </w:instrText>
      </w:r>
      <w:r w:rsidRPr="00D37A07">
        <w:rPr>
          <w:rFonts w:cs="Times New Roman"/>
          <w:b/>
          <w:i w:val="0"/>
          <w:iCs w:val="0"/>
          <w:color w:val="5B9BD5" w:themeColor="accent1"/>
          <w:sz w:val="20"/>
          <w:szCs w:val="20"/>
        </w:rPr>
        <w:fldChar w:fldCharType="separate"/>
      </w:r>
      <w:r w:rsidR="00C64CBA">
        <w:rPr>
          <w:rFonts w:cs="Times New Roman"/>
          <w:b/>
          <w:i w:val="0"/>
          <w:iCs w:val="0"/>
          <w:noProof/>
          <w:color w:val="5B9BD5" w:themeColor="accent1"/>
          <w:sz w:val="20"/>
          <w:szCs w:val="20"/>
        </w:rPr>
        <w:t>2</w:t>
      </w:r>
      <w:r w:rsidRPr="00D37A07">
        <w:rPr>
          <w:rFonts w:cs="Times New Roman"/>
          <w:b/>
          <w:i w:val="0"/>
          <w:iCs w:val="0"/>
          <w:color w:val="5B9BD5" w:themeColor="accent1"/>
          <w:sz w:val="20"/>
          <w:szCs w:val="20"/>
        </w:rPr>
        <w:fldChar w:fldCharType="end"/>
      </w:r>
      <w:r>
        <w:rPr>
          <w:rFonts w:cs="Times New Roman"/>
          <w:b/>
          <w:i w:val="0"/>
          <w:iCs w:val="0"/>
          <w:color w:val="5B9BD5" w:themeColor="accent1"/>
          <w:sz w:val="20"/>
          <w:szCs w:val="20"/>
        </w:rPr>
        <w:t xml:space="preserve"> </w:t>
      </w:r>
      <w:r w:rsidRPr="00D37A07">
        <w:rPr>
          <w:rFonts w:cs="Times New Roman"/>
          <w:b/>
          <w:i w:val="0"/>
          <w:iCs w:val="0"/>
          <w:color w:val="5B9BD5" w:themeColor="accent1"/>
          <w:sz w:val="20"/>
          <w:szCs w:val="20"/>
        </w:rPr>
        <w:t>-</w:t>
      </w:r>
      <w:r>
        <w:rPr>
          <w:rFonts w:cs="Times New Roman"/>
          <w:b/>
          <w:i w:val="0"/>
          <w:iCs w:val="0"/>
          <w:color w:val="5B9BD5" w:themeColor="accent1"/>
          <w:sz w:val="20"/>
          <w:szCs w:val="20"/>
        </w:rPr>
        <w:t xml:space="preserve"> Príspevky sektorov k </w:t>
      </w:r>
      <w:r w:rsidRPr="00D37A07">
        <w:rPr>
          <w:rFonts w:cs="Times New Roman"/>
          <w:b/>
          <w:i w:val="0"/>
          <w:iCs w:val="0"/>
          <w:color w:val="5B9BD5" w:themeColor="accent1"/>
          <w:sz w:val="20"/>
          <w:szCs w:val="20"/>
        </w:rPr>
        <w:t>vývoju medzi</w:t>
      </w:r>
      <w:r>
        <w:rPr>
          <w:rFonts w:cs="Times New Roman"/>
          <w:b/>
          <w:i w:val="0"/>
          <w:iCs w:val="0"/>
          <w:color w:val="5B9BD5" w:themeColor="accent1"/>
          <w:sz w:val="20"/>
          <w:szCs w:val="20"/>
        </w:rPr>
        <w:t>-</w:t>
      </w:r>
      <w:r w:rsidRPr="00D37A07">
        <w:rPr>
          <w:rFonts w:cs="Times New Roman"/>
          <w:b/>
          <w:i w:val="0"/>
          <w:iCs w:val="0"/>
          <w:color w:val="5B9BD5" w:themeColor="accent1"/>
          <w:sz w:val="20"/>
          <w:szCs w:val="20"/>
        </w:rPr>
        <w:t>kvartálneho</w:t>
      </w:r>
      <w:r>
        <w:rPr>
          <w:rFonts w:cs="Times New Roman"/>
          <w:b/>
          <w:i w:val="0"/>
          <w:iCs w:val="0"/>
          <w:color w:val="5B9BD5" w:themeColor="accent1"/>
          <w:sz w:val="20"/>
          <w:szCs w:val="20"/>
        </w:rPr>
        <w:t xml:space="preserve"> rastu zamestnanosti (ESA, v p. </w:t>
      </w:r>
      <w:r w:rsidRPr="00D37A07">
        <w:rPr>
          <w:rFonts w:cs="Times New Roman"/>
          <w:b/>
          <w:i w:val="0"/>
          <w:iCs w:val="0"/>
          <w:color w:val="5B9BD5" w:themeColor="accent1"/>
          <w:sz w:val="20"/>
          <w:szCs w:val="20"/>
        </w:rPr>
        <w:t>b.)</w:t>
      </w:r>
      <w:bookmarkEnd w:id="17"/>
    </w:p>
    <w:p w14:paraId="68DB7E2D" w14:textId="77777777" w:rsidR="004C043F" w:rsidRDefault="004C043F" w:rsidP="004C043F">
      <w:pPr>
        <w:pBdr>
          <w:top w:val="single" w:sz="4" w:space="1" w:color="auto"/>
          <w:bottom w:val="single" w:sz="4" w:space="1" w:color="auto"/>
        </w:pBdr>
        <w:spacing w:line="240" w:lineRule="auto"/>
        <w:rPr>
          <w:rFonts w:cs="Times New Roman"/>
          <w:sz w:val="24"/>
          <w:szCs w:val="24"/>
        </w:rPr>
      </w:pPr>
      <w:r w:rsidRPr="004214CD">
        <w:rPr>
          <w:noProof/>
          <w:lang w:eastAsia="sk-SK"/>
        </w:rPr>
        <w:drawing>
          <wp:inline distT="0" distB="0" distL="0" distR="0" wp14:anchorId="73B6331D" wp14:editId="2FD3DB78">
            <wp:extent cx="2880360" cy="2149475"/>
            <wp:effectExtent l="0" t="0" r="0" b="3175"/>
            <wp:docPr id="1" name="Graf 1">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78467C7" w14:textId="087EE79E" w:rsidR="004C043F" w:rsidRDefault="004C043F" w:rsidP="004C043F">
      <w:pPr>
        <w:pStyle w:val="Popis"/>
        <w:keepNext/>
        <w:spacing w:after="120"/>
        <w:ind w:left="-142"/>
        <w:jc w:val="left"/>
        <w:rPr>
          <w:rFonts w:cs="Times New Roman"/>
          <w:b/>
          <w:i w:val="0"/>
          <w:iCs w:val="0"/>
          <w:color w:val="5B9BD5" w:themeColor="accent1"/>
          <w:sz w:val="20"/>
          <w:szCs w:val="20"/>
        </w:rPr>
      </w:pPr>
      <w:bookmarkStart w:id="18" w:name="_Toc196389295"/>
      <w:r w:rsidRPr="00D37A07">
        <w:rPr>
          <w:rFonts w:cs="Times New Roman"/>
          <w:b/>
          <w:i w:val="0"/>
          <w:iCs w:val="0"/>
          <w:color w:val="5B9BD5" w:themeColor="accent1"/>
          <w:sz w:val="20"/>
          <w:szCs w:val="20"/>
        </w:rPr>
        <w:t xml:space="preserve">Graf </w:t>
      </w:r>
      <w:r w:rsidRPr="00D37A07">
        <w:rPr>
          <w:rFonts w:cs="Times New Roman"/>
          <w:b/>
          <w:i w:val="0"/>
          <w:iCs w:val="0"/>
          <w:color w:val="5B9BD5" w:themeColor="accent1"/>
          <w:sz w:val="20"/>
          <w:szCs w:val="20"/>
        </w:rPr>
        <w:fldChar w:fldCharType="begin"/>
      </w:r>
      <w:r w:rsidRPr="00D37A07">
        <w:rPr>
          <w:rFonts w:cs="Times New Roman"/>
          <w:b/>
          <w:i w:val="0"/>
          <w:iCs w:val="0"/>
          <w:color w:val="5B9BD5" w:themeColor="accent1"/>
          <w:sz w:val="20"/>
          <w:szCs w:val="20"/>
        </w:rPr>
        <w:instrText xml:space="preserve"> SEQ Graf \* ARABIC </w:instrText>
      </w:r>
      <w:r w:rsidRPr="00D37A07">
        <w:rPr>
          <w:rFonts w:cs="Times New Roman"/>
          <w:b/>
          <w:i w:val="0"/>
          <w:iCs w:val="0"/>
          <w:color w:val="5B9BD5" w:themeColor="accent1"/>
          <w:sz w:val="20"/>
          <w:szCs w:val="20"/>
        </w:rPr>
        <w:fldChar w:fldCharType="separate"/>
      </w:r>
      <w:r w:rsidR="00C64CBA">
        <w:rPr>
          <w:rFonts w:cs="Times New Roman"/>
          <w:b/>
          <w:i w:val="0"/>
          <w:iCs w:val="0"/>
          <w:noProof/>
          <w:color w:val="5B9BD5" w:themeColor="accent1"/>
          <w:sz w:val="20"/>
          <w:szCs w:val="20"/>
        </w:rPr>
        <w:t>3</w:t>
      </w:r>
      <w:r w:rsidRPr="00D37A07">
        <w:rPr>
          <w:rFonts w:cs="Times New Roman"/>
          <w:b/>
          <w:i w:val="0"/>
          <w:iCs w:val="0"/>
          <w:color w:val="5B9BD5" w:themeColor="accent1"/>
          <w:sz w:val="20"/>
          <w:szCs w:val="20"/>
        </w:rPr>
        <w:fldChar w:fldCharType="end"/>
      </w:r>
      <w:r w:rsidRPr="00D37A07">
        <w:rPr>
          <w:rFonts w:cs="Times New Roman"/>
          <w:b/>
          <w:i w:val="0"/>
          <w:iCs w:val="0"/>
          <w:color w:val="5B9BD5" w:themeColor="accent1"/>
          <w:sz w:val="20"/>
          <w:szCs w:val="20"/>
        </w:rPr>
        <w:t xml:space="preserve"> - Rast reálnej produktivity práce a mzdy (v</w:t>
      </w:r>
      <w:r>
        <w:rPr>
          <w:rFonts w:cs="Times New Roman"/>
          <w:b/>
          <w:i w:val="0"/>
          <w:iCs w:val="0"/>
          <w:color w:val="5B9BD5" w:themeColor="accent1"/>
          <w:sz w:val="20"/>
          <w:szCs w:val="20"/>
        </w:rPr>
        <w:t> </w:t>
      </w:r>
      <w:r w:rsidRPr="00D37A07">
        <w:rPr>
          <w:rFonts w:cs="Times New Roman"/>
          <w:b/>
          <w:i w:val="0"/>
          <w:iCs w:val="0"/>
          <w:color w:val="5B9BD5" w:themeColor="accent1"/>
          <w:sz w:val="20"/>
          <w:szCs w:val="20"/>
        </w:rPr>
        <w:t>%)</w:t>
      </w:r>
      <w:bookmarkEnd w:id="18"/>
    </w:p>
    <w:p w14:paraId="3D8E188E" w14:textId="77777777" w:rsidR="004C043F" w:rsidRDefault="004C043F" w:rsidP="003A3C32">
      <w:pPr>
        <w:pBdr>
          <w:top w:val="single" w:sz="4" w:space="1" w:color="auto"/>
          <w:bottom w:val="single" w:sz="4" w:space="1" w:color="auto"/>
        </w:pBdr>
        <w:spacing w:after="0" w:line="240" w:lineRule="auto"/>
        <w:ind w:left="-142" w:right="340"/>
        <w:rPr>
          <w:rFonts w:cs="Times New Roman"/>
          <w:sz w:val="24"/>
          <w:szCs w:val="24"/>
        </w:rPr>
      </w:pPr>
      <w:r>
        <w:rPr>
          <w:noProof/>
          <w:lang w:eastAsia="sk-SK"/>
        </w:rPr>
        <w:drawing>
          <wp:inline distT="0" distB="0" distL="0" distR="0" wp14:anchorId="6D974EDA" wp14:editId="1A0C04B7">
            <wp:extent cx="2670773" cy="2143125"/>
            <wp:effectExtent l="0" t="0" r="0" b="0"/>
            <wp:docPr id="3" name="Graf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F50E292" w14:textId="77777777" w:rsidR="004C043F" w:rsidRDefault="004C043F" w:rsidP="003A3C32">
      <w:pPr>
        <w:spacing w:after="0" w:line="240" w:lineRule="auto"/>
        <w:rPr>
          <w:rFonts w:cs="Times New Roman"/>
          <w:sz w:val="24"/>
          <w:szCs w:val="24"/>
        </w:rPr>
        <w:sectPr w:rsidR="004C043F" w:rsidSect="004C043F">
          <w:type w:val="continuous"/>
          <w:pgSz w:w="11906" w:h="16838"/>
          <w:pgMar w:top="1418" w:right="849" w:bottom="1418" w:left="1276" w:header="709" w:footer="709" w:gutter="567"/>
          <w:cols w:num="2" w:space="426"/>
          <w:docGrid w:linePitch="360"/>
        </w:sectPr>
      </w:pPr>
    </w:p>
    <w:p w14:paraId="18FF3886" w14:textId="0BC1F145" w:rsidR="004C043F" w:rsidRPr="003A3C32" w:rsidRDefault="003A3C32" w:rsidP="003A3C32">
      <w:pPr>
        <w:spacing w:after="0" w:line="240" w:lineRule="auto"/>
        <w:rPr>
          <w:rFonts w:cs="Times New Roman"/>
          <w:sz w:val="18"/>
          <w:szCs w:val="18"/>
        </w:rPr>
        <w:sectPr w:rsidR="004C043F" w:rsidRPr="003A3C32" w:rsidSect="003A3C32">
          <w:type w:val="continuous"/>
          <w:pgSz w:w="11906" w:h="16838"/>
          <w:pgMar w:top="1418" w:right="1133" w:bottom="1418" w:left="1276" w:header="709" w:footer="709" w:gutter="567"/>
          <w:cols w:space="708"/>
          <w:docGrid w:linePitch="360"/>
        </w:sectPr>
      </w:pPr>
      <w:r>
        <w:rPr>
          <w:rFonts w:cs="Times New Roman"/>
          <w:sz w:val="18"/>
          <w:szCs w:val="18"/>
        </w:rPr>
        <w:t xml:space="preserve"> </w:t>
      </w:r>
      <w:r>
        <w:rPr>
          <w:rFonts w:cs="Times New Roman"/>
          <w:sz w:val="18"/>
          <w:szCs w:val="18"/>
        </w:rPr>
        <w:tab/>
      </w:r>
      <w:r>
        <w:rPr>
          <w:rFonts w:cs="Times New Roman"/>
          <w:sz w:val="18"/>
          <w:szCs w:val="18"/>
        </w:rPr>
        <w:tab/>
      </w:r>
      <w:r>
        <w:rPr>
          <w:rFonts w:cs="Times New Roman"/>
          <w:sz w:val="18"/>
          <w:szCs w:val="18"/>
        </w:rPr>
        <w:tab/>
      </w:r>
      <w:r>
        <w:rPr>
          <w:rFonts w:cs="Times New Roman"/>
          <w:sz w:val="18"/>
          <w:szCs w:val="18"/>
        </w:rPr>
        <w:tab/>
      </w:r>
      <w:r>
        <w:rPr>
          <w:rFonts w:cs="Times New Roman"/>
          <w:sz w:val="18"/>
          <w:szCs w:val="18"/>
        </w:rPr>
        <w:tab/>
        <w:t xml:space="preserve">     </w:t>
      </w:r>
      <w:r w:rsidRPr="003A3C32">
        <w:rPr>
          <w:rFonts w:cs="Times New Roman"/>
          <w:sz w:val="18"/>
          <w:szCs w:val="18"/>
        </w:rPr>
        <w:t>Zdroj</w:t>
      </w:r>
      <w:r>
        <w:rPr>
          <w:rFonts w:cs="Times New Roman"/>
          <w:sz w:val="18"/>
          <w:szCs w:val="18"/>
        </w:rPr>
        <w:t>:</w:t>
      </w:r>
      <w:r w:rsidRPr="003A3C32">
        <w:rPr>
          <w:rFonts w:cs="Times New Roman"/>
          <w:sz w:val="18"/>
          <w:szCs w:val="18"/>
        </w:rPr>
        <w:t xml:space="preserve"> ŠÚ SR, MF SR</w:t>
      </w:r>
      <w:r>
        <w:rPr>
          <w:rFonts w:cs="Times New Roman"/>
          <w:sz w:val="18"/>
          <w:szCs w:val="18"/>
        </w:rPr>
        <w:t xml:space="preserve"> </w:t>
      </w:r>
      <w:r>
        <w:rPr>
          <w:rFonts w:cs="Times New Roman"/>
          <w:sz w:val="18"/>
          <w:szCs w:val="18"/>
        </w:rPr>
        <w:tab/>
      </w:r>
      <w:r>
        <w:rPr>
          <w:rFonts w:cs="Times New Roman"/>
          <w:sz w:val="18"/>
          <w:szCs w:val="18"/>
        </w:rPr>
        <w:tab/>
      </w:r>
      <w:r>
        <w:rPr>
          <w:rFonts w:cs="Times New Roman"/>
          <w:sz w:val="18"/>
          <w:szCs w:val="18"/>
        </w:rPr>
        <w:tab/>
      </w:r>
      <w:r>
        <w:rPr>
          <w:rFonts w:cs="Times New Roman"/>
          <w:sz w:val="18"/>
          <w:szCs w:val="18"/>
        </w:rPr>
        <w:tab/>
      </w:r>
      <w:r>
        <w:rPr>
          <w:rFonts w:cs="Times New Roman"/>
          <w:sz w:val="18"/>
          <w:szCs w:val="18"/>
        </w:rPr>
        <w:tab/>
      </w:r>
      <w:r>
        <w:rPr>
          <w:rFonts w:cs="Times New Roman"/>
          <w:sz w:val="18"/>
          <w:szCs w:val="18"/>
        </w:rPr>
        <w:tab/>
        <w:t xml:space="preserve">   </w:t>
      </w:r>
      <w:r w:rsidRPr="003A3C32">
        <w:rPr>
          <w:rFonts w:cs="Times New Roman"/>
          <w:sz w:val="18"/>
          <w:szCs w:val="18"/>
        </w:rPr>
        <w:t>Zdroj</w:t>
      </w:r>
      <w:r>
        <w:rPr>
          <w:rFonts w:cs="Times New Roman"/>
          <w:sz w:val="18"/>
          <w:szCs w:val="18"/>
        </w:rPr>
        <w:t>:</w:t>
      </w:r>
      <w:r w:rsidRPr="003A3C32">
        <w:rPr>
          <w:rFonts w:cs="Times New Roman"/>
          <w:sz w:val="18"/>
          <w:szCs w:val="18"/>
        </w:rPr>
        <w:t xml:space="preserve"> ŠÚ SR, MF SR</w:t>
      </w:r>
    </w:p>
    <w:p w14:paraId="55A2F7CE" w14:textId="77777777" w:rsidR="003A3C32" w:rsidRDefault="003A3C32" w:rsidP="000240DA">
      <w:pPr>
        <w:spacing w:line="240" w:lineRule="auto"/>
        <w:jc w:val="left"/>
        <w:rPr>
          <w:rFonts w:cs="Times New Roman"/>
          <w:b/>
          <w:color w:val="5B9BD5" w:themeColor="accent1"/>
          <w:sz w:val="20"/>
          <w:szCs w:val="20"/>
        </w:rPr>
        <w:sectPr w:rsidR="003A3C32" w:rsidSect="004C043F">
          <w:type w:val="continuous"/>
          <w:pgSz w:w="11906" w:h="16838"/>
          <w:pgMar w:top="1418" w:right="1133" w:bottom="1418" w:left="1276" w:header="709" w:footer="709" w:gutter="567"/>
          <w:cols w:space="708"/>
          <w:docGrid w:linePitch="360"/>
        </w:sectPr>
      </w:pPr>
    </w:p>
    <w:p w14:paraId="62406A22" w14:textId="77777777" w:rsidR="009A05C7" w:rsidRPr="00204601" w:rsidRDefault="009A05C7" w:rsidP="009A05C7">
      <w:pPr>
        <w:pStyle w:val="Nadpis3"/>
      </w:pPr>
      <w:bookmarkStart w:id="19" w:name="_Toc196314120"/>
      <w:r w:rsidRPr="00204601">
        <w:t>Cenový vývoj</w:t>
      </w:r>
      <w:bookmarkEnd w:id="19"/>
    </w:p>
    <w:p w14:paraId="5C347863" w14:textId="416E2E3C" w:rsidR="009A05C7" w:rsidRPr="00593BFD" w:rsidRDefault="009A05C7" w:rsidP="009A05C7">
      <w:pPr>
        <w:spacing w:line="240" w:lineRule="auto"/>
        <w:rPr>
          <w:sz w:val="24"/>
          <w:szCs w:val="24"/>
          <w:highlight w:val="yellow"/>
        </w:rPr>
      </w:pPr>
      <w:r w:rsidRPr="00CF3F96">
        <w:rPr>
          <w:rFonts w:cs="Times New Roman"/>
          <w:sz w:val="24"/>
          <w:szCs w:val="24"/>
        </w:rPr>
        <w:t>Spomaľovanie inflácie, ktoré začalo v roku 2023, pokračovalo až do polovice roka 2024, kedy rast cien klesol až na 2,1 %. Ku koncu roka však inflácia začala mierne zrýchľovať a v decembri 2024 skončila na 2,9 %. Ceny energií a pohonných látok klesli, keďže regulované ceny elektriny, plynu a tepla nerástli vďaka opatreniam vlády. Najrýchlejšie rástli ceny služieb, nasledované cenami potravín (vrátane nealka, alkoholu a t</w:t>
      </w:r>
      <w:r w:rsidR="007232E9">
        <w:rPr>
          <w:rFonts w:cs="Times New Roman"/>
          <w:sz w:val="24"/>
          <w:szCs w:val="24"/>
        </w:rPr>
        <w:t>abaku) a </w:t>
      </w:r>
      <w:r>
        <w:rPr>
          <w:rFonts w:cs="Times New Roman"/>
          <w:sz w:val="24"/>
          <w:szCs w:val="24"/>
        </w:rPr>
        <w:t>tovarov. V priemere za </w:t>
      </w:r>
      <w:r w:rsidRPr="00CF3F96">
        <w:rPr>
          <w:rFonts w:cs="Times New Roman"/>
          <w:sz w:val="24"/>
          <w:szCs w:val="24"/>
        </w:rPr>
        <w:t>rok 2024 tak stúpli ceny merané indexom CPI v priemere o 2,8 % (3,2</w:t>
      </w:r>
      <w:r>
        <w:rPr>
          <w:rFonts w:cs="Times New Roman"/>
          <w:sz w:val="24"/>
          <w:szCs w:val="24"/>
        </w:rPr>
        <w:t xml:space="preserve"> % podľa </w:t>
      </w:r>
      <w:r w:rsidRPr="009D2CFC">
        <w:rPr>
          <w:rFonts w:cs="Times New Roman"/>
          <w:sz w:val="24"/>
          <w:szCs w:val="24"/>
        </w:rPr>
        <w:t>HICP</w:t>
      </w:r>
      <w:r w:rsidRPr="009D2CFC">
        <w:rPr>
          <w:sz w:val="24"/>
          <w:szCs w:val="24"/>
        </w:rPr>
        <w:t>)</w:t>
      </w:r>
      <w:r w:rsidRPr="009D2CFC">
        <w:rPr>
          <w:rStyle w:val="Odkaznapoznmkupodiarou"/>
          <w:sz w:val="24"/>
          <w:szCs w:val="24"/>
        </w:rPr>
        <w:footnoteReference w:id="2"/>
      </w:r>
      <w:r w:rsidRPr="009D2CFC">
        <w:rPr>
          <w:sz w:val="24"/>
          <w:szCs w:val="24"/>
        </w:rPr>
        <w:t>.</w:t>
      </w:r>
    </w:p>
    <w:p w14:paraId="63FB463A" w14:textId="2095E4DE" w:rsidR="009A05C7" w:rsidRPr="00204601" w:rsidRDefault="009A05C7" w:rsidP="009A05C7">
      <w:pPr>
        <w:pStyle w:val="Nadpis3"/>
      </w:pPr>
      <w:bookmarkStart w:id="20" w:name="_Toc6415632"/>
      <w:bookmarkStart w:id="21" w:name="_Toc196314121"/>
      <w:r w:rsidRPr="00204601">
        <w:lastRenderedPageBreak/>
        <w:t>Platobná bilancia</w:t>
      </w:r>
      <w:bookmarkEnd w:id="20"/>
      <w:bookmarkEnd w:id="21"/>
    </w:p>
    <w:p w14:paraId="5D923FC7" w14:textId="098E1582" w:rsidR="003A3C32" w:rsidRDefault="009A05C7" w:rsidP="00582C51">
      <w:pPr>
        <w:spacing w:line="240" w:lineRule="auto"/>
        <w:rPr>
          <w:rFonts w:cs="Times New Roman"/>
          <w:sz w:val="24"/>
          <w:szCs w:val="24"/>
        </w:rPr>
        <w:sectPr w:rsidR="003A3C32" w:rsidSect="004C043F">
          <w:type w:val="continuous"/>
          <w:pgSz w:w="11906" w:h="16838"/>
          <w:pgMar w:top="1418" w:right="1133" w:bottom="1418" w:left="1276" w:header="709" w:footer="709" w:gutter="567"/>
          <w:cols w:space="708"/>
          <w:docGrid w:linePitch="360"/>
        </w:sectPr>
      </w:pPr>
      <w:r w:rsidRPr="00CF3F96">
        <w:rPr>
          <w:rFonts w:cs="Times New Roman"/>
          <w:sz w:val="24"/>
          <w:szCs w:val="24"/>
        </w:rPr>
        <w:t>V roku 2024 sa deficit platobnej bilancie prehĺbil na úroveň -</w:t>
      </w:r>
      <w:r>
        <w:rPr>
          <w:rFonts w:cs="Times New Roman"/>
          <w:sz w:val="24"/>
          <w:szCs w:val="24"/>
        </w:rPr>
        <w:t> </w:t>
      </w:r>
      <w:r w:rsidRPr="00CF3F96">
        <w:rPr>
          <w:rFonts w:cs="Times New Roman"/>
          <w:sz w:val="24"/>
          <w:szCs w:val="24"/>
        </w:rPr>
        <w:t>2,8 % HDP. Export tovarov v nominálnom klesol viac, ako import, čo viedlo k deficitu bilancie obchodu. Znížil sa aj prebytok bilancie služieb pre rýchlejší rast dovozu. Deficity primárnych výnosov sa naopak znížil</w:t>
      </w:r>
      <w:r w:rsidR="0018600F">
        <w:rPr>
          <w:rFonts w:cs="Times New Roman"/>
          <w:sz w:val="24"/>
          <w:szCs w:val="24"/>
        </w:rPr>
        <w:t>i</w:t>
      </w:r>
      <w:r w:rsidRPr="00CF3F96">
        <w:rPr>
          <w:rFonts w:cs="Times New Roman"/>
          <w:sz w:val="24"/>
          <w:szCs w:val="24"/>
        </w:rPr>
        <w:t>, kým deficit sekundárnych výnosov sa mierne prehĺbil.</w:t>
      </w:r>
    </w:p>
    <w:p w14:paraId="2BB6F353" w14:textId="1E97C177" w:rsidR="003A3C32" w:rsidRDefault="003A3C32" w:rsidP="003A3C32">
      <w:pPr>
        <w:pStyle w:val="Popis"/>
        <w:keepNext/>
        <w:spacing w:after="120"/>
        <w:ind w:left="284"/>
        <w:jc w:val="left"/>
      </w:pPr>
      <w:bookmarkStart w:id="22" w:name="_Toc196389296"/>
      <w:r w:rsidRPr="000A3108">
        <w:rPr>
          <w:rFonts w:cs="Times New Roman"/>
          <w:b/>
          <w:i w:val="0"/>
          <w:iCs w:val="0"/>
          <w:color w:val="5B9BD5" w:themeColor="accent1"/>
          <w:sz w:val="20"/>
          <w:szCs w:val="22"/>
        </w:rPr>
        <w:t xml:space="preserve">Graf </w:t>
      </w:r>
      <w:r w:rsidRPr="000A3108">
        <w:rPr>
          <w:rFonts w:cs="Times New Roman"/>
          <w:b/>
          <w:i w:val="0"/>
          <w:iCs w:val="0"/>
          <w:color w:val="5B9BD5" w:themeColor="accent1"/>
          <w:sz w:val="20"/>
          <w:szCs w:val="22"/>
        </w:rPr>
        <w:fldChar w:fldCharType="begin"/>
      </w:r>
      <w:r w:rsidRPr="000A3108">
        <w:rPr>
          <w:rFonts w:cs="Times New Roman"/>
          <w:b/>
          <w:i w:val="0"/>
          <w:iCs w:val="0"/>
          <w:color w:val="5B9BD5" w:themeColor="accent1"/>
          <w:sz w:val="20"/>
          <w:szCs w:val="22"/>
        </w:rPr>
        <w:instrText xml:space="preserve"> SEQ Graf \* ARABIC </w:instrText>
      </w:r>
      <w:r w:rsidRPr="000A3108">
        <w:rPr>
          <w:rFonts w:cs="Times New Roman"/>
          <w:b/>
          <w:i w:val="0"/>
          <w:iCs w:val="0"/>
          <w:color w:val="5B9BD5" w:themeColor="accent1"/>
          <w:sz w:val="20"/>
          <w:szCs w:val="22"/>
        </w:rPr>
        <w:fldChar w:fldCharType="separate"/>
      </w:r>
      <w:r w:rsidR="00C64CBA">
        <w:rPr>
          <w:rFonts w:cs="Times New Roman"/>
          <w:b/>
          <w:i w:val="0"/>
          <w:iCs w:val="0"/>
          <w:noProof/>
          <w:color w:val="5B9BD5" w:themeColor="accent1"/>
          <w:sz w:val="20"/>
          <w:szCs w:val="22"/>
        </w:rPr>
        <w:t>4</w:t>
      </w:r>
      <w:r w:rsidRPr="000A3108">
        <w:rPr>
          <w:rFonts w:cs="Times New Roman"/>
          <w:b/>
          <w:i w:val="0"/>
          <w:iCs w:val="0"/>
          <w:color w:val="5B9BD5" w:themeColor="accent1"/>
          <w:sz w:val="20"/>
          <w:szCs w:val="22"/>
        </w:rPr>
        <w:fldChar w:fldCharType="end"/>
      </w:r>
      <w:r w:rsidRPr="000A3108">
        <w:rPr>
          <w:rFonts w:cs="Times New Roman"/>
          <w:b/>
          <w:i w:val="0"/>
          <w:iCs w:val="0"/>
          <w:color w:val="5B9BD5" w:themeColor="accent1"/>
          <w:sz w:val="20"/>
          <w:szCs w:val="22"/>
        </w:rPr>
        <w:t xml:space="preserve"> - Štruktúra spotrebiteľskej inflácie–medziročné príspevky zložiek CPI (p. b.)</w:t>
      </w:r>
      <w:bookmarkEnd w:id="22"/>
    </w:p>
    <w:p w14:paraId="24A17CC3" w14:textId="77777777" w:rsidR="003A3C32" w:rsidRDefault="003A3C32" w:rsidP="003A3C32">
      <w:pPr>
        <w:pBdr>
          <w:top w:val="single" w:sz="4" w:space="1" w:color="auto"/>
          <w:bottom w:val="single" w:sz="4" w:space="1" w:color="auto"/>
        </w:pBdr>
        <w:spacing w:line="240" w:lineRule="auto"/>
        <w:ind w:left="284"/>
        <w:rPr>
          <w:rFonts w:cs="Times New Roman"/>
          <w:sz w:val="24"/>
          <w:szCs w:val="24"/>
        </w:rPr>
      </w:pPr>
      <w:r>
        <w:rPr>
          <w:noProof/>
          <w:lang w:eastAsia="sk-SK"/>
        </w:rPr>
        <w:drawing>
          <wp:inline distT="0" distB="0" distL="0" distR="0" wp14:anchorId="1C33276B" wp14:editId="73642AC2">
            <wp:extent cx="2700020" cy="2139950"/>
            <wp:effectExtent l="0" t="0" r="5080" b="0"/>
            <wp:docPr id="4" name="Graf 1">
              <a:extLst xmlns:a="http://schemas.openxmlformats.org/drawingml/2006/main">
                <a:ext uri="{FF2B5EF4-FFF2-40B4-BE49-F238E27FC236}">
                  <a16:creationId xmlns:a16="http://schemas.microsoft.com/office/drawing/2014/main" id="{85C02FD0-F928-4EA2-8C52-315C86C86C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23C14DD" w14:textId="19349002" w:rsidR="003A3C32" w:rsidRPr="000A3108" w:rsidRDefault="003A3C32" w:rsidP="003A3C32">
      <w:pPr>
        <w:pStyle w:val="Popis"/>
        <w:keepNext/>
        <w:spacing w:after="120"/>
        <w:jc w:val="left"/>
        <w:rPr>
          <w:rFonts w:cs="Times New Roman"/>
          <w:b/>
          <w:i w:val="0"/>
          <w:iCs w:val="0"/>
          <w:color w:val="5B9BD5" w:themeColor="accent1"/>
          <w:sz w:val="20"/>
          <w:szCs w:val="22"/>
        </w:rPr>
      </w:pPr>
      <w:bookmarkStart w:id="23" w:name="_Toc196389297"/>
      <w:r w:rsidRPr="000A3108">
        <w:rPr>
          <w:rFonts w:cs="Times New Roman"/>
          <w:b/>
          <w:i w:val="0"/>
          <w:iCs w:val="0"/>
          <w:color w:val="5B9BD5" w:themeColor="accent1"/>
          <w:sz w:val="20"/>
          <w:szCs w:val="22"/>
        </w:rPr>
        <w:t xml:space="preserve">Graf </w:t>
      </w:r>
      <w:r w:rsidRPr="000A3108">
        <w:rPr>
          <w:rFonts w:cs="Times New Roman"/>
          <w:b/>
          <w:i w:val="0"/>
          <w:iCs w:val="0"/>
          <w:color w:val="5B9BD5" w:themeColor="accent1"/>
          <w:sz w:val="20"/>
          <w:szCs w:val="22"/>
        </w:rPr>
        <w:fldChar w:fldCharType="begin"/>
      </w:r>
      <w:r w:rsidRPr="000A3108">
        <w:rPr>
          <w:rFonts w:cs="Times New Roman"/>
          <w:b/>
          <w:i w:val="0"/>
          <w:iCs w:val="0"/>
          <w:color w:val="5B9BD5" w:themeColor="accent1"/>
          <w:sz w:val="20"/>
          <w:szCs w:val="22"/>
        </w:rPr>
        <w:instrText xml:space="preserve"> SEQ Graf \* ARABIC </w:instrText>
      </w:r>
      <w:r w:rsidRPr="000A3108">
        <w:rPr>
          <w:rFonts w:cs="Times New Roman"/>
          <w:b/>
          <w:i w:val="0"/>
          <w:iCs w:val="0"/>
          <w:color w:val="5B9BD5" w:themeColor="accent1"/>
          <w:sz w:val="20"/>
          <w:szCs w:val="22"/>
        </w:rPr>
        <w:fldChar w:fldCharType="separate"/>
      </w:r>
      <w:r w:rsidR="00C64CBA">
        <w:rPr>
          <w:rFonts w:cs="Times New Roman"/>
          <w:b/>
          <w:i w:val="0"/>
          <w:iCs w:val="0"/>
          <w:noProof/>
          <w:color w:val="5B9BD5" w:themeColor="accent1"/>
          <w:sz w:val="20"/>
          <w:szCs w:val="22"/>
        </w:rPr>
        <w:t>5</w:t>
      </w:r>
      <w:r w:rsidRPr="000A3108">
        <w:rPr>
          <w:rFonts w:cs="Times New Roman"/>
          <w:b/>
          <w:i w:val="0"/>
          <w:iCs w:val="0"/>
          <w:color w:val="5B9BD5" w:themeColor="accent1"/>
          <w:sz w:val="20"/>
          <w:szCs w:val="22"/>
        </w:rPr>
        <w:fldChar w:fldCharType="end"/>
      </w:r>
      <w:r w:rsidRPr="000A3108">
        <w:rPr>
          <w:rFonts w:cs="Times New Roman"/>
          <w:b/>
          <w:i w:val="0"/>
          <w:iCs w:val="0"/>
          <w:color w:val="5B9BD5" w:themeColor="accent1"/>
          <w:sz w:val="20"/>
          <w:szCs w:val="22"/>
        </w:rPr>
        <w:t xml:space="preserve"> - Vývoj bežného účtu platobnej bilancie podľa jeho zložiek (% HDP)</w:t>
      </w:r>
      <w:bookmarkEnd w:id="23"/>
    </w:p>
    <w:p w14:paraId="35F93BD3" w14:textId="77777777" w:rsidR="003A3C32" w:rsidRDefault="003A3C32" w:rsidP="003A3C32">
      <w:pPr>
        <w:pBdr>
          <w:top w:val="single" w:sz="4" w:space="1" w:color="auto"/>
          <w:bottom w:val="single" w:sz="4" w:space="1" w:color="auto"/>
        </w:pBdr>
        <w:spacing w:after="0" w:line="240" w:lineRule="auto"/>
        <w:jc w:val="left"/>
        <w:rPr>
          <w:rFonts w:cs="Times New Roman"/>
          <w:sz w:val="24"/>
          <w:szCs w:val="24"/>
        </w:rPr>
      </w:pPr>
      <w:r>
        <w:rPr>
          <w:noProof/>
          <w:lang w:eastAsia="sk-SK"/>
        </w:rPr>
        <w:drawing>
          <wp:inline distT="0" distB="0" distL="0" distR="0" wp14:anchorId="39671301" wp14:editId="2F767E68">
            <wp:extent cx="2776855" cy="2139950"/>
            <wp:effectExtent l="0" t="0" r="4445" b="0"/>
            <wp:docPr id="5" name="Graf 1">
              <a:extLst xmlns:a="http://schemas.openxmlformats.org/drawingml/2006/main">
                <a:ext uri="{FF2B5EF4-FFF2-40B4-BE49-F238E27FC236}">
                  <a16:creationId xmlns:a16="http://schemas.microsoft.com/office/drawing/2014/main" id="{A27C6C80-2FC4-02D3-A7AD-73DE1ECC9D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578E9D1" w14:textId="77777777" w:rsidR="003A3C32" w:rsidRDefault="003A3C32" w:rsidP="003A3C32">
      <w:pPr>
        <w:spacing w:after="0" w:line="240" w:lineRule="auto"/>
        <w:jc w:val="left"/>
        <w:rPr>
          <w:rFonts w:cs="Times New Roman"/>
          <w:sz w:val="24"/>
          <w:szCs w:val="24"/>
        </w:rPr>
        <w:sectPr w:rsidR="003A3C32" w:rsidSect="003A3C32">
          <w:type w:val="continuous"/>
          <w:pgSz w:w="11906" w:h="16838"/>
          <w:pgMar w:top="1418" w:right="849" w:bottom="1418" w:left="1276" w:header="709" w:footer="709" w:gutter="567"/>
          <w:cols w:num="2" w:space="428"/>
          <w:docGrid w:linePitch="360"/>
        </w:sectPr>
      </w:pPr>
    </w:p>
    <w:p w14:paraId="7AAEBA6F" w14:textId="7E72AB4A" w:rsidR="003A3C32" w:rsidRPr="000A3108" w:rsidRDefault="003A3C32" w:rsidP="003A3C32">
      <w:pPr>
        <w:spacing w:after="0" w:line="240" w:lineRule="auto"/>
        <w:ind w:left="2041"/>
        <w:jc w:val="left"/>
        <w:rPr>
          <w:rFonts w:cs="Times New Roman"/>
          <w:sz w:val="18"/>
          <w:szCs w:val="18"/>
        </w:rPr>
      </w:pPr>
      <w:r>
        <w:rPr>
          <w:rFonts w:cs="Times New Roman"/>
          <w:sz w:val="18"/>
          <w:szCs w:val="18"/>
        </w:rPr>
        <w:t xml:space="preserve">      </w:t>
      </w:r>
      <w:r w:rsidRPr="000A3108">
        <w:rPr>
          <w:rFonts w:cs="Times New Roman"/>
          <w:sz w:val="18"/>
          <w:szCs w:val="18"/>
        </w:rPr>
        <w:t xml:space="preserve">Zdroj: ŠÚ SR, MF SR </w:t>
      </w:r>
      <w:r>
        <w:rPr>
          <w:rFonts w:cs="Times New Roman"/>
          <w:sz w:val="18"/>
          <w:szCs w:val="18"/>
        </w:rPr>
        <w:tab/>
      </w:r>
      <w:r>
        <w:rPr>
          <w:rFonts w:cs="Times New Roman"/>
          <w:sz w:val="18"/>
          <w:szCs w:val="18"/>
        </w:rPr>
        <w:tab/>
      </w:r>
      <w:r>
        <w:rPr>
          <w:rFonts w:cs="Times New Roman"/>
          <w:sz w:val="18"/>
          <w:szCs w:val="18"/>
        </w:rPr>
        <w:tab/>
      </w:r>
      <w:r>
        <w:rPr>
          <w:rFonts w:cs="Times New Roman"/>
          <w:sz w:val="18"/>
          <w:szCs w:val="18"/>
        </w:rPr>
        <w:tab/>
      </w:r>
      <w:r>
        <w:rPr>
          <w:rFonts w:cs="Times New Roman"/>
          <w:sz w:val="18"/>
          <w:szCs w:val="18"/>
        </w:rPr>
        <w:tab/>
      </w:r>
      <w:r>
        <w:rPr>
          <w:rFonts w:cs="Times New Roman"/>
          <w:sz w:val="18"/>
          <w:szCs w:val="18"/>
        </w:rPr>
        <w:tab/>
      </w:r>
      <w:r>
        <w:rPr>
          <w:rFonts w:cs="Times New Roman"/>
          <w:sz w:val="18"/>
          <w:szCs w:val="18"/>
        </w:rPr>
        <w:tab/>
        <w:t xml:space="preserve">      </w:t>
      </w:r>
      <w:r w:rsidRPr="000A3108">
        <w:rPr>
          <w:rFonts w:cs="Times New Roman"/>
          <w:sz w:val="18"/>
          <w:szCs w:val="18"/>
        </w:rPr>
        <w:t>Zdroj: NBS, MF SR</w:t>
      </w:r>
    </w:p>
    <w:p w14:paraId="10F3CBF9" w14:textId="77777777" w:rsidR="003A3C32" w:rsidRDefault="003A3C32" w:rsidP="003A3C32">
      <w:pPr>
        <w:spacing w:line="240" w:lineRule="auto"/>
        <w:rPr>
          <w:rFonts w:cs="Times New Roman"/>
          <w:sz w:val="24"/>
          <w:szCs w:val="24"/>
        </w:rPr>
        <w:sectPr w:rsidR="003A3C32" w:rsidSect="003A3C32">
          <w:type w:val="continuous"/>
          <w:pgSz w:w="11906" w:h="16838"/>
          <w:pgMar w:top="1418" w:right="1133" w:bottom="1418" w:left="1276" w:header="709" w:footer="709" w:gutter="567"/>
          <w:cols w:space="708"/>
          <w:docGrid w:linePitch="360"/>
        </w:sectPr>
      </w:pPr>
    </w:p>
    <w:p w14:paraId="5054BE67" w14:textId="30002763" w:rsidR="003A3C32" w:rsidRDefault="003A3C32" w:rsidP="003A3C32">
      <w:pPr>
        <w:spacing w:line="240" w:lineRule="auto"/>
        <w:rPr>
          <w:rFonts w:cs="Times New Roman"/>
          <w:sz w:val="24"/>
          <w:szCs w:val="24"/>
        </w:rPr>
      </w:pPr>
    </w:p>
    <w:p w14:paraId="6E9DEA80" w14:textId="77777777" w:rsidR="003A3C32" w:rsidRDefault="003A3C32" w:rsidP="003A3C32">
      <w:pPr>
        <w:spacing w:line="240" w:lineRule="auto"/>
        <w:rPr>
          <w:rFonts w:cs="Times New Roman"/>
          <w:sz w:val="24"/>
          <w:szCs w:val="24"/>
        </w:rPr>
      </w:pPr>
    </w:p>
    <w:p w14:paraId="440B9383" w14:textId="77777777" w:rsidR="003A3C32" w:rsidRDefault="003A3C32" w:rsidP="000240DA">
      <w:pPr>
        <w:spacing w:line="240" w:lineRule="auto"/>
        <w:jc w:val="left"/>
        <w:rPr>
          <w:rFonts w:cs="Times New Roman"/>
          <w:b/>
          <w:color w:val="5B9BD5" w:themeColor="accent1"/>
          <w:sz w:val="20"/>
        </w:rPr>
        <w:sectPr w:rsidR="003A3C32" w:rsidSect="003A3C32">
          <w:type w:val="continuous"/>
          <w:pgSz w:w="11906" w:h="16838"/>
          <w:pgMar w:top="1418" w:right="1133" w:bottom="1418" w:left="1276" w:header="709" w:footer="709" w:gutter="567"/>
          <w:cols w:num="2" w:space="708"/>
          <w:docGrid w:linePitch="360"/>
        </w:sectPr>
      </w:pPr>
    </w:p>
    <w:p w14:paraId="2889F82F" w14:textId="77777777" w:rsidR="009A05C7" w:rsidRPr="0075282C" w:rsidRDefault="009A05C7" w:rsidP="009A05C7">
      <w:pPr>
        <w:pStyle w:val="Nadpis3"/>
      </w:pPr>
      <w:bookmarkStart w:id="24" w:name="_Toc6415633"/>
      <w:bookmarkStart w:id="25" w:name="_Toc196314122"/>
      <w:r w:rsidRPr="0075282C">
        <w:t>Porovnanie makroekonomických predpokladov rozpočtu a skutočnosti</w:t>
      </w:r>
      <w:bookmarkEnd w:id="24"/>
      <w:bookmarkEnd w:id="25"/>
    </w:p>
    <w:p w14:paraId="5002DF2B" w14:textId="77777777" w:rsidR="009A05C7" w:rsidRPr="00593BFD" w:rsidRDefault="009A05C7" w:rsidP="009A05C7">
      <w:pPr>
        <w:spacing w:line="240" w:lineRule="auto"/>
        <w:rPr>
          <w:sz w:val="24"/>
          <w:szCs w:val="24"/>
          <w:highlight w:val="yellow"/>
        </w:rPr>
      </w:pPr>
      <w:r w:rsidRPr="00CF3F96">
        <w:rPr>
          <w:rFonts w:cs="Times New Roman"/>
          <w:sz w:val="24"/>
          <w:szCs w:val="24"/>
        </w:rPr>
        <w:t>Vývoj reálnej ekonomiky bol menej priaznivý ako očakávala prognóza MF SR použitá pri</w:t>
      </w:r>
      <w:r>
        <w:rPr>
          <w:rFonts w:cs="Times New Roman"/>
          <w:sz w:val="24"/>
          <w:szCs w:val="24"/>
        </w:rPr>
        <w:t> </w:t>
      </w:r>
      <w:r w:rsidRPr="00CF3F96">
        <w:rPr>
          <w:rFonts w:cs="Times New Roman"/>
          <w:sz w:val="24"/>
          <w:szCs w:val="24"/>
        </w:rPr>
        <w:t>zostavovaní rozpočtu verejnej správy pre rok 2024. Pomalšia než očakávaná inflácia ukrojila menej z rastu reálnych veličín. Reálna spotreba stúpla, avšak menej než očakávala prognóza, hoci reálne mzdy posilnili podľa očakávania. Investície sa zvyšovali oproti prognóze pomalšie, keď čerpanie zdrojov z Plánu obnovy SR meškalo. Zamestnanosť bola mierne nadhodnotená, keď z trhu odišlo nečakane veľa ľudí do predčasného dôchodku.</w:t>
      </w:r>
    </w:p>
    <w:p w14:paraId="19384206" w14:textId="77777777" w:rsidR="009A05C7" w:rsidRDefault="009A05C7" w:rsidP="009A05C7">
      <w:pPr>
        <w:pStyle w:val="Pta"/>
        <w:tabs>
          <w:tab w:val="clear" w:pos="4536"/>
          <w:tab w:val="clear" w:pos="9072"/>
        </w:tabs>
        <w:spacing w:after="120"/>
        <w:rPr>
          <w:rFonts w:cs="Times New Roman"/>
          <w:bCs/>
          <w:sz w:val="24"/>
          <w:szCs w:val="24"/>
        </w:rPr>
      </w:pPr>
      <w:r w:rsidRPr="00CF3F96">
        <w:rPr>
          <w:rFonts w:cs="Times New Roman"/>
          <w:bCs/>
          <w:sz w:val="24"/>
          <w:szCs w:val="24"/>
        </w:rPr>
        <w:t>Z pohľadu makroekonomických základní pre dane a odvody skončil rok 2024 horšie. Nižšia inflácia, než čakala prognóza, viedla k pomalšiemu rastu nominálnej mzdy. S poklesom zamestnanosti tak mzdová báza, ktorá je najvýznamnejšou základňou pre daň z príjmu fyzických osôb a odvodov, rástla výrazne pomalšie. Rovnako pomalšie rástla aj nominálna a reálna spotreba domácností, ako aj nominálny a reálny HDP.</w:t>
      </w:r>
    </w:p>
    <w:p w14:paraId="1E49AC02" w14:textId="14B36709" w:rsidR="009A05C7" w:rsidRPr="0084639A" w:rsidRDefault="009A05C7" w:rsidP="009A05C7">
      <w:pPr>
        <w:pStyle w:val="Popis"/>
        <w:keepNext/>
        <w:spacing w:after="120"/>
        <w:rPr>
          <w:rFonts w:cs="Times New Roman"/>
          <w:b/>
          <w:bCs/>
          <w:i w:val="0"/>
          <w:iCs w:val="0"/>
          <w:color w:val="5B9BD5" w:themeColor="accent1"/>
          <w:sz w:val="20"/>
          <w:szCs w:val="20"/>
        </w:rPr>
      </w:pPr>
      <w:bookmarkStart w:id="26" w:name="_Toc196313629"/>
      <w:bookmarkStart w:id="27" w:name="_Toc196389250"/>
      <w:r w:rsidRPr="0084639A">
        <w:rPr>
          <w:rFonts w:cs="Times New Roman"/>
          <w:b/>
          <w:bCs/>
          <w:i w:val="0"/>
          <w:iCs w:val="0"/>
          <w:color w:val="5B9BD5" w:themeColor="accent1"/>
          <w:sz w:val="20"/>
          <w:szCs w:val="20"/>
        </w:rPr>
        <w:t xml:space="preserve">Tabuľka </w:t>
      </w:r>
      <w:r w:rsidR="003B7AF0">
        <w:rPr>
          <w:rFonts w:cs="Times New Roman"/>
          <w:b/>
          <w:bCs/>
          <w:i w:val="0"/>
          <w:iCs w:val="0"/>
          <w:color w:val="5B9BD5" w:themeColor="accent1"/>
          <w:sz w:val="20"/>
          <w:szCs w:val="20"/>
        </w:rPr>
        <w:fldChar w:fldCharType="begin"/>
      </w:r>
      <w:r w:rsidR="003B7AF0">
        <w:rPr>
          <w:rFonts w:cs="Times New Roman"/>
          <w:b/>
          <w:bCs/>
          <w:i w:val="0"/>
          <w:iCs w:val="0"/>
          <w:color w:val="5B9BD5" w:themeColor="accent1"/>
          <w:sz w:val="20"/>
          <w:szCs w:val="20"/>
        </w:rPr>
        <w:instrText xml:space="preserve"> SEQ Tabuľka \* ARABIC </w:instrText>
      </w:r>
      <w:r w:rsidR="003B7AF0">
        <w:rPr>
          <w:rFonts w:cs="Times New Roman"/>
          <w:b/>
          <w:bCs/>
          <w:i w:val="0"/>
          <w:iCs w:val="0"/>
          <w:color w:val="5B9BD5" w:themeColor="accent1"/>
          <w:sz w:val="20"/>
          <w:szCs w:val="20"/>
        </w:rPr>
        <w:fldChar w:fldCharType="separate"/>
      </w:r>
      <w:r w:rsidR="00C64CBA">
        <w:rPr>
          <w:rFonts w:cs="Times New Roman"/>
          <w:b/>
          <w:bCs/>
          <w:i w:val="0"/>
          <w:iCs w:val="0"/>
          <w:noProof/>
          <w:color w:val="5B9BD5" w:themeColor="accent1"/>
          <w:sz w:val="20"/>
          <w:szCs w:val="20"/>
        </w:rPr>
        <w:t>3</w:t>
      </w:r>
      <w:r w:rsidR="003B7AF0">
        <w:rPr>
          <w:rFonts w:cs="Times New Roman"/>
          <w:b/>
          <w:bCs/>
          <w:i w:val="0"/>
          <w:iCs w:val="0"/>
          <w:color w:val="5B9BD5" w:themeColor="accent1"/>
          <w:sz w:val="20"/>
          <w:szCs w:val="20"/>
        </w:rPr>
        <w:fldChar w:fldCharType="end"/>
      </w:r>
      <w:r w:rsidRPr="0084639A">
        <w:rPr>
          <w:rFonts w:cs="Times New Roman"/>
          <w:b/>
          <w:bCs/>
          <w:i w:val="0"/>
          <w:iCs w:val="0"/>
          <w:color w:val="5B9BD5" w:themeColor="accent1"/>
          <w:sz w:val="20"/>
          <w:szCs w:val="20"/>
        </w:rPr>
        <w:t xml:space="preserve"> - Porovnanie skutočnosti s predpokladmi pre tvorbu rozpočtu na roky 2024-2026</w:t>
      </w:r>
      <w:bookmarkEnd w:id="26"/>
      <w:bookmarkEnd w:id="27"/>
    </w:p>
    <w:tbl>
      <w:tblPr>
        <w:tblW w:w="5000" w:type="pct"/>
        <w:tblCellMar>
          <w:left w:w="70" w:type="dxa"/>
          <w:right w:w="70" w:type="dxa"/>
        </w:tblCellMar>
        <w:tblLook w:val="04A0" w:firstRow="1" w:lastRow="0" w:firstColumn="1" w:lastColumn="0" w:noHBand="0" w:noVBand="1"/>
      </w:tblPr>
      <w:tblGrid>
        <w:gridCol w:w="4951"/>
        <w:gridCol w:w="1327"/>
        <w:gridCol w:w="1327"/>
        <w:gridCol w:w="1325"/>
      </w:tblGrid>
      <w:tr w:rsidR="009A05C7" w:rsidRPr="0084639A" w14:paraId="5DEBF821" w14:textId="77777777" w:rsidTr="000240DA">
        <w:trPr>
          <w:trHeight w:val="270"/>
          <w:tblHeader/>
        </w:trPr>
        <w:tc>
          <w:tcPr>
            <w:tcW w:w="2772" w:type="pct"/>
            <w:tcBorders>
              <w:top w:val="single" w:sz="4" w:space="0" w:color="auto"/>
              <w:left w:val="nil"/>
              <w:bottom w:val="single" w:sz="4" w:space="0" w:color="auto"/>
              <w:right w:val="nil"/>
            </w:tcBorders>
            <w:shd w:val="clear" w:color="auto" w:fill="auto"/>
            <w:vAlign w:val="center"/>
            <w:hideMark/>
          </w:tcPr>
          <w:p w14:paraId="0B589BAD" w14:textId="77777777" w:rsidR="009A05C7" w:rsidRPr="0084639A" w:rsidRDefault="009A05C7" w:rsidP="000240DA">
            <w:pPr>
              <w:spacing w:after="0" w:line="240" w:lineRule="auto"/>
              <w:rPr>
                <w:rFonts w:eastAsia="Times New Roman" w:cs="Times New Roman"/>
                <w:b/>
                <w:bCs/>
                <w:color w:val="000000"/>
                <w:sz w:val="18"/>
                <w:szCs w:val="18"/>
                <w:lang w:eastAsia="sk-SK"/>
              </w:rPr>
            </w:pPr>
            <w:r w:rsidRPr="0084639A">
              <w:rPr>
                <w:rFonts w:eastAsia="Times New Roman" w:cs="Times New Roman"/>
                <w:b/>
                <w:bCs/>
                <w:color w:val="000000"/>
                <w:sz w:val="18"/>
                <w:szCs w:val="18"/>
                <w:lang w:eastAsia="sk-SK"/>
              </w:rPr>
              <w:t>v %, ak nie je uvedené inak</w:t>
            </w:r>
          </w:p>
        </w:tc>
        <w:tc>
          <w:tcPr>
            <w:tcW w:w="743" w:type="pct"/>
            <w:tcBorders>
              <w:top w:val="single" w:sz="4" w:space="0" w:color="auto"/>
              <w:left w:val="nil"/>
              <w:bottom w:val="single" w:sz="4" w:space="0" w:color="auto"/>
              <w:right w:val="nil"/>
            </w:tcBorders>
            <w:shd w:val="clear" w:color="auto" w:fill="auto"/>
            <w:vAlign w:val="center"/>
            <w:hideMark/>
          </w:tcPr>
          <w:p w14:paraId="6158F23E" w14:textId="77777777" w:rsidR="009A05C7" w:rsidRPr="0084639A" w:rsidRDefault="009A05C7" w:rsidP="000240DA">
            <w:pPr>
              <w:spacing w:after="0" w:line="240" w:lineRule="auto"/>
              <w:jc w:val="center"/>
              <w:rPr>
                <w:rFonts w:eastAsia="Times New Roman" w:cs="Times New Roman"/>
                <w:b/>
                <w:bCs/>
                <w:color w:val="000000"/>
                <w:sz w:val="18"/>
                <w:szCs w:val="18"/>
                <w:lang w:eastAsia="sk-SK"/>
              </w:rPr>
            </w:pPr>
            <w:r w:rsidRPr="0084639A">
              <w:rPr>
                <w:rFonts w:eastAsia="Times New Roman" w:cs="Times New Roman"/>
                <w:b/>
                <w:bCs/>
                <w:color w:val="000000"/>
                <w:sz w:val="18"/>
                <w:szCs w:val="18"/>
                <w:lang w:eastAsia="sk-SK"/>
              </w:rPr>
              <w:t>Rozpočet 2024</w:t>
            </w:r>
          </w:p>
        </w:tc>
        <w:tc>
          <w:tcPr>
            <w:tcW w:w="743" w:type="pct"/>
            <w:tcBorders>
              <w:top w:val="single" w:sz="4" w:space="0" w:color="auto"/>
              <w:left w:val="nil"/>
              <w:bottom w:val="single" w:sz="4" w:space="0" w:color="auto"/>
              <w:right w:val="nil"/>
            </w:tcBorders>
            <w:shd w:val="clear" w:color="auto" w:fill="auto"/>
            <w:vAlign w:val="center"/>
            <w:hideMark/>
          </w:tcPr>
          <w:p w14:paraId="2C522FC8" w14:textId="77777777" w:rsidR="009A05C7" w:rsidRPr="0084639A" w:rsidRDefault="009A05C7" w:rsidP="000240DA">
            <w:pPr>
              <w:spacing w:after="0" w:line="240" w:lineRule="auto"/>
              <w:jc w:val="center"/>
              <w:rPr>
                <w:rFonts w:eastAsia="Times New Roman" w:cs="Times New Roman"/>
                <w:b/>
                <w:bCs/>
                <w:color w:val="000000"/>
                <w:sz w:val="18"/>
                <w:szCs w:val="18"/>
                <w:lang w:eastAsia="sk-SK"/>
              </w:rPr>
            </w:pPr>
            <w:r w:rsidRPr="0084639A">
              <w:rPr>
                <w:rFonts w:eastAsia="Times New Roman" w:cs="Times New Roman"/>
                <w:b/>
                <w:bCs/>
                <w:color w:val="000000"/>
                <w:sz w:val="18"/>
                <w:szCs w:val="18"/>
                <w:lang w:eastAsia="sk-SK"/>
              </w:rPr>
              <w:t>Skutočnosť</w:t>
            </w:r>
          </w:p>
        </w:tc>
        <w:tc>
          <w:tcPr>
            <w:tcW w:w="742" w:type="pct"/>
            <w:tcBorders>
              <w:top w:val="single" w:sz="4" w:space="0" w:color="auto"/>
              <w:left w:val="nil"/>
              <w:bottom w:val="single" w:sz="4" w:space="0" w:color="auto"/>
              <w:right w:val="nil"/>
            </w:tcBorders>
            <w:shd w:val="clear" w:color="auto" w:fill="auto"/>
            <w:vAlign w:val="center"/>
            <w:hideMark/>
          </w:tcPr>
          <w:p w14:paraId="67FFDDC7" w14:textId="77777777" w:rsidR="009A05C7" w:rsidRPr="0084639A" w:rsidRDefault="009A05C7" w:rsidP="000240DA">
            <w:pPr>
              <w:spacing w:after="0" w:line="240" w:lineRule="auto"/>
              <w:jc w:val="center"/>
              <w:rPr>
                <w:rFonts w:eastAsia="Times New Roman" w:cs="Times New Roman"/>
                <w:b/>
                <w:bCs/>
                <w:color w:val="000000"/>
                <w:sz w:val="18"/>
                <w:szCs w:val="18"/>
                <w:lang w:eastAsia="sk-SK"/>
              </w:rPr>
            </w:pPr>
            <w:r w:rsidRPr="0084639A">
              <w:rPr>
                <w:rFonts w:eastAsia="Times New Roman" w:cs="Times New Roman"/>
                <w:b/>
                <w:bCs/>
                <w:color w:val="000000"/>
                <w:sz w:val="18"/>
                <w:szCs w:val="18"/>
                <w:lang w:eastAsia="sk-SK"/>
              </w:rPr>
              <w:t>Rozdiel v p.</w:t>
            </w:r>
            <w:r>
              <w:rPr>
                <w:rFonts w:eastAsia="Times New Roman" w:cs="Times New Roman"/>
                <w:b/>
                <w:bCs/>
                <w:color w:val="000000"/>
                <w:sz w:val="18"/>
                <w:szCs w:val="18"/>
                <w:lang w:eastAsia="sk-SK"/>
              </w:rPr>
              <w:t> </w:t>
            </w:r>
            <w:r w:rsidRPr="0084639A">
              <w:rPr>
                <w:rFonts w:eastAsia="Times New Roman" w:cs="Times New Roman"/>
                <w:b/>
                <w:bCs/>
                <w:color w:val="000000"/>
                <w:sz w:val="18"/>
                <w:szCs w:val="18"/>
                <w:lang w:eastAsia="sk-SK"/>
              </w:rPr>
              <w:t>b.</w:t>
            </w:r>
          </w:p>
        </w:tc>
      </w:tr>
      <w:tr w:rsidR="009A05C7" w:rsidRPr="0084639A" w14:paraId="27E951BE" w14:textId="77777777" w:rsidTr="000240DA">
        <w:trPr>
          <w:trHeight w:val="280"/>
        </w:trPr>
        <w:tc>
          <w:tcPr>
            <w:tcW w:w="2772" w:type="pct"/>
            <w:tcBorders>
              <w:top w:val="single" w:sz="4" w:space="0" w:color="auto"/>
              <w:left w:val="nil"/>
              <w:bottom w:val="nil"/>
              <w:right w:val="nil"/>
            </w:tcBorders>
            <w:shd w:val="clear" w:color="auto" w:fill="auto"/>
            <w:vAlign w:val="center"/>
            <w:hideMark/>
          </w:tcPr>
          <w:p w14:paraId="409AE5DA" w14:textId="77777777" w:rsidR="009A05C7" w:rsidRPr="0084639A" w:rsidRDefault="009A05C7" w:rsidP="000240DA">
            <w:pPr>
              <w:spacing w:after="0" w:line="240" w:lineRule="auto"/>
              <w:rPr>
                <w:rFonts w:eastAsia="Times New Roman" w:cs="Times New Roman"/>
                <w:color w:val="000000"/>
                <w:sz w:val="18"/>
                <w:szCs w:val="18"/>
                <w:lang w:eastAsia="sk-SK"/>
              </w:rPr>
            </w:pPr>
            <w:r w:rsidRPr="0084639A">
              <w:rPr>
                <w:rFonts w:eastAsia="Times New Roman" w:cs="Times New Roman"/>
                <w:color w:val="000000"/>
                <w:sz w:val="18"/>
                <w:szCs w:val="18"/>
                <w:lang w:eastAsia="sk-SK"/>
              </w:rPr>
              <w:t>Hrubý domáci produkt,  reálny rast</w:t>
            </w:r>
          </w:p>
        </w:tc>
        <w:tc>
          <w:tcPr>
            <w:tcW w:w="743" w:type="pct"/>
            <w:tcBorders>
              <w:top w:val="single" w:sz="4" w:space="0" w:color="auto"/>
              <w:left w:val="nil"/>
              <w:bottom w:val="nil"/>
              <w:right w:val="nil"/>
            </w:tcBorders>
            <w:shd w:val="clear" w:color="auto" w:fill="auto"/>
            <w:vAlign w:val="bottom"/>
            <w:hideMark/>
          </w:tcPr>
          <w:p w14:paraId="1170AA33" w14:textId="77777777" w:rsidR="009A05C7" w:rsidRPr="00CC488D" w:rsidRDefault="009A05C7" w:rsidP="000240DA">
            <w:pPr>
              <w:spacing w:after="0" w:line="240" w:lineRule="auto"/>
              <w:jc w:val="center"/>
              <w:rPr>
                <w:rFonts w:eastAsia="Times New Roman" w:cs="Times New Roman"/>
                <w:color w:val="000000"/>
                <w:sz w:val="18"/>
                <w:szCs w:val="18"/>
                <w:lang w:eastAsia="sk-SK"/>
              </w:rPr>
            </w:pPr>
            <w:r w:rsidRPr="00CC488D">
              <w:rPr>
                <w:rFonts w:cs="Times New Roman"/>
                <w:color w:val="000000"/>
                <w:sz w:val="18"/>
                <w:szCs w:val="18"/>
              </w:rPr>
              <w:t>2,7</w:t>
            </w:r>
          </w:p>
        </w:tc>
        <w:tc>
          <w:tcPr>
            <w:tcW w:w="743" w:type="pct"/>
            <w:tcBorders>
              <w:top w:val="single" w:sz="4" w:space="0" w:color="auto"/>
              <w:left w:val="nil"/>
              <w:bottom w:val="nil"/>
              <w:right w:val="nil"/>
            </w:tcBorders>
            <w:shd w:val="clear" w:color="auto" w:fill="auto"/>
            <w:vAlign w:val="bottom"/>
            <w:hideMark/>
          </w:tcPr>
          <w:p w14:paraId="2A3E1D60" w14:textId="77777777" w:rsidR="009A05C7" w:rsidRPr="00CC488D" w:rsidRDefault="009A05C7" w:rsidP="000240DA">
            <w:pPr>
              <w:spacing w:after="0" w:line="240" w:lineRule="auto"/>
              <w:jc w:val="center"/>
              <w:rPr>
                <w:rFonts w:eastAsia="Times New Roman" w:cs="Times New Roman"/>
                <w:color w:val="000000"/>
                <w:sz w:val="18"/>
                <w:szCs w:val="18"/>
                <w:lang w:eastAsia="sk-SK"/>
              </w:rPr>
            </w:pPr>
            <w:r w:rsidRPr="00CC488D">
              <w:rPr>
                <w:rFonts w:cs="Times New Roman"/>
                <w:color w:val="000000"/>
                <w:sz w:val="18"/>
                <w:szCs w:val="18"/>
              </w:rPr>
              <w:t>2,1</w:t>
            </w:r>
          </w:p>
        </w:tc>
        <w:tc>
          <w:tcPr>
            <w:tcW w:w="742" w:type="pct"/>
            <w:tcBorders>
              <w:top w:val="single" w:sz="4" w:space="0" w:color="auto"/>
              <w:left w:val="nil"/>
              <w:bottom w:val="nil"/>
              <w:right w:val="nil"/>
            </w:tcBorders>
            <w:shd w:val="clear" w:color="auto" w:fill="auto"/>
            <w:vAlign w:val="bottom"/>
            <w:hideMark/>
          </w:tcPr>
          <w:p w14:paraId="2BF9C438" w14:textId="77777777" w:rsidR="009A05C7" w:rsidRPr="00CC488D" w:rsidRDefault="009A05C7" w:rsidP="000240DA">
            <w:pPr>
              <w:spacing w:after="0" w:line="240" w:lineRule="auto"/>
              <w:jc w:val="center"/>
              <w:rPr>
                <w:rFonts w:eastAsia="Times New Roman" w:cs="Times New Roman"/>
                <w:color w:val="000000"/>
                <w:sz w:val="18"/>
                <w:szCs w:val="18"/>
                <w:lang w:eastAsia="sk-SK"/>
              </w:rPr>
            </w:pPr>
            <w:r w:rsidRPr="00CC488D">
              <w:rPr>
                <w:rFonts w:cs="Times New Roman"/>
                <w:color w:val="000000"/>
                <w:sz w:val="18"/>
                <w:szCs w:val="18"/>
              </w:rPr>
              <w:t>-0,6</w:t>
            </w:r>
          </w:p>
        </w:tc>
      </w:tr>
      <w:tr w:rsidR="009A05C7" w:rsidRPr="0084639A" w14:paraId="56500407" w14:textId="77777777" w:rsidTr="000240DA">
        <w:trPr>
          <w:trHeight w:val="280"/>
        </w:trPr>
        <w:tc>
          <w:tcPr>
            <w:tcW w:w="2772" w:type="pct"/>
            <w:tcBorders>
              <w:top w:val="nil"/>
              <w:left w:val="nil"/>
              <w:bottom w:val="nil"/>
              <w:right w:val="nil"/>
            </w:tcBorders>
            <w:shd w:val="clear" w:color="auto" w:fill="auto"/>
            <w:vAlign w:val="center"/>
            <w:hideMark/>
          </w:tcPr>
          <w:p w14:paraId="3CF19EBF" w14:textId="77777777" w:rsidR="009A05C7" w:rsidRPr="0084639A" w:rsidRDefault="009A05C7" w:rsidP="000240DA">
            <w:pPr>
              <w:spacing w:after="0" w:line="240" w:lineRule="auto"/>
              <w:rPr>
                <w:rFonts w:eastAsia="Times New Roman" w:cs="Times New Roman"/>
                <w:color w:val="000000"/>
                <w:sz w:val="18"/>
                <w:szCs w:val="18"/>
                <w:lang w:eastAsia="sk-SK"/>
              </w:rPr>
            </w:pPr>
            <w:r w:rsidRPr="0084639A">
              <w:rPr>
                <w:rFonts w:eastAsia="Times New Roman" w:cs="Times New Roman"/>
                <w:color w:val="000000"/>
                <w:sz w:val="18"/>
                <w:szCs w:val="18"/>
                <w:lang w:eastAsia="sk-SK"/>
              </w:rPr>
              <w:t>Hrubý domáci produkt v bežných cenách mld. eur</w:t>
            </w:r>
          </w:p>
        </w:tc>
        <w:tc>
          <w:tcPr>
            <w:tcW w:w="743" w:type="pct"/>
            <w:tcBorders>
              <w:top w:val="nil"/>
              <w:left w:val="nil"/>
              <w:bottom w:val="nil"/>
              <w:right w:val="nil"/>
            </w:tcBorders>
            <w:shd w:val="clear" w:color="auto" w:fill="auto"/>
            <w:vAlign w:val="bottom"/>
            <w:hideMark/>
          </w:tcPr>
          <w:p w14:paraId="1C63CC1F" w14:textId="77777777" w:rsidR="009A05C7" w:rsidRPr="00CC488D" w:rsidRDefault="009A05C7" w:rsidP="000240DA">
            <w:pPr>
              <w:spacing w:after="0" w:line="240" w:lineRule="auto"/>
              <w:jc w:val="center"/>
              <w:rPr>
                <w:rFonts w:eastAsia="Times New Roman" w:cs="Times New Roman"/>
                <w:color w:val="000000"/>
                <w:sz w:val="18"/>
                <w:szCs w:val="18"/>
                <w:lang w:eastAsia="sk-SK"/>
              </w:rPr>
            </w:pPr>
            <w:r w:rsidRPr="00CC488D">
              <w:rPr>
                <w:rFonts w:cs="Times New Roman"/>
                <w:color w:val="000000"/>
                <w:sz w:val="18"/>
                <w:szCs w:val="18"/>
              </w:rPr>
              <w:t>131,3</w:t>
            </w:r>
          </w:p>
        </w:tc>
        <w:tc>
          <w:tcPr>
            <w:tcW w:w="743" w:type="pct"/>
            <w:tcBorders>
              <w:top w:val="nil"/>
              <w:left w:val="nil"/>
              <w:bottom w:val="nil"/>
              <w:right w:val="nil"/>
            </w:tcBorders>
            <w:shd w:val="clear" w:color="auto" w:fill="auto"/>
            <w:vAlign w:val="bottom"/>
            <w:hideMark/>
          </w:tcPr>
          <w:p w14:paraId="3B9A86B9" w14:textId="77777777" w:rsidR="009A05C7" w:rsidRPr="00CC488D" w:rsidRDefault="009A05C7" w:rsidP="000240DA">
            <w:pPr>
              <w:spacing w:after="0" w:line="240" w:lineRule="auto"/>
              <w:jc w:val="center"/>
              <w:rPr>
                <w:rFonts w:eastAsia="Times New Roman" w:cs="Times New Roman"/>
                <w:color w:val="000000"/>
                <w:sz w:val="18"/>
                <w:szCs w:val="18"/>
                <w:lang w:eastAsia="sk-SK"/>
              </w:rPr>
            </w:pPr>
            <w:r w:rsidRPr="00CC488D">
              <w:rPr>
                <w:rFonts w:cs="Times New Roman"/>
                <w:color w:val="000000"/>
                <w:sz w:val="18"/>
                <w:szCs w:val="18"/>
              </w:rPr>
              <w:t>131,0</w:t>
            </w:r>
          </w:p>
        </w:tc>
        <w:tc>
          <w:tcPr>
            <w:tcW w:w="742" w:type="pct"/>
            <w:tcBorders>
              <w:top w:val="nil"/>
              <w:left w:val="nil"/>
              <w:bottom w:val="nil"/>
              <w:right w:val="nil"/>
            </w:tcBorders>
            <w:shd w:val="clear" w:color="auto" w:fill="auto"/>
            <w:vAlign w:val="bottom"/>
            <w:hideMark/>
          </w:tcPr>
          <w:p w14:paraId="322F294C" w14:textId="77777777" w:rsidR="009A05C7" w:rsidRPr="00CC488D" w:rsidRDefault="009A05C7" w:rsidP="000240DA">
            <w:pPr>
              <w:spacing w:after="0" w:line="240" w:lineRule="auto"/>
              <w:jc w:val="center"/>
              <w:rPr>
                <w:rFonts w:eastAsia="Times New Roman" w:cs="Times New Roman"/>
                <w:color w:val="000000"/>
                <w:sz w:val="18"/>
                <w:szCs w:val="18"/>
                <w:lang w:eastAsia="sk-SK"/>
              </w:rPr>
            </w:pPr>
            <w:r w:rsidRPr="00CC488D">
              <w:rPr>
                <w:rFonts w:cs="Times New Roman"/>
                <w:color w:val="000000"/>
                <w:sz w:val="18"/>
                <w:szCs w:val="18"/>
              </w:rPr>
              <w:t>-0,3</w:t>
            </w:r>
          </w:p>
        </w:tc>
      </w:tr>
      <w:tr w:rsidR="009A05C7" w:rsidRPr="0084639A" w14:paraId="69D43174" w14:textId="77777777" w:rsidTr="000240DA">
        <w:trPr>
          <w:trHeight w:val="280"/>
        </w:trPr>
        <w:tc>
          <w:tcPr>
            <w:tcW w:w="2772" w:type="pct"/>
            <w:tcBorders>
              <w:top w:val="nil"/>
              <w:left w:val="nil"/>
              <w:bottom w:val="nil"/>
              <w:right w:val="nil"/>
            </w:tcBorders>
            <w:shd w:val="clear" w:color="auto" w:fill="auto"/>
            <w:vAlign w:val="center"/>
            <w:hideMark/>
          </w:tcPr>
          <w:p w14:paraId="56B75BF4" w14:textId="77777777" w:rsidR="009A05C7" w:rsidRPr="0084639A" w:rsidRDefault="009A05C7" w:rsidP="000240DA">
            <w:pPr>
              <w:spacing w:after="0" w:line="240" w:lineRule="auto"/>
              <w:rPr>
                <w:rFonts w:eastAsia="Times New Roman" w:cs="Times New Roman"/>
                <w:color w:val="000000"/>
                <w:sz w:val="18"/>
                <w:szCs w:val="18"/>
                <w:lang w:eastAsia="sk-SK"/>
              </w:rPr>
            </w:pPr>
            <w:r w:rsidRPr="0084639A">
              <w:rPr>
                <w:rFonts w:eastAsia="Times New Roman" w:cs="Times New Roman"/>
                <w:color w:val="000000"/>
                <w:sz w:val="18"/>
                <w:szCs w:val="18"/>
                <w:lang w:eastAsia="sk-SK"/>
              </w:rPr>
              <w:t>Konečná spotreba domácností a NISD,  reálny rast</w:t>
            </w:r>
          </w:p>
        </w:tc>
        <w:tc>
          <w:tcPr>
            <w:tcW w:w="743" w:type="pct"/>
            <w:tcBorders>
              <w:top w:val="nil"/>
              <w:left w:val="nil"/>
              <w:bottom w:val="nil"/>
              <w:right w:val="nil"/>
            </w:tcBorders>
            <w:shd w:val="clear" w:color="auto" w:fill="auto"/>
            <w:vAlign w:val="bottom"/>
            <w:hideMark/>
          </w:tcPr>
          <w:p w14:paraId="534F908F" w14:textId="77777777" w:rsidR="009A05C7" w:rsidRPr="00CC488D" w:rsidRDefault="009A05C7" w:rsidP="000240DA">
            <w:pPr>
              <w:spacing w:after="0" w:line="240" w:lineRule="auto"/>
              <w:jc w:val="center"/>
              <w:rPr>
                <w:rFonts w:eastAsia="Times New Roman" w:cs="Times New Roman"/>
                <w:color w:val="000000"/>
                <w:sz w:val="18"/>
                <w:szCs w:val="18"/>
                <w:lang w:eastAsia="sk-SK"/>
              </w:rPr>
            </w:pPr>
            <w:r w:rsidRPr="00CC488D">
              <w:rPr>
                <w:rFonts w:cs="Times New Roman"/>
                <w:color w:val="000000"/>
                <w:sz w:val="18"/>
                <w:szCs w:val="18"/>
              </w:rPr>
              <w:t>3,3</w:t>
            </w:r>
          </w:p>
        </w:tc>
        <w:tc>
          <w:tcPr>
            <w:tcW w:w="743" w:type="pct"/>
            <w:tcBorders>
              <w:top w:val="nil"/>
              <w:left w:val="nil"/>
              <w:bottom w:val="nil"/>
              <w:right w:val="nil"/>
            </w:tcBorders>
            <w:shd w:val="clear" w:color="auto" w:fill="auto"/>
            <w:vAlign w:val="bottom"/>
            <w:hideMark/>
          </w:tcPr>
          <w:p w14:paraId="2E698D86" w14:textId="77777777" w:rsidR="009A05C7" w:rsidRPr="00CC488D" w:rsidRDefault="009A05C7" w:rsidP="000240DA">
            <w:pPr>
              <w:spacing w:after="0" w:line="240" w:lineRule="auto"/>
              <w:jc w:val="center"/>
              <w:rPr>
                <w:rFonts w:eastAsia="Times New Roman" w:cs="Times New Roman"/>
                <w:color w:val="000000"/>
                <w:sz w:val="18"/>
                <w:szCs w:val="18"/>
                <w:lang w:eastAsia="sk-SK"/>
              </w:rPr>
            </w:pPr>
            <w:r w:rsidRPr="00CC488D">
              <w:rPr>
                <w:rFonts w:cs="Times New Roman"/>
                <w:color w:val="000000"/>
                <w:sz w:val="18"/>
                <w:szCs w:val="18"/>
                <w:lang w:val="en-US"/>
              </w:rPr>
              <w:t>2,9</w:t>
            </w:r>
          </w:p>
        </w:tc>
        <w:tc>
          <w:tcPr>
            <w:tcW w:w="742" w:type="pct"/>
            <w:tcBorders>
              <w:top w:val="nil"/>
              <w:left w:val="nil"/>
              <w:bottom w:val="nil"/>
              <w:right w:val="nil"/>
            </w:tcBorders>
            <w:shd w:val="clear" w:color="auto" w:fill="auto"/>
            <w:vAlign w:val="bottom"/>
            <w:hideMark/>
          </w:tcPr>
          <w:p w14:paraId="226723C6" w14:textId="77777777" w:rsidR="009A05C7" w:rsidRPr="00CC488D" w:rsidRDefault="009A05C7" w:rsidP="000240DA">
            <w:pPr>
              <w:spacing w:after="0" w:line="240" w:lineRule="auto"/>
              <w:jc w:val="center"/>
              <w:rPr>
                <w:rFonts w:eastAsia="Times New Roman" w:cs="Times New Roman"/>
                <w:color w:val="000000"/>
                <w:sz w:val="18"/>
                <w:szCs w:val="18"/>
                <w:lang w:eastAsia="sk-SK"/>
              </w:rPr>
            </w:pPr>
            <w:r w:rsidRPr="00CC488D">
              <w:rPr>
                <w:rFonts w:cs="Times New Roman"/>
                <w:color w:val="000000"/>
                <w:sz w:val="18"/>
                <w:szCs w:val="18"/>
              </w:rPr>
              <w:t>-0,4</w:t>
            </w:r>
          </w:p>
        </w:tc>
      </w:tr>
      <w:tr w:rsidR="009A05C7" w:rsidRPr="0084639A" w14:paraId="520D6C83" w14:textId="77777777" w:rsidTr="000240DA">
        <w:trPr>
          <w:trHeight w:val="280"/>
        </w:trPr>
        <w:tc>
          <w:tcPr>
            <w:tcW w:w="2772" w:type="pct"/>
            <w:tcBorders>
              <w:top w:val="nil"/>
              <w:left w:val="nil"/>
              <w:bottom w:val="nil"/>
              <w:right w:val="nil"/>
            </w:tcBorders>
            <w:shd w:val="clear" w:color="auto" w:fill="auto"/>
            <w:vAlign w:val="center"/>
            <w:hideMark/>
          </w:tcPr>
          <w:p w14:paraId="0C7A16C5" w14:textId="77777777" w:rsidR="009A05C7" w:rsidRPr="0084639A" w:rsidRDefault="009A05C7" w:rsidP="000240DA">
            <w:pPr>
              <w:spacing w:after="0" w:line="240" w:lineRule="auto"/>
              <w:rPr>
                <w:rFonts w:eastAsia="Times New Roman" w:cs="Times New Roman"/>
                <w:color w:val="000000"/>
                <w:sz w:val="18"/>
                <w:szCs w:val="18"/>
                <w:lang w:eastAsia="sk-SK"/>
              </w:rPr>
            </w:pPr>
            <w:r w:rsidRPr="0084639A">
              <w:rPr>
                <w:rFonts w:eastAsia="Times New Roman" w:cs="Times New Roman"/>
                <w:color w:val="000000"/>
                <w:sz w:val="18"/>
                <w:szCs w:val="18"/>
                <w:lang w:eastAsia="sk-SK"/>
              </w:rPr>
              <w:t>Konečná spotreba domácností a NISD,  nominálny rast</w:t>
            </w:r>
          </w:p>
        </w:tc>
        <w:tc>
          <w:tcPr>
            <w:tcW w:w="743" w:type="pct"/>
            <w:tcBorders>
              <w:top w:val="nil"/>
              <w:left w:val="nil"/>
              <w:bottom w:val="nil"/>
              <w:right w:val="nil"/>
            </w:tcBorders>
            <w:shd w:val="clear" w:color="auto" w:fill="auto"/>
            <w:vAlign w:val="bottom"/>
            <w:hideMark/>
          </w:tcPr>
          <w:p w14:paraId="42C83F0F" w14:textId="77777777" w:rsidR="009A05C7" w:rsidRPr="00CC488D" w:rsidRDefault="009A05C7" w:rsidP="000240DA">
            <w:pPr>
              <w:spacing w:after="0" w:line="240" w:lineRule="auto"/>
              <w:jc w:val="center"/>
              <w:rPr>
                <w:rFonts w:eastAsia="Times New Roman" w:cs="Times New Roman"/>
                <w:color w:val="000000"/>
                <w:sz w:val="18"/>
                <w:szCs w:val="18"/>
                <w:lang w:eastAsia="sk-SK"/>
              </w:rPr>
            </w:pPr>
            <w:r w:rsidRPr="00CC488D">
              <w:rPr>
                <w:rFonts w:cs="Times New Roman"/>
                <w:color w:val="000000"/>
                <w:sz w:val="18"/>
                <w:szCs w:val="18"/>
              </w:rPr>
              <w:t>7,1</w:t>
            </w:r>
          </w:p>
        </w:tc>
        <w:tc>
          <w:tcPr>
            <w:tcW w:w="743" w:type="pct"/>
            <w:tcBorders>
              <w:top w:val="nil"/>
              <w:left w:val="nil"/>
              <w:bottom w:val="nil"/>
              <w:right w:val="nil"/>
            </w:tcBorders>
            <w:shd w:val="clear" w:color="auto" w:fill="auto"/>
            <w:vAlign w:val="bottom"/>
            <w:hideMark/>
          </w:tcPr>
          <w:p w14:paraId="172804D5" w14:textId="77777777" w:rsidR="009A05C7" w:rsidRPr="00CC488D" w:rsidRDefault="009A05C7" w:rsidP="000240DA">
            <w:pPr>
              <w:spacing w:after="0" w:line="240" w:lineRule="auto"/>
              <w:jc w:val="center"/>
              <w:rPr>
                <w:rFonts w:eastAsia="Times New Roman" w:cs="Times New Roman"/>
                <w:color w:val="000000"/>
                <w:sz w:val="18"/>
                <w:szCs w:val="18"/>
                <w:lang w:eastAsia="sk-SK"/>
              </w:rPr>
            </w:pPr>
            <w:r w:rsidRPr="00CC488D">
              <w:rPr>
                <w:rFonts w:cs="Times New Roman"/>
                <w:color w:val="000000"/>
                <w:sz w:val="18"/>
                <w:szCs w:val="18"/>
              </w:rPr>
              <w:t>6,5</w:t>
            </w:r>
          </w:p>
        </w:tc>
        <w:tc>
          <w:tcPr>
            <w:tcW w:w="742" w:type="pct"/>
            <w:tcBorders>
              <w:top w:val="nil"/>
              <w:left w:val="nil"/>
              <w:bottom w:val="nil"/>
              <w:right w:val="nil"/>
            </w:tcBorders>
            <w:shd w:val="clear" w:color="auto" w:fill="auto"/>
            <w:vAlign w:val="bottom"/>
            <w:hideMark/>
          </w:tcPr>
          <w:p w14:paraId="754E25CF" w14:textId="77777777" w:rsidR="009A05C7" w:rsidRPr="00CC488D" w:rsidRDefault="009A05C7" w:rsidP="000240DA">
            <w:pPr>
              <w:spacing w:after="0" w:line="240" w:lineRule="auto"/>
              <w:jc w:val="center"/>
              <w:rPr>
                <w:rFonts w:eastAsia="Times New Roman" w:cs="Times New Roman"/>
                <w:color w:val="000000"/>
                <w:sz w:val="18"/>
                <w:szCs w:val="18"/>
                <w:lang w:eastAsia="sk-SK"/>
              </w:rPr>
            </w:pPr>
            <w:r w:rsidRPr="00CC488D">
              <w:rPr>
                <w:rFonts w:cs="Times New Roman"/>
                <w:color w:val="000000"/>
                <w:sz w:val="18"/>
                <w:szCs w:val="18"/>
              </w:rPr>
              <w:t>-0,6</w:t>
            </w:r>
          </w:p>
        </w:tc>
      </w:tr>
      <w:tr w:rsidR="009A05C7" w:rsidRPr="0084639A" w14:paraId="09AE8E15" w14:textId="77777777" w:rsidTr="000240DA">
        <w:trPr>
          <w:trHeight w:val="280"/>
        </w:trPr>
        <w:tc>
          <w:tcPr>
            <w:tcW w:w="2772" w:type="pct"/>
            <w:tcBorders>
              <w:top w:val="nil"/>
              <w:left w:val="nil"/>
              <w:bottom w:val="nil"/>
              <w:right w:val="nil"/>
            </w:tcBorders>
            <w:shd w:val="clear" w:color="auto" w:fill="auto"/>
            <w:vAlign w:val="center"/>
            <w:hideMark/>
          </w:tcPr>
          <w:p w14:paraId="6808B03C" w14:textId="77777777" w:rsidR="009A05C7" w:rsidRPr="0084639A" w:rsidRDefault="009A05C7" w:rsidP="000240DA">
            <w:pPr>
              <w:spacing w:after="0" w:line="240" w:lineRule="auto"/>
              <w:rPr>
                <w:rFonts w:eastAsia="Times New Roman" w:cs="Times New Roman"/>
                <w:color w:val="000000"/>
                <w:sz w:val="18"/>
                <w:szCs w:val="18"/>
                <w:lang w:eastAsia="sk-SK"/>
              </w:rPr>
            </w:pPr>
            <w:r w:rsidRPr="0084639A">
              <w:rPr>
                <w:rFonts w:eastAsia="Times New Roman" w:cs="Times New Roman"/>
                <w:color w:val="000000"/>
                <w:sz w:val="18"/>
                <w:szCs w:val="18"/>
                <w:lang w:eastAsia="sk-SK"/>
              </w:rPr>
              <w:t>Priemerná mesačná mzda,  reálny rast</w:t>
            </w:r>
          </w:p>
        </w:tc>
        <w:tc>
          <w:tcPr>
            <w:tcW w:w="743" w:type="pct"/>
            <w:tcBorders>
              <w:top w:val="nil"/>
              <w:left w:val="nil"/>
              <w:bottom w:val="nil"/>
              <w:right w:val="nil"/>
            </w:tcBorders>
            <w:shd w:val="clear" w:color="auto" w:fill="auto"/>
            <w:vAlign w:val="bottom"/>
            <w:hideMark/>
          </w:tcPr>
          <w:p w14:paraId="305DD50D" w14:textId="77777777" w:rsidR="009A05C7" w:rsidRPr="00CC488D" w:rsidRDefault="009A05C7" w:rsidP="000240DA">
            <w:pPr>
              <w:spacing w:after="0" w:line="240" w:lineRule="auto"/>
              <w:jc w:val="center"/>
              <w:rPr>
                <w:rFonts w:eastAsia="Times New Roman" w:cs="Times New Roman"/>
                <w:color w:val="000000"/>
                <w:sz w:val="18"/>
                <w:szCs w:val="18"/>
                <w:lang w:eastAsia="sk-SK"/>
              </w:rPr>
            </w:pPr>
            <w:r w:rsidRPr="00CC488D">
              <w:rPr>
                <w:rFonts w:cs="Times New Roman"/>
                <w:color w:val="000000"/>
                <w:sz w:val="18"/>
                <w:szCs w:val="18"/>
              </w:rPr>
              <w:t>3,7</w:t>
            </w:r>
          </w:p>
        </w:tc>
        <w:tc>
          <w:tcPr>
            <w:tcW w:w="743" w:type="pct"/>
            <w:tcBorders>
              <w:top w:val="nil"/>
              <w:left w:val="nil"/>
              <w:bottom w:val="nil"/>
              <w:right w:val="nil"/>
            </w:tcBorders>
            <w:shd w:val="clear" w:color="auto" w:fill="auto"/>
            <w:vAlign w:val="bottom"/>
            <w:hideMark/>
          </w:tcPr>
          <w:p w14:paraId="1AC312BD" w14:textId="77777777" w:rsidR="009A05C7" w:rsidRPr="00CC488D" w:rsidRDefault="009A05C7" w:rsidP="000240DA">
            <w:pPr>
              <w:spacing w:after="0" w:line="240" w:lineRule="auto"/>
              <w:jc w:val="center"/>
              <w:rPr>
                <w:rFonts w:eastAsia="Times New Roman" w:cs="Times New Roman"/>
                <w:color w:val="000000"/>
                <w:sz w:val="18"/>
                <w:szCs w:val="18"/>
                <w:lang w:eastAsia="sk-SK"/>
              </w:rPr>
            </w:pPr>
            <w:r w:rsidRPr="00CC488D">
              <w:rPr>
                <w:rFonts w:cs="Times New Roman"/>
                <w:color w:val="000000"/>
                <w:sz w:val="18"/>
                <w:szCs w:val="18"/>
              </w:rPr>
              <w:t>3,7</w:t>
            </w:r>
          </w:p>
        </w:tc>
        <w:tc>
          <w:tcPr>
            <w:tcW w:w="742" w:type="pct"/>
            <w:tcBorders>
              <w:top w:val="nil"/>
              <w:left w:val="nil"/>
              <w:bottom w:val="nil"/>
              <w:right w:val="nil"/>
            </w:tcBorders>
            <w:shd w:val="clear" w:color="auto" w:fill="auto"/>
            <w:vAlign w:val="bottom"/>
            <w:hideMark/>
          </w:tcPr>
          <w:p w14:paraId="48B2AD48" w14:textId="77777777" w:rsidR="009A05C7" w:rsidRPr="00CC488D" w:rsidRDefault="009A05C7" w:rsidP="000240DA">
            <w:pPr>
              <w:spacing w:after="0" w:line="240" w:lineRule="auto"/>
              <w:jc w:val="center"/>
              <w:rPr>
                <w:rFonts w:eastAsia="Times New Roman" w:cs="Times New Roman"/>
                <w:color w:val="000000"/>
                <w:sz w:val="18"/>
                <w:szCs w:val="18"/>
                <w:lang w:eastAsia="sk-SK"/>
              </w:rPr>
            </w:pPr>
            <w:r w:rsidRPr="00CC488D">
              <w:rPr>
                <w:rFonts w:cs="Times New Roman"/>
                <w:color w:val="000000"/>
                <w:sz w:val="18"/>
                <w:szCs w:val="18"/>
              </w:rPr>
              <w:t>0,0</w:t>
            </w:r>
          </w:p>
        </w:tc>
      </w:tr>
      <w:tr w:rsidR="009A05C7" w:rsidRPr="0084639A" w14:paraId="271687C0" w14:textId="77777777" w:rsidTr="000240DA">
        <w:trPr>
          <w:trHeight w:val="280"/>
        </w:trPr>
        <w:tc>
          <w:tcPr>
            <w:tcW w:w="2772" w:type="pct"/>
            <w:tcBorders>
              <w:top w:val="nil"/>
              <w:left w:val="nil"/>
              <w:bottom w:val="nil"/>
              <w:right w:val="nil"/>
            </w:tcBorders>
            <w:shd w:val="clear" w:color="auto" w:fill="auto"/>
            <w:vAlign w:val="center"/>
            <w:hideMark/>
          </w:tcPr>
          <w:p w14:paraId="088D76D3" w14:textId="77777777" w:rsidR="009A05C7" w:rsidRPr="0084639A" w:rsidRDefault="009A05C7" w:rsidP="000240DA">
            <w:pPr>
              <w:spacing w:after="0" w:line="240" w:lineRule="auto"/>
              <w:rPr>
                <w:rFonts w:eastAsia="Times New Roman" w:cs="Times New Roman"/>
                <w:color w:val="000000"/>
                <w:sz w:val="18"/>
                <w:szCs w:val="18"/>
                <w:lang w:eastAsia="sk-SK"/>
              </w:rPr>
            </w:pPr>
            <w:r w:rsidRPr="0084639A">
              <w:rPr>
                <w:rFonts w:eastAsia="Times New Roman" w:cs="Times New Roman"/>
                <w:color w:val="000000"/>
                <w:sz w:val="18"/>
                <w:szCs w:val="18"/>
                <w:lang w:eastAsia="sk-SK"/>
              </w:rPr>
              <w:t>Priemerná mesačná mzda,  nominálny rast</w:t>
            </w:r>
          </w:p>
        </w:tc>
        <w:tc>
          <w:tcPr>
            <w:tcW w:w="743" w:type="pct"/>
            <w:tcBorders>
              <w:top w:val="nil"/>
              <w:left w:val="nil"/>
              <w:bottom w:val="nil"/>
              <w:right w:val="nil"/>
            </w:tcBorders>
            <w:shd w:val="clear" w:color="auto" w:fill="auto"/>
            <w:vAlign w:val="bottom"/>
            <w:hideMark/>
          </w:tcPr>
          <w:p w14:paraId="36144329" w14:textId="77777777" w:rsidR="009A05C7" w:rsidRPr="00CC488D" w:rsidRDefault="009A05C7" w:rsidP="000240DA">
            <w:pPr>
              <w:spacing w:after="0" w:line="240" w:lineRule="auto"/>
              <w:jc w:val="center"/>
              <w:rPr>
                <w:rFonts w:eastAsia="Times New Roman" w:cs="Times New Roman"/>
                <w:color w:val="000000"/>
                <w:sz w:val="18"/>
                <w:szCs w:val="18"/>
                <w:lang w:eastAsia="sk-SK"/>
              </w:rPr>
            </w:pPr>
            <w:r w:rsidRPr="00CC488D">
              <w:rPr>
                <w:rFonts w:cs="Times New Roman"/>
                <w:color w:val="000000"/>
                <w:sz w:val="18"/>
                <w:szCs w:val="18"/>
              </w:rPr>
              <w:t>7,1</w:t>
            </w:r>
          </w:p>
        </w:tc>
        <w:tc>
          <w:tcPr>
            <w:tcW w:w="743" w:type="pct"/>
            <w:tcBorders>
              <w:top w:val="nil"/>
              <w:left w:val="nil"/>
              <w:bottom w:val="nil"/>
              <w:right w:val="nil"/>
            </w:tcBorders>
            <w:shd w:val="clear" w:color="auto" w:fill="auto"/>
            <w:vAlign w:val="bottom"/>
            <w:hideMark/>
          </w:tcPr>
          <w:p w14:paraId="426152D0" w14:textId="77777777" w:rsidR="009A05C7" w:rsidRPr="00CC488D" w:rsidRDefault="009A05C7" w:rsidP="000240DA">
            <w:pPr>
              <w:spacing w:after="0" w:line="240" w:lineRule="auto"/>
              <w:jc w:val="center"/>
              <w:rPr>
                <w:rFonts w:eastAsia="Times New Roman" w:cs="Times New Roman"/>
                <w:color w:val="000000"/>
                <w:sz w:val="18"/>
                <w:szCs w:val="18"/>
                <w:lang w:eastAsia="sk-SK"/>
              </w:rPr>
            </w:pPr>
            <w:r w:rsidRPr="00CC488D">
              <w:rPr>
                <w:rFonts w:cs="Times New Roman"/>
                <w:color w:val="000000"/>
                <w:sz w:val="18"/>
                <w:szCs w:val="18"/>
              </w:rPr>
              <w:t>6,6</w:t>
            </w:r>
          </w:p>
        </w:tc>
        <w:tc>
          <w:tcPr>
            <w:tcW w:w="742" w:type="pct"/>
            <w:tcBorders>
              <w:top w:val="nil"/>
              <w:left w:val="nil"/>
              <w:bottom w:val="nil"/>
              <w:right w:val="nil"/>
            </w:tcBorders>
            <w:shd w:val="clear" w:color="auto" w:fill="auto"/>
            <w:vAlign w:val="bottom"/>
            <w:hideMark/>
          </w:tcPr>
          <w:p w14:paraId="2AB2C404" w14:textId="77777777" w:rsidR="009A05C7" w:rsidRPr="00CC488D" w:rsidRDefault="009A05C7" w:rsidP="000240DA">
            <w:pPr>
              <w:spacing w:after="0" w:line="240" w:lineRule="auto"/>
              <w:jc w:val="center"/>
              <w:rPr>
                <w:rFonts w:eastAsia="Times New Roman" w:cs="Times New Roman"/>
                <w:color w:val="000000"/>
                <w:sz w:val="18"/>
                <w:szCs w:val="18"/>
                <w:lang w:eastAsia="sk-SK"/>
              </w:rPr>
            </w:pPr>
            <w:r w:rsidRPr="00CC488D">
              <w:rPr>
                <w:rFonts w:cs="Times New Roman"/>
                <w:color w:val="000000"/>
                <w:sz w:val="18"/>
                <w:szCs w:val="18"/>
              </w:rPr>
              <w:t>-0,5</w:t>
            </w:r>
          </w:p>
        </w:tc>
      </w:tr>
      <w:tr w:rsidR="009A05C7" w:rsidRPr="0084639A" w14:paraId="5FFDE1D3" w14:textId="77777777" w:rsidTr="000240DA">
        <w:trPr>
          <w:trHeight w:val="280"/>
        </w:trPr>
        <w:tc>
          <w:tcPr>
            <w:tcW w:w="2772" w:type="pct"/>
            <w:tcBorders>
              <w:top w:val="nil"/>
              <w:left w:val="nil"/>
              <w:bottom w:val="nil"/>
              <w:right w:val="nil"/>
            </w:tcBorders>
            <w:shd w:val="clear" w:color="auto" w:fill="auto"/>
            <w:vAlign w:val="center"/>
            <w:hideMark/>
          </w:tcPr>
          <w:p w14:paraId="2662905E" w14:textId="77777777" w:rsidR="009A05C7" w:rsidRPr="0084639A" w:rsidRDefault="009A05C7" w:rsidP="000240DA">
            <w:pPr>
              <w:spacing w:after="0" w:line="240" w:lineRule="auto"/>
              <w:rPr>
                <w:rFonts w:eastAsia="Times New Roman" w:cs="Times New Roman"/>
                <w:color w:val="000000"/>
                <w:sz w:val="18"/>
                <w:szCs w:val="18"/>
                <w:lang w:eastAsia="sk-SK"/>
              </w:rPr>
            </w:pPr>
            <w:r w:rsidRPr="0084639A">
              <w:rPr>
                <w:rFonts w:eastAsia="Times New Roman" w:cs="Times New Roman"/>
                <w:color w:val="000000"/>
                <w:sz w:val="18"/>
                <w:szCs w:val="18"/>
                <w:lang w:eastAsia="sk-SK"/>
              </w:rPr>
              <w:t>Zamestnanosť (ESA)</w:t>
            </w:r>
          </w:p>
        </w:tc>
        <w:tc>
          <w:tcPr>
            <w:tcW w:w="743" w:type="pct"/>
            <w:tcBorders>
              <w:top w:val="nil"/>
              <w:left w:val="nil"/>
              <w:bottom w:val="nil"/>
              <w:right w:val="nil"/>
            </w:tcBorders>
            <w:shd w:val="clear" w:color="auto" w:fill="auto"/>
            <w:vAlign w:val="bottom"/>
            <w:hideMark/>
          </w:tcPr>
          <w:p w14:paraId="2E4921CB" w14:textId="77777777" w:rsidR="009A05C7" w:rsidRPr="00CC488D" w:rsidRDefault="009A05C7" w:rsidP="000240DA">
            <w:pPr>
              <w:spacing w:after="0" w:line="240" w:lineRule="auto"/>
              <w:jc w:val="center"/>
              <w:rPr>
                <w:rFonts w:eastAsia="Times New Roman" w:cs="Times New Roman"/>
                <w:color w:val="000000"/>
                <w:sz w:val="18"/>
                <w:szCs w:val="18"/>
                <w:lang w:eastAsia="sk-SK"/>
              </w:rPr>
            </w:pPr>
            <w:r w:rsidRPr="00CC488D">
              <w:rPr>
                <w:rFonts w:cs="Times New Roman"/>
                <w:color w:val="000000"/>
                <w:sz w:val="18"/>
                <w:szCs w:val="18"/>
              </w:rPr>
              <w:t>0,4</w:t>
            </w:r>
          </w:p>
        </w:tc>
        <w:tc>
          <w:tcPr>
            <w:tcW w:w="743" w:type="pct"/>
            <w:tcBorders>
              <w:top w:val="nil"/>
              <w:left w:val="nil"/>
              <w:bottom w:val="nil"/>
              <w:right w:val="nil"/>
            </w:tcBorders>
            <w:shd w:val="clear" w:color="auto" w:fill="auto"/>
            <w:vAlign w:val="bottom"/>
            <w:hideMark/>
          </w:tcPr>
          <w:p w14:paraId="46A232B3" w14:textId="77777777" w:rsidR="009A05C7" w:rsidRPr="00CC488D" w:rsidRDefault="009A05C7" w:rsidP="000240DA">
            <w:pPr>
              <w:spacing w:after="0" w:line="240" w:lineRule="auto"/>
              <w:jc w:val="center"/>
              <w:rPr>
                <w:rFonts w:eastAsia="Times New Roman" w:cs="Times New Roman"/>
                <w:color w:val="000000"/>
                <w:sz w:val="18"/>
                <w:szCs w:val="18"/>
                <w:lang w:eastAsia="sk-SK"/>
              </w:rPr>
            </w:pPr>
            <w:r w:rsidRPr="00CC488D">
              <w:rPr>
                <w:rFonts w:cs="Times New Roman"/>
                <w:color w:val="000000"/>
                <w:sz w:val="18"/>
                <w:szCs w:val="18"/>
              </w:rPr>
              <w:t>-0,2</w:t>
            </w:r>
          </w:p>
        </w:tc>
        <w:tc>
          <w:tcPr>
            <w:tcW w:w="742" w:type="pct"/>
            <w:tcBorders>
              <w:top w:val="nil"/>
              <w:left w:val="nil"/>
              <w:bottom w:val="nil"/>
              <w:right w:val="nil"/>
            </w:tcBorders>
            <w:shd w:val="clear" w:color="auto" w:fill="auto"/>
            <w:vAlign w:val="bottom"/>
            <w:hideMark/>
          </w:tcPr>
          <w:p w14:paraId="577FE194" w14:textId="77777777" w:rsidR="009A05C7" w:rsidRPr="00CC488D" w:rsidRDefault="009A05C7" w:rsidP="000240DA">
            <w:pPr>
              <w:spacing w:after="0" w:line="240" w:lineRule="auto"/>
              <w:jc w:val="center"/>
              <w:rPr>
                <w:rFonts w:eastAsia="Times New Roman" w:cs="Times New Roman"/>
                <w:color w:val="000000"/>
                <w:sz w:val="18"/>
                <w:szCs w:val="18"/>
                <w:lang w:eastAsia="sk-SK"/>
              </w:rPr>
            </w:pPr>
            <w:r w:rsidRPr="00CC488D">
              <w:rPr>
                <w:rFonts w:cs="Times New Roman"/>
                <w:color w:val="000000"/>
                <w:sz w:val="18"/>
                <w:szCs w:val="18"/>
              </w:rPr>
              <w:t>-0,6</w:t>
            </w:r>
          </w:p>
        </w:tc>
      </w:tr>
      <w:tr w:rsidR="009A05C7" w:rsidRPr="0084639A" w14:paraId="5FD0BA03" w14:textId="77777777" w:rsidTr="000240DA">
        <w:trPr>
          <w:trHeight w:val="280"/>
        </w:trPr>
        <w:tc>
          <w:tcPr>
            <w:tcW w:w="2772" w:type="pct"/>
            <w:tcBorders>
              <w:top w:val="nil"/>
              <w:left w:val="nil"/>
              <w:bottom w:val="nil"/>
              <w:right w:val="nil"/>
            </w:tcBorders>
            <w:shd w:val="clear" w:color="auto" w:fill="auto"/>
            <w:vAlign w:val="center"/>
            <w:hideMark/>
          </w:tcPr>
          <w:p w14:paraId="29CD4D8C" w14:textId="77777777" w:rsidR="009A05C7" w:rsidRPr="0084639A" w:rsidRDefault="009A05C7" w:rsidP="000240DA">
            <w:pPr>
              <w:spacing w:after="0" w:line="240" w:lineRule="auto"/>
              <w:rPr>
                <w:rFonts w:eastAsia="Times New Roman" w:cs="Times New Roman"/>
                <w:color w:val="000000"/>
                <w:sz w:val="18"/>
                <w:szCs w:val="18"/>
                <w:lang w:eastAsia="sk-SK"/>
              </w:rPr>
            </w:pPr>
            <w:r w:rsidRPr="0084639A">
              <w:rPr>
                <w:rFonts w:eastAsia="Times New Roman" w:cs="Times New Roman"/>
                <w:color w:val="000000"/>
                <w:sz w:val="18"/>
                <w:szCs w:val="18"/>
                <w:lang w:eastAsia="sk-SK"/>
              </w:rPr>
              <w:t>Miera nezamestnanosti (VZPS)</w:t>
            </w:r>
          </w:p>
        </w:tc>
        <w:tc>
          <w:tcPr>
            <w:tcW w:w="743" w:type="pct"/>
            <w:tcBorders>
              <w:top w:val="nil"/>
              <w:left w:val="nil"/>
              <w:bottom w:val="nil"/>
              <w:right w:val="nil"/>
            </w:tcBorders>
            <w:shd w:val="clear" w:color="auto" w:fill="auto"/>
            <w:vAlign w:val="bottom"/>
            <w:hideMark/>
          </w:tcPr>
          <w:p w14:paraId="4424AAEF" w14:textId="77777777" w:rsidR="009A05C7" w:rsidRPr="00CC488D" w:rsidRDefault="009A05C7" w:rsidP="000240DA">
            <w:pPr>
              <w:spacing w:after="0" w:line="240" w:lineRule="auto"/>
              <w:jc w:val="center"/>
              <w:rPr>
                <w:rFonts w:eastAsia="Times New Roman" w:cs="Times New Roman"/>
                <w:color w:val="000000"/>
                <w:sz w:val="18"/>
                <w:szCs w:val="18"/>
                <w:lang w:eastAsia="sk-SK"/>
              </w:rPr>
            </w:pPr>
            <w:r w:rsidRPr="00CC488D">
              <w:rPr>
                <w:rFonts w:cs="Times New Roman"/>
                <w:color w:val="000000"/>
                <w:sz w:val="18"/>
                <w:szCs w:val="18"/>
              </w:rPr>
              <w:t>5,4</w:t>
            </w:r>
          </w:p>
        </w:tc>
        <w:tc>
          <w:tcPr>
            <w:tcW w:w="743" w:type="pct"/>
            <w:tcBorders>
              <w:top w:val="nil"/>
              <w:left w:val="nil"/>
              <w:bottom w:val="nil"/>
              <w:right w:val="nil"/>
            </w:tcBorders>
            <w:shd w:val="clear" w:color="auto" w:fill="auto"/>
            <w:vAlign w:val="bottom"/>
            <w:hideMark/>
          </w:tcPr>
          <w:p w14:paraId="4DBE59B5" w14:textId="77777777" w:rsidR="009A05C7" w:rsidRPr="00CC488D" w:rsidRDefault="009A05C7" w:rsidP="000240DA">
            <w:pPr>
              <w:spacing w:after="0" w:line="240" w:lineRule="auto"/>
              <w:jc w:val="center"/>
              <w:rPr>
                <w:rFonts w:eastAsia="Times New Roman" w:cs="Times New Roman"/>
                <w:color w:val="000000"/>
                <w:sz w:val="18"/>
                <w:szCs w:val="18"/>
                <w:lang w:eastAsia="sk-SK"/>
              </w:rPr>
            </w:pPr>
            <w:r w:rsidRPr="00CC488D">
              <w:rPr>
                <w:rFonts w:cs="Times New Roman"/>
                <w:color w:val="000000"/>
                <w:sz w:val="18"/>
                <w:szCs w:val="18"/>
              </w:rPr>
              <w:t>5,3</w:t>
            </w:r>
          </w:p>
        </w:tc>
        <w:tc>
          <w:tcPr>
            <w:tcW w:w="742" w:type="pct"/>
            <w:tcBorders>
              <w:top w:val="nil"/>
              <w:left w:val="nil"/>
              <w:bottom w:val="nil"/>
              <w:right w:val="nil"/>
            </w:tcBorders>
            <w:shd w:val="clear" w:color="auto" w:fill="auto"/>
            <w:vAlign w:val="bottom"/>
            <w:hideMark/>
          </w:tcPr>
          <w:p w14:paraId="1A844827" w14:textId="77777777" w:rsidR="009A05C7" w:rsidRPr="00CC488D" w:rsidRDefault="009A05C7" w:rsidP="000240DA">
            <w:pPr>
              <w:spacing w:after="0" w:line="240" w:lineRule="auto"/>
              <w:jc w:val="center"/>
              <w:rPr>
                <w:rFonts w:eastAsia="Times New Roman" w:cs="Times New Roman"/>
                <w:color w:val="000000"/>
                <w:sz w:val="18"/>
                <w:szCs w:val="18"/>
                <w:lang w:eastAsia="sk-SK"/>
              </w:rPr>
            </w:pPr>
            <w:r w:rsidRPr="00CC488D">
              <w:rPr>
                <w:rFonts w:cs="Times New Roman"/>
                <w:color w:val="000000"/>
                <w:sz w:val="18"/>
                <w:szCs w:val="18"/>
              </w:rPr>
              <w:t>-0,1</w:t>
            </w:r>
          </w:p>
        </w:tc>
      </w:tr>
      <w:tr w:rsidR="009A05C7" w:rsidRPr="0084639A" w14:paraId="5E99A7CE" w14:textId="77777777" w:rsidTr="000240DA">
        <w:trPr>
          <w:trHeight w:val="280"/>
        </w:trPr>
        <w:tc>
          <w:tcPr>
            <w:tcW w:w="2772" w:type="pct"/>
            <w:tcBorders>
              <w:top w:val="nil"/>
              <w:left w:val="nil"/>
              <w:right w:val="nil"/>
            </w:tcBorders>
            <w:shd w:val="clear" w:color="auto" w:fill="auto"/>
            <w:vAlign w:val="center"/>
            <w:hideMark/>
          </w:tcPr>
          <w:p w14:paraId="657CE79E" w14:textId="77777777" w:rsidR="009A05C7" w:rsidRPr="0084639A" w:rsidRDefault="009A05C7" w:rsidP="000240DA">
            <w:pPr>
              <w:spacing w:after="0" w:line="240" w:lineRule="auto"/>
              <w:rPr>
                <w:rFonts w:eastAsia="Times New Roman" w:cs="Times New Roman"/>
                <w:color w:val="000000"/>
                <w:sz w:val="18"/>
                <w:szCs w:val="18"/>
                <w:lang w:eastAsia="sk-SK"/>
              </w:rPr>
            </w:pPr>
            <w:r w:rsidRPr="0084639A">
              <w:rPr>
                <w:rFonts w:eastAsia="Times New Roman" w:cs="Times New Roman"/>
                <w:color w:val="000000"/>
                <w:sz w:val="18"/>
                <w:szCs w:val="18"/>
                <w:lang w:eastAsia="sk-SK"/>
              </w:rPr>
              <w:t>Index spotrebiteľských cien,  priemerný rast</w:t>
            </w:r>
          </w:p>
        </w:tc>
        <w:tc>
          <w:tcPr>
            <w:tcW w:w="743" w:type="pct"/>
            <w:tcBorders>
              <w:top w:val="nil"/>
              <w:left w:val="nil"/>
              <w:right w:val="nil"/>
            </w:tcBorders>
            <w:shd w:val="clear" w:color="auto" w:fill="auto"/>
            <w:vAlign w:val="bottom"/>
            <w:hideMark/>
          </w:tcPr>
          <w:p w14:paraId="03CE9323" w14:textId="77777777" w:rsidR="009A05C7" w:rsidRPr="00CC488D" w:rsidRDefault="009A05C7" w:rsidP="000240DA">
            <w:pPr>
              <w:spacing w:after="0" w:line="240" w:lineRule="auto"/>
              <w:jc w:val="center"/>
              <w:rPr>
                <w:rFonts w:eastAsia="Times New Roman" w:cs="Times New Roman"/>
                <w:color w:val="000000"/>
                <w:sz w:val="18"/>
                <w:szCs w:val="18"/>
                <w:lang w:eastAsia="sk-SK"/>
              </w:rPr>
            </w:pPr>
            <w:r w:rsidRPr="00CC488D">
              <w:rPr>
                <w:rFonts w:cs="Times New Roman"/>
                <w:color w:val="000000"/>
                <w:sz w:val="18"/>
                <w:szCs w:val="18"/>
              </w:rPr>
              <w:t>3,2</w:t>
            </w:r>
          </w:p>
        </w:tc>
        <w:tc>
          <w:tcPr>
            <w:tcW w:w="743" w:type="pct"/>
            <w:tcBorders>
              <w:top w:val="nil"/>
              <w:left w:val="nil"/>
              <w:right w:val="nil"/>
            </w:tcBorders>
            <w:shd w:val="clear" w:color="auto" w:fill="auto"/>
            <w:vAlign w:val="bottom"/>
            <w:hideMark/>
          </w:tcPr>
          <w:p w14:paraId="26EF470F" w14:textId="77777777" w:rsidR="009A05C7" w:rsidRPr="00CC488D" w:rsidRDefault="009A05C7" w:rsidP="000240DA">
            <w:pPr>
              <w:spacing w:after="0" w:line="240" w:lineRule="auto"/>
              <w:jc w:val="center"/>
              <w:rPr>
                <w:rFonts w:eastAsia="Times New Roman" w:cs="Times New Roman"/>
                <w:color w:val="000000"/>
                <w:sz w:val="18"/>
                <w:szCs w:val="18"/>
                <w:lang w:eastAsia="sk-SK"/>
              </w:rPr>
            </w:pPr>
            <w:r w:rsidRPr="00CC488D">
              <w:rPr>
                <w:rFonts w:cs="Times New Roman"/>
                <w:color w:val="000000"/>
                <w:sz w:val="18"/>
                <w:szCs w:val="18"/>
              </w:rPr>
              <w:t>2,8</w:t>
            </w:r>
          </w:p>
        </w:tc>
        <w:tc>
          <w:tcPr>
            <w:tcW w:w="742" w:type="pct"/>
            <w:tcBorders>
              <w:top w:val="nil"/>
              <w:left w:val="nil"/>
              <w:right w:val="nil"/>
            </w:tcBorders>
            <w:shd w:val="clear" w:color="auto" w:fill="auto"/>
            <w:vAlign w:val="bottom"/>
            <w:hideMark/>
          </w:tcPr>
          <w:p w14:paraId="4485DDC5" w14:textId="77777777" w:rsidR="009A05C7" w:rsidRPr="00CC488D" w:rsidRDefault="009A05C7" w:rsidP="000240DA">
            <w:pPr>
              <w:spacing w:after="0" w:line="240" w:lineRule="auto"/>
              <w:jc w:val="center"/>
              <w:rPr>
                <w:rFonts w:eastAsia="Times New Roman" w:cs="Times New Roman"/>
                <w:color w:val="000000"/>
                <w:sz w:val="18"/>
                <w:szCs w:val="18"/>
                <w:lang w:eastAsia="sk-SK"/>
              </w:rPr>
            </w:pPr>
            <w:r w:rsidRPr="00CC488D">
              <w:rPr>
                <w:rFonts w:cs="Times New Roman"/>
                <w:color w:val="000000"/>
                <w:sz w:val="18"/>
                <w:szCs w:val="18"/>
              </w:rPr>
              <w:t>-0,4</w:t>
            </w:r>
          </w:p>
        </w:tc>
      </w:tr>
      <w:tr w:rsidR="009A05C7" w:rsidRPr="0084639A" w14:paraId="64C72608" w14:textId="77777777" w:rsidTr="000240DA">
        <w:trPr>
          <w:trHeight w:val="290"/>
        </w:trPr>
        <w:tc>
          <w:tcPr>
            <w:tcW w:w="2772" w:type="pct"/>
            <w:tcBorders>
              <w:top w:val="nil"/>
              <w:left w:val="nil"/>
              <w:bottom w:val="single" w:sz="4" w:space="0" w:color="auto"/>
              <w:right w:val="nil"/>
            </w:tcBorders>
            <w:shd w:val="clear" w:color="auto" w:fill="auto"/>
            <w:vAlign w:val="center"/>
            <w:hideMark/>
          </w:tcPr>
          <w:p w14:paraId="47C7707D" w14:textId="77777777" w:rsidR="009A05C7" w:rsidRPr="0084639A" w:rsidRDefault="009A05C7" w:rsidP="000240DA">
            <w:pPr>
              <w:spacing w:after="0" w:line="240" w:lineRule="auto"/>
              <w:rPr>
                <w:rFonts w:eastAsia="Times New Roman" w:cs="Times New Roman"/>
                <w:color w:val="000000"/>
                <w:sz w:val="18"/>
                <w:szCs w:val="18"/>
                <w:lang w:eastAsia="sk-SK"/>
              </w:rPr>
            </w:pPr>
            <w:r w:rsidRPr="0084639A">
              <w:rPr>
                <w:rFonts w:eastAsia="Times New Roman" w:cs="Times New Roman"/>
                <w:color w:val="000000"/>
                <w:sz w:val="18"/>
                <w:szCs w:val="18"/>
                <w:lang w:eastAsia="sk-SK"/>
              </w:rPr>
              <w:t>Saldo bežného účtu platobnej bilancie (% HDP)</w:t>
            </w:r>
          </w:p>
        </w:tc>
        <w:tc>
          <w:tcPr>
            <w:tcW w:w="743" w:type="pct"/>
            <w:tcBorders>
              <w:top w:val="nil"/>
              <w:left w:val="nil"/>
              <w:bottom w:val="single" w:sz="4" w:space="0" w:color="auto"/>
              <w:right w:val="nil"/>
            </w:tcBorders>
            <w:shd w:val="clear" w:color="auto" w:fill="auto"/>
            <w:vAlign w:val="bottom"/>
            <w:hideMark/>
          </w:tcPr>
          <w:p w14:paraId="49333F68" w14:textId="77777777" w:rsidR="009A05C7" w:rsidRPr="00CC488D" w:rsidRDefault="009A05C7" w:rsidP="000240DA">
            <w:pPr>
              <w:spacing w:after="0" w:line="240" w:lineRule="auto"/>
              <w:jc w:val="center"/>
              <w:rPr>
                <w:rFonts w:eastAsia="Times New Roman" w:cs="Times New Roman"/>
                <w:color w:val="000000"/>
                <w:sz w:val="18"/>
                <w:szCs w:val="18"/>
                <w:lang w:eastAsia="sk-SK"/>
              </w:rPr>
            </w:pPr>
            <w:r w:rsidRPr="00CC488D">
              <w:rPr>
                <w:rFonts w:cs="Times New Roman"/>
                <w:color w:val="000000"/>
                <w:sz w:val="18"/>
                <w:szCs w:val="18"/>
              </w:rPr>
              <w:t>-3,9</w:t>
            </w:r>
          </w:p>
        </w:tc>
        <w:tc>
          <w:tcPr>
            <w:tcW w:w="743" w:type="pct"/>
            <w:tcBorders>
              <w:top w:val="nil"/>
              <w:left w:val="nil"/>
              <w:bottom w:val="single" w:sz="4" w:space="0" w:color="auto"/>
              <w:right w:val="nil"/>
            </w:tcBorders>
            <w:shd w:val="clear" w:color="auto" w:fill="auto"/>
            <w:vAlign w:val="bottom"/>
            <w:hideMark/>
          </w:tcPr>
          <w:p w14:paraId="4E144402" w14:textId="77777777" w:rsidR="009A05C7" w:rsidRPr="00CC488D" w:rsidRDefault="009A05C7" w:rsidP="000240DA">
            <w:pPr>
              <w:spacing w:after="0" w:line="240" w:lineRule="auto"/>
              <w:jc w:val="center"/>
              <w:rPr>
                <w:rFonts w:eastAsia="Times New Roman" w:cs="Times New Roman"/>
                <w:color w:val="000000"/>
                <w:sz w:val="18"/>
                <w:szCs w:val="18"/>
                <w:lang w:eastAsia="sk-SK"/>
              </w:rPr>
            </w:pPr>
            <w:r w:rsidRPr="00CC488D">
              <w:rPr>
                <w:rFonts w:cs="Times New Roman"/>
                <w:color w:val="000000"/>
                <w:sz w:val="18"/>
                <w:szCs w:val="18"/>
              </w:rPr>
              <w:t>-2,8</w:t>
            </w:r>
          </w:p>
        </w:tc>
        <w:tc>
          <w:tcPr>
            <w:tcW w:w="742" w:type="pct"/>
            <w:tcBorders>
              <w:top w:val="nil"/>
              <w:left w:val="nil"/>
              <w:bottom w:val="single" w:sz="4" w:space="0" w:color="auto"/>
              <w:right w:val="nil"/>
            </w:tcBorders>
            <w:shd w:val="clear" w:color="auto" w:fill="auto"/>
            <w:vAlign w:val="bottom"/>
            <w:hideMark/>
          </w:tcPr>
          <w:p w14:paraId="7A81E8A6" w14:textId="77777777" w:rsidR="009A05C7" w:rsidRPr="00CC488D" w:rsidRDefault="009A05C7" w:rsidP="000240DA">
            <w:pPr>
              <w:spacing w:after="0" w:line="240" w:lineRule="auto"/>
              <w:jc w:val="center"/>
              <w:rPr>
                <w:rFonts w:eastAsia="Times New Roman" w:cs="Times New Roman"/>
                <w:color w:val="000000"/>
                <w:sz w:val="18"/>
                <w:szCs w:val="18"/>
                <w:lang w:eastAsia="sk-SK"/>
              </w:rPr>
            </w:pPr>
            <w:r w:rsidRPr="00CC488D">
              <w:rPr>
                <w:rFonts w:cs="Times New Roman"/>
                <w:color w:val="000000"/>
                <w:sz w:val="18"/>
                <w:szCs w:val="18"/>
              </w:rPr>
              <w:t>+1,1</w:t>
            </w:r>
          </w:p>
        </w:tc>
      </w:tr>
    </w:tbl>
    <w:p w14:paraId="470AF951" w14:textId="77777777" w:rsidR="009A05C7" w:rsidRPr="0084639A" w:rsidRDefault="009A05C7" w:rsidP="00582C51">
      <w:pPr>
        <w:spacing w:line="240" w:lineRule="auto"/>
        <w:ind w:left="7139"/>
        <w:rPr>
          <w:rFonts w:cs="Times New Roman"/>
          <w:iCs/>
          <w:color w:val="000000"/>
          <w:sz w:val="18"/>
          <w:szCs w:val="18"/>
        </w:rPr>
      </w:pPr>
      <w:r w:rsidRPr="0084639A">
        <w:rPr>
          <w:rFonts w:cs="Times New Roman"/>
          <w:iCs/>
          <w:color w:val="000000"/>
          <w:sz w:val="18"/>
          <w:szCs w:val="18"/>
        </w:rPr>
        <w:t>Zdroj</w:t>
      </w:r>
      <w:r w:rsidRPr="0084639A">
        <w:rPr>
          <w:rFonts w:cs="Times New Roman"/>
          <w:iCs/>
          <w:color w:val="000000"/>
          <w:sz w:val="18"/>
          <w:szCs w:val="18"/>
          <w:lang w:val="de-DE"/>
        </w:rPr>
        <w:t>: MF SR, ŠÚ SR</w:t>
      </w:r>
    </w:p>
    <w:p w14:paraId="0B0B6E4C" w14:textId="6218B473" w:rsidR="009A05C7" w:rsidRPr="008C500E" w:rsidRDefault="009A05C7" w:rsidP="009A05C7">
      <w:pPr>
        <w:pStyle w:val="Popis"/>
        <w:keepNext/>
        <w:spacing w:after="120"/>
        <w:rPr>
          <w:rFonts w:cs="Times New Roman"/>
          <w:b/>
          <w:bCs/>
          <w:i w:val="0"/>
          <w:iCs w:val="0"/>
          <w:color w:val="5B9BD5" w:themeColor="accent1"/>
          <w:sz w:val="20"/>
          <w:szCs w:val="20"/>
        </w:rPr>
      </w:pPr>
      <w:bookmarkStart w:id="28" w:name="_Toc196313630"/>
      <w:bookmarkStart w:id="29" w:name="_Toc196389251"/>
      <w:r w:rsidRPr="008C500E">
        <w:rPr>
          <w:rFonts w:cs="Times New Roman"/>
          <w:b/>
          <w:bCs/>
          <w:i w:val="0"/>
          <w:iCs w:val="0"/>
          <w:color w:val="5B9BD5" w:themeColor="accent1"/>
          <w:sz w:val="20"/>
          <w:szCs w:val="20"/>
        </w:rPr>
        <w:lastRenderedPageBreak/>
        <w:t xml:space="preserve">Tabuľka </w:t>
      </w:r>
      <w:r w:rsidR="003B7AF0">
        <w:rPr>
          <w:rFonts w:cs="Times New Roman"/>
          <w:b/>
          <w:bCs/>
          <w:i w:val="0"/>
          <w:iCs w:val="0"/>
          <w:color w:val="5B9BD5" w:themeColor="accent1"/>
          <w:sz w:val="20"/>
          <w:szCs w:val="20"/>
        </w:rPr>
        <w:fldChar w:fldCharType="begin"/>
      </w:r>
      <w:r w:rsidR="003B7AF0">
        <w:rPr>
          <w:rFonts w:cs="Times New Roman"/>
          <w:b/>
          <w:bCs/>
          <w:i w:val="0"/>
          <w:iCs w:val="0"/>
          <w:color w:val="5B9BD5" w:themeColor="accent1"/>
          <w:sz w:val="20"/>
          <w:szCs w:val="20"/>
        </w:rPr>
        <w:instrText xml:space="preserve"> SEQ Tabuľka \* ARABIC </w:instrText>
      </w:r>
      <w:r w:rsidR="003B7AF0">
        <w:rPr>
          <w:rFonts w:cs="Times New Roman"/>
          <w:b/>
          <w:bCs/>
          <w:i w:val="0"/>
          <w:iCs w:val="0"/>
          <w:color w:val="5B9BD5" w:themeColor="accent1"/>
          <w:sz w:val="20"/>
          <w:szCs w:val="20"/>
        </w:rPr>
        <w:fldChar w:fldCharType="separate"/>
      </w:r>
      <w:r w:rsidR="00C64CBA">
        <w:rPr>
          <w:rFonts w:cs="Times New Roman"/>
          <w:b/>
          <w:bCs/>
          <w:i w:val="0"/>
          <w:iCs w:val="0"/>
          <w:noProof/>
          <w:color w:val="5B9BD5" w:themeColor="accent1"/>
          <w:sz w:val="20"/>
          <w:szCs w:val="20"/>
        </w:rPr>
        <w:t>4</w:t>
      </w:r>
      <w:r w:rsidR="003B7AF0">
        <w:rPr>
          <w:rFonts w:cs="Times New Roman"/>
          <w:b/>
          <w:bCs/>
          <w:i w:val="0"/>
          <w:iCs w:val="0"/>
          <w:color w:val="5B9BD5" w:themeColor="accent1"/>
          <w:sz w:val="20"/>
          <w:szCs w:val="20"/>
        </w:rPr>
        <w:fldChar w:fldCharType="end"/>
      </w:r>
      <w:r w:rsidRPr="008C500E">
        <w:rPr>
          <w:rFonts w:cs="Times New Roman"/>
          <w:b/>
          <w:bCs/>
          <w:i w:val="0"/>
          <w:iCs w:val="0"/>
          <w:color w:val="5B9BD5" w:themeColor="accent1"/>
          <w:sz w:val="20"/>
          <w:szCs w:val="20"/>
        </w:rPr>
        <w:t xml:space="preserve"> - Prognóza vybraných ukazovateľov ekonomiky (december 2023)</w:t>
      </w:r>
      <w:bookmarkEnd w:id="28"/>
      <w:bookmarkEnd w:id="29"/>
    </w:p>
    <w:tbl>
      <w:tblPr>
        <w:tblW w:w="5000" w:type="pct"/>
        <w:tblCellMar>
          <w:left w:w="70" w:type="dxa"/>
          <w:right w:w="70" w:type="dxa"/>
        </w:tblCellMar>
        <w:tblLook w:val="04A0" w:firstRow="1" w:lastRow="0" w:firstColumn="1" w:lastColumn="0" w:noHBand="0" w:noVBand="1"/>
      </w:tblPr>
      <w:tblGrid>
        <w:gridCol w:w="3014"/>
        <w:gridCol w:w="844"/>
        <w:gridCol w:w="845"/>
        <w:gridCol w:w="845"/>
        <w:gridCol w:w="845"/>
        <w:gridCol w:w="845"/>
        <w:gridCol w:w="845"/>
        <w:gridCol w:w="847"/>
      </w:tblGrid>
      <w:tr w:rsidR="009A05C7" w:rsidRPr="008C500E" w14:paraId="2AD95DA9" w14:textId="77777777" w:rsidTr="000240DA">
        <w:trPr>
          <w:trHeight w:val="470"/>
          <w:tblHeader/>
        </w:trPr>
        <w:tc>
          <w:tcPr>
            <w:tcW w:w="1688" w:type="pct"/>
            <w:vMerge w:val="restart"/>
            <w:tcBorders>
              <w:top w:val="single" w:sz="4" w:space="0" w:color="auto"/>
              <w:left w:val="nil"/>
              <w:bottom w:val="single" w:sz="4" w:space="0" w:color="auto"/>
              <w:right w:val="single" w:sz="4" w:space="0" w:color="auto"/>
            </w:tcBorders>
            <w:shd w:val="clear" w:color="auto" w:fill="auto"/>
            <w:vAlign w:val="center"/>
            <w:hideMark/>
          </w:tcPr>
          <w:p w14:paraId="5093133B" w14:textId="77777777" w:rsidR="009A05C7" w:rsidRPr="008C500E" w:rsidRDefault="009A05C7" w:rsidP="000240DA">
            <w:pPr>
              <w:spacing w:after="0" w:line="240" w:lineRule="auto"/>
              <w:jc w:val="center"/>
              <w:rPr>
                <w:rFonts w:eastAsia="Times New Roman" w:cs="Times New Roman"/>
                <w:b/>
                <w:bCs/>
                <w:color w:val="000000"/>
                <w:sz w:val="18"/>
                <w:szCs w:val="18"/>
                <w:lang w:eastAsia="sk-SK"/>
              </w:rPr>
            </w:pPr>
            <w:r w:rsidRPr="008C500E">
              <w:rPr>
                <w:rFonts w:eastAsia="Times New Roman" w:cs="Times New Roman"/>
                <w:b/>
                <w:bCs/>
                <w:color w:val="000000"/>
                <w:sz w:val="18"/>
                <w:szCs w:val="18"/>
                <w:lang w:eastAsia="sk-SK"/>
              </w:rPr>
              <w:t>Ukazovateľ (rast v %, ak nie je uvedené inak)</w:t>
            </w:r>
          </w:p>
        </w:tc>
        <w:tc>
          <w:tcPr>
            <w:tcW w:w="94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558C0F" w14:textId="77777777" w:rsidR="009A05C7" w:rsidRPr="008C500E" w:rsidRDefault="009A05C7" w:rsidP="000240DA">
            <w:pPr>
              <w:spacing w:after="0" w:line="240" w:lineRule="auto"/>
              <w:jc w:val="center"/>
              <w:rPr>
                <w:rFonts w:eastAsia="Times New Roman" w:cs="Times New Roman"/>
                <w:b/>
                <w:bCs/>
                <w:color w:val="000000"/>
                <w:sz w:val="18"/>
                <w:szCs w:val="18"/>
                <w:lang w:eastAsia="sk-SK"/>
              </w:rPr>
            </w:pPr>
            <w:r w:rsidRPr="008C500E">
              <w:rPr>
                <w:rFonts w:eastAsia="Times New Roman" w:cs="Times New Roman"/>
                <w:b/>
                <w:bCs/>
                <w:color w:val="000000"/>
                <w:sz w:val="18"/>
                <w:szCs w:val="18"/>
                <w:lang w:eastAsia="sk-SK"/>
              </w:rPr>
              <w:t>Skutočnosť</w:t>
            </w:r>
          </w:p>
        </w:tc>
        <w:tc>
          <w:tcPr>
            <w:tcW w:w="2367" w:type="pct"/>
            <w:gridSpan w:val="5"/>
            <w:tcBorders>
              <w:top w:val="single" w:sz="4" w:space="0" w:color="auto"/>
              <w:left w:val="single" w:sz="4" w:space="0" w:color="auto"/>
              <w:bottom w:val="single" w:sz="4" w:space="0" w:color="auto"/>
              <w:right w:val="nil"/>
            </w:tcBorders>
            <w:shd w:val="clear" w:color="auto" w:fill="auto"/>
            <w:noWrap/>
            <w:vAlign w:val="center"/>
            <w:hideMark/>
          </w:tcPr>
          <w:p w14:paraId="2DEAFC2F" w14:textId="77777777" w:rsidR="009A05C7" w:rsidRPr="008C500E" w:rsidRDefault="009A05C7" w:rsidP="000240DA">
            <w:pPr>
              <w:spacing w:after="0" w:line="240" w:lineRule="auto"/>
              <w:jc w:val="center"/>
              <w:rPr>
                <w:rFonts w:eastAsia="Times New Roman" w:cs="Times New Roman"/>
                <w:b/>
                <w:bCs/>
                <w:color w:val="000000"/>
                <w:sz w:val="18"/>
                <w:szCs w:val="18"/>
                <w:lang w:eastAsia="sk-SK"/>
              </w:rPr>
            </w:pPr>
            <w:r w:rsidRPr="008C500E">
              <w:rPr>
                <w:rFonts w:eastAsia="Times New Roman" w:cs="Times New Roman"/>
                <w:b/>
                <w:bCs/>
                <w:color w:val="000000"/>
                <w:sz w:val="18"/>
                <w:szCs w:val="18"/>
                <w:lang w:eastAsia="sk-SK"/>
              </w:rPr>
              <w:t>Prognóza</w:t>
            </w:r>
          </w:p>
        </w:tc>
      </w:tr>
      <w:tr w:rsidR="009A05C7" w:rsidRPr="008C500E" w14:paraId="5C8770F4" w14:textId="77777777" w:rsidTr="000240DA">
        <w:trPr>
          <w:trHeight w:val="290"/>
          <w:tblHeader/>
        </w:trPr>
        <w:tc>
          <w:tcPr>
            <w:tcW w:w="1688" w:type="pct"/>
            <w:vMerge/>
            <w:tcBorders>
              <w:top w:val="single" w:sz="4" w:space="0" w:color="auto"/>
              <w:left w:val="nil"/>
              <w:bottom w:val="single" w:sz="4" w:space="0" w:color="auto"/>
              <w:right w:val="single" w:sz="4" w:space="0" w:color="auto"/>
            </w:tcBorders>
            <w:vAlign w:val="center"/>
            <w:hideMark/>
          </w:tcPr>
          <w:p w14:paraId="6FEAD3EA" w14:textId="77777777" w:rsidR="009A05C7" w:rsidRPr="008C500E" w:rsidRDefault="009A05C7" w:rsidP="000240DA">
            <w:pPr>
              <w:spacing w:after="0" w:line="240" w:lineRule="auto"/>
              <w:jc w:val="left"/>
              <w:rPr>
                <w:rFonts w:eastAsia="Times New Roman" w:cs="Times New Roman"/>
                <w:b/>
                <w:bCs/>
                <w:color w:val="000000"/>
                <w:sz w:val="18"/>
                <w:szCs w:val="18"/>
                <w:lang w:eastAsia="sk-SK"/>
              </w:rPr>
            </w:pPr>
          </w:p>
        </w:tc>
        <w:tc>
          <w:tcPr>
            <w:tcW w:w="473" w:type="pct"/>
            <w:tcBorders>
              <w:top w:val="single" w:sz="4" w:space="0" w:color="auto"/>
              <w:left w:val="single" w:sz="4" w:space="0" w:color="auto"/>
              <w:bottom w:val="single" w:sz="4" w:space="0" w:color="auto"/>
              <w:right w:val="nil"/>
            </w:tcBorders>
            <w:shd w:val="clear" w:color="auto" w:fill="auto"/>
            <w:vAlign w:val="center"/>
            <w:hideMark/>
          </w:tcPr>
          <w:p w14:paraId="1ED0A8B4" w14:textId="77777777" w:rsidR="009A05C7" w:rsidRPr="008C500E" w:rsidRDefault="009A05C7" w:rsidP="000240DA">
            <w:pPr>
              <w:spacing w:after="0" w:line="240" w:lineRule="auto"/>
              <w:jc w:val="center"/>
              <w:rPr>
                <w:rFonts w:eastAsia="Times New Roman" w:cs="Times New Roman"/>
                <w:b/>
                <w:bCs/>
                <w:color w:val="000000"/>
                <w:sz w:val="18"/>
                <w:szCs w:val="18"/>
                <w:lang w:eastAsia="sk-SK"/>
              </w:rPr>
            </w:pPr>
            <w:r w:rsidRPr="008C500E">
              <w:rPr>
                <w:rFonts w:eastAsia="Times New Roman" w:cs="Times New Roman"/>
                <w:b/>
                <w:bCs/>
                <w:color w:val="000000"/>
                <w:sz w:val="18"/>
                <w:szCs w:val="18"/>
                <w:lang w:eastAsia="sk-SK"/>
              </w:rPr>
              <w:t>2021</w:t>
            </w:r>
          </w:p>
        </w:tc>
        <w:tc>
          <w:tcPr>
            <w:tcW w:w="473" w:type="pct"/>
            <w:tcBorders>
              <w:top w:val="single" w:sz="4" w:space="0" w:color="auto"/>
              <w:left w:val="nil"/>
              <w:bottom w:val="single" w:sz="4" w:space="0" w:color="auto"/>
              <w:right w:val="single" w:sz="4" w:space="0" w:color="auto"/>
            </w:tcBorders>
            <w:shd w:val="clear" w:color="auto" w:fill="auto"/>
            <w:noWrap/>
            <w:vAlign w:val="center"/>
            <w:hideMark/>
          </w:tcPr>
          <w:p w14:paraId="45E4BC0F" w14:textId="77777777" w:rsidR="009A05C7" w:rsidRPr="008C500E" w:rsidRDefault="009A05C7" w:rsidP="000240DA">
            <w:pPr>
              <w:spacing w:after="0" w:line="240" w:lineRule="auto"/>
              <w:jc w:val="center"/>
              <w:rPr>
                <w:rFonts w:eastAsia="Times New Roman" w:cs="Times New Roman"/>
                <w:b/>
                <w:bCs/>
                <w:color w:val="000000"/>
                <w:sz w:val="18"/>
                <w:szCs w:val="18"/>
                <w:lang w:eastAsia="sk-SK"/>
              </w:rPr>
            </w:pPr>
            <w:r w:rsidRPr="008C500E">
              <w:rPr>
                <w:rFonts w:eastAsia="Times New Roman" w:cs="Times New Roman"/>
                <w:b/>
                <w:bCs/>
                <w:color w:val="000000"/>
                <w:sz w:val="18"/>
                <w:szCs w:val="18"/>
                <w:lang w:eastAsia="sk-SK"/>
              </w:rPr>
              <w:t>2022</w:t>
            </w:r>
          </w:p>
        </w:tc>
        <w:tc>
          <w:tcPr>
            <w:tcW w:w="473" w:type="pct"/>
            <w:tcBorders>
              <w:top w:val="single" w:sz="4" w:space="0" w:color="auto"/>
              <w:left w:val="single" w:sz="4" w:space="0" w:color="auto"/>
              <w:bottom w:val="single" w:sz="4" w:space="0" w:color="auto"/>
              <w:right w:val="nil"/>
            </w:tcBorders>
            <w:shd w:val="clear" w:color="auto" w:fill="auto"/>
            <w:noWrap/>
            <w:vAlign w:val="center"/>
            <w:hideMark/>
          </w:tcPr>
          <w:p w14:paraId="730F6DE7" w14:textId="77777777" w:rsidR="009A05C7" w:rsidRPr="008C500E" w:rsidRDefault="009A05C7" w:rsidP="000240DA">
            <w:pPr>
              <w:spacing w:after="0" w:line="240" w:lineRule="auto"/>
              <w:jc w:val="center"/>
              <w:rPr>
                <w:rFonts w:eastAsia="Times New Roman" w:cs="Times New Roman"/>
                <w:b/>
                <w:bCs/>
                <w:color w:val="000000"/>
                <w:sz w:val="18"/>
                <w:szCs w:val="18"/>
                <w:lang w:eastAsia="sk-SK"/>
              </w:rPr>
            </w:pPr>
            <w:r w:rsidRPr="008C500E">
              <w:rPr>
                <w:rFonts w:eastAsia="Times New Roman" w:cs="Times New Roman"/>
                <w:b/>
                <w:bCs/>
                <w:color w:val="000000"/>
                <w:sz w:val="18"/>
                <w:szCs w:val="18"/>
                <w:lang w:eastAsia="sk-SK"/>
              </w:rPr>
              <w:t>2023</w:t>
            </w:r>
          </w:p>
        </w:tc>
        <w:tc>
          <w:tcPr>
            <w:tcW w:w="473" w:type="pct"/>
            <w:tcBorders>
              <w:top w:val="single" w:sz="4" w:space="0" w:color="auto"/>
              <w:left w:val="nil"/>
              <w:bottom w:val="single" w:sz="4" w:space="0" w:color="auto"/>
              <w:right w:val="nil"/>
            </w:tcBorders>
            <w:shd w:val="clear" w:color="auto" w:fill="auto"/>
            <w:noWrap/>
            <w:vAlign w:val="center"/>
            <w:hideMark/>
          </w:tcPr>
          <w:p w14:paraId="31F82AAF" w14:textId="77777777" w:rsidR="009A05C7" w:rsidRPr="008C500E" w:rsidRDefault="009A05C7" w:rsidP="000240DA">
            <w:pPr>
              <w:spacing w:after="0" w:line="240" w:lineRule="auto"/>
              <w:jc w:val="center"/>
              <w:rPr>
                <w:rFonts w:eastAsia="Times New Roman" w:cs="Times New Roman"/>
                <w:b/>
                <w:bCs/>
                <w:color w:val="000000"/>
                <w:sz w:val="18"/>
                <w:szCs w:val="18"/>
                <w:lang w:eastAsia="sk-SK"/>
              </w:rPr>
            </w:pPr>
            <w:r w:rsidRPr="008C500E">
              <w:rPr>
                <w:rFonts w:eastAsia="Times New Roman" w:cs="Times New Roman"/>
                <w:b/>
                <w:bCs/>
                <w:color w:val="000000"/>
                <w:sz w:val="18"/>
                <w:szCs w:val="18"/>
                <w:lang w:eastAsia="sk-SK"/>
              </w:rPr>
              <w:t>2024</w:t>
            </w:r>
          </w:p>
        </w:tc>
        <w:tc>
          <w:tcPr>
            <w:tcW w:w="473" w:type="pct"/>
            <w:tcBorders>
              <w:top w:val="single" w:sz="4" w:space="0" w:color="auto"/>
              <w:left w:val="nil"/>
              <w:bottom w:val="single" w:sz="4" w:space="0" w:color="auto"/>
              <w:right w:val="nil"/>
            </w:tcBorders>
            <w:shd w:val="clear" w:color="auto" w:fill="auto"/>
            <w:noWrap/>
            <w:vAlign w:val="center"/>
            <w:hideMark/>
          </w:tcPr>
          <w:p w14:paraId="188A477B" w14:textId="77777777" w:rsidR="009A05C7" w:rsidRPr="008C500E" w:rsidRDefault="009A05C7" w:rsidP="000240DA">
            <w:pPr>
              <w:spacing w:after="0" w:line="240" w:lineRule="auto"/>
              <w:jc w:val="center"/>
              <w:rPr>
                <w:rFonts w:eastAsia="Times New Roman" w:cs="Times New Roman"/>
                <w:b/>
                <w:bCs/>
                <w:color w:val="000000"/>
                <w:sz w:val="18"/>
                <w:szCs w:val="18"/>
                <w:lang w:eastAsia="sk-SK"/>
              </w:rPr>
            </w:pPr>
            <w:r w:rsidRPr="008C500E">
              <w:rPr>
                <w:rFonts w:eastAsia="Times New Roman" w:cs="Times New Roman"/>
                <w:b/>
                <w:bCs/>
                <w:color w:val="000000"/>
                <w:sz w:val="18"/>
                <w:szCs w:val="18"/>
                <w:lang w:eastAsia="sk-SK"/>
              </w:rPr>
              <w:t>2025</w:t>
            </w:r>
          </w:p>
        </w:tc>
        <w:tc>
          <w:tcPr>
            <w:tcW w:w="473" w:type="pct"/>
            <w:tcBorders>
              <w:top w:val="single" w:sz="4" w:space="0" w:color="auto"/>
              <w:left w:val="nil"/>
              <w:bottom w:val="single" w:sz="4" w:space="0" w:color="auto"/>
              <w:right w:val="nil"/>
            </w:tcBorders>
            <w:shd w:val="clear" w:color="auto" w:fill="auto"/>
            <w:noWrap/>
            <w:vAlign w:val="center"/>
            <w:hideMark/>
          </w:tcPr>
          <w:p w14:paraId="0BE4ED3D" w14:textId="77777777" w:rsidR="009A05C7" w:rsidRPr="008C500E" w:rsidRDefault="009A05C7" w:rsidP="000240DA">
            <w:pPr>
              <w:spacing w:after="0" w:line="240" w:lineRule="auto"/>
              <w:jc w:val="center"/>
              <w:rPr>
                <w:rFonts w:eastAsia="Times New Roman" w:cs="Times New Roman"/>
                <w:b/>
                <w:bCs/>
                <w:color w:val="000000"/>
                <w:sz w:val="18"/>
                <w:szCs w:val="18"/>
                <w:lang w:eastAsia="sk-SK"/>
              </w:rPr>
            </w:pPr>
            <w:r w:rsidRPr="008C500E">
              <w:rPr>
                <w:rFonts w:eastAsia="Times New Roman" w:cs="Times New Roman"/>
                <w:b/>
                <w:bCs/>
                <w:color w:val="000000"/>
                <w:sz w:val="18"/>
                <w:szCs w:val="18"/>
                <w:lang w:eastAsia="sk-SK"/>
              </w:rPr>
              <w:t>2026</w:t>
            </w:r>
          </w:p>
        </w:tc>
        <w:tc>
          <w:tcPr>
            <w:tcW w:w="474" w:type="pct"/>
            <w:tcBorders>
              <w:top w:val="single" w:sz="4" w:space="0" w:color="auto"/>
              <w:left w:val="nil"/>
              <w:bottom w:val="single" w:sz="4" w:space="0" w:color="auto"/>
              <w:right w:val="nil"/>
            </w:tcBorders>
            <w:shd w:val="clear" w:color="auto" w:fill="auto"/>
            <w:noWrap/>
            <w:vAlign w:val="center"/>
            <w:hideMark/>
          </w:tcPr>
          <w:p w14:paraId="686DEF6F" w14:textId="77777777" w:rsidR="009A05C7" w:rsidRPr="008C500E" w:rsidRDefault="009A05C7" w:rsidP="000240DA">
            <w:pPr>
              <w:spacing w:after="0" w:line="240" w:lineRule="auto"/>
              <w:jc w:val="center"/>
              <w:rPr>
                <w:rFonts w:eastAsia="Times New Roman" w:cs="Times New Roman"/>
                <w:b/>
                <w:bCs/>
                <w:color w:val="000000"/>
                <w:sz w:val="18"/>
                <w:szCs w:val="18"/>
                <w:lang w:eastAsia="sk-SK"/>
              </w:rPr>
            </w:pPr>
            <w:r w:rsidRPr="008C500E">
              <w:rPr>
                <w:rFonts w:eastAsia="Times New Roman" w:cs="Times New Roman"/>
                <w:b/>
                <w:bCs/>
                <w:color w:val="000000"/>
                <w:sz w:val="18"/>
                <w:szCs w:val="18"/>
                <w:lang w:eastAsia="sk-SK"/>
              </w:rPr>
              <w:t>2027</w:t>
            </w:r>
          </w:p>
        </w:tc>
      </w:tr>
      <w:tr w:rsidR="009A05C7" w:rsidRPr="008C500E" w14:paraId="7FB82697" w14:textId="77777777" w:rsidTr="003A3C32">
        <w:trPr>
          <w:trHeight w:val="280"/>
        </w:trPr>
        <w:tc>
          <w:tcPr>
            <w:tcW w:w="1688" w:type="pct"/>
            <w:tcBorders>
              <w:top w:val="single" w:sz="4" w:space="0" w:color="auto"/>
              <w:left w:val="nil"/>
              <w:bottom w:val="nil"/>
              <w:right w:val="single" w:sz="4" w:space="0" w:color="auto"/>
            </w:tcBorders>
            <w:shd w:val="clear" w:color="auto" w:fill="auto"/>
            <w:noWrap/>
            <w:vAlign w:val="center"/>
            <w:hideMark/>
          </w:tcPr>
          <w:p w14:paraId="5305359A" w14:textId="77777777" w:rsidR="009A05C7" w:rsidRPr="008C500E" w:rsidRDefault="009A05C7" w:rsidP="000240DA">
            <w:pPr>
              <w:spacing w:after="0" w:line="240" w:lineRule="auto"/>
              <w:jc w:val="left"/>
              <w:rPr>
                <w:rFonts w:eastAsia="Times New Roman" w:cs="Times New Roman"/>
                <w:b/>
                <w:bCs/>
                <w:color w:val="000000"/>
                <w:sz w:val="18"/>
                <w:szCs w:val="18"/>
                <w:lang w:eastAsia="sk-SK"/>
              </w:rPr>
            </w:pPr>
            <w:r w:rsidRPr="008C500E">
              <w:rPr>
                <w:rFonts w:eastAsia="Times New Roman" w:cs="Times New Roman"/>
                <w:b/>
                <w:bCs/>
                <w:color w:val="000000"/>
                <w:sz w:val="18"/>
                <w:szCs w:val="18"/>
                <w:lang w:eastAsia="sk-SK"/>
              </w:rPr>
              <w:t>Hrubý domáci produkt</w:t>
            </w:r>
            <w:r w:rsidRPr="008C500E">
              <w:rPr>
                <w:rFonts w:eastAsia="Times New Roman" w:cs="Times New Roman"/>
                <w:color w:val="000000"/>
                <w:sz w:val="18"/>
                <w:szCs w:val="18"/>
                <w:lang w:eastAsia="sk-SK"/>
              </w:rPr>
              <w:t> </w:t>
            </w:r>
          </w:p>
        </w:tc>
        <w:tc>
          <w:tcPr>
            <w:tcW w:w="473" w:type="pct"/>
            <w:tcBorders>
              <w:top w:val="single" w:sz="4" w:space="0" w:color="auto"/>
              <w:left w:val="single" w:sz="4" w:space="0" w:color="auto"/>
              <w:right w:val="nil"/>
            </w:tcBorders>
            <w:shd w:val="clear" w:color="auto" w:fill="auto"/>
            <w:noWrap/>
            <w:vAlign w:val="center"/>
            <w:hideMark/>
          </w:tcPr>
          <w:p w14:paraId="09E6438B" w14:textId="77777777" w:rsidR="009A05C7" w:rsidRPr="008C500E" w:rsidRDefault="009A05C7" w:rsidP="000240DA">
            <w:pPr>
              <w:spacing w:after="0" w:line="240" w:lineRule="auto"/>
              <w:jc w:val="left"/>
              <w:rPr>
                <w:rFonts w:eastAsia="Times New Roman" w:cs="Times New Roman"/>
                <w:b/>
                <w:bCs/>
                <w:color w:val="000000"/>
                <w:sz w:val="18"/>
                <w:szCs w:val="18"/>
                <w:lang w:eastAsia="sk-SK"/>
              </w:rPr>
            </w:pPr>
            <w:r w:rsidRPr="008C500E">
              <w:rPr>
                <w:rFonts w:eastAsia="Times New Roman" w:cs="Times New Roman"/>
                <w:b/>
                <w:bCs/>
                <w:color w:val="000000"/>
                <w:sz w:val="18"/>
                <w:szCs w:val="18"/>
                <w:lang w:eastAsia="sk-SK"/>
              </w:rPr>
              <w:t> </w:t>
            </w:r>
          </w:p>
        </w:tc>
        <w:tc>
          <w:tcPr>
            <w:tcW w:w="473" w:type="pct"/>
            <w:tcBorders>
              <w:top w:val="single" w:sz="4" w:space="0" w:color="auto"/>
              <w:left w:val="nil"/>
              <w:right w:val="single" w:sz="4" w:space="0" w:color="auto"/>
            </w:tcBorders>
            <w:shd w:val="clear" w:color="auto" w:fill="auto"/>
            <w:noWrap/>
            <w:vAlign w:val="center"/>
            <w:hideMark/>
          </w:tcPr>
          <w:p w14:paraId="61B9E2DE" w14:textId="77777777" w:rsidR="009A05C7" w:rsidRPr="008C500E" w:rsidRDefault="009A05C7" w:rsidP="000240DA">
            <w:pPr>
              <w:spacing w:after="0" w:line="240" w:lineRule="auto"/>
              <w:jc w:val="left"/>
              <w:rPr>
                <w:rFonts w:eastAsia="Times New Roman" w:cs="Times New Roman"/>
                <w:b/>
                <w:bCs/>
                <w:color w:val="000000"/>
                <w:sz w:val="18"/>
                <w:szCs w:val="18"/>
                <w:lang w:eastAsia="sk-SK"/>
              </w:rPr>
            </w:pPr>
            <w:r w:rsidRPr="008C500E">
              <w:rPr>
                <w:rFonts w:eastAsia="Times New Roman" w:cs="Times New Roman"/>
                <w:b/>
                <w:bCs/>
                <w:color w:val="000000"/>
                <w:sz w:val="18"/>
                <w:szCs w:val="18"/>
                <w:lang w:eastAsia="sk-SK"/>
              </w:rPr>
              <w:t> </w:t>
            </w:r>
          </w:p>
        </w:tc>
        <w:tc>
          <w:tcPr>
            <w:tcW w:w="473" w:type="pct"/>
            <w:tcBorders>
              <w:top w:val="single" w:sz="4" w:space="0" w:color="auto"/>
              <w:left w:val="single" w:sz="4" w:space="0" w:color="auto"/>
              <w:right w:val="nil"/>
            </w:tcBorders>
            <w:shd w:val="clear" w:color="auto" w:fill="auto"/>
            <w:noWrap/>
            <w:vAlign w:val="center"/>
            <w:hideMark/>
          </w:tcPr>
          <w:p w14:paraId="33414168" w14:textId="77777777" w:rsidR="009A05C7" w:rsidRPr="008C500E" w:rsidRDefault="009A05C7" w:rsidP="000240DA">
            <w:pPr>
              <w:spacing w:after="0" w:line="240" w:lineRule="auto"/>
              <w:jc w:val="left"/>
              <w:rPr>
                <w:rFonts w:eastAsia="Times New Roman" w:cs="Times New Roman"/>
                <w:b/>
                <w:bCs/>
                <w:color w:val="000000"/>
                <w:sz w:val="18"/>
                <w:szCs w:val="18"/>
                <w:lang w:eastAsia="sk-SK"/>
              </w:rPr>
            </w:pPr>
            <w:r w:rsidRPr="008C500E">
              <w:rPr>
                <w:rFonts w:eastAsia="Times New Roman" w:cs="Times New Roman"/>
                <w:b/>
                <w:bCs/>
                <w:color w:val="000000"/>
                <w:sz w:val="18"/>
                <w:szCs w:val="18"/>
                <w:lang w:eastAsia="sk-SK"/>
              </w:rPr>
              <w:t> </w:t>
            </w:r>
          </w:p>
        </w:tc>
        <w:tc>
          <w:tcPr>
            <w:tcW w:w="473" w:type="pct"/>
            <w:tcBorders>
              <w:top w:val="single" w:sz="4" w:space="0" w:color="auto"/>
              <w:left w:val="nil"/>
              <w:right w:val="nil"/>
            </w:tcBorders>
            <w:shd w:val="clear" w:color="auto" w:fill="auto"/>
            <w:noWrap/>
            <w:vAlign w:val="center"/>
            <w:hideMark/>
          </w:tcPr>
          <w:p w14:paraId="6976F5B1" w14:textId="77777777" w:rsidR="009A05C7" w:rsidRPr="008C500E" w:rsidRDefault="009A05C7" w:rsidP="000240DA">
            <w:pPr>
              <w:spacing w:after="0" w:line="240" w:lineRule="auto"/>
              <w:jc w:val="left"/>
              <w:rPr>
                <w:rFonts w:eastAsia="Times New Roman" w:cs="Times New Roman"/>
                <w:b/>
                <w:bCs/>
                <w:color w:val="000000"/>
                <w:sz w:val="18"/>
                <w:szCs w:val="18"/>
                <w:lang w:eastAsia="sk-SK"/>
              </w:rPr>
            </w:pPr>
            <w:r w:rsidRPr="008C500E">
              <w:rPr>
                <w:rFonts w:eastAsia="Times New Roman" w:cs="Times New Roman"/>
                <w:b/>
                <w:bCs/>
                <w:color w:val="000000"/>
                <w:sz w:val="18"/>
                <w:szCs w:val="18"/>
                <w:lang w:eastAsia="sk-SK"/>
              </w:rPr>
              <w:t> </w:t>
            </w:r>
          </w:p>
        </w:tc>
        <w:tc>
          <w:tcPr>
            <w:tcW w:w="473" w:type="pct"/>
            <w:tcBorders>
              <w:top w:val="single" w:sz="4" w:space="0" w:color="auto"/>
              <w:left w:val="nil"/>
              <w:right w:val="nil"/>
            </w:tcBorders>
            <w:shd w:val="clear" w:color="auto" w:fill="auto"/>
            <w:noWrap/>
            <w:vAlign w:val="center"/>
            <w:hideMark/>
          </w:tcPr>
          <w:p w14:paraId="13BC6903" w14:textId="77777777" w:rsidR="009A05C7" w:rsidRPr="008C500E" w:rsidRDefault="009A05C7" w:rsidP="000240DA">
            <w:pPr>
              <w:spacing w:after="0" w:line="240" w:lineRule="auto"/>
              <w:jc w:val="left"/>
              <w:rPr>
                <w:rFonts w:eastAsia="Times New Roman" w:cs="Times New Roman"/>
                <w:b/>
                <w:bCs/>
                <w:color w:val="000000"/>
                <w:sz w:val="18"/>
                <w:szCs w:val="18"/>
                <w:lang w:eastAsia="sk-SK"/>
              </w:rPr>
            </w:pPr>
            <w:r w:rsidRPr="008C500E">
              <w:rPr>
                <w:rFonts w:eastAsia="Times New Roman" w:cs="Times New Roman"/>
                <w:b/>
                <w:bCs/>
                <w:color w:val="000000"/>
                <w:sz w:val="18"/>
                <w:szCs w:val="18"/>
                <w:lang w:eastAsia="sk-SK"/>
              </w:rPr>
              <w:t> </w:t>
            </w:r>
          </w:p>
        </w:tc>
        <w:tc>
          <w:tcPr>
            <w:tcW w:w="473" w:type="pct"/>
            <w:tcBorders>
              <w:top w:val="single" w:sz="4" w:space="0" w:color="auto"/>
              <w:left w:val="nil"/>
              <w:right w:val="nil"/>
            </w:tcBorders>
            <w:shd w:val="clear" w:color="auto" w:fill="auto"/>
            <w:noWrap/>
            <w:vAlign w:val="center"/>
            <w:hideMark/>
          </w:tcPr>
          <w:p w14:paraId="3E15462C" w14:textId="77777777" w:rsidR="009A05C7" w:rsidRPr="008C500E" w:rsidRDefault="009A05C7" w:rsidP="000240DA">
            <w:pPr>
              <w:spacing w:after="0" w:line="240" w:lineRule="auto"/>
              <w:jc w:val="left"/>
              <w:rPr>
                <w:rFonts w:eastAsia="Times New Roman" w:cs="Times New Roman"/>
                <w:b/>
                <w:bCs/>
                <w:color w:val="000000"/>
                <w:sz w:val="18"/>
                <w:szCs w:val="18"/>
                <w:lang w:eastAsia="sk-SK"/>
              </w:rPr>
            </w:pPr>
            <w:r w:rsidRPr="008C500E">
              <w:rPr>
                <w:rFonts w:eastAsia="Times New Roman" w:cs="Times New Roman"/>
                <w:b/>
                <w:bCs/>
                <w:color w:val="000000"/>
                <w:sz w:val="18"/>
                <w:szCs w:val="18"/>
                <w:lang w:eastAsia="sk-SK"/>
              </w:rPr>
              <w:t> </w:t>
            </w:r>
          </w:p>
        </w:tc>
        <w:tc>
          <w:tcPr>
            <w:tcW w:w="474" w:type="pct"/>
            <w:tcBorders>
              <w:top w:val="single" w:sz="4" w:space="0" w:color="auto"/>
              <w:left w:val="nil"/>
              <w:right w:val="nil"/>
            </w:tcBorders>
            <w:shd w:val="clear" w:color="auto" w:fill="auto"/>
            <w:noWrap/>
            <w:vAlign w:val="bottom"/>
            <w:hideMark/>
          </w:tcPr>
          <w:p w14:paraId="5131D4A9" w14:textId="77777777" w:rsidR="009A05C7" w:rsidRPr="008C500E" w:rsidRDefault="009A05C7" w:rsidP="000240DA">
            <w:pPr>
              <w:spacing w:after="0" w:line="240" w:lineRule="auto"/>
              <w:jc w:val="left"/>
              <w:rPr>
                <w:rFonts w:eastAsia="Times New Roman" w:cs="Times New Roman"/>
                <w:b/>
                <w:bCs/>
                <w:color w:val="000000"/>
                <w:sz w:val="18"/>
                <w:szCs w:val="18"/>
                <w:lang w:eastAsia="sk-SK"/>
              </w:rPr>
            </w:pPr>
          </w:p>
        </w:tc>
      </w:tr>
      <w:tr w:rsidR="009A05C7" w:rsidRPr="008C500E" w14:paraId="6AF85334" w14:textId="77777777" w:rsidTr="003A3C32">
        <w:trPr>
          <w:trHeight w:val="280"/>
        </w:trPr>
        <w:tc>
          <w:tcPr>
            <w:tcW w:w="1688" w:type="pct"/>
            <w:tcBorders>
              <w:top w:val="nil"/>
              <w:left w:val="nil"/>
              <w:bottom w:val="nil"/>
              <w:right w:val="single" w:sz="4" w:space="0" w:color="auto"/>
            </w:tcBorders>
            <w:shd w:val="clear" w:color="auto" w:fill="auto"/>
            <w:noWrap/>
            <w:vAlign w:val="center"/>
            <w:hideMark/>
          </w:tcPr>
          <w:p w14:paraId="56AD6ED5" w14:textId="77777777" w:rsidR="009A05C7" w:rsidRPr="008C500E" w:rsidRDefault="009A05C7" w:rsidP="000240DA">
            <w:pPr>
              <w:spacing w:after="0" w:line="240" w:lineRule="auto"/>
              <w:jc w:val="left"/>
              <w:rPr>
                <w:rFonts w:eastAsia="Times New Roman" w:cs="Times New Roman"/>
                <w:color w:val="000000"/>
                <w:sz w:val="18"/>
                <w:szCs w:val="18"/>
                <w:lang w:eastAsia="sk-SK"/>
              </w:rPr>
            </w:pPr>
            <w:r w:rsidRPr="008C500E">
              <w:rPr>
                <w:rFonts w:eastAsia="Times New Roman" w:cs="Times New Roman"/>
                <w:color w:val="000000"/>
                <w:sz w:val="18"/>
                <w:szCs w:val="18"/>
                <w:lang w:eastAsia="sk-SK"/>
              </w:rPr>
              <w:t>HDP, s.</w:t>
            </w:r>
            <w:r>
              <w:rPr>
                <w:rFonts w:eastAsia="Times New Roman" w:cs="Times New Roman"/>
                <w:color w:val="000000"/>
                <w:sz w:val="18"/>
                <w:szCs w:val="18"/>
                <w:lang w:eastAsia="sk-SK"/>
              </w:rPr>
              <w:t> </w:t>
            </w:r>
            <w:r w:rsidRPr="008C500E">
              <w:rPr>
                <w:rFonts w:eastAsia="Times New Roman" w:cs="Times New Roman"/>
                <w:color w:val="000000"/>
                <w:sz w:val="18"/>
                <w:szCs w:val="18"/>
                <w:lang w:eastAsia="sk-SK"/>
              </w:rPr>
              <w:t>c.</w:t>
            </w:r>
          </w:p>
        </w:tc>
        <w:tc>
          <w:tcPr>
            <w:tcW w:w="473" w:type="pct"/>
            <w:tcBorders>
              <w:top w:val="nil"/>
              <w:left w:val="single" w:sz="4" w:space="0" w:color="auto"/>
            </w:tcBorders>
            <w:shd w:val="clear" w:color="auto" w:fill="auto"/>
            <w:noWrap/>
            <w:vAlign w:val="center"/>
            <w:hideMark/>
          </w:tcPr>
          <w:p w14:paraId="5681C482"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4,8</w:t>
            </w:r>
          </w:p>
        </w:tc>
        <w:tc>
          <w:tcPr>
            <w:tcW w:w="473" w:type="pct"/>
            <w:tcBorders>
              <w:top w:val="nil"/>
              <w:right w:val="single" w:sz="4" w:space="0" w:color="auto"/>
            </w:tcBorders>
            <w:shd w:val="clear" w:color="auto" w:fill="auto"/>
            <w:noWrap/>
            <w:vAlign w:val="center"/>
            <w:hideMark/>
          </w:tcPr>
          <w:p w14:paraId="4B5C94FB"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1,8</w:t>
            </w:r>
          </w:p>
        </w:tc>
        <w:tc>
          <w:tcPr>
            <w:tcW w:w="473" w:type="pct"/>
            <w:tcBorders>
              <w:top w:val="nil"/>
              <w:left w:val="single" w:sz="4" w:space="0" w:color="auto"/>
            </w:tcBorders>
            <w:shd w:val="clear" w:color="auto" w:fill="auto"/>
            <w:noWrap/>
            <w:vAlign w:val="center"/>
            <w:hideMark/>
          </w:tcPr>
          <w:p w14:paraId="39CC2E49"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1,2</w:t>
            </w:r>
          </w:p>
        </w:tc>
        <w:tc>
          <w:tcPr>
            <w:tcW w:w="473" w:type="pct"/>
            <w:tcBorders>
              <w:top w:val="nil"/>
            </w:tcBorders>
            <w:shd w:val="clear" w:color="auto" w:fill="auto"/>
            <w:noWrap/>
            <w:vAlign w:val="center"/>
            <w:hideMark/>
          </w:tcPr>
          <w:p w14:paraId="69187CD6"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2,7</w:t>
            </w:r>
          </w:p>
        </w:tc>
        <w:tc>
          <w:tcPr>
            <w:tcW w:w="473" w:type="pct"/>
            <w:tcBorders>
              <w:top w:val="nil"/>
            </w:tcBorders>
            <w:shd w:val="clear" w:color="auto" w:fill="auto"/>
            <w:noWrap/>
            <w:vAlign w:val="center"/>
            <w:hideMark/>
          </w:tcPr>
          <w:p w14:paraId="6B7A012B"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2,8</w:t>
            </w:r>
          </w:p>
        </w:tc>
        <w:tc>
          <w:tcPr>
            <w:tcW w:w="473" w:type="pct"/>
            <w:tcBorders>
              <w:top w:val="nil"/>
            </w:tcBorders>
            <w:shd w:val="clear" w:color="auto" w:fill="auto"/>
            <w:noWrap/>
            <w:vAlign w:val="center"/>
            <w:hideMark/>
          </w:tcPr>
          <w:p w14:paraId="428BD03F"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2,1</w:t>
            </w:r>
          </w:p>
        </w:tc>
        <w:tc>
          <w:tcPr>
            <w:tcW w:w="474" w:type="pct"/>
            <w:tcBorders>
              <w:top w:val="nil"/>
              <w:right w:val="nil"/>
            </w:tcBorders>
            <w:shd w:val="clear" w:color="auto" w:fill="auto"/>
            <w:noWrap/>
            <w:vAlign w:val="center"/>
            <w:hideMark/>
          </w:tcPr>
          <w:p w14:paraId="08C0E405"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1,7</w:t>
            </w:r>
          </w:p>
        </w:tc>
      </w:tr>
      <w:tr w:rsidR="009A05C7" w:rsidRPr="008C500E" w14:paraId="2652F938" w14:textId="77777777" w:rsidTr="003A3C32">
        <w:trPr>
          <w:trHeight w:val="280"/>
        </w:trPr>
        <w:tc>
          <w:tcPr>
            <w:tcW w:w="1688" w:type="pct"/>
            <w:tcBorders>
              <w:top w:val="nil"/>
              <w:left w:val="nil"/>
              <w:bottom w:val="nil"/>
              <w:right w:val="single" w:sz="4" w:space="0" w:color="auto"/>
            </w:tcBorders>
            <w:shd w:val="clear" w:color="auto" w:fill="auto"/>
            <w:noWrap/>
            <w:vAlign w:val="center"/>
            <w:hideMark/>
          </w:tcPr>
          <w:p w14:paraId="539CE55B" w14:textId="77777777" w:rsidR="009A05C7" w:rsidRPr="008C500E" w:rsidRDefault="00C64CBA" w:rsidP="000240DA">
            <w:pPr>
              <w:spacing w:after="0" w:line="240" w:lineRule="auto"/>
              <w:jc w:val="left"/>
              <w:rPr>
                <w:rFonts w:eastAsia="Times New Roman" w:cs="Times New Roman"/>
                <w:color w:val="000000"/>
                <w:sz w:val="18"/>
                <w:szCs w:val="18"/>
                <w:lang w:eastAsia="sk-SK"/>
              </w:rPr>
            </w:pPr>
            <w:hyperlink r:id="rId15" w:anchor="RANGE!_ftn1" w:history="1">
              <w:r w:rsidR="009A05C7" w:rsidRPr="008C500E">
                <w:rPr>
                  <w:rFonts w:eastAsia="Times New Roman" w:cs="Times New Roman"/>
                  <w:color w:val="000000"/>
                  <w:sz w:val="18"/>
                  <w:szCs w:val="18"/>
                  <w:lang w:eastAsia="sk-SK"/>
                </w:rPr>
                <w:t>HDP, b.</w:t>
              </w:r>
              <w:r w:rsidR="009A05C7">
                <w:rPr>
                  <w:rFonts w:eastAsia="Times New Roman" w:cs="Times New Roman"/>
                  <w:color w:val="000000"/>
                  <w:sz w:val="18"/>
                  <w:szCs w:val="18"/>
                  <w:lang w:eastAsia="sk-SK"/>
                </w:rPr>
                <w:t> </w:t>
              </w:r>
              <w:r w:rsidR="009A05C7" w:rsidRPr="008C500E">
                <w:rPr>
                  <w:rFonts w:eastAsia="Times New Roman" w:cs="Times New Roman"/>
                  <w:color w:val="000000"/>
                  <w:sz w:val="18"/>
                  <w:szCs w:val="18"/>
                  <w:lang w:eastAsia="sk-SK"/>
                </w:rPr>
                <w:t>c. (mld. eur)</w:t>
              </w:r>
            </w:hyperlink>
          </w:p>
        </w:tc>
        <w:tc>
          <w:tcPr>
            <w:tcW w:w="473" w:type="pct"/>
            <w:tcBorders>
              <w:left w:val="single" w:sz="4" w:space="0" w:color="auto"/>
              <w:bottom w:val="nil"/>
              <w:right w:val="nil"/>
            </w:tcBorders>
            <w:shd w:val="clear" w:color="auto" w:fill="auto"/>
            <w:noWrap/>
            <w:vAlign w:val="center"/>
            <w:hideMark/>
          </w:tcPr>
          <w:p w14:paraId="4517AA73"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100,3</w:t>
            </w:r>
          </w:p>
        </w:tc>
        <w:tc>
          <w:tcPr>
            <w:tcW w:w="473" w:type="pct"/>
            <w:tcBorders>
              <w:left w:val="nil"/>
              <w:bottom w:val="nil"/>
              <w:right w:val="single" w:sz="4" w:space="0" w:color="auto"/>
            </w:tcBorders>
            <w:shd w:val="clear" w:color="auto" w:fill="auto"/>
            <w:noWrap/>
            <w:vAlign w:val="center"/>
            <w:hideMark/>
          </w:tcPr>
          <w:p w14:paraId="37F2E82D"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109,6</w:t>
            </w:r>
          </w:p>
        </w:tc>
        <w:tc>
          <w:tcPr>
            <w:tcW w:w="473" w:type="pct"/>
            <w:tcBorders>
              <w:left w:val="single" w:sz="4" w:space="0" w:color="auto"/>
              <w:bottom w:val="nil"/>
              <w:right w:val="nil"/>
            </w:tcBorders>
            <w:shd w:val="clear" w:color="auto" w:fill="auto"/>
            <w:noWrap/>
            <w:vAlign w:val="center"/>
            <w:hideMark/>
          </w:tcPr>
          <w:p w14:paraId="7CC1DD7C"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121,9</w:t>
            </w:r>
          </w:p>
        </w:tc>
        <w:tc>
          <w:tcPr>
            <w:tcW w:w="473" w:type="pct"/>
            <w:tcBorders>
              <w:left w:val="nil"/>
              <w:bottom w:val="nil"/>
              <w:right w:val="nil"/>
            </w:tcBorders>
            <w:shd w:val="clear" w:color="auto" w:fill="auto"/>
            <w:noWrap/>
            <w:vAlign w:val="center"/>
            <w:hideMark/>
          </w:tcPr>
          <w:p w14:paraId="345AE7C4"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131,3</w:t>
            </w:r>
          </w:p>
        </w:tc>
        <w:tc>
          <w:tcPr>
            <w:tcW w:w="473" w:type="pct"/>
            <w:tcBorders>
              <w:left w:val="nil"/>
              <w:bottom w:val="nil"/>
              <w:right w:val="nil"/>
            </w:tcBorders>
            <w:shd w:val="clear" w:color="auto" w:fill="auto"/>
            <w:noWrap/>
            <w:vAlign w:val="center"/>
            <w:hideMark/>
          </w:tcPr>
          <w:p w14:paraId="1E7A1EA6"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139,2</w:t>
            </w:r>
          </w:p>
        </w:tc>
        <w:tc>
          <w:tcPr>
            <w:tcW w:w="473" w:type="pct"/>
            <w:tcBorders>
              <w:left w:val="nil"/>
              <w:bottom w:val="nil"/>
              <w:right w:val="nil"/>
            </w:tcBorders>
            <w:shd w:val="clear" w:color="auto" w:fill="auto"/>
            <w:noWrap/>
            <w:vAlign w:val="center"/>
            <w:hideMark/>
          </w:tcPr>
          <w:p w14:paraId="4DF694FB"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146,6</w:t>
            </w:r>
          </w:p>
        </w:tc>
        <w:tc>
          <w:tcPr>
            <w:tcW w:w="474" w:type="pct"/>
            <w:tcBorders>
              <w:left w:val="nil"/>
              <w:bottom w:val="nil"/>
              <w:right w:val="nil"/>
            </w:tcBorders>
            <w:shd w:val="clear" w:color="auto" w:fill="auto"/>
            <w:noWrap/>
            <w:vAlign w:val="center"/>
            <w:hideMark/>
          </w:tcPr>
          <w:p w14:paraId="07BE3063"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152,1</w:t>
            </w:r>
          </w:p>
        </w:tc>
      </w:tr>
      <w:tr w:rsidR="009A05C7" w:rsidRPr="008C500E" w14:paraId="32C4D36D" w14:textId="77777777" w:rsidTr="000240DA">
        <w:trPr>
          <w:trHeight w:val="280"/>
        </w:trPr>
        <w:tc>
          <w:tcPr>
            <w:tcW w:w="1688" w:type="pct"/>
            <w:tcBorders>
              <w:top w:val="nil"/>
              <w:left w:val="nil"/>
              <w:bottom w:val="nil"/>
              <w:right w:val="single" w:sz="4" w:space="0" w:color="auto"/>
            </w:tcBorders>
            <w:shd w:val="clear" w:color="auto" w:fill="auto"/>
            <w:noWrap/>
            <w:vAlign w:val="center"/>
            <w:hideMark/>
          </w:tcPr>
          <w:p w14:paraId="582F961C" w14:textId="77777777" w:rsidR="009A05C7" w:rsidRPr="008C500E" w:rsidRDefault="009A05C7" w:rsidP="000240DA">
            <w:pPr>
              <w:spacing w:after="0" w:line="240" w:lineRule="auto"/>
              <w:jc w:val="left"/>
              <w:rPr>
                <w:rFonts w:eastAsia="Times New Roman" w:cs="Times New Roman"/>
                <w:color w:val="000000"/>
                <w:sz w:val="18"/>
                <w:szCs w:val="18"/>
                <w:lang w:eastAsia="sk-SK"/>
              </w:rPr>
            </w:pPr>
            <w:r w:rsidRPr="008C500E">
              <w:rPr>
                <w:rFonts w:eastAsia="Times New Roman" w:cs="Times New Roman"/>
                <w:color w:val="000000"/>
                <w:sz w:val="18"/>
                <w:szCs w:val="18"/>
                <w:lang w:eastAsia="sk-SK"/>
              </w:rPr>
              <w:t>Súkromná spotreba, s.</w:t>
            </w:r>
            <w:r>
              <w:rPr>
                <w:rFonts w:eastAsia="Times New Roman" w:cs="Times New Roman"/>
                <w:color w:val="000000"/>
                <w:sz w:val="18"/>
                <w:szCs w:val="18"/>
                <w:lang w:eastAsia="sk-SK"/>
              </w:rPr>
              <w:t> </w:t>
            </w:r>
            <w:r w:rsidRPr="008C500E">
              <w:rPr>
                <w:rFonts w:eastAsia="Times New Roman" w:cs="Times New Roman"/>
                <w:color w:val="000000"/>
                <w:sz w:val="18"/>
                <w:szCs w:val="18"/>
                <w:lang w:eastAsia="sk-SK"/>
              </w:rPr>
              <w:t>c.</w:t>
            </w:r>
          </w:p>
        </w:tc>
        <w:tc>
          <w:tcPr>
            <w:tcW w:w="473" w:type="pct"/>
            <w:tcBorders>
              <w:top w:val="nil"/>
              <w:left w:val="single" w:sz="4" w:space="0" w:color="auto"/>
              <w:bottom w:val="nil"/>
              <w:right w:val="nil"/>
            </w:tcBorders>
            <w:shd w:val="clear" w:color="auto" w:fill="auto"/>
            <w:noWrap/>
            <w:vAlign w:val="center"/>
            <w:hideMark/>
          </w:tcPr>
          <w:p w14:paraId="349E95ED"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2,7</w:t>
            </w:r>
          </w:p>
        </w:tc>
        <w:tc>
          <w:tcPr>
            <w:tcW w:w="473" w:type="pct"/>
            <w:tcBorders>
              <w:top w:val="nil"/>
              <w:left w:val="nil"/>
              <w:bottom w:val="nil"/>
              <w:right w:val="single" w:sz="4" w:space="0" w:color="auto"/>
            </w:tcBorders>
            <w:shd w:val="clear" w:color="auto" w:fill="auto"/>
            <w:noWrap/>
            <w:vAlign w:val="center"/>
            <w:hideMark/>
          </w:tcPr>
          <w:p w14:paraId="42EA7233"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5,7</w:t>
            </w:r>
          </w:p>
        </w:tc>
        <w:tc>
          <w:tcPr>
            <w:tcW w:w="473" w:type="pct"/>
            <w:tcBorders>
              <w:top w:val="nil"/>
              <w:left w:val="single" w:sz="4" w:space="0" w:color="auto"/>
              <w:bottom w:val="nil"/>
              <w:right w:val="nil"/>
            </w:tcBorders>
            <w:shd w:val="clear" w:color="auto" w:fill="auto"/>
            <w:noWrap/>
            <w:vAlign w:val="center"/>
            <w:hideMark/>
          </w:tcPr>
          <w:p w14:paraId="372BE4D8"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-1,9</w:t>
            </w:r>
          </w:p>
        </w:tc>
        <w:tc>
          <w:tcPr>
            <w:tcW w:w="473" w:type="pct"/>
            <w:tcBorders>
              <w:top w:val="nil"/>
              <w:left w:val="nil"/>
              <w:bottom w:val="nil"/>
              <w:right w:val="nil"/>
            </w:tcBorders>
            <w:shd w:val="clear" w:color="auto" w:fill="auto"/>
            <w:noWrap/>
            <w:vAlign w:val="center"/>
            <w:hideMark/>
          </w:tcPr>
          <w:p w14:paraId="29F715E6"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3,3</w:t>
            </w:r>
          </w:p>
        </w:tc>
        <w:tc>
          <w:tcPr>
            <w:tcW w:w="473" w:type="pct"/>
            <w:tcBorders>
              <w:top w:val="nil"/>
              <w:left w:val="nil"/>
              <w:bottom w:val="nil"/>
              <w:right w:val="nil"/>
            </w:tcBorders>
            <w:shd w:val="clear" w:color="auto" w:fill="auto"/>
            <w:noWrap/>
            <w:vAlign w:val="center"/>
            <w:hideMark/>
          </w:tcPr>
          <w:p w14:paraId="070FF3D2"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1,7</w:t>
            </w:r>
          </w:p>
        </w:tc>
        <w:tc>
          <w:tcPr>
            <w:tcW w:w="473" w:type="pct"/>
            <w:tcBorders>
              <w:top w:val="nil"/>
              <w:left w:val="nil"/>
              <w:bottom w:val="nil"/>
              <w:right w:val="nil"/>
            </w:tcBorders>
            <w:shd w:val="clear" w:color="auto" w:fill="auto"/>
            <w:noWrap/>
            <w:vAlign w:val="center"/>
            <w:hideMark/>
          </w:tcPr>
          <w:p w14:paraId="0A097BE9"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1,0</w:t>
            </w:r>
          </w:p>
        </w:tc>
        <w:tc>
          <w:tcPr>
            <w:tcW w:w="474" w:type="pct"/>
            <w:tcBorders>
              <w:top w:val="nil"/>
              <w:left w:val="nil"/>
              <w:bottom w:val="nil"/>
              <w:right w:val="nil"/>
            </w:tcBorders>
            <w:shd w:val="clear" w:color="auto" w:fill="auto"/>
            <w:noWrap/>
            <w:vAlign w:val="center"/>
            <w:hideMark/>
          </w:tcPr>
          <w:p w14:paraId="28E34B19"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1,1</w:t>
            </w:r>
          </w:p>
        </w:tc>
      </w:tr>
      <w:tr w:rsidR="009A05C7" w:rsidRPr="008C500E" w14:paraId="350FF676" w14:textId="77777777" w:rsidTr="000240DA">
        <w:trPr>
          <w:trHeight w:val="280"/>
        </w:trPr>
        <w:tc>
          <w:tcPr>
            <w:tcW w:w="1688" w:type="pct"/>
            <w:tcBorders>
              <w:top w:val="nil"/>
              <w:left w:val="nil"/>
              <w:bottom w:val="nil"/>
              <w:right w:val="single" w:sz="4" w:space="0" w:color="auto"/>
            </w:tcBorders>
            <w:shd w:val="clear" w:color="auto" w:fill="auto"/>
            <w:noWrap/>
            <w:vAlign w:val="center"/>
            <w:hideMark/>
          </w:tcPr>
          <w:p w14:paraId="43EFD22A" w14:textId="77777777" w:rsidR="009A05C7" w:rsidRPr="008C500E" w:rsidRDefault="009A05C7" w:rsidP="000240DA">
            <w:pPr>
              <w:spacing w:after="0" w:line="240" w:lineRule="auto"/>
              <w:jc w:val="left"/>
              <w:rPr>
                <w:rFonts w:eastAsia="Times New Roman" w:cs="Times New Roman"/>
                <w:color w:val="000000"/>
                <w:sz w:val="18"/>
                <w:szCs w:val="18"/>
                <w:lang w:eastAsia="sk-SK"/>
              </w:rPr>
            </w:pPr>
            <w:r w:rsidRPr="008C500E">
              <w:rPr>
                <w:rFonts w:eastAsia="Times New Roman" w:cs="Times New Roman"/>
                <w:color w:val="000000"/>
                <w:sz w:val="18"/>
                <w:szCs w:val="18"/>
                <w:lang w:eastAsia="sk-SK"/>
              </w:rPr>
              <w:t>Súkromná spotreba, b.</w:t>
            </w:r>
            <w:r>
              <w:rPr>
                <w:rFonts w:eastAsia="Times New Roman" w:cs="Times New Roman"/>
                <w:color w:val="000000"/>
                <w:sz w:val="18"/>
                <w:szCs w:val="18"/>
                <w:lang w:eastAsia="sk-SK"/>
              </w:rPr>
              <w:t> </w:t>
            </w:r>
            <w:r w:rsidRPr="008C500E">
              <w:rPr>
                <w:rFonts w:eastAsia="Times New Roman" w:cs="Times New Roman"/>
                <w:color w:val="000000"/>
                <w:sz w:val="18"/>
                <w:szCs w:val="18"/>
                <w:lang w:eastAsia="sk-SK"/>
              </w:rPr>
              <w:t>c.</w:t>
            </w:r>
          </w:p>
        </w:tc>
        <w:tc>
          <w:tcPr>
            <w:tcW w:w="473" w:type="pct"/>
            <w:tcBorders>
              <w:top w:val="nil"/>
              <w:left w:val="single" w:sz="4" w:space="0" w:color="auto"/>
              <w:bottom w:val="nil"/>
              <w:right w:val="nil"/>
            </w:tcBorders>
            <w:shd w:val="clear" w:color="auto" w:fill="auto"/>
            <w:noWrap/>
            <w:vAlign w:val="center"/>
            <w:hideMark/>
          </w:tcPr>
          <w:p w14:paraId="625E7FBB"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6,0</w:t>
            </w:r>
          </w:p>
        </w:tc>
        <w:tc>
          <w:tcPr>
            <w:tcW w:w="473" w:type="pct"/>
            <w:tcBorders>
              <w:top w:val="nil"/>
              <w:left w:val="nil"/>
              <w:bottom w:val="nil"/>
              <w:right w:val="single" w:sz="4" w:space="0" w:color="auto"/>
            </w:tcBorders>
            <w:shd w:val="clear" w:color="auto" w:fill="auto"/>
            <w:noWrap/>
            <w:vAlign w:val="center"/>
            <w:hideMark/>
          </w:tcPr>
          <w:p w14:paraId="5E57070B"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18,6</w:t>
            </w:r>
          </w:p>
        </w:tc>
        <w:tc>
          <w:tcPr>
            <w:tcW w:w="473" w:type="pct"/>
            <w:tcBorders>
              <w:top w:val="nil"/>
              <w:left w:val="single" w:sz="4" w:space="0" w:color="auto"/>
              <w:bottom w:val="nil"/>
              <w:right w:val="nil"/>
            </w:tcBorders>
            <w:shd w:val="clear" w:color="auto" w:fill="auto"/>
            <w:noWrap/>
            <w:vAlign w:val="center"/>
            <w:hideMark/>
          </w:tcPr>
          <w:p w14:paraId="4BB6103B"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9,0</w:t>
            </w:r>
          </w:p>
        </w:tc>
        <w:tc>
          <w:tcPr>
            <w:tcW w:w="473" w:type="pct"/>
            <w:tcBorders>
              <w:top w:val="nil"/>
              <w:left w:val="nil"/>
              <w:bottom w:val="nil"/>
              <w:right w:val="nil"/>
            </w:tcBorders>
            <w:shd w:val="clear" w:color="auto" w:fill="auto"/>
            <w:noWrap/>
            <w:vAlign w:val="center"/>
            <w:hideMark/>
          </w:tcPr>
          <w:p w14:paraId="22997C1B"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7,1</w:t>
            </w:r>
          </w:p>
        </w:tc>
        <w:tc>
          <w:tcPr>
            <w:tcW w:w="473" w:type="pct"/>
            <w:tcBorders>
              <w:top w:val="nil"/>
              <w:left w:val="nil"/>
              <w:bottom w:val="nil"/>
              <w:right w:val="nil"/>
            </w:tcBorders>
            <w:shd w:val="clear" w:color="auto" w:fill="auto"/>
            <w:noWrap/>
            <w:vAlign w:val="center"/>
            <w:hideMark/>
          </w:tcPr>
          <w:p w14:paraId="753AD506"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5,0</w:t>
            </w:r>
          </w:p>
        </w:tc>
        <w:tc>
          <w:tcPr>
            <w:tcW w:w="473" w:type="pct"/>
            <w:tcBorders>
              <w:top w:val="nil"/>
              <w:left w:val="nil"/>
              <w:bottom w:val="nil"/>
              <w:right w:val="nil"/>
            </w:tcBorders>
            <w:shd w:val="clear" w:color="auto" w:fill="auto"/>
            <w:noWrap/>
            <w:vAlign w:val="center"/>
            <w:hideMark/>
          </w:tcPr>
          <w:p w14:paraId="6D0B3060"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4,4</w:t>
            </w:r>
          </w:p>
        </w:tc>
        <w:tc>
          <w:tcPr>
            <w:tcW w:w="474" w:type="pct"/>
            <w:tcBorders>
              <w:top w:val="nil"/>
              <w:left w:val="nil"/>
              <w:bottom w:val="nil"/>
              <w:right w:val="nil"/>
            </w:tcBorders>
            <w:shd w:val="clear" w:color="auto" w:fill="auto"/>
            <w:noWrap/>
            <w:vAlign w:val="center"/>
            <w:hideMark/>
          </w:tcPr>
          <w:p w14:paraId="614BD3FA"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3,3</w:t>
            </w:r>
          </w:p>
        </w:tc>
      </w:tr>
      <w:tr w:rsidR="009A05C7" w:rsidRPr="008C500E" w14:paraId="46861C5A" w14:textId="77777777" w:rsidTr="000240DA">
        <w:trPr>
          <w:trHeight w:val="280"/>
        </w:trPr>
        <w:tc>
          <w:tcPr>
            <w:tcW w:w="1688" w:type="pct"/>
            <w:tcBorders>
              <w:top w:val="nil"/>
              <w:left w:val="nil"/>
              <w:bottom w:val="nil"/>
              <w:right w:val="single" w:sz="4" w:space="0" w:color="auto"/>
            </w:tcBorders>
            <w:shd w:val="clear" w:color="auto" w:fill="auto"/>
            <w:noWrap/>
            <w:vAlign w:val="center"/>
            <w:hideMark/>
          </w:tcPr>
          <w:p w14:paraId="406EE223" w14:textId="77777777" w:rsidR="009A05C7" w:rsidRPr="008C500E" w:rsidRDefault="009A05C7" w:rsidP="000240DA">
            <w:pPr>
              <w:spacing w:after="0" w:line="240" w:lineRule="auto"/>
              <w:jc w:val="left"/>
              <w:rPr>
                <w:rFonts w:eastAsia="Times New Roman" w:cs="Times New Roman"/>
                <w:color w:val="000000"/>
                <w:sz w:val="18"/>
                <w:szCs w:val="18"/>
                <w:lang w:eastAsia="sk-SK"/>
              </w:rPr>
            </w:pPr>
            <w:r w:rsidRPr="008C500E">
              <w:rPr>
                <w:rFonts w:eastAsia="Times New Roman" w:cs="Times New Roman"/>
                <w:color w:val="000000"/>
                <w:sz w:val="18"/>
                <w:szCs w:val="18"/>
                <w:lang w:eastAsia="sk-SK"/>
              </w:rPr>
              <w:t>Vládna spotreba</w:t>
            </w:r>
          </w:p>
        </w:tc>
        <w:tc>
          <w:tcPr>
            <w:tcW w:w="473" w:type="pct"/>
            <w:tcBorders>
              <w:top w:val="nil"/>
              <w:left w:val="single" w:sz="4" w:space="0" w:color="auto"/>
              <w:bottom w:val="nil"/>
              <w:right w:val="nil"/>
            </w:tcBorders>
            <w:shd w:val="clear" w:color="auto" w:fill="auto"/>
            <w:noWrap/>
            <w:vAlign w:val="center"/>
            <w:hideMark/>
          </w:tcPr>
          <w:p w14:paraId="78E62750"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4,2</w:t>
            </w:r>
          </w:p>
        </w:tc>
        <w:tc>
          <w:tcPr>
            <w:tcW w:w="473" w:type="pct"/>
            <w:tcBorders>
              <w:top w:val="nil"/>
              <w:left w:val="nil"/>
              <w:bottom w:val="nil"/>
              <w:right w:val="single" w:sz="4" w:space="0" w:color="auto"/>
            </w:tcBorders>
            <w:shd w:val="clear" w:color="auto" w:fill="auto"/>
            <w:noWrap/>
            <w:vAlign w:val="center"/>
            <w:hideMark/>
          </w:tcPr>
          <w:p w14:paraId="307F16A8"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-4,2</w:t>
            </w:r>
          </w:p>
        </w:tc>
        <w:tc>
          <w:tcPr>
            <w:tcW w:w="473" w:type="pct"/>
            <w:tcBorders>
              <w:top w:val="nil"/>
              <w:left w:val="single" w:sz="4" w:space="0" w:color="auto"/>
              <w:bottom w:val="nil"/>
              <w:right w:val="nil"/>
            </w:tcBorders>
            <w:shd w:val="clear" w:color="auto" w:fill="auto"/>
            <w:noWrap/>
            <w:vAlign w:val="center"/>
            <w:hideMark/>
          </w:tcPr>
          <w:p w14:paraId="169508C5"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-1,5</w:t>
            </w:r>
          </w:p>
        </w:tc>
        <w:tc>
          <w:tcPr>
            <w:tcW w:w="473" w:type="pct"/>
            <w:tcBorders>
              <w:top w:val="nil"/>
              <w:left w:val="nil"/>
              <w:bottom w:val="nil"/>
              <w:right w:val="nil"/>
            </w:tcBorders>
            <w:shd w:val="clear" w:color="auto" w:fill="auto"/>
            <w:noWrap/>
            <w:vAlign w:val="center"/>
            <w:hideMark/>
          </w:tcPr>
          <w:p w14:paraId="6E7E29F5"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1,3</w:t>
            </w:r>
          </w:p>
        </w:tc>
        <w:tc>
          <w:tcPr>
            <w:tcW w:w="473" w:type="pct"/>
            <w:tcBorders>
              <w:top w:val="nil"/>
              <w:left w:val="nil"/>
              <w:bottom w:val="nil"/>
              <w:right w:val="nil"/>
            </w:tcBorders>
            <w:shd w:val="clear" w:color="auto" w:fill="auto"/>
            <w:noWrap/>
            <w:vAlign w:val="center"/>
            <w:hideMark/>
          </w:tcPr>
          <w:p w14:paraId="791C8546"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-0,4</w:t>
            </w:r>
          </w:p>
        </w:tc>
        <w:tc>
          <w:tcPr>
            <w:tcW w:w="473" w:type="pct"/>
            <w:tcBorders>
              <w:top w:val="nil"/>
              <w:left w:val="nil"/>
              <w:bottom w:val="nil"/>
              <w:right w:val="nil"/>
            </w:tcBorders>
            <w:shd w:val="clear" w:color="auto" w:fill="auto"/>
            <w:noWrap/>
            <w:vAlign w:val="center"/>
            <w:hideMark/>
          </w:tcPr>
          <w:p w14:paraId="5631D693"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-0,9</w:t>
            </w:r>
          </w:p>
        </w:tc>
        <w:tc>
          <w:tcPr>
            <w:tcW w:w="474" w:type="pct"/>
            <w:tcBorders>
              <w:top w:val="nil"/>
              <w:left w:val="nil"/>
              <w:bottom w:val="nil"/>
              <w:right w:val="nil"/>
            </w:tcBorders>
            <w:shd w:val="clear" w:color="auto" w:fill="auto"/>
            <w:noWrap/>
            <w:vAlign w:val="center"/>
            <w:hideMark/>
          </w:tcPr>
          <w:p w14:paraId="5101A0E4"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0,4</w:t>
            </w:r>
          </w:p>
        </w:tc>
      </w:tr>
      <w:tr w:rsidR="009A05C7" w:rsidRPr="008C500E" w14:paraId="5DB1FB45" w14:textId="77777777" w:rsidTr="000240DA">
        <w:trPr>
          <w:trHeight w:val="280"/>
        </w:trPr>
        <w:tc>
          <w:tcPr>
            <w:tcW w:w="1688" w:type="pct"/>
            <w:tcBorders>
              <w:top w:val="nil"/>
              <w:left w:val="nil"/>
              <w:bottom w:val="nil"/>
              <w:right w:val="single" w:sz="4" w:space="0" w:color="auto"/>
            </w:tcBorders>
            <w:shd w:val="clear" w:color="auto" w:fill="auto"/>
            <w:noWrap/>
            <w:vAlign w:val="center"/>
            <w:hideMark/>
          </w:tcPr>
          <w:p w14:paraId="21FA7426" w14:textId="77777777" w:rsidR="009A05C7" w:rsidRPr="008C500E" w:rsidRDefault="009A05C7" w:rsidP="000240DA">
            <w:pPr>
              <w:spacing w:after="0" w:line="240" w:lineRule="auto"/>
              <w:jc w:val="left"/>
              <w:rPr>
                <w:rFonts w:eastAsia="Times New Roman" w:cs="Times New Roman"/>
                <w:color w:val="000000"/>
                <w:sz w:val="18"/>
                <w:szCs w:val="18"/>
                <w:lang w:eastAsia="sk-SK"/>
              </w:rPr>
            </w:pPr>
            <w:r w:rsidRPr="008C500E">
              <w:rPr>
                <w:rFonts w:eastAsia="Times New Roman" w:cs="Times New Roman"/>
                <w:color w:val="000000"/>
                <w:sz w:val="18"/>
                <w:szCs w:val="18"/>
                <w:lang w:eastAsia="sk-SK"/>
              </w:rPr>
              <w:t>Fixné investície</w:t>
            </w:r>
          </w:p>
        </w:tc>
        <w:tc>
          <w:tcPr>
            <w:tcW w:w="473" w:type="pct"/>
            <w:tcBorders>
              <w:top w:val="nil"/>
              <w:left w:val="single" w:sz="4" w:space="0" w:color="auto"/>
              <w:bottom w:val="nil"/>
              <w:right w:val="nil"/>
            </w:tcBorders>
            <w:shd w:val="clear" w:color="auto" w:fill="auto"/>
            <w:noWrap/>
            <w:vAlign w:val="center"/>
            <w:hideMark/>
          </w:tcPr>
          <w:p w14:paraId="2046AC46"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3,5</w:t>
            </w:r>
          </w:p>
        </w:tc>
        <w:tc>
          <w:tcPr>
            <w:tcW w:w="473" w:type="pct"/>
            <w:tcBorders>
              <w:top w:val="nil"/>
              <w:left w:val="nil"/>
              <w:bottom w:val="nil"/>
              <w:right w:val="single" w:sz="4" w:space="0" w:color="auto"/>
            </w:tcBorders>
            <w:shd w:val="clear" w:color="auto" w:fill="auto"/>
            <w:noWrap/>
            <w:vAlign w:val="center"/>
            <w:hideMark/>
          </w:tcPr>
          <w:p w14:paraId="524BC46F"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4,5</w:t>
            </w:r>
          </w:p>
        </w:tc>
        <w:tc>
          <w:tcPr>
            <w:tcW w:w="473" w:type="pct"/>
            <w:tcBorders>
              <w:top w:val="nil"/>
              <w:left w:val="single" w:sz="4" w:space="0" w:color="auto"/>
              <w:bottom w:val="nil"/>
              <w:right w:val="nil"/>
            </w:tcBorders>
            <w:shd w:val="clear" w:color="auto" w:fill="auto"/>
            <w:noWrap/>
            <w:vAlign w:val="center"/>
            <w:hideMark/>
          </w:tcPr>
          <w:p w14:paraId="3FBBA958"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7,7</w:t>
            </w:r>
          </w:p>
        </w:tc>
        <w:tc>
          <w:tcPr>
            <w:tcW w:w="473" w:type="pct"/>
            <w:tcBorders>
              <w:top w:val="nil"/>
              <w:left w:val="nil"/>
              <w:bottom w:val="nil"/>
              <w:right w:val="nil"/>
            </w:tcBorders>
            <w:shd w:val="clear" w:color="auto" w:fill="auto"/>
            <w:noWrap/>
            <w:vAlign w:val="center"/>
            <w:hideMark/>
          </w:tcPr>
          <w:p w14:paraId="1D5C78B3"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5,1</w:t>
            </w:r>
          </w:p>
        </w:tc>
        <w:tc>
          <w:tcPr>
            <w:tcW w:w="473" w:type="pct"/>
            <w:tcBorders>
              <w:top w:val="nil"/>
              <w:left w:val="nil"/>
              <w:bottom w:val="nil"/>
              <w:right w:val="nil"/>
            </w:tcBorders>
            <w:shd w:val="clear" w:color="auto" w:fill="auto"/>
            <w:noWrap/>
            <w:vAlign w:val="center"/>
            <w:hideMark/>
          </w:tcPr>
          <w:p w14:paraId="7F8F3BCC"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4,3</w:t>
            </w:r>
          </w:p>
        </w:tc>
        <w:tc>
          <w:tcPr>
            <w:tcW w:w="473" w:type="pct"/>
            <w:tcBorders>
              <w:top w:val="nil"/>
              <w:left w:val="nil"/>
              <w:bottom w:val="nil"/>
              <w:right w:val="nil"/>
            </w:tcBorders>
            <w:shd w:val="clear" w:color="auto" w:fill="auto"/>
            <w:noWrap/>
            <w:vAlign w:val="center"/>
            <w:hideMark/>
          </w:tcPr>
          <w:p w14:paraId="34F5F9F8"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0,9</w:t>
            </w:r>
          </w:p>
        </w:tc>
        <w:tc>
          <w:tcPr>
            <w:tcW w:w="474" w:type="pct"/>
            <w:tcBorders>
              <w:top w:val="nil"/>
              <w:left w:val="nil"/>
              <w:bottom w:val="nil"/>
              <w:right w:val="nil"/>
            </w:tcBorders>
            <w:shd w:val="clear" w:color="auto" w:fill="auto"/>
            <w:noWrap/>
            <w:vAlign w:val="center"/>
            <w:hideMark/>
          </w:tcPr>
          <w:p w14:paraId="5B83787B"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-2,7</w:t>
            </w:r>
          </w:p>
        </w:tc>
      </w:tr>
      <w:tr w:rsidR="009A05C7" w:rsidRPr="008C500E" w14:paraId="6D0EABD3" w14:textId="77777777" w:rsidTr="000240DA">
        <w:trPr>
          <w:trHeight w:val="280"/>
        </w:trPr>
        <w:tc>
          <w:tcPr>
            <w:tcW w:w="1688" w:type="pct"/>
            <w:tcBorders>
              <w:top w:val="nil"/>
              <w:left w:val="nil"/>
              <w:bottom w:val="nil"/>
              <w:right w:val="single" w:sz="4" w:space="0" w:color="auto"/>
            </w:tcBorders>
            <w:shd w:val="clear" w:color="auto" w:fill="auto"/>
            <w:noWrap/>
            <w:vAlign w:val="center"/>
            <w:hideMark/>
          </w:tcPr>
          <w:p w14:paraId="1001782F" w14:textId="77777777" w:rsidR="009A05C7" w:rsidRPr="008C500E" w:rsidRDefault="009A05C7" w:rsidP="000240DA">
            <w:pPr>
              <w:spacing w:after="0" w:line="240" w:lineRule="auto"/>
              <w:jc w:val="left"/>
              <w:rPr>
                <w:rFonts w:eastAsia="Times New Roman" w:cs="Times New Roman"/>
                <w:color w:val="000000"/>
                <w:sz w:val="18"/>
                <w:szCs w:val="18"/>
                <w:lang w:eastAsia="sk-SK"/>
              </w:rPr>
            </w:pPr>
            <w:r w:rsidRPr="008C500E">
              <w:rPr>
                <w:rFonts w:eastAsia="Times New Roman" w:cs="Times New Roman"/>
                <w:color w:val="000000"/>
                <w:sz w:val="18"/>
                <w:szCs w:val="18"/>
                <w:lang w:eastAsia="sk-SK"/>
              </w:rPr>
              <w:t>Export tovarov a služieb</w:t>
            </w:r>
          </w:p>
        </w:tc>
        <w:tc>
          <w:tcPr>
            <w:tcW w:w="473" w:type="pct"/>
            <w:tcBorders>
              <w:top w:val="nil"/>
              <w:left w:val="single" w:sz="4" w:space="0" w:color="auto"/>
              <w:bottom w:val="nil"/>
              <w:right w:val="nil"/>
            </w:tcBorders>
            <w:shd w:val="clear" w:color="auto" w:fill="auto"/>
            <w:noWrap/>
            <w:vAlign w:val="center"/>
            <w:hideMark/>
          </w:tcPr>
          <w:p w14:paraId="236C6F0E"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10,5</w:t>
            </w:r>
          </w:p>
        </w:tc>
        <w:tc>
          <w:tcPr>
            <w:tcW w:w="473" w:type="pct"/>
            <w:tcBorders>
              <w:top w:val="nil"/>
              <w:left w:val="nil"/>
              <w:bottom w:val="nil"/>
              <w:right w:val="single" w:sz="4" w:space="0" w:color="auto"/>
            </w:tcBorders>
            <w:shd w:val="clear" w:color="auto" w:fill="auto"/>
            <w:noWrap/>
            <w:vAlign w:val="center"/>
            <w:hideMark/>
          </w:tcPr>
          <w:p w14:paraId="11ED269C"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3,0</w:t>
            </w:r>
          </w:p>
        </w:tc>
        <w:tc>
          <w:tcPr>
            <w:tcW w:w="473" w:type="pct"/>
            <w:tcBorders>
              <w:top w:val="nil"/>
              <w:left w:val="single" w:sz="4" w:space="0" w:color="auto"/>
              <w:bottom w:val="nil"/>
              <w:right w:val="nil"/>
            </w:tcBorders>
            <w:shd w:val="clear" w:color="auto" w:fill="auto"/>
            <w:noWrap/>
            <w:vAlign w:val="center"/>
            <w:hideMark/>
          </w:tcPr>
          <w:p w14:paraId="51EEDCD4"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-0,7</w:t>
            </w:r>
          </w:p>
        </w:tc>
        <w:tc>
          <w:tcPr>
            <w:tcW w:w="473" w:type="pct"/>
            <w:tcBorders>
              <w:top w:val="nil"/>
              <w:left w:val="nil"/>
              <w:bottom w:val="nil"/>
              <w:right w:val="nil"/>
            </w:tcBorders>
            <w:shd w:val="clear" w:color="auto" w:fill="auto"/>
            <w:noWrap/>
            <w:vAlign w:val="center"/>
            <w:hideMark/>
          </w:tcPr>
          <w:p w14:paraId="539A86A8"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4,0</w:t>
            </w:r>
          </w:p>
        </w:tc>
        <w:tc>
          <w:tcPr>
            <w:tcW w:w="473" w:type="pct"/>
            <w:tcBorders>
              <w:top w:val="nil"/>
              <w:left w:val="nil"/>
              <w:bottom w:val="nil"/>
              <w:right w:val="nil"/>
            </w:tcBorders>
            <w:shd w:val="clear" w:color="auto" w:fill="auto"/>
            <w:noWrap/>
            <w:vAlign w:val="center"/>
            <w:hideMark/>
          </w:tcPr>
          <w:p w14:paraId="6A2CCC78"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3,9</w:t>
            </w:r>
          </w:p>
        </w:tc>
        <w:tc>
          <w:tcPr>
            <w:tcW w:w="473" w:type="pct"/>
            <w:tcBorders>
              <w:top w:val="nil"/>
              <w:left w:val="nil"/>
              <w:bottom w:val="nil"/>
              <w:right w:val="nil"/>
            </w:tcBorders>
            <w:shd w:val="clear" w:color="auto" w:fill="auto"/>
            <w:noWrap/>
            <w:vAlign w:val="center"/>
            <w:hideMark/>
          </w:tcPr>
          <w:p w14:paraId="53AD17F2"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4,6</w:t>
            </w:r>
          </w:p>
        </w:tc>
        <w:tc>
          <w:tcPr>
            <w:tcW w:w="474" w:type="pct"/>
            <w:tcBorders>
              <w:top w:val="nil"/>
              <w:left w:val="nil"/>
              <w:bottom w:val="nil"/>
              <w:right w:val="nil"/>
            </w:tcBorders>
            <w:shd w:val="clear" w:color="auto" w:fill="auto"/>
            <w:noWrap/>
            <w:vAlign w:val="center"/>
            <w:hideMark/>
          </w:tcPr>
          <w:p w14:paraId="327C7E86"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4,4</w:t>
            </w:r>
          </w:p>
        </w:tc>
      </w:tr>
      <w:tr w:rsidR="009A05C7" w:rsidRPr="008C500E" w14:paraId="4919FBAF" w14:textId="77777777" w:rsidTr="000240DA">
        <w:trPr>
          <w:trHeight w:val="280"/>
        </w:trPr>
        <w:tc>
          <w:tcPr>
            <w:tcW w:w="1688" w:type="pct"/>
            <w:tcBorders>
              <w:top w:val="nil"/>
              <w:left w:val="nil"/>
              <w:bottom w:val="nil"/>
              <w:right w:val="single" w:sz="4" w:space="0" w:color="auto"/>
            </w:tcBorders>
            <w:shd w:val="clear" w:color="auto" w:fill="auto"/>
            <w:noWrap/>
            <w:vAlign w:val="center"/>
            <w:hideMark/>
          </w:tcPr>
          <w:p w14:paraId="66E2B2FD" w14:textId="77777777" w:rsidR="009A05C7" w:rsidRPr="008C500E" w:rsidRDefault="009A05C7" w:rsidP="000240DA">
            <w:pPr>
              <w:spacing w:after="0" w:line="240" w:lineRule="auto"/>
              <w:jc w:val="left"/>
              <w:rPr>
                <w:rFonts w:eastAsia="Times New Roman" w:cs="Times New Roman"/>
                <w:color w:val="000000"/>
                <w:sz w:val="18"/>
                <w:szCs w:val="18"/>
                <w:lang w:eastAsia="sk-SK"/>
              </w:rPr>
            </w:pPr>
            <w:r w:rsidRPr="008C500E">
              <w:rPr>
                <w:rFonts w:eastAsia="Times New Roman" w:cs="Times New Roman"/>
                <w:color w:val="000000"/>
                <w:sz w:val="18"/>
                <w:szCs w:val="18"/>
                <w:lang w:eastAsia="sk-SK"/>
              </w:rPr>
              <w:t>Import tovarov a služieb</w:t>
            </w:r>
          </w:p>
        </w:tc>
        <w:tc>
          <w:tcPr>
            <w:tcW w:w="473" w:type="pct"/>
            <w:tcBorders>
              <w:top w:val="nil"/>
              <w:left w:val="single" w:sz="4" w:space="0" w:color="auto"/>
              <w:bottom w:val="nil"/>
              <w:right w:val="nil"/>
            </w:tcBorders>
            <w:shd w:val="clear" w:color="auto" w:fill="auto"/>
            <w:noWrap/>
            <w:vAlign w:val="center"/>
            <w:hideMark/>
          </w:tcPr>
          <w:p w14:paraId="21F97F22"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11,7</w:t>
            </w:r>
          </w:p>
        </w:tc>
        <w:tc>
          <w:tcPr>
            <w:tcW w:w="473" w:type="pct"/>
            <w:tcBorders>
              <w:top w:val="nil"/>
              <w:left w:val="nil"/>
              <w:bottom w:val="nil"/>
              <w:right w:val="single" w:sz="4" w:space="0" w:color="auto"/>
            </w:tcBorders>
            <w:shd w:val="clear" w:color="auto" w:fill="auto"/>
            <w:noWrap/>
            <w:vAlign w:val="center"/>
            <w:hideMark/>
          </w:tcPr>
          <w:p w14:paraId="7B8F126A"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4,2</w:t>
            </w:r>
          </w:p>
        </w:tc>
        <w:tc>
          <w:tcPr>
            <w:tcW w:w="473" w:type="pct"/>
            <w:tcBorders>
              <w:top w:val="nil"/>
              <w:left w:val="single" w:sz="4" w:space="0" w:color="auto"/>
              <w:bottom w:val="nil"/>
              <w:right w:val="nil"/>
            </w:tcBorders>
            <w:shd w:val="clear" w:color="auto" w:fill="auto"/>
            <w:noWrap/>
            <w:vAlign w:val="center"/>
            <w:hideMark/>
          </w:tcPr>
          <w:p w14:paraId="3AC26F42"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-6,4</w:t>
            </w:r>
          </w:p>
        </w:tc>
        <w:tc>
          <w:tcPr>
            <w:tcW w:w="473" w:type="pct"/>
            <w:tcBorders>
              <w:top w:val="nil"/>
              <w:left w:val="nil"/>
              <w:bottom w:val="nil"/>
              <w:right w:val="nil"/>
            </w:tcBorders>
            <w:shd w:val="clear" w:color="auto" w:fill="auto"/>
            <w:noWrap/>
            <w:vAlign w:val="center"/>
            <w:hideMark/>
          </w:tcPr>
          <w:p w14:paraId="50330F77"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7,4</w:t>
            </w:r>
          </w:p>
        </w:tc>
        <w:tc>
          <w:tcPr>
            <w:tcW w:w="473" w:type="pct"/>
            <w:tcBorders>
              <w:top w:val="nil"/>
              <w:left w:val="nil"/>
              <w:bottom w:val="nil"/>
              <w:right w:val="nil"/>
            </w:tcBorders>
            <w:shd w:val="clear" w:color="auto" w:fill="auto"/>
            <w:noWrap/>
            <w:vAlign w:val="center"/>
            <w:hideMark/>
          </w:tcPr>
          <w:p w14:paraId="51E535ED"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3,5</w:t>
            </w:r>
          </w:p>
        </w:tc>
        <w:tc>
          <w:tcPr>
            <w:tcW w:w="473" w:type="pct"/>
            <w:tcBorders>
              <w:top w:val="nil"/>
              <w:left w:val="nil"/>
              <w:bottom w:val="nil"/>
              <w:right w:val="nil"/>
            </w:tcBorders>
            <w:shd w:val="clear" w:color="auto" w:fill="auto"/>
            <w:noWrap/>
            <w:vAlign w:val="center"/>
            <w:hideMark/>
          </w:tcPr>
          <w:p w14:paraId="61529BF0"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3,2</w:t>
            </w:r>
          </w:p>
        </w:tc>
        <w:tc>
          <w:tcPr>
            <w:tcW w:w="474" w:type="pct"/>
            <w:tcBorders>
              <w:top w:val="nil"/>
              <w:left w:val="nil"/>
              <w:bottom w:val="nil"/>
              <w:right w:val="nil"/>
            </w:tcBorders>
            <w:shd w:val="clear" w:color="auto" w:fill="auto"/>
            <w:noWrap/>
            <w:vAlign w:val="center"/>
            <w:hideMark/>
          </w:tcPr>
          <w:p w14:paraId="39353408"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3,0</w:t>
            </w:r>
          </w:p>
        </w:tc>
      </w:tr>
      <w:tr w:rsidR="009A05C7" w:rsidRPr="008C500E" w14:paraId="2BFC5FA5" w14:textId="77777777" w:rsidTr="000240DA">
        <w:trPr>
          <w:trHeight w:val="280"/>
        </w:trPr>
        <w:tc>
          <w:tcPr>
            <w:tcW w:w="1688" w:type="pct"/>
            <w:tcBorders>
              <w:top w:val="nil"/>
              <w:left w:val="nil"/>
              <w:bottom w:val="nil"/>
              <w:right w:val="single" w:sz="4" w:space="0" w:color="auto"/>
            </w:tcBorders>
            <w:shd w:val="clear" w:color="auto" w:fill="auto"/>
            <w:noWrap/>
            <w:vAlign w:val="center"/>
            <w:hideMark/>
          </w:tcPr>
          <w:p w14:paraId="04D94E2E" w14:textId="77777777" w:rsidR="009A05C7" w:rsidRPr="008C500E" w:rsidRDefault="009A05C7" w:rsidP="000240DA">
            <w:pPr>
              <w:spacing w:after="0" w:line="240" w:lineRule="auto"/>
              <w:jc w:val="left"/>
              <w:rPr>
                <w:rFonts w:eastAsia="Times New Roman" w:cs="Times New Roman"/>
                <w:b/>
                <w:bCs/>
                <w:color w:val="000000"/>
                <w:sz w:val="18"/>
                <w:szCs w:val="18"/>
                <w:lang w:eastAsia="sk-SK"/>
              </w:rPr>
            </w:pPr>
            <w:r w:rsidRPr="008C500E">
              <w:rPr>
                <w:rFonts w:eastAsia="Times New Roman" w:cs="Times New Roman"/>
                <w:b/>
                <w:bCs/>
                <w:color w:val="000000"/>
                <w:sz w:val="18"/>
                <w:szCs w:val="18"/>
                <w:lang w:eastAsia="sk-SK"/>
              </w:rPr>
              <w:t>Trh práce</w:t>
            </w:r>
          </w:p>
        </w:tc>
        <w:tc>
          <w:tcPr>
            <w:tcW w:w="473" w:type="pct"/>
            <w:tcBorders>
              <w:top w:val="nil"/>
              <w:left w:val="single" w:sz="4" w:space="0" w:color="auto"/>
              <w:bottom w:val="nil"/>
              <w:right w:val="nil"/>
            </w:tcBorders>
            <w:shd w:val="clear" w:color="auto" w:fill="auto"/>
            <w:noWrap/>
            <w:vAlign w:val="center"/>
            <w:hideMark/>
          </w:tcPr>
          <w:p w14:paraId="1F98F9E1" w14:textId="77777777" w:rsidR="009A05C7" w:rsidRPr="008C500E" w:rsidRDefault="009A05C7" w:rsidP="000240DA">
            <w:pPr>
              <w:spacing w:after="0" w:line="240" w:lineRule="auto"/>
              <w:jc w:val="left"/>
              <w:rPr>
                <w:rFonts w:eastAsia="Times New Roman" w:cs="Times New Roman"/>
                <w:b/>
                <w:bCs/>
                <w:color w:val="000000"/>
                <w:sz w:val="18"/>
                <w:szCs w:val="18"/>
                <w:lang w:eastAsia="sk-SK"/>
              </w:rPr>
            </w:pPr>
          </w:p>
        </w:tc>
        <w:tc>
          <w:tcPr>
            <w:tcW w:w="473" w:type="pct"/>
            <w:tcBorders>
              <w:top w:val="nil"/>
              <w:left w:val="nil"/>
              <w:bottom w:val="nil"/>
              <w:right w:val="single" w:sz="4" w:space="0" w:color="auto"/>
            </w:tcBorders>
            <w:shd w:val="clear" w:color="auto" w:fill="auto"/>
            <w:noWrap/>
            <w:vAlign w:val="center"/>
            <w:hideMark/>
          </w:tcPr>
          <w:p w14:paraId="4AB6E4EF" w14:textId="77777777" w:rsidR="009A05C7" w:rsidRPr="008C500E" w:rsidRDefault="009A05C7" w:rsidP="000240DA">
            <w:pPr>
              <w:spacing w:after="0" w:line="240" w:lineRule="auto"/>
              <w:jc w:val="left"/>
              <w:rPr>
                <w:rFonts w:eastAsia="Times New Roman" w:cs="Times New Roman"/>
                <w:sz w:val="20"/>
                <w:szCs w:val="20"/>
                <w:lang w:eastAsia="sk-SK"/>
              </w:rPr>
            </w:pPr>
          </w:p>
        </w:tc>
        <w:tc>
          <w:tcPr>
            <w:tcW w:w="473" w:type="pct"/>
            <w:tcBorders>
              <w:top w:val="nil"/>
              <w:left w:val="single" w:sz="4" w:space="0" w:color="auto"/>
              <w:bottom w:val="nil"/>
              <w:right w:val="nil"/>
            </w:tcBorders>
            <w:shd w:val="clear" w:color="auto" w:fill="auto"/>
            <w:noWrap/>
            <w:vAlign w:val="center"/>
            <w:hideMark/>
          </w:tcPr>
          <w:p w14:paraId="65798781" w14:textId="77777777" w:rsidR="009A05C7" w:rsidRPr="008C500E" w:rsidRDefault="009A05C7" w:rsidP="000240DA">
            <w:pPr>
              <w:spacing w:after="0" w:line="240" w:lineRule="auto"/>
              <w:jc w:val="left"/>
              <w:rPr>
                <w:rFonts w:eastAsia="Times New Roman" w:cs="Times New Roman"/>
                <w:sz w:val="20"/>
                <w:szCs w:val="20"/>
                <w:lang w:eastAsia="sk-SK"/>
              </w:rPr>
            </w:pPr>
          </w:p>
        </w:tc>
        <w:tc>
          <w:tcPr>
            <w:tcW w:w="473" w:type="pct"/>
            <w:tcBorders>
              <w:top w:val="nil"/>
              <w:left w:val="nil"/>
              <w:bottom w:val="nil"/>
              <w:right w:val="nil"/>
            </w:tcBorders>
            <w:shd w:val="clear" w:color="auto" w:fill="auto"/>
            <w:noWrap/>
            <w:vAlign w:val="center"/>
            <w:hideMark/>
          </w:tcPr>
          <w:p w14:paraId="0250422C" w14:textId="77777777" w:rsidR="009A05C7" w:rsidRPr="008C500E" w:rsidRDefault="009A05C7" w:rsidP="000240DA">
            <w:pPr>
              <w:spacing w:after="0" w:line="240" w:lineRule="auto"/>
              <w:jc w:val="left"/>
              <w:rPr>
                <w:rFonts w:eastAsia="Times New Roman" w:cs="Times New Roman"/>
                <w:sz w:val="20"/>
                <w:szCs w:val="20"/>
                <w:lang w:eastAsia="sk-SK"/>
              </w:rPr>
            </w:pPr>
          </w:p>
        </w:tc>
        <w:tc>
          <w:tcPr>
            <w:tcW w:w="473" w:type="pct"/>
            <w:tcBorders>
              <w:top w:val="nil"/>
              <w:left w:val="nil"/>
              <w:bottom w:val="nil"/>
              <w:right w:val="nil"/>
            </w:tcBorders>
            <w:shd w:val="clear" w:color="auto" w:fill="auto"/>
            <w:noWrap/>
            <w:vAlign w:val="center"/>
            <w:hideMark/>
          </w:tcPr>
          <w:p w14:paraId="5C075172" w14:textId="77777777" w:rsidR="009A05C7" w:rsidRPr="008C500E" w:rsidRDefault="009A05C7" w:rsidP="000240DA">
            <w:pPr>
              <w:spacing w:after="0" w:line="240" w:lineRule="auto"/>
              <w:jc w:val="left"/>
              <w:rPr>
                <w:rFonts w:eastAsia="Times New Roman" w:cs="Times New Roman"/>
                <w:sz w:val="20"/>
                <w:szCs w:val="20"/>
                <w:lang w:eastAsia="sk-SK"/>
              </w:rPr>
            </w:pPr>
          </w:p>
        </w:tc>
        <w:tc>
          <w:tcPr>
            <w:tcW w:w="473" w:type="pct"/>
            <w:tcBorders>
              <w:top w:val="nil"/>
              <w:left w:val="nil"/>
              <w:bottom w:val="nil"/>
              <w:right w:val="nil"/>
            </w:tcBorders>
            <w:shd w:val="clear" w:color="auto" w:fill="auto"/>
            <w:noWrap/>
            <w:vAlign w:val="center"/>
            <w:hideMark/>
          </w:tcPr>
          <w:p w14:paraId="1FCC7CDA" w14:textId="77777777" w:rsidR="009A05C7" w:rsidRPr="008C500E" w:rsidRDefault="009A05C7" w:rsidP="000240DA">
            <w:pPr>
              <w:spacing w:after="0" w:line="240" w:lineRule="auto"/>
              <w:jc w:val="left"/>
              <w:rPr>
                <w:rFonts w:eastAsia="Times New Roman" w:cs="Times New Roman"/>
                <w:sz w:val="20"/>
                <w:szCs w:val="20"/>
                <w:lang w:eastAsia="sk-SK"/>
              </w:rPr>
            </w:pPr>
          </w:p>
        </w:tc>
        <w:tc>
          <w:tcPr>
            <w:tcW w:w="474" w:type="pct"/>
            <w:tcBorders>
              <w:top w:val="nil"/>
              <w:left w:val="nil"/>
              <w:bottom w:val="nil"/>
              <w:right w:val="nil"/>
            </w:tcBorders>
            <w:shd w:val="clear" w:color="auto" w:fill="auto"/>
            <w:noWrap/>
            <w:vAlign w:val="bottom"/>
            <w:hideMark/>
          </w:tcPr>
          <w:p w14:paraId="02DE7A09" w14:textId="77777777" w:rsidR="009A05C7" w:rsidRPr="008C500E" w:rsidRDefault="009A05C7" w:rsidP="000240DA">
            <w:pPr>
              <w:spacing w:after="0" w:line="240" w:lineRule="auto"/>
              <w:jc w:val="left"/>
              <w:rPr>
                <w:rFonts w:eastAsia="Times New Roman" w:cs="Times New Roman"/>
                <w:sz w:val="20"/>
                <w:szCs w:val="20"/>
                <w:lang w:eastAsia="sk-SK"/>
              </w:rPr>
            </w:pPr>
          </w:p>
        </w:tc>
      </w:tr>
      <w:tr w:rsidR="009A05C7" w:rsidRPr="008C500E" w14:paraId="5B28F509" w14:textId="77777777" w:rsidTr="000240DA">
        <w:trPr>
          <w:trHeight w:val="280"/>
        </w:trPr>
        <w:tc>
          <w:tcPr>
            <w:tcW w:w="1688" w:type="pct"/>
            <w:tcBorders>
              <w:top w:val="nil"/>
              <w:left w:val="nil"/>
              <w:bottom w:val="nil"/>
              <w:right w:val="single" w:sz="4" w:space="0" w:color="auto"/>
            </w:tcBorders>
            <w:shd w:val="clear" w:color="auto" w:fill="auto"/>
            <w:noWrap/>
            <w:vAlign w:val="center"/>
            <w:hideMark/>
          </w:tcPr>
          <w:p w14:paraId="0BEE1583" w14:textId="77777777" w:rsidR="009A05C7" w:rsidRPr="008C500E" w:rsidRDefault="009A05C7" w:rsidP="000240DA">
            <w:pPr>
              <w:spacing w:after="0" w:line="240" w:lineRule="auto"/>
              <w:jc w:val="left"/>
              <w:rPr>
                <w:rFonts w:eastAsia="Times New Roman" w:cs="Times New Roman"/>
                <w:color w:val="000000"/>
                <w:sz w:val="18"/>
                <w:szCs w:val="18"/>
                <w:lang w:eastAsia="sk-SK"/>
              </w:rPr>
            </w:pPr>
            <w:r w:rsidRPr="008C500E">
              <w:rPr>
                <w:rFonts w:eastAsia="Times New Roman" w:cs="Times New Roman"/>
                <w:color w:val="000000"/>
                <w:sz w:val="18"/>
                <w:szCs w:val="18"/>
                <w:lang w:eastAsia="sk-SK"/>
              </w:rPr>
              <w:t>Zamestnanosť (štatistické výkazníctvo)</w:t>
            </w:r>
          </w:p>
        </w:tc>
        <w:tc>
          <w:tcPr>
            <w:tcW w:w="473" w:type="pct"/>
            <w:tcBorders>
              <w:top w:val="nil"/>
              <w:left w:val="single" w:sz="4" w:space="0" w:color="auto"/>
              <w:bottom w:val="nil"/>
              <w:right w:val="nil"/>
            </w:tcBorders>
            <w:shd w:val="clear" w:color="auto" w:fill="auto"/>
            <w:noWrap/>
            <w:vAlign w:val="center"/>
            <w:hideMark/>
          </w:tcPr>
          <w:p w14:paraId="47BC0188"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-0,7</w:t>
            </w:r>
          </w:p>
        </w:tc>
        <w:tc>
          <w:tcPr>
            <w:tcW w:w="473" w:type="pct"/>
            <w:tcBorders>
              <w:top w:val="nil"/>
              <w:left w:val="nil"/>
              <w:bottom w:val="nil"/>
              <w:right w:val="single" w:sz="4" w:space="0" w:color="auto"/>
            </w:tcBorders>
            <w:shd w:val="clear" w:color="auto" w:fill="auto"/>
            <w:noWrap/>
            <w:vAlign w:val="center"/>
            <w:hideMark/>
          </w:tcPr>
          <w:p w14:paraId="12938810"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1,7</w:t>
            </w:r>
          </w:p>
        </w:tc>
        <w:tc>
          <w:tcPr>
            <w:tcW w:w="473" w:type="pct"/>
            <w:tcBorders>
              <w:top w:val="nil"/>
              <w:left w:val="single" w:sz="4" w:space="0" w:color="auto"/>
              <w:bottom w:val="nil"/>
              <w:right w:val="nil"/>
            </w:tcBorders>
            <w:shd w:val="clear" w:color="auto" w:fill="auto"/>
            <w:noWrap/>
            <w:vAlign w:val="center"/>
            <w:hideMark/>
          </w:tcPr>
          <w:p w14:paraId="40D7967E"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0,2</w:t>
            </w:r>
          </w:p>
        </w:tc>
        <w:tc>
          <w:tcPr>
            <w:tcW w:w="473" w:type="pct"/>
            <w:tcBorders>
              <w:top w:val="nil"/>
              <w:left w:val="nil"/>
              <w:bottom w:val="nil"/>
              <w:right w:val="nil"/>
            </w:tcBorders>
            <w:shd w:val="clear" w:color="auto" w:fill="auto"/>
            <w:noWrap/>
            <w:vAlign w:val="center"/>
            <w:hideMark/>
          </w:tcPr>
          <w:p w14:paraId="29B540F5"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0,4</w:t>
            </w:r>
          </w:p>
        </w:tc>
        <w:tc>
          <w:tcPr>
            <w:tcW w:w="473" w:type="pct"/>
            <w:tcBorders>
              <w:top w:val="nil"/>
              <w:left w:val="nil"/>
              <w:bottom w:val="nil"/>
              <w:right w:val="nil"/>
            </w:tcBorders>
            <w:shd w:val="clear" w:color="auto" w:fill="auto"/>
            <w:noWrap/>
            <w:vAlign w:val="center"/>
            <w:hideMark/>
          </w:tcPr>
          <w:p w14:paraId="2989C109"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0,5</w:t>
            </w:r>
          </w:p>
        </w:tc>
        <w:tc>
          <w:tcPr>
            <w:tcW w:w="473" w:type="pct"/>
            <w:tcBorders>
              <w:top w:val="nil"/>
              <w:left w:val="nil"/>
              <w:bottom w:val="nil"/>
              <w:right w:val="nil"/>
            </w:tcBorders>
            <w:shd w:val="clear" w:color="auto" w:fill="auto"/>
            <w:noWrap/>
            <w:vAlign w:val="center"/>
            <w:hideMark/>
          </w:tcPr>
          <w:p w14:paraId="24BF3B6E"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0,1</w:t>
            </w:r>
          </w:p>
        </w:tc>
        <w:tc>
          <w:tcPr>
            <w:tcW w:w="474" w:type="pct"/>
            <w:tcBorders>
              <w:top w:val="nil"/>
              <w:left w:val="nil"/>
              <w:bottom w:val="nil"/>
              <w:right w:val="nil"/>
            </w:tcBorders>
            <w:shd w:val="clear" w:color="auto" w:fill="auto"/>
            <w:noWrap/>
            <w:vAlign w:val="center"/>
            <w:hideMark/>
          </w:tcPr>
          <w:p w14:paraId="5757B789"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-0,3</w:t>
            </w:r>
          </w:p>
        </w:tc>
      </w:tr>
      <w:tr w:rsidR="009A05C7" w:rsidRPr="008C500E" w14:paraId="49AECF93" w14:textId="77777777" w:rsidTr="000240DA">
        <w:trPr>
          <w:trHeight w:val="280"/>
        </w:trPr>
        <w:tc>
          <w:tcPr>
            <w:tcW w:w="1688" w:type="pct"/>
            <w:tcBorders>
              <w:top w:val="nil"/>
              <w:left w:val="nil"/>
              <w:bottom w:val="nil"/>
              <w:right w:val="single" w:sz="4" w:space="0" w:color="auto"/>
            </w:tcBorders>
            <w:shd w:val="clear" w:color="auto" w:fill="auto"/>
            <w:noWrap/>
            <w:vAlign w:val="center"/>
            <w:hideMark/>
          </w:tcPr>
          <w:p w14:paraId="4D4D342F" w14:textId="77777777" w:rsidR="009A05C7" w:rsidRPr="008C500E" w:rsidRDefault="009A05C7" w:rsidP="000240DA">
            <w:pPr>
              <w:spacing w:after="0" w:line="240" w:lineRule="auto"/>
              <w:jc w:val="left"/>
              <w:rPr>
                <w:rFonts w:eastAsia="Times New Roman" w:cs="Times New Roman"/>
                <w:color w:val="000000"/>
                <w:sz w:val="18"/>
                <w:szCs w:val="18"/>
                <w:lang w:eastAsia="sk-SK"/>
              </w:rPr>
            </w:pPr>
            <w:r w:rsidRPr="008C500E">
              <w:rPr>
                <w:rFonts w:eastAsia="Times New Roman" w:cs="Times New Roman"/>
                <w:color w:val="000000"/>
                <w:sz w:val="18"/>
                <w:szCs w:val="18"/>
                <w:lang w:eastAsia="sk-SK"/>
              </w:rPr>
              <w:t>Mzdy, nominálne</w:t>
            </w:r>
          </w:p>
        </w:tc>
        <w:tc>
          <w:tcPr>
            <w:tcW w:w="473" w:type="pct"/>
            <w:tcBorders>
              <w:top w:val="nil"/>
              <w:left w:val="single" w:sz="4" w:space="0" w:color="auto"/>
              <w:bottom w:val="nil"/>
              <w:right w:val="nil"/>
            </w:tcBorders>
            <w:shd w:val="clear" w:color="auto" w:fill="auto"/>
            <w:noWrap/>
            <w:vAlign w:val="center"/>
            <w:hideMark/>
          </w:tcPr>
          <w:p w14:paraId="25D7C7B7"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6,9</w:t>
            </w:r>
          </w:p>
        </w:tc>
        <w:tc>
          <w:tcPr>
            <w:tcW w:w="473" w:type="pct"/>
            <w:tcBorders>
              <w:top w:val="nil"/>
              <w:left w:val="nil"/>
              <w:bottom w:val="nil"/>
              <w:right w:val="single" w:sz="4" w:space="0" w:color="auto"/>
            </w:tcBorders>
            <w:shd w:val="clear" w:color="auto" w:fill="auto"/>
            <w:noWrap/>
            <w:vAlign w:val="center"/>
            <w:hideMark/>
          </w:tcPr>
          <w:p w14:paraId="62158CBF"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7,7</w:t>
            </w:r>
          </w:p>
        </w:tc>
        <w:tc>
          <w:tcPr>
            <w:tcW w:w="473" w:type="pct"/>
            <w:tcBorders>
              <w:top w:val="nil"/>
              <w:left w:val="single" w:sz="4" w:space="0" w:color="auto"/>
              <w:bottom w:val="nil"/>
              <w:right w:val="nil"/>
            </w:tcBorders>
            <w:shd w:val="clear" w:color="auto" w:fill="auto"/>
            <w:noWrap/>
            <w:vAlign w:val="center"/>
            <w:hideMark/>
          </w:tcPr>
          <w:p w14:paraId="6FC57059"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9,8</w:t>
            </w:r>
          </w:p>
        </w:tc>
        <w:tc>
          <w:tcPr>
            <w:tcW w:w="473" w:type="pct"/>
            <w:tcBorders>
              <w:top w:val="nil"/>
              <w:left w:val="nil"/>
              <w:bottom w:val="nil"/>
              <w:right w:val="nil"/>
            </w:tcBorders>
            <w:shd w:val="clear" w:color="auto" w:fill="auto"/>
            <w:noWrap/>
            <w:vAlign w:val="center"/>
            <w:hideMark/>
          </w:tcPr>
          <w:p w14:paraId="0473F4EE"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7,1</w:t>
            </w:r>
          </w:p>
        </w:tc>
        <w:tc>
          <w:tcPr>
            <w:tcW w:w="473" w:type="pct"/>
            <w:tcBorders>
              <w:top w:val="nil"/>
              <w:left w:val="nil"/>
              <w:bottom w:val="nil"/>
              <w:right w:val="nil"/>
            </w:tcBorders>
            <w:shd w:val="clear" w:color="auto" w:fill="auto"/>
            <w:noWrap/>
            <w:vAlign w:val="center"/>
            <w:hideMark/>
          </w:tcPr>
          <w:p w14:paraId="6F8805D5"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5,3</w:t>
            </w:r>
          </w:p>
        </w:tc>
        <w:tc>
          <w:tcPr>
            <w:tcW w:w="473" w:type="pct"/>
            <w:tcBorders>
              <w:top w:val="nil"/>
              <w:left w:val="nil"/>
              <w:bottom w:val="nil"/>
              <w:right w:val="nil"/>
            </w:tcBorders>
            <w:shd w:val="clear" w:color="auto" w:fill="auto"/>
            <w:noWrap/>
            <w:vAlign w:val="center"/>
            <w:hideMark/>
          </w:tcPr>
          <w:p w14:paraId="50549F22"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4,5</w:t>
            </w:r>
          </w:p>
        </w:tc>
        <w:tc>
          <w:tcPr>
            <w:tcW w:w="474" w:type="pct"/>
            <w:tcBorders>
              <w:top w:val="nil"/>
              <w:left w:val="nil"/>
              <w:bottom w:val="nil"/>
              <w:right w:val="nil"/>
            </w:tcBorders>
            <w:shd w:val="clear" w:color="auto" w:fill="auto"/>
            <w:noWrap/>
            <w:vAlign w:val="center"/>
            <w:hideMark/>
          </w:tcPr>
          <w:p w14:paraId="5969C4C6"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4,2</w:t>
            </w:r>
          </w:p>
        </w:tc>
      </w:tr>
      <w:tr w:rsidR="009A05C7" w:rsidRPr="008C500E" w14:paraId="0C791D03" w14:textId="77777777" w:rsidTr="000240DA">
        <w:trPr>
          <w:trHeight w:val="280"/>
        </w:trPr>
        <w:tc>
          <w:tcPr>
            <w:tcW w:w="1688" w:type="pct"/>
            <w:tcBorders>
              <w:top w:val="nil"/>
              <w:left w:val="nil"/>
              <w:bottom w:val="nil"/>
              <w:right w:val="single" w:sz="4" w:space="0" w:color="auto"/>
            </w:tcBorders>
            <w:shd w:val="clear" w:color="auto" w:fill="auto"/>
            <w:noWrap/>
            <w:vAlign w:val="center"/>
            <w:hideMark/>
          </w:tcPr>
          <w:p w14:paraId="525E069B" w14:textId="77777777" w:rsidR="009A05C7" w:rsidRPr="008C500E" w:rsidRDefault="009A05C7" w:rsidP="000240DA">
            <w:pPr>
              <w:spacing w:after="0" w:line="240" w:lineRule="auto"/>
              <w:jc w:val="left"/>
              <w:rPr>
                <w:rFonts w:eastAsia="Times New Roman" w:cs="Times New Roman"/>
                <w:color w:val="000000"/>
                <w:sz w:val="18"/>
                <w:szCs w:val="18"/>
                <w:lang w:eastAsia="sk-SK"/>
              </w:rPr>
            </w:pPr>
            <w:r w:rsidRPr="008C500E">
              <w:rPr>
                <w:rFonts w:eastAsia="Times New Roman" w:cs="Times New Roman"/>
                <w:color w:val="000000"/>
                <w:sz w:val="18"/>
                <w:szCs w:val="18"/>
                <w:lang w:eastAsia="sk-SK"/>
              </w:rPr>
              <w:t>Mzdy, reálne</w:t>
            </w:r>
          </w:p>
        </w:tc>
        <w:tc>
          <w:tcPr>
            <w:tcW w:w="473" w:type="pct"/>
            <w:tcBorders>
              <w:top w:val="nil"/>
              <w:left w:val="single" w:sz="4" w:space="0" w:color="auto"/>
              <w:bottom w:val="nil"/>
              <w:right w:val="nil"/>
            </w:tcBorders>
            <w:shd w:val="clear" w:color="auto" w:fill="auto"/>
            <w:noWrap/>
            <w:vAlign w:val="center"/>
            <w:hideMark/>
          </w:tcPr>
          <w:p w14:paraId="7C3037BB"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3,6</w:t>
            </w:r>
          </w:p>
        </w:tc>
        <w:tc>
          <w:tcPr>
            <w:tcW w:w="473" w:type="pct"/>
            <w:tcBorders>
              <w:top w:val="nil"/>
              <w:left w:val="nil"/>
              <w:bottom w:val="nil"/>
              <w:right w:val="single" w:sz="4" w:space="0" w:color="auto"/>
            </w:tcBorders>
            <w:shd w:val="clear" w:color="auto" w:fill="auto"/>
            <w:noWrap/>
            <w:vAlign w:val="center"/>
            <w:hideMark/>
          </w:tcPr>
          <w:p w14:paraId="60D6EF73"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-4,5</w:t>
            </w:r>
          </w:p>
        </w:tc>
        <w:tc>
          <w:tcPr>
            <w:tcW w:w="473" w:type="pct"/>
            <w:tcBorders>
              <w:top w:val="nil"/>
              <w:left w:val="single" w:sz="4" w:space="0" w:color="auto"/>
              <w:bottom w:val="nil"/>
              <w:right w:val="nil"/>
            </w:tcBorders>
            <w:shd w:val="clear" w:color="auto" w:fill="auto"/>
            <w:noWrap/>
            <w:vAlign w:val="center"/>
            <w:hideMark/>
          </w:tcPr>
          <w:p w14:paraId="30AD0BFC"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-0,8</w:t>
            </w:r>
          </w:p>
        </w:tc>
        <w:tc>
          <w:tcPr>
            <w:tcW w:w="473" w:type="pct"/>
            <w:tcBorders>
              <w:top w:val="nil"/>
              <w:left w:val="nil"/>
              <w:bottom w:val="nil"/>
              <w:right w:val="nil"/>
            </w:tcBorders>
            <w:shd w:val="clear" w:color="auto" w:fill="auto"/>
            <w:noWrap/>
            <w:vAlign w:val="center"/>
            <w:hideMark/>
          </w:tcPr>
          <w:p w14:paraId="79B18A06"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3,7</w:t>
            </w:r>
          </w:p>
        </w:tc>
        <w:tc>
          <w:tcPr>
            <w:tcW w:w="473" w:type="pct"/>
            <w:tcBorders>
              <w:top w:val="nil"/>
              <w:left w:val="nil"/>
              <w:bottom w:val="nil"/>
              <w:right w:val="nil"/>
            </w:tcBorders>
            <w:shd w:val="clear" w:color="auto" w:fill="auto"/>
            <w:noWrap/>
            <w:vAlign w:val="center"/>
            <w:hideMark/>
          </w:tcPr>
          <w:p w14:paraId="2B091353"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2,2</w:t>
            </w:r>
          </w:p>
        </w:tc>
        <w:tc>
          <w:tcPr>
            <w:tcW w:w="473" w:type="pct"/>
            <w:tcBorders>
              <w:top w:val="nil"/>
              <w:left w:val="nil"/>
              <w:bottom w:val="nil"/>
              <w:right w:val="nil"/>
            </w:tcBorders>
            <w:shd w:val="clear" w:color="auto" w:fill="auto"/>
            <w:noWrap/>
            <w:vAlign w:val="center"/>
            <w:hideMark/>
          </w:tcPr>
          <w:p w14:paraId="16371678"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1,3</w:t>
            </w:r>
          </w:p>
        </w:tc>
        <w:tc>
          <w:tcPr>
            <w:tcW w:w="474" w:type="pct"/>
            <w:tcBorders>
              <w:top w:val="nil"/>
              <w:left w:val="nil"/>
              <w:bottom w:val="nil"/>
              <w:right w:val="nil"/>
            </w:tcBorders>
            <w:shd w:val="clear" w:color="auto" w:fill="auto"/>
            <w:noWrap/>
            <w:vAlign w:val="center"/>
            <w:hideMark/>
          </w:tcPr>
          <w:p w14:paraId="5A65BFBA"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1,7</w:t>
            </w:r>
          </w:p>
        </w:tc>
      </w:tr>
      <w:tr w:rsidR="009A05C7" w:rsidRPr="008C500E" w14:paraId="3540EFC0" w14:textId="77777777" w:rsidTr="000240DA">
        <w:trPr>
          <w:trHeight w:val="280"/>
        </w:trPr>
        <w:tc>
          <w:tcPr>
            <w:tcW w:w="1688" w:type="pct"/>
            <w:tcBorders>
              <w:top w:val="nil"/>
              <w:left w:val="nil"/>
              <w:bottom w:val="nil"/>
              <w:right w:val="single" w:sz="4" w:space="0" w:color="auto"/>
            </w:tcBorders>
            <w:shd w:val="clear" w:color="auto" w:fill="auto"/>
            <w:noWrap/>
            <w:vAlign w:val="center"/>
            <w:hideMark/>
          </w:tcPr>
          <w:p w14:paraId="1D5AB8C9" w14:textId="77777777" w:rsidR="009A05C7" w:rsidRPr="008C500E" w:rsidRDefault="009A05C7" w:rsidP="000240DA">
            <w:pPr>
              <w:spacing w:after="0" w:line="240" w:lineRule="auto"/>
              <w:jc w:val="left"/>
              <w:rPr>
                <w:rFonts w:eastAsia="Times New Roman" w:cs="Times New Roman"/>
                <w:color w:val="000000"/>
                <w:sz w:val="18"/>
                <w:szCs w:val="18"/>
                <w:lang w:eastAsia="sk-SK"/>
              </w:rPr>
            </w:pPr>
            <w:r w:rsidRPr="008C500E">
              <w:rPr>
                <w:rFonts w:eastAsia="Times New Roman" w:cs="Times New Roman"/>
                <w:color w:val="000000"/>
                <w:sz w:val="18"/>
                <w:szCs w:val="18"/>
                <w:lang w:eastAsia="sk-SK"/>
              </w:rPr>
              <w:t>Miera nezamestnanosti</w:t>
            </w:r>
          </w:p>
        </w:tc>
        <w:tc>
          <w:tcPr>
            <w:tcW w:w="473" w:type="pct"/>
            <w:tcBorders>
              <w:top w:val="nil"/>
              <w:left w:val="single" w:sz="4" w:space="0" w:color="auto"/>
              <w:bottom w:val="nil"/>
              <w:right w:val="nil"/>
            </w:tcBorders>
            <w:shd w:val="clear" w:color="auto" w:fill="auto"/>
            <w:noWrap/>
            <w:vAlign w:val="center"/>
            <w:hideMark/>
          </w:tcPr>
          <w:p w14:paraId="3C6FAF71"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6,8</w:t>
            </w:r>
          </w:p>
        </w:tc>
        <w:tc>
          <w:tcPr>
            <w:tcW w:w="473" w:type="pct"/>
            <w:tcBorders>
              <w:top w:val="nil"/>
              <w:left w:val="nil"/>
              <w:bottom w:val="nil"/>
              <w:right w:val="single" w:sz="4" w:space="0" w:color="auto"/>
            </w:tcBorders>
            <w:shd w:val="clear" w:color="auto" w:fill="auto"/>
            <w:noWrap/>
            <w:vAlign w:val="center"/>
            <w:hideMark/>
          </w:tcPr>
          <w:p w14:paraId="23AA5346"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6,1</w:t>
            </w:r>
          </w:p>
        </w:tc>
        <w:tc>
          <w:tcPr>
            <w:tcW w:w="473" w:type="pct"/>
            <w:tcBorders>
              <w:top w:val="nil"/>
              <w:left w:val="single" w:sz="4" w:space="0" w:color="auto"/>
              <w:bottom w:val="nil"/>
              <w:right w:val="nil"/>
            </w:tcBorders>
            <w:shd w:val="clear" w:color="auto" w:fill="auto"/>
            <w:noWrap/>
            <w:vAlign w:val="center"/>
            <w:hideMark/>
          </w:tcPr>
          <w:p w14:paraId="58497A5F"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5,9</w:t>
            </w:r>
          </w:p>
        </w:tc>
        <w:tc>
          <w:tcPr>
            <w:tcW w:w="473" w:type="pct"/>
            <w:tcBorders>
              <w:top w:val="nil"/>
              <w:left w:val="nil"/>
              <w:bottom w:val="nil"/>
              <w:right w:val="nil"/>
            </w:tcBorders>
            <w:shd w:val="clear" w:color="auto" w:fill="auto"/>
            <w:noWrap/>
            <w:vAlign w:val="center"/>
            <w:hideMark/>
          </w:tcPr>
          <w:p w14:paraId="15E87577"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5,4</w:t>
            </w:r>
          </w:p>
        </w:tc>
        <w:tc>
          <w:tcPr>
            <w:tcW w:w="473" w:type="pct"/>
            <w:tcBorders>
              <w:top w:val="nil"/>
              <w:left w:val="nil"/>
              <w:bottom w:val="nil"/>
              <w:right w:val="nil"/>
            </w:tcBorders>
            <w:shd w:val="clear" w:color="auto" w:fill="auto"/>
            <w:noWrap/>
            <w:vAlign w:val="center"/>
            <w:hideMark/>
          </w:tcPr>
          <w:p w14:paraId="11EF1FBD"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5,1</w:t>
            </w:r>
          </w:p>
        </w:tc>
        <w:tc>
          <w:tcPr>
            <w:tcW w:w="473" w:type="pct"/>
            <w:tcBorders>
              <w:top w:val="nil"/>
              <w:left w:val="nil"/>
              <w:bottom w:val="nil"/>
              <w:right w:val="nil"/>
            </w:tcBorders>
            <w:shd w:val="clear" w:color="auto" w:fill="auto"/>
            <w:noWrap/>
            <w:vAlign w:val="center"/>
            <w:hideMark/>
          </w:tcPr>
          <w:p w14:paraId="1DA15068"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5,0</w:t>
            </w:r>
          </w:p>
        </w:tc>
        <w:tc>
          <w:tcPr>
            <w:tcW w:w="474" w:type="pct"/>
            <w:tcBorders>
              <w:top w:val="nil"/>
              <w:left w:val="nil"/>
              <w:bottom w:val="nil"/>
              <w:right w:val="nil"/>
            </w:tcBorders>
            <w:shd w:val="clear" w:color="auto" w:fill="auto"/>
            <w:noWrap/>
            <w:vAlign w:val="center"/>
            <w:hideMark/>
          </w:tcPr>
          <w:p w14:paraId="509668D7"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5,3</w:t>
            </w:r>
          </w:p>
        </w:tc>
      </w:tr>
      <w:tr w:rsidR="009A05C7" w:rsidRPr="008C500E" w14:paraId="27EFDE30" w14:textId="77777777" w:rsidTr="000240DA">
        <w:trPr>
          <w:trHeight w:val="280"/>
        </w:trPr>
        <w:tc>
          <w:tcPr>
            <w:tcW w:w="1688" w:type="pct"/>
            <w:tcBorders>
              <w:top w:val="nil"/>
              <w:left w:val="nil"/>
              <w:right w:val="single" w:sz="4" w:space="0" w:color="auto"/>
            </w:tcBorders>
            <w:shd w:val="clear" w:color="auto" w:fill="auto"/>
            <w:noWrap/>
            <w:vAlign w:val="center"/>
            <w:hideMark/>
          </w:tcPr>
          <w:p w14:paraId="173A64F4" w14:textId="77777777" w:rsidR="009A05C7" w:rsidRPr="008C500E" w:rsidRDefault="009A05C7" w:rsidP="000240DA">
            <w:pPr>
              <w:spacing w:after="0" w:line="240" w:lineRule="auto"/>
              <w:jc w:val="left"/>
              <w:rPr>
                <w:rFonts w:eastAsia="Times New Roman" w:cs="Times New Roman"/>
                <w:b/>
                <w:bCs/>
                <w:color w:val="000000"/>
                <w:sz w:val="18"/>
                <w:szCs w:val="18"/>
                <w:lang w:eastAsia="sk-SK"/>
              </w:rPr>
            </w:pPr>
            <w:r w:rsidRPr="008C500E">
              <w:rPr>
                <w:rFonts w:eastAsia="Times New Roman" w:cs="Times New Roman"/>
                <w:b/>
                <w:bCs/>
                <w:color w:val="000000"/>
                <w:sz w:val="18"/>
                <w:szCs w:val="18"/>
                <w:lang w:eastAsia="sk-SK"/>
              </w:rPr>
              <w:t>Inflácia</w:t>
            </w:r>
            <w:r w:rsidRPr="008C500E">
              <w:rPr>
                <w:rFonts w:eastAsia="Times New Roman" w:cs="Times New Roman"/>
                <w:color w:val="000000"/>
                <w:sz w:val="18"/>
                <w:szCs w:val="18"/>
                <w:lang w:eastAsia="sk-SK"/>
              </w:rPr>
              <w:t> </w:t>
            </w:r>
          </w:p>
        </w:tc>
        <w:tc>
          <w:tcPr>
            <w:tcW w:w="473" w:type="pct"/>
            <w:tcBorders>
              <w:top w:val="nil"/>
              <w:left w:val="single" w:sz="4" w:space="0" w:color="auto"/>
              <w:right w:val="nil"/>
            </w:tcBorders>
            <w:shd w:val="clear" w:color="auto" w:fill="auto"/>
            <w:noWrap/>
            <w:vAlign w:val="bottom"/>
            <w:hideMark/>
          </w:tcPr>
          <w:p w14:paraId="363FB411" w14:textId="77777777" w:rsidR="009A05C7" w:rsidRPr="008C500E" w:rsidRDefault="009A05C7" w:rsidP="000240DA">
            <w:pPr>
              <w:spacing w:after="0" w:line="240" w:lineRule="auto"/>
              <w:jc w:val="left"/>
              <w:rPr>
                <w:rFonts w:eastAsia="Times New Roman" w:cs="Times New Roman"/>
                <w:b/>
                <w:bCs/>
                <w:color w:val="000000"/>
                <w:sz w:val="18"/>
                <w:szCs w:val="18"/>
                <w:lang w:eastAsia="sk-SK"/>
              </w:rPr>
            </w:pPr>
          </w:p>
        </w:tc>
        <w:tc>
          <w:tcPr>
            <w:tcW w:w="473" w:type="pct"/>
            <w:tcBorders>
              <w:top w:val="nil"/>
              <w:left w:val="nil"/>
              <w:right w:val="single" w:sz="4" w:space="0" w:color="auto"/>
            </w:tcBorders>
            <w:shd w:val="clear" w:color="auto" w:fill="auto"/>
            <w:noWrap/>
            <w:vAlign w:val="bottom"/>
            <w:hideMark/>
          </w:tcPr>
          <w:p w14:paraId="44EBB855" w14:textId="77777777" w:rsidR="009A05C7" w:rsidRPr="008C500E" w:rsidRDefault="009A05C7" w:rsidP="000240DA">
            <w:pPr>
              <w:spacing w:after="0" w:line="240" w:lineRule="auto"/>
              <w:jc w:val="left"/>
              <w:rPr>
                <w:rFonts w:eastAsia="Times New Roman" w:cs="Times New Roman"/>
                <w:sz w:val="20"/>
                <w:szCs w:val="20"/>
                <w:lang w:eastAsia="sk-SK"/>
              </w:rPr>
            </w:pPr>
          </w:p>
        </w:tc>
        <w:tc>
          <w:tcPr>
            <w:tcW w:w="473" w:type="pct"/>
            <w:tcBorders>
              <w:top w:val="nil"/>
              <w:left w:val="single" w:sz="4" w:space="0" w:color="auto"/>
              <w:right w:val="nil"/>
            </w:tcBorders>
            <w:shd w:val="clear" w:color="auto" w:fill="auto"/>
            <w:noWrap/>
            <w:vAlign w:val="bottom"/>
            <w:hideMark/>
          </w:tcPr>
          <w:p w14:paraId="220B6BA6" w14:textId="77777777" w:rsidR="009A05C7" w:rsidRPr="008C500E" w:rsidRDefault="009A05C7" w:rsidP="000240DA">
            <w:pPr>
              <w:spacing w:after="0" w:line="240" w:lineRule="auto"/>
              <w:jc w:val="left"/>
              <w:rPr>
                <w:rFonts w:eastAsia="Times New Roman" w:cs="Times New Roman"/>
                <w:sz w:val="20"/>
                <w:szCs w:val="20"/>
                <w:lang w:eastAsia="sk-SK"/>
              </w:rPr>
            </w:pPr>
          </w:p>
        </w:tc>
        <w:tc>
          <w:tcPr>
            <w:tcW w:w="473" w:type="pct"/>
            <w:tcBorders>
              <w:top w:val="nil"/>
              <w:left w:val="nil"/>
              <w:right w:val="nil"/>
            </w:tcBorders>
            <w:shd w:val="clear" w:color="auto" w:fill="auto"/>
            <w:noWrap/>
            <w:vAlign w:val="bottom"/>
            <w:hideMark/>
          </w:tcPr>
          <w:p w14:paraId="2B2D7FD2" w14:textId="77777777" w:rsidR="009A05C7" w:rsidRPr="008C500E" w:rsidRDefault="009A05C7" w:rsidP="000240DA">
            <w:pPr>
              <w:spacing w:after="0" w:line="240" w:lineRule="auto"/>
              <w:jc w:val="left"/>
              <w:rPr>
                <w:rFonts w:eastAsia="Times New Roman" w:cs="Times New Roman"/>
                <w:sz w:val="20"/>
                <w:szCs w:val="20"/>
                <w:lang w:eastAsia="sk-SK"/>
              </w:rPr>
            </w:pPr>
          </w:p>
        </w:tc>
        <w:tc>
          <w:tcPr>
            <w:tcW w:w="473" w:type="pct"/>
            <w:tcBorders>
              <w:top w:val="nil"/>
              <w:left w:val="nil"/>
              <w:right w:val="nil"/>
            </w:tcBorders>
            <w:shd w:val="clear" w:color="auto" w:fill="auto"/>
            <w:noWrap/>
            <w:vAlign w:val="bottom"/>
            <w:hideMark/>
          </w:tcPr>
          <w:p w14:paraId="0B8D5DD4" w14:textId="77777777" w:rsidR="009A05C7" w:rsidRPr="008C500E" w:rsidRDefault="009A05C7" w:rsidP="000240DA">
            <w:pPr>
              <w:spacing w:after="0" w:line="240" w:lineRule="auto"/>
              <w:jc w:val="left"/>
              <w:rPr>
                <w:rFonts w:eastAsia="Times New Roman" w:cs="Times New Roman"/>
                <w:sz w:val="20"/>
                <w:szCs w:val="20"/>
                <w:lang w:eastAsia="sk-SK"/>
              </w:rPr>
            </w:pPr>
          </w:p>
        </w:tc>
        <w:tc>
          <w:tcPr>
            <w:tcW w:w="473" w:type="pct"/>
            <w:tcBorders>
              <w:top w:val="nil"/>
              <w:left w:val="nil"/>
              <w:right w:val="nil"/>
            </w:tcBorders>
            <w:shd w:val="clear" w:color="auto" w:fill="auto"/>
            <w:noWrap/>
            <w:vAlign w:val="bottom"/>
            <w:hideMark/>
          </w:tcPr>
          <w:p w14:paraId="49554CE1" w14:textId="77777777" w:rsidR="009A05C7" w:rsidRPr="008C500E" w:rsidRDefault="009A05C7" w:rsidP="000240DA">
            <w:pPr>
              <w:spacing w:after="0" w:line="240" w:lineRule="auto"/>
              <w:jc w:val="left"/>
              <w:rPr>
                <w:rFonts w:eastAsia="Times New Roman" w:cs="Times New Roman"/>
                <w:sz w:val="20"/>
                <w:szCs w:val="20"/>
                <w:lang w:eastAsia="sk-SK"/>
              </w:rPr>
            </w:pPr>
          </w:p>
        </w:tc>
        <w:tc>
          <w:tcPr>
            <w:tcW w:w="474" w:type="pct"/>
            <w:tcBorders>
              <w:top w:val="nil"/>
              <w:left w:val="nil"/>
              <w:right w:val="nil"/>
            </w:tcBorders>
            <w:shd w:val="clear" w:color="auto" w:fill="auto"/>
            <w:noWrap/>
            <w:vAlign w:val="bottom"/>
            <w:hideMark/>
          </w:tcPr>
          <w:p w14:paraId="68733CC9" w14:textId="77777777" w:rsidR="009A05C7" w:rsidRPr="008C500E" w:rsidRDefault="009A05C7" w:rsidP="000240DA">
            <w:pPr>
              <w:spacing w:after="0" w:line="240" w:lineRule="auto"/>
              <w:jc w:val="left"/>
              <w:rPr>
                <w:rFonts w:eastAsia="Times New Roman" w:cs="Times New Roman"/>
                <w:sz w:val="20"/>
                <w:szCs w:val="20"/>
                <w:lang w:eastAsia="sk-SK"/>
              </w:rPr>
            </w:pPr>
          </w:p>
        </w:tc>
      </w:tr>
      <w:tr w:rsidR="009A05C7" w:rsidRPr="008C500E" w14:paraId="0A88929A" w14:textId="77777777" w:rsidTr="000240DA">
        <w:trPr>
          <w:trHeight w:val="290"/>
        </w:trPr>
        <w:tc>
          <w:tcPr>
            <w:tcW w:w="1688" w:type="pct"/>
            <w:tcBorders>
              <w:top w:val="nil"/>
              <w:left w:val="nil"/>
              <w:bottom w:val="single" w:sz="4" w:space="0" w:color="auto"/>
              <w:right w:val="single" w:sz="4" w:space="0" w:color="auto"/>
            </w:tcBorders>
            <w:shd w:val="clear" w:color="auto" w:fill="auto"/>
            <w:noWrap/>
            <w:vAlign w:val="center"/>
            <w:hideMark/>
          </w:tcPr>
          <w:p w14:paraId="382B91E2" w14:textId="77777777" w:rsidR="009A05C7" w:rsidRPr="008C500E" w:rsidRDefault="009A05C7" w:rsidP="000240DA">
            <w:pPr>
              <w:spacing w:after="0" w:line="240" w:lineRule="auto"/>
              <w:jc w:val="left"/>
              <w:rPr>
                <w:rFonts w:eastAsia="Times New Roman" w:cs="Times New Roman"/>
                <w:color w:val="000000"/>
                <w:sz w:val="18"/>
                <w:szCs w:val="18"/>
                <w:lang w:eastAsia="sk-SK"/>
              </w:rPr>
            </w:pPr>
            <w:r w:rsidRPr="008C500E">
              <w:rPr>
                <w:rFonts w:eastAsia="Times New Roman" w:cs="Times New Roman"/>
                <w:color w:val="000000"/>
                <w:sz w:val="18"/>
                <w:szCs w:val="18"/>
                <w:lang w:eastAsia="sk-SK"/>
              </w:rPr>
              <w:t>Index spotrebiteľských cien</w:t>
            </w:r>
          </w:p>
        </w:tc>
        <w:tc>
          <w:tcPr>
            <w:tcW w:w="473" w:type="pct"/>
            <w:tcBorders>
              <w:top w:val="nil"/>
              <w:left w:val="single" w:sz="4" w:space="0" w:color="auto"/>
              <w:bottom w:val="single" w:sz="4" w:space="0" w:color="auto"/>
              <w:right w:val="nil"/>
            </w:tcBorders>
            <w:shd w:val="clear" w:color="auto" w:fill="auto"/>
            <w:noWrap/>
            <w:vAlign w:val="center"/>
            <w:hideMark/>
          </w:tcPr>
          <w:p w14:paraId="7A8858A6"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3,2</w:t>
            </w:r>
          </w:p>
        </w:tc>
        <w:tc>
          <w:tcPr>
            <w:tcW w:w="473" w:type="pct"/>
            <w:tcBorders>
              <w:top w:val="nil"/>
              <w:left w:val="nil"/>
              <w:bottom w:val="single" w:sz="4" w:space="0" w:color="auto"/>
              <w:right w:val="single" w:sz="4" w:space="0" w:color="auto"/>
            </w:tcBorders>
            <w:shd w:val="clear" w:color="auto" w:fill="auto"/>
            <w:noWrap/>
            <w:vAlign w:val="center"/>
            <w:hideMark/>
          </w:tcPr>
          <w:p w14:paraId="5BBDD86E"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12,7</w:t>
            </w:r>
          </w:p>
        </w:tc>
        <w:tc>
          <w:tcPr>
            <w:tcW w:w="473" w:type="pct"/>
            <w:tcBorders>
              <w:top w:val="nil"/>
              <w:left w:val="single" w:sz="4" w:space="0" w:color="auto"/>
              <w:bottom w:val="single" w:sz="4" w:space="0" w:color="auto"/>
              <w:right w:val="nil"/>
            </w:tcBorders>
            <w:shd w:val="clear" w:color="auto" w:fill="auto"/>
            <w:noWrap/>
            <w:vAlign w:val="center"/>
            <w:hideMark/>
          </w:tcPr>
          <w:p w14:paraId="1D24E52E"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10,7</w:t>
            </w:r>
          </w:p>
        </w:tc>
        <w:tc>
          <w:tcPr>
            <w:tcW w:w="473" w:type="pct"/>
            <w:tcBorders>
              <w:top w:val="nil"/>
              <w:left w:val="nil"/>
              <w:bottom w:val="single" w:sz="4" w:space="0" w:color="auto"/>
              <w:right w:val="nil"/>
            </w:tcBorders>
            <w:shd w:val="clear" w:color="auto" w:fill="auto"/>
            <w:noWrap/>
            <w:vAlign w:val="center"/>
            <w:hideMark/>
          </w:tcPr>
          <w:p w14:paraId="2B78DACC"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3,2</w:t>
            </w:r>
          </w:p>
        </w:tc>
        <w:tc>
          <w:tcPr>
            <w:tcW w:w="473" w:type="pct"/>
            <w:tcBorders>
              <w:top w:val="nil"/>
              <w:left w:val="nil"/>
              <w:bottom w:val="single" w:sz="4" w:space="0" w:color="auto"/>
              <w:right w:val="nil"/>
            </w:tcBorders>
            <w:shd w:val="clear" w:color="auto" w:fill="auto"/>
            <w:noWrap/>
            <w:vAlign w:val="center"/>
            <w:hideMark/>
          </w:tcPr>
          <w:p w14:paraId="566E89B7"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3,1</w:t>
            </w:r>
          </w:p>
        </w:tc>
        <w:tc>
          <w:tcPr>
            <w:tcW w:w="473" w:type="pct"/>
            <w:tcBorders>
              <w:top w:val="nil"/>
              <w:left w:val="nil"/>
              <w:bottom w:val="single" w:sz="4" w:space="0" w:color="auto"/>
              <w:right w:val="nil"/>
            </w:tcBorders>
            <w:shd w:val="clear" w:color="auto" w:fill="auto"/>
            <w:noWrap/>
            <w:vAlign w:val="center"/>
            <w:hideMark/>
          </w:tcPr>
          <w:p w14:paraId="69A627DD"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3,1</w:t>
            </w:r>
          </w:p>
        </w:tc>
        <w:tc>
          <w:tcPr>
            <w:tcW w:w="474" w:type="pct"/>
            <w:tcBorders>
              <w:top w:val="nil"/>
              <w:left w:val="nil"/>
              <w:bottom w:val="single" w:sz="4" w:space="0" w:color="auto"/>
              <w:right w:val="nil"/>
            </w:tcBorders>
            <w:shd w:val="clear" w:color="auto" w:fill="auto"/>
            <w:noWrap/>
            <w:vAlign w:val="center"/>
            <w:hideMark/>
          </w:tcPr>
          <w:p w14:paraId="26544931" w14:textId="77777777" w:rsidR="009A05C7" w:rsidRPr="008C500E" w:rsidRDefault="009A05C7" w:rsidP="000240DA">
            <w:pPr>
              <w:spacing w:after="0" w:line="240" w:lineRule="auto"/>
              <w:jc w:val="center"/>
              <w:rPr>
                <w:rFonts w:eastAsia="Times New Roman" w:cs="Times New Roman"/>
                <w:color w:val="000000"/>
                <w:sz w:val="18"/>
                <w:szCs w:val="18"/>
                <w:lang w:eastAsia="sk-SK"/>
              </w:rPr>
            </w:pPr>
            <w:r w:rsidRPr="008C500E">
              <w:rPr>
                <w:rFonts w:eastAsia="Times New Roman" w:cs="Times New Roman"/>
                <w:color w:val="000000"/>
                <w:sz w:val="18"/>
                <w:szCs w:val="18"/>
                <w:lang w:eastAsia="sk-SK"/>
              </w:rPr>
              <w:t>2,5</w:t>
            </w:r>
          </w:p>
        </w:tc>
      </w:tr>
    </w:tbl>
    <w:p w14:paraId="346CE175" w14:textId="77777777" w:rsidR="009A05C7" w:rsidRPr="008C500E" w:rsidRDefault="009A05C7" w:rsidP="00582C51">
      <w:pPr>
        <w:spacing w:line="240" w:lineRule="auto"/>
        <w:ind w:left="7139"/>
      </w:pPr>
      <w:r w:rsidRPr="008C500E">
        <w:rPr>
          <w:rFonts w:eastAsia="Times New Roman" w:cs="Times New Roman"/>
          <w:iCs/>
          <w:color w:val="000000"/>
          <w:sz w:val="18"/>
          <w:szCs w:val="18"/>
          <w:lang w:eastAsia="sk-SK"/>
        </w:rPr>
        <w:t>Zdroj: MF SR, ŠÚ SR</w:t>
      </w:r>
    </w:p>
    <w:p w14:paraId="5012123B" w14:textId="107B5A4F" w:rsidR="009A05C7" w:rsidRPr="00CF214D" w:rsidRDefault="009A05C7" w:rsidP="009A05C7">
      <w:pPr>
        <w:spacing w:line="259" w:lineRule="auto"/>
        <w:rPr>
          <w:rFonts w:cs="Times New Roman"/>
          <w:b/>
          <w:bCs/>
          <w:iCs/>
          <w:color w:val="5B9BD5" w:themeColor="accent1"/>
          <w:sz w:val="20"/>
          <w:szCs w:val="20"/>
        </w:rPr>
      </w:pPr>
      <w:bookmarkStart w:id="30" w:name="_Toc196313631"/>
      <w:bookmarkStart w:id="31" w:name="_Toc196389252"/>
      <w:r w:rsidRPr="00CF214D">
        <w:rPr>
          <w:rFonts w:cs="Times New Roman"/>
          <w:b/>
          <w:bCs/>
          <w:iCs/>
          <w:color w:val="5B9BD5" w:themeColor="accent1"/>
          <w:sz w:val="20"/>
          <w:szCs w:val="20"/>
        </w:rPr>
        <w:t xml:space="preserve">Tabuľka </w:t>
      </w:r>
      <w:r w:rsidR="003B7AF0">
        <w:rPr>
          <w:rFonts w:cs="Times New Roman"/>
          <w:b/>
          <w:bCs/>
          <w:iCs/>
          <w:color w:val="5B9BD5" w:themeColor="accent1"/>
          <w:sz w:val="20"/>
          <w:szCs w:val="20"/>
        </w:rPr>
        <w:fldChar w:fldCharType="begin"/>
      </w:r>
      <w:r w:rsidR="003B7AF0">
        <w:rPr>
          <w:rFonts w:cs="Times New Roman"/>
          <w:b/>
          <w:bCs/>
          <w:iCs/>
          <w:color w:val="5B9BD5" w:themeColor="accent1"/>
          <w:sz w:val="20"/>
          <w:szCs w:val="20"/>
        </w:rPr>
        <w:instrText xml:space="preserve"> SEQ Tabuľka \* ARABIC </w:instrText>
      </w:r>
      <w:r w:rsidR="003B7AF0">
        <w:rPr>
          <w:rFonts w:cs="Times New Roman"/>
          <w:b/>
          <w:bCs/>
          <w:iCs/>
          <w:color w:val="5B9BD5" w:themeColor="accent1"/>
          <w:sz w:val="20"/>
          <w:szCs w:val="20"/>
        </w:rPr>
        <w:fldChar w:fldCharType="separate"/>
      </w:r>
      <w:r w:rsidR="00C64CBA">
        <w:rPr>
          <w:rFonts w:cs="Times New Roman"/>
          <w:b/>
          <w:bCs/>
          <w:iCs/>
          <w:noProof/>
          <w:color w:val="5B9BD5" w:themeColor="accent1"/>
          <w:sz w:val="20"/>
          <w:szCs w:val="20"/>
        </w:rPr>
        <w:t>5</w:t>
      </w:r>
      <w:r w:rsidR="003B7AF0">
        <w:rPr>
          <w:rFonts w:cs="Times New Roman"/>
          <w:b/>
          <w:bCs/>
          <w:iCs/>
          <w:color w:val="5B9BD5" w:themeColor="accent1"/>
          <w:sz w:val="20"/>
          <w:szCs w:val="20"/>
        </w:rPr>
        <w:fldChar w:fldCharType="end"/>
      </w:r>
      <w:r w:rsidRPr="00CF214D">
        <w:rPr>
          <w:rFonts w:cs="Times New Roman"/>
          <w:b/>
          <w:bCs/>
          <w:iCs/>
          <w:color w:val="5B9BD5" w:themeColor="accent1"/>
          <w:sz w:val="20"/>
          <w:szCs w:val="20"/>
        </w:rPr>
        <w:t xml:space="preserve"> - Porovnanie prognóz Európskej komisie (EK) a MF SR</w:t>
      </w:r>
      <w:bookmarkEnd w:id="30"/>
      <w:bookmarkEnd w:id="31"/>
    </w:p>
    <w:tbl>
      <w:tblPr>
        <w:tblW w:w="5000" w:type="pct"/>
        <w:tblCellMar>
          <w:left w:w="70" w:type="dxa"/>
          <w:right w:w="70" w:type="dxa"/>
        </w:tblCellMar>
        <w:tblLook w:val="04A0" w:firstRow="1" w:lastRow="0" w:firstColumn="1" w:lastColumn="0" w:noHBand="0" w:noVBand="1"/>
      </w:tblPr>
      <w:tblGrid>
        <w:gridCol w:w="2416"/>
        <w:gridCol w:w="3274"/>
        <w:gridCol w:w="811"/>
        <w:gridCol w:w="811"/>
        <w:gridCol w:w="811"/>
        <w:gridCol w:w="807"/>
      </w:tblGrid>
      <w:tr w:rsidR="009A05C7" w:rsidRPr="00127484" w14:paraId="7C983CCE" w14:textId="77777777" w:rsidTr="000240DA">
        <w:trPr>
          <w:trHeight w:val="290"/>
          <w:tblHeader/>
        </w:trPr>
        <w:tc>
          <w:tcPr>
            <w:tcW w:w="3185" w:type="pct"/>
            <w:gridSpan w:val="2"/>
            <w:tcBorders>
              <w:top w:val="single" w:sz="4" w:space="0" w:color="auto"/>
              <w:left w:val="nil"/>
              <w:bottom w:val="single" w:sz="4" w:space="0" w:color="auto"/>
              <w:right w:val="single" w:sz="4" w:space="0" w:color="auto"/>
            </w:tcBorders>
            <w:shd w:val="clear" w:color="auto" w:fill="auto"/>
            <w:noWrap/>
            <w:vAlign w:val="center"/>
            <w:hideMark/>
          </w:tcPr>
          <w:p w14:paraId="60523B45" w14:textId="77777777" w:rsidR="009A05C7" w:rsidRPr="00127484" w:rsidRDefault="009A05C7" w:rsidP="000240DA">
            <w:pPr>
              <w:spacing w:after="0" w:line="240" w:lineRule="auto"/>
              <w:jc w:val="left"/>
              <w:rPr>
                <w:rFonts w:eastAsia="Times New Roman" w:cs="Times New Roman"/>
                <w:color w:val="000000"/>
                <w:sz w:val="18"/>
                <w:szCs w:val="18"/>
                <w:lang w:eastAsia="sk-SK"/>
              </w:rPr>
            </w:pPr>
            <w:r w:rsidRPr="00127484">
              <w:rPr>
                <w:rFonts w:eastAsia="Times New Roman" w:cs="Times New Roman"/>
                <w:color w:val="000000"/>
                <w:sz w:val="18"/>
                <w:szCs w:val="18"/>
                <w:lang w:eastAsia="sk-SK"/>
              </w:rPr>
              <w:t> </w:t>
            </w:r>
            <w:r w:rsidRPr="00127484">
              <w:rPr>
                <w:rFonts w:eastAsia="Times New Roman" w:cs="Times New Roman"/>
                <w:b/>
                <w:bCs/>
                <w:color w:val="000000"/>
                <w:sz w:val="18"/>
                <w:szCs w:val="18"/>
                <w:lang w:eastAsia="sk-SK"/>
              </w:rPr>
              <w:t>Ukazovateľ (rast v %, ak nie je uvedené inak)</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B8BE1A" w14:textId="77777777" w:rsidR="009A05C7" w:rsidRPr="00127484" w:rsidRDefault="009A05C7" w:rsidP="000240DA">
            <w:pPr>
              <w:spacing w:after="0" w:line="240" w:lineRule="auto"/>
              <w:jc w:val="center"/>
              <w:rPr>
                <w:rFonts w:eastAsia="Times New Roman" w:cs="Times New Roman"/>
                <w:b/>
                <w:bCs/>
                <w:color w:val="000000"/>
                <w:sz w:val="18"/>
                <w:szCs w:val="18"/>
                <w:lang w:eastAsia="sk-SK"/>
              </w:rPr>
            </w:pPr>
            <w:r w:rsidRPr="00127484">
              <w:rPr>
                <w:rFonts w:eastAsia="Times New Roman" w:cs="Times New Roman"/>
                <w:b/>
                <w:bCs/>
                <w:color w:val="000000"/>
                <w:sz w:val="18"/>
                <w:szCs w:val="18"/>
                <w:lang w:eastAsia="sk-SK"/>
              </w:rPr>
              <w:t>2022</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1C4D6" w14:textId="77777777" w:rsidR="009A05C7" w:rsidRPr="00127484" w:rsidRDefault="009A05C7" w:rsidP="000240DA">
            <w:pPr>
              <w:spacing w:after="0" w:line="240" w:lineRule="auto"/>
              <w:jc w:val="center"/>
              <w:rPr>
                <w:rFonts w:eastAsia="Times New Roman" w:cs="Times New Roman"/>
                <w:b/>
                <w:bCs/>
                <w:color w:val="000000"/>
                <w:sz w:val="18"/>
                <w:szCs w:val="18"/>
                <w:lang w:eastAsia="sk-SK"/>
              </w:rPr>
            </w:pPr>
            <w:r w:rsidRPr="00127484">
              <w:rPr>
                <w:rFonts w:eastAsia="Times New Roman" w:cs="Times New Roman"/>
                <w:b/>
                <w:bCs/>
                <w:color w:val="000000"/>
                <w:sz w:val="18"/>
                <w:szCs w:val="18"/>
                <w:lang w:eastAsia="sk-SK"/>
              </w:rPr>
              <w:t>2023</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C913F8" w14:textId="77777777" w:rsidR="009A05C7" w:rsidRPr="00127484" w:rsidRDefault="009A05C7" w:rsidP="000240DA">
            <w:pPr>
              <w:spacing w:after="0" w:line="240" w:lineRule="auto"/>
              <w:jc w:val="center"/>
              <w:rPr>
                <w:rFonts w:eastAsia="Times New Roman" w:cs="Times New Roman"/>
                <w:b/>
                <w:bCs/>
                <w:color w:val="000000"/>
                <w:sz w:val="18"/>
                <w:szCs w:val="18"/>
                <w:lang w:eastAsia="sk-SK"/>
              </w:rPr>
            </w:pPr>
            <w:r w:rsidRPr="00127484">
              <w:rPr>
                <w:rFonts w:eastAsia="Times New Roman" w:cs="Times New Roman"/>
                <w:b/>
                <w:bCs/>
                <w:color w:val="000000"/>
                <w:sz w:val="18"/>
                <w:szCs w:val="18"/>
                <w:lang w:eastAsia="sk-SK"/>
              </w:rPr>
              <w:t>2024</w:t>
            </w:r>
          </w:p>
        </w:tc>
        <w:tc>
          <w:tcPr>
            <w:tcW w:w="452" w:type="pct"/>
            <w:tcBorders>
              <w:top w:val="single" w:sz="4" w:space="0" w:color="auto"/>
              <w:left w:val="single" w:sz="4" w:space="0" w:color="auto"/>
              <w:bottom w:val="single" w:sz="4" w:space="0" w:color="auto"/>
              <w:right w:val="nil"/>
            </w:tcBorders>
            <w:shd w:val="clear" w:color="auto" w:fill="auto"/>
            <w:noWrap/>
            <w:vAlign w:val="center"/>
            <w:hideMark/>
          </w:tcPr>
          <w:p w14:paraId="750FDCD8" w14:textId="77777777" w:rsidR="009A05C7" w:rsidRPr="00127484" w:rsidRDefault="009A05C7" w:rsidP="000240DA">
            <w:pPr>
              <w:spacing w:after="0" w:line="240" w:lineRule="auto"/>
              <w:jc w:val="center"/>
              <w:rPr>
                <w:rFonts w:eastAsia="Times New Roman" w:cs="Times New Roman"/>
                <w:b/>
                <w:bCs/>
                <w:color w:val="000000"/>
                <w:sz w:val="18"/>
                <w:szCs w:val="18"/>
                <w:lang w:eastAsia="sk-SK"/>
              </w:rPr>
            </w:pPr>
            <w:r w:rsidRPr="00127484">
              <w:rPr>
                <w:rFonts w:eastAsia="Times New Roman" w:cs="Times New Roman"/>
                <w:b/>
                <w:bCs/>
                <w:color w:val="000000"/>
                <w:sz w:val="18"/>
                <w:szCs w:val="18"/>
                <w:lang w:eastAsia="sk-SK"/>
              </w:rPr>
              <w:t>2025</w:t>
            </w:r>
          </w:p>
        </w:tc>
      </w:tr>
      <w:tr w:rsidR="009A05C7" w:rsidRPr="00127484" w14:paraId="7DA25586" w14:textId="77777777" w:rsidTr="000240DA">
        <w:trPr>
          <w:trHeight w:val="280"/>
        </w:trPr>
        <w:tc>
          <w:tcPr>
            <w:tcW w:w="1352" w:type="pct"/>
            <w:vMerge w:val="restart"/>
            <w:tcBorders>
              <w:top w:val="single" w:sz="4" w:space="0" w:color="auto"/>
              <w:left w:val="nil"/>
              <w:bottom w:val="single" w:sz="8" w:space="0" w:color="000000"/>
              <w:right w:val="single" w:sz="4" w:space="0" w:color="auto"/>
            </w:tcBorders>
            <w:shd w:val="clear" w:color="auto" w:fill="auto"/>
            <w:noWrap/>
            <w:vAlign w:val="center"/>
            <w:hideMark/>
          </w:tcPr>
          <w:p w14:paraId="7761B23A" w14:textId="77777777" w:rsidR="009A05C7" w:rsidRPr="00127484" w:rsidRDefault="009A05C7" w:rsidP="000240DA">
            <w:pPr>
              <w:spacing w:after="0" w:line="240" w:lineRule="auto"/>
              <w:jc w:val="left"/>
              <w:rPr>
                <w:rFonts w:eastAsia="Times New Roman" w:cs="Times New Roman"/>
                <w:color w:val="000000"/>
                <w:sz w:val="18"/>
                <w:szCs w:val="18"/>
                <w:lang w:eastAsia="sk-SK"/>
              </w:rPr>
            </w:pPr>
            <w:r w:rsidRPr="00127484">
              <w:rPr>
                <w:rFonts w:eastAsia="Times New Roman" w:cs="Times New Roman"/>
                <w:color w:val="000000"/>
                <w:sz w:val="18"/>
                <w:szCs w:val="18"/>
                <w:lang w:eastAsia="sk-SK"/>
              </w:rPr>
              <w:t>Reálne HDP</w:t>
            </w:r>
          </w:p>
        </w:tc>
        <w:tc>
          <w:tcPr>
            <w:tcW w:w="18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F63F6" w14:textId="77777777" w:rsidR="009A05C7" w:rsidRPr="00127484" w:rsidRDefault="009A05C7" w:rsidP="000240DA">
            <w:pPr>
              <w:spacing w:after="0" w:line="240" w:lineRule="auto"/>
              <w:jc w:val="left"/>
              <w:rPr>
                <w:rFonts w:eastAsia="Times New Roman" w:cs="Times New Roman"/>
                <w:color w:val="000000"/>
                <w:sz w:val="18"/>
                <w:szCs w:val="18"/>
                <w:lang w:eastAsia="sk-SK"/>
              </w:rPr>
            </w:pPr>
            <w:r w:rsidRPr="00127484">
              <w:rPr>
                <w:rFonts w:eastAsia="Times New Roman" w:cs="Times New Roman"/>
                <w:color w:val="000000"/>
                <w:sz w:val="18"/>
                <w:szCs w:val="18"/>
                <w:lang w:eastAsia="sk-SK"/>
              </w:rPr>
              <w:t>Prognóza EK (jeseň)</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ACF2C"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1,8</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DAC01A"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1,3</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085540"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1,7</w:t>
            </w:r>
          </w:p>
        </w:tc>
        <w:tc>
          <w:tcPr>
            <w:tcW w:w="452" w:type="pct"/>
            <w:tcBorders>
              <w:top w:val="single" w:sz="4" w:space="0" w:color="auto"/>
              <w:left w:val="single" w:sz="4" w:space="0" w:color="auto"/>
              <w:bottom w:val="single" w:sz="4" w:space="0" w:color="auto"/>
              <w:right w:val="nil"/>
            </w:tcBorders>
            <w:shd w:val="clear" w:color="auto" w:fill="auto"/>
            <w:noWrap/>
            <w:vAlign w:val="center"/>
            <w:hideMark/>
          </w:tcPr>
          <w:p w14:paraId="05BB4DBF"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2,0</w:t>
            </w:r>
          </w:p>
        </w:tc>
      </w:tr>
      <w:tr w:rsidR="009A05C7" w:rsidRPr="00127484" w14:paraId="2C75FF86" w14:textId="77777777" w:rsidTr="000240DA">
        <w:trPr>
          <w:trHeight w:val="290"/>
        </w:trPr>
        <w:tc>
          <w:tcPr>
            <w:tcW w:w="1352" w:type="pct"/>
            <w:vMerge/>
            <w:tcBorders>
              <w:top w:val="nil"/>
              <w:left w:val="nil"/>
              <w:bottom w:val="single" w:sz="4" w:space="0" w:color="auto"/>
              <w:right w:val="single" w:sz="4" w:space="0" w:color="auto"/>
            </w:tcBorders>
            <w:vAlign w:val="center"/>
            <w:hideMark/>
          </w:tcPr>
          <w:p w14:paraId="57B7FE46" w14:textId="77777777" w:rsidR="009A05C7" w:rsidRPr="00127484" w:rsidRDefault="009A05C7" w:rsidP="000240DA">
            <w:pPr>
              <w:spacing w:after="0" w:line="240" w:lineRule="auto"/>
              <w:jc w:val="left"/>
              <w:rPr>
                <w:rFonts w:eastAsia="Times New Roman" w:cs="Times New Roman"/>
                <w:color w:val="000000"/>
                <w:sz w:val="18"/>
                <w:szCs w:val="18"/>
                <w:lang w:eastAsia="sk-SK"/>
              </w:rPr>
            </w:pPr>
          </w:p>
        </w:tc>
        <w:tc>
          <w:tcPr>
            <w:tcW w:w="18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A2A25D" w14:textId="77777777" w:rsidR="009A05C7" w:rsidRPr="00127484" w:rsidRDefault="009A05C7" w:rsidP="000240DA">
            <w:pPr>
              <w:spacing w:after="0" w:line="240" w:lineRule="auto"/>
              <w:jc w:val="left"/>
              <w:rPr>
                <w:rFonts w:eastAsia="Times New Roman" w:cs="Times New Roman"/>
                <w:color w:val="000000"/>
                <w:sz w:val="18"/>
                <w:szCs w:val="18"/>
                <w:lang w:eastAsia="sk-SK"/>
              </w:rPr>
            </w:pPr>
            <w:r w:rsidRPr="00127484">
              <w:rPr>
                <w:rFonts w:eastAsia="Times New Roman" w:cs="Times New Roman"/>
                <w:color w:val="000000"/>
                <w:sz w:val="18"/>
                <w:szCs w:val="18"/>
                <w:lang w:eastAsia="sk-SK"/>
              </w:rPr>
              <w:t>Prognóza MF SR (dec)</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3BA8F2"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1,8</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CD199D"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1,2</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C83BD"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2,7</w:t>
            </w:r>
          </w:p>
        </w:tc>
        <w:tc>
          <w:tcPr>
            <w:tcW w:w="452" w:type="pct"/>
            <w:tcBorders>
              <w:top w:val="single" w:sz="4" w:space="0" w:color="auto"/>
              <w:left w:val="single" w:sz="4" w:space="0" w:color="auto"/>
              <w:bottom w:val="single" w:sz="4" w:space="0" w:color="auto"/>
              <w:right w:val="nil"/>
            </w:tcBorders>
            <w:shd w:val="clear" w:color="auto" w:fill="auto"/>
            <w:noWrap/>
            <w:vAlign w:val="center"/>
            <w:hideMark/>
          </w:tcPr>
          <w:p w14:paraId="6036AC1F"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2,8</w:t>
            </w:r>
          </w:p>
        </w:tc>
      </w:tr>
      <w:tr w:rsidR="009A05C7" w:rsidRPr="00127484" w14:paraId="6BB7A700" w14:textId="77777777" w:rsidTr="000240DA">
        <w:trPr>
          <w:trHeight w:val="280"/>
        </w:trPr>
        <w:tc>
          <w:tcPr>
            <w:tcW w:w="1352" w:type="pct"/>
            <w:vMerge w:val="restart"/>
            <w:tcBorders>
              <w:top w:val="single" w:sz="4" w:space="0" w:color="auto"/>
              <w:left w:val="nil"/>
              <w:bottom w:val="single" w:sz="4" w:space="0" w:color="auto"/>
              <w:right w:val="single" w:sz="4" w:space="0" w:color="auto"/>
            </w:tcBorders>
            <w:shd w:val="clear" w:color="auto" w:fill="auto"/>
            <w:noWrap/>
            <w:vAlign w:val="center"/>
            <w:hideMark/>
          </w:tcPr>
          <w:p w14:paraId="45D87E7D" w14:textId="77777777" w:rsidR="009A05C7" w:rsidRPr="00127484" w:rsidRDefault="009A05C7" w:rsidP="000240DA">
            <w:pPr>
              <w:spacing w:after="0" w:line="240" w:lineRule="auto"/>
              <w:ind w:firstLineChars="300" w:firstLine="540"/>
              <w:jc w:val="left"/>
              <w:rPr>
                <w:rFonts w:eastAsia="Times New Roman" w:cs="Times New Roman"/>
                <w:color w:val="000000"/>
                <w:sz w:val="18"/>
                <w:szCs w:val="18"/>
                <w:lang w:eastAsia="sk-SK"/>
              </w:rPr>
            </w:pPr>
            <w:r w:rsidRPr="00127484">
              <w:rPr>
                <w:rFonts w:eastAsia="Times New Roman" w:cs="Times New Roman"/>
                <w:color w:val="000000"/>
                <w:sz w:val="18"/>
                <w:szCs w:val="18"/>
                <w:lang w:eastAsia="sk-SK"/>
              </w:rPr>
              <w:t>Súkromná spotreba</w:t>
            </w:r>
          </w:p>
        </w:tc>
        <w:tc>
          <w:tcPr>
            <w:tcW w:w="18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94DD7" w14:textId="77777777" w:rsidR="009A05C7" w:rsidRPr="00127484" w:rsidRDefault="009A05C7" w:rsidP="000240DA">
            <w:pPr>
              <w:spacing w:after="0" w:line="240" w:lineRule="auto"/>
              <w:jc w:val="left"/>
              <w:rPr>
                <w:rFonts w:eastAsia="Times New Roman" w:cs="Times New Roman"/>
                <w:color w:val="000000"/>
                <w:sz w:val="18"/>
                <w:szCs w:val="18"/>
                <w:lang w:eastAsia="sk-SK"/>
              </w:rPr>
            </w:pPr>
            <w:r w:rsidRPr="00127484">
              <w:rPr>
                <w:rFonts w:eastAsia="Times New Roman" w:cs="Times New Roman"/>
                <w:color w:val="000000"/>
                <w:sz w:val="18"/>
                <w:szCs w:val="18"/>
                <w:lang w:eastAsia="sk-SK"/>
              </w:rPr>
              <w:t>Prognóza EK (jeseň)</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ABEF12"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5,5</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F67B2"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-1,6</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9EF8F"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1,5</w:t>
            </w:r>
          </w:p>
        </w:tc>
        <w:tc>
          <w:tcPr>
            <w:tcW w:w="452" w:type="pct"/>
            <w:tcBorders>
              <w:top w:val="single" w:sz="4" w:space="0" w:color="auto"/>
              <w:left w:val="single" w:sz="4" w:space="0" w:color="auto"/>
              <w:bottom w:val="single" w:sz="4" w:space="0" w:color="auto"/>
              <w:right w:val="nil"/>
            </w:tcBorders>
            <w:shd w:val="clear" w:color="auto" w:fill="auto"/>
            <w:noWrap/>
            <w:vAlign w:val="center"/>
            <w:hideMark/>
          </w:tcPr>
          <w:p w14:paraId="69A7F6E5"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0,9</w:t>
            </w:r>
          </w:p>
        </w:tc>
      </w:tr>
      <w:tr w:rsidR="009A05C7" w:rsidRPr="00127484" w14:paraId="7F33717B" w14:textId="77777777" w:rsidTr="000240DA">
        <w:trPr>
          <w:trHeight w:val="290"/>
        </w:trPr>
        <w:tc>
          <w:tcPr>
            <w:tcW w:w="1352" w:type="pct"/>
            <w:vMerge/>
            <w:tcBorders>
              <w:top w:val="single" w:sz="4" w:space="0" w:color="auto"/>
              <w:left w:val="nil"/>
              <w:bottom w:val="single" w:sz="4" w:space="0" w:color="auto"/>
              <w:right w:val="single" w:sz="4" w:space="0" w:color="auto"/>
            </w:tcBorders>
            <w:vAlign w:val="center"/>
            <w:hideMark/>
          </w:tcPr>
          <w:p w14:paraId="7F8E95D8" w14:textId="77777777" w:rsidR="009A05C7" w:rsidRPr="00127484" w:rsidRDefault="009A05C7" w:rsidP="000240DA">
            <w:pPr>
              <w:spacing w:after="0" w:line="240" w:lineRule="auto"/>
              <w:jc w:val="left"/>
              <w:rPr>
                <w:rFonts w:eastAsia="Times New Roman" w:cs="Times New Roman"/>
                <w:color w:val="000000"/>
                <w:sz w:val="18"/>
                <w:szCs w:val="18"/>
                <w:lang w:eastAsia="sk-SK"/>
              </w:rPr>
            </w:pPr>
          </w:p>
        </w:tc>
        <w:tc>
          <w:tcPr>
            <w:tcW w:w="18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178093" w14:textId="77777777" w:rsidR="009A05C7" w:rsidRPr="00127484" w:rsidRDefault="009A05C7" w:rsidP="000240DA">
            <w:pPr>
              <w:spacing w:after="0" w:line="240" w:lineRule="auto"/>
              <w:jc w:val="left"/>
              <w:rPr>
                <w:rFonts w:eastAsia="Times New Roman" w:cs="Times New Roman"/>
                <w:color w:val="000000"/>
                <w:sz w:val="18"/>
                <w:szCs w:val="18"/>
                <w:lang w:eastAsia="sk-SK"/>
              </w:rPr>
            </w:pPr>
            <w:r w:rsidRPr="00127484">
              <w:rPr>
                <w:rFonts w:eastAsia="Times New Roman" w:cs="Times New Roman"/>
                <w:color w:val="000000"/>
                <w:sz w:val="18"/>
                <w:szCs w:val="18"/>
                <w:lang w:eastAsia="sk-SK"/>
              </w:rPr>
              <w:t>Prognóza MF SR (dec)</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AC39AE"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5,7</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D9D7C"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-1,9</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FF4649"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3,3</w:t>
            </w:r>
          </w:p>
        </w:tc>
        <w:tc>
          <w:tcPr>
            <w:tcW w:w="452" w:type="pct"/>
            <w:tcBorders>
              <w:top w:val="single" w:sz="4" w:space="0" w:color="auto"/>
              <w:left w:val="single" w:sz="4" w:space="0" w:color="auto"/>
              <w:bottom w:val="single" w:sz="4" w:space="0" w:color="auto"/>
              <w:right w:val="nil"/>
            </w:tcBorders>
            <w:shd w:val="clear" w:color="auto" w:fill="auto"/>
            <w:noWrap/>
            <w:vAlign w:val="center"/>
            <w:hideMark/>
          </w:tcPr>
          <w:p w14:paraId="423826C0"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1,7</w:t>
            </w:r>
          </w:p>
        </w:tc>
      </w:tr>
      <w:tr w:rsidR="009A05C7" w:rsidRPr="00127484" w14:paraId="791640F9" w14:textId="77777777" w:rsidTr="000240DA">
        <w:trPr>
          <w:trHeight w:val="280"/>
        </w:trPr>
        <w:tc>
          <w:tcPr>
            <w:tcW w:w="1352" w:type="pct"/>
            <w:vMerge w:val="restart"/>
            <w:tcBorders>
              <w:top w:val="single" w:sz="4" w:space="0" w:color="auto"/>
              <w:left w:val="nil"/>
              <w:bottom w:val="single" w:sz="4" w:space="0" w:color="auto"/>
              <w:right w:val="single" w:sz="4" w:space="0" w:color="auto"/>
            </w:tcBorders>
            <w:shd w:val="clear" w:color="auto" w:fill="auto"/>
            <w:noWrap/>
            <w:vAlign w:val="center"/>
            <w:hideMark/>
          </w:tcPr>
          <w:p w14:paraId="739584CD" w14:textId="77777777" w:rsidR="009A05C7" w:rsidRPr="00127484" w:rsidRDefault="009A05C7" w:rsidP="000240DA">
            <w:pPr>
              <w:spacing w:after="0" w:line="240" w:lineRule="auto"/>
              <w:ind w:firstLineChars="300" w:firstLine="540"/>
              <w:jc w:val="left"/>
              <w:rPr>
                <w:rFonts w:eastAsia="Times New Roman" w:cs="Times New Roman"/>
                <w:color w:val="000000"/>
                <w:sz w:val="18"/>
                <w:szCs w:val="18"/>
                <w:lang w:eastAsia="sk-SK"/>
              </w:rPr>
            </w:pPr>
            <w:r w:rsidRPr="00127484">
              <w:rPr>
                <w:rFonts w:eastAsia="Times New Roman" w:cs="Times New Roman"/>
                <w:color w:val="000000"/>
                <w:sz w:val="18"/>
                <w:szCs w:val="18"/>
                <w:lang w:eastAsia="sk-SK"/>
              </w:rPr>
              <w:t>Verejná spotreba</w:t>
            </w:r>
          </w:p>
        </w:tc>
        <w:tc>
          <w:tcPr>
            <w:tcW w:w="18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1495E5" w14:textId="77777777" w:rsidR="009A05C7" w:rsidRPr="00127484" w:rsidRDefault="009A05C7" w:rsidP="000240DA">
            <w:pPr>
              <w:spacing w:after="0" w:line="240" w:lineRule="auto"/>
              <w:jc w:val="left"/>
              <w:rPr>
                <w:rFonts w:eastAsia="Times New Roman" w:cs="Times New Roman"/>
                <w:color w:val="000000"/>
                <w:sz w:val="18"/>
                <w:szCs w:val="18"/>
                <w:lang w:eastAsia="sk-SK"/>
              </w:rPr>
            </w:pPr>
            <w:r w:rsidRPr="00127484">
              <w:rPr>
                <w:rFonts w:eastAsia="Times New Roman" w:cs="Times New Roman"/>
                <w:color w:val="000000"/>
                <w:sz w:val="18"/>
                <w:szCs w:val="18"/>
                <w:lang w:eastAsia="sk-SK"/>
              </w:rPr>
              <w:t>Prognóza EK (jeseň)</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761EA"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-4,2</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03FAD2"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-4,3</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B9EF3A"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2,9</w:t>
            </w:r>
          </w:p>
        </w:tc>
        <w:tc>
          <w:tcPr>
            <w:tcW w:w="452" w:type="pct"/>
            <w:tcBorders>
              <w:top w:val="single" w:sz="4" w:space="0" w:color="auto"/>
              <w:left w:val="single" w:sz="4" w:space="0" w:color="auto"/>
              <w:bottom w:val="single" w:sz="4" w:space="0" w:color="auto"/>
              <w:right w:val="nil"/>
            </w:tcBorders>
            <w:shd w:val="clear" w:color="auto" w:fill="auto"/>
            <w:noWrap/>
            <w:vAlign w:val="center"/>
            <w:hideMark/>
          </w:tcPr>
          <w:p w14:paraId="351B72F7"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1,3</w:t>
            </w:r>
          </w:p>
        </w:tc>
      </w:tr>
      <w:tr w:rsidR="009A05C7" w:rsidRPr="00127484" w14:paraId="17432EF7" w14:textId="77777777" w:rsidTr="000240DA">
        <w:trPr>
          <w:trHeight w:val="290"/>
        </w:trPr>
        <w:tc>
          <w:tcPr>
            <w:tcW w:w="1352" w:type="pct"/>
            <w:vMerge/>
            <w:tcBorders>
              <w:top w:val="single" w:sz="4" w:space="0" w:color="auto"/>
              <w:left w:val="nil"/>
              <w:bottom w:val="single" w:sz="4" w:space="0" w:color="auto"/>
              <w:right w:val="single" w:sz="4" w:space="0" w:color="auto"/>
            </w:tcBorders>
            <w:vAlign w:val="center"/>
            <w:hideMark/>
          </w:tcPr>
          <w:p w14:paraId="65C78917" w14:textId="77777777" w:rsidR="009A05C7" w:rsidRPr="00127484" w:rsidRDefault="009A05C7" w:rsidP="000240DA">
            <w:pPr>
              <w:spacing w:after="0" w:line="240" w:lineRule="auto"/>
              <w:jc w:val="left"/>
              <w:rPr>
                <w:rFonts w:eastAsia="Times New Roman" w:cs="Times New Roman"/>
                <w:color w:val="000000"/>
                <w:sz w:val="18"/>
                <w:szCs w:val="18"/>
                <w:lang w:eastAsia="sk-SK"/>
              </w:rPr>
            </w:pPr>
          </w:p>
        </w:tc>
        <w:tc>
          <w:tcPr>
            <w:tcW w:w="18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32247" w14:textId="77777777" w:rsidR="009A05C7" w:rsidRPr="00127484" w:rsidRDefault="009A05C7" w:rsidP="000240DA">
            <w:pPr>
              <w:spacing w:after="0" w:line="240" w:lineRule="auto"/>
              <w:jc w:val="left"/>
              <w:rPr>
                <w:rFonts w:eastAsia="Times New Roman" w:cs="Times New Roman"/>
                <w:color w:val="000000"/>
                <w:sz w:val="18"/>
                <w:szCs w:val="18"/>
                <w:lang w:eastAsia="sk-SK"/>
              </w:rPr>
            </w:pPr>
            <w:r w:rsidRPr="00127484">
              <w:rPr>
                <w:rFonts w:eastAsia="Times New Roman" w:cs="Times New Roman"/>
                <w:color w:val="000000"/>
                <w:sz w:val="18"/>
                <w:szCs w:val="18"/>
                <w:lang w:eastAsia="sk-SK"/>
              </w:rPr>
              <w:t>Prognóza MF SR (dec)</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6DF59"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-4,2</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34633"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-1,1</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90FCF"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1,2</w:t>
            </w:r>
          </w:p>
        </w:tc>
        <w:tc>
          <w:tcPr>
            <w:tcW w:w="452" w:type="pct"/>
            <w:tcBorders>
              <w:top w:val="single" w:sz="4" w:space="0" w:color="auto"/>
              <w:left w:val="single" w:sz="4" w:space="0" w:color="auto"/>
              <w:bottom w:val="single" w:sz="4" w:space="0" w:color="auto"/>
              <w:right w:val="nil"/>
            </w:tcBorders>
            <w:shd w:val="clear" w:color="auto" w:fill="auto"/>
            <w:noWrap/>
            <w:vAlign w:val="center"/>
            <w:hideMark/>
          </w:tcPr>
          <w:p w14:paraId="5E2046A6"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0,9</w:t>
            </w:r>
          </w:p>
        </w:tc>
      </w:tr>
      <w:tr w:rsidR="009A05C7" w:rsidRPr="00127484" w14:paraId="29E85B72" w14:textId="77777777" w:rsidTr="000240DA">
        <w:trPr>
          <w:trHeight w:val="280"/>
        </w:trPr>
        <w:tc>
          <w:tcPr>
            <w:tcW w:w="1352" w:type="pct"/>
            <w:vMerge w:val="restart"/>
            <w:tcBorders>
              <w:top w:val="single" w:sz="4" w:space="0" w:color="auto"/>
              <w:left w:val="nil"/>
              <w:bottom w:val="single" w:sz="4" w:space="0" w:color="auto"/>
              <w:right w:val="single" w:sz="4" w:space="0" w:color="auto"/>
            </w:tcBorders>
            <w:shd w:val="clear" w:color="auto" w:fill="auto"/>
            <w:noWrap/>
            <w:vAlign w:val="center"/>
            <w:hideMark/>
          </w:tcPr>
          <w:p w14:paraId="076D7959" w14:textId="77777777" w:rsidR="009A05C7" w:rsidRPr="00127484" w:rsidRDefault="009A05C7" w:rsidP="000240DA">
            <w:pPr>
              <w:spacing w:after="0" w:line="240" w:lineRule="auto"/>
              <w:ind w:firstLineChars="300" w:firstLine="540"/>
              <w:jc w:val="left"/>
              <w:rPr>
                <w:rFonts w:eastAsia="Times New Roman" w:cs="Times New Roman"/>
                <w:color w:val="000000"/>
                <w:sz w:val="18"/>
                <w:szCs w:val="18"/>
                <w:lang w:eastAsia="sk-SK"/>
              </w:rPr>
            </w:pPr>
            <w:r w:rsidRPr="00127484">
              <w:rPr>
                <w:rFonts w:eastAsia="Times New Roman" w:cs="Times New Roman"/>
                <w:color w:val="000000"/>
                <w:sz w:val="18"/>
                <w:szCs w:val="18"/>
                <w:lang w:eastAsia="sk-SK"/>
              </w:rPr>
              <w:t>Investície</w:t>
            </w:r>
          </w:p>
        </w:tc>
        <w:tc>
          <w:tcPr>
            <w:tcW w:w="18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D506FA" w14:textId="77777777" w:rsidR="009A05C7" w:rsidRPr="00127484" w:rsidRDefault="009A05C7" w:rsidP="000240DA">
            <w:pPr>
              <w:spacing w:after="0" w:line="240" w:lineRule="auto"/>
              <w:jc w:val="left"/>
              <w:rPr>
                <w:rFonts w:eastAsia="Times New Roman" w:cs="Times New Roman"/>
                <w:color w:val="000000"/>
                <w:sz w:val="18"/>
                <w:szCs w:val="18"/>
                <w:lang w:eastAsia="sk-SK"/>
              </w:rPr>
            </w:pPr>
            <w:r w:rsidRPr="00127484">
              <w:rPr>
                <w:rFonts w:eastAsia="Times New Roman" w:cs="Times New Roman"/>
                <w:color w:val="000000"/>
                <w:sz w:val="18"/>
                <w:szCs w:val="18"/>
                <w:lang w:eastAsia="sk-SK"/>
              </w:rPr>
              <w:t>Prognóza EK (jeseň)</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796EC6"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4,5</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9B867D"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5,0</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313BF"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2,5</w:t>
            </w:r>
          </w:p>
        </w:tc>
        <w:tc>
          <w:tcPr>
            <w:tcW w:w="452" w:type="pct"/>
            <w:tcBorders>
              <w:top w:val="single" w:sz="4" w:space="0" w:color="auto"/>
              <w:left w:val="single" w:sz="4" w:space="0" w:color="auto"/>
              <w:bottom w:val="single" w:sz="4" w:space="0" w:color="auto"/>
              <w:right w:val="nil"/>
            </w:tcBorders>
            <w:shd w:val="clear" w:color="auto" w:fill="auto"/>
            <w:noWrap/>
            <w:vAlign w:val="center"/>
            <w:hideMark/>
          </w:tcPr>
          <w:p w14:paraId="199951EB"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3,3</w:t>
            </w:r>
          </w:p>
        </w:tc>
      </w:tr>
      <w:tr w:rsidR="009A05C7" w:rsidRPr="00127484" w14:paraId="3D8BC584" w14:textId="77777777" w:rsidTr="000240DA">
        <w:trPr>
          <w:trHeight w:val="290"/>
        </w:trPr>
        <w:tc>
          <w:tcPr>
            <w:tcW w:w="1352" w:type="pct"/>
            <w:vMerge/>
            <w:tcBorders>
              <w:top w:val="single" w:sz="4" w:space="0" w:color="auto"/>
              <w:left w:val="nil"/>
              <w:bottom w:val="single" w:sz="4" w:space="0" w:color="auto"/>
              <w:right w:val="single" w:sz="4" w:space="0" w:color="auto"/>
            </w:tcBorders>
            <w:vAlign w:val="center"/>
            <w:hideMark/>
          </w:tcPr>
          <w:p w14:paraId="5208EB4C" w14:textId="77777777" w:rsidR="009A05C7" w:rsidRPr="00127484" w:rsidRDefault="009A05C7" w:rsidP="000240DA">
            <w:pPr>
              <w:spacing w:after="0" w:line="240" w:lineRule="auto"/>
              <w:jc w:val="left"/>
              <w:rPr>
                <w:rFonts w:eastAsia="Times New Roman" w:cs="Times New Roman"/>
                <w:color w:val="000000"/>
                <w:sz w:val="18"/>
                <w:szCs w:val="18"/>
                <w:lang w:eastAsia="sk-SK"/>
              </w:rPr>
            </w:pPr>
          </w:p>
        </w:tc>
        <w:tc>
          <w:tcPr>
            <w:tcW w:w="18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379601" w14:textId="77777777" w:rsidR="009A05C7" w:rsidRPr="00127484" w:rsidRDefault="009A05C7" w:rsidP="000240DA">
            <w:pPr>
              <w:spacing w:after="0" w:line="240" w:lineRule="auto"/>
              <w:jc w:val="left"/>
              <w:rPr>
                <w:rFonts w:eastAsia="Times New Roman" w:cs="Times New Roman"/>
                <w:color w:val="000000"/>
                <w:sz w:val="18"/>
                <w:szCs w:val="18"/>
                <w:lang w:eastAsia="sk-SK"/>
              </w:rPr>
            </w:pPr>
            <w:r w:rsidRPr="00127484">
              <w:rPr>
                <w:rFonts w:eastAsia="Times New Roman" w:cs="Times New Roman"/>
                <w:color w:val="000000"/>
                <w:sz w:val="18"/>
                <w:szCs w:val="18"/>
                <w:lang w:eastAsia="sk-SK"/>
              </w:rPr>
              <w:t>Prognóza MF SR (dec)</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828492"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4,5</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4B792"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7,7</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A33069"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5,1</w:t>
            </w:r>
          </w:p>
        </w:tc>
        <w:tc>
          <w:tcPr>
            <w:tcW w:w="452" w:type="pct"/>
            <w:tcBorders>
              <w:top w:val="single" w:sz="4" w:space="0" w:color="auto"/>
              <w:left w:val="single" w:sz="4" w:space="0" w:color="auto"/>
              <w:bottom w:val="single" w:sz="4" w:space="0" w:color="auto"/>
              <w:right w:val="nil"/>
            </w:tcBorders>
            <w:shd w:val="clear" w:color="auto" w:fill="auto"/>
            <w:noWrap/>
            <w:vAlign w:val="center"/>
            <w:hideMark/>
          </w:tcPr>
          <w:p w14:paraId="2E84F3DA"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4,3</w:t>
            </w:r>
          </w:p>
        </w:tc>
      </w:tr>
      <w:tr w:rsidR="009A05C7" w:rsidRPr="00127484" w14:paraId="7D8AECD5" w14:textId="77777777" w:rsidTr="000240DA">
        <w:trPr>
          <w:trHeight w:val="280"/>
        </w:trPr>
        <w:tc>
          <w:tcPr>
            <w:tcW w:w="1352" w:type="pct"/>
            <w:vMerge w:val="restart"/>
            <w:tcBorders>
              <w:top w:val="single" w:sz="4" w:space="0" w:color="auto"/>
              <w:left w:val="nil"/>
              <w:bottom w:val="single" w:sz="4" w:space="0" w:color="auto"/>
              <w:right w:val="single" w:sz="4" w:space="0" w:color="auto"/>
            </w:tcBorders>
            <w:shd w:val="clear" w:color="auto" w:fill="auto"/>
            <w:noWrap/>
            <w:vAlign w:val="center"/>
            <w:hideMark/>
          </w:tcPr>
          <w:p w14:paraId="36253232" w14:textId="77777777" w:rsidR="009A05C7" w:rsidRPr="00127484" w:rsidRDefault="009A05C7" w:rsidP="000240DA">
            <w:pPr>
              <w:spacing w:after="0" w:line="240" w:lineRule="auto"/>
              <w:ind w:firstLineChars="300" w:firstLine="540"/>
              <w:jc w:val="left"/>
              <w:rPr>
                <w:rFonts w:eastAsia="Times New Roman" w:cs="Times New Roman"/>
                <w:color w:val="000000"/>
                <w:sz w:val="18"/>
                <w:szCs w:val="18"/>
                <w:lang w:eastAsia="sk-SK"/>
              </w:rPr>
            </w:pPr>
            <w:r w:rsidRPr="00127484">
              <w:rPr>
                <w:rFonts w:eastAsia="Times New Roman" w:cs="Times New Roman"/>
                <w:color w:val="000000"/>
                <w:sz w:val="18"/>
                <w:szCs w:val="18"/>
                <w:lang w:eastAsia="sk-SK"/>
              </w:rPr>
              <w:t>Export</w:t>
            </w:r>
          </w:p>
        </w:tc>
        <w:tc>
          <w:tcPr>
            <w:tcW w:w="18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036874" w14:textId="77777777" w:rsidR="009A05C7" w:rsidRPr="00127484" w:rsidRDefault="009A05C7" w:rsidP="000240DA">
            <w:pPr>
              <w:spacing w:after="0" w:line="240" w:lineRule="auto"/>
              <w:jc w:val="left"/>
              <w:rPr>
                <w:rFonts w:eastAsia="Times New Roman" w:cs="Times New Roman"/>
                <w:color w:val="000000"/>
                <w:sz w:val="18"/>
                <w:szCs w:val="18"/>
                <w:lang w:eastAsia="sk-SK"/>
              </w:rPr>
            </w:pPr>
            <w:r w:rsidRPr="00127484">
              <w:rPr>
                <w:rFonts w:eastAsia="Times New Roman" w:cs="Times New Roman"/>
                <w:color w:val="000000"/>
                <w:sz w:val="18"/>
                <w:szCs w:val="18"/>
                <w:lang w:eastAsia="sk-SK"/>
              </w:rPr>
              <w:t>Prognóza EK (jeseň)</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CAFE23"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3,0</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44FF2"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-1,2</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BB87A"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5,7</w:t>
            </w:r>
          </w:p>
        </w:tc>
        <w:tc>
          <w:tcPr>
            <w:tcW w:w="452" w:type="pct"/>
            <w:tcBorders>
              <w:top w:val="single" w:sz="4" w:space="0" w:color="auto"/>
              <w:left w:val="single" w:sz="4" w:space="0" w:color="auto"/>
              <w:bottom w:val="single" w:sz="4" w:space="0" w:color="auto"/>
              <w:right w:val="nil"/>
            </w:tcBorders>
            <w:shd w:val="clear" w:color="auto" w:fill="auto"/>
            <w:noWrap/>
            <w:vAlign w:val="center"/>
            <w:hideMark/>
          </w:tcPr>
          <w:p w14:paraId="1CE0F7B0"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4,3</w:t>
            </w:r>
          </w:p>
        </w:tc>
      </w:tr>
      <w:tr w:rsidR="009A05C7" w:rsidRPr="00127484" w14:paraId="35E210E2" w14:textId="77777777" w:rsidTr="000240DA">
        <w:trPr>
          <w:trHeight w:val="290"/>
        </w:trPr>
        <w:tc>
          <w:tcPr>
            <w:tcW w:w="1352" w:type="pct"/>
            <w:vMerge/>
            <w:tcBorders>
              <w:top w:val="single" w:sz="4" w:space="0" w:color="auto"/>
              <w:left w:val="nil"/>
              <w:bottom w:val="single" w:sz="4" w:space="0" w:color="auto"/>
              <w:right w:val="single" w:sz="4" w:space="0" w:color="auto"/>
            </w:tcBorders>
            <w:vAlign w:val="center"/>
            <w:hideMark/>
          </w:tcPr>
          <w:p w14:paraId="55AC95AC" w14:textId="77777777" w:rsidR="009A05C7" w:rsidRPr="00127484" w:rsidRDefault="009A05C7" w:rsidP="000240DA">
            <w:pPr>
              <w:spacing w:after="0" w:line="240" w:lineRule="auto"/>
              <w:jc w:val="left"/>
              <w:rPr>
                <w:rFonts w:eastAsia="Times New Roman" w:cs="Times New Roman"/>
                <w:color w:val="000000"/>
                <w:sz w:val="18"/>
                <w:szCs w:val="18"/>
                <w:lang w:eastAsia="sk-SK"/>
              </w:rPr>
            </w:pPr>
          </w:p>
        </w:tc>
        <w:tc>
          <w:tcPr>
            <w:tcW w:w="18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6CFB5" w14:textId="77777777" w:rsidR="009A05C7" w:rsidRPr="00127484" w:rsidRDefault="009A05C7" w:rsidP="000240DA">
            <w:pPr>
              <w:spacing w:after="0" w:line="240" w:lineRule="auto"/>
              <w:jc w:val="left"/>
              <w:rPr>
                <w:rFonts w:eastAsia="Times New Roman" w:cs="Times New Roman"/>
                <w:color w:val="000000"/>
                <w:sz w:val="18"/>
                <w:szCs w:val="18"/>
                <w:lang w:eastAsia="sk-SK"/>
              </w:rPr>
            </w:pPr>
            <w:r w:rsidRPr="00127484">
              <w:rPr>
                <w:rFonts w:eastAsia="Times New Roman" w:cs="Times New Roman"/>
                <w:color w:val="000000"/>
                <w:sz w:val="18"/>
                <w:szCs w:val="18"/>
                <w:lang w:eastAsia="sk-SK"/>
              </w:rPr>
              <w:t>Prognóza MF SR (dec)</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B45FF"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3,0</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9090C"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-0,7</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AD0128"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4,0</w:t>
            </w:r>
          </w:p>
        </w:tc>
        <w:tc>
          <w:tcPr>
            <w:tcW w:w="452" w:type="pct"/>
            <w:tcBorders>
              <w:top w:val="single" w:sz="4" w:space="0" w:color="auto"/>
              <w:left w:val="single" w:sz="4" w:space="0" w:color="auto"/>
              <w:bottom w:val="single" w:sz="4" w:space="0" w:color="auto"/>
              <w:right w:val="nil"/>
            </w:tcBorders>
            <w:shd w:val="clear" w:color="auto" w:fill="auto"/>
            <w:noWrap/>
            <w:vAlign w:val="center"/>
            <w:hideMark/>
          </w:tcPr>
          <w:p w14:paraId="1E120F4F"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3,9</w:t>
            </w:r>
          </w:p>
        </w:tc>
      </w:tr>
      <w:tr w:rsidR="009A05C7" w:rsidRPr="00127484" w14:paraId="6B357BDF" w14:textId="77777777" w:rsidTr="000240DA">
        <w:trPr>
          <w:trHeight w:val="280"/>
        </w:trPr>
        <w:tc>
          <w:tcPr>
            <w:tcW w:w="1352" w:type="pct"/>
            <w:vMerge w:val="restart"/>
            <w:tcBorders>
              <w:top w:val="single" w:sz="4" w:space="0" w:color="auto"/>
              <w:left w:val="nil"/>
              <w:bottom w:val="single" w:sz="4" w:space="0" w:color="auto"/>
              <w:right w:val="single" w:sz="4" w:space="0" w:color="auto"/>
            </w:tcBorders>
            <w:shd w:val="clear" w:color="auto" w:fill="auto"/>
            <w:noWrap/>
            <w:vAlign w:val="center"/>
            <w:hideMark/>
          </w:tcPr>
          <w:p w14:paraId="3CAE7702" w14:textId="77777777" w:rsidR="009A05C7" w:rsidRPr="00127484" w:rsidRDefault="009A05C7" w:rsidP="000240DA">
            <w:pPr>
              <w:spacing w:after="0" w:line="240" w:lineRule="auto"/>
              <w:ind w:firstLineChars="300" w:firstLine="540"/>
              <w:jc w:val="left"/>
              <w:rPr>
                <w:rFonts w:eastAsia="Times New Roman" w:cs="Times New Roman"/>
                <w:color w:val="000000"/>
                <w:sz w:val="18"/>
                <w:szCs w:val="18"/>
                <w:lang w:eastAsia="sk-SK"/>
              </w:rPr>
            </w:pPr>
            <w:r w:rsidRPr="00127484">
              <w:rPr>
                <w:rFonts w:eastAsia="Times New Roman" w:cs="Times New Roman"/>
                <w:color w:val="000000"/>
                <w:sz w:val="18"/>
                <w:szCs w:val="18"/>
                <w:lang w:eastAsia="sk-SK"/>
              </w:rPr>
              <w:t>Import</w:t>
            </w:r>
          </w:p>
        </w:tc>
        <w:tc>
          <w:tcPr>
            <w:tcW w:w="18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185774" w14:textId="77777777" w:rsidR="009A05C7" w:rsidRPr="00127484" w:rsidRDefault="009A05C7" w:rsidP="000240DA">
            <w:pPr>
              <w:spacing w:after="0" w:line="240" w:lineRule="auto"/>
              <w:jc w:val="left"/>
              <w:rPr>
                <w:rFonts w:eastAsia="Times New Roman" w:cs="Times New Roman"/>
                <w:color w:val="000000"/>
                <w:sz w:val="18"/>
                <w:szCs w:val="18"/>
                <w:lang w:eastAsia="sk-SK"/>
              </w:rPr>
            </w:pPr>
            <w:r w:rsidRPr="00127484">
              <w:rPr>
                <w:rFonts w:eastAsia="Times New Roman" w:cs="Times New Roman"/>
                <w:color w:val="000000"/>
                <w:sz w:val="18"/>
                <w:szCs w:val="18"/>
                <w:lang w:eastAsia="sk-SK"/>
              </w:rPr>
              <w:t>Prognóza EK (jeseň)</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FBACF"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4,2</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0E5D7B"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-6,0</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52010"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6,3</w:t>
            </w:r>
          </w:p>
        </w:tc>
        <w:tc>
          <w:tcPr>
            <w:tcW w:w="452" w:type="pct"/>
            <w:tcBorders>
              <w:top w:val="single" w:sz="4" w:space="0" w:color="auto"/>
              <w:left w:val="single" w:sz="4" w:space="0" w:color="auto"/>
              <w:bottom w:val="single" w:sz="4" w:space="0" w:color="auto"/>
              <w:right w:val="nil"/>
            </w:tcBorders>
            <w:shd w:val="clear" w:color="auto" w:fill="auto"/>
            <w:noWrap/>
            <w:vAlign w:val="center"/>
            <w:hideMark/>
          </w:tcPr>
          <w:p w14:paraId="634BBA43"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4,2</w:t>
            </w:r>
          </w:p>
        </w:tc>
      </w:tr>
      <w:tr w:rsidR="009A05C7" w:rsidRPr="00127484" w14:paraId="79DFC484" w14:textId="77777777" w:rsidTr="000240DA">
        <w:trPr>
          <w:trHeight w:val="290"/>
        </w:trPr>
        <w:tc>
          <w:tcPr>
            <w:tcW w:w="1352" w:type="pct"/>
            <w:vMerge/>
            <w:tcBorders>
              <w:top w:val="single" w:sz="4" w:space="0" w:color="auto"/>
              <w:left w:val="nil"/>
              <w:bottom w:val="single" w:sz="4" w:space="0" w:color="auto"/>
              <w:right w:val="single" w:sz="4" w:space="0" w:color="auto"/>
            </w:tcBorders>
            <w:vAlign w:val="center"/>
            <w:hideMark/>
          </w:tcPr>
          <w:p w14:paraId="7DDE0A8D" w14:textId="77777777" w:rsidR="009A05C7" w:rsidRPr="00127484" w:rsidRDefault="009A05C7" w:rsidP="000240DA">
            <w:pPr>
              <w:spacing w:after="0" w:line="240" w:lineRule="auto"/>
              <w:jc w:val="left"/>
              <w:rPr>
                <w:rFonts w:eastAsia="Times New Roman" w:cs="Times New Roman"/>
                <w:color w:val="000000"/>
                <w:sz w:val="18"/>
                <w:szCs w:val="18"/>
                <w:lang w:eastAsia="sk-SK"/>
              </w:rPr>
            </w:pPr>
          </w:p>
        </w:tc>
        <w:tc>
          <w:tcPr>
            <w:tcW w:w="18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7BCD5" w14:textId="77777777" w:rsidR="009A05C7" w:rsidRPr="00127484" w:rsidRDefault="009A05C7" w:rsidP="000240DA">
            <w:pPr>
              <w:spacing w:after="0" w:line="240" w:lineRule="auto"/>
              <w:jc w:val="left"/>
              <w:rPr>
                <w:rFonts w:eastAsia="Times New Roman" w:cs="Times New Roman"/>
                <w:color w:val="000000"/>
                <w:sz w:val="18"/>
                <w:szCs w:val="18"/>
                <w:lang w:eastAsia="sk-SK"/>
              </w:rPr>
            </w:pPr>
            <w:r w:rsidRPr="00127484">
              <w:rPr>
                <w:rFonts w:eastAsia="Times New Roman" w:cs="Times New Roman"/>
                <w:color w:val="000000"/>
                <w:sz w:val="18"/>
                <w:szCs w:val="18"/>
                <w:lang w:eastAsia="sk-SK"/>
              </w:rPr>
              <w:t>Prognóza MF SR (dec)</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2409BA"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4,2</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5EFF3"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-6,4</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230CC6"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7,4</w:t>
            </w:r>
          </w:p>
        </w:tc>
        <w:tc>
          <w:tcPr>
            <w:tcW w:w="452" w:type="pct"/>
            <w:tcBorders>
              <w:top w:val="single" w:sz="4" w:space="0" w:color="auto"/>
              <w:left w:val="single" w:sz="4" w:space="0" w:color="auto"/>
              <w:bottom w:val="single" w:sz="4" w:space="0" w:color="auto"/>
              <w:right w:val="nil"/>
            </w:tcBorders>
            <w:shd w:val="clear" w:color="auto" w:fill="auto"/>
            <w:noWrap/>
            <w:vAlign w:val="center"/>
            <w:hideMark/>
          </w:tcPr>
          <w:p w14:paraId="3CADFD6B"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3,5</w:t>
            </w:r>
          </w:p>
        </w:tc>
      </w:tr>
      <w:tr w:rsidR="009A05C7" w:rsidRPr="00127484" w14:paraId="5BB31AAD" w14:textId="77777777" w:rsidTr="000240DA">
        <w:trPr>
          <w:trHeight w:val="280"/>
        </w:trPr>
        <w:tc>
          <w:tcPr>
            <w:tcW w:w="1352" w:type="pct"/>
            <w:vMerge w:val="restart"/>
            <w:tcBorders>
              <w:top w:val="single" w:sz="4" w:space="0" w:color="auto"/>
              <w:left w:val="nil"/>
              <w:bottom w:val="single" w:sz="4" w:space="0" w:color="auto"/>
              <w:right w:val="single" w:sz="4" w:space="0" w:color="auto"/>
            </w:tcBorders>
            <w:shd w:val="clear" w:color="auto" w:fill="auto"/>
            <w:noWrap/>
            <w:vAlign w:val="center"/>
            <w:hideMark/>
          </w:tcPr>
          <w:p w14:paraId="1882E335" w14:textId="77777777" w:rsidR="009A05C7" w:rsidRPr="00127484" w:rsidRDefault="009A05C7" w:rsidP="000240DA">
            <w:pPr>
              <w:spacing w:after="0" w:line="240" w:lineRule="auto"/>
              <w:jc w:val="left"/>
              <w:rPr>
                <w:rFonts w:eastAsia="Times New Roman" w:cs="Times New Roman"/>
                <w:color w:val="000000"/>
                <w:sz w:val="18"/>
                <w:szCs w:val="18"/>
                <w:lang w:eastAsia="sk-SK"/>
              </w:rPr>
            </w:pPr>
            <w:r w:rsidRPr="00127484">
              <w:rPr>
                <w:rFonts w:eastAsia="Times New Roman" w:cs="Times New Roman"/>
                <w:color w:val="000000"/>
                <w:sz w:val="18"/>
                <w:szCs w:val="18"/>
                <w:lang w:eastAsia="sk-SK"/>
              </w:rPr>
              <w:t>Inflácia (HICP)</w:t>
            </w:r>
          </w:p>
        </w:tc>
        <w:tc>
          <w:tcPr>
            <w:tcW w:w="18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53276A" w14:textId="77777777" w:rsidR="009A05C7" w:rsidRPr="00127484" w:rsidRDefault="009A05C7" w:rsidP="000240DA">
            <w:pPr>
              <w:spacing w:after="0" w:line="240" w:lineRule="auto"/>
              <w:jc w:val="left"/>
              <w:rPr>
                <w:rFonts w:eastAsia="Times New Roman" w:cs="Times New Roman"/>
                <w:color w:val="000000"/>
                <w:sz w:val="18"/>
                <w:szCs w:val="18"/>
                <w:lang w:eastAsia="sk-SK"/>
              </w:rPr>
            </w:pPr>
            <w:r w:rsidRPr="00127484">
              <w:rPr>
                <w:rFonts w:eastAsia="Times New Roman" w:cs="Times New Roman"/>
                <w:color w:val="000000"/>
                <w:sz w:val="18"/>
                <w:szCs w:val="18"/>
                <w:lang w:eastAsia="sk-SK"/>
              </w:rPr>
              <w:t>Prognóza EK (jeseň)</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C126E"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12,1</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FBE8CA"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10,8</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1E7DA1"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5,2</w:t>
            </w:r>
          </w:p>
        </w:tc>
        <w:tc>
          <w:tcPr>
            <w:tcW w:w="452" w:type="pct"/>
            <w:tcBorders>
              <w:top w:val="single" w:sz="4" w:space="0" w:color="auto"/>
              <w:left w:val="single" w:sz="4" w:space="0" w:color="auto"/>
              <w:bottom w:val="single" w:sz="4" w:space="0" w:color="auto"/>
              <w:right w:val="nil"/>
            </w:tcBorders>
            <w:shd w:val="clear" w:color="auto" w:fill="auto"/>
            <w:noWrap/>
            <w:vAlign w:val="center"/>
            <w:hideMark/>
          </w:tcPr>
          <w:p w14:paraId="07C640DD"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3,0</w:t>
            </w:r>
          </w:p>
        </w:tc>
      </w:tr>
      <w:tr w:rsidR="009A05C7" w:rsidRPr="00127484" w14:paraId="1B812EA7" w14:textId="77777777" w:rsidTr="000240DA">
        <w:trPr>
          <w:trHeight w:val="290"/>
        </w:trPr>
        <w:tc>
          <w:tcPr>
            <w:tcW w:w="1352" w:type="pct"/>
            <w:vMerge/>
            <w:tcBorders>
              <w:top w:val="single" w:sz="4" w:space="0" w:color="auto"/>
              <w:left w:val="nil"/>
              <w:bottom w:val="single" w:sz="4" w:space="0" w:color="auto"/>
              <w:right w:val="single" w:sz="4" w:space="0" w:color="auto"/>
            </w:tcBorders>
            <w:vAlign w:val="center"/>
            <w:hideMark/>
          </w:tcPr>
          <w:p w14:paraId="01134820" w14:textId="77777777" w:rsidR="009A05C7" w:rsidRPr="00127484" w:rsidRDefault="009A05C7" w:rsidP="000240DA">
            <w:pPr>
              <w:spacing w:after="0" w:line="240" w:lineRule="auto"/>
              <w:jc w:val="left"/>
              <w:rPr>
                <w:rFonts w:eastAsia="Times New Roman" w:cs="Times New Roman"/>
                <w:color w:val="000000"/>
                <w:sz w:val="18"/>
                <w:szCs w:val="18"/>
                <w:lang w:eastAsia="sk-SK"/>
              </w:rPr>
            </w:pPr>
          </w:p>
        </w:tc>
        <w:tc>
          <w:tcPr>
            <w:tcW w:w="18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2AEF8" w14:textId="77777777" w:rsidR="009A05C7" w:rsidRPr="00127484" w:rsidRDefault="009A05C7" w:rsidP="000240DA">
            <w:pPr>
              <w:spacing w:after="0" w:line="240" w:lineRule="auto"/>
              <w:jc w:val="left"/>
              <w:rPr>
                <w:rFonts w:eastAsia="Times New Roman" w:cs="Times New Roman"/>
                <w:color w:val="000000"/>
                <w:sz w:val="18"/>
                <w:szCs w:val="18"/>
                <w:lang w:eastAsia="sk-SK"/>
              </w:rPr>
            </w:pPr>
            <w:r w:rsidRPr="00127484">
              <w:rPr>
                <w:rFonts w:eastAsia="Times New Roman" w:cs="Times New Roman"/>
                <w:color w:val="000000"/>
                <w:sz w:val="18"/>
                <w:szCs w:val="18"/>
                <w:lang w:eastAsia="sk-SK"/>
              </w:rPr>
              <w:t>Prognóza MF SR (dec)</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BF348A"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12,1</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F6C47"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11,1</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9809E"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3,2</w:t>
            </w:r>
          </w:p>
        </w:tc>
        <w:tc>
          <w:tcPr>
            <w:tcW w:w="452" w:type="pct"/>
            <w:tcBorders>
              <w:top w:val="single" w:sz="4" w:space="0" w:color="auto"/>
              <w:left w:val="single" w:sz="4" w:space="0" w:color="auto"/>
              <w:bottom w:val="single" w:sz="4" w:space="0" w:color="auto"/>
              <w:right w:val="nil"/>
            </w:tcBorders>
            <w:shd w:val="clear" w:color="auto" w:fill="auto"/>
            <w:noWrap/>
            <w:vAlign w:val="center"/>
            <w:hideMark/>
          </w:tcPr>
          <w:p w14:paraId="5BC7CFF1"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3,4</w:t>
            </w:r>
          </w:p>
        </w:tc>
      </w:tr>
      <w:tr w:rsidR="009A05C7" w:rsidRPr="00127484" w14:paraId="50F54106" w14:textId="77777777" w:rsidTr="000240DA">
        <w:trPr>
          <w:trHeight w:val="280"/>
        </w:trPr>
        <w:tc>
          <w:tcPr>
            <w:tcW w:w="1352" w:type="pct"/>
            <w:vMerge w:val="restart"/>
            <w:tcBorders>
              <w:top w:val="single" w:sz="4" w:space="0" w:color="auto"/>
              <w:left w:val="nil"/>
              <w:bottom w:val="single" w:sz="4" w:space="0" w:color="auto"/>
              <w:right w:val="single" w:sz="4" w:space="0" w:color="auto"/>
            </w:tcBorders>
            <w:shd w:val="clear" w:color="auto" w:fill="auto"/>
            <w:noWrap/>
            <w:vAlign w:val="center"/>
            <w:hideMark/>
          </w:tcPr>
          <w:p w14:paraId="45E7759D" w14:textId="77777777" w:rsidR="009A05C7" w:rsidRPr="00127484" w:rsidRDefault="009A05C7" w:rsidP="000240DA">
            <w:pPr>
              <w:spacing w:after="0" w:line="240" w:lineRule="auto"/>
              <w:jc w:val="left"/>
              <w:rPr>
                <w:rFonts w:eastAsia="Times New Roman" w:cs="Times New Roman"/>
                <w:color w:val="000000"/>
                <w:sz w:val="18"/>
                <w:szCs w:val="18"/>
                <w:lang w:eastAsia="sk-SK"/>
              </w:rPr>
            </w:pPr>
            <w:r w:rsidRPr="00127484">
              <w:rPr>
                <w:rFonts w:eastAsia="Times New Roman" w:cs="Times New Roman"/>
                <w:color w:val="000000"/>
                <w:sz w:val="18"/>
                <w:szCs w:val="18"/>
                <w:lang w:eastAsia="sk-SK"/>
              </w:rPr>
              <w:t>Zamestnanosť (ESA)</w:t>
            </w:r>
          </w:p>
        </w:tc>
        <w:tc>
          <w:tcPr>
            <w:tcW w:w="18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97E3AC" w14:textId="77777777" w:rsidR="009A05C7" w:rsidRPr="00127484" w:rsidRDefault="009A05C7" w:rsidP="000240DA">
            <w:pPr>
              <w:spacing w:after="0" w:line="240" w:lineRule="auto"/>
              <w:jc w:val="left"/>
              <w:rPr>
                <w:rFonts w:eastAsia="Times New Roman" w:cs="Times New Roman"/>
                <w:color w:val="000000"/>
                <w:sz w:val="18"/>
                <w:szCs w:val="18"/>
                <w:lang w:eastAsia="sk-SK"/>
              </w:rPr>
            </w:pPr>
            <w:r w:rsidRPr="00127484">
              <w:rPr>
                <w:rFonts w:eastAsia="Times New Roman" w:cs="Times New Roman"/>
                <w:color w:val="000000"/>
                <w:sz w:val="18"/>
                <w:szCs w:val="18"/>
                <w:lang w:eastAsia="sk-SK"/>
              </w:rPr>
              <w:t>Prognóza EK (jeseň)</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61CF1"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1,8</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913321"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0,6</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329EB"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0,1</w:t>
            </w:r>
          </w:p>
        </w:tc>
        <w:tc>
          <w:tcPr>
            <w:tcW w:w="452" w:type="pct"/>
            <w:tcBorders>
              <w:top w:val="single" w:sz="4" w:space="0" w:color="auto"/>
              <w:left w:val="single" w:sz="4" w:space="0" w:color="auto"/>
              <w:bottom w:val="single" w:sz="4" w:space="0" w:color="auto"/>
              <w:right w:val="nil"/>
            </w:tcBorders>
            <w:shd w:val="clear" w:color="auto" w:fill="auto"/>
            <w:noWrap/>
            <w:vAlign w:val="center"/>
            <w:hideMark/>
          </w:tcPr>
          <w:p w14:paraId="4E4BE74D"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0,1</w:t>
            </w:r>
          </w:p>
        </w:tc>
      </w:tr>
      <w:tr w:rsidR="009A05C7" w:rsidRPr="00127484" w14:paraId="7CBE61FC" w14:textId="77777777" w:rsidTr="000240DA">
        <w:trPr>
          <w:trHeight w:val="290"/>
        </w:trPr>
        <w:tc>
          <w:tcPr>
            <w:tcW w:w="1352" w:type="pct"/>
            <w:vMerge/>
            <w:tcBorders>
              <w:top w:val="single" w:sz="4" w:space="0" w:color="auto"/>
              <w:left w:val="nil"/>
              <w:bottom w:val="single" w:sz="4" w:space="0" w:color="auto"/>
              <w:right w:val="single" w:sz="4" w:space="0" w:color="auto"/>
            </w:tcBorders>
            <w:vAlign w:val="center"/>
            <w:hideMark/>
          </w:tcPr>
          <w:p w14:paraId="6BCC6B07" w14:textId="77777777" w:rsidR="009A05C7" w:rsidRPr="00127484" w:rsidRDefault="009A05C7" w:rsidP="000240DA">
            <w:pPr>
              <w:spacing w:after="0" w:line="240" w:lineRule="auto"/>
              <w:jc w:val="left"/>
              <w:rPr>
                <w:rFonts w:eastAsia="Times New Roman" w:cs="Times New Roman"/>
                <w:color w:val="000000"/>
                <w:sz w:val="18"/>
                <w:szCs w:val="18"/>
                <w:lang w:eastAsia="sk-SK"/>
              </w:rPr>
            </w:pPr>
          </w:p>
        </w:tc>
        <w:tc>
          <w:tcPr>
            <w:tcW w:w="18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32E24F" w14:textId="77777777" w:rsidR="009A05C7" w:rsidRPr="00127484" w:rsidRDefault="009A05C7" w:rsidP="000240DA">
            <w:pPr>
              <w:spacing w:after="0" w:line="240" w:lineRule="auto"/>
              <w:jc w:val="left"/>
              <w:rPr>
                <w:rFonts w:eastAsia="Times New Roman" w:cs="Times New Roman"/>
                <w:color w:val="000000"/>
                <w:sz w:val="18"/>
                <w:szCs w:val="18"/>
                <w:lang w:eastAsia="sk-SK"/>
              </w:rPr>
            </w:pPr>
            <w:r w:rsidRPr="00127484">
              <w:rPr>
                <w:rFonts w:eastAsia="Times New Roman" w:cs="Times New Roman"/>
                <w:color w:val="000000"/>
                <w:sz w:val="18"/>
                <w:szCs w:val="18"/>
                <w:lang w:eastAsia="sk-SK"/>
              </w:rPr>
              <w:t>Prognóza MF SR (dec)</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0A06D"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1,8</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B76A7C"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0,3</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CFEAC"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0,4</w:t>
            </w:r>
          </w:p>
        </w:tc>
        <w:tc>
          <w:tcPr>
            <w:tcW w:w="452" w:type="pct"/>
            <w:tcBorders>
              <w:top w:val="single" w:sz="4" w:space="0" w:color="auto"/>
              <w:left w:val="single" w:sz="4" w:space="0" w:color="auto"/>
              <w:bottom w:val="single" w:sz="4" w:space="0" w:color="auto"/>
              <w:right w:val="nil"/>
            </w:tcBorders>
            <w:shd w:val="clear" w:color="auto" w:fill="auto"/>
            <w:noWrap/>
            <w:vAlign w:val="center"/>
            <w:hideMark/>
          </w:tcPr>
          <w:p w14:paraId="2242EE58"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0,5</w:t>
            </w:r>
          </w:p>
        </w:tc>
      </w:tr>
      <w:tr w:rsidR="009A05C7" w:rsidRPr="00127484" w14:paraId="3B22B2FE" w14:textId="77777777" w:rsidTr="000240DA">
        <w:trPr>
          <w:trHeight w:val="280"/>
        </w:trPr>
        <w:tc>
          <w:tcPr>
            <w:tcW w:w="1352" w:type="pct"/>
            <w:tcBorders>
              <w:top w:val="single" w:sz="4" w:space="0" w:color="auto"/>
              <w:left w:val="nil"/>
              <w:bottom w:val="single" w:sz="4" w:space="0" w:color="auto"/>
              <w:right w:val="single" w:sz="4" w:space="0" w:color="auto"/>
            </w:tcBorders>
            <w:shd w:val="clear" w:color="auto" w:fill="auto"/>
            <w:vAlign w:val="center"/>
            <w:hideMark/>
          </w:tcPr>
          <w:p w14:paraId="2EC1ED58" w14:textId="77777777" w:rsidR="009A05C7" w:rsidRPr="00127484" w:rsidRDefault="009A05C7" w:rsidP="000240DA">
            <w:pPr>
              <w:spacing w:after="0" w:line="240" w:lineRule="auto"/>
              <w:jc w:val="left"/>
              <w:rPr>
                <w:rFonts w:eastAsia="Times New Roman" w:cs="Times New Roman"/>
                <w:color w:val="000000"/>
                <w:sz w:val="18"/>
                <w:szCs w:val="18"/>
                <w:lang w:eastAsia="sk-SK"/>
              </w:rPr>
            </w:pPr>
            <w:r w:rsidRPr="00127484">
              <w:rPr>
                <w:rFonts w:eastAsia="Times New Roman" w:cs="Times New Roman"/>
                <w:color w:val="000000"/>
                <w:sz w:val="18"/>
                <w:szCs w:val="18"/>
                <w:lang w:eastAsia="sk-SK"/>
              </w:rPr>
              <w:t>Produkčná medzera</w:t>
            </w:r>
          </w:p>
        </w:tc>
        <w:tc>
          <w:tcPr>
            <w:tcW w:w="18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B18EA" w14:textId="77777777" w:rsidR="009A05C7" w:rsidRPr="00127484" w:rsidRDefault="009A05C7" w:rsidP="000240DA">
            <w:pPr>
              <w:spacing w:after="0" w:line="240" w:lineRule="auto"/>
              <w:jc w:val="left"/>
              <w:rPr>
                <w:rFonts w:eastAsia="Times New Roman" w:cs="Times New Roman"/>
                <w:color w:val="000000"/>
                <w:sz w:val="18"/>
                <w:szCs w:val="18"/>
                <w:lang w:eastAsia="sk-SK"/>
              </w:rPr>
            </w:pPr>
            <w:r w:rsidRPr="00127484">
              <w:rPr>
                <w:rFonts w:eastAsia="Times New Roman" w:cs="Times New Roman"/>
                <w:color w:val="000000"/>
                <w:sz w:val="18"/>
                <w:szCs w:val="18"/>
                <w:lang w:eastAsia="sk-SK"/>
              </w:rPr>
              <w:t>Prognóza EK (jeseň)</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B7C1F2"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0,5</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981AD6"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-0,4</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4A46E1"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-0,5</w:t>
            </w:r>
          </w:p>
        </w:tc>
        <w:tc>
          <w:tcPr>
            <w:tcW w:w="452" w:type="pct"/>
            <w:tcBorders>
              <w:top w:val="single" w:sz="4" w:space="0" w:color="auto"/>
              <w:left w:val="single" w:sz="4" w:space="0" w:color="auto"/>
              <w:bottom w:val="single" w:sz="4" w:space="0" w:color="auto"/>
              <w:right w:val="nil"/>
            </w:tcBorders>
            <w:shd w:val="clear" w:color="auto" w:fill="auto"/>
            <w:noWrap/>
            <w:vAlign w:val="center"/>
            <w:hideMark/>
          </w:tcPr>
          <w:p w14:paraId="228DF5FD"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-0,4</w:t>
            </w:r>
          </w:p>
        </w:tc>
      </w:tr>
      <w:tr w:rsidR="009A05C7" w:rsidRPr="00127484" w14:paraId="10FE7A62" w14:textId="77777777" w:rsidTr="000240DA">
        <w:trPr>
          <w:trHeight w:val="290"/>
        </w:trPr>
        <w:tc>
          <w:tcPr>
            <w:tcW w:w="1352" w:type="pct"/>
            <w:tcBorders>
              <w:top w:val="single" w:sz="4" w:space="0" w:color="auto"/>
              <w:left w:val="nil"/>
              <w:bottom w:val="single" w:sz="4" w:space="0" w:color="auto"/>
              <w:right w:val="single" w:sz="4" w:space="0" w:color="auto"/>
            </w:tcBorders>
            <w:shd w:val="clear" w:color="auto" w:fill="auto"/>
            <w:vAlign w:val="center"/>
            <w:hideMark/>
          </w:tcPr>
          <w:p w14:paraId="3D398A13" w14:textId="77777777" w:rsidR="009A05C7" w:rsidRPr="00127484" w:rsidRDefault="009A05C7" w:rsidP="000240DA">
            <w:pPr>
              <w:spacing w:after="0" w:line="240" w:lineRule="auto"/>
              <w:jc w:val="left"/>
              <w:rPr>
                <w:rFonts w:eastAsia="Times New Roman" w:cs="Times New Roman"/>
                <w:color w:val="000000"/>
                <w:sz w:val="18"/>
                <w:szCs w:val="18"/>
                <w:lang w:eastAsia="sk-SK"/>
              </w:rPr>
            </w:pPr>
            <w:r w:rsidRPr="00127484">
              <w:rPr>
                <w:rFonts w:eastAsia="Times New Roman" w:cs="Times New Roman"/>
                <w:color w:val="000000"/>
                <w:sz w:val="18"/>
                <w:szCs w:val="18"/>
                <w:lang w:eastAsia="sk-SK"/>
              </w:rPr>
              <w:t>(% z pot. HDP)</w:t>
            </w:r>
          </w:p>
        </w:tc>
        <w:tc>
          <w:tcPr>
            <w:tcW w:w="18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2BF89" w14:textId="77777777" w:rsidR="009A05C7" w:rsidRPr="00127484" w:rsidRDefault="009A05C7" w:rsidP="000240DA">
            <w:pPr>
              <w:spacing w:after="0" w:line="240" w:lineRule="auto"/>
              <w:jc w:val="left"/>
              <w:rPr>
                <w:rFonts w:eastAsia="Times New Roman" w:cs="Times New Roman"/>
                <w:color w:val="000000"/>
                <w:sz w:val="18"/>
                <w:szCs w:val="18"/>
                <w:lang w:eastAsia="sk-SK"/>
              </w:rPr>
            </w:pPr>
            <w:r w:rsidRPr="00127484">
              <w:rPr>
                <w:rFonts w:eastAsia="Times New Roman" w:cs="Times New Roman"/>
                <w:color w:val="000000"/>
                <w:sz w:val="18"/>
                <w:szCs w:val="18"/>
                <w:lang w:eastAsia="sk-SK"/>
              </w:rPr>
              <w:t>Prognóza MF SR (dec)</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AD34B"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0,5</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F8CCFF"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-0,2</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DD29EE"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0,5</w:t>
            </w:r>
          </w:p>
        </w:tc>
        <w:tc>
          <w:tcPr>
            <w:tcW w:w="452" w:type="pct"/>
            <w:tcBorders>
              <w:top w:val="single" w:sz="4" w:space="0" w:color="auto"/>
              <w:left w:val="single" w:sz="4" w:space="0" w:color="auto"/>
              <w:bottom w:val="single" w:sz="4" w:space="0" w:color="auto"/>
              <w:right w:val="nil"/>
            </w:tcBorders>
            <w:shd w:val="clear" w:color="auto" w:fill="auto"/>
            <w:noWrap/>
            <w:vAlign w:val="center"/>
            <w:hideMark/>
          </w:tcPr>
          <w:p w14:paraId="779E5A63" w14:textId="77777777" w:rsidR="009A05C7" w:rsidRPr="00127484" w:rsidRDefault="009A05C7" w:rsidP="000240DA">
            <w:pPr>
              <w:spacing w:after="0" w:line="240" w:lineRule="auto"/>
              <w:jc w:val="right"/>
              <w:rPr>
                <w:rFonts w:eastAsia="Times New Roman" w:cs="Times New Roman"/>
                <w:color w:val="000000"/>
                <w:sz w:val="18"/>
                <w:szCs w:val="18"/>
                <w:lang w:eastAsia="sk-SK"/>
              </w:rPr>
            </w:pPr>
            <w:r w:rsidRPr="00127484">
              <w:rPr>
                <w:rFonts w:eastAsia="Times New Roman" w:cs="Times New Roman"/>
                <w:color w:val="000000"/>
                <w:sz w:val="18"/>
                <w:szCs w:val="18"/>
                <w:lang w:eastAsia="sk-SK"/>
              </w:rPr>
              <w:t>1,1</w:t>
            </w:r>
          </w:p>
        </w:tc>
      </w:tr>
    </w:tbl>
    <w:p w14:paraId="0DA9C32B" w14:textId="77777777" w:rsidR="009A05C7" w:rsidRPr="00127484" w:rsidRDefault="009A05C7" w:rsidP="00582C51">
      <w:pPr>
        <w:jc w:val="right"/>
      </w:pPr>
      <w:r w:rsidRPr="00127484">
        <w:rPr>
          <w:rFonts w:eastAsia="Times New Roman" w:cs="Times New Roman"/>
          <w:iCs/>
          <w:color w:val="000000"/>
          <w:sz w:val="18"/>
          <w:szCs w:val="18"/>
          <w:lang w:eastAsia="sk-SK"/>
        </w:rPr>
        <w:t>Zdroj: MF SR, EK</w:t>
      </w:r>
    </w:p>
    <w:p w14:paraId="3C706C9F" w14:textId="77777777" w:rsidR="001C1318" w:rsidRPr="00593BFD" w:rsidRDefault="001C1318">
      <w:pPr>
        <w:spacing w:after="160" w:line="259" w:lineRule="auto"/>
        <w:jc w:val="left"/>
        <w:rPr>
          <w:rFonts w:eastAsiaTheme="majorEastAsia" w:cstheme="majorBidi"/>
          <w:b/>
          <w:sz w:val="26"/>
          <w:szCs w:val="32"/>
          <w:highlight w:val="yellow"/>
        </w:rPr>
      </w:pPr>
      <w:r w:rsidRPr="00593BFD">
        <w:rPr>
          <w:highlight w:val="yellow"/>
        </w:rPr>
        <w:br w:type="page"/>
      </w:r>
    </w:p>
    <w:p w14:paraId="1C9FB002" w14:textId="1AEE20E3" w:rsidR="005F5B88" w:rsidRPr="005933A8" w:rsidRDefault="005F5B88" w:rsidP="00387B36">
      <w:pPr>
        <w:pStyle w:val="Nadpis1"/>
        <w:ind w:left="426"/>
      </w:pPr>
      <w:bookmarkStart w:id="32" w:name="_Toc196314123"/>
      <w:r w:rsidRPr="005933A8">
        <w:lastRenderedPageBreak/>
        <w:t>Hospodárenie verejnej správy v metodike ESA 2010</w:t>
      </w:r>
      <w:bookmarkEnd w:id="3"/>
      <w:bookmarkEnd w:id="32"/>
    </w:p>
    <w:p w14:paraId="33C02B3C" w14:textId="2F91615B" w:rsidR="00CB3C45" w:rsidRPr="005933A8" w:rsidRDefault="00CB3C45" w:rsidP="00922F60">
      <w:pPr>
        <w:pStyle w:val="Nadpis2"/>
        <w:ind w:left="567" w:hanging="567"/>
      </w:pPr>
      <w:bookmarkStart w:id="33" w:name="_Toc196314124"/>
      <w:r w:rsidRPr="005933A8">
        <w:t>Zámery, ciele a opatrenia rozpočtovej politiky v roku 202</w:t>
      </w:r>
      <w:r w:rsidR="0019388B" w:rsidRPr="005933A8">
        <w:t>3</w:t>
      </w:r>
      <w:bookmarkEnd w:id="33"/>
    </w:p>
    <w:p w14:paraId="6396F8B6" w14:textId="4B4F83B5" w:rsidR="009A05C7" w:rsidRPr="003A6739" w:rsidRDefault="009A05C7" w:rsidP="009A05C7">
      <w:pPr>
        <w:spacing w:line="240" w:lineRule="auto"/>
      </w:pPr>
      <w:bookmarkStart w:id="34" w:name="_Toc6415640"/>
      <w:r w:rsidRPr="00410505">
        <w:rPr>
          <w:sz w:val="24"/>
          <w:szCs w:val="24"/>
        </w:rPr>
        <w:t>Proces tvorby rozpočtu verejnej správy na roky 2024 až 2026 bol ovplyvnený termínom konania volieb do Národnej rady SR v septembri roku 2023. Nová vláda SR zí</w:t>
      </w:r>
      <w:r>
        <w:rPr>
          <w:sz w:val="24"/>
          <w:szCs w:val="24"/>
        </w:rPr>
        <w:t>skala dôveru v NR SR až dňa 21. </w:t>
      </w:r>
      <w:r w:rsidRPr="00410505">
        <w:rPr>
          <w:sz w:val="24"/>
          <w:szCs w:val="24"/>
        </w:rPr>
        <w:t>novembra 2023 a spolu s ňou získala aj mandát na prípravu rozpočtu, ktorý by rešpektoval jej programové vyhlásenie, pričom sa musela vysporiadať so</w:t>
      </w:r>
      <w:r w:rsidR="007232E9">
        <w:rPr>
          <w:sz w:val="24"/>
          <w:szCs w:val="24"/>
        </w:rPr>
        <w:t> </w:t>
      </w:r>
      <w:r w:rsidRPr="00410505">
        <w:rPr>
          <w:sz w:val="24"/>
          <w:szCs w:val="24"/>
        </w:rPr>
        <w:t>zlým stavom verejných financií s vysokými deficitmi a dlhom prekračujúcim sankčné</w:t>
      </w:r>
      <w:r>
        <w:rPr>
          <w:sz w:val="24"/>
          <w:szCs w:val="24"/>
        </w:rPr>
        <w:t xml:space="preserve"> pásma vyplývajúce zo </w:t>
      </w:r>
      <w:r w:rsidRPr="00410505">
        <w:rPr>
          <w:sz w:val="24"/>
          <w:szCs w:val="24"/>
        </w:rPr>
        <w:t>zákona o rozpočtovej zodpovednosti. Predchádzajúca vlá</w:t>
      </w:r>
      <w:r>
        <w:rPr>
          <w:sz w:val="24"/>
          <w:szCs w:val="24"/>
        </w:rPr>
        <w:t>da však musela v termíne do 15. októbra </w:t>
      </w:r>
      <w:r w:rsidRPr="00410505">
        <w:rPr>
          <w:sz w:val="24"/>
          <w:szCs w:val="24"/>
        </w:rPr>
        <w:t xml:space="preserve">2023 predložiť do NR SR vyrovnaný rozpočet verejnej správy, a to </w:t>
      </w:r>
      <w:r>
        <w:rPr>
          <w:sz w:val="24"/>
          <w:szCs w:val="24"/>
        </w:rPr>
        <w:t>v nadväznosti na </w:t>
      </w:r>
      <w:r w:rsidRPr="00410505">
        <w:rPr>
          <w:sz w:val="24"/>
          <w:szCs w:val="24"/>
        </w:rPr>
        <w:t>povinnosť aplikovať najprísnejšie opatrenia dlhovej brzdy. Realizácia vyrovnaného rozpočtu verejnej správy by ale mala za následok prudkú recesiu krajiny, ochromenie trhu práce, zníženie reálnych miezd, pokles zamestnanosti, neschopnosť verejných inštitúcií uhrádzať záväzky a pod. Keďže 24 mesiacov od schválenia programového vyhlásenia vlády a vyslovenia dôvery vláde sa najprísnejšie sankčné opatrenia dlhovej brzdy neuplatňujú, mohla nová vláda SR pristúpiť k tvorbe vlastného rozpočtu verejnej správy, a to napriek mimoriadne krátkemu časovému horizontu na jeho prípravu. Úmyslom vlády SR bolo aj vyhnúť sa spravovaniu hospodárenia verejnej správy rozpočtovým provizóriom, keby rozpočet verejnej správy nebol schválený do</w:t>
      </w:r>
      <w:r>
        <w:rPr>
          <w:sz w:val="24"/>
          <w:szCs w:val="24"/>
        </w:rPr>
        <w:t> </w:t>
      </w:r>
      <w:r w:rsidRPr="00410505">
        <w:rPr>
          <w:sz w:val="24"/>
          <w:szCs w:val="24"/>
        </w:rPr>
        <w:t>konca roka 2023. Rozpočet verejnej správy na</w:t>
      </w:r>
      <w:r w:rsidR="007232E9">
        <w:rPr>
          <w:sz w:val="24"/>
          <w:szCs w:val="24"/>
        </w:rPr>
        <w:t> </w:t>
      </w:r>
      <w:r w:rsidRPr="00410505">
        <w:rPr>
          <w:sz w:val="24"/>
          <w:szCs w:val="24"/>
        </w:rPr>
        <w:t>roky 2024 až 2026 zohľadňoval potrebnú konsolidáciu verejných financií požadovanú zo</w:t>
      </w:r>
      <w:r w:rsidR="007232E9">
        <w:rPr>
          <w:sz w:val="24"/>
          <w:szCs w:val="24"/>
        </w:rPr>
        <w:t> </w:t>
      </w:r>
      <w:r w:rsidRPr="00410505">
        <w:rPr>
          <w:sz w:val="24"/>
          <w:szCs w:val="24"/>
        </w:rPr>
        <w:t>strany Európskej komisie, ako aj napĺňanie cieľov programového vyhlásenia vlády SR. Vzhľadom na doterajší vysoký d</w:t>
      </w:r>
      <w:r>
        <w:rPr>
          <w:sz w:val="24"/>
          <w:szCs w:val="24"/>
        </w:rPr>
        <w:t>eficit verejných financií a</w:t>
      </w:r>
      <w:r w:rsidR="00393CCA">
        <w:rPr>
          <w:sz w:val="24"/>
          <w:szCs w:val="24"/>
        </w:rPr>
        <w:t> </w:t>
      </w:r>
      <w:r>
        <w:rPr>
          <w:sz w:val="24"/>
          <w:szCs w:val="24"/>
        </w:rPr>
        <w:t>zadl</w:t>
      </w:r>
      <w:r w:rsidRPr="00410505">
        <w:rPr>
          <w:sz w:val="24"/>
          <w:szCs w:val="24"/>
        </w:rPr>
        <w:t>ženie</w:t>
      </w:r>
      <w:r w:rsidR="00393CCA">
        <w:rPr>
          <w:sz w:val="24"/>
          <w:szCs w:val="24"/>
        </w:rPr>
        <w:t>,</w:t>
      </w:r>
      <w:r w:rsidRPr="00410505">
        <w:rPr>
          <w:sz w:val="24"/>
          <w:szCs w:val="24"/>
        </w:rPr>
        <w:t xml:space="preserve"> vláda SR schválila súbor konsolidačných opatrení, ktoré mali prispieť k</w:t>
      </w:r>
      <w:r>
        <w:rPr>
          <w:sz w:val="24"/>
          <w:szCs w:val="24"/>
        </w:rPr>
        <w:t> </w:t>
      </w:r>
      <w:r w:rsidRPr="00410505">
        <w:rPr>
          <w:sz w:val="24"/>
          <w:szCs w:val="24"/>
        </w:rPr>
        <w:t>stab</w:t>
      </w:r>
      <w:r w:rsidR="00393CCA">
        <w:rPr>
          <w:sz w:val="24"/>
          <w:szCs w:val="24"/>
        </w:rPr>
        <w:t>ilizácii verejných financií a k </w:t>
      </w:r>
      <w:r w:rsidRPr="00410505">
        <w:rPr>
          <w:sz w:val="24"/>
          <w:szCs w:val="24"/>
        </w:rPr>
        <w:t>el</w:t>
      </w:r>
      <w:r>
        <w:rPr>
          <w:sz w:val="24"/>
          <w:szCs w:val="24"/>
        </w:rPr>
        <w:t>iminácii negatívnych vplyvov na </w:t>
      </w:r>
      <w:r w:rsidRPr="00410505">
        <w:rPr>
          <w:sz w:val="24"/>
          <w:szCs w:val="24"/>
        </w:rPr>
        <w:t>vývoj hospodárenia Slovenskej republiky.</w:t>
      </w:r>
    </w:p>
    <w:p w14:paraId="31D03868" w14:textId="77777777" w:rsidR="009A05C7" w:rsidRPr="00410505" w:rsidRDefault="009A05C7" w:rsidP="009A05C7">
      <w:pPr>
        <w:spacing w:line="240" w:lineRule="auto"/>
        <w:rPr>
          <w:sz w:val="24"/>
          <w:szCs w:val="24"/>
        </w:rPr>
      </w:pPr>
      <w:r w:rsidRPr="00410505">
        <w:rPr>
          <w:sz w:val="24"/>
          <w:szCs w:val="24"/>
        </w:rPr>
        <w:t xml:space="preserve">Rozpočet verejnej správy na roky 2024 až 2026 </w:t>
      </w:r>
      <w:r>
        <w:rPr>
          <w:sz w:val="24"/>
          <w:szCs w:val="24"/>
        </w:rPr>
        <w:t>vychádzal z </w:t>
      </w:r>
      <w:r w:rsidRPr="00410505">
        <w:rPr>
          <w:sz w:val="24"/>
          <w:szCs w:val="24"/>
        </w:rPr>
        <w:t>aktuálnej prognózy makroekonomického vývoja a prognózy daňových a odvodových príjmov do roku 2027. Zároveň zohľadňoval aj aktuálny predpoklad vývoja rozpočtu verejnej správy v priebehu roku 2023.</w:t>
      </w:r>
    </w:p>
    <w:p w14:paraId="006D3AE7" w14:textId="77777777" w:rsidR="00A75F5F" w:rsidRDefault="009A05C7" w:rsidP="009A05C7">
      <w:pPr>
        <w:spacing w:line="240" w:lineRule="auto"/>
        <w:rPr>
          <w:sz w:val="24"/>
          <w:szCs w:val="24"/>
        </w:rPr>
      </w:pPr>
      <w:r w:rsidRPr="00F53CB7">
        <w:rPr>
          <w:b/>
          <w:sz w:val="24"/>
          <w:szCs w:val="24"/>
        </w:rPr>
        <w:t>Rozpočet verejnej správy na roky 2024 až 2026 predpokladal deficitné hospodárenie</w:t>
      </w:r>
      <w:r>
        <w:rPr>
          <w:b/>
          <w:sz w:val="24"/>
          <w:szCs w:val="24"/>
        </w:rPr>
        <w:t xml:space="preserve"> na </w:t>
      </w:r>
      <w:r w:rsidRPr="00F53CB7">
        <w:rPr>
          <w:b/>
          <w:sz w:val="24"/>
          <w:szCs w:val="24"/>
        </w:rPr>
        <w:t>celom trojročnom horizonte. Hlavný rozpočtový cieľ vlády SR v rámci rozpočtu verejnej správy na roky 2024 až 2026 bol schválený v podobe deficitu verejných financií v roku 2024 vo výške 5,97</w:t>
      </w:r>
      <w:r>
        <w:rPr>
          <w:b/>
          <w:sz w:val="24"/>
          <w:szCs w:val="24"/>
        </w:rPr>
        <w:t> </w:t>
      </w:r>
      <w:r w:rsidRPr="00F53CB7">
        <w:rPr>
          <w:b/>
          <w:sz w:val="24"/>
          <w:szCs w:val="24"/>
        </w:rPr>
        <w:t>%</w:t>
      </w:r>
      <w:r>
        <w:rPr>
          <w:b/>
          <w:sz w:val="24"/>
          <w:szCs w:val="24"/>
        </w:rPr>
        <w:t> </w:t>
      </w:r>
      <w:r w:rsidRPr="00F53CB7">
        <w:rPr>
          <w:b/>
          <w:sz w:val="24"/>
          <w:szCs w:val="24"/>
        </w:rPr>
        <w:t>HDP.</w:t>
      </w:r>
      <w:r w:rsidRPr="00410505">
        <w:rPr>
          <w:sz w:val="24"/>
          <w:szCs w:val="24"/>
        </w:rPr>
        <w:t xml:space="preserve"> </w:t>
      </w:r>
      <w:r w:rsidR="005169D0" w:rsidRPr="005169D0">
        <w:rPr>
          <w:sz w:val="24"/>
          <w:szCs w:val="24"/>
        </w:rPr>
        <w:t>Vláda na jar 2024 v zákone o rozpočtových pravidlách stanovila limit verejných výdavkov ešte pre rok 2024, aby splnila záväzok z Plánu obnovy a odolnosti implementovať výdavkové limity v rozpočte verejnej správy. Národná rada v úvode roka 2024 neschválila limit verejných výdavkov na roky 2024 až 2026. Vláda preto po diskusiách s Európskou komisiou na jar 2024 reagovala novelou zákona o rozpočtových pravidlách, aby naplnila záväzok z Plánu obnovy implementovať výdavkové limity.</w:t>
      </w:r>
    </w:p>
    <w:p w14:paraId="09E8ADD6" w14:textId="77BBF32F" w:rsidR="005169D0" w:rsidRDefault="005169D0" w:rsidP="009A05C7">
      <w:pPr>
        <w:spacing w:line="240" w:lineRule="auto"/>
        <w:rPr>
          <w:rStyle w:val="Vrazn"/>
          <w:rFonts w:ascii="Arial Narrow" w:hAnsi="Arial Narrow"/>
        </w:rPr>
      </w:pPr>
      <w:r w:rsidRPr="005169D0">
        <w:rPr>
          <w:sz w:val="24"/>
          <w:szCs w:val="24"/>
        </w:rPr>
        <w:t>Limit ako záväzok z Plánu obnovy vychádzal z fiškálneho odporúčania Rady EÚ. Tá vláde ešte v júli 2023 odporučila, aby medziročný rast čistých výdavkov</w:t>
      </w:r>
      <w:r w:rsidRPr="00401E8A">
        <w:rPr>
          <w:sz w:val="24"/>
          <w:szCs w:val="24"/>
          <w:vertAlign w:val="superscript"/>
        </w:rPr>
        <w:footnoteReference w:id="3"/>
      </w:r>
      <w:r w:rsidRPr="005169D0">
        <w:rPr>
          <w:sz w:val="24"/>
          <w:szCs w:val="24"/>
        </w:rPr>
        <w:t xml:space="preserve"> v roku 2024 nepresiahol 5,7 %. Ministerstvo financií preto v súlade s odporúčaním stanovilo zákonný nominálny limit pre subjekty verejnej správy na úrovni 57,7 mld. eur, ktorý zodpovedal rastu 5,7 %. Podľa údajov Štatistického úradu SR výdavky verejnej správy v roku 2024 boli o 112 miliónov eur nižšie ako bol vládou stanovený nominálny limit verejných výdavkov</w:t>
      </w:r>
    </w:p>
    <w:p w14:paraId="41F13CAA" w14:textId="77777777" w:rsidR="005169D0" w:rsidRDefault="005169D0" w:rsidP="009A05C7">
      <w:pPr>
        <w:spacing w:line="240" w:lineRule="auto"/>
        <w:rPr>
          <w:rStyle w:val="Vrazn"/>
          <w:rFonts w:ascii="Arial Narrow" w:hAnsi="Arial Narrow"/>
        </w:rPr>
      </w:pPr>
    </w:p>
    <w:p w14:paraId="2ABA9CEF" w14:textId="4CD104A2" w:rsidR="009A05C7" w:rsidRPr="00410505" w:rsidRDefault="009A05C7" w:rsidP="009A05C7">
      <w:pPr>
        <w:spacing w:line="240" w:lineRule="auto"/>
        <w:rPr>
          <w:sz w:val="24"/>
          <w:szCs w:val="24"/>
        </w:rPr>
      </w:pPr>
      <w:r w:rsidRPr="00410505">
        <w:rPr>
          <w:sz w:val="24"/>
          <w:szCs w:val="24"/>
        </w:rPr>
        <w:lastRenderedPageBreak/>
        <w:t>Rozpočet verejnej správy na roky 2024 až 2026 bol vypracovaný v metodike ESA 2010. Rovnako ako v predchádzajúcich rozpočtoch boli na príjmovej aj výdavkovej strane zapracované položky vychádzajúce z metodických úprav ESA 2010. K týmto položkám patrili i</w:t>
      </w:r>
      <w:r w:rsidR="00C84850">
        <w:rPr>
          <w:sz w:val="24"/>
          <w:szCs w:val="24"/>
        </w:rPr>
        <w:t>m</w:t>
      </w:r>
      <w:r w:rsidRPr="00410505">
        <w:rPr>
          <w:sz w:val="24"/>
          <w:szCs w:val="24"/>
        </w:rPr>
        <w:t>puty naturálnych miezd, FISIM</w:t>
      </w:r>
      <w:r>
        <w:rPr>
          <w:rStyle w:val="Odkaznapoznmkupodiarou"/>
          <w:sz w:val="24"/>
          <w:szCs w:val="24"/>
        </w:rPr>
        <w:footnoteReference w:id="4"/>
      </w:r>
      <w:r w:rsidRPr="00410505">
        <w:rPr>
          <w:sz w:val="24"/>
          <w:szCs w:val="24"/>
        </w:rPr>
        <w:t>, umeleckej produkcie na vlastné použitie a</w:t>
      </w:r>
      <w:r w:rsidR="00393CCA">
        <w:rPr>
          <w:sz w:val="24"/>
          <w:szCs w:val="24"/>
        </w:rPr>
        <w:t> </w:t>
      </w:r>
      <w:r w:rsidRPr="00410505">
        <w:rPr>
          <w:sz w:val="24"/>
          <w:szCs w:val="24"/>
        </w:rPr>
        <w:t>výroby softvéru na vlastné použitie. Zároveň boli rozpočtované aj príjmy a výdavky spoločn</w:t>
      </w:r>
      <w:r>
        <w:rPr>
          <w:sz w:val="24"/>
          <w:szCs w:val="24"/>
        </w:rPr>
        <w:t>osti Slovak Investment Holding, </w:t>
      </w:r>
      <w:r w:rsidRPr="00410505">
        <w:rPr>
          <w:sz w:val="24"/>
          <w:szCs w:val="24"/>
        </w:rPr>
        <w:t>a.</w:t>
      </w:r>
      <w:r>
        <w:rPr>
          <w:sz w:val="24"/>
          <w:szCs w:val="24"/>
        </w:rPr>
        <w:t> </w:t>
      </w:r>
      <w:r w:rsidRPr="00410505">
        <w:rPr>
          <w:sz w:val="24"/>
          <w:szCs w:val="24"/>
        </w:rPr>
        <w:t>s</w:t>
      </w:r>
      <w:r>
        <w:rPr>
          <w:sz w:val="24"/>
          <w:szCs w:val="24"/>
        </w:rPr>
        <w:t>.</w:t>
      </w:r>
      <w:r w:rsidRPr="00410505">
        <w:rPr>
          <w:sz w:val="24"/>
          <w:szCs w:val="24"/>
        </w:rPr>
        <w:t xml:space="preserve"> </w:t>
      </w:r>
      <w:r>
        <w:rPr>
          <w:sz w:val="24"/>
          <w:szCs w:val="24"/>
        </w:rPr>
        <w:t>V </w:t>
      </w:r>
      <w:r w:rsidRPr="00410505">
        <w:rPr>
          <w:sz w:val="24"/>
          <w:szCs w:val="24"/>
        </w:rPr>
        <w:t>rámci rozpočtu verejnej správy na roky 2024 až 2026 sa uvažovalo s hodnotami na</w:t>
      </w:r>
      <w:r>
        <w:rPr>
          <w:sz w:val="24"/>
          <w:szCs w:val="24"/>
        </w:rPr>
        <w:t> </w:t>
      </w:r>
      <w:r w:rsidRPr="00410505">
        <w:rPr>
          <w:sz w:val="24"/>
          <w:szCs w:val="24"/>
        </w:rPr>
        <w:t>úrovni jesennej notifikácie skutočnosti za rok 2022. Rozpočet tiež počítal so zaradením systému podpory obnoviteľných zdrojov energie a vysoko účinnej kombinovanej výroby energie, tzv. zelenej energie, ktorá je v zmysle metodiky ESA 2010 presmerovaná cez sektor verejnej správy. Z dôvodu zvýšenia transparentnosti verejných financií sa zaviedlo aj rozpočtovanie superdividend a zároveň bolo zavedené rozpočtovanie upravujúcej položky</w:t>
      </w:r>
      <w:r>
        <w:rPr>
          <w:sz w:val="24"/>
          <w:szCs w:val="24"/>
        </w:rPr>
        <w:t> – </w:t>
      </w:r>
      <w:r w:rsidRPr="00410505">
        <w:rPr>
          <w:sz w:val="24"/>
          <w:szCs w:val="24"/>
        </w:rPr>
        <w:t>očistenie vplyvu príjmov za prostriedky EÚ z dôvodu úhrady korekcií na náklady štát</w:t>
      </w:r>
      <w:r>
        <w:rPr>
          <w:sz w:val="24"/>
          <w:szCs w:val="24"/>
        </w:rPr>
        <w:t>u</w:t>
      </w:r>
      <w:r w:rsidRPr="00410505">
        <w:rPr>
          <w:sz w:val="24"/>
          <w:szCs w:val="24"/>
        </w:rPr>
        <w:t>.</w:t>
      </w:r>
    </w:p>
    <w:p w14:paraId="54234042" w14:textId="3C9E3957" w:rsidR="009A05C7" w:rsidRPr="00410505" w:rsidRDefault="009A05C7" w:rsidP="009A05C7">
      <w:pPr>
        <w:spacing w:line="240" w:lineRule="auto"/>
        <w:rPr>
          <w:sz w:val="24"/>
          <w:szCs w:val="24"/>
        </w:rPr>
      </w:pPr>
      <w:r w:rsidRPr="00410505">
        <w:rPr>
          <w:sz w:val="24"/>
          <w:szCs w:val="24"/>
        </w:rPr>
        <w:t>Súčasťou rozpočtu verejnej správy na roky 2024 až 2026 boli aj konsolidačné opatrenia. Konsolida</w:t>
      </w:r>
      <w:r>
        <w:rPr>
          <w:sz w:val="24"/>
          <w:szCs w:val="24"/>
        </w:rPr>
        <w:t>čný balík v celkovom objeme 1,5 % </w:t>
      </w:r>
      <w:r w:rsidRPr="00410505">
        <w:rPr>
          <w:sz w:val="24"/>
          <w:szCs w:val="24"/>
        </w:rPr>
        <w:t xml:space="preserve">HDP pri plánovanom </w:t>
      </w:r>
      <w:r>
        <w:rPr>
          <w:sz w:val="24"/>
          <w:szCs w:val="24"/>
        </w:rPr>
        <w:t>znížení deficitu o viac ako 0,5 % </w:t>
      </w:r>
      <w:r w:rsidRPr="00410505">
        <w:rPr>
          <w:sz w:val="24"/>
          <w:szCs w:val="24"/>
        </w:rPr>
        <w:t xml:space="preserve">HDP vytváral zároveň rozpočtový </w:t>
      </w:r>
      <w:r>
        <w:rPr>
          <w:sz w:val="24"/>
          <w:szCs w:val="24"/>
        </w:rPr>
        <w:t>priestor pre vládne priority. K </w:t>
      </w:r>
      <w:r w:rsidRPr="00410505">
        <w:rPr>
          <w:sz w:val="24"/>
          <w:szCs w:val="24"/>
        </w:rPr>
        <w:t>medziročnému poklesu schodku prispeli najmä prijate konsolidačné opatrenia, medzi ktoré patrili</w:t>
      </w:r>
      <w:r>
        <w:rPr>
          <w:sz w:val="24"/>
          <w:szCs w:val="24"/>
        </w:rPr>
        <w:t xml:space="preserve"> na </w:t>
      </w:r>
      <w:r w:rsidRPr="00410505">
        <w:rPr>
          <w:sz w:val="24"/>
          <w:szCs w:val="24"/>
        </w:rPr>
        <w:t>príjmovej strane najmä zdane</w:t>
      </w:r>
      <w:r w:rsidR="00393CCA">
        <w:rPr>
          <w:sz w:val="24"/>
          <w:szCs w:val="24"/>
        </w:rPr>
        <w:t>nie dočasných vysokých ziskov v </w:t>
      </w:r>
      <w:r w:rsidRPr="00410505">
        <w:rPr>
          <w:sz w:val="24"/>
          <w:szCs w:val="24"/>
        </w:rPr>
        <w:t>bankovom sektore, zvýšenie zdravotných odvodov, predĺženie platnosti solidárneho príspevku v</w:t>
      </w:r>
      <w:r w:rsidR="007232E9">
        <w:rPr>
          <w:sz w:val="24"/>
          <w:szCs w:val="24"/>
        </w:rPr>
        <w:t> </w:t>
      </w:r>
      <w:r w:rsidRPr="00410505">
        <w:rPr>
          <w:sz w:val="24"/>
          <w:szCs w:val="24"/>
        </w:rPr>
        <w:t>odvetví spracujúcom ropu, zníženie odvodov do 2.</w:t>
      </w:r>
      <w:r w:rsidR="00393CCA">
        <w:rPr>
          <w:sz w:val="24"/>
          <w:szCs w:val="24"/>
        </w:rPr>
        <w:t> </w:t>
      </w:r>
      <w:r w:rsidRPr="00410505">
        <w:rPr>
          <w:sz w:val="24"/>
          <w:szCs w:val="24"/>
        </w:rPr>
        <w:t>dôchodkového piliera, zavedenie minimálnej a</w:t>
      </w:r>
      <w:r w:rsidR="007232E9">
        <w:rPr>
          <w:sz w:val="24"/>
          <w:szCs w:val="24"/>
        </w:rPr>
        <w:t> </w:t>
      </w:r>
      <w:r w:rsidRPr="00410505">
        <w:rPr>
          <w:sz w:val="24"/>
          <w:szCs w:val="24"/>
        </w:rPr>
        <w:t>dorovnávacej dane pre</w:t>
      </w:r>
      <w:r>
        <w:rPr>
          <w:sz w:val="24"/>
          <w:szCs w:val="24"/>
        </w:rPr>
        <w:t> </w:t>
      </w:r>
      <w:r w:rsidRPr="00410505">
        <w:rPr>
          <w:sz w:val="24"/>
          <w:szCs w:val="24"/>
        </w:rPr>
        <w:t>právnické osoby, či zvý</w:t>
      </w:r>
      <w:r w:rsidR="00393CCA">
        <w:rPr>
          <w:sz w:val="24"/>
          <w:szCs w:val="24"/>
        </w:rPr>
        <w:t>šenie daní z tabaku a liehu. Na </w:t>
      </w:r>
      <w:r w:rsidRPr="00410505">
        <w:rPr>
          <w:sz w:val="24"/>
          <w:szCs w:val="24"/>
        </w:rPr>
        <w:t>výdavkovej strane konsolidačné opatrenia zahŕňali najm</w:t>
      </w:r>
      <w:r>
        <w:rPr>
          <w:sz w:val="24"/>
          <w:szCs w:val="24"/>
        </w:rPr>
        <w:t>ä viazanie výdavkov na úrovni 5</w:t>
      </w:r>
      <w:r>
        <w:t> </w:t>
      </w:r>
      <w:r w:rsidRPr="00410505">
        <w:rPr>
          <w:sz w:val="24"/>
          <w:szCs w:val="24"/>
        </w:rPr>
        <w:t>% viazania osobných výdavkov, nulovú valorizáciu platov v roku 2024, zníženie percentuálneho podielu nárokovateľného</w:t>
      </w:r>
      <w:r>
        <w:rPr>
          <w:sz w:val="24"/>
          <w:szCs w:val="24"/>
        </w:rPr>
        <w:t xml:space="preserve"> príspevku na HDP pre </w:t>
      </w:r>
      <w:r w:rsidRPr="00410505">
        <w:rPr>
          <w:sz w:val="24"/>
          <w:szCs w:val="24"/>
        </w:rPr>
        <w:t>S</w:t>
      </w:r>
      <w:r>
        <w:rPr>
          <w:sz w:val="24"/>
          <w:szCs w:val="24"/>
        </w:rPr>
        <w:t>TVR</w:t>
      </w:r>
      <w:r w:rsidRPr="00410505">
        <w:rPr>
          <w:sz w:val="24"/>
          <w:szCs w:val="24"/>
        </w:rPr>
        <w:t>, či zrušenie podpory zníženia koncovej ceny elektriny pre podniky.</w:t>
      </w:r>
    </w:p>
    <w:p w14:paraId="67651019" w14:textId="1F6613BA" w:rsidR="009A05C7" w:rsidRPr="00410505" w:rsidRDefault="009A05C7" w:rsidP="009A05C7">
      <w:pPr>
        <w:spacing w:line="240" w:lineRule="auto"/>
        <w:rPr>
          <w:sz w:val="24"/>
          <w:szCs w:val="24"/>
        </w:rPr>
      </w:pPr>
      <w:r w:rsidRPr="00410505">
        <w:rPr>
          <w:sz w:val="24"/>
          <w:szCs w:val="24"/>
        </w:rPr>
        <w:t>Okrem potrebnej konsolidácie rozpočet verejnej správy na roky 2024 až 2026 zohľadňoval aj výrazné vplyvy legislatívnych a nelegislatívnych materiálov schválených v predchádzajúcom volebnom období, pričom vláda SR neznižovala výdavky určené na vyplácanie dôchodkov, či výdavky určené na podporu iných zraniteľných skupín obyvateľstva, ani výdavky na</w:t>
      </w:r>
      <w:r>
        <w:rPr>
          <w:sz w:val="24"/>
          <w:szCs w:val="24"/>
        </w:rPr>
        <w:t> </w:t>
      </w:r>
      <w:r w:rsidRPr="00410505">
        <w:rPr>
          <w:sz w:val="24"/>
          <w:szCs w:val="24"/>
        </w:rPr>
        <w:t>školstvo, zdravotníctvo, sociálne veci, rodinnú politiku a mnohé ďalšie oblasti, aby negatívne vplyvy na</w:t>
      </w:r>
      <w:r>
        <w:rPr>
          <w:sz w:val="24"/>
          <w:szCs w:val="24"/>
        </w:rPr>
        <w:t> </w:t>
      </w:r>
      <w:r w:rsidRPr="00410505">
        <w:rPr>
          <w:sz w:val="24"/>
          <w:szCs w:val="24"/>
        </w:rPr>
        <w:t>obyvateľstvo boli čo najmenšie. Pri zohľadnení potrebného konsolidačného úsilia, rozpočet počítal aj s výdavkami určenými na prijatie trvalého 13.</w:t>
      </w:r>
      <w:r>
        <w:rPr>
          <w:sz w:val="24"/>
          <w:szCs w:val="24"/>
        </w:rPr>
        <w:t> </w:t>
      </w:r>
      <w:r w:rsidRPr="00410505">
        <w:rPr>
          <w:sz w:val="24"/>
          <w:szCs w:val="24"/>
        </w:rPr>
        <w:t>dôchodku vo výške priemernej mesačnej sumy daného druhu dôchodku za predchádzajúci rok, a to súčasne pri zachovaní rodičovského dôchodku. Rovnako bola v rozpočte zabezpečená pomoc pri splácaní úverov na</w:t>
      </w:r>
      <w:r>
        <w:rPr>
          <w:sz w:val="24"/>
          <w:szCs w:val="24"/>
        </w:rPr>
        <w:t> </w:t>
      </w:r>
      <w:r w:rsidRPr="00410505">
        <w:rPr>
          <w:sz w:val="24"/>
          <w:szCs w:val="24"/>
        </w:rPr>
        <w:t>bývanie v</w:t>
      </w:r>
      <w:r>
        <w:rPr>
          <w:sz w:val="24"/>
          <w:szCs w:val="24"/>
        </w:rPr>
        <w:t> </w:t>
      </w:r>
      <w:r w:rsidRPr="00410505">
        <w:rPr>
          <w:sz w:val="24"/>
          <w:szCs w:val="24"/>
        </w:rPr>
        <w:t>súvislosti s nárastom úrokových sadzieb, ktoré zvyšujú finančné zaťaženie domácností a</w:t>
      </w:r>
      <w:r w:rsidR="00166452">
        <w:rPr>
          <w:sz w:val="24"/>
          <w:szCs w:val="24"/>
        </w:rPr>
        <w:t> </w:t>
      </w:r>
      <w:r w:rsidRPr="00410505">
        <w:rPr>
          <w:sz w:val="24"/>
          <w:szCs w:val="24"/>
        </w:rPr>
        <w:t>mohlo by dôjsť k vážnemu ohrozeniu platobnej schopnosti obyvateľov splácať tieto úvery. Rozpočet zahŕňal aj výdavky na</w:t>
      </w:r>
      <w:r w:rsidR="007232E9">
        <w:rPr>
          <w:sz w:val="24"/>
          <w:szCs w:val="24"/>
        </w:rPr>
        <w:t> </w:t>
      </w:r>
      <w:r w:rsidRPr="00410505">
        <w:rPr>
          <w:sz w:val="24"/>
          <w:szCs w:val="24"/>
        </w:rPr>
        <w:t>vytvorenie nového Ministerstva cestovného ruchu a športu SR, ktorého cieľom bolo posilniť a zefektívniť využívanie verejných zdrojov a potenciálu v cestovnom ruchu, rozvoj kúpeľného cestovného ruchu a cykloturistiky, ako aj podpora športu. Zároveň kvôli prebiehajúcej energokríze sa v rozpočte počítalo s pomocou vlády SR na</w:t>
      </w:r>
      <w:r w:rsidR="00393CCA">
        <w:rPr>
          <w:sz w:val="24"/>
          <w:szCs w:val="24"/>
        </w:rPr>
        <w:t> </w:t>
      </w:r>
      <w:r w:rsidRPr="00410505">
        <w:rPr>
          <w:sz w:val="24"/>
          <w:szCs w:val="24"/>
        </w:rPr>
        <w:t>kompenzáciu vysokých cien pre domácnosti s cieľom ich stabilizácie.</w:t>
      </w:r>
    </w:p>
    <w:p w14:paraId="2B276D0B" w14:textId="5B3656BD" w:rsidR="009A05C7" w:rsidRPr="00410505" w:rsidRDefault="009A05C7" w:rsidP="009A05C7">
      <w:pPr>
        <w:autoSpaceDE w:val="0"/>
        <w:autoSpaceDN w:val="0"/>
        <w:spacing w:line="240" w:lineRule="auto"/>
        <w:rPr>
          <w:sz w:val="24"/>
          <w:szCs w:val="24"/>
        </w:rPr>
      </w:pPr>
      <w:r w:rsidRPr="00410505">
        <w:rPr>
          <w:sz w:val="24"/>
          <w:szCs w:val="24"/>
        </w:rPr>
        <w:t>V priebehu roku 2024 prebiehal pravidelný monitoring vývoja plnenia schváleného rozpočtu verejnej správy na mesačnej báze. Ministerstvo financií SR sledovalo vývoj v širšom rámci celých verejných financií formou pravidelnej analýzy očakávaných predpokladov hospodárenia kapitol štátneho rozpočtu a ostatných subjektov verejnej správy na</w:t>
      </w:r>
      <w:r w:rsidR="00393CCA">
        <w:rPr>
          <w:sz w:val="24"/>
          <w:szCs w:val="24"/>
        </w:rPr>
        <w:t> </w:t>
      </w:r>
      <w:r w:rsidRPr="00410505">
        <w:rPr>
          <w:sz w:val="24"/>
          <w:szCs w:val="24"/>
        </w:rPr>
        <w:t xml:space="preserve">hotovostnej </w:t>
      </w:r>
      <w:r w:rsidRPr="00410505">
        <w:rPr>
          <w:sz w:val="24"/>
          <w:szCs w:val="24"/>
        </w:rPr>
        <w:lastRenderedPageBreak/>
        <w:t>báze a v metodike ESA 2010. Na základe aktuálne d</w:t>
      </w:r>
      <w:r w:rsidR="00091E03">
        <w:rPr>
          <w:sz w:val="24"/>
          <w:szCs w:val="24"/>
        </w:rPr>
        <w:t>ostupných údajov o </w:t>
      </w:r>
      <w:r w:rsidRPr="00410505">
        <w:rPr>
          <w:sz w:val="24"/>
          <w:szCs w:val="24"/>
        </w:rPr>
        <w:t>dosiahnutej skutočnosti a</w:t>
      </w:r>
      <w:r>
        <w:rPr>
          <w:sz w:val="24"/>
          <w:szCs w:val="24"/>
        </w:rPr>
        <w:t> </w:t>
      </w:r>
      <w:r w:rsidRPr="00410505">
        <w:rPr>
          <w:sz w:val="24"/>
          <w:szCs w:val="24"/>
        </w:rPr>
        <w:t>predpokladanom vývoji príjmov a výdavkov rozpočtu verejnej správy ku</w:t>
      </w:r>
      <w:r w:rsidR="00393CCA">
        <w:rPr>
          <w:sz w:val="24"/>
          <w:szCs w:val="24"/>
        </w:rPr>
        <w:t> </w:t>
      </w:r>
      <w:r w:rsidRPr="00410505">
        <w:rPr>
          <w:sz w:val="24"/>
          <w:szCs w:val="24"/>
        </w:rPr>
        <w:t>koncu rozpočtového roka sa kvantifikovali očakávané zmeny a riziká v hospodárení jednotlivých subjektov rozpočtu verejnej správy oproti schválenému rozpočtu na rok 2024.</w:t>
      </w:r>
    </w:p>
    <w:p w14:paraId="228F104C" w14:textId="77777777" w:rsidR="009A05C7" w:rsidRPr="00410505" w:rsidRDefault="009A05C7" w:rsidP="009A05C7">
      <w:pPr>
        <w:autoSpaceDE w:val="0"/>
        <w:autoSpaceDN w:val="0"/>
        <w:spacing w:line="240" w:lineRule="auto"/>
        <w:rPr>
          <w:sz w:val="24"/>
          <w:szCs w:val="24"/>
        </w:rPr>
      </w:pPr>
      <w:r w:rsidRPr="00410505">
        <w:rPr>
          <w:sz w:val="24"/>
          <w:szCs w:val="24"/>
        </w:rPr>
        <w:t>Mesačné predpoklady vývoja verejných financií vychádzali aj z najnovších analýz a</w:t>
      </w:r>
      <w:r>
        <w:rPr>
          <w:sz w:val="24"/>
          <w:szCs w:val="24"/>
        </w:rPr>
        <w:t> </w:t>
      </w:r>
      <w:r w:rsidRPr="00410505">
        <w:rPr>
          <w:sz w:val="24"/>
          <w:szCs w:val="24"/>
        </w:rPr>
        <w:t>prognóz makroekonomického vývoja, prognóz daňových a odvodových príjmov a prognóz vybraných nedaňových príjmov, ako aj z podkladov o očakávanom plnení príjmov a čerpaní výdavkov za</w:t>
      </w:r>
      <w:r>
        <w:rPr>
          <w:sz w:val="24"/>
          <w:szCs w:val="24"/>
        </w:rPr>
        <w:t> </w:t>
      </w:r>
      <w:r w:rsidRPr="00410505">
        <w:rPr>
          <w:sz w:val="24"/>
          <w:szCs w:val="24"/>
        </w:rPr>
        <w:t>prostriedky EÚ a prostriedky na spolufinancovanie zo štátneho rozpočtu a z podkladov o očakávanom plnení príjmov a čerpaní výdavkov za prostriedky Plánu obnovy a odolnosti.</w:t>
      </w:r>
    </w:p>
    <w:p w14:paraId="6570EA28" w14:textId="09559FA6" w:rsidR="009A05C7" w:rsidRPr="00410505" w:rsidRDefault="009A05C7" w:rsidP="009A05C7">
      <w:pPr>
        <w:autoSpaceDE w:val="0"/>
        <w:autoSpaceDN w:val="0"/>
        <w:spacing w:line="240" w:lineRule="auto"/>
        <w:rPr>
          <w:sz w:val="24"/>
          <w:szCs w:val="24"/>
        </w:rPr>
      </w:pPr>
      <w:r>
        <w:rPr>
          <w:sz w:val="24"/>
          <w:szCs w:val="24"/>
        </w:rPr>
        <w:t>V nadväznosti na § </w:t>
      </w:r>
      <w:r w:rsidRPr="00410505">
        <w:rPr>
          <w:sz w:val="24"/>
          <w:szCs w:val="24"/>
        </w:rPr>
        <w:t>30 ods.</w:t>
      </w:r>
      <w:r>
        <w:rPr>
          <w:sz w:val="24"/>
          <w:szCs w:val="24"/>
        </w:rPr>
        <w:t xml:space="preserve"> 3 </w:t>
      </w:r>
      <w:r w:rsidR="008E1B82">
        <w:rPr>
          <w:sz w:val="24"/>
          <w:szCs w:val="24"/>
        </w:rPr>
        <w:t>zákona o rozpočtových pravidlách</w:t>
      </w:r>
      <w:r w:rsidRPr="00410505">
        <w:rPr>
          <w:sz w:val="24"/>
          <w:szCs w:val="24"/>
        </w:rPr>
        <w:t>, na základe ktorého Ministerstvo financií SR zverejňuje očakávanú skutočn</w:t>
      </w:r>
      <w:r w:rsidR="00091E03">
        <w:rPr>
          <w:sz w:val="24"/>
          <w:szCs w:val="24"/>
        </w:rPr>
        <w:t>osť bežného rozpočtového roka v </w:t>
      </w:r>
      <w:r w:rsidRPr="00410505">
        <w:rPr>
          <w:sz w:val="24"/>
          <w:szCs w:val="24"/>
        </w:rPr>
        <w:t>porovnaní so</w:t>
      </w:r>
      <w:r>
        <w:rPr>
          <w:sz w:val="24"/>
          <w:szCs w:val="24"/>
        </w:rPr>
        <w:t> </w:t>
      </w:r>
      <w:r w:rsidRPr="00410505">
        <w:rPr>
          <w:sz w:val="24"/>
          <w:szCs w:val="24"/>
        </w:rPr>
        <w:t>schváleným rozpočtom verejnej správy na bežný rozpočtový rok spôsobom podľa osobi</w:t>
      </w:r>
      <w:r>
        <w:rPr>
          <w:sz w:val="24"/>
          <w:szCs w:val="24"/>
        </w:rPr>
        <w:t>tného predpisu najneskôr do 15. </w:t>
      </w:r>
      <w:r w:rsidRPr="00410505">
        <w:rPr>
          <w:sz w:val="24"/>
          <w:szCs w:val="24"/>
        </w:rPr>
        <w:t>augusta bežného roka na základe údajov k</w:t>
      </w:r>
      <w:r w:rsidR="00091E03">
        <w:rPr>
          <w:sz w:val="24"/>
          <w:szCs w:val="24"/>
        </w:rPr>
        <w:t> </w:t>
      </w:r>
      <w:r w:rsidRPr="00410505">
        <w:rPr>
          <w:sz w:val="24"/>
          <w:szCs w:val="24"/>
        </w:rPr>
        <w:t>30.</w:t>
      </w:r>
      <w:r>
        <w:rPr>
          <w:sz w:val="24"/>
          <w:szCs w:val="24"/>
        </w:rPr>
        <w:t> júnu bežného roka dostupných v </w:t>
      </w:r>
      <w:r w:rsidRPr="00410505">
        <w:rPr>
          <w:sz w:val="24"/>
          <w:szCs w:val="24"/>
        </w:rPr>
        <w:t>čase jej spracovania, Ministerstvo financií SR zverejnilo na svojej stránke Správu o</w:t>
      </w:r>
      <w:r>
        <w:rPr>
          <w:sz w:val="24"/>
          <w:szCs w:val="24"/>
        </w:rPr>
        <w:t> </w:t>
      </w:r>
      <w:r w:rsidRPr="00410505">
        <w:rPr>
          <w:sz w:val="24"/>
          <w:szCs w:val="24"/>
        </w:rPr>
        <w:t>očaká</w:t>
      </w:r>
      <w:r w:rsidR="00C87B43">
        <w:rPr>
          <w:sz w:val="24"/>
          <w:szCs w:val="24"/>
        </w:rPr>
        <w:t>vanej skutočnosti za rok 2024 v </w:t>
      </w:r>
      <w:r w:rsidRPr="00410505">
        <w:rPr>
          <w:sz w:val="24"/>
          <w:szCs w:val="24"/>
        </w:rPr>
        <w:t>porovnaní so</w:t>
      </w:r>
      <w:r w:rsidR="00091E03">
        <w:rPr>
          <w:sz w:val="24"/>
          <w:szCs w:val="24"/>
        </w:rPr>
        <w:t> </w:t>
      </w:r>
      <w:r w:rsidRPr="00410505">
        <w:rPr>
          <w:sz w:val="24"/>
          <w:szCs w:val="24"/>
        </w:rPr>
        <w:t>schváleným rozpočtom verejnej správy na rok 2024, v rámci ktorej očakávalo deficit hospodárenia verej</w:t>
      </w:r>
      <w:r>
        <w:rPr>
          <w:sz w:val="24"/>
          <w:szCs w:val="24"/>
        </w:rPr>
        <w:t>nej správy vo výške 5,85 % HDP.</w:t>
      </w:r>
    </w:p>
    <w:p w14:paraId="37D3E35D" w14:textId="77777777" w:rsidR="009A05C7" w:rsidRDefault="009A05C7" w:rsidP="009A05C7">
      <w:pPr>
        <w:spacing w:line="240" w:lineRule="auto"/>
        <w:rPr>
          <w:sz w:val="24"/>
          <w:szCs w:val="24"/>
        </w:rPr>
      </w:pPr>
      <w:r w:rsidRPr="00410505">
        <w:rPr>
          <w:sz w:val="24"/>
          <w:szCs w:val="24"/>
        </w:rPr>
        <w:t>Súčasťou rozpočtu verejnej správy na roky 2025 až 2027, ktorý Ministerstvo financií SR predložilo na rokovanie vlády SR a rokovanie NR SR, bola aj analýza aktuálneho vývoja verejných financií v roku 2024 spracovaná na základe v tom čase dostupných podkladov. Analýza vychádzajúca z predpokladu dosiahnutia schodku rozpočtu verejnej správy vo</w:t>
      </w:r>
      <w:r>
        <w:rPr>
          <w:sz w:val="24"/>
          <w:szCs w:val="24"/>
        </w:rPr>
        <w:t> </w:t>
      </w:r>
      <w:r w:rsidRPr="00410505">
        <w:rPr>
          <w:sz w:val="24"/>
          <w:szCs w:val="24"/>
        </w:rPr>
        <w:t>výške 5,79</w:t>
      </w:r>
      <w:r>
        <w:rPr>
          <w:sz w:val="24"/>
          <w:szCs w:val="24"/>
        </w:rPr>
        <w:t> % </w:t>
      </w:r>
      <w:r w:rsidRPr="00410505">
        <w:rPr>
          <w:sz w:val="24"/>
          <w:szCs w:val="24"/>
        </w:rPr>
        <w:t>HDP definovala najvýznamnejšie vplyvy na saldo rozpočtu verejnej správy v porovnaní so schváleným rozpočtovým cieľom na rok 2024.</w:t>
      </w:r>
    </w:p>
    <w:p w14:paraId="56C630AA" w14:textId="77777777" w:rsidR="009A05C7" w:rsidRDefault="009A05C7" w:rsidP="009A05C7">
      <w:pPr>
        <w:spacing w:after="160" w:line="259" w:lineRule="auto"/>
        <w:jc w:val="left"/>
        <w:rPr>
          <w:rFonts w:eastAsiaTheme="majorEastAsia" w:cstheme="majorBidi"/>
          <w:b/>
          <w:sz w:val="24"/>
          <w:szCs w:val="26"/>
        </w:rPr>
      </w:pPr>
      <w:bookmarkStart w:id="35" w:name="_Toc6415635"/>
      <w:r>
        <w:br w:type="page"/>
      </w:r>
    </w:p>
    <w:p w14:paraId="0C45C759" w14:textId="77777777" w:rsidR="009A05C7" w:rsidRPr="0071716D" w:rsidRDefault="009A05C7" w:rsidP="00922F60">
      <w:pPr>
        <w:pStyle w:val="Nadpis2"/>
        <w:spacing w:before="240"/>
        <w:ind w:left="567" w:hanging="567"/>
      </w:pPr>
      <w:bookmarkStart w:id="36" w:name="_Toc196314125"/>
      <w:r w:rsidRPr="0071716D">
        <w:lastRenderedPageBreak/>
        <w:t>Saldo verejnej správy</w:t>
      </w:r>
      <w:bookmarkEnd w:id="35"/>
      <w:bookmarkEnd w:id="36"/>
    </w:p>
    <w:p w14:paraId="6BFD4FC9" w14:textId="0635EA25" w:rsidR="009A05C7" w:rsidRDefault="009A05C7" w:rsidP="009A05C7">
      <w:pPr>
        <w:spacing w:line="240" w:lineRule="auto"/>
        <w:rPr>
          <w:sz w:val="24"/>
          <w:szCs w:val="24"/>
        </w:rPr>
      </w:pPr>
      <w:r w:rsidRPr="00503A27">
        <w:rPr>
          <w:sz w:val="24"/>
          <w:szCs w:val="24"/>
        </w:rPr>
        <w:t>Rozp</w:t>
      </w:r>
      <w:r>
        <w:rPr>
          <w:sz w:val="24"/>
          <w:szCs w:val="24"/>
        </w:rPr>
        <w:t>očet verejnej správy na rok 2024</w:t>
      </w:r>
      <w:r w:rsidRPr="00503A27">
        <w:rPr>
          <w:sz w:val="24"/>
          <w:szCs w:val="24"/>
        </w:rPr>
        <w:t xml:space="preserve">, </w:t>
      </w:r>
      <w:r w:rsidRPr="001058AE">
        <w:rPr>
          <w:sz w:val="24"/>
          <w:szCs w:val="24"/>
        </w:rPr>
        <w:t>ktorý bol schválený vládou SR</w:t>
      </w:r>
      <w:r w:rsidRPr="001058AE">
        <w:rPr>
          <w:rStyle w:val="Odkaznapoznmkupodiarou"/>
          <w:sz w:val="24"/>
          <w:szCs w:val="24"/>
        </w:rPr>
        <w:footnoteReference w:id="5"/>
      </w:r>
      <w:r w:rsidRPr="001058AE">
        <w:rPr>
          <w:sz w:val="24"/>
          <w:szCs w:val="24"/>
        </w:rPr>
        <w:t xml:space="preserve"> </w:t>
      </w:r>
      <w:r w:rsidRPr="00171BA2">
        <w:rPr>
          <w:sz w:val="24"/>
          <w:szCs w:val="24"/>
        </w:rPr>
        <w:t>a vzatý na vedomie v Národnej rade SR</w:t>
      </w:r>
      <w:r w:rsidRPr="00171BA2">
        <w:rPr>
          <w:rStyle w:val="Odkaznapoznmkupodiarou"/>
          <w:sz w:val="24"/>
          <w:szCs w:val="24"/>
        </w:rPr>
        <w:footnoteReference w:id="6"/>
      </w:r>
      <w:r w:rsidRPr="00171BA2">
        <w:rPr>
          <w:sz w:val="24"/>
          <w:szCs w:val="24"/>
        </w:rPr>
        <w:t xml:space="preserve">, predpokladal hospodárenie verejnej správy </w:t>
      </w:r>
      <w:r w:rsidR="004A2C04">
        <w:rPr>
          <w:sz w:val="24"/>
          <w:szCs w:val="24"/>
        </w:rPr>
        <w:t>so </w:t>
      </w:r>
      <w:r w:rsidRPr="00F03CC1">
        <w:rPr>
          <w:sz w:val="24"/>
          <w:szCs w:val="24"/>
        </w:rPr>
        <w:t>schodkom 7 840 706 tis. eur (</w:t>
      </w:r>
      <w:r>
        <w:rPr>
          <w:sz w:val="24"/>
          <w:szCs w:val="24"/>
        </w:rPr>
        <w:t>5,97</w:t>
      </w:r>
      <w:r w:rsidRPr="00F03CC1">
        <w:rPr>
          <w:sz w:val="24"/>
          <w:szCs w:val="24"/>
        </w:rPr>
        <w:t> % predpokladaného HDP</w:t>
      </w:r>
      <w:r w:rsidRPr="00F03CC1">
        <w:rPr>
          <w:b/>
          <w:sz w:val="24"/>
          <w:szCs w:val="24"/>
        </w:rPr>
        <w:t>)</w:t>
      </w:r>
      <w:r w:rsidRPr="0029345E">
        <w:rPr>
          <w:bCs/>
          <w:sz w:val="24"/>
          <w:szCs w:val="24"/>
        </w:rPr>
        <w:t>.</w:t>
      </w:r>
      <w:r>
        <w:rPr>
          <w:bCs/>
          <w:sz w:val="24"/>
          <w:szCs w:val="24"/>
        </w:rPr>
        <w:t xml:space="preserve"> </w:t>
      </w:r>
      <w:r w:rsidRPr="005618F8">
        <w:rPr>
          <w:b/>
          <w:sz w:val="24"/>
          <w:szCs w:val="24"/>
        </w:rPr>
        <w:t>Podľa prvého kola</w:t>
      </w:r>
      <w:r>
        <w:rPr>
          <w:b/>
          <w:sz w:val="24"/>
          <w:szCs w:val="24"/>
        </w:rPr>
        <w:t xml:space="preserve"> notifikácie výsledkov roku 2024</w:t>
      </w:r>
      <w:r w:rsidRPr="005618F8">
        <w:rPr>
          <w:b/>
          <w:sz w:val="24"/>
          <w:szCs w:val="24"/>
        </w:rPr>
        <w:t xml:space="preserve">, hospodárenie s verejnými financiami v metodike ESA 2010 dosiahlo </w:t>
      </w:r>
      <w:r>
        <w:rPr>
          <w:b/>
          <w:sz w:val="24"/>
          <w:szCs w:val="24"/>
        </w:rPr>
        <w:t xml:space="preserve">v skutočnosti </w:t>
      </w:r>
      <w:r w:rsidRPr="00A11445">
        <w:rPr>
          <w:b/>
          <w:sz w:val="24"/>
          <w:szCs w:val="24"/>
        </w:rPr>
        <w:t xml:space="preserve">schodok </w:t>
      </w:r>
      <w:r w:rsidRPr="009A37DD">
        <w:rPr>
          <w:b/>
          <w:sz w:val="24"/>
          <w:szCs w:val="24"/>
        </w:rPr>
        <w:t xml:space="preserve">vo </w:t>
      </w:r>
      <w:r w:rsidRPr="00912F1D">
        <w:rPr>
          <w:b/>
          <w:sz w:val="24"/>
          <w:szCs w:val="24"/>
        </w:rPr>
        <w:t xml:space="preserve">výške </w:t>
      </w:r>
      <w:r w:rsidRPr="00912F1D">
        <w:rPr>
          <w:rFonts w:eastAsia="Times New Roman" w:cs="Times New Roman"/>
          <w:b/>
          <w:bCs/>
          <w:sz w:val="24"/>
          <w:szCs w:val="24"/>
          <w:lang w:eastAsia="sk-SK"/>
        </w:rPr>
        <w:t>6 906 738</w:t>
      </w:r>
      <w:r w:rsidRPr="00A559C9">
        <w:rPr>
          <w:b/>
          <w:sz w:val="24"/>
          <w:szCs w:val="24"/>
        </w:rPr>
        <w:t> tis. eur (5,3 % HDP)</w:t>
      </w:r>
      <w:r w:rsidRPr="00A559C9">
        <w:rPr>
          <w:sz w:val="24"/>
          <w:szCs w:val="24"/>
        </w:rPr>
        <w:t>.</w:t>
      </w:r>
    </w:p>
    <w:p w14:paraId="68417E30" w14:textId="5CB10A91" w:rsidR="00D96E6C" w:rsidRPr="00D96E6C" w:rsidRDefault="00D96E6C" w:rsidP="00D96E6C">
      <w:pPr>
        <w:pStyle w:val="Popis"/>
        <w:keepNext/>
        <w:spacing w:after="120"/>
        <w:rPr>
          <w:b/>
          <w:i w:val="0"/>
          <w:iCs w:val="0"/>
          <w:color w:val="5B9BD5" w:themeColor="accent1"/>
          <w:sz w:val="20"/>
          <w:szCs w:val="20"/>
        </w:rPr>
      </w:pPr>
      <w:bookmarkStart w:id="37" w:name="_Toc196313632"/>
      <w:bookmarkStart w:id="38" w:name="_Toc196389253"/>
      <w:r w:rsidRPr="00D96E6C">
        <w:rPr>
          <w:b/>
          <w:i w:val="0"/>
          <w:iCs w:val="0"/>
          <w:color w:val="5B9BD5" w:themeColor="accent1"/>
          <w:sz w:val="20"/>
          <w:szCs w:val="20"/>
        </w:rPr>
        <w:t xml:space="preserve">Tabuľka </w:t>
      </w:r>
      <w:r w:rsidR="003B7AF0">
        <w:rPr>
          <w:b/>
          <w:i w:val="0"/>
          <w:iCs w:val="0"/>
          <w:color w:val="5B9BD5" w:themeColor="accent1"/>
          <w:sz w:val="20"/>
          <w:szCs w:val="20"/>
        </w:rPr>
        <w:fldChar w:fldCharType="begin"/>
      </w:r>
      <w:r w:rsidR="003B7AF0">
        <w:rPr>
          <w:b/>
          <w:i w:val="0"/>
          <w:iCs w:val="0"/>
          <w:color w:val="5B9BD5" w:themeColor="accent1"/>
          <w:sz w:val="20"/>
          <w:szCs w:val="20"/>
        </w:rPr>
        <w:instrText xml:space="preserve"> SEQ Tabuľka \* ARABIC </w:instrText>
      </w:r>
      <w:r w:rsidR="003B7AF0">
        <w:rPr>
          <w:b/>
          <w:i w:val="0"/>
          <w:iCs w:val="0"/>
          <w:color w:val="5B9BD5" w:themeColor="accent1"/>
          <w:sz w:val="20"/>
          <w:szCs w:val="20"/>
        </w:rPr>
        <w:fldChar w:fldCharType="separate"/>
      </w:r>
      <w:r w:rsidR="00C64CBA">
        <w:rPr>
          <w:b/>
          <w:i w:val="0"/>
          <w:iCs w:val="0"/>
          <w:noProof/>
          <w:color w:val="5B9BD5" w:themeColor="accent1"/>
          <w:sz w:val="20"/>
          <w:szCs w:val="20"/>
        </w:rPr>
        <w:t>6</w:t>
      </w:r>
      <w:r w:rsidR="003B7AF0">
        <w:rPr>
          <w:b/>
          <w:i w:val="0"/>
          <w:iCs w:val="0"/>
          <w:color w:val="5B9BD5" w:themeColor="accent1"/>
          <w:sz w:val="20"/>
          <w:szCs w:val="20"/>
        </w:rPr>
        <w:fldChar w:fldCharType="end"/>
      </w:r>
      <w:r w:rsidRPr="00D96E6C">
        <w:rPr>
          <w:b/>
          <w:i w:val="0"/>
          <w:iCs w:val="0"/>
          <w:color w:val="5B9BD5" w:themeColor="accent1"/>
          <w:sz w:val="20"/>
          <w:szCs w:val="20"/>
        </w:rPr>
        <w:t xml:space="preserve"> - Bilancia rozpočtu verejnej správy v metodike ESA 2010</w:t>
      </w:r>
      <w:bookmarkEnd w:id="37"/>
      <w:bookmarkEnd w:id="38"/>
    </w:p>
    <w:tbl>
      <w:tblPr>
        <w:tblW w:w="5000" w:type="pct"/>
        <w:tblLayout w:type="fixed"/>
        <w:tblCellMar>
          <w:left w:w="70" w:type="dxa"/>
          <w:right w:w="70" w:type="dxa"/>
        </w:tblCellMar>
        <w:tblLook w:val="04A0" w:firstRow="1" w:lastRow="0" w:firstColumn="1" w:lastColumn="0" w:noHBand="0" w:noVBand="1"/>
      </w:tblPr>
      <w:tblGrid>
        <w:gridCol w:w="2694"/>
        <w:gridCol w:w="1082"/>
        <w:gridCol w:w="1075"/>
        <w:gridCol w:w="1075"/>
        <w:gridCol w:w="1075"/>
        <w:gridCol w:w="1077"/>
        <w:gridCol w:w="852"/>
      </w:tblGrid>
      <w:tr w:rsidR="009A05C7" w:rsidRPr="002C4859" w14:paraId="0DEE8EFA" w14:textId="77777777" w:rsidTr="003A3C32">
        <w:trPr>
          <w:trHeight w:val="269"/>
          <w:tblHeader/>
        </w:trPr>
        <w:tc>
          <w:tcPr>
            <w:tcW w:w="1508" w:type="pct"/>
            <w:vMerge w:val="restart"/>
            <w:tcBorders>
              <w:top w:val="single" w:sz="4" w:space="0" w:color="auto"/>
              <w:left w:val="nil"/>
              <w:bottom w:val="single" w:sz="4" w:space="0" w:color="000000"/>
              <w:right w:val="nil"/>
            </w:tcBorders>
            <w:shd w:val="clear" w:color="auto" w:fill="auto"/>
            <w:noWrap/>
            <w:vAlign w:val="center"/>
            <w:hideMark/>
          </w:tcPr>
          <w:p w14:paraId="1C5C3FCE" w14:textId="77777777" w:rsidR="009A05C7" w:rsidRPr="002C4859" w:rsidRDefault="009A05C7" w:rsidP="000240DA">
            <w:pPr>
              <w:spacing w:after="0" w:line="240" w:lineRule="auto"/>
              <w:jc w:val="left"/>
              <w:rPr>
                <w:rFonts w:eastAsia="Times New Roman" w:cs="Times New Roman"/>
                <w:b/>
                <w:bCs/>
                <w:color w:val="5B9BD5"/>
                <w:sz w:val="20"/>
                <w:szCs w:val="20"/>
                <w:lang w:eastAsia="sk-SK"/>
              </w:rPr>
            </w:pPr>
            <w:r>
              <w:rPr>
                <w:rFonts w:eastAsia="Times New Roman" w:cs="Times New Roman"/>
                <w:b/>
                <w:bCs/>
                <w:sz w:val="18"/>
                <w:szCs w:val="18"/>
                <w:lang w:eastAsia="sk-SK"/>
              </w:rPr>
              <w:t>v</w:t>
            </w:r>
            <w:r w:rsidRPr="00027513">
              <w:rPr>
                <w:rFonts w:eastAsia="Times New Roman" w:cs="Times New Roman"/>
                <w:b/>
                <w:bCs/>
                <w:sz w:val="18"/>
                <w:szCs w:val="18"/>
                <w:lang w:eastAsia="sk-SK"/>
              </w:rPr>
              <w:t> tis. eur</w:t>
            </w:r>
            <w:r w:rsidRPr="002C4859">
              <w:rPr>
                <w:rFonts w:eastAsia="Times New Roman" w:cs="Times New Roman"/>
                <w:b/>
                <w:bCs/>
                <w:color w:val="5B9BD5"/>
                <w:sz w:val="20"/>
                <w:szCs w:val="20"/>
                <w:lang w:eastAsia="sk-SK"/>
              </w:rPr>
              <w:t> </w:t>
            </w:r>
          </w:p>
        </w:tc>
        <w:tc>
          <w:tcPr>
            <w:tcW w:w="606" w:type="pct"/>
            <w:vMerge w:val="restart"/>
            <w:tcBorders>
              <w:top w:val="single" w:sz="4" w:space="0" w:color="auto"/>
              <w:left w:val="nil"/>
              <w:bottom w:val="single" w:sz="4" w:space="0" w:color="000000"/>
              <w:right w:val="nil"/>
            </w:tcBorders>
            <w:shd w:val="clear" w:color="auto" w:fill="auto"/>
            <w:noWrap/>
            <w:vAlign w:val="center"/>
            <w:hideMark/>
          </w:tcPr>
          <w:p w14:paraId="1A087E02" w14:textId="77777777" w:rsidR="009A05C7" w:rsidRPr="002C4859" w:rsidRDefault="009A05C7" w:rsidP="000240DA">
            <w:pPr>
              <w:spacing w:after="0" w:line="240" w:lineRule="auto"/>
              <w:jc w:val="center"/>
              <w:rPr>
                <w:rFonts w:eastAsia="Times New Roman" w:cs="Times New Roman"/>
                <w:b/>
                <w:bCs/>
                <w:sz w:val="18"/>
                <w:szCs w:val="18"/>
                <w:lang w:eastAsia="sk-SK"/>
              </w:rPr>
            </w:pPr>
            <w:r w:rsidRPr="002C4859">
              <w:rPr>
                <w:rFonts w:eastAsia="Times New Roman" w:cs="Times New Roman"/>
                <w:b/>
                <w:bCs/>
                <w:sz w:val="18"/>
                <w:szCs w:val="18"/>
                <w:lang w:eastAsia="sk-SK"/>
              </w:rPr>
              <w:t>ESA kód</w:t>
            </w:r>
          </w:p>
        </w:tc>
        <w:tc>
          <w:tcPr>
            <w:tcW w:w="602" w:type="pct"/>
            <w:tcBorders>
              <w:top w:val="single" w:sz="4" w:space="0" w:color="auto"/>
              <w:left w:val="nil"/>
              <w:bottom w:val="nil"/>
              <w:right w:val="nil"/>
            </w:tcBorders>
            <w:shd w:val="clear" w:color="auto" w:fill="auto"/>
            <w:noWrap/>
            <w:vAlign w:val="center"/>
            <w:hideMark/>
          </w:tcPr>
          <w:p w14:paraId="52D6C0BB" w14:textId="77777777" w:rsidR="009A05C7" w:rsidRPr="002C4859" w:rsidRDefault="009A05C7" w:rsidP="000240DA">
            <w:pPr>
              <w:spacing w:after="0" w:line="240" w:lineRule="auto"/>
              <w:jc w:val="center"/>
              <w:rPr>
                <w:rFonts w:eastAsia="Times New Roman" w:cs="Times New Roman"/>
                <w:b/>
                <w:bCs/>
                <w:sz w:val="18"/>
                <w:szCs w:val="18"/>
                <w:lang w:eastAsia="sk-SK"/>
              </w:rPr>
            </w:pPr>
            <w:r w:rsidRPr="002C4859">
              <w:rPr>
                <w:rFonts w:eastAsia="Times New Roman" w:cs="Times New Roman"/>
                <w:b/>
                <w:bCs/>
                <w:sz w:val="18"/>
                <w:szCs w:val="18"/>
                <w:lang w:eastAsia="sk-SK"/>
              </w:rPr>
              <w:t>2022 S</w:t>
            </w:r>
          </w:p>
        </w:tc>
        <w:tc>
          <w:tcPr>
            <w:tcW w:w="602" w:type="pct"/>
            <w:tcBorders>
              <w:top w:val="single" w:sz="4" w:space="0" w:color="auto"/>
              <w:left w:val="nil"/>
              <w:bottom w:val="nil"/>
              <w:right w:val="nil"/>
            </w:tcBorders>
            <w:shd w:val="clear" w:color="auto" w:fill="auto"/>
            <w:noWrap/>
            <w:vAlign w:val="center"/>
            <w:hideMark/>
          </w:tcPr>
          <w:p w14:paraId="13ACB402" w14:textId="77777777" w:rsidR="009A05C7" w:rsidRPr="002C4859" w:rsidRDefault="009A05C7" w:rsidP="000240DA">
            <w:pPr>
              <w:spacing w:after="0" w:line="240" w:lineRule="auto"/>
              <w:jc w:val="center"/>
              <w:rPr>
                <w:rFonts w:eastAsia="Times New Roman" w:cs="Times New Roman"/>
                <w:b/>
                <w:bCs/>
                <w:sz w:val="18"/>
                <w:szCs w:val="18"/>
                <w:lang w:eastAsia="sk-SK"/>
              </w:rPr>
            </w:pPr>
            <w:r w:rsidRPr="002C4859">
              <w:rPr>
                <w:rFonts w:eastAsia="Times New Roman" w:cs="Times New Roman"/>
                <w:b/>
                <w:bCs/>
                <w:sz w:val="18"/>
                <w:szCs w:val="18"/>
                <w:lang w:eastAsia="sk-SK"/>
              </w:rPr>
              <w:t>2023 S</w:t>
            </w:r>
          </w:p>
        </w:tc>
        <w:tc>
          <w:tcPr>
            <w:tcW w:w="602" w:type="pct"/>
            <w:tcBorders>
              <w:top w:val="single" w:sz="4" w:space="0" w:color="auto"/>
              <w:left w:val="nil"/>
              <w:bottom w:val="nil"/>
              <w:right w:val="nil"/>
            </w:tcBorders>
            <w:shd w:val="clear" w:color="auto" w:fill="auto"/>
            <w:noWrap/>
            <w:vAlign w:val="center"/>
            <w:hideMark/>
          </w:tcPr>
          <w:p w14:paraId="63825DAF" w14:textId="77777777" w:rsidR="009A05C7" w:rsidRPr="002C4859" w:rsidRDefault="009A05C7" w:rsidP="000240DA">
            <w:pPr>
              <w:spacing w:after="0" w:line="240" w:lineRule="auto"/>
              <w:jc w:val="center"/>
              <w:rPr>
                <w:rFonts w:eastAsia="Times New Roman" w:cs="Times New Roman"/>
                <w:b/>
                <w:bCs/>
                <w:sz w:val="18"/>
                <w:szCs w:val="18"/>
                <w:lang w:eastAsia="sk-SK"/>
              </w:rPr>
            </w:pPr>
            <w:r w:rsidRPr="002C4859">
              <w:rPr>
                <w:rFonts w:eastAsia="Times New Roman" w:cs="Times New Roman"/>
                <w:b/>
                <w:bCs/>
                <w:sz w:val="18"/>
                <w:szCs w:val="18"/>
                <w:lang w:eastAsia="sk-SK"/>
              </w:rPr>
              <w:t>2024 R</w:t>
            </w:r>
          </w:p>
        </w:tc>
        <w:tc>
          <w:tcPr>
            <w:tcW w:w="603" w:type="pct"/>
            <w:tcBorders>
              <w:top w:val="single" w:sz="4" w:space="0" w:color="auto"/>
              <w:left w:val="nil"/>
              <w:bottom w:val="nil"/>
              <w:right w:val="nil"/>
            </w:tcBorders>
            <w:shd w:val="clear" w:color="auto" w:fill="auto"/>
            <w:noWrap/>
            <w:vAlign w:val="center"/>
            <w:hideMark/>
          </w:tcPr>
          <w:p w14:paraId="1B50DBD1" w14:textId="77777777" w:rsidR="009A05C7" w:rsidRPr="002C4859" w:rsidRDefault="009A05C7" w:rsidP="000240DA">
            <w:pPr>
              <w:spacing w:after="0" w:line="240" w:lineRule="auto"/>
              <w:jc w:val="center"/>
              <w:rPr>
                <w:rFonts w:eastAsia="Times New Roman" w:cs="Times New Roman"/>
                <w:b/>
                <w:bCs/>
                <w:sz w:val="18"/>
                <w:szCs w:val="18"/>
                <w:lang w:eastAsia="sk-SK"/>
              </w:rPr>
            </w:pPr>
            <w:r w:rsidRPr="002C4859">
              <w:rPr>
                <w:rFonts w:eastAsia="Times New Roman" w:cs="Times New Roman"/>
                <w:b/>
                <w:bCs/>
                <w:sz w:val="18"/>
                <w:szCs w:val="18"/>
                <w:lang w:eastAsia="sk-SK"/>
              </w:rPr>
              <w:t>2024 S</w:t>
            </w:r>
          </w:p>
        </w:tc>
        <w:tc>
          <w:tcPr>
            <w:tcW w:w="477" w:type="pct"/>
            <w:tcBorders>
              <w:top w:val="single" w:sz="4" w:space="0" w:color="auto"/>
              <w:left w:val="nil"/>
              <w:bottom w:val="nil"/>
              <w:right w:val="nil"/>
            </w:tcBorders>
            <w:shd w:val="clear" w:color="auto" w:fill="auto"/>
            <w:noWrap/>
            <w:vAlign w:val="center"/>
            <w:hideMark/>
          </w:tcPr>
          <w:p w14:paraId="080DA138" w14:textId="77777777" w:rsidR="009A05C7" w:rsidRPr="002C4859" w:rsidRDefault="009A05C7" w:rsidP="000240DA">
            <w:pPr>
              <w:spacing w:after="0" w:line="240" w:lineRule="auto"/>
              <w:jc w:val="center"/>
              <w:rPr>
                <w:rFonts w:eastAsia="Times New Roman" w:cs="Times New Roman"/>
                <w:b/>
                <w:bCs/>
                <w:sz w:val="18"/>
                <w:szCs w:val="18"/>
                <w:lang w:eastAsia="sk-SK"/>
              </w:rPr>
            </w:pPr>
            <w:r w:rsidRPr="002C4859">
              <w:rPr>
                <w:rFonts w:eastAsia="Times New Roman" w:cs="Times New Roman"/>
                <w:b/>
                <w:bCs/>
                <w:sz w:val="18"/>
                <w:szCs w:val="18"/>
                <w:lang w:eastAsia="sk-SK"/>
              </w:rPr>
              <w:t xml:space="preserve"> Rozdiel </w:t>
            </w:r>
          </w:p>
        </w:tc>
      </w:tr>
      <w:tr w:rsidR="009A05C7" w:rsidRPr="002C4859" w14:paraId="4DE98734" w14:textId="77777777" w:rsidTr="003A3C32">
        <w:trPr>
          <w:trHeight w:val="51"/>
          <w:tblHeader/>
        </w:trPr>
        <w:tc>
          <w:tcPr>
            <w:tcW w:w="1508" w:type="pct"/>
            <w:vMerge/>
            <w:tcBorders>
              <w:top w:val="single" w:sz="4" w:space="0" w:color="auto"/>
              <w:left w:val="nil"/>
              <w:bottom w:val="single" w:sz="4" w:space="0" w:color="000000"/>
              <w:right w:val="nil"/>
            </w:tcBorders>
            <w:vAlign w:val="center"/>
            <w:hideMark/>
          </w:tcPr>
          <w:p w14:paraId="13EFD80D" w14:textId="77777777" w:rsidR="009A05C7" w:rsidRPr="002C4859" w:rsidRDefault="009A05C7" w:rsidP="000240DA">
            <w:pPr>
              <w:spacing w:after="0" w:line="240" w:lineRule="auto"/>
              <w:jc w:val="left"/>
              <w:rPr>
                <w:rFonts w:eastAsia="Times New Roman" w:cs="Times New Roman"/>
                <w:b/>
                <w:bCs/>
                <w:color w:val="5B9BD5"/>
                <w:sz w:val="20"/>
                <w:szCs w:val="20"/>
                <w:lang w:eastAsia="sk-SK"/>
              </w:rPr>
            </w:pPr>
          </w:p>
        </w:tc>
        <w:tc>
          <w:tcPr>
            <w:tcW w:w="606" w:type="pct"/>
            <w:vMerge/>
            <w:tcBorders>
              <w:top w:val="single" w:sz="4" w:space="0" w:color="auto"/>
              <w:left w:val="nil"/>
              <w:bottom w:val="single" w:sz="4" w:space="0" w:color="000000"/>
              <w:right w:val="nil"/>
            </w:tcBorders>
            <w:vAlign w:val="center"/>
            <w:hideMark/>
          </w:tcPr>
          <w:p w14:paraId="73402C48" w14:textId="77777777" w:rsidR="009A05C7" w:rsidRPr="002C4859" w:rsidRDefault="009A05C7" w:rsidP="000240DA">
            <w:pPr>
              <w:spacing w:after="0" w:line="240" w:lineRule="auto"/>
              <w:jc w:val="left"/>
              <w:rPr>
                <w:rFonts w:eastAsia="Times New Roman" w:cs="Times New Roman"/>
                <w:b/>
                <w:bCs/>
                <w:sz w:val="18"/>
                <w:szCs w:val="18"/>
                <w:lang w:eastAsia="sk-SK"/>
              </w:rPr>
            </w:pPr>
          </w:p>
        </w:tc>
        <w:tc>
          <w:tcPr>
            <w:tcW w:w="602" w:type="pct"/>
            <w:tcBorders>
              <w:top w:val="nil"/>
              <w:left w:val="nil"/>
              <w:bottom w:val="single" w:sz="4" w:space="0" w:color="auto"/>
              <w:right w:val="nil"/>
            </w:tcBorders>
            <w:shd w:val="clear" w:color="auto" w:fill="auto"/>
            <w:noWrap/>
            <w:vAlign w:val="center"/>
            <w:hideMark/>
          </w:tcPr>
          <w:p w14:paraId="7FEFC3E2" w14:textId="77777777" w:rsidR="009A05C7" w:rsidRPr="002C4859" w:rsidRDefault="009A05C7" w:rsidP="000240DA">
            <w:pPr>
              <w:spacing w:after="0" w:line="240" w:lineRule="auto"/>
              <w:jc w:val="center"/>
              <w:rPr>
                <w:rFonts w:eastAsia="Times New Roman" w:cs="Times New Roman"/>
                <w:b/>
                <w:bCs/>
                <w:sz w:val="18"/>
                <w:szCs w:val="18"/>
                <w:lang w:eastAsia="sk-SK"/>
              </w:rPr>
            </w:pPr>
            <w:r w:rsidRPr="002C4859">
              <w:rPr>
                <w:rFonts w:eastAsia="Times New Roman" w:cs="Times New Roman"/>
                <w:b/>
                <w:bCs/>
                <w:sz w:val="18"/>
                <w:szCs w:val="18"/>
                <w:lang w:eastAsia="sk-SK"/>
              </w:rPr>
              <w:t>1</w:t>
            </w:r>
          </w:p>
        </w:tc>
        <w:tc>
          <w:tcPr>
            <w:tcW w:w="602" w:type="pct"/>
            <w:tcBorders>
              <w:top w:val="nil"/>
              <w:left w:val="nil"/>
              <w:bottom w:val="single" w:sz="4" w:space="0" w:color="auto"/>
              <w:right w:val="nil"/>
            </w:tcBorders>
            <w:shd w:val="clear" w:color="auto" w:fill="auto"/>
            <w:noWrap/>
            <w:vAlign w:val="center"/>
            <w:hideMark/>
          </w:tcPr>
          <w:p w14:paraId="2C3AAD83" w14:textId="77777777" w:rsidR="009A05C7" w:rsidRPr="002C4859" w:rsidRDefault="009A05C7" w:rsidP="000240DA">
            <w:pPr>
              <w:spacing w:after="0" w:line="240" w:lineRule="auto"/>
              <w:jc w:val="center"/>
              <w:rPr>
                <w:rFonts w:eastAsia="Times New Roman" w:cs="Times New Roman"/>
                <w:b/>
                <w:bCs/>
                <w:sz w:val="18"/>
                <w:szCs w:val="18"/>
                <w:lang w:eastAsia="sk-SK"/>
              </w:rPr>
            </w:pPr>
            <w:r w:rsidRPr="002C4859">
              <w:rPr>
                <w:rFonts w:eastAsia="Times New Roman" w:cs="Times New Roman"/>
                <w:b/>
                <w:bCs/>
                <w:sz w:val="18"/>
                <w:szCs w:val="18"/>
                <w:lang w:eastAsia="sk-SK"/>
              </w:rPr>
              <w:t>2</w:t>
            </w:r>
          </w:p>
        </w:tc>
        <w:tc>
          <w:tcPr>
            <w:tcW w:w="602" w:type="pct"/>
            <w:tcBorders>
              <w:top w:val="nil"/>
              <w:left w:val="nil"/>
              <w:bottom w:val="single" w:sz="4" w:space="0" w:color="auto"/>
              <w:right w:val="nil"/>
            </w:tcBorders>
            <w:shd w:val="clear" w:color="auto" w:fill="auto"/>
            <w:noWrap/>
            <w:vAlign w:val="center"/>
            <w:hideMark/>
          </w:tcPr>
          <w:p w14:paraId="621F5088" w14:textId="77777777" w:rsidR="009A05C7" w:rsidRPr="002C4859" w:rsidRDefault="009A05C7" w:rsidP="000240DA">
            <w:pPr>
              <w:spacing w:after="0" w:line="240" w:lineRule="auto"/>
              <w:jc w:val="center"/>
              <w:rPr>
                <w:rFonts w:eastAsia="Times New Roman" w:cs="Times New Roman"/>
                <w:b/>
                <w:bCs/>
                <w:sz w:val="18"/>
                <w:szCs w:val="18"/>
                <w:lang w:eastAsia="sk-SK"/>
              </w:rPr>
            </w:pPr>
            <w:r w:rsidRPr="002C4859">
              <w:rPr>
                <w:rFonts w:eastAsia="Times New Roman" w:cs="Times New Roman"/>
                <w:b/>
                <w:bCs/>
                <w:sz w:val="18"/>
                <w:szCs w:val="18"/>
                <w:lang w:eastAsia="sk-SK"/>
              </w:rPr>
              <w:t>3</w:t>
            </w:r>
          </w:p>
        </w:tc>
        <w:tc>
          <w:tcPr>
            <w:tcW w:w="603" w:type="pct"/>
            <w:tcBorders>
              <w:top w:val="nil"/>
              <w:left w:val="nil"/>
              <w:bottom w:val="single" w:sz="4" w:space="0" w:color="auto"/>
              <w:right w:val="nil"/>
            </w:tcBorders>
            <w:shd w:val="clear" w:color="auto" w:fill="auto"/>
            <w:noWrap/>
            <w:vAlign w:val="center"/>
            <w:hideMark/>
          </w:tcPr>
          <w:p w14:paraId="6661585B" w14:textId="77777777" w:rsidR="009A05C7" w:rsidRPr="002C4859" w:rsidRDefault="009A05C7" w:rsidP="000240DA">
            <w:pPr>
              <w:spacing w:after="0" w:line="240" w:lineRule="auto"/>
              <w:jc w:val="center"/>
              <w:rPr>
                <w:rFonts w:eastAsia="Times New Roman" w:cs="Times New Roman"/>
                <w:b/>
                <w:bCs/>
                <w:sz w:val="18"/>
                <w:szCs w:val="18"/>
                <w:lang w:eastAsia="sk-SK"/>
              </w:rPr>
            </w:pPr>
            <w:r w:rsidRPr="002C4859">
              <w:rPr>
                <w:rFonts w:eastAsia="Times New Roman" w:cs="Times New Roman"/>
                <w:b/>
                <w:bCs/>
                <w:sz w:val="18"/>
                <w:szCs w:val="18"/>
                <w:lang w:eastAsia="sk-SK"/>
              </w:rPr>
              <w:t>4</w:t>
            </w:r>
          </w:p>
        </w:tc>
        <w:tc>
          <w:tcPr>
            <w:tcW w:w="477" w:type="pct"/>
            <w:tcBorders>
              <w:top w:val="nil"/>
              <w:left w:val="nil"/>
              <w:bottom w:val="single" w:sz="4" w:space="0" w:color="auto"/>
              <w:right w:val="nil"/>
            </w:tcBorders>
            <w:shd w:val="clear" w:color="auto" w:fill="auto"/>
            <w:noWrap/>
            <w:vAlign w:val="center"/>
            <w:hideMark/>
          </w:tcPr>
          <w:p w14:paraId="3F878AED" w14:textId="77777777" w:rsidR="009A05C7" w:rsidRPr="002C4859" w:rsidRDefault="009A05C7" w:rsidP="000240DA">
            <w:pPr>
              <w:spacing w:after="0" w:line="240" w:lineRule="auto"/>
              <w:jc w:val="center"/>
              <w:rPr>
                <w:rFonts w:eastAsia="Times New Roman" w:cs="Times New Roman"/>
                <w:b/>
                <w:bCs/>
                <w:sz w:val="18"/>
                <w:szCs w:val="18"/>
                <w:lang w:eastAsia="sk-SK"/>
              </w:rPr>
            </w:pPr>
            <w:r w:rsidRPr="002C4859">
              <w:rPr>
                <w:rFonts w:eastAsia="Times New Roman" w:cs="Times New Roman"/>
                <w:b/>
                <w:bCs/>
                <w:sz w:val="18"/>
                <w:szCs w:val="18"/>
                <w:lang w:eastAsia="sk-SK"/>
              </w:rPr>
              <w:t>5=4-3</w:t>
            </w:r>
          </w:p>
        </w:tc>
      </w:tr>
      <w:tr w:rsidR="009A05C7" w:rsidRPr="002C4859" w14:paraId="3779CCC1" w14:textId="77777777" w:rsidTr="003A3C32">
        <w:trPr>
          <w:trHeight w:val="269"/>
        </w:trPr>
        <w:tc>
          <w:tcPr>
            <w:tcW w:w="1508" w:type="pct"/>
            <w:tcBorders>
              <w:top w:val="single" w:sz="4" w:space="0" w:color="auto"/>
              <w:left w:val="nil"/>
              <w:bottom w:val="nil"/>
              <w:right w:val="nil"/>
            </w:tcBorders>
            <w:shd w:val="clear" w:color="auto" w:fill="auto"/>
            <w:vAlign w:val="center"/>
            <w:hideMark/>
          </w:tcPr>
          <w:p w14:paraId="12F4BF51" w14:textId="77777777" w:rsidR="009A05C7" w:rsidRPr="002C4859" w:rsidRDefault="009A05C7" w:rsidP="000240DA">
            <w:pPr>
              <w:spacing w:after="0" w:line="240" w:lineRule="auto"/>
              <w:rPr>
                <w:rFonts w:eastAsia="Times New Roman" w:cs="Times New Roman"/>
                <w:b/>
                <w:bCs/>
                <w:sz w:val="18"/>
                <w:szCs w:val="18"/>
                <w:lang w:eastAsia="sk-SK"/>
              </w:rPr>
            </w:pPr>
            <w:r w:rsidRPr="002C4859">
              <w:rPr>
                <w:rFonts w:eastAsia="Times New Roman" w:cs="Times New Roman"/>
                <w:b/>
                <w:bCs/>
                <w:sz w:val="18"/>
                <w:szCs w:val="18"/>
                <w:lang w:eastAsia="sk-SK"/>
              </w:rPr>
              <w:t>Príjmy spolu</w:t>
            </w:r>
          </w:p>
        </w:tc>
        <w:tc>
          <w:tcPr>
            <w:tcW w:w="606" w:type="pct"/>
            <w:tcBorders>
              <w:top w:val="nil"/>
              <w:left w:val="nil"/>
              <w:bottom w:val="nil"/>
              <w:right w:val="nil"/>
            </w:tcBorders>
            <w:shd w:val="clear" w:color="auto" w:fill="auto"/>
            <w:noWrap/>
            <w:vAlign w:val="center"/>
            <w:hideMark/>
          </w:tcPr>
          <w:p w14:paraId="525C4FB4" w14:textId="77777777" w:rsidR="009A05C7" w:rsidRPr="002C4859" w:rsidRDefault="009A05C7" w:rsidP="000240DA">
            <w:pPr>
              <w:spacing w:after="0" w:line="240" w:lineRule="auto"/>
              <w:jc w:val="center"/>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TR</w:t>
            </w:r>
          </w:p>
        </w:tc>
        <w:tc>
          <w:tcPr>
            <w:tcW w:w="602" w:type="pct"/>
            <w:tcBorders>
              <w:top w:val="single" w:sz="4" w:space="0" w:color="auto"/>
              <w:left w:val="nil"/>
              <w:bottom w:val="nil"/>
              <w:right w:val="nil"/>
            </w:tcBorders>
            <w:shd w:val="clear" w:color="auto" w:fill="auto"/>
            <w:noWrap/>
            <w:vAlign w:val="center"/>
            <w:hideMark/>
          </w:tcPr>
          <w:p w14:paraId="3A6A9EF5" w14:textId="77777777" w:rsidR="009A05C7" w:rsidRPr="002C4859" w:rsidRDefault="009A05C7" w:rsidP="000240DA">
            <w:pPr>
              <w:spacing w:after="0" w:line="240" w:lineRule="auto"/>
              <w:jc w:val="righ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45 492 705</w:t>
            </w:r>
          </w:p>
        </w:tc>
        <w:tc>
          <w:tcPr>
            <w:tcW w:w="602" w:type="pct"/>
            <w:tcBorders>
              <w:top w:val="single" w:sz="4" w:space="0" w:color="auto"/>
              <w:left w:val="nil"/>
              <w:bottom w:val="nil"/>
              <w:right w:val="nil"/>
            </w:tcBorders>
            <w:shd w:val="clear" w:color="auto" w:fill="auto"/>
            <w:noWrap/>
            <w:vAlign w:val="center"/>
            <w:hideMark/>
          </w:tcPr>
          <w:p w14:paraId="2760EC6E" w14:textId="77777777" w:rsidR="009A05C7" w:rsidRPr="002C4859" w:rsidRDefault="009A05C7" w:rsidP="000240DA">
            <w:pPr>
              <w:spacing w:after="0" w:line="240" w:lineRule="auto"/>
              <w:jc w:val="righ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53 000 664</w:t>
            </w:r>
          </w:p>
        </w:tc>
        <w:tc>
          <w:tcPr>
            <w:tcW w:w="602" w:type="pct"/>
            <w:tcBorders>
              <w:top w:val="single" w:sz="4" w:space="0" w:color="auto"/>
              <w:left w:val="nil"/>
              <w:bottom w:val="nil"/>
              <w:right w:val="nil"/>
            </w:tcBorders>
            <w:shd w:val="clear" w:color="auto" w:fill="auto"/>
            <w:noWrap/>
            <w:vAlign w:val="center"/>
            <w:hideMark/>
          </w:tcPr>
          <w:p w14:paraId="4C5B001E" w14:textId="77777777" w:rsidR="009A05C7" w:rsidRPr="002C4859" w:rsidRDefault="009A05C7" w:rsidP="000240DA">
            <w:pPr>
              <w:spacing w:after="0" w:line="240" w:lineRule="auto"/>
              <w:jc w:val="righ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53 480 523</w:t>
            </w:r>
          </w:p>
        </w:tc>
        <w:tc>
          <w:tcPr>
            <w:tcW w:w="603" w:type="pct"/>
            <w:tcBorders>
              <w:top w:val="single" w:sz="4" w:space="0" w:color="auto"/>
              <w:left w:val="nil"/>
              <w:bottom w:val="nil"/>
              <w:right w:val="nil"/>
            </w:tcBorders>
            <w:shd w:val="clear" w:color="auto" w:fill="auto"/>
            <w:noWrap/>
            <w:vAlign w:val="center"/>
            <w:hideMark/>
          </w:tcPr>
          <w:p w14:paraId="5A2055AA" w14:textId="77777777" w:rsidR="009A05C7" w:rsidRPr="002C4859" w:rsidRDefault="009A05C7" w:rsidP="000240DA">
            <w:pPr>
              <w:spacing w:after="0" w:line="240" w:lineRule="auto"/>
              <w:jc w:val="righ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54 807 226</w:t>
            </w:r>
          </w:p>
        </w:tc>
        <w:tc>
          <w:tcPr>
            <w:tcW w:w="477" w:type="pct"/>
            <w:tcBorders>
              <w:top w:val="single" w:sz="4" w:space="0" w:color="auto"/>
              <w:left w:val="nil"/>
              <w:bottom w:val="nil"/>
              <w:right w:val="nil"/>
            </w:tcBorders>
            <w:shd w:val="clear" w:color="auto" w:fill="auto"/>
            <w:noWrap/>
            <w:vAlign w:val="center"/>
            <w:hideMark/>
          </w:tcPr>
          <w:p w14:paraId="258341A3" w14:textId="77777777" w:rsidR="009A05C7" w:rsidRPr="002C4859" w:rsidRDefault="009A05C7" w:rsidP="000240DA">
            <w:pPr>
              <w:spacing w:after="0" w:line="240" w:lineRule="auto"/>
              <w:jc w:val="righ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1 326 703</w:t>
            </w:r>
          </w:p>
        </w:tc>
      </w:tr>
      <w:tr w:rsidR="009A05C7" w:rsidRPr="002C4859" w14:paraId="0C21D61C" w14:textId="77777777" w:rsidTr="003A3C32">
        <w:trPr>
          <w:trHeight w:val="107"/>
        </w:trPr>
        <w:tc>
          <w:tcPr>
            <w:tcW w:w="1508" w:type="pct"/>
            <w:tcBorders>
              <w:top w:val="nil"/>
              <w:left w:val="nil"/>
              <w:bottom w:val="single" w:sz="4" w:space="0" w:color="auto"/>
              <w:right w:val="nil"/>
            </w:tcBorders>
            <w:shd w:val="clear" w:color="auto" w:fill="auto"/>
            <w:noWrap/>
            <w:vAlign w:val="center"/>
            <w:hideMark/>
          </w:tcPr>
          <w:p w14:paraId="56B0C6FA" w14:textId="77777777" w:rsidR="009A05C7" w:rsidRPr="002C4859" w:rsidRDefault="009A05C7" w:rsidP="000240DA">
            <w:pPr>
              <w:spacing w:after="0" w:line="240" w:lineRule="auto"/>
              <w:jc w:val="left"/>
              <w:rPr>
                <w:rFonts w:eastAsia="Times New Roman" w:cs="Times New Roman"/>
                <w:b/>
                <w:bCs/>
                <w:sz w:val="18"/>
                <w:szCs w:val="18"/>
                <w:lang w:eastAsia="sk-SK"/>
              </w:rPr>
            </w:pPr>
            <w:r w:rsidRPr="002C4859">
              <w:rPr>
                <w:rFonts w:eastAsia="Times New Roman" w:cs="Times New Roman"/>
                <w:b/>
                <w:bCs/>
                <w:sz w:val="18"/>
                <w:szCs w:val="18"/>
                <w:lang w:eastAsia="sk-SK"/>
              </w:rPr>
              <w:t>% HDP</w:t>
            </w:r>
          </w:p>
        </w:tc>
        <w:tc>
          <w:tcPr>
            <w:tcW w:w="606" w:type="pct"/>
            <w:tcBorders>
              <w:top w:val="nil"/>
              <w:left w:val="nil"/>
              <w:bottom w:val="single" w:sz="4" w:space="0" w:color="auto"/>
              <w:right w:val="nil"/>
            </w:tcBorders>
            <w:shd w:val="clear" w:color="auto" w:fill="auto"/>
            <w:noWrap/>
            <w:vAlign w:val="center"/>
            <w:hideMark/>
          </w:tcPr>
          <w:p w14:paraId="56CE4DDE" w14:textId="77777777" w:rsidR="009A05C7" w:rsidRPr="002C4859" w:rsidRDefault="009A05C7" w:rsidP="000240DA">
            <w:pPr>
              <w:spacing w:after="0" w:line="240" w:lineRule="auto"/>
              <w:jc w:val="lef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 </w:t>
            </w:r>
          </w:p>
        </w:tc>
        <w:tc>
          <w:tcPr>
            <w:tcW w:w="602" w:type="pct"/>
            <w:tcBorders>
              <w:top w:val="nil"/>
              <w:left w:val="nil"/>
              <w:bottom w:val="single" w:sz="4" w:space="0" w:color="auto"/>
              <w:right w:val="nil"/>
            </w:tcBorders>
            <w:shd w:val="clear" w:color="auto" w:fill="auto"/>
            <w:noWrap/>
            <w:vAlign w:val="center"/>
            <w:hideMark/>
          </w:tcPr>
          <w:p w14:paraId="438E30D0" w14:textId="77777777" w:rsidR="009A05C7" w:rsidRPr="002C4859" w:rsidRDefault="009A05C7" w:rsidP="000240DA">
            <w:pPr>
              <w:spacing w:after="0" w:line="240" w:lineRule="auto"/>
              <w:jc w:val="righ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41,3</w:t>
            </w:r>
          </w:p>
        </w:tc>
        <w:tc>
          <w:tcPr>
            <w:tcW w:w="602" w:type="pct"/>
            <w:tcBorders>
              <w:top w:val="nil"/>
              <w:left w:val="nil"/>
              <w:bottom w:val="single" w:sz="4" w:space="0" w:color="auto"/>
              <w:right w:val="nil"/>
            </w:tcBorders>
            <w:shd w:val="clear" w:color="auto" w:fill="auto"/>
            <w:noWrap/>
            <w:vAlign w:val="center"/>
            <w:hideMark/>
          </w:tcPr>
          <w:p w14:paraId="40F37C5F" w14:textId="77777777" w:rsidR="009A05C7" w:rsidRPr="002C4859" w:rsidRDefault="009A05C7" w:rsidP="000240DA">
            <w:pPr>
              <w:spacing w:after="0" w:line="240" w:lineRule="auto"/>
              <w:jc w:val="righ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42,8</w:t>
            </w:r>
          </w:p>
        </w:tc>
        <w:tc>
          <w:tcPr>
            <w:tcW w:w="602" w:type="pct"/>
            <w:tcBorders>
              <w:top w:val="nil"/>
              <w:left w:val="nil"/>
              <w:bottom w:val="single" w:sz="4" w:space="0" w:color="auto"/>
              <w:right w:val="nil"/>
            </w:tcBorders>
            <w:shd w:val="clear" w:color="auto" w:fill="auto"/>
            <w:noWrap/>
            <w:vAlign w:val="center"/>
            <w:hideMark/>
          </w:tcPr>
          <w:p w14:paraId="57F71610" w14:textId="77777777" w:rsidR="009A05C7" w:rsidRPr="002C4859" w:rsidRDefault="009A05C7" w:rsidP="000240DA">
            <w:pPr>
              <w:spacing w:after="0" w:line="240" w:lineRule="auto"/>
              <w:jc w:val="righ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40,7</w:t>
            </w:r>
          </w:p>
        </w:tc>
        <w:tc>
          <w:tcPr>
            <w:tcW w:w="603" w:type="pct"/>
            <w:tcBorders>
              <w:top w:val="nil"/>
              <w:left w:val="nil"/>
              <w:bottom w:val="single" w:sz="4" w:space="0" w:color="auto"/>
              <w:right w:val="nil"/>
            </w:tcBorders>
            <w:shd w:val="clear" w:color="auto" w:fill="auto"/>
            <w:noWrap/>
            <w:vAlign w:val="center"/>
            <w:hideMark/>
          </w:tcPr>
          <w:p w14:paraId="3D163D94" w14:textId="77777777" w:rsidR="009A05C7" w:rsidRPr="002C4859" w:rsidRDefault="009A05C7" w:rsidP="000240DA">
            <w:pPr>
              <w:spacing w:after="0" w:line="240" w:lineRule="auto"/>
              <w:jc w:val="righ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41,8</w:t>
            </w:r>
          </w:p>
        </w:tc>
        <w:tc>
          <w:tcPr>
            <w:tcW w:w="477" w:type="pct"/>
            <w:tcBorders>
              <w:top w:val="nil"/>
              <w:left w:val="nil"/>
              <w:bottom w:val="single" w:sz="4" w:space="0" w:color="auto"/>
              <w:right w:val="nil"/>
            </w:tcBorders>
            <w:shd w:val="clear" w:color="auto" w:fill="auto"/>
            <w:noWrap/>
            <w:vAlign w:val="center"/>
            <w:hideMark/>
          </w:tcPr>
          <w:p w14:paraId="19452179" w14:textId="77777777" w:rsidR="009A05C7" w:rsidRPr="002C4859" w:rsidRDefault="009A05C7" w:rsidP="000240DA">
            <w:pPr>
              <w:spacing w:after="0" w:line="240" w:lineRule="auto"/>
              <w:jc w:val="righ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1,1</w:t>
            </w:r>
          </w:p>
        </w:tc>
      </w:tr>
      <w:tr w:rsidR="009A05C7" w:rsidRPr="002C4859" w14:paraId="5C3CCBD4" w14:textId="77777777" w:rsidTr="003A3C32">
        <w:trPr>
          <w:trHeight w:val="269"/>
        </w:trPr>
        <w:tc>
          <w:tcPr>
            <w:tcW w:w="1508" w:type="pct"/>
            <w:tcBorders>
              <w:top w:val="nil"/>
              <w:left w:val="nil"/>
              <w:bottom w:val="nil"/>
              <w:right w:val="nil"/>
            </w:tcBorders>
            <w:shd w:val="clear" w:color="auto" w:fill="auto"/>
            <w:noWrap/>
            <w:vAlign w:val="center"/>
            <w:hideMark/>
          </w:tcPr>
          <w:p w14:paraId="091F97AA" w14:textId="77777777" w:rsidR="009A05C7" w:rsidRPr="002C4859" w:rsidRDefault="009A05C7" w:rsidP="000240DA">
            <w:pPr>
              <w:spacing w:after="0" w:line="240" w:lineRule="auto"/>
              <w:jc w:val="lef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Daňové príjmy</w:t>
            </w:r>
          </w:p>
        </w:tc>
        <w:tc>
          <w:tcPr>
            <w:tcW w:w="606" w:type="pct"/>
            <w:tcBorders>
              <w:top w:val="nil"/>
              <w:left w:val="nil"/>
              <w:bottom w:val="nil"/>
              <w:right w:val="nil"/>
            </w:tcBorders>
            <w:shd w:val="clear" w:color="auto" w:fill="auto"/>
            <w:noWrap/>
            <w:vAlign w:val="center"/>
            <w:hideMark/>
          </w:tcPr>
          <w:p w14:paraId="1C09FDAC" w14:textId="77777777" w:rsidR="009A05C7" w:rsidRPr="002C4859" w:rsidRDefault="009A05C7" w:rsidP="000240DA">
            <w:pPr>
              <w:spacing w:after="0" w:line="240" w:lineRule="auto"/>
              <w:jc w:val="center"/>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D.2R+D.5R</w:t>
            </w:r>
          </w:p>
        </w:tc>
        <w:tc>
          <w:tcPr>
            <w:tcW w:w="602" w:type="pct"/>
            <w:tcBorders>
              <w:top w:val="nil"/>
              <w:left w:val="nil"/>
              <w:bottom w:val="nil"/>
              <w:right w:val="nil"/>
            </w:tcBorders>
            <w:shd w:val="clear" w:color="auto" w:fill="auto"/>
            <w:noWrap/>
            <w:vAlign w:val="center"/>
            <w:hideMark/>
          </w:tcPr>
          <w:p w14:paraId="465569B4" w14:textId="77777777" w:rsidR="009A05C7" w:rsidRPr="002C4859" w:rsidRDefault="009A05C7" w:rsidP="000240DA">
            <w:pPr>
              <w:spacing w:after="0" w:line="240" w:lineRule="auto"/>
              <w:jc w:val="right"/>
              <w:rPr>
                <w:rFonts w:eastAsia="Times New Roman" w:cs="Times New Roman"/>
                <w:b/>
                <w:bCs/>
                <w:sz w:val="18"/>
                <w:szCs w:val="18"/>
                <w:lang w:eastAsia="sk-SK"/>
              </w:rPr>
            </w:pPr>
            <w:r w:rsidRPr="002C4859">
              <w:rPr>
                <w:rFonts w:eastAsia="Times New Roman" w:cs="Times New Roman"/>
                <w:b/>
                <w:bCs/>
                <w:sz w:val="18"/>
                <w:szCs w:val="18"/>
                <w:lang w:eastAsia="sk-SK"/>
              </w:rPr>
              <w:t>22 122 886</w:t>
            </w:r>
          </w:p>
        </w:tc>
        <w:tc>
          <w:tcPr>
            <w:tcW w:w="602" w:type="pct"/>
            <w:tcBorders>
              <w:top w:val="nil"/>
              <w:left w:val="nil"/>
              <w:bottom w:val="nil"/>
              <w:right w:val="nil"/>
            </w:tcBorders>
            <w:shd w:val="clear" w:color="auto" w:fill="auto"/>
            <w:noWrap/>
            <w:vAlign w:val="center"/>
            <w:hideMark/>
          </w:tcPr>
          <w:p w14:paraId="55C4FD66" w14:textId="77777777" w:rsidR="009A05C7" w:rsidRPr="002C4859" w:rsidRDefault="009A05C7" w:rsidP="000240DA">
            <w:pPr>
              <w:spacing w:after="0" w:line="240" w:lineRule="auto"/>
              <w:jc w:val="right"/>
              <w:rPr>
                <w:rFonts w:eastAsia="Times New Roman" w:cs="Times New Roman"/>
                <w:b/>
                <w:bCs/>
                <w:sz w:val="18"/>
                <w:szCs w:val="18"/>
                <w:lang w:eastAsia="sk-SK"/>
              </w:rPr>
            </w:pPr>
            <w:r w:rsidRPr="002C4859">
              <w:rPr>
                <w:rFonts w:eastAsia="Times New Roman" w:cs="Times New Roman"/>
                <w:b/>
                <w:bCs/>
                <w:sz w:val="18"/>
                <w:szCs w:val="18"/>
                <w:lang w:eastAsia="sk-SK"/>
              </w:rPr>
              <w:t>24 487 390</w:t>
            </w:r>
          </w:p>
        </w:tc>
        <w:tc>
          <w:tcPr>
            <w:tcW w:w="602" w:type="pct"/>
            <w:tcBorders>
              <w:top w:val="nil"/>
              <w:left w:val="nil"/>
              <w:bottom w:val="nil"/>
              <w:right w:val="nil"/>
            </w:tcBorders>
            <w:shd w:val="clear" w:color="auto" w:fill="auto"/>
            <w:noWrap/>
            <w:vAlign w:val="center"/>
            <w:hideMark/>
          </w:tcPr>
          <w:p w14:paraId="013A1830" w14:textId="77777777" w:rsidR="009A05C7" w:rsidRPr="002C4859" w:rsidRDefault="009A05C7" w:rsidP="000240DA">
            <w:pPr>
              <w:spacing w:after="0" w:line="240" w:lineRule="auto"/>
              <w:jc w:val="right"/>
              <w:rPr>
                <w:rFonts w:eastAsia="Times New Roman" w:cs="Times New Roman"/>
                <w:b/>
                <w:bCs/>
                <w:sz w:val="18"/>
                <w:szCs w:val="18"/>
                <w:lang w:eastAsia="sk-SK"/>
              </w:rPr>
            </w:pPr>
            <w:r w:rsidRPr="002C4859">
              <w:rPr>
                <w:rFonts w:eastAsia="Times New Roman" w:cs="Times New Roman"/>
                <w:b/>
                <w:bCs/>
                <w:sz w:val="18"/>
                <w:szCs w:val="18"/>
                <w:lang w:eastAsia="sk-SK"/>
              </w:rPr>
              <w:t>25 806 641</w:t>
            </w:r>
          </w:p>
        </w:tc>
        <w:tc>
          <w:tcPr>
            <w:tcW w:w="603" w:type="pct"/>
            <w:tcBorders>
              <w:top w:val="nil"/>
              <w:left w:val="nil"/>
              <w:bottom w:val="nil"/>
              <w:right w:val="nil"/>
            </w:tcBorders>
            <w:shd w:val="clear" w:color="auto" w:fill="auto"/>
            <w:noWrap/>
            <w:vAlign w:val="center"/>
            <w:hideMark/>
          </w:tcPr>
          <w:p w14:paraId="2CBE8CA8" w14:textId="77777777" w:rsidR="009A05C7" w:rsidRPr="002C4859" w:rsidRDefault="009A05C7" w:rsidP="000240DA">
            <w:pPr>
              <w:spacing w:after="0" w:line="240" w:lineRule="auto"/>
              <w:jc w:val="right"/>
              <w:rPr>
                <w:rFonts w:eastAsia="Times New Roman" w:cs="Times New Roman"/>
                <w:b/>
                <w:bCs/>
                <w:sz w:val="18"/>
                <w:szCs w:val="18"/>
                <w:lang w:eastAsia="sk-SK"/>
              </w:rPr>
            </w:pPr>
            <w:r w:rsidRPr="002C4859">
              <w:rPr>
                <w:rFonts w:eastAsia="Times New Roman" w:cs="Times New Roman"/>
                <w:b/>
                <w:bCs/>
                <w:sz w:val="18"/>
                <w:szCs w:val="18"/>
                <w:lang w:eastAsia="sk-SK"/>
              </w:rPr>
              <w:t>25 715 801</w:t>
            </w:r>
          </w:p>
        </w:tc>
        <w:tc>
          <w:tcPr>
            <w:tcW w:w="477" w:type="pct"/>
            <w:tcBorders>
              <w:top w:val="nil"/>
              <w:left w:val="nil"/>
              <w:bottom w:val="nil"/>
              <w:right w:val="nil"/>
            </w:tcBorders>
            <w:shd w:val="clear" w:color="auto" w:fill="auto"/>
            <w:noWrap/>
            <w:vAlign w:val="center"/>
            <w:hideMark/>
          </w:tcPr>
          <w:p w14:paraId="2526CABF" w14:textId="77777777" w:rsidR="009A05C7" w:rsidRPr="002C4859" w:rsidRDefault="009A05C7" w:rsidP="000240DA">
            <w:pPr>
              <w:spacing w:after="0" w:line="240" w:lineRule="auto"/>
              <w:jc w:val="right"/>
              <w:rPr>
                <w:rFonts w:eastAsia="Times New Roman" w:cs="Times New Roman"/>
                <w:b/>
                <w:bCs/>
                <w:sz w:val="18"/>
                <w:szCs w:val="18"/>
                <w:lang w:eastAsia="sk-SK"/>
              </w:rPr>
            </w:pPr>
            <w:r w:rsidRPr="002C4859">
              <w:rPr>
                <w:rFonts w:eastAsia="Times New Roman" w:cs="Times New Roman"/>
                <w:b/>
                <w:bCs/>
                <w:sz w:val="18"/>
                <w:szCs w:val="18"/>
                <w:lang w:eastAsia="sk-SK"/>
              </w:rPr>
              <w:t>-90 840</w:t>
            </w:r>
          </w:p>
        </w:tc>
      </w:tr>
      <w:tr w:rsidR="009A05C7" w:rsidRPr="002C4859" w14:paraId="356B7C9A" w14:textId="77777777" w:rsidTr="003A3C32">
        <w:trPr>
          <w:trHeight w:val="269"/>
        </w:trPr>
        <w:tc>
          <w:tcPr>
            <w:tcW w:w="1508" w:type="pct"/>
            <w:tcBorders>
              <w:top w:val="nil"/>
              <w:left w:val="nil"/>
              <w:bottom w:val="nil"/>
              <w:right w:val="nil"/>
            </w:tcBorders>
            <w:shd w:val="clear" w:color="auto" w:fill="auto"/>
            <w:noWrap/>
            <w:vAlign w:val="center"/>
            <w:hideMark/>
          </w:tcPr>
          <w:p w14:paraId="23645C52" w14:textId="77777777" w:rsidR="009A05C7" w:rsidRPr="002C4859" w:rsidRDefault="009A05C7" w:rsidP="000240DA">
            <w:pPr>
              <w:spacing w:after="0" w:line="240" w:lineRule="auto"/>
              <w:jc w:val="left"/>
              <w:rPr>
                <w:rFonts w:eastAsia="Times New Roman" w:cs="Times New Roman"/>
                <w:color w:val="000000"/>
                <w:sz w:val="18"/>
                <w:szCs w:val="18"/>
                <w:lang w:eastAsia="sk-SK"/>
              </w:rPr>
            </w:pPr>
            <w:r w:rsidRPr="002C4859">
              <w:rPr>
                <w:rFonts w:eastAsia="Times New Roman" w:cs="Times New Roman"/>
                <w:color w:val="000000"/>
                <w:sz w:val="18"/>
                <w:szCs w:val="18"/>
                <w:lang w:eastAsia="sk-SK"/>
              </w:rPr>
              <w:t>Dane z produkcie a dovozu</w:t>
            </w:r>
          </w:p>
        </w:tc>
        <w:tc>
          <w:tcPr>
            <w:tcW w:w="606" w:type="pct"/>
            <w:tcBorders>
              <w:top w:val="nil"/>
              <w:left w:val="nil"/>
              <w:bottom w:val="nil"/>
              <w:right w:val="nil"/>
            </w:tcBorders>
            <w:shd w:val="clear" w:color="auto" w:fill="auto"/>
            <w:noWrap/>
            <w:vAlign w:val="center"/>
            <w:hideMark/>
          </w:tcPr>
          <w:p w14:paraId="5C367EEB" w14:textId="77777777" w:rsidR="009A05C7" w:rsidRPr="002C4859" w:rsidRDefault="009A05C7" w:rsidP="000240DA">
            <w:pPr>
              <w:spacing w:after="0" w:line="240" w:lineRule="auto"/>
              <w:jc w:val="center"/>
              <w:rPr>
                <w:rFonts w:eastAsia="Times New Roman" w:cs="Times New Roman"/>
                <w:color w:val="000000"/>
                <w:sz w:val="18"/>
                <w:szCs w:val="18"/>
                <w:lang w:eastAsia="sk-SK"/>
              </w:rPr>
            </w:pPr>
            <w:r w:rsidRPr="002C4859">
              <w:rPr>
                <w:rFonts w:eastAsia="Times New Roman" w:cs="Times New Roman"/>
                <w:color w:val="000000"/>
                <w:sz w:val="18"/>
                <w:szCs w:val="18"/>
                <w:lang w:eastAsia="sk-SK"/>
              </w:rPr>
              <w:t>D.2R</w:t>
            </w:r>
          </w:p>
        </w:tc>
        <w:tc>
          <w:tcPr>
            <w:tcW w:w="602" w:type="pct"/>
            <w:tcBorders>
              <w:top w:val="nil"/>
              <w:left w:val="nil"/>
              <w:bottom w:val="nil"/>
              <w:right w:val="nil"/>
            </w:tcBorders>
            <w:shd w:val="clear" w:color="auto" w:fill="auto"/>
            <w:noWrap/>
            <w:vAlign w:val="center"/>
            <w:hideMark/>
          </w:tcPr>
          <w:p w14:paraId="31AFE200"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12 956 802</w:t>
            </w:r>
          </w:p>
        </w:tc>
        <w:tc>
          <w:tcPr>
            <w:tcW w:w="602" w:type="pct"/>
            <w:tcBorders>
              <w:top w:val="nil"/>
              <w:left w:val="nil"/>
              <w:bottom w:val="nil"/>
              <w:right w:val="nil"/>
            </w:tcBorders>
            <w:shd w:val="clear" w:color="auto" w:fill="auto"/>
            <w:noWrap/>
            <w:vAlign w:val="center"/>
            <w:hideMark/>
          </w:tcPr>
          <w:p w14:paraId="437DF1AB"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14 752 881</w:t>
            </w:r>
          </w:p>
        </w:tc>
        <w:tc>
          <w:tcPr>
            <w:tcW w:w="602" w:type="pct"/>
            <w:tcBorders>
              <w:top w:val="nil"/>
              <w:left w:val="nil"/>
              <w:bottom w:val="nil"/>
              <w:right w:val="nil"/>
            </w:tcBorders>
            <w:shd w:val="clear" w:color="auto" w:fill="auto"/>
            <w:noWrap/>
            <w:vAlign w:val="center"/>
            <w:hideMark/>
          </w:tcPr>
          <w:p w14:paraId="51ACF487"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15 385 663</w:t>
            </w:r>
          </w:p>
        </w:tc>
        <w:tc>
          <w:tcPr>
            <w:tcW w:w="603" w:type="pct"/>
            <w:tcBorders>
              <w:top w:val="nil"/>
              <w:left w:val="nil"/>
              <w:bottom w:val="nil"/>
              <w:right w:val="nil"/>
            </w:tcBorders>
            <w:shd w:val="clear" w:color="auto" w:fill="auto"/>
            <w:noWrap/>
            <w:vAlign w:val="center"/>
            <w:hideMark/>
          </w:tcPr>
          <w:p w14:paraId="732DBCDA"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14 972 711</w:t>
            </w:r>
          </w:p>
        </w:tc>
        <w:tc>
          <w:tcPr>
            <w:tcW w:w="477" w:type="pct"/>
            <w:tcBorders>
              <w:top w:val="nil"/>
              <w:left w:val="nil"/>
              <w:bottom w:val="nil"/>
              <w:right w:val="nil"/>
            </w:tcBorders>
            <w:shd w:val="clear" w:color="auto" w:fill="auto"/>
            <w:noWrap/>
            <w:vAlign w:val="center"/>
            <w:hideMark/>
          </w:tcPr>
          <w:p w14:paraId="3CB2E0EB"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-412 952</w:t>
            </w:r>
          </w:p>
        </w:tc>
      </w:tr>
      <w:tr w:rsidR="009A05C7" w:rsidRPr="002C4859" w14:paraId="53773B90" w14:textId="77777777" w:rsidTr="003A3C32">
        <w:trPr>
          <w:trHeight w:val="269"/>
        </w:trPr>
        <w:tc>
          <w:tcPr>
            <w:tcW w:w="1508" w:type="pct"/>
            <w:tcBorders>
              <w:top w:val="nil"/>
              <w:left w:val="nil"/>
              <w:bottom w:val="nil"/>
              <w:right w:val="nil"/>
            </w:tcBorders>
            <w:shd w:val="clear" w:color="auto" w:fill="auto"/>
            <w:vAlign w:val="center"/>
            <w:hideMark/>
          </w:tcPr>
          <w:p w14:paraId="7797E2A1" w14:textId="77777777" w:rsidR="009A05C7" w:rsidRPr="002C4859" w:rsidRDefault="009A05C7" w:rsidP="000240DA">
            <w:pPr>
              <w:spacing w:after="0" w:line="240" w:lineRule="auto"/>
              <w:jc w:val="left"/>
              <w:rPr>
                <w:rFonts w:eastAsia="Times New Roman" w:cs="Times New Roman"/>
                <w:sz w:val="18"/>
                <w:szCs w:val="18"/>
                <w:lang w:eastAsia="sk-SK"/>
              </w:rPr>
            </w:pPr>
            <w:r w:rsidRPr="002C4859">
              <w:rPr>
                <w:rFonts w:eastAsia="Times New Roman" w:cs="Times New Roman"/>
                <w:sz w:val="18"/>
                <w:szCs w:val="18"/>
                <w:lang w:eastAsia="sk-SK"/>
              </w:rPr>
              <w:t>Bežné dane z dôchodkov, majetku</w:t>
            </w:r>
          </w:p>
        </w:tc>
        <w:tc>
          <w:tcPr>
            <w:tcW w:w="606" w:type="pct"/>
            <w:tcBorders>
              <w:top w:val="nil"/>
              <w:left w:val="nil"/>
              <w:bottom w:val="nil"/>
              <w:right w:val="nil"/>
            </w:tcBorders>
            <w:shd w:val="clear" w:color="auto" w:fill="auto"/>
            <w:noWrap/>
            <w:vAlign w:val="center"/>
            <w:hideMark/>
          </w:tcPr>
          <w:p w14:paraId="18DE2DA8" w14:textId="77777777" w:rsidR="009A05C7" w:rsidRPr="002C4859" w:rsidRDefault="009A05C7" w:rsidP="000240DA">
            <w:pPr>
              <w:spacing w:after="0" w:line="240" w:lineRule="auto"/>
              <w:jc w:val="center"/>
              <w:rPr>
                <w:rFonts w:eastAsia="Times New Roman" w:cs="Times New Roman"/>
                <w:color w:val="000000"/>
                <w:sz w:val="18"/>
                <w:szCs w:val="18"/>
                <w:lang w:eastAsia="sk-SK"/>
              </w:rPr>
            </w:pPr>
            <w:r w:rsidRPr="002C4859">
              <w:rPr>
                <w:rFonts w:eastAsia="Times New Roman" w:cs="Times New Roman"/>
                <w:color w:val="000000"/>
                <w:sz w:val="18"/>
                <w:szCs w:val="18"/>
                <w:lang w:eastAsia="sk-SK"/>
              </w:rPr>
              <w:t>D.5R</w:t>
            </w:r>
          </w:p>
        </w:tc>
        <w:tc>
          <w:tcPr>
            <w:tcW w:w="602" w:type="pct"/>
            <w:tcBorders>
              <w:top w:val="nil"/>
              <w:left w:val="nil"/>
              <w:bottom w:val="nil"/>
              <w:right w:val="nil"/>
            </w:tcBorders>
            <w:shd w:val="clear" w:color="auto" w:fill="auto"/>
            <w:noWrap/>
            <w:vAlign w:val="center"/>
            <w:hideMark/>
          </w:tcPr>
          <w:p w14:paraId="1E8A408D"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9 166 084</w:t>
            </w:r>
          </w:p>
        </w:tc>
        <w:tc>
          <w:tcPr>
            <w:tcW w:w="602" w:type="pct"/>
            <w:tcBorders>
              <w:top w:val="nil"/>
              <w:left w:val="nil"/>
              <w:bottom w:val="nil"/>
              <w:right w:val="nil"/>
            </w:tcBorders>
            <w:shd w:val="clear" w:color="auto" w:fill="auto"/>
            <w:noWrap/>
            <w:vAlign w:val="center"/>
            <w:hideMark/>
          </w:tcPr>
          <w:p w14:paraId="38DB35BE"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9 734 509</w:t>
            </w:r>
          </w:p>
        </w:tc>
        <w:tc>
          <w:tcPr>
            <w:tcW w:w="602" w:type="pct"/>
            <w:tcBorders>
              <w:top w:val="nil"/>
              <w:left w:val="nil"/>
              <w:bottom w:val="nil"/>
              <w:right w:val="nil"/>
            </w:tcBorders>
            <w:shd w:val="clear" w:color="auto" w:fill="auto"/>
            <w:noWrap/>
            <w:vAlign w:val="center"/>
            <w:hideMark/>
          </w:tcPr>
          <w:p w14:paraId="4CA98FAB"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10 420 978</w:t>
            </w:r>
          </w:p>
        </w:tc>
        <w:tc>
          <w:tcPr>
            <w:tcW w:w="603" w:type="pct"/>
            <w:tcBorders>
              <w:top w:val="nil"/>
              <w:left w:val="nil"/>
              <w:bottom w:val="nil"/>
              <w:right w:val="nil"/>
            </w:tcBorders>
            <w:shd w:val="clear" w:color="auto" w:fill="auto"/>
            <w:noWrap/>
            <w:vAlign w:val="center"/>
            <w:hideMark/>
          </w:tcPr>
          <w:p w14:paraId="1FF95E34"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10 743 090</w:t>
            </w:r>
          </w:p>
        </w:tc>
        <w:tc>
          <w:tcPr>
            <w:tcW w:w="477" w:type="pct"/>
            <w:tcBorders>
              <w:top w:val="nil"/>
              <w:left w:val="nil"/>
              <w:bottom w:val="nil"/>
              <w:right w:val="nil"/>
            </w:tcBorders>
            <w:shd w:val="clear" w:color="auto" w:fill="auto"/>
            <w:noWrap/>
            <w:vAlign w:val="center"/>
            <w:hideMark/>
          </w:tcPr>
          <w:p w14:paraId="3C9FA484"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322 112</w:t>
            </w:r>
          </w:p>
        </w:tc>
      </w:tr>
      <w:tr w:rsidR="009A05C7" w:rsidRPr="002C4859" w14:paraId="1DEAFF87" w14:textId="77777777" w:rsidTr="003A3C32">
        <w:trPr>
          <w:trHeight w:val="269"/>
        </w:trPr>
        <w:tc>
          <w:tcPr>
            <w:tcW w:w="1508" w:type="pct"/>
            <w:tcBorders>
              <w:top w:val="nil"/>
              <w:left w:val="nil"/>
              <w:bottom w:val="nil"/>
              <w:right w:val="nil"/>
            </w:tcBorders>
            <w:shd w:val="clear" w:color="auto" w:fill="auto"/>
            <w:noWrap/>
            <w:vAlign w:val="center"/>
            <w:hideMark/>
          </w:tcPr>
          <w:p w14:paraId="2034D476" w14:textId="77777777" w:rsidR="009A05C7" w:rsidRPr="002C4859" w:rsidRDefault="009A05C7" w:rsidP="000240DA">
            <w:pPr>
              <w:spacing w:after="0" w:line="240" w:lineRule="auto"/>
              <w:jc w:val="lef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Príspevky na sociálne zabezpečenie</w:t>
            </w:r>
          </w:p>
        </w:tc>
        <w:tc>
          <w:tcPr>
            <w:tcW w:w="606" w:type="pct"/>
            <w:tcBorders>
              <w:top w:val="nil"/>
              <w:left w:val="nil"/>
              <w:bottom w:val="nil"/>
              <w:right w:val="nil"/>
            </w:tcBorders>
            <w:shd w:val="clear" w:color="auto" w:fill="auto"/>
            <w:noWrap/>
            <w:vAlign w:val="center"/>
            <w:hideMark/>
          </w:tcPr>
          <w:p w14:paraId="25C781D8" w14:textId="77777777" w:rsidR="009A05C7" w:rsidRPr="002C4859" w:rsidRDefault="009A05C7" w:rsidP="000240DA">
            <w:pPr>
              <w:spacing w:after="0" w:line="240" w:lineRule="auto"/>
              <w:jc w:val="center"/>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D.61R</w:t>
            </w:r>
          </w:p>
        </w:tc>
        <w:tc>
          <w:tcPr>
            <w:tcW w:w="602" w:type="pct"/>
            <w:tcBorders>
              <w:top w:val="nil"/>
              <w:left w:val="nil"/>
              <w:bottom w:val="nil"/>
              <w:right w:val="nil"/>
            </w:tcBorders>
            <w:shd w:val="clear" w:color="auto" w:fill="auto"/>
            <w:noWrap/>
            <w:vAlign w:val="center"/>
            <w:hideMark/>
          </w:tcPr>
          <w:p w14:paraId="71CD002D" w14:textId="77777777" w:rsidR="009A05C7" w:rsidRPr="002C4859" w:rsidRDefault="009A05C7" w:rsidP="000240DA">
            <w:pPr>
              <w:spacing w:after="0" w:line="240" w:lineRule="auto"/>
              <w:jc w:val="right"/>
              <w:rPr>
                <w:rFonts w:eastAsia="Times New Roman" w:cs="Times New Roman"/>
                <w:b/>
                <w:bCs/>
                <w:sz w:val="18"/>
                <w:szCs w:val="18"/>
                <w:lang w:eastAsia="sk-SK"/>
              </w:rPr>
            </w:pPr>
            <w:r w:rsidRPr="002C4859">
              <w:rPr>
                <w:rFonts w:eastAsia="Times New Roman" w:cs="Times New Roman"/>
                <w:b/>
                <w:bCs/>
                <w:sz w:val="18"/>
                <w:szCs w:val="18"/>
                <w:lang w:eastAsia="sk-SK"/>
              </w:rPr>
              <w:t>16 598 167</w:t>
            </w:r>
          </w:p>
        </w:tc>
        <w:tc>
          <w:tcPr>
            <w:tcW w:w="602" w:type="pct"/>
            <w:tcBorders>
              <w:top w:val="nil"/>
              <w:left w:val="nil"/>
              <w:bottom w:val="nil"/>
              <w:right w:val="nil"/>
            </w:tcBorders>
            <w:shd w:val="clear" w:color="auto" w:fill="auto"/>
            <w:noWrap/>
            <w:vAlign w:val="center"/>
            <w:hideMark/>
          </w:tcPr>
          <w:p w14:paraId="608CADD7" w14:textId="77777777" w:rsidR="009A05C7" w:rsidRPr="002C4859" w:rsidRDefault="009A05C7" w:rsidP="000240DA">
            <w:pPr>
              <w:spacing w:after="0" w:line="240" w:lineRule="auto"/>
              <w:jc w:val="right"/>
              <w:rPr>
                <w:rFonts w:eastAsia="Times New Roman" w:cs="Times New Roman"/>
                <w:b/>
                <w:bCs/>
                <w:sz w:val="18"/>
                <w:szCs w:val="18"/>
                <w:lang w:eastAsia="sk-SK"/>
              </w:rPr>
            </w:pPr>
            <w:r w:rsidRPr="002C4859">
              <w:rPr>
                <w:rFonts w:eastAsia="Times New Roman" w:cs="Times New Roman"/>
                <w:b/>
                <w:bCs/>
                <w:sz w:val="18"/>
                <w:szCs w:val="18"/>
                <w:lang w:eastAsia="sk-SK"/>
              </w:rPr>
              <w:t>18 945 701</w:t>
            </w:r>
          </w:p>
        </w:tc>
        <w:tc>
          <w:tcPr>
            <w:tcW w:w="602" w:type="pct"/>
            <w:tcBorders>
              <w:top w:val="nil"/>
              <w:left w:val="nil"/>
              <w:bottom w:val="nil"/>
              <w:right w:val="nil"/>
            </w:tcBorders>
            <w:shd w:val="clear" w:color="auto" w:fill="auto"/>
            <w:noWrap/>
            <w:vAlign w:val="center"/>
            <w:hideMark/>
          </w:tcPr>
          <w:p w14:paraId="0FF5F5BD" w14:textId="77777777" w:rsidR="009A05C7" w:rsidRPr="002C4859" w:rsidRDefault="009A05C7" w:rsidP="000240DA">
            <w:pPr>
              <w:spacing w:after="0" w:line="240" w:lineRule="auto"/>
              <w:jc w:val="right"/>
              <w:rPr>
                <w:rFonts w:eastAsia="Times New Roman" w:cs="Times New Roman"/>
                <w:b/>
                <w:bCs/>
                <w:sz w:val="18"/>
                <w:szCs w:val="18"/>
                <w:lang w:eastAsia="sk-SK"/>
              </w:rPr>
            </w:pPr>
            <w:r w:rsidRPr="002C4859">
              <w:rPr>
                <w:rFonts w:eastAsia="Times New Roman" w:cs="Times New Roman"/>
                <w:b/>
                <w:bCs/>
                <w:sz w:val="18"/>
                <w:szCs w:val="18"/>
                <w:lang w:eastAsia="sk-SK"/>
              </w:rPr>
              <w:t>20 724 745</w:t>
            </w:r>
          </w:p>
        </w:tc>
        <w:tc>
          <w:tcPr>
            <w:tcW w:w="603" w:type="pct"/>
            <w:tcBorders>
              <w:top w:val="nil"/>
              <w:left w:val="nil"/>
              <w:bottom w:val="nil"/>
              <w:right w:val="nil"/>
            </w:tcBorders>
            <w:shd w:val="clear" w:color="auto" w:fill="auto"/>
            <w:noWrap/>
            <w:vAlign w:val="center"/>
            <w:hideMark/>
          </w:tcPr>
          <w:p w14:paraId="69E104F6" w14:textId="77777777" w:rsidR="009A05C7" w:rsidRPr="002C4859" w:rsidRDefault="009A05C7" w:rsidP="000240DA">
            <w:pPr>
              <w:spacing w:after="0" w:line="240" w:lineRule="auto"/>
              <w:jc w:val="right"/>
              <w:rPr>
                <w:rFonts w:eastAsia="Times New Roman" w:cs="Times New Roman"/>
                <w:b/>
                <w:bCs/>
                <w:sz w:val="18"/>
                <w:szCs w:val="18"/>
                <w:lang w:eastAsia="sk-SK"/>
              </w:rPr>
            </w:pPr>
            <w:r w:rsidRPr="002C4859">
              <w:rPr>
                <w:rFonts w:eastAsia="Times New Roman" w:cs="Times New Roman"/>
                <w:b/>
                <w:bCs/>
                <w:sz w:val="18"/>
                <w:szCs w:val="18"/>
                <w:lang w:eastAsia="sk-SK"/>
              </w:rPr>
              <w:t>20 946 284</w:t>
            </w:r>
          </w:p>
        </w:tc>
        <w:tc>
          <w:tcPr>
            <w:tcW w:w="477" w:type="pct"/>
            <w:tcBorders>
              <w:top w:val="nil"/>
              <w:left w:val="nil"/>
              <w:bottom w:val="nil"/>
              <w:right w:val="nil"/>
            </w:tcBorders>
            <w:shd w:val="clear" w:color="auto" w:fill="auto"/>
            <w:noWrap/>
            <w:vAlign w:val="center"/>
            <w:hideMark/>
          </w:tcPr>
          <w:p w14:paraId="78883F22" w14:textId="77777777" w:rsidR="009A05C7" w:rsidRPr="002C4859" w:rsidRDefault="009A05C7" w:rsidP="000240DA">
            <w:pPr>
              <w:spacing w:after="0" w:line="240" w:lineRule="auto"/>
              <w:jc w:val="right"/>
              <w:rPr>
                <w:rFonts w:eastAsia="Times New Roman" w:cs="Times New Roman"/>
                <w:b/>
                <w:bCs/>
                <w:sz w:val="18"/>
                <w:szCs w:val="18"/>
                <w:lang w:eastAsia="sk-SK"/>
              </w:rPr>
            </w:pPr>
            <w:r w:rsidRPr="002C4859">
              <w:rPr>
                <w:rFonts w:eastAsia="Times New Roman" w:cs="Times New Roman"/>
                <w:b/>
                <w:bCs/>
                <w:sz w:val="18"/>
                <w:szCs w:val="18"/>
                <w:lang w:eastAsia="sk-SK"/>
              </w:rPr>
              <w:t>221 539</w:t>
            </w:r>
          </w:p>
        </w:tc>
      </w:tr>
      <w:tr w:rsidR="009A05C7" w:rsidRPr="002C4859" w14:paraId="36659833" w14:textId="77777777" w:rsidTr="003A3C32">
        <w:trPr>
          <w:trHeight w:val="269"/>
        </w:trPr>
        <w:tc>
          <w:tcPr>
            <w:tcW w:w="1508" w:type="pct"/>
            <w:tcBorders>
              <w:top w:val="nil"/>
              <w:left w:val="nil"/>
              <w:bottom w:val="nil"/>
              <w:right w:val="nil"/>
            </w:tcBorders>
            <w:shd w:val="clear" w:color="auto" w:fill="auto"/>
            <w:noWrap/>
            <w:vAlign w:val="center"/>
            <w:hideMark/>
          </w:tcPr>
          <w:p w14:paraId="5B59A167" w14:textId="77777777" w:rsidR="009A05C7" w:rsidRPr="002C4859" w:rsidRDefault="009A05C7" w:rsidP="000240DA">
            <w:pPr>
              <w:spacing w:after="0" w:line="240" w:lineRule="auto"/>
              <w:jc w:val="lef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Nedaňové príjmy</w:t>
            </w:r>
          </w:p>
        </w:tc>
        <w:tc>
          <w:tcPr>
            <w:tcW w:w="606" w:type="pct"/>
            <w:tcBorders>
              <w:top w:val="nil"/>
              <w:left w:val="nil"/>
              <w:bottom w:val="nil"/>
              <w:right w:val="nil"/>
            </w:tcBorders>
            <w:shd w:val="clear" w:color="auto" w:fill="auto"/>
            <w:noWrap/>
            <w:vAlign w:val="center"/>
            <w:hideMark/>
          </w:tcPr>
          <w:p w14:paraId="1891D193" w14:textId="77777777" w:rsidR="009A05C7" w:rsidRPr="002C4859" w:rsidRDefault="009A05C7" w:rsidP="000240DA">
            <w:pPr>
              <w:spacing w:after="0" w:line="240" w:lineRule="auto"/>
              <w:jc w:val="left"/>
              <w:rPr>
                <w:rFonts w:eastAsia="Times New Roman" w:cs="Times New Roman"/>
                <w:b/>
                <w:bCs/>
                <w:color w:val="000000"/>
                <w:sz w:val="18"/>
                <w:szCs w:val="18"/>
                <w:lang w:eastAsia="sk-SK"/>
              </w:rPr>
            </w:pPr>
          </w:p>
        </w:tc>
        <w:tc>
          <w:tcPr>
            <w:tcW w:w="602" w:type="pct"/>
            <w:tcBorders>
              <w:top w:val="nil"/>
              <w:left w:val="nil"/>
              <w:bottom w:val="nil"/>
              <w:right w:val="nil"/>
            </w:tcBorders>
            <w:shd w:val="clear" w:color="auto" w:fill="auto"/>
            <w:noWrap/>
            <w:vAlign w:val="center"/>
            <w:hideMark/>
          </w:tcPr>
          <w:p w14:paraId="2D21B01F" w14:textId="77777777" w:rsidR="009A05C7" w:rsidRPr="002C4859" w:rsidRDefault="009A05C7" w:rsidP="000240DA">
            <w:pPr>
              <w:spacing w:after="0" w:line="240" w:lineRule="auto"/>
              <w:jc w:val="right"/>
              <w:rPr>
                <w:rFonts w:eastAsia="Times New Roman" w:cs="Times New Roman"/>
                <w:b/>
                <w:bCs/>
                <w:sz w:val="18"/>
                <w:szCs w:val="18"/>
                <w:lang w:eastAsia="sk-SK"/>
              </w:rPr>
            </w:pPr>
            <w:r w:rsidRPr="002C4859">
              <w:rPr>
                <w:rFonts w:eastAsia="Times New Roman" w:cs="Times New Roman"/>
                <w:b/>
                <w:bCs/>
                <w:sz w:val="18"/>
                <w:szCs w:val="18"/>
                <w:lang w:eastAsia="sk-SK"/>
              </w:rPr>
              <w:t>3 660 073</w:t>
            </w:r>
          </w:p>
        </w:tc>
        <w:tc>
          <w:tcPr>
            <w:tcW w:w="602" w:type="pct"/>
            <w:tcBorders>
              <w:top w:val="nil"/>
              <w:left w:val="nil"/>
              <w:bottom w:val="nil"/>
              <w:right w:val="nil"/>
            </w:tcBorders>
            <w:shd w:val="clear" w:color="auto" w:fill="auto"/>
            <w:noWrap/>
            <w:vAlign w:val="center"/>
            <w:hideMark/>
          </w:tcPr>
          <w:p w14:paraId="006E6630" w14:textId="77777777" w:rsidR="009A05C7" w:rsidRPr="002C4859" w:rsidRDefault="009A05C7" w:rsidP="000240DA">
            <w:pPr>
              <w:spacing w:after="0" w:line="240" w:lineRule="auto"/>
              <w:jc w:val="right"/>
              <w:rPr>
                <w:rFonts w:eastAsia="Times New Roman" w:cs="Times New Roman"/>
                <w:b/>
                <w:bCs/>
                <w:sz w:val="18"/>
                <w:szCs w:val="18"/>
                <w:lang w:eastAsia="sk-SK"/>
              </w:rPr>
            </w:pPr>
            <w:r w:rsidRPr="002C4859">
              <w:rPr>
                <w:rFonts w:eastAsia="Times New Roman" w:cs="Times New Roman"/>
                <w:b/>
                <w:bCs/>
                <w:sz w:val="18"/>
                <w:szCs w:val="18"/>
                <w:lang w:eastAsia="sk-SK"/>
              </w:rPr>
              <w:t>4 603 740</w:t>
            </w:r>
          </w:p>
        </w:tc>
        <w:tc>
          <w:tcPr>
            <w:tcW w:w="602" w:type="pct"/>
            <w:tcBorders>
              <w:top w:val="nil"/>
              <w:left w:val="nil"/>
              <w:bottom w:val="nil"/>
              <w:right w:val="nil"/>
            </w:tcBorders>
            <w:shd w:val="clear" w:color="auto" w:fill="auto"/>
            <w:noWrap/>
            <w:vAlign w:val="center"/>
            <w:hideMark/>
          </w:tcPr>
          <w:p w14:paraId="2652F982" w14:textId="77777777" w:rsidR="009A05C7" w:rsidRPr="002C4859" w:rsidRDefault="009A05C7" w:rsidP="000240DA">
            <w:pPr>
              <w:spacing w:after="0" w:line="240" w:lineRule="auto"/>
              <w:jc w:val="right"/>
              <w:rPr>
                <w:rFonts w:eastAsia="Times New Roman" w:cs="Times New Roman"/>
                <w:b/>
                <w:bCs/>
                <w:sz w:val="18"/>
                <w:szCs w:val="18"/>
                <w:lang w:eastAsia="sk-SK"/>
              </w:rPr>
            </w:pPr>
            <w:r w:rsidRPr="002C4859">
              <w:rPr>
                <w:rFonts w:eastAsia="Times New Roman" w:cs="Times New Roman"/>
                <w:b/>
                <w:bCs/>
                <w:sz w:val="18"/>
                <w:szCs w:val="18"/>
                <w:lang w:eastAsia="sk-SK"/>
              </w:rPr>
              <w:t>4 444 505</w:t>
            </w:r>
          </w:p>
        </w:tc>
        <w:tc>
          <w:tcPr>
            <w:tcW w:w="603" w:type="pct"/>
            <w:tcBorders>
              <w:top w:val="nil"/>
              <w:left w:val="nil"/>
              <w:bottom w:val="nil"/>
              <w:right w:val="nil"/>
            </w:tcBorders>
            <w:shd w:val="clear" w:color="auto" w:fill="auto"/>
            <w:noWrap/>
            <w:vAlign w:val="center"/>
            <w:hideMark/>
          </w:tcPr>
          <w:p w14:paraId="583AC14D" w14:textId="77777777" w:rsidR="009A05C7" w:rsidRPr="002C4859" w:rsidRDefault="009A05C7" w:rsidP="000240DA">
            <w:pPr>
              <w:spacing w:after="0" w:line="240" w:lineRule="auto"/>
              <w:jc w:val="right"/>
              <w:rPr>
                <w:rFonts w:eastAsia="Times New Roman" w:cs="Times New Roman"/>
                <w:b/>
                <w:bCs/>
                <w:sz w:val="18"/>
                <w:szCs w:val="18"/>
                <w:lang w:eastAsia="sk-SK"/>
              </w:rPr>
            </w:pPr>
            <w:r w:rsidRPr="002C4859">
              <w:rPr>
                <w:rFonts w:eastAsia="Times New Roman" w:cs="Times New Roman"/>
                <w:b/>
                <w:bCs/>
                <w:sz w:val="18"/>
                <w:szCs w:val="18"/>
                <w:lang w:eastAsia="sk-SK"/>
              </w:rPr>
              <w:t>5 096 532</w:t>
            </w:r>
          </w:p>
        </w:tc>
        <w:tc>
          <w:tcPr>
            <w:tcW w:w="477" w:type="pct"/>
            <w:tcBorders>
              <w:top w:val="nil"/>
              <w:left w:val="nil"/>
              <w:bottom w:val="nil"/>
              <w:right w:val="nil"/>
            </w:tcBorders>
            <w:shd w:val="clear" w:color="auto" w:fill="auto"/>
            <w:noWrap/>
            <w:vAlign w:val="center"/>
            <w:hideMark/>
          </w:tcPr>
          <w:p w14:paraId="61167A7B" w14:textId="77777777" w:rsidR="009A05C7" w:rsidRPr="002C4859" w:rsidRDefault="009A05C7" w:rsidP="000240DA">
            <w:pPr>
              <w:spacing w:after="0" w:line="240" w:lineRule="auto"/>
              <w:jc w:val="right"/>
              <w:rPr>
                <w:rFonts w:eastAsia="Times New Roman" w:cs="Times New Roman"/>
                <w:b/>
                <w:bCs/>
                <w:sz w:val="18"/>
                <w:szCs w:val="18"/>
                <w:lang w:eastAsia="sk-SK"/>
              </w:rPr>
            </w:pPr>
            <w:r w:rsidRPr="002C4859">
              <w:rPr>
                <w:rFonts w:eastAsia="Times New Roman" w:cs="Times New Roman"/>
                <w:b/>
                <w:bCs/>
                <w:sz w:val="18"/>
                <w:szCs w:val="18"/>
                <w:lang w:eastAsia="sk-SK"/>
              </w:rPr>
              <w:t>652 027</w:t>
            </w:r>
          </w:p>
        </w:tc>
      </w:tr>
      <w:tr w:rsidR="009A05C7" w:rsidRPr="002C4859" w14:paraId="6E74B4C7" w14:textId="77777777" w:rsidTr="003A3C32">
        <w:trPr>
          <w:trHeight w:val="269"/>
        </w:trPr>
        <w:tc>
          <w:tcPr>
            <w:tcW w:w="1508" w:type="pct"/>
            <w:tcBorders>
              <w:top w:val="nil"/>
              <w:left w:val="nil"/>
              <w:bottom w:val="nil"/>
              <w:right w:val="nil"/>
            </w:tcBorders>
            <w:shd w:val="clear" w:color="auto" w:fill="auto"/>
            <w:noWrap/>
            <w:vAlign w:val="center"/>
            <w:hideMark/>
          </w:tcPr>
          <w:p w14:paraId="728CBC5C" w14:textId="77777777" w:rsidR="009A05C7" w:rsidRPr="002C4859" w:rsidRDefault="009A05C7" w:rsidP="000240DA">
            <w:pPr>
              <w:spacing w:after="0" w:line="240" w:lineRule="auto"/>
              <w:jc w:val="left"/>
              <w:rPr>
                <w:rFonts w:eastAsia="Times New Roman" w:cs="Times New Roman"/>
                <w:color w:val="000000"/>
                <w:sz w:val="18"/>
                <w:szCs w:val="18"/>
                <w:lang w:eastAsia="sk-SK"/>
              </w:rPr>
            </w:pPr>
            <w:r w:rsidRPr="002C4859">
              <w:rPr>
                <w:rFonts w:eastAsia="Times New Roman" w:cs="Times New Roman"/>
                <w:color w:val="000000"/>
                <w:sz w:val="18"/>
                <w:szCs w:val="18"/>
                <w:lang w:eastAsia="sk-SK"/>
              </w:rPr>
              <w:t>Tržby</w:t>
            </w:r>
          </w:p>
        </w:tc>
        <w:tc>
          <w:tcPr>
            <w:tcW w:w="606" w:type="pct"/>
            <w:tcBorders>
              <w:top w:val="nil"/>
              <w:left w:val="nil"/>
              <w:bottom w:val="nil"/>
              <w:right w:val="nil"/>
            </w:tcBorders>
            <w:shd w:val="clear" w:color="auto" w:fill="auto"/>
            <w:noWrap/>
            <w:vAlign w:val="center"/>
            <w:hideMark/>
          </w:tcPr>
          <w:p w14:paraId="1C22FB7A" w14:textId="77777777" w:rsidR="009A05C7" w:rsidRPr="002C4859" w:rsidRDefault="009A05C7" w:rsidP="000240DA">
            <w:pPr>
              <w:spacing w:after="0" w:line="240" w:lineRule="auto"/>
              <w:jc w:val="center"/>
              <w:rPr>
                <w:rFonts w:eastAsia="Times New Roman" w:cs="Times New Roman"/>
                <w:color w:val="000000"/>
                <w:sz w:val="18"/>
                <w:szCs w:val="18"/>
                <w:lang w:eastAsia="sk-SK"/>
              </w:rPr>
            </w:pPr>
            <w:r w:rsidRPr="002C4859">
              <w:rPr>
                <w:rFonts w:eastAsia="Times New Roman" w:cs="Times New Roman"/>
                <w:color w:val="000000"/>
                <w:sz w:val="18"/>
                <w:szCs w:val="18"/>
                <w:lang w:eastAsia="sk-SK"/>
              </w:rPr>
              <w:t>P.11+P.12+P.131</w:t>
            </w:r>
          </w:p>
        </w:tc>
        <w:tc>
          <w:tcPr>
            <w:tcW w:w="602" w:type="pct"/>
            <w:tcBorders>
              <w:top w:val="nil"/>
              <w:left w:val="nil"/>
              <w:bottom w:val="nil"/>
              <w:right w:val="nil"/>
            </w:tcBorders>
            <w:shd w:val="clear" w:color="auto" w:fill="auto"/>
            <w:noWrap/>
            <w:vAlign w:val="center"/>
            <w:hideMark/>
          </w:tcPr>
          <w:p w14:paraId="05163A16"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2 910 539</w:t>
            </w:r>
          </w:p>
        </w:tc>
        <w:tc>
          <w:tcPr>
            <w:tcW w:w="602" w:type="pct"/>
            <w:tcBorders>
              <w:top w:val="nil"/>
              <w:left w:val="nil"/>
              <w:bottom w:val="nil"/>
              <w:right w:val="nil"/>
            </w:tcBorders>
            <w:shd w:val="clear" w:color="auto" w:fill="auto"/>
            <w:noWrap/>
            <w:vAlign w:val="center"/>
            <w:hideMark/>
          </w:tcPr>
          <w:p w14:paraId="40BF0B66"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3 392 813</w:t>
            </w:r>
          </w:p>
        </w:tc>
        <w:tc>
          <w:tcPr>
            <w:tcW w:w="602" w:type="pct"/>
            <w:tcBorders>
              <w:top w:val="nil"/>
              <w:left w:val="nil"/>
              <w:bottom w:val="nil"/>
              <w:right w:val="nil"/>
            </w:tcBorders>
            <w:shd w:val="clear" w:color="auto" w:fill="auto"/>
            <w:noWrap/>
            <w:vAlign w:val="center"/>
            <w:hideMark/>
          </w:tcPr>
          <w:p w14:paraId="7C2524BD"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3 314 394</w:t>
            </w:r>
          </w:p>
        </w:tc>
        <w:tc>
          <w:tcPr>
            <w:tcW w:w="603" w:type="pct"/>
            <w:tcBorders>
              <w:top w:val="nil"/>
              <w:left w:val="nil"/>
              <w:bottom w:val="nil"/>
              <w:right w:val="nil"/>
            </w:tcBorders>
            <w:shd w:val="clear" w:color="auto" w:fill="auto"/>
            <w:noWrap/>
            <w:vAlign w:val="center"/>
            <w:hideMark/>
          </w:tcPr>
          <w:p w14:paraId="37FF5AF3"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3 705 888</w:t>
            </w:r>
          </w:p>
        </w:tc>
        <w:tc>
          <w:tcPr>
            <w:tcW w:w="477" w:type="pct"/>
            <w:tcBorders>
              <w:top w:val="nil"/>
              <w:left w:val="nil"/>
              <w:bottom w:val="nil"/>
              <w:right w:val="nil"/>
            </w:tcBorders>
            <w:shd w:val="clear" w:color="auto" w:fill="auto"/>
            <w:noWrap/>
            <w:vAlign w:val="center"/>
            <w:hideMark/>
          </w:tcPr>
          <w:p w14:paraId="5A50F285"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391 494</w:t>
            </w:r>
          </w:p>
        </w:tc>
      </w:tr>
      <w:tr w:rsidR="009A05C7" w:rsidRPr="002C4859" w14:paraId="73739A87" w14:textId="77777777" w:rsidTr="003A3C32">
        <w:trPr>
          <w:trHeight w:val="203"/>
        </w:trPr>
        <w:tc>
          <w:tcPr>
            <w:tcW w:w="1508" w:type="pct"/>
            <w:tcBorders>
              <w:top w:val="nil"/>
              <w:left w:val="nil"/>
              <w:bottom w:val="nil"/>
              <w:right w:val="nil"/>
            </w:tcBorders>
            <w:shd w:val="clear" w:color="auto" w:fill="auto"/>
            <w:noWrap/>
            <w:vAlign w:val="center"/>
            <w:hideMark/>
          </w:tcPr>
          <w:p w14:paraId="0E4815AE" w14:textId="77777777" w:rsidR="009A05C7" w:rsidRPr="002C4859" w:rsidRDefault="009A05C7" w:rsidP="000240DA">
            <w:pPr>
              <w:spacing w:after="0" w:line="240" w:lineRule="auto"/>
              <w:jc w:val="left"/>
              <w:rPr>
                <w:rFonts w:eastAsia="Times New Roman" w:cs="Times New Roman"/>
                <w:color w:val="000000"/>
                <w:sz w:val="18"/>
                <w:szCs w:val="18"/>
                <w:lang w:eastAsia="sk-SK"/>
              </w:rPr>
            </w:pPr>
            <w:r w:rsidRPr="002C4859">
              <w:rPr>
                <w:rFonts w:eastAsia="Times New Roman" w:cs="Times New Roman"/>
                <w:color w:val="000000"/>
                <w:sz w:val="18"/>
                <w:szCs w:val="18"/>
                <w:lang w:eastAsia="sk-SK"/>
              </w:rPr>
              <w:t>Dôchodky z majetku</w:t>
            </w:r>
          </w:p>
        </w:tc>
        <w:tc>
          <w:tcPr>
            <w:tcW w:w="606" w:type="pct"/>
            <w:tcBorders>
              <w:top w:val="nil"/>
              <w:left w:val="nil"/>
              <w:bottom w:val="nil"/>
              <w:right w:val="nil"/>
            </w:tcBorders>
            <w:shd w:val="clear" w:color="auto" w:fill="auto"/>
            <w:noWrap/>
            <w:vAlign w:val="center"/>
            <w:hideMark/>
          </w:tcPr>
          <w:p w14:paraId="7E747086" w14:textId="77777777" w:rsidR="009A05C7" w:rsidRPr="002C4859" w:rsidRDefault="009A05C7" w:rsidP="000240DA">
            <w:pPr>
              <w:spacing w:after="0" w:line="240" w:lineRule="auto"/>
              <w:jc w:val="center"/>
              <w:rPr>
                <w:rFonts w:eastAsia="Times New Roman" w:cs="Times New Roman"/>
                <w:color w:val="000000"/>
                <w:sz w:val="18"/>
                <w:szCs w:val="18"/>
                <w:lang w:eastAsia="sk-SK"/>
              </w:rPr>
            </w:pPr>
            <w:r w:rsidRPr="002C4859">
              <w:rPr>
                <w:rFonts w:eastAsia="Times New Roman" w:cs="Times New Roman"/>
                <w:color w:val="000000"/>
                <w:sz w:val="18"/>
                <w:szCs w:val="18"/>
                <w:lang w:eastAsia="sk-SK"/>
              </w:rPr>
              <w:t>D.4R</w:t>
            </w:r>
          </w:p>
        </w:tc>
        <w:tc>
          <w:tcPr>
            <w:tcW w:w="602" w:type="pct"/>
            <w:tcBorders>
              <w:top w:val="nil"/>
              <w:left w:val="nil"/>
              <w:bottom w:val="nil"/>
              <w:right w:val="nil"/>
            </w:tcBorders>
            <w:shd w:val="clear" w:color="auto" w:fill="auto"/>
            <w:noWrap/>
            <w:vAlign w:val="center"/>
            <w:hideMark/>
          </w:tcPr>
          <w:p w14:paraId="540DCD59"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749 534</w:t>
            </w:r>
          </w:p>
        </w:tc>
        <w:tc>
          <w:tcPr>
            <w:tcW w:w="602" w:type="pct"/>
            <w:tcBorders>
              <w:top w:val="nil"/>
              <w:left w:val="nil"/>
              <w:bottom w:val="nil"/>
              <w:right w:val="nil"/>
            </w:tcBorders>
            <w:shd w:val="clear" w:color="auto" w:fill="auto"/>
            <w:noWrap/>
            <w:vAlign w:val="center"/>
            <w:hideMark/>
          </w:tcPr>
          <w:p w14:paraId="308BB529"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1 210 927</w:t>
            </w:r>
          </w:p>
        </w:tc>
        <w:tc>
          <w:tcPr>
            <w:tcW w:w="602" w:type="pct"/>
            <w:tcBorders>
              <w:top w:val="nil"/>
              <w:left w:val="nil"/>
              <w:bottom w:val="nil"/>
              <w:right w:val="nil"/>
            </w:tcBorders>
            <w:shd w:val="clear" w:color="auto" w:fill="auto"/>
            <w:noWrap/>
            <w:vAlign w:val="center"/>
            <w:hideMark/>
          </w:tcPr>
          <w:p w14:paraId="7AB1B9F6"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1 130 111</w:t>
            </w:r>
          </w:p>
        </w:tc>
        <w:tc>
          <w:tcPr>
            <w:tcW w:w="603" w:type="pct"/>
            <w:tcBorders>
              <w:top w:val="nil"/>
              <w:left w:val="nil"/>
              <w:bottom w:val="nil"/>
              <w:right w:val="nil"/>
            </w:tcBorders>
            <w:shd w:val="clear" w:color="auto" w:fill="auto"/>
            <w:noWrap/>
            <w:vAlign w:val="center"/>
            <w:hideMark/>
          </w:tcPr>
          <w:p w14:paraId="0F380AEE"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1 390 644</w:t>
            </w:r>
          </w:p>
        </w:tc>
        <w:tc>
          <w:tcPr>
            <w:tcW w:w="477" w:type="pct"/>
            <w:tcBorders>
              <w:top w:val="nil"/>
              <w:left w:val="nil"/>
              <w:bottom w:val="nil"/>
              <w:right w:val="nil"/>
            </w:tcBorders>
            <w:shd w:val="clear" w:color="auto" w:fill="auto"/>
            <w:noWrap/>
            <w:vAlign w:val="center"/>
            <w:hideMark/>
          </w:tcPr>
          <w:p w14:paraId="740809F9"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260 533</w:t>
            </w:r>
          </w:p>
        </w:tc>
      </w:tr>
      <w:tr w:rsidR="009A05C7" w:rsidRPr="002C4859" w14:paraId="2183DDFF" w14:textId="77777777" w:rsidTr="003A3C32">
        <w:trPr>
          <w:trHeight w:val="269"/>
        </w:trPr>
        <w:tc>
          <w:tcPr>
            <w:tcW w:w="1508" w:type="pct"/>
            <w:tcBorders>
              <w:top w:val="nil"/>
              <w:left w:val="nil"/>
              <w:bottom w:val="nil"/>
              <w:right w:val="nil"/>
            </w:tcBorders>
            <w:shd w:val="clear" w:color="auto" w:fill="auto"/>
            <w:noWrap/>
            <w:vAlign w:val="center"/>
            <w:hideMark/>
          </w:tcPr>
          <w:p w14:paraId="34FC1DA9" w14:textId="77777777" w:rsidR="009A05C7" w:rsidRPr="002C4859" w:rsidRDefault="009A05C7" w:rsidP="000240DA">
            <w:pPr>
              <w:spacing w:after="0" w:line="240" w:lineRule="auto"/>
              <w:jc w:val="lef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Granty a transfery</w:t>
            </w:r>
          </w:p>
        </w:tc>
        <w:tc>
          <w:tcPr>
            <w:tcW w:w="606" w:type="pct"/>
            <w:tcBorders>
              <w:top w:val="nil"/>
              <w:left w:val="nil"/>
              <w:bottom w:val="nil"/>
              <w:right w:val="nil"/>
            </w:tcBorders>
            <w:shd w:val="clear" w:color="auto" w:fill="auto"/>
            <w:noWrap/>
            <w:vAlign w:val="center"/>
            <w:hideMark/>
          </w:tcPr>
          <w:p w14:paraId="470AB688" w14:textId="77777777" w:rsidR="009A05C7" w:rsidRPr="002C4859" w:rsidRDefault="009A05C7" w:rsidP="000240DA">
            <w:pPr>
              <w:spacing w:after="0" w:line="240" w:lineRule="auto"/>
              <w:jc w:val="center"/>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D.39+D.7R+D.9R</w:t>
            </w:r>
          </w:p>
        </w:tc>
        <w:tc>
          <w:tcPr>
            <w:tcW w:w="602" w:type="pct"/>
            <w:tcBorders>
              <w:top w:val="nil"/>
              <w:left w:val="nil"/>
              <w:bottom w:val="nil"/>
              <w:right w:val="nil"/>
            </w:tcBorders>
            <w:shd w:val="clear" w:color="auto" w:fill="auto"/>
            <w:noWrap/>
            <w:vAlign w:val="center"/>
            <w:hideMark/>
          </w:tcPr>
          <w:p w14:paraId="01096CF5" w14:textId="77777777" w:rsidR="009A05C7" w:rsidRPr="002C4859" w:rsidRDefault="009A05C7" w:rsidP="000240DA">
            <w:pPr>
              <w:spacing w:after="0" w:line="240" w:lineRule="auto"/>
              <w:jc w:val="right"/>
              <w:rPr>
                <w:rFonts w:eastAsia="Times New Roman" w:cs="Times New Roman"/>
                <w:b/>
                <w:bCs/>
                <w:sz w:val="18"/>
                <w:szCs w:val="18"/>
                <w:lang w:eastAsia="sk-SK"/>
              </w:rPr>
            </w:pPr>
            <w:r w:rsidRPr="002C4859">
              <w:rPr>
                <w:rFonts w:eastAsia="Times New Roman" w:cs="Times New Roman"/>
                <w:b/>
                <w:bCs/>
                <w:sz w:val="18"/>
                <w:szCs w:val="18"/>
                <w:lang w:eastAsia="sk-SK"/>
              </w:rPr>
              <w:t>3 111 579</w:t>
            </w:r>
          </w:p>
        </w:tc>
        <w:tc>
          <w:tcPr>
            <w:tcW w:w="602" w:type="pct"/>
            <w:tcBorders>
              <w:top w:val="nil"/>
              <w:left w:val="nil"/>
              <w:bottom w:val="nil"/>
              <w:right w:val="nil"/>
            </w:tcBorders>
            <w:shd w:val="clear" w:color="auto" w:fill="auto"/>
            <w:noWrap/>
            <w:vAlign w:val="center"/>
            <w:hideMark/>
          </w:tcPr>
          <w:p w14:paraId="61A5958B" w14:textId="77777777" w:rsidR="009A05C7" w:rsidRPr="002C4859" w:rsidRDefault="009A05C7" w:rsidP="000240DA">
            <w:pPr>
              <w:spacing w:after="0" w:line="240" w:lineRule="auto"/>
              <w:jc w:val="right"/>
              <w:rPr>
                <w:rFonts w:eastAsia="Times New Roman" w:cs="Times New Roman"/>
                <w:b/>
                <w:bCs/>
                <w:sz w:val="18"/>
                <w:szCs w:val="18"/>
                <w:lang w:eastAsia="sk-SK"/>
              </w:rPr>
            </w:pPr>
            <w:r w:rsidRPr="002C4859">
              <w:rPr>
                <w:rFonts w:eastAsia="Times New Roman" w:cs="Times New Roman"/>
                <w:b/>
                <w:bCs/>
                <w:sz w:val="18"/>
                <w:szCs w:val="18"/>
                <w:lang w:eastAsia="sk-SK"/>
              </w:rPr>
              <w:t>4 963 833</w:t>
            </w:r>
          </w:p>
        </w:tc>
        <w:tc>
          <w:tcPr>
            <w:tcW w:w="602" w:type="pct"/>
            <w:tcBorders>
              <w:top w:val="nil"/>
              <w:left w:val="nil"/>
              <w:bottom w:val="nil"/>
              <w:right w:val="nil"/>
            </w:tcBorders>
            <w:shd w:val="clear" w:color="auto" w:fill="auto"/>
            <w:noWrap/>
            <w:vAlign w:val="center"/>
            <w:hideMark/>
          </w:tcPr>
          <w:p w14:paraId="2866EB96" w14:textId="77777777" w:rsidR="009A05C7" w:rsidRPr="002C4859" w:rsidRDefault="009A05C7" w:rsidP="000240DA">
            <w:pPr>
              <w:spacing w:after="0" w:line="240" w:lineRule="auto"/>
              <w:jc w:val="right"/>
              <w:rPr>
                <w:rFonts w:eastAsia="Times New Roman" w:cs="Times New Roman"/>
                <w:b/>
                <w:bCs/>
                <w:sz w:val="18"/>
                <w:szCs w:val="18"/>
                <w:lang w:eastAsia="sk-SK"/>
              </w:rPr>
            </w:pPr>
            <w:r w:rsidRPr="002C4859">
              <w:rPr>
                <w:rFonts w:eastAsia="Times New Roman" w:cs="Times New Roman"/>
                <w:b/>
                <w:bCs/>
                <w:sz w:val="18"/>
                <w:szCs w:val="18"/>
                <w:lang w:eastAsia="sk-SK"/>
              </w:rPr>
              <w:t>2 504 632</w:t>
            </w:r>
          </w:p>
        </w:tc>
        <w:tc>
          <w:tcPr>
            <w:tcW w:w="603" w:type="pct"/>
            <w:tcBorders>
              <w:top w:val="nil"/>
              <w:left w:val="nil"/>
              <w:bottom w:val="nil"/>
              <w:right w:val="nil"/>
            </w:tcBorders>
            <w:shd w:val="clear" w:color="auto" w:fill="auto"/>
            <w:noWrap/>
            <w:vAlign w:val="center"/>
            <w:hideMark/>
          </w:tcPr>
          <w:p w14:paraId="0F68A2A0" w14:textId="77777777" w:rsidR="009A05C7" w:rsidRPr="002C4859" w:rsidRDefault="009A05C7" w:rsidP="000240DA">
            <w:pPr>
              <w:spacing w:after="0" w:line="240" w:lineRule="auto"/>
              <w:jc w:val="right"/>
              <w:rPr>
                <w:rFonts w:eastAsia="Times New Roman" w:cs="Times New Roman"/>
                <w:b/>
                <w:bCs/>
                <w:sz w:val="18"/>
                <w:szCs w:val="18"/>
                <w:lang w:eastAsia="sk-SK"/>
              </w:rPr>
            </w:pPr>
            <w:r w:rsidRPr="002C4859">
              <w:rPr>
                <w:rFonts w:eastAsia="Times New Roman" w:cs="Times New Roman"/>
                <w:b/>
                <w:bCs/>
                <w:sz w:val="18"/>
                <w:szCs w:val="18"/>
                <w:lang w:eastAsia="sk-SK"/>
              </w:rPr>
              <w:t>3 048 609</w:t>
            </w:r>
          </w:p>
        </w:tc>
        <w:tc>
          <w:tcPr>
            <w:tcW w:w="477" w:type="pct"/>
            <w:tcBorders>
              <w:top w:val="nil"/>
              <w:left w:val="nil"/>
              <w:bottom w:val="nil"/>
              <w:right w:val="nil"/>
            </w:tcBorders>
            <w:shd w:val="clear" w:color="auto" w:fill="auto"/>
            <w:noWrap/>
            <w:vAlign w:val="center"/>
            <w:hideMark/>
          </w:tcPr>
          <w:p w14:paraId="3C339264" w14:textId="77777777" w:rsidR="009A05C7" w:rsidRPr="002C4859" w:rsidRDefault="009A05C7" w:rsidP="000240DA">
            <w:pPr>
              <w:spacing w:after="0" w:line="240" w:lineRule="auto"/>
              <w:jc w:val="right"/>
              <w:rPr>
                <w:rFonts w:eastAsia="Times New Roman" w:cs="Times New Roman"/>
                <w:b/>
                <w:bCs/>
                <w:sz w:val="18"/>
                <w:szCs w:val="18"/>
                <w:lang w:eastAsia="sk-SK"/>
              </w:rPr>
            </w:pPr>
            <w:r w:rsidRPr="002C4859">
              <w:rPr>
                <w:rFonts w:eastAsia="Times New Roman" w:cs="Times New Roman"/>
                <w:b/>
                <w:bCs/>
                <w:sz w:val="18"/>
                <w:szCs w:val="18"/>
                <w:lang w:eastAsia="sk-SK"/>
              </w:rPr>
              <w:t>543 977</w:t>
            </w:r>
          </w:p>
        </w:tc>
      </w:tr>
      <w:tr w:rsidR="009A05C7" w:rsidRPr="002C4859" w14:paraId="1D6B09A1" w14:textId="77777777" w:rsidTr="003A3C32">
        <w:trPr>
          <w:trHeight w:val="143"/>
        </w:trPr>
        <w:tc>
          <w:tcPr>
            <w:tcW w:w="1508" w:type="pct"/>
            <w:tcBorders>
              <w:top w:val="nil"/>
              <w:left w:val="nil"/>
              <w:bottom w:val="nil"/>
              <w:right w:val="nil"/>
            </w:tcBorders>
            <w:shd w:val="clear" w:color="auto" w:fill="auto"/>
            <w:noWrap/>
            <w:vAlign w:val="center"/>
            <w:hideMark/>
          </w:tcPr>
          <w:p w14:paraId="5AE8470B" w14:textId="77777777" w:rsidR="009A05C7" w:rsidRPr="002C4859" w:rsidRDefault="009A05C7" w:rsidP="000240DA">
            <w:pPr>
              <w:spacing w:after="0" w:line="240" w:lineRule="auto"/>
              <w:jc w:val="left"/>
              <w:rPr>
                <w:rFonts w:eastAsia="Times New Roman" w:cs="Times New Roman"/>
                <w:color w:val="000000"/>
                <w:sz w:val="18"/>
                <w:szCs w:val="18"/>
                <w:lang w:eastAsia="sk-SK"/>
              </w:rPr>
            </w:pPr>
            <w:r w:rsidRPr="002C4859">
              <w:rPr>
                <w:rFonts w:eastAsia="Times New Roman" w:cs="Times New Roman"/>
                <w:color w:val="000000"/>
                <w:sz w:val="18"/>
                <w:szCs w:val="18"/>
                <w:lang w:eastAsia="sk-SK"/>
              </w:rPr>
              <w:t xml:space="preserve">       z toho: z EÚ</w:t>
            </w:r>
          </w:p>
        </w:tc>
        <w:tc>
          <w:tcPr>
            <w:tcW w:w="606" w:type="pct"/>
            <w:tcBorders>
              <w:top w:val="nil"/>
              <w:left w:val="nil"/>
              <w:bottom w:val="nil"/>
              <w:right w:val="nil"/>
            </w:tcBorders>
            <w:shd w:val="clear" w:color="auto" w:fill="auto"/>
            <w:noWrap/>
            <w:vAlign w:val="center"/>
            <w:hideMark/>
          </w:tcPr>
          <w:p w14:paraId="1BFA4ECF" w14:textId="77777777" w:rsidR="009A05C7" w:rsidRPr="002C4859" w:rsidRDefault="009A05C7" w:rsidP="000240DA">
            <w:pPr>
              <w:spacing w:after="0" w:line="240" w:lineRule="auto"/>
              <w:jc w:val="left"/>
              <w:rPr>
                <w:rFonts w:eastAsia="Times New Roman" w:cs="Times New Roman"/>
                <w:color w:val="000000"/>
                <w:sz w:val="18"/>
                <w:szCs w:val="18"/>
                <w:lang w:eastAsia="sk-SK"/>
              </w:rPr>
            </w:pPr>
          </w:p>
        </w:tc>
        <w:tc>
          <w:tcPr>
            <w:tcW w:w="602" w:type="pct"/>
            <w:tcBorders>
              <w:top w:val="nil"/>
              <w:left w:val="nil"/>
              <w:bottom w:val="nil"/>
              <w:right w:val="nil"/>
            </w:tcBorders>
            <w:shd w:val="clear" w:color="auto" w:fill="auto"/>
            <w:noWrap/>
            <w:vAlign w:val="center"/>
            <w:hideMark/>
          </w:tcPr>
          <w:p w14:paraId="6CAE1E8F"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1 731 618</w:t>
            </w:r>
          </w:p>
        </w:tc>
        <w:tc>
          <w:tcPr>
            <w:tcW w:w="602" w:type="pct"/>
            <w:tcBorders>
              <w:top w:val="nil"/>
              <w:left w:val="nil"/>
              <w:bottom w:val="nil"/>
              <w:right w:val="nil"/>
            </w:tcBorders>
            <w:shd w:val="clear" w:color="auto" w:fill="auto"/>
            <w:noWrap/>
            <w:vAlign w:val="center"/>
            <w:hideMark/>
          </w:tcPr>
          <w:p w14:paraId="6ED7391A"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3 751 460</w:t>
            </w:r>
          </w:p>
        </w:tc>
        <w:tc>
          <w:tcPr>
            <w:tcW w:w="602" w:type="pct"/>
            <w:tcBorders>
              <w:top w:val="nil"/>
              <w:left w:val="nil"/>
              <w:bottom w:val="nil"/>
              <w:right w:val="nil"/>
            </w:tcBorders>
            <w:shd w:val="clear" w:color="auto" w:fill="auto"/>
            <w:noWrap/>
            <w:vAlign w:val="center"/>
            <w:hideMark/>
          </w:tcPr>
          <w:p w14:paraId="51B67CAD"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1 508 989</w:t>
            </w:r>
          </w:p>
        </w:tc>
        <w:tc>
          <w:tcPr>
            <w:tcW w:w="603" w:type="pct"/>
            <w:tcBorders>
              <w:top w:val="nil"/>
              <w:left w:val="nil"/>
              <w:bottom w:val="nil"/>
              <w:right w:val="nil"/>
            </w:tcBorders>
            <w:shd w:val="clear" w:color="auto" w:fill="auto"/>
            <w:noWrap/>
            <w:vAlign w:val="center"/>
            <w:hideMark/>
          </w:tcPr>
          <w:p w14:paraId="60D9D7C8"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2 153 740</w:t>
            </w:r>
          </w:p>
        </w:tc>
        <w:tc>
          <w:tcPr>
            <w:tcW w:w="477" w:type="pct"/>
            <w:tcBorders>
              <w:top w:val="nil"/>
              <w:left w:val="nil"/>
              <w:bottom w:val="nil"/>
              <w:right w:val="nil"/>
            </w:tcBorders>
            <w:shd w:val="clear" w:color="auto" w:fill="auto"/>
            <w:noWrap/>
            <w:vAlign w:val="center"/>
            <w:hideMark/>
          </w:tcPr>
          <w:p w14:paraId="2037F2D1"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644 751</w:t>
            </w:r>
          </w:p>
        </w:tc>
      </w:tr>
      <w:tr w:rsidR="009A05C7" w:rsidRPr="002C4859" w14:paraId="2E8DE1BD" w14:textId="77777777" w:rsidTr="003A3C32">
        <w:trPr>
          <w:trHeight w:val="269"/>
        </w:trPr>
        <w:tc>
          <w:tcPr>
            <w:tcW w:w="1508" w:type="pct"/>
            <w:tcBorders>
              <w:top w:val="nil"/>
              <w:left w:val="nil"/>
              <w:bottom w:val="nil"/>
              <w:right w:val="nil"/>
            </w:tcBorders>
            <w:shd w:val="clear" w:color="auto" w:fill="auto"/>
            <w:noWrap/>
            <w:vAlign w:val="center"/>
            <w:hideMark/>
          </w:tcPr>
          <w:p w14:paraId="2E5D26D4" w14:textId="77777777" w:rsidR="009A05C7" w:rsidRPr="002C4859" w:rsidRDefault="009A05C7" w:rsidP="000240DA">
            <w:pPr>
              <w:spacing w:after="0" w:line="240" w:lineRule="auto"/>
              <w:jc w:val="left"/>
              <w:rPr>
                <w:rFonts w:eastAsia="Times New Roman" w:cs="Times New Roman"/>
                <w:color w:val="000000"/>
                <w:sz w:val="18"/>
                <w:szCs w:val="18"/>
                <w:lang w:eastAsia="sk-SK"/>
              </w:rPr>
            </w:pPr>
            <w:r w:rsidRPr="002C4859">
              <w:rPr>
                <w:rFonts w:eastAsia="Times New Roman" w:cs="Times New Roman"/>
                <w:color w:val="000000"/>
                <w:sz w:val="18"/>
                <w:szCs w:val="18"/>
                <w:lang w:eastAsia="sk-SK"/>
              </w:rPr>
              <w:t>Ostatné bežné transfery</w:t>
            </w:r>
          </w:p>
        </w:tc>
        <w:tc>
          <w:tcPr>
            <w:tcW w:w="606" w:type="pct"/>
            <w:tcBorders>
              <w:top w:val="nil"/>
              <w:left w:val="nil"/>
              <w:bottom w:val="nil"/>
              <w:right w:val="nil"/>
            </w:tcBorders>
            <w:shd w:val="clear" w:color="auto" w:fill="auto"/>
            <w:noWrap/>
            <w:vAlign w:val="center"/>
            <w:hideMark/>
          </w:tcPr>
          <w:p w14:paraId="46A7557A" w14:textId="77777777" w:rsidR="009A05C7" w:rsidRPr="002C4859" w:rsidRDefault="009A05C7" w:rsidP="000240DA">
            <w:pPr>
              <w:spacing w:after="0" w:line="240" w:lineRule="auto"/>
              <w:jc w:val="center"/>
              <w:rPr>
                <w:rFonts w:eastAsia="Times New Roman" w:cs="Times New Roman"/>
                <w:color w:val="000000"/>
                <w:sz w:val="18"/>
                <w:szCs w:val="18"/>
                <w:lang w:eastAsia="sk-SK"/>
              </w:rPr>
            </w:pPr>
            <w:r w:rsidRPr="002C4859">
              <w:rPr>
                <w:rFonts w:eastAsia="Times New Roman" w:cs="Times New Roman"/>
                <w:color w:val="000000"/>
                <w:sz w:val="18"/>
                <w:szCs w:val="18"/>
                <w:lang w:eastAsia="sk-SK"/>
              </w:rPr>
              <w:t>D.7R</w:t>
            </w:r>
          </w:p>
        </w:tc>
        <w:tc>
          <w:tcPr>
            <w:tcW w:w="602" w:type="pct"/>
            <w:tcBorders>
              <w:top w:val="nil"/>
              <w:left w:val="nil"/>
              <w:bottom w:val="nil"/>
              <w:right w:val="nil"/>
            </w:tcBorders>
            <w:shd w:val="clear" w:color="auto" w:fill="auto"/>
            <w:noWrap/>
            <w:vAlign w:val="center"/>
            <w:hideMark/>
          </w:tcPr>
          <w:p w14:paraId="1C870795"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2 004 282</w:t>
            </w:r>
          </w:p>
        </w:tc>
        <w:tc>
          <w:tcPr>
            <w:tcW w:w="602" w:type="pct"/>
            <w:tcBorders>
              <w:top w:val="nil"/>
              <w:left w:val="nil"/>
              <w:bottom w:val="nil"/>
              <w:right w:val="nil"/>
            </w:tcBorders>
            <w:shd w:val="clear" w:color="auto" w:fill="auto"/>
            <w:noWrap/>
            <w:vAlign w:val="center"/>
            <w:hideMark/>
          </w:tcPr>
          <w:p w14:paraId="033AA5F1"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2 558 141</w:t>
            </w:r>
          </w:p>
        </w:tc>
        <w:tc>
          <w:tcPr>
            <w:tcW w:w="602" w:type="pct"/>
            <w:tcBorders>
              <w:top w:val="nil"/>
              <w:left w:val="nil"/>
              <w:bottom w:val="nil"/>
              <w:right w:val="nil"/>
            </w:tcBorders>
            <w:shd w:val="clear" w:color="auto" w:fill="auto"/>
            <w:noWrap/>
            <w:vAlign w:val="center"/>
            <w:hideMark/>
          </w:tcPr>
          <w:p w14:paraId="7BFCB49C"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2 215 421</w:t>
            </w:r>
          </w:p>
        </w:tc>
        <w:tc>
          <w:tcPr>
            <w:tcW w:w="603" w:type="pct"/>
            <w:tcBorders>
              <w:top w:val="nil"/>
              <w:left w:val="nil"/>
              <w:bottom w:val="nil"/>
              <w:right w:val="nil"/>
            </w:tcBorders>
            <w:shd w:val="clear" w:color="auto" w:fill="auto"/>
            <w:noWrap/>
            <w:vAlign w:val="center"/>
            <w:hideMark/>
          </w:tcPr>
          <w:p w14:paraId="28A9CF5E"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2 711 300</w:t>
            </w:r>
          </w:p>
        </w:tc>
        <w:tc>
          <w:tcPr>
            <w:tcW w:w="477" w:type="pct"/>
            <w:tcBorders>
              <w:top w:val="nil"/>
              <w:left w:val="nil"/>
              <w:bottom w:val="nil"/>
              <w:right w:val="nil"/>
            </w:tcBorders>
            <w:shd w:val="clear" w:color="auto" w:fill="auto"/>
            <w:noWrap/>
            <w:vAlign w:val="center"/>
            <w:hideMark/>
          </w:tcPr>
          <w:p w14:paraId="15851BF2"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495 879</w:t>
            </w:r>
          </w:p>
        </w:tc>
      </w:tr>
      <w:tr w:rsidR="009A05C7" w:rsidRPr="002C4859" w14:paraId="1416F76B" w14:textId="77777777" w:rsidTr="003A3C32">
        <w:trPr>
          <w:trHeight w:val="269"/>
        </w:trPr>
        <w:tc>
          <w:tcPr>
            <w:tcW w:w="1508" w:type="pct"/>
            <w:tcBorders>
              <w:top w:val="nil"/>
              <w:left w:val="nil"/>
              <w:bottom w:val="single" w:sz="4" w:space="0" w:color="auto"/>
              <w:right w:val="nil"/>
            </w:tcBorders>
            <w:shd w:val="clear" w:color="auto" w:fill="auto"/>
            <w:noWrap/>
            <w:vAlign w:val="center"/>
            <w:hideMark/>
          </w:tcPr>
          <w:p w14:paraId="1419ECCD" w14:textId="77777777" w:rsidR="009A05C7" w:rsidRPr="002C4859" w:rsidRDefault="009A05C7" w:rsidP="000240DA">
            <w:pPr>
              <w:spacing w:after="0" w:line="240" w:lineRule="auto"/>
              <w:jc w:val="left"/>
              <w:rPr>
                <w:rFonts w:eastAsia="Times New Roman" w:cs="Times New Roman"/>
                <w:color w:val="000000"/>
                <w:sz w:val="18"/>
                <w:szCs w:val="18"/>
                <w:lang w:eastAsia="sk-SK"/>
              </w:rPr>
            </w:pPr>
            <w:r w:rsidRPr="002C4859">
              <w:rPr>
                <w:rFonts w:eastAsia="Times New Roman" w:cs="Times New Roman"/>
                <w:color w:val="000000"/>
                <w:sz w:val="18"/>
                <w:szCs w:val="18"/>
                <w:lang w:eastAsia="sk-SK"/>
              </w:rPr>
              <w:t>Kapitálové transfery</w:t>
            </w:r>
          </w:p>
        </w:tc>
        <w:tc>
          <w:tcPr>
            <w:tcW w:w="606" w:type="pct"/>
            <w:tcBorders>
              <w:top w:val="nil"/>
              <w:left w:val="nil"/>
              <w:bottom w:val="single" w:sz="4" w:space="0" w:color="auto"/>
              <w:right w:val="nil"/>
            </w:tcBorders>
            <w:shd w:val="clear" w:color="auto" w:fill="auto"/>
            <w:noWrap/>
            <w:vAlign w:val="center"/>
            <w:hideMark/>
          </w:tcPr>
          <w:p w14:paraId="419E1F7B" w14:textId="77777777" w:rsidR="009A05C7" w:rsidRPr="002C4859" w:rsidRDefault="009A05C7" w:rsidP="000240DA">
            <w:pPr>
              <w:spacing w:after="0" w:line="240" w:lineRule="auto"/>
              <w:jc w:val="center"/>
              <w:rPr>
                <w:rFonts w:eastAsia="Times New Roman" w:cs="Times New Roman"/>
                <w:color w:val="000000"/>
                <w:sz w:val="18"/>
                <w:szCs w:val="18"/>
                <w:lang w:eastAsia="sk-SK"/>
              </w:rPr>
            </w:pPr>
            <w:r w:rsidRPr="002C4859">
              <w:rPr>
                <w:rFonts w:eastAsia="Times New Roman" w:cs="Times New Roman"/>
                <w:color w:val="000000"/>
                <w:sz w:val="18"/>
                <w:szCs w:val="18"/>
                <w:lang w:eastAsia="sk-SK"/>
              </w:rPr>
              <w:t>D.9R</w:t>
            </w:r>
          </w:p>
        </w:tc>
        <w:tc>
          <w:tcPr>
            <w:tcW w:w="602" w:type="pct"/>
            <w:tcBorders>
              <w:top w:val="nil"/>
              <w:left w:val="nil"/>
              <w:bottom w:val="single" w:sz="4" w:space="0" w:color="auto"/>
              <w:right w:val="nil"/>
            </w:tcBorders>
            <w:shd w:val="clear" w:color="auto" w:fill="auto"/>
            <w:noWrap/>
            <w:vAlign w:val="center"/>
            <w:hideMark/>
          </w:tcPr>
          <w:p w14:paraId="6A2A9590"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1 107 297</w:t>
            </w:r>
          </w:p>
        </w:tc>
        <w:tc>
          <w:tcPr>
            <w:tcW w:w="602" w:type="pct"/>
            <w:tcBorders>
              <w:top w:val="nil"/>
              <w:left w:val="nil"/>
              <w:bottom w:val="single" w:sz="4" w:space="0" w:color="auto"/>
              <w:right w:val="nil"/>
            </w:tcBorders>
            <w:shd w:val="clear" w:color="auto" w:fill="auto"/>
            <w:noWrap/>
            <w:vAlign w:val="center"/>
            <w:hideMark/>
          </w:tcPr>
          <w:p w14:paraId="7EB89405"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2 405 692</w:t>
            </w:r>
          </w:p>
        </w:tc>
        <w:tc>
          <w:tcPr>
            <w:tcW w:w="602" w:type="pct"/>
            <w:tcBorders>
              <w:top w:val="nil"/>
              <w:left w:val="nil"/>
              <w:bottom w:val="single" w:sz="4" w:space="0" w:color="auto"/>
              <w:right w:val="nil"/>
            </w:tcBorders>
            <w:shd w:val="clear" w:color="auto" w:fill="auto"/>
            <w:noWrap/>
            <w:vAlign w:val="center"/>
            <w:hideMark/>
          </w:tcPr>
          <w:p w14:paraId="0A137470"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289 211</w:t>
            </w:r>
          </w:p>
        </w:tc>
        <w:tc>
          <w:tcPr>
            <w:tcW w:w="603" w:type="pct"/>
            <w:tcBorders>
              <w:top w:val="nil"/>
              <w:left w:val="nil"/>
              <w:bottom w:val="single" w:sz="4" w:space="0" w:color="auto"/>
              <w:right w:val="nil"/>
            </w:tcBorders>
            <w:shd w:val="clear" w:color="auto" w:fill="auto"/>
            <w:noWrap/>
            <w:vAlign w:val="center"/>
            <w:hideMark/>
          </w:tcPr>
          <w:p w14:paraId="2766A077"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337 309</w:t>
            </w:r>
          </w:p>
        </w:tc>
        <w:tc>
          <w:tcPr>
            <w:tcW w:w="477" w:type="pct"/>
            <w:tcBorders>
              <w:top w:val="nil"/>
              <w:left w:val="nil"/>
              <w:bottom w:val="single" w:sz="4" w:space="0" w:color="auto"/>
              <w:right w:val="nil"/>
            </w:tcBorders>
            <w:shd w:val="clear" w:color="auto" w:fill="auto"/>
            <w:noWrap/>
            <w:vAlign w:val="center"/>
            <w:hideMark/>
          </w:tcPr>
          <w:p w14:paraId="2726BC6A"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48 098</w:t>
            </w:r>
          </w:p>
        </w:tc>
      </w:tr>
      <w:tr w:rsidR="009A05C7" w:rsidRPr="002C4859" w14:paraId="2D380A61" w14:textId="77777777" w:rsidTr="003A3C32">
        <w:trPr>
          <w:trHeight w:val="269"/>
        </w:trPr>
        <w:tc>
          <w:tcPr>
            <w:tcW w:w="1508" w:type="pct"/>
            <w:tcBorders>
              <w:top w:val="single" w:sz="4" w:space="0" w:color="auto"/>
              <w:left w:val="nil"/>
              <w:bottom w:val="nil"/>
              <w:right w:val="nil"/>
            </w:tcBorders>
            <w:shd w:val="clear" w:color="auto" w:fill="auto"/>
            <w:vAlign w:val="center"/>
            <w:hideMark/>
          </w:tcPr>
          <w:p w14:paraId="501E6D3B" w14:textId="77777777" w:rsidR="009A05C7" w:rsidRPr="002C4859" w:rsidRDefault="009A05C7" w:rsidP="000240DA">
            <w:pPr>
              <w:spacing w:after="0" w:line="240" w:lineRule="auto"/>
              <w:rPr>
                <w:rFonts w:eastAsia="Times New Roman" w:cs="Times New Roman"/>
                <w:b/>
                <w:bCs/>
                <w:sz w:val="18"/>
                <w:szCs w:val="18"/>
                <w:lang w:eastAsia="sk-SK"/>
              </w:rPr>
            </w:pPr>
            <w:r w:rsidRPr="002C4859">
              <w:rPr>
                <w:rFonts w:eastAsia="Times New Roman" w:cs="Times New Roman"/>
                <w:b/>
                <w:bCs/>
                <w:sz w:val="18"/>
                <w:szCs w:val="18"/>
                <w:lang w:eastAsia="sk-SK"/>
              </w:rPr>
              <w:t>Výdavky spolu</w:t>
            </w:r>
          </w:p>
        </w:tc>
        <w:tc>
          <w:tcPr>
            <w:tcW w:w="606" w:type="pct"/>
            <w:tcBorders>
              <w:top w:val="single" w:sz="4" w:space="0" w:color="auto"/>
              <w:left w:val="nil"/>
              <w:bottom w:val="nil"/>
              <w:right w:val="nil"/>
            </w:tcBorders>
            <w:shd w:val="clear" w:color="auto" w:fill="auto"/>
            <w:vAlign w:val="center"/>
            <w:hideMark/>
          </w:tcPr>
          <w:p w14:paraId="3A515477" w14:textId="77777777" w:rsidR="009A05C7" w:rsidRPr="002C4859" w:rsidRDefault="009A05C7" w:rsidP="000240DA">
            <w:pPr>
              <w:spacing w:after="0" w:line="240" w:lineRule="auto"/>
              <w:jc w:val="center"/>
              <w:rPr>
                <w:rFonts w:eastAsia="Times New Roman" w:cs="Times New Roman"/>
                <w:b/>
                <w:bCs/>
                <w:sz w:val="18"/>
                <w:szCs w:val="18"/>
                <w:lang w:eastAsia="sk-SK"/>
              </w:rPr>
            </w:pPr>
            <w:r w:rsidRPr="002C4859">
              <w:rPr>
                <w:rFonts w:eastAsia="Times New Roman" w:cs="Times New Roman"/>
                <w:b/>
                <w:bCs/>
                <w:sz w:val="18"/>
                <w:szCs w:val="18"/>
                <w:lang w:eastAsia="sk-SK"/>
              </w:rPr>
              <w:t>TE</w:t>
            </w:r>
          </w:p>
        </w:tc>
        <w:tc>
          <w:tcPr>
            <w:tcW w:w="602" w:type="pct"/>
            <w:tcBorders>
              <w:top w:val="single" w:sz="4" w:space="0" w:color="auto"/>
              <w:left w:val="nil"/>
              <w:bottom w:val="nil"/>
              <w:right w:val="nil"/>
            </w:tcBorders>
            <w:shd w:val="clear" w:color="auto" w:fill="auto"/>
            <w:noWrap/>
            <w:vAlign w:val="center"/>
            <w:hideMark/>
          </w:tcPr>
          <w:p w14:paraId="5D221F83" w14:textId="77777777" w:rsidR="009A05C7" w:rsidRPr="002C4859" w:rsidRDefault="009A05C7" w:rsidP="000240DA">
            <w:pPr>
              <w:spacing w:after="0" w:line="240" w:lineRule="auto"/>
              <w:jc w:val="righ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47 328 439</w:t>
            </w:r>
          </w:p>
        </w:tc>
        <w:tc>
          <w:tcPr>
            <w:tcW w:w="602" w:type="pct"/>
            <w:tcBorders>
              <w:top w:val="single" w:sz="4" w:space="0" w:color="auto"/>
              <w:left w:val="nil"/>
              <w:bottom w:val="nil"/>
              <w:right w:val="nil"/>
            </w:tcBorders>
            <w:shd w:val="clear" w:color="auto" w:fill="auto"/>
            <w:noWrap/>
            <w:vAlign w:val="center"/>
            <w:hideMark/>
          </w:tcPr>
          <w:p w14:paraId="011FCCF8" w14:textId="77777777" w:rsidR="009A05C7" w:rsidRPr="002C4859" w:rsidRDefault="009A05C7" w:rsidP="000240DA">
            <w:pPr>
              <w:spacing w:after="0" w:line="240" w:lineRule="auto"/>
              <w:jc w:val="righ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59 427 630</w:t>
            </w:r>
          </w:p>
        </w:tc>
        <w:tc>
          <w:tcPr>
            <w:tcW w:w="602" w:type="pct"/>
            <w:tcBorders>
              <w:top w:val="single" w:sz="4" w:space="0" w:color="auto"/>
              <w:left w:val="nil"/>
              <w:bottom w:val="nil"/>
              <w:right w:val="nil"/>
            </w:tcBorders>
            <w:shd w:val="clear" w:color="auto" w:fill="auto"/>
            <w:noWrap/>
            <w:vAlign w:val="center"/>
            <w:hideMark/>
          </w:tcPr>
          <w:p w14:paraId="3C06FA8B" w14:textId="77777777" w:rsidR="009A05C7" w:rsidRPr="002C4859" w:rsidRDefault="009A05C7" w:rsidP="000240DA">
            <w:pPr>
              <w:spacing w:after="0" w:line="240" w:lineRule="auto"/>
              <w:jc w:val="righ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61 321 229</w:t>
            </w:r>
          </w:p>
        </w:tc>
        <w:tc>
          <w:tcPr>
            <w:tcW w:w="603" w:type="pct"/>
            <w:tcBorders>
              <w:top w:val="single" w:sz="4" w:space="0" w:color="auto"/>
              <w:left w:val="nil"/>
              <w:bottom w:val="nil"/>
              <w:right w:val="nil"/>
            </w:tcBorders>
            <w:shd w:val="clear" w:color="auto" w:fill="auto"/>
            <w:noWrap/>
            <w:vAlign w:val="center"/>
            <w:hideMark/>
          </w:tcPr>
          <w:p w14:paraId="72C68607" w14:textId="77777777" w:rsidR="009A05C7" w:rsidRPr="002C4859" w:rsidRDefault="009A05C7" w:rsidP="000240DA">
            <w:pPr>
              <w:spacing w:after="0" w:line="240" w:lineRule="auto"/>
              <w:jc w:val="righ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61 713 964</w:t>
            </w:r>
          </w:p>
        </w:tc>
        <w:tc>
          <w:tcPr>
            <w:tcW w:w="477" w:type="pct"/>
            <w:tcBorders>
              <w:top w:val="single" w:sz="4" w:space="0" w:color="auto"/>
              <w:left w:val="nil"/>
              <w:bottom w:val="nil"/>
              <w:right w:val="nil"/>
            </w:tcBorders>
            <w:shd w:val="clear" w:color="auto" w:fill="auto"/>
            <w:noWrap/>
            <w:vAlign w:val="center"/>
            <w:hideMark/>
          </w:tcPr>
          <w:p w14:paraId="4510B68D" w14:textId="77777777" w:rsidR="009A05C7" w:rsidRPr="002C4859" w:rsidRDefault="009A05C7" w:rsidP="000240DA">
            <w:pPr>
              <w:spacing w:after="0" w:line="240" w:lineRule="auto"/>
              <w:jc w:val="righ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392 735</w:t>
            </w:r>
          </w:p>
        </w:tc>
      </w:tr>
      <w:tr w:rsidR="009A05C7" w:rsidRPr="002C4859" w14:paraId="36346751" w14:textId="77777777" w:rsidTr="003A3C32">
        <w:trPr>
          <w:trHeight w:val="92"/>
        </w:trPr>
        <w:tc>
          <w:tcPr>
            <w:tcW w:w="1508" w:type="pct"/>
            <w:tcBorders>
              <w:top w:val="nil"/>
              <w:left w:val="nil"/>
              <w:bottom w:val="single" w:sz="4" w:space="0" w:color="auto"/>
              <w:right w:val="nil"/>
            </w:tcBorders>
            <w:shd w:val="clear" w:color="auto" w:fill="auto"/>
            <w:noWrap/>
            <w:vAlign w:val="center"/>
            <w:hideMark/>
          </w:tcPr>
          <w:p w14:paraId="59F2E5D5" w14:textId="77777777" w:rsidR="009A05C7" w:rsidRPr="002C4859" w:rsidRDefault="009A05C7" w:rsidP="000240DA">
            <w:pPr>
              <w:spacing w:after="0" w:line="240" w:lineRule="auto"/>
              <w:jc w:val="left"/>
              <w:rPr>
                <w:rFonts w:eastAsia="Times New Roman" w:cs="Times New Roman"/>
                <w:b/>
                <w:bCs/>
                <w:sz w:val="18"/>
                <w:szCs w:val="18"/>
                <w:lang w:eastAsia="sk-SK"/>
              </w:rPr>
            </w:pPr>
            <w:r w:rsidRPr="002C4859">
              <w:rPr>
                <w:rFonts w:eastAsia="Times New Roman" w:cs="Times New Roman"/>
                <w:b/>
                <w:bCs/>
                <w:sz w:val="18"/>
                <w:szCs w:val="18"/>
                <w:lang w:eastAsia="sk-SK"/>
              </w:rPr>
              <w:t>% HDP</w:t>
            </w:r>
          </w:p>
        </w:tc>
        <w:tc>
          <w:tcPr>
            <w:tcW w:w="606" w:type="pct"/>
            <w:tcBorders>
              <w:top w:val="nil"/>
              <w:left w:val="nil"/>
              <w:bottom w:val="single" w:sz="4" w:space="0" w:color="auto"/>
              <w:right w:val="nil"/>
            </w:tcBorders>
            <w:shd w:val="clear" w:color="auto" w:fill="auto"/>
            <w:noWrap/>
            <w:vAlign w:val="center"/>
            <w:hideMark/>
          </w:tcPr>
          <w:p w14:paraId="5667F7DE" w14:textId="77777777" w:rsidR="009A05C7" w:rsidRPr="002C4859" w:rsidRDefault="009A05C7" w:rsidP="000240DA">
            <w:pPr>
              <w:spacing w:after="0" w:line="240" w:lineRule="auto"/>
              <w:jc w:val="left"/>
              <w:rPr>
                <w:rFonts w:eastAsia="Times New Roman" w:cs="Times New Roman"/>
                <w:b/>
                <w:bCs/>
                <w:sz w:val="18"/>
                <w:szCs w:val="18"/>
                <w:lang w:eastAsia="sk-SK"/>
              </w:rPr>
            </w:pPr>
            <w:r w:rsidRPr="002C4859">
              <w:rPr>
                <w:rFonts w:eastAsia="Times New Roman" w:cs="Times New Roman"/>
                <w:b/>
                <w:bCs/>
                <w:sz w:val="18"/>
                <w:szCs w:val="18"/>
                <w:lang w:eastAsia="sk-SK"/>
              </w:rPr>
              <w:t> </w:t>
            </w:r>
          </w:p>
        </w:tc>
        <w:tc>
          <w:tcPr>
            <w:tcW w:w="602" w:type="pct"/>
            <w:tcBorders>
              <w:top w:val="nil"/>
              <w:left w:val="nil"/>
              <w:bottom w:val="single" w:sz="4" w:space="0" w:color="auto"/>
              <w:right w:val="nil"/>
            </w:tcBorders>
            <w:shd w:val="clear" w:color="auto" w:fill="auto"/>
            <w:noWrap/>
            <w:vAlign w:val="center"/>
            <w:hideMark/>
          </w:tcPr>
          <w:p w14:paraId="6D9CD12B" w14:textId="77777777" w:rsidR="009A05C7" w:rsidRPr="002C4859" w:rsidRDefault="009A05C7" w:rsidP="000240DA">
            <w:pPr>
              <w:spacing w:after="0" w:line="240" w:lineRule="auto"/>
              <w:jc w:val="righ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43,0</w:t>
            </w:r>
          </w:p>
        </w:tc>
        <w:tc>
          <w:tcPr>
            <w:tcW w:w="602" w:type="pct"/>
            <w:tcBorders>
              <w:top w:val="nil"/>
              <w:left w:val="nil"/>
              <w:bottom w:val="single" w:sz="4" w:space="0" w:color="auto"/>
              <w:right w:val="nil"/>
            </w:tcBorders>
            <w:shd w:val="clear" w:color="auto" w:fill="auto"/>
            <w:noWrap/>
            <w:vAlign w:val="center"/>
            <w:hideMark/>
          </w:tcPr>
          <w:p w14:paraId="34115070" w14:textId="77777777" w:rsidR="009A05C7" w:rsidRPr="002C4859" w:rsidRDefault="009A05C7" w:rsidP="000240DA">
            <w:pPr>
              <w:spacing w:after="0" w:line="240" w:lineRule="auto"/>
              <w:jc w:val="righ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48,0</w:t>
            </w:r>
          </w:p>
        </w:tc>
        <w:tc>
          <w:tcPr>
            <w:tcW w:w="602" w:type="pct"/>
            <w:tcBorders>
              <w:top w:val="nil"/>
              <w:left w:val="nil"/>
              <w:bottom w:val="single" w:sz="4" w:space="0" w:color="auto"/>
              <w:right w:val="nil"/>
            </w:tcBorders>
            <w:shd w:val="clear" w:color="auto" w:fill="auto"/>
            <w:noWrap/>
            <w:vAlign w:val="center"/>
            <w:hideMark/>
          </w:tcPr>
          <w:p w14:paraId="1747AF3C" w14:textId="77777777" w:rsidR="009A05C7" w:rsidRPr="002C4859" w:rsidRDefault="009A05C7" w:rsidP="000240DA">
            <w:pPr>
              <w:spacing w:after="0" w:line="240" w:lineRule="auto"/>
              <w:jc w:val="righ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46,7</w:t>
            </w:r>
          </w:p>
        </w:tc>
        <w:tc>
          <w:tcPr>
            <w:tcW w:w="603" w:type="pct"/>
            <w:tcBorders>
              <w:top w:val="nil"/>
              <w:left w:val="nil"/>
              <w:bottom w:val="single" w:sz="4" w:space="0" w:color="auto"/>
              <w:right w:val="nil"/>
            </w:tcBorders>
            <w:shd w:val="clear" w:color="auto" w:fill="auto"/>
            <w:noWrap/>
            <w:vAlign w:val="center"/>
            <w:hideMark/>
          </w:tcPr>
          <w:p w14:paraId="341A3C68" w14:textId="77777777" w:rsidR="009A05C7" w:rsidRPr="002C4859" w:rsidRDefault="009A05C7" w:rsidP="000240DA">
            <w:pPr>
              <w:spacing w:after="0" w:line="240" w:lineRule="auto"/>
              <w:jc w:val="righ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47,1</w:t>
            </w:r>
          </w:p>
        </w:tc>
        <w:tc>
          <w:tcPr>
            <w:tcW w:w="477" w:type="pct"/>
            <w:tcBorders>
              <w:top w:val="nil"/>
              <w:left w:val="nil"/>
              <w:bottom w:val="single" w:sz="4" w:space="0" w:color="auto"/>
              <w:right w:val="nil"/>
            </w:tcBorders>
            <w:shd w:val="clear" w:color="auto" w:fill="auto"/>
            <w:noWrap/>
            <w:vAlign w:val="center"/>
            <w:hideMark/>
          </w:tcPr>
          <w:p w14:paraId="6D8C30AE" w14:textId="77777777" w:rsidR="009A05C7" w:rsidRPr="002C4859" w:rsidRDefault="009A05C7" w:rsidP="000240DA">
            <w:pPr>
              <w:spacing w:after="0" w:line="240" w:lineRule="auto"/>
              <w:jc w:val="righ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0,4</w:t>
            </w:r>
          </w:p>
        </w:tc>
      </w:tr>
      <w:tr w:rsidR="009A05C7" w:rsidRPr="002C4859" w14:paraId="29B83BE7" w14:textId="77777777" w:rsidTr="003A3C32">
        <w:trPr>
          <w:trHeight w:val="269"/>
        </w:trPr>
        <w:tc>
          <w:tcPr>
            <w:tcW w:w="1508" w:type="pct"/>
            <w:tcBorders>
              <w:top w:val="nil"/>
              <w:left w:val="nil"/>
              <w:bottom w:val="nil"/>
              <w:right w:val="nil"/>
            </w:tcBorders>
            <w:shd w:val="clear" w:color="auto" w:fill="auto"/>
            <w:noWrap/>
            <w:vAlign w:val="center"/>
            <w:hideMark/>
          </w:tcPr>
          <w:p w14:paraId="136C5BAE" w14:textId="77777777" w:rsidR="009A05C7" w:rsidRPr="002C4859" w:rsidRDefault="009A05C7" w:rsidP="000240DA">
            <w:pPr>
              <w:spacing w:after="0" w:line="240" w:lineRule="auto"/>
              <w:jc w:val="lef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Bežné výdavky</w:t>
            </w:r>
          </w:p>
        </w:tc>
        <w:tc>
          <w:tcPr>
            <w:tcW w:w="606" w:type="pct"/>
            <w:tcBorders>
              <w:top w:val="nil"/>
              <w:left w:val="nil"/>
              <w:bottom w:val="nil"/>
              <w:right w:val="nil"/>
            </w:tcBorders>
            <w:shd w:val="clear" w:color="auto" w:fill="auto"/>
            <w:noWrap/>
            <w:vAlign w:val="center"/>
            <w:hideMark/>
          </w:tcPr>
          <w:p w14:paraId="3F05E01A" w14:textId="77777777" w:rsidR="009A05C7" w:rsidRPr="002C4859" w:rsidRDefault="009A05C7" w:rsidP="000240DA">
            <w:pPr>
              <w:spacing w:after="0" w:line="240" w:lineRule="auto"/>
              <w:jc w:val="left"/>
              <w:rPr>
                <w:rFonts w:eastAsia="Times New Roman" w:cs="Times New Roman"/>
                <w:b/>
                <w:bCs/>
                <w:color w:val="000000"/>
                <w:sz w:val="18"/>
                <w:szCs w:val="18"/>
                <w:lang w:eastAsia="sk-SK"/>
              </w:rPr>
            </w:pPr>
          </w:p>
        </w:tc>
        <w:tc>
          <w:tcPr>
            <w:tcW w:w="602" w:type="pct"/>
            <w:tcBorders>
              <w:top w:val="nil"/>
              <w:left w:val="nil"/>
              <w:bottom w:val="nil"/>
              <w:right w:val="nil"/>
            </w:tcBorders>
            <w:shd w:val="clear" w:color="auto" w:fill="auto"/>
            <w:noWrap/>
            <w:vAlign w:val="center"/>
            <w:hideMark/>
          </w:tcPr>
          <w:p w14:paraId="5F7320A2" w14:textId="77777777" w:rsidR="009A05C7" w:rsidRPr="002C4859" w:rsidRDefault="009A05C7" w:rsidP="000240DA">
            <w:pPr>
              <w:spacing w:after="0" w:line="240" w:lineRule="auto"/>
              <w:jc w:val="right"/>
              <w:rPr>
                <w:rFonts w:eastAsia="Times New Roman" w:cs="Times New Roman"/>
                <w:b/>
                <w:bCs/>
                <w:sz w:val="18"/>
                <w:szCs w:val="18"/>
                <w:lang w:eastAsia="sk-SK"/>
              </w:rPr>
            </w:pPr>
            <w:r w:rsidRPr="002C4859">
              <w:rPr>
                <w:rFonts w:eastAsia="Times New Roman" w:cs="Times New Roman"/>
                <w:b/>
                <w:bCs/>
                <w:sz w:val="18"/>
                <w:szCs w:val="18"/>
                <w:lang w:eastAsia="sk-SK"/>
              </w:rPr>
              <w:t>43 037 724</w:t>
            </w:r>
          </w:p>
        </w:tc>
        <w:tc>
          <w:tcPr>
            <w:tcW w:w="602" w:type="pct"/>
            <w:tcBorders>
              <w:top w:val="nil"/>
              <w:left w:val="nil"/>
              <w:bottom w:val="nil"/>
              <w:right w:val="nil"/>
            </w:tcBorders>
            <w:shd w:val="clear" w:color="auto" w:fill="auto"/>
            <w:noWrap/>
            <w:vAlign w:val="center"/>
            <w:hideMark/>
          </w:tcPr>
          <w:p w14:paraId="5EB7C2DD" w14:textId="77777777" w:rsidR="009A05C7" w:rsidRPr="002C4859" w:rsidRDefault="009A05C7" w:rsidP="000240DA">
            <w:pPr>
              <w:spacing w:after="0" w:line="240" w:lineRule="auto"/>
              <w:jc w:val="right"/>
              <w:rPr>
                <w:rFonts w:eastAsia="Times New Roman" w:cs="Times New Roman"/>
                <w:b/>
                <w:bCs/>
                <w:sz w:val="18"/>
                <w:szCs w:val="18"/>
                <w:lang w:eastAsia="sk-SK"/>
              </w:rPr>
            </w:pPr>
            <w:r w:rsidRPr="002C4859">
              <w:rPr>
                <w:rFonts w:eastAsia="Times New Roman" w:cs="Times New Roman"/>
                <w:b/>
                <w:bCs/>
                <w:sz w:val="18"/>
                <w:szCs w:val="18"/>
                <w:lang w:eastAsia="sk-SK"/>
              </w:rPr>
              <w:t>52 757 760</w:t>
            </w:r>
          </w:p>
        </w:tc>
        <w:tc>
          <w:tcPr>
            <w:tcW w:w="602" w:type="pct"/>
            <w:tcBorders>
              <w:top w:val="nil"/>
              <w:left w:val="nil"/>
              <w:bottom w:val="nil"/>
              <w:right w:val="nil"/>
            </w:tcBorders>
            <w:shd w:val="clear" w:color="auto" w:fill="auto"/>
            <w:noWrap/>
            <w:vAlign w:val="center"/>
            <w:hideMark/>
          </w:tcPr>
          <w:p w14:paraId="4ABB7439" w14:textId="77777777" w:rsidR="009A05C7" w:rsidRPr="002C4859" w:rsidRDefault="009A05C7" w:rsidP="000240DA">
            <w:pPr>
              <w:spacing w:after="0" w:line="240" w:lineRule="auto"/>
              <w:jc w:val="right"/>
              <w:rPr>
                <w:rFonts w:eastAsia="Times New Roman" w:cs="Times New Roman"/>
                <w:b/>
                <w:bCs/>
                <w:sz w:val="18"/>
                <w:szCs w:val="18"/>
                <w:lang w:eastAsia="sk-SK"/>
              </w:rPr>
            </w:pPr>
            <w:r w:rsidRPr="002C4859">
              <w:rPr>
                <w:rFonts w:eastAsia="Times New Roman" w:cs="Times New Roman"/>
                <w:b/>
                <w:bCs/>
                <w:sz w:val="18"/>
                <w:szCs w:val="18"/>
                <w:lang w:eastAsia="sk-SK"/>
              </w:rPr>
              <w:t>55 915 001</w:t>
            </w:r>
          </w:p>
        </w:tc>
        <w:tc>
          <w:tcPr>
            <w:tcW w:w="603" w:type="pct"/>
            <w:tcBorders>
              <w:top w:val="nil"/>
              <w:left w:val="nil"/>
              <w:bottom w:val="nil"/>
              <w:right w:val="nil"/>
            </w:tcBorders>
            <w:shd w:val="clear" w:color="auto" w:fill="auto"/>
            <w:noWrap/>
            <w:vAlign w:val="center"/>
            <w:hideMark/>
          </w:tcPr>
          <w:p w14:paraId="146683AE" w14:textId="77777777" w:rsidR="009A05C7" w:rsidRPr="002C4859" w:rsidRDefault="009A05C7" w:rsidP="000240DA">
            <w:pPr>
              <w:spacing w:after="0" w:line="240" w:lineRule="auto"/>
              <w:jc w:val="right"/>
              <w:rPr>
                <w:rFonts w:eastAsia="Times New Roman" w:cs="Times New Roman"/>
                <w:b/>
                <w:bCs/>
                <w:sz w:val="18"/>
                <w:szCs w:val="18"/>
                <w:lang w:eastAsia="sk-SK"/>
              </w:rPr>
            </w:pPr>
            <w:r w:rsidRPr="002C4859">
              <w:rPr>
                <w:rFonts w:eastAsia="Times New Roman" w:cs="Times New Roman"/>
                <w:b/>
                <w:bCs/>
                <w:sz w:val="18"/>
                <w:szCs w:val="18"/>
                <w:lang w:eastAsia="sk-SK"/>
              </w:rPr>
              <w:t>56 352 854</w:t>
            </w:r>
          </w:p>
        </w:tc>
        <w:tc>
          <w:tcPr>
            <w:tcW w:w="477" w:type="pct"/>
            <w:tcBorders>
              <w:top w:val="nil"/>
              <w:left w:val="nil"/>
              <w:bottom w:val="nil"/>
              <w:right w:val="nil"/>
            </w:tcBorders>
            <w:shd w:val="clear" w:color="auto" w:fill="auto"/>
            <w:noWrap/>
            <w:vAlign w:val="center"/>
            <w:hideMark/>
          </w:tcPr>
          <w:p w14:paraId="3BD65CF0" w14:textId="77777777" w:rsidR="009A05C7" w:rsidRPr="002C4859" w:rsidRDefault="009A05C7" w:rsidP="000240DA">
            <w:pPr>
              <w:spacing w:after="0" w:line="240" w:lineRule="auto"/>
              <w:jc w:val="right"/>
              <w:rPr>
                <w:rFonts w:eastAsia="Times New Roman" w:cs="Times New Roman"/>
                <w:b/>
                <w:bCs/>
                <w:sz w:val="18"/>
                <w:szCs w:val="18"/>
                <w:lang w:eastAsia="sk-SK"/>
              </w:rPr>
            </w:pPr>
            <w:r w:rsidRPr="002C4859">
              <w:rPr>
                <w:rFonts w:eastAsia="Times New Roman" w:cs="Times New Roman"/>
                <w:b/>
                <w:bCs/>
                <w:sz w:val="18"/>
                <w:szCs w:val="18"/>
                <w:lang w:eastAsia="sk-SK"/>
              </w:rPr>
              <w:t>437 853</w:t>
            </w:r>
          </w:p>
        </w:tc>
      </w:tr>
      <w:tr w:rsidR="009A05C7" w:rsidRPr="002C4859" w14:paraId="416496DD" w14:textId="77777777" w:rsidTr="003A3C32">
        <w:trPr>
          <w:trHeight w:val="269"/>
        </w:trPr>
        <w:tc>
          <w:tcPr>
            <w:tcW w:w="1508" w:type="pct"/>
            <w:tcBorders>
              <w:top w:val="nil"/>
              <w:left w:val="nil"/>
              <w:bottom w:val="nil"/>
              <w:right w:val="nil"/>
            </w:tcBorders>
            <w:shd w:val="clear" w:color="auto" w:fill="auto"/>
            <w:noWrap/>
            <w:vAlign w:val="center"/>
            <w:hideMark/>
          </w:tcPr>
          <w:p w14:paraId="1BDEE928" w14:textId="77777777" w:rsidR="009A05C7" w:rsidRPr="002C4859" w:rsidRDefault="009A05C7" w:rsidP="000240DA">
            <w:pPr>
              <w:spacing w:after="0" w:line="240" w:lineRule="auto"/>
              <w:jc w:val="left"/>
              <w:rPr>
                <w:rFonts w:eastAsia="Times New Roman" w:cs="Times New Roman"/>
                <w:color w:val="000000"/>
                <w:sz w:val="18"/>
                <w:szCs w:val="18"/>
                <w:lang w:eastAsia="sk-SK"/>
              </w:rPr>
            </w:pPr>
            <w:r w:rsidRPr="002C4859">
              <w:rPr>
                <w:rFonts w:eastAsia="Times New Roman" w:cs="Times New Roman"/>
                <w:color w:val="000000"/>
                <w:sz w:val="18"/>
                <w:szCs w:val="18"/>
                <w:lang w:eastAsia="sk-SK"/>
              </w:rPr>
              <w:t>Kompenzácie zamestnancov</w:t>
            </w:r>
          </w:p>
        </w:tc>
        <w:tc>
          <w:tcPr>
            <w:tcW w:w="606" w:type="pct"/>
            <w:tcBorders>
              <w:top w:val="nil"/>
              <w:left w:val="nil"/>
              <w:bottom w:val="nil"/>
              <w:right w:val="nil"/>
            </w:tcBorders>
            <w:shd w:val="clear" w:color="auto" w:fill="auto"/>
            <w:noWrap/>
            <w:vAlign w:val="center"/>
            <w:hideMark/>
          </w:tcPr>
          <w:p w14:paraId="51A36E02" w14:textId="77777777" w:rsidR="009A05C7" w:rsidRPr="002C4859" w:rsidRDefault="009A05C7" w:rsidP="000240DA">
            <w:pPr>
              <w:spacing w:after="0" w:line="240" w:lineRule="auto"/>
              <w:jc w:val="center"/>
              <w:rPr>
                <w:rFonts w:eastAsia="Times New Roman" w:cs="Times New Roman"/>
                <w:color w:val="000000"/>
                <w:sz w:val="18"/>
                <w:szCs w:val="18"/>
                <w:lang w:eastAsia="sk-SK"/>
              </w:rPr>
            </w:pPr>
            <w:r w:rsidRPr="002C4859">
              <w:rPr>
                <w:rFonts w:eastAsia="Times New Roman" w:cs="Times New Roman"/>
                <w:color w:val="000000"/>
                <w:sz w:val="18"/>
                <w:szCs w:val="18"/>
                <w:lang w:eastAsia="sk-SK"/>
              </w:rPr>
              <w:t>D.1P</w:t>
            </w:r>
          </w:p>
        </w:tc>
        <w:tc>
          <w:tcPr>
            <w:tcW w:w="602" w:type="pct"/>
            <w:tcBorders>
              <w:top w:val="nil"/>
              <w:left w:val="nil"/>
              <w:bottom w:val="nil"/>
              <w:right w:val="nil"/>
            </w:tcBorders>
            <w:shd w:val="clear" w:color="auto" w:fill="auto"/>
            <w:noWrap/>
            <w:vAlign w:val="center"/>
            <w:hideMark/>
          </w:tcPr>
          <w:p w14:paraId="05C031B3"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11 893 658</w:t>
            </w:r>
          </w:p>
        </w:tc>
        <w:tc>
          <w:tcPr>
            <w:tcW w:w="602" w:type="pct"/>
            <w:tcBorders>
              <w:top w:val="nil"/>
              <w:left w:val="nil"/>
              <w:bottom w:val="nil"/>
              <w:right w:val="nil"/>
            </w:tcBorders>
            <w:shd w:val="clear" w:color="auto" w:fill="auto"/>
            <w:noWrap/>
            <w:vAlign w:val="center"/>
            <w:hideMark/>
          </w:tcPr>
          <w:p w14:paraId="393F53E1"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13 551 746</w:t>
            </w:r>
          </w:p>
        </w:tc>
        <w:tc>
          <w:tcPr>
            <w:tcW w:w="602" w:type="pct"/>
            <w:tcBorders>
              <w:top w:val="nil"/>
              <w:left w:val="nil"/>
              <w:bottom w:val="nil"/>
              <w:right w:val="nil"/>
            </w:tcBorders>
            <w:shd w:val="clear" w:color="auto" w:fill="auto"/>
            <w:noWrap/>
            <w:vAlign w:val="center"/>
            <w:hideMark/>
          </w:tcPr>
          <w:p w14:paraId="4D81ACE3"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14 013 313</w:t>
            </w:r>
          </w:p>
        </w:tc>
        <w:tc>
          <w:tcPr>
            <w:tcW w:w="603" w:type="pct"/>
            <w:tcBorders>
              <w:top w:val="nil"/>
              <w:left w:val="nil"/>
              <w:bottom w:val="nil"/>
              <w:right w:val="nil"/>
            </w:tcBorders>
            <w:shd w:val="clear" w:color="auto" w:fill="auto"/>
            <w:noWrap/>
            <w:vAlign w:val="center"/>
            <w:hideMark/>
          </w:tcPr>
          <w:p w14:paraId="02D26B9E"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14 833 311</w:t>
            </w:r>
          </w:p>
        </w:tc>
        <w:tc>
          <w:tcPr>
            <w:tcW w:w="477" w:type="pct"/>
            <w:tcBorders>
              <w:top w:val="nil"/>
              <w:left w:val="nil"/>
              <w:bottom w:val="nil"/>
              <w:right w:val="nil"/>
            </w:tcBorders>
            <w:shd w:val="clear" w:color="auto" w:fill="auto"/>
            <w:noWrap/>
            <w:vAlign w:val="center"/>
            <w:hideMark/>
          </w:tcPr>
          <w:p w14:paraId="5D773622"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819 998</w:t>
            </w:r>
          </w:p>
        </w:tc>
      </w:tr>
      <w:tr w:rsidR="009A05C7" w:rsidRPr="002C4859" w14:paraId="50A0E26C" w14:textId="77777777" w:rsidTr="003A3C32">
        <w:trPr>
          <w:trHeight w:val="269"/>
        </w:trPr>
        <w:tc>
          <w:tcPr>
            <w:tcW w:w="1508" w:type="pct"/>
            <w:tcBorders>
              <w:top w:val="nil"/>
              <w:left w:val="nil"/>
              <w:bottom w:val="nil"/>
              <w:right w:val="nil"/>
            </w:tcBorders>
            <w:shd w:val="clear" w:color="auto" w:fill="auto"/>
            <w:noWrap/>
            <w:vAlign w:val="center"/>
            <w:hideMark/>
          </w:tcPr>
          <w:p w14:paraId="4AFC64F7" w14:textId="77777777" w:rsidR="009A05C7" w:rsidRPr="002C4859" w:rsidRDefault="009A05C7" w:rsidP="000240DA">
            <w:pPr>
              <w:spacing w:after="0" w:line="240" w:lineRule="auto"/>
              <w:jc w:val="left"/>
              <w:rPr>
                <w:rFonts w:eastAsia="Times New Roman" w:cs="Times New Roman"/>
                <w:color w:val="000000"/>
                <w:sz w:val="18"/>
                <w:szCs w:val="18"/>
                <w:lang w:eastAsia="sk-SK"/>
              </w:rPr>
            </w:pPr>
            <w:r w:rsidRPr="002C4859">
              <w:rPr>
                <w:rFonts w:eastAsia="Times New Roman" w:cs="Times New Roman"/>
                <w:color w:val="000000"/>
                <w:sz w:val="18"/>
                <w:szCs w:val="18"/>
                <w:lang w:eastAsia="sk-SK"/>
              </w:rPr>
              <w:t>Medzispotreba</w:t>
            </w:r>
          </w:p>
        </w:tc>
        <w:tc>
          <w:tcPr>
            <w:tcW w:w="606" w:type="pct"/>
            <w:tcBorders>
              <w:top w:val="nil"/>
              <w:left w:val="nil"/>
              <w:bottom w:val="nil"/>
              <w:right w:val="nil"/>
            </w:tcBorders>
            <w:shd w:val="clear" w:color="auto" w:fill="auto"/>
            <w:noWrap/>
            <w:vAlign w:val="center"/>
            <w:hideMark/>
          </w:tcPr>
          <w:p w14:paraId="4FBA38E9" w14:textId="77777777" w:rsidR="009A05C7" w:rsidRPr="002C4859" w:rsidRDefault="009A05C7" w:rsidP="000240DA">
            <w:pPr>
              <w:spacing w:after="0" w:line="240" w:lineRule="auto"/>
              <w:jc w:val="center"/>
              <w:rPr>
                <w:rFonts w:eastAsia="Times New Roman" w:cs="Times New Roman"/>
                <w:color w:val="000000"/>
                <w:sz w:val="18"/>
                <w:szCs w:val="18"/>
                <w:lang w:eastAsia="sk-SK"/>
              </w:rPr>
            </w:pPr>
            <w:r w:rsidRPr="002C4859">
              <w:rPr>
                <w:rFonts w:eastAsia="Times New Roman" w:cs="Times New Roman"/>
                <w:color w:val="000000"/>
                <w:sz w:val="18"/>
                <w:szCs w:val="18"/>
                <w:lang w:eastAsia="sk-SK"/>
              </w:rPr>
              <w:t>P.2</w:t>
            </w:r>
          </w:p>
        </w:tc>
        <w:tc>
          <w:tcPr>
            <w:tcW w:w="602" w:type="pct"/>
            <w:tcBorders>
              <w:top w:val="nil"/>
              <w:left w:val="nil"/>
              <w:bottom w:val="nil"/>
              <w:right w:val="nil"/>
            </w:tcBorders>
            <w:shd w:val="clear" w:color="auto" w:fill="auto"/>
            <w:noWrap/>
            <w:vAlign w:val="center"/>
            <w:hideMark/>
          </w:tcPr>
          <w:p w14:paraId="3626330A"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6 597 778</w:t>
            </w:r>
          </w:p>
        </w:tc>
        <w:tc>
          <w:tcPr>
            <w:tcW w:w="602" w:type="pct"/>
            <w:tcBorders>
              <w:top w:val="nil"/>
              <w:left w:val="nil"/>
              <w:bottom w:val="nil"/>
              <w:right w:val="nil"/>
            </w:tcBorders>
            <w:shd w:val="clear" w:color="auto" w:fill="auto"/>
            <w:noWrap/>
            <w:vAlign w:val="center"/>
            <w:hideMark/>
          </w:tcPr>
          <w:p w14:paraId="7280CBCA"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6 679 651</w:t>
            </w:r>
          </w:p>
        </w:tc>
        <w:tc>
          <w:tcPr>
            <w:tcW w:w="602" w:type="pct"/>
            <w:tcBorders>
              <w:top w:val="nil"/>
              <w:left w:val="nil"/>
              <w:bottom w:val="nil"/>
              <w:right w:val="nil"/>
            </w:tcBorders>
            <w:shd w:val="clear" w:color="auto" w:fill="auto"/>
            <w:noWrap/>
            <w:vAlign w:val="center"/>
            <w:hideMark/>
          </w:tcPr>
          <w:p w14:paraId="5216F752"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8 140 103</w:t>
            </w:r>
          </w:p>
        </w:tc>
        <w:tc>
          <w:tcPr>
            <w:tcW w:w="603" w:type="pct"/>
            <w:tcBorders>
              <w:top w:val="nil"/>
              <w:left w:val="nil"/>
              <w:bottom w:val="nil"/>
              <w:right w:val="nil"/>
            </w:tcBorders>
            <w:shd w:val="clear" w:color="auto" w:fill="auto"/>
            <w:noWrap/>
            <w:vAlign w:val="center"/>
            <w:hideMark/>
          </w:tcPr>
          <w:p w14:paraId="561AF734"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7 463 926</w:t>
            </w:r>
          </w:p>
        </w:tc>
        <w:tc>
          <w:tcPr>
            <w:tcW w:w="477" w:type="pct"/>
            <w:tcBorders>
              <w:top w:val="nil"/>
              <w:left w:val="nil"/>
              <w:bottom w:val="nil"/>
              <w:right w:val="nil"/>
            </w:tcBorders>
            <w:shd w:val="clear" w:color="auto" w:fill="auto"/>
            <w:noWrap/>
            <w:vAlign w:val="center"/>
            <w:hideMark/>
          </w:tcPr>
          <w:p w14:paraId="638A6DBD"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-676 177</w:t>
            </w:r>
          </w:p>
        </w:tc>
      </w:tr>
      <w:tr w:rsidR="009A05C7" w:rsidRPr="002C4859" w14:paraId="3CA2067F" w14:textId="77777777" w:rsidTr="003A3C32">
        <w:trPr>
          <w:trHeight w:val="269"/>
        </w:trPr>
        <w:tc>
          <w:tcPr>
            <w:tcW w:w="1508" w:type="pct"/>
            <w:tcBorders>
              <w:top w:val="nil"/>
              <w:left w:val="nil"/>
              <w:bottom w:val="nil"/>
              <w:right w:val="nil"/>
            </w:tcBorders>
            <w:shd w:val="clear" w:color="auto" w:fill="auto"/>
            <w:noWrap/>
            <w:vAlign w:val="center"/>
            <w:hideMark/>
          </w:tcPr>
          <w:p w14:paraId="471B1F40" w14:textId="77777777" w:rsidR="009A05C7" w:rsidRPr="002C4859" w:rsidRDefault="009A05C7" w:rsidP="000240DA">
            <w:pPr>
              <w:spacing w:after="0" w:line="240" w:lineRule="auto"/>
              <w:jc w:val="left"/>
              <w:rPr>
                <w:rFonts w:eastAsia="Times New Roman" w:cs="Times New Roman"/>
                <w:color w:val="000000"/>
                <w:sz w:val="18"/>
                <w:szCs w:val="18"/>
                <w:lang w:eastAsia="sk-SK"/>
              </w:rPr>
            </w:pPr>
            <w:r w:rsidRPr="002C4859">
              <w:rPr>
                <w:rFonts w:eastAsia="Times New Roman" w:cs="Times New Roman"/>
                <w:color w:val="000000"/>
                <w:sz w:val="18"/>
                <w:szCs w:val="18"/>
                <w:lang w:eastAsia="sk-SK"/>
              </w:rPr>
              <w:t>Dane</w:t>
            </w:r>
          </w:p>
        </w:tc>
        <w:tc>
          <w:tcPr>
            <w:tcW w:w="606" w:type="pct"/>
            <w:tcBorders>
              <w:top w:val="nil"/>
              <w:left w:val="nil"/>
              <w:bottom w:val="nil"/>
              <w:right w:val="nil"/>
            </w:tcBorders>
            <w:shd w:val="clear" w:color="auto" w:fill="auto"/>
            <w:noWrap/>
            <w:vAlign w:val="center"/>
            <w:hideMark/>
          </w:tcPr>
          <w:p w14:paraId="768AC82B" w14:textId="77777777" w:rsidR="009A05C7" w:rsidRPr="002C4859" w:rsidRDefault="009A05C7" w:rsidP="000240DA">
            <w:pPr>
              <w:spacing w:after="0" w:line="240" w:lineRule="auto"/>
              <w:jc w:val="center"/>
              <w:rPr>
                <w:rFonts w:eastAsia="Times New Roman" w:cs="Times New Roman"/>
                <w:color w:val="000000"/>
                <w:sz w:val="18"/>
                <w:szCs w:val="18"/>
                <w:lang w:eastAsia="sk-SK"/>
              </w:rPr>
            </w:pPr>
            <w:r w:rsidRPr="002C4859">
              <w:rPr>
                <w:rFonts w:eastAsia="Times New Roman" w:cs="Times New Roman"/>
                <w:color w:val="000000"/>
                <w:sz w:val="18"/>
                <w:szCs w:val="18"/>
                <w:lang w:eastAsia="sk-SK"/>
              </w:rPr>
              <w:t>D.2P+D.5P</w:t>
            </w:r>
          </w:p>
        </w:tc>
        <w:tc>
          <w:tcPr>
            <w:tcW w:w="602" w:type="pct"/>
            <w:tcBorders>
              <w:top w:val="nil"/>
              <w:left w:val="nil"/>
              <w:bottom w:val="nil"/>
              <w:right w:val="nil"/>
            </w:tcBorders>
            <w:shd w:val="clear" w:color="auto" w:fill="auto"/>
            <w:noWrap/>
            <w:vAlign w:val="center"/>
            <w:hideMark/>
          </w:tcPr>
          <w:p w14:paraId="452E055E"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133 146</w:t>
            </w:r>
          </w:p>
        </w:tc>
        <w:tc>
          <w:tcPr>
            <w:tcW w:w="602" w:type="pct"/>
            <w:tcBorders>
              <w:top w:val="nil"/>
              <w:left w:val="nil"/>
              <w:bottom w:val="nil"/>
              <w:right w:val="nil"/>
            </w:tcBorders>
            <w:shd w:val="clear" w:color="auto" w:fill="auto"/>
            <w:noWrap/>
            <w:vAlign w:val="center"/>
            <w:hideMark/>
          </w:tcPr>
          <w:p w14:paraId="1190C8C8"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102 002</w:t>
            </w:r>
          </w:p>
        </w:tc>
        <w:tc>
          <w:tcPr>
            <w:tcW w:w="602" w:type="pct"/>
            <w:tcBorders>
              <w:top w:val="nil"/>
              <w:left w:val="nil"/>
              <w:bottom w:val="nil"/>
              <w:right w:val="nil"/>
            </w:tcBorders>
            <w:shd w:val="clear" w:color="auto" w:fill="auto"/>
            <w:noWrap/>
            <w:vAlign w:val="center"/>
            <w:hideMark/>
          </w:tcPr>
          <w:p w14:paraId="7A736E21"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146 406</w:t>
            </w:r>
          </w:p>
        </w:tc>
        <w:tc>
          <w:tcPr>
            <w:tcW w:w="603" w:type="pct"/>
            <w:tcBorders>
              <w:top w:val="nil"/>
              <w:left w:val="nil"/>
              <w:bottom w:val="nil"/>
              <w:right w:val="nil"/>
            </w:tcBorders>
            <w:shd w:val="clear" w:color="auto" w:fill="auto"/>
            <w:noWrap/>
            <w:vAlign w:val="center"/>
            <w:hideMark/>
          </w:tcPr>
          <w:p w14:paraId="3954E126"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171 451</w:t>
            </w:r>
          </w:p>
        </w:tc>
        <w:tc>
          <w:tcPr>
            <w:tcW w:w="477" w:type="pct"/>
            <w:tcBorders>
              <w:top w:val="nil"/>
              <w:left w:val="nil"/>
              <w:bottom w:val="nil"/>
              <w:right w:val="nil"/>
            </w:tcBorders>
            <w:shd w:val="clear" w:color="auto" w:fill="auto"/>
            <w:noWrap/>
            <w:vAlign w:val="center"/>
            <w:hideMark/>
          </w:tcPr>
          <w:p w14:paraId="084E3DB5"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25 045</w:t>
            </w:r>
          </w:p>
        </w:tc>
      </w:tr>
      <w:tr w:rsidR="009A05C7" w:rsidRPr="002C4859" w14:paraId="1BF627D6" w14:textId="77777777" w:rsidTr="003A3C32">
        <w:trPr>
          <w:trHeight w:val="269"/>
        </w:trPr>
        <w:tc>
          <w:tcPr>
            <w:tcW w:w="1508" w:type="pct"/>
            <w:tcBorders>
              <w:top w:val="nil"/>
              <w:left w:val="nil"/>
              <w:bottom w:val="nil"/>
              <w:right w:val="nil"/>
            </w:tcBorders>
            <w:shd w:val="clear" w:color="auto" w:fill="auto"/>
            <w:noWrap/>
            <w:vAlign w:val="center"/>
            <w:hideMark/>
          </w:tcPr>
          <w:p w14:paraId="2EE00364" w14:textId="77777777" w:rsidR="009A05C7" w:rsidRPr="002C4859" w:rsidRDefault="009A05C7" w:rsidP="000240DA">
            <w:pPr>
              <w:spacing w:after="0" w:line="240" w:lineRule="auto"/>
              <w:jc w:val="left"/>
              <w:rPr>
                <w:rFonts w:eastAsia="Times New Roman" w:cs="Times New Roman"/>
                <w:color w:val="000000"/>
                <w:sz w:val="18"/>
                <w:szCs w:val="18"/>
                <w:lang w:eastAsia="sk-SK"/>
              </w:rPr>
            </w:pPr>
            <w:r w:rsidRPr="002C4859">
              <w:rPr>
                <w:rFonts w:eastAsia="Times New Roman" w:cs="Times New Roman"/>
                <w:color w:val="000000"/>
                <w:sz w:val="18"/>
                <w:szCs w:val="18"/>
                <w:lang w:eastAsia="sk-SK"/>
              </w:rPr>
              <w:t>Subvencie</w:t>
            </w:r>
          </w:p>
        </w:tc>
        <w:tc>
          <w:tcPr>
            <w:tcW w:w="606" w:type="pct"/>
            <w:tcBorders>
              <w:top w:val="nil"/>
              <w:left w:val="nil"/>
              <w:bottom w:val="nil"/>
              <w:right w:val="nil"/>
            </w:tcBorders>
            <w:shd w:val="clear" w:color="auto" w:fill="auto"/>
            <w:noWrap/>
            <w:vAlign w:val="center"/>
            <w:hideMark/>
          </w:tcPr>
          <w:p w14:paraId="62EED138" w14:textId="77777777" w:rsidR="009A05C7" w:rsidRPr="002C4859" w:rsidRDefault="009A05C7" w:rsidP="000240DA">
            <w:pPr>
              <w:spacing w:after="0" w:line="240" w:lineRule="auto"/>
              <w:jc w:val="center"/>
              <w:rPr>
                <w:rFonts w:eastAsia="Times New Roman" w:cs="Times New Roman"/>
                <w:color w:val="000000"/>
                <w:sz w:val="18"/>
                <w:szCs w:val="18"/>
                <w:lang w:eastAsia="sk-SK"/>
              </w:rPr>
            </w:pPr>
            <w:r w:rsidRPr="002C4859">
              <w:rPr>
                <w:rFonts w:eastAsia="Times New Roman" w:cs="Times New Roman"/>
                <w:color w:val="000000"/>
                <w:sz w:val="18"/>
                <w:szCs w:val="18"/>
                <w:lang w:eastAsia="sk-SK"/>
              </w:rPr>
              <w:t>D.3P</w:t>
            </w:r>
          </w:p>
        </w:tc>
        <w:tc>
          <w:tcPr>
            <w:tcW w:w="602" w:type="pct"/>
            <w:tcBorders>
              <w:top w:val="nil"/>
              <w:left w:val="nil"/>
              <w:bottom w:val="nil"/>
              <w:right w:val="nil"/>
            </w:tcBorders>
            <w:shd w:val="clear" w:color="auto" w:fill="auto"/>
            <w:noWrap/>
            <w:vAlign w:val="center"/>
            <w:hideMark/>
          </w:tcPr>
          <w:p w14:paraId="7EDD2C87"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1 196 408</w:t>
            </w:r>
          </w:p>
        </w:tc>
        <w:tc>
          <w:tcPr>
            <w:tcW w:w="602" w:type="pct"/>
            <w:tcBorders>
              <w:top w:val="nil"/>
              <w:left w:val="nil"/>
              <w:bottom w:val="nil"/>
              <w:right w:val="nil"/>
            </w:tcBorders>
            <w:shd w:val="clear" w:color="auto" w:fill="auto"/>
            <w:noWrap/>
            <w:vAlign w:val="center"/>
            <w:hideMark/>
          </w:tcPr>
          <w:p w14:paraId="0602396C"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4 181 709</w:t>
            </w:r>
          </w:p>
        </w:tc>
        <w:tc>
          <w:tcPr>
            <w:tcW w:w="602" w:type="pct"/>
            <w:tcBorders>
              <w:top w:val="nil"/>
              <w:left w:val="nil"/>
              <w:bottom w:val="nil"/>
              <w:right w:val="nil"/>
            </w:tcBorders>
            <w:shd w:val="clear" w:color="auto" w:fill="auto"/>
            <w:noWrap/>
            <w:vAlign w:val="center"/>
            <w:hideMark/>
          </w:tcPr>
          <w:p w14:paraId="1E6199CF"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1 946 263</w:t>
            </w:r>
          </w:p>
        </w:tc>
        <w:tc>
          <w:tcPr>
            <w:tcW w:w="603" w:type="pct"/>
            <w:tcBorders>
              <w:top w:val="nil"/>
              <w:left w:val="nil"/>
              <w:bottom w:val="nil"/>
              <w:right w:val="nil"/>
            </w:tcBorders>
            <w:shd w:val="clear" w:color="auto" w:fill="auto"/>
            <w:noWrap/>
            <w:vAlign w:val="center"/>
            <w:hideMark/>
          </w:tcPr>
          <w:p w14:paraId="21566F2C"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2 250 782</w:t>
            </w:r>
          </w:p>
        </w:tc>
        <w:tc>
          <w:tcPr>
            <w:tcW w:w="477" w:type="pct"/>
            <w:tcBorders>
              <w:top w:val="nil"/>
              <w:left w:val="nil"/>
              <w:bottom w:val="nil"/>
              <w:right w:val="nil"/>
            </w:tcBorders>
            <w:shd w:val="clear" w:color="auto" w:fill="auto"/>
            <w:noWrap/>
            <w:vAlign w:val="center"/>
            <w:hideMark/>
          </w:tcPr>
          <w:p w14:paraId="0BF39DB7"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304 519</w:t>
            </w:r>
          </w:p>
        </w:tc>
      </w:tr>
      <w:tr w:rsidR="009A05C7" w:rsidRPr="002C4859" w14:paraId="3124C78A" w14:textId="77777777" w:rsidTr="003A3C32">
        <w:trPr>
          <w:trHeight w:val="182"/>
        </w:trPr>
        <w:tc>
          <w:tcPr>
            <w:tcW w:w="1508" w:type="pct"/>
            <w:tcBorders>
              <w:top w:val="nil"/>
              <w:left w:val="nil"/>
              <w:bottom w:val="nil"/>
              <w:right w:val="nil"/>
            </w:tcBorders>
            <w:shd w:val="clear" w:color="auto" w:fill="auto"/>
            <w:noWrap/>
            <w:vAlign w:val="center"/>
            <w:hideMark/>
          </w:tcPr>
          <w:p w14:paraId="4D62F29D" w14:textId="77777777" w:rsidR="009A05C7" w:rsidRPr="002C4859" w:rsidRDefault="009A05C7" w:rsidP="000240DA">
            <w:pPr>
              <w:spacing w:after="0" w:line="240" w:lineRule="auto"/>
              <w:jc w:val="left"/>
              <w:rPr>
                <w:rFonts w:eastAsia="Times New Roman" w:cs="Times New Roman"/>
                <w:color w:val="000000"/>
                <w:sz w:val="18"/>
                <w:szCs w:val="18"/>
                <w:lang w:eastAsia="sk-SK"/>
              </w:rPr>
            </w:pPr>
            <w:r w:rsidRPr="002C4859">
              <w:rPr>
                <w:rFonts w:eastAsia="Times New Roman" w:cs="Times New Roman"/>
                <w:color w:val="000000"/>
                <w:sz w:val="18"/>
                <w:szCs w:val="18"/>
                <w:lang w:eastAsia="sk-SK"/>
              </w:rPr>
              <w:t>Dôchodky z majetku</w:t>
            </w:r>
          </w:p>
        </w:tc>
        <w:tc>
          <w:tcPr>
            <w:tcW w:w="606" w:type="pct"/>
            <w:tcBorders>
              <w:top w:val="nil"/>
              <w:left w:val="nil"/>
              <w:bottom w:val="nil"/>
              <w:right w:val="nil"/>
            </w:tcBorders>
            <w:shd w:val="clear" w:color="auto" w:fill="auto"/>
            <w:noWrap/>
            <w:vAlign w:val="center"/>
            <w:hideMark/>
          </w:tcPr>
          <w:p w14:paraId="680261E0" w14:textId="77777777" w:rsidR="009A05C7" w:rsidRPr="002C4859" w:rsidRDefault="009A05C7" w:rsidP="000240DA">
            <w:pPr>
              <w:spacing w:after="0" w:line="240" w:lineRule="auto"/>
              <w:jc w:val="center"/>
              <w:rPr>
                <w:rFonts w:eastAsia="Times New Roman" w:cs="Times New Roman"/>
                <w:color w:val="000000"/>
                <w:sz w:val="18"/>
                <w:szCs w:val="18"/>
                <w:lang w:eastAsia="sk-SK"/>
              </w:rPr>
            </w:pPr>
            <w:r w:rsidRPr="002C4859">
              <w:rPr>
                <w:rFonts w:eastAsia="Times New Roman" w:cs="Times New Roman"/>
                <w:color w:val="000000"/>
                <w:sz w:val="18"/>
                <w:szCs w:val="18"/>
                <w:lang w:eastAsia="sk-SK"/>
              </w:rPr>
              <w:t>D.4P</w:t>
            </w:r>
          </w:p>
        </w:tc>
        <w:tc>
          <w:tcPr>
            <w:tcW w:w="602" w:type="pct"/>
            <w:tcBorders>
              <w:top w:val="nil"/>
              <w:left w:val="nil"/>
              <w:bottom w:val="nil"/>
              <w:right w:val="nil"/>
            </w:tcBorders>
            <w:shd w:val="clear" w:color="auto" w:fill="auto"/>
            <w:noWrap/>
            <w:vAlign w:val="center"/>
            <w:hideMark/>
          </w:tcPr>
          <w:p w14:paraId="3E71BD58"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1 138 939</w:t>
            </w:r>
          </w:p>
        </w:tc>
        <w:tc>
          <w:tcPr>
            <w:tcW w:w="602" w:type="pct"/>
            <w:tcBorders>
              <w:top w:val="nil"/>
              <w:left w:val="nil"/>
              <w:bottom w:val="nil"/>
              <w:right w:val="nil"/>
            </w:tcBorders>
            <w:shd w:val="clear" w:color="auto" w:fill="auto"/>
            <w:noWrap/>
            <w:vAlign w:val="center"/>
            <w:hideMark/>
          </w:tcPr>
          <w:p w14:paraId="2C79B32F"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1 428 013</w:t>
            </w:r>
          </w:p>
        </w:tc>
        <w:tc>
          <w:tcPr>
            <w:tcW w:w="602" w:type="pct"/>
            <w:tcBorders>
              <w:top w:val="nil"/>
              <w:left w:val="nil"/>
              <w:bottom w:val="nil"/>
              <w:right w:val="nil"/>
            </w:tcBorders>
            <w:shd w:val="clear" w:color="auto" w:fill="auto"/>
            <w:noWrap/>
            <w:vAlign w:val="center"/>
            <w:hideMark/>
          </w:tcPr>
          <w:p w14:paraId="53DBE039"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1 829 596</w:t>
            </w:r>
          </w:p>
        </w:tc>
        <w:tc>
          <w:tcPr>
            <w:tcW w:w="603" w:type="pct"/>
            <w:tcBorders>
              <w:top w:val="nil"/>
              <w:left w:val="nil"/>
              <w:bottom w:val="nil"/>
              <w:right w:val="nil"/>
            </w:tcBorders>
            <w:shd w:val="clear" w:color="auto" w:fill="auto"/>
            <w:noWrap/>
            <w:vAlign w:val="center"/>
            <w:hideMark/>
          </w:tcPr>
          <w:p w14:paraId="3535D5DB"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1 848 880</w:t>
            </w:r>
          </w:p>
        </w:tc>
        <w:tc>
          <w:tcPr>
            <w:tcW w:w="477" w:type="pct"/>
            <w:tcBorders>
              <w:top w:val="nil"/>
              <w:left w:val="nil"/>
              <w:bottom w:val="nil"/>
              <w:right w:val="nil"/>
            </w:tcBorders>
            <w:shd w:val="clear" w:color="auto" w:fill="auto"/>
            <w:noWrap/>
            <w:vAlign w:val="center"/>
            <w:hideMark/>
          </w:tcPr>
          <w:p w14:paraId="6D5A02A8"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19 284</w:t>
            </w:r>
          </w:p>
        </w:tc>
      </w:tr>
      <w:tr w:rsidR="009A05C7" w:rsidRPr="002C4859" w14:paraId="7083A27D" w14:textId="77777777" w:rsidTr="003A3C32">
        <w:trPr>
          <w:trHeight w:val="269"/>
        </w:trPr>
        <w:tc>
          <w:tcPr>
            <w:tcW w:w="1508" w:type="pct"/>
            <w:tcBorders>
              <w:top w:val="nil"/>
              <w:left w:val="nil"/>
              <w:bottom w:val="nil"/>
              <w:right w:val="nil"/>
            </w:tcBorders>
            <w:shd w:val="clear" w:color="auto" w:fill="auto"/>
            <w:noWrap/>
            <w:vAlign w:val="center"/>
            <w:hideMark/>
          </w:tcPr>
          <w:p w14:paraId="6B07D12C" w14:textId="77777777" w:rsidR="009A05C7" w:rsidRPr="002C4859" w:rsidRDefault="009A05C7" w:rsidP="000240DA">
            <w:pPr>
              <w:spacing w:after="0" w:line="240" w:lineRule="auto"/>
              <w:jc w:val="left"/>
              <w:rPr>
                <w:rFonts w:eastAsia="Times New Roman" w:cs="Times New Roman"/>
                <w:color w:val="000000"/>
                <w:sz w:val="18"/>
                <w:szCs w:val="18"/>
                <w:lang w:eastAsia="sk-SK"/>
              </w:rPr>
            </w:pPr>
            <w:r w:rsidRPr="002C4859">
              <w:rPr>
                <w:rFonts w:eastAsia="Times New Roman" w:cs="Times New Roman"/>
                <w:color w:val="000000"/>
                <w:sz w:val="18"/>
                <w:szCs w:val="18"/>
                <w:lang w:eastAsia="sk-SK"/>
              </w:rPr>
              <w:t>Celkové sociálne transfery</w:t>
            </w:r>
          </w:p>
        </w:tc>
        <w:tc>
          <w:tcPr>
            <w:tcW w:w="606" w:type="pct"/>
            <w:tcBorders>
              <w:top w:val="nil"/>
              <w:left w:val="nil"/>
              <w:bottom w:val="nil"/>
              <w:right w:val="nil"/>
            </w:tcBorders>
            <w:shd w:val="clear" w:color="auto" w:fill="auto"/>
            <w:noWrap/>
            <w:vAlign w:val="center"/>
            <w:hideMark/>
          </w:tcPr>
          <w:p w14:paraId="25F06F3C" w14:textId="77777777" w:rsidR="009A05C7" w:rsidRPr="002C4859" w:rsidRDefault="009A05C7" w:rsidP="000240DA">
            <w:pPr>
              <w:spacing w:after="0" w:line="240" w:lineRule="auto"/>
              <w:jc w:val="center"/>
              <w:rPr>
                <w:rFonts w:eastAsia="Times New Roman" w:cs="Times New Roman"/>
                <w:color w:val="000000"/>
                <w:sz w:val="18"/>
                <w:szCs w:val="18"/>
                <w:lang w:eastAsia="sk-SK"/>
              </w:rPr>
            </w:pPr>
            <w:r w:rsidRPr="002C4859">
              <w:rPr>
                <w:rFonts w:eastAsia="Times New Roman" w:cs="Times New Roman"/>
                <w:color w:val="000000"/>
                <w:sz w:val="18"/>
                <w:szCs w:val="18"/>
                <w:lang w:eastAsia="sk-SK"/>
              </w:rPr>
              <w:t>D.6P</w:t>
            </w:r>
          </w:p>
        </w:tc>
        <w:tc>
          <w:tcPr>
            <w:tcW w:w="602" w:type="pct"/>
            <w:tcBorders>
              <w:top w:val="nil"/>
              <w:left w:val="nil"/>
              <w:bottom w:val="nil"/>
              <w:right w:val="nil"/>
            </w:tcBorders>
            <w:shd w:val="clear" w:color="auto" w:fill="auto"/>
            <w:noWrap/>
            <w:vAlign w:val="center"/>
            <w:hideMark/>
          </w:tcPr>
          <w:p w14:paraId="13E81A28"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19 737 437</w:t>
            </w:r>
          </w:p>
        </w:tc>
        <w:tc>
          <w:tcPr>
            <w:tcW w:w="602" w:type="pct"/>
            <w:tcBorders>
              <w:top w:val="nil"/>
              <w:left w:val="nil"/>
              <w:bottom w:val="nil"/>
              <w:right w:val="nil"/>
            </w:tcBorders>
            <w:shd w:val="clear" w:color="auto" w:fill="auto"/>
            <w:noWrap/>
            <w:vAlign w:val="center"/>
            <w:hideMark/>
          </w:tcPr>
          <w:p w14:paraId="4A401D57"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24 445 552</w:t>
            </w:r>
          </w:p>
        </w:tc>
        <w:tc>
          <w:tcPr>
            <w:tcW w:w="602" w:type="pct"/>
            <w:tcBorders>
              <w:top w:val="nil"/>
              <w:left w:val="nil"/>
              <w:bottom w:val="nil"/>
              <w:right w:val="nil"/>
            </w:tcBorders>
            <w:shd w:val="clear" w:color="auto" w:fill="auto"/>
            <w:noWrap/>
            <w:vAlign w:val="center"/>
            <w:hideMark/>
          </w:tcPr>
          <w:p w14:paraId="18B25DE9"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26 763 482</w:t>
            </w:r>
          </w:p>
        </w:tc>
        <w:tc>
          <w:tcPr>
            <w:tcW w:w="603" w:type="pct"/>
            <w:tcBorders>
              <w:top w:val="nil"/>
              <w:left w:val="nil"/>
              <w:bottom w:val="nil"/>
              <w:right w:val="nil"/>
            </w:tcBorders>
            <w:shd w:val="clear" w:color="auto" w:fill="auto"/>
            <w:noWrap/>
            <w:vAlign w:val="center"/>
            <w:hideMark/>
          </w:tcPr>
          <w:p w14:paraId="0DC97C2E"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27 259 685</w:t>
            </w:r>
          </w:p>
        </w:tc>
        <w:tc>
          <w:tcPr>
            <w:tcW w:w="477" w:type="pct"/>
            <w:tcBorders>
              <w:top w:val="nil"/>
              <w:left w:val="nil"/>
              <w:bottom w:val="nil"/>
              <w:right w:val="nil"/>
            </w:tcBorders>
            <w:shd w:val="clear" w:color="auto" w:fill="auto"/>
            <w:noWrap/>
            <w:vAlign w:val="center"/>
            <w:hideMark/>
          </w:tcPr>
          <w:p w14:paraId="05AD9D99" w14:textId="77777777" w:rsidR="009A05C7" w:rsidRPr="002C4859" w:rsidRDefault="009A05C7" w:rsidP="000240DA">
            <w:pPr>
              <w:spacing w:after="0" w:line="240" w:lineRule="auto"/>
              <w:jc w:val="right"/>
              <w:rPr>
                <w:rFonts w:eastAsia="Times New Roman" w:cs="Times New Roman"/>
                <w:color w:val="000000"/>
                <w:sz w:val="18"/>
                <w:szCs w:val="18"/>
                <w:lang w:eastAsia="sk-SK"/>
              </w:rPr>
            </w:pPr>
            <w:r w:rsidRPr="002C4859">
              <w:rPr>
                <w:rFonts w:eastAsia="Times New Roman" w:cs="Times New Roman"/>
                <w:color w:val="000000"/>
                <w:sz w:val="18"/>
                <w:szCs w:val="18"/>
                <w:lang w:eastAsia="sk-SK"/>
              </w:rPr>
              <w:t>496 203</w:t>
            </w:r>
          </w:p>
        </w:tc>
      </w:tr>
      <w:tr w:rsidR="009A05C7" w:rsidRPr="002C4859" w14:paraId="2B8B6E7B" w14:textId="77777777" w:rsidTr="003A3C32">
        <w:trPr>
          <w:trHeight w:val="269"/>
        </w:trPr>
        <w:tc>
          <w:tcPr>
            <w:tcW w:w="1508" w:type="pct"/>
            <w:tcBorders>
              <w:top w:val="nil"/>
              <w:left w:val="nil"/>
              <w:bottom w:val="nil"/>
              <w:right w:val="nil"/>
            </w:tcBorders>
            <w:shd w:val="clear" w:color="auto" w:fill="auto"/>
            <w:noWrap/>
            <w:vAlign w:val="center"/>
            <w:hideMark/>
          </w:tcPr>
          <w:p w14:paraId="04FD8030" w14:textId="77777777" w:rsidR="009A05C7" w:rsidRDefault="009A05C7" w:rsidP="000240DA">
            <w:pPr>
              <w:spacing w:after="0" w:line="240" w:lineRule="auto"/>
              <w:jc w:val="left"/>
              <w:rPr>
                <w:rFonts w:eastAsia="Times New Roman" w:cs="Times New Roman"/>
                <w:color w:val="000000"/>
                <w:sz w:val="18"/>
                <w:szCs w:val="18"/>
                <w:lang w:eastAsia="sk-SK"/>
              </w:rPr>
            </w:pPr>
            <w:r w:rsidRPr="002C4859">
              <w:rPr>
                <w:rFonts w:eastAsia="Times New Roman" w:cs="Times New Roman"/>
                <w:color w:val="000000"/>
                <w:sz w:val="18"/>
                <w:szCs w:val="18"/>
                <w:lang w:eastAsia="sk-SK"/>
              </w:rPr>
              <w:t xml:space="preserve"> - Sociálne dávky okrem </w:t>
            </w:r>
            <w:r>
              <w:rPr>
                <w:rFonts w:eastAsia="Times New Roman" w:cs="Times New Roman"/>
                <w:color w:val="000000"/>
                <w:sz w:val="18"/>
                <w:szCs w:val="18"/>
                <w:lang w:eastAsia="sk-SK"/>
              </w:rPr>
              <w:t xml:space="preserve">   </w:t>
            </w:r>
          </w:p>
          <w:p w14:paraId="0C2B5EC6" w14:textId="77777777" w:rsidR="009A05C7" w:rsidRPr="002C4859" w:rsidRDefault="009A05C7" w:rsidP="000240DA">
            <w:pPr>
              <w:spacing w:after="0" w:line="240" w:lineRule="auto"/>
              <w:jc w:val="left"/>
              <w:rPr>
                <w:rFonts w:eastAsia="Times New Roman" w:cs="Times New Roman"/>
                <w:color w:val="000000"/>
                <w:sz w:val="18"/>
                <w:szCs w:val="18"/>
                <w:lang w:eastAsia="sk-SK"/>
              </w:rPr>
            </w:pPr>
            <w:r>
              <w:rPr>
                <w:rFonts w:eastAsia="Times New Roman" w:cs="Times New Roman"/>
                <w:color w:val="000000"/>
                <w:sz w:val="18"/>
                <w:szCs w:val="18"/>
                <w:lang w:eastAsia="sk-SK"/>
              </w:rPr>
              <w:t xml:space="preserve">   </w:t>
            </w:r>
            <w:r w:rsidRPr="002C4859">
              <w:rPr>
                <w:rFonts w:eastAsia="Times New Roman" w:cs="Times New Roman"/>
                <w:color w:val="000000"/>
                <w:sz w:val="18"/>
                <w:szCs w:val="18"/>
                <w:lang w:eastAsia="sk-SK"/>
              </w:rPr>
              <w:t>naturálnych soc. transf.</w:t>
            </w:r>
          </w:p>
        </w:tc>
        <w:tc>
          <w:tcPr>
            <w:tcW w:w="606" w:type="pct"/>
            <w:tcBorders>
              <w:top w:val="nil"/>
              <w:left w:val="nil"/>
              <w:bottom w:val="nil"/>
              <w:right w:val="nil"/>
            </w:tcBorders>
            <w:shd w:val="clear" w:color="auto" w:fill="auto"/>
            <w:noWrap/>
            <w:vAlign w:val="center"/>
            <w:hideMark/>
          </w:tcPr>
          <w:p w14:paraId="76DF8148" w14:textId="77777777" w:rsidR="009A05C7" w:rsidRPr="002C4859" w:rsidRDefault="009A05C7" w:rsidP="000240DA">
            <w:pPr>
              <w:spacing w:after="0" w:line="240" w:lineRule="auto"/>
              <w:jc w:val="center"/>
              <w:rPr>
                <w:rFonts w:eastAsia="Times New Roman" w:cs="Times New Roman"/>
                <w:color w:val="000000"/>
                <w:sz w:val="18"/>
                <w:szCs w:val="18"/>
                <w:lang w:eastAsia="sk-SK"/>
              </w:rPr>
            </w:pPr>
            <w:r w:rsidRPr="002C4859">
              <w:rPr>
                <w:rFonts w:eastAsia="Times New Roman" w:cs="Times New Roman"/>
                <w:color w:val="000000"/>
                <w:sz w:val="18"/>
                <w:szCs w:val="18"/>
                <w:lang w:eastAsia="sk-SK"/>
              </w:rPr>
              <w:t>D.62P</w:t>
            </w:r>
          </w:p>
        </w:tc>
        <w:tc>
          <w:tcPr>
            <w:tcW w:w="602" w:type="pct"/>
            <w:tcBorders>
              <w:top w:val="nil"/>
              <w:left w:val="nil"/>
              <w:bottom w:val="nil"/>
              <w:right w:val="nil"/>
            </w:tcBorders>
            <w:shd w:val="clear" w:color="auto" w:fill="auto"/>
            <w:noWrap/>
            <w:vAlign w:val="center"/>
            <w:hideMark/>
          </w:tcPr>
          <w:p w14:paraId="776F9F90"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15 921 930</w:t>
            </w:r>
          </w:p>
        </w:tc>
        <w:tc>
          <w:tcPr>
            <w:tcW w:w="602" w:type="pct"/>
            <w:tcBorders>
              <w:top w:val="nil"/>
              <w:left w:val="nil"/>
              <w:bottom w:val="nil"/>
              <w:right w:val="nil"/>
            </w:tcBorders>
            <w:shd w:val="clear" w:color="auto" w:fill="auto"/>
            <w:noWrap/>
            <w:vAlign w:val="center"/>
            <w:hideMark/>
          </w:tcPr>
          <w:p w14:paraId="1049539F"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20 154 987</w:t>
            </w:r>
          </w:p>
        </w:tc>
        <w:tc>
          <w:tcPr>
            <w:tcW w:w="602" w:type="pct"/>
            <w:tcBorders>
              <w:top w:val="nil"/>
              <w:left w:val="nil"/>
              <w:bottom w:val="nil"/>
              <w:right w:val="nil"/>
            </w:tcBorders>
            <w:shd w:val="clear" w:color="auto" w:fill="auto"/>
            <w:noWrap/>
            <w:vAlign w:val="center"/>
            <w:hideMark/>
          </w:tcPr>
          <w:p w14:paraId="6819BB6C"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21 826 293</w:t>
            </w:r>
          </w:p>
        </w:tc>
        <w:tc>
          <w:tcPr>
            <w:tcW w:w="603" w:type="pct"/>
            <w:tcBorders>
              <w:top w:val="nil"/>
              <w:left w:val="nil"/>
              <w:bottom w:val="nil"/>
              <w:right w:val="nil"/>
            </w:tcBorders>
            <w:shd w:val="clear" w:color="auto" w:fill="auto"/>
            <w:noWrap/>
            <w:vAlign w:val="center"/>
            <w:hideMark/>
          </w:tcPr>
          <w:p w14:paraId="3E381512"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22 372 562</w:t>
            </w:r>
          </w:p>
        </w:tc>
        <w:tc>
          <w:tcPr>
            <w:tcW w:w="477" w:type="pct"/>
            <w:tcBorders>
              <w:top w:val="nil"/>
              <w:left w:val="nil"/>
              <w:bottom w:val="nil"/>
              <w:right w:val="nil"/>
            </w:tcBorders>
            <w:shd w:val="clear" w:color="auto" w:fill="auto"/>
            <w:noWrap/>
            <w:vAlign w:val="center"/>
            <w:hideMark/>
          </w:tcPr>
          <w:p w14:paraId="088D3087"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546 269</w:t>
            </w:r>
          </w:p>
        </w:tc>
      </w:tr>
      <w:tr w:rsidR="009A05C7" w:rsidRPr="002C4859" w14:paraId="24F9A102" w14:textId="77777777" w:rsidTr="003A3C32">
        <w:trPr>
          <w:trHeight w:val="269"/>
        </w:trPr>
        <w:tc>
          <w:tcPr>
            <w:tcW w:w="1508" w:type="pct"/>
            <w:tcBorders>
              <w:top w:val="nil"/>
              <w:left w:val="nil"/>
              <w:bottom w:val="nil"/>
              <w:right w:val="nil"/>
            </w:tcBorders>
            <w:shd w:val="clear" w:color="auto" w:fill="auto"/>
            <w:noWrap/>
            <w:vAlign w:val="center"/>
            <w:hideMark/>
          </w:tcPr>
          <w:p w14:paraId="1F1A2A72" w14:textId="77777777" w:rsidR="009A05C7" w:rsidRPr="002C4859" w:rsidRDefault="009A05C7" w:rsidP="000240DA">
            <w:pPr>
              <w:spacing w:after="0" w:line="240" w:lineRule="auto"/>
              <w:jc w:val="left"/>
              <w:rPr>
                <w:rFonts w:eastAsia="Times New Roman" w:cs="Times New Roman"/>
                <w:color w:val="000000"/>
                <w:sz w:val="18"/>
                <w:szCs w:val="18"/>
                <w:lang w:eastAsia="sk-SK"/>
              </w:rPr>
            </w:pPr>
            <w:r w:rsidRPr="002C4859">
              <w:rPr>
                <w:rFonts w:eastAsia="Times New Roman" w:cs="Times New Roman"/>
                <w:color w:val="000000"/>
                <w:sz w:val="18"/>
                <w:szCs w:val="18"/>
                <w:lang w:eastAsia="sk-SK"/>
              </w:rPr>
              <w:t xml:space="preserve"> - Naturálne sociálne transfery</w:t>
            </w:r>
          </w:p>
        </w:tc>
        <w:tc>
          <w:tcPr>
            <w:tcW w:w="606" w:type="pct"/>
            <w:tcBorders>
              <w:top w:val="nil"/>
              <w:left w:val="nil"/>
              <w:bottom w:val="nil"/>
              <w:right w:val="nil"/>
            </w:tcBorders>
            <w:shd w:val="clear" w:color="auto" w:fill="auto"/>
            <w:noWrap/>
            <w:vAlign w:val="center"/>
            <w:hideMark/>
          </w:tcPr>
          <w:p w14:paraId="49DB0F03" w14:textId="77777777" w:rsidR="009A05C7" w:rsidRPr="002C4859" w:rsidRDefault="009A05C7" w:rsidP="000240DA">
            <w:pPr>
              <w:spacing w:after="0" w:line="240" w:lineRule="auto"/>
              <w:jc w:val="center"/>
              <w:rPr>
                <w:rFonts w:eastAsia="Times New Roman" w:cs="Times New Roman"/>
                <w:color w:val="000000"/>
                <w:sz w:val="18"/>
                <w:szCs w:val="18"/>
                <w:lang w:eastAsia="sk-SK"/>
              </w:rPr>
            </w:pPr>
            <w:r w:rsidRPr="002C4859">
              <w:rPr>
                <w:rFonts w:eastAsia="Times New Roman" w:cs="Times New Roman"/>
                <w:color w:val="000000"/>
                <w:sz w:val="18"/>
                <w:szCs w:val="18"/>
                <w:lang w:eastAsia="sk-SK"/>
              </w:rPr>
              <w:t>D.632P</w:t>
            </w:r>
          </w:p>
        </w:tc>
        <w:tc>
          <w:tcPr>
            <w:tcW w:w="602" w:type="pct"/>
            <w:tcBorders>
              <w:top w:val="nil"/>
              <w:left w:val="nil"/>
              <w:bottom w:val="nil"/>
              <w:right w:val="nil"/>
            </w:tcBorders>
            <w:shd w:val="clear" w:color="auto" w:fill="auto"/>
            <w:noWrap/>
            <w:vAlign w:val="center"/>
            <w:hideMark/>
          </w:tcPr>
          <w:p w14:paraId="73DBB762"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3 815 507</w:t>
            </w:r>
          </w:p>
        </w:tc>
        <w:tc>
          <w:tcPr>
            <w:tcW w:w="602" w:type="pct"/>
            <w:tcBorders>
              <w:top w:val="nil"/>
              <w:left w:val="nil"/>
              <w:bottom w:val="nil"/>
              <w:right w:val="nil"/>
            </w:tcBorders>
            <w:shd w:val="clear" w:color="auto" w:fill="auto"/>
            <w:noWrap/>
            <w:vAlign w:val="center"/>
            <w:hideMark/>
          </w:tcPr>
          <w:p w14:paraId="4F172DE0"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4 290 565</w:t>
            </w:r>
          </w:p>
        </w:tc>
        <w:tc>
          <w:tcPr>
            <w:tcW w:w="602" w:type="pct"/>
            <w:tcBorders>
              <w:top w:val="nil"/>
              <w:left w:val="nil"/>
              <w:bottom w:val="nil"/>
              <w:right w:val="nil"/>
            </w:tcBorders>
            <w:shd w:val="clear" w:color="auto" w:fill="auto"/>
            <w:noWrap/>
            <w:vAlign w:val="center"/>
            <w:hideMark/>
          </w:tcPr>
          <w:p w14:paraId="4747CD35"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4 937 189</w:t>
            </w:r>
          </w:p>
        </w:tc>
        <w:tc>
          <w:tcPr>
            <w:tcW w:w="603" w:type="pct"/>
            <w:tcBorders>
              <w:top w:val="nil"/>
              <w:left w:val="nil"/>
              <w:bottom w:val="nil"/>
              <w:right w:val="nil"/>
            </w:tcBorders>
            <w:shd w:val="clear" w:color="auto" w:fill="auto"/>
            <w:noWrap/>
            <w:vAlign w:val="center"/>
            <w:hideMark/>
          </w:tcPr>
          <w:p w14:paraId="28983423"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4 887 123</w:t>
            </w:r>
          </w:p>
        </w:tc>
        <w:tc>
          <w:tcPr>
            <w:tcW w:w="477" w:type="pct"/>
            <w:tcBorders>
              <w:top w:val="nil"/>
              <w:left w:val="nil"/>
              <w:bottom w:val="nil"/>
              <w:right w:val="nil"/>
            </w:tcBorders>
            <w:shd w:val="clear" w:color="auto" w:fill="auto"/>
            <w:noWrap/>
            <w:vAlign w:val="center"/>
            <w:hideMark/>
          </w:tcPr>
          <w:p w14:paraId="7214D9EF"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-50 066</w:t>
            </w:r>
          </w:p>
        </w:tc>
      </w:tr>
      <w:tr w:rsidR="009A05C7" w:rsidRPr="002C4859" w14:paraId="72875C43" w14:textId="77777777" w:rsidTr="003A3C32">
        <w:trPr>
          <w:trHeight w:val="269"/>
        </w:trPr>
        <w:tc>
          <w:tcPr>
            <w:tcW w:w="1508" w:type="pct"/>
            <w:tcBorders>
              <w:top w:val="nil"/>
              <w:left w:val="nil"/>
              <w:bottom w:val="nil"/>
              <w:right w:val="nil"/>
            </w:tcBorders>
            <w:shd w:val="clear" w:color="auto" w:fill="auto"/>
            <w:noWrap/>
            <w:vAlign w:val="center"/>
            <w:hideMark/>
          </w:tcPr>
          <w:p w14:paraId="17A294E2" w14:textId="77777777" w:rsidR="009A05C7" w:rsidRPr="002C4859" w:rsidRDefault="009A05C7" w:rsidP="000240DA">
            <w:pPr>
              <w:spacing w:after="0" w:line="240" w:lineRule="auto"/>
              <w:jc w:val="left"/>
              <w:rPr>
                <w:rFonts w:eastAsia="Times New Roman" w:cs="Times New Roman"/>
                <w:color w:val="000000"/>
                <w:sz w:val="18"/>
                <w:szCs w:val="18"/>
                <w:lang w:eastAsia="sk-SK"/>
              </w:rPr>
            </w:pPr>
            <w:r w:rsidRPr="002C4859">
              <w:rPr>
                <w:rFonts w:eastAsia="Times New Roman" w:cs="Times New Roman"/>
                <w:color w:val="000000"/>
                <w:sz w:val="18"/>
                <w:szCs w:val="18"/>
                <w:lang w:eastAsia="sk-SK"/>
              </w:rPr>
              <w:t>Ostatné bežné transfery</w:t>
            </w:r>
          </w:p>
        </w:tc>
        <w:tc>
          <w:tcPr>
            <w:tcW w:w="606" w:type="pct"/>
            <w:tcBorders>
              <w:top w:val="nil"/>
              <w:left w:val="nil"/>
              <w:bottom w:val="nil"/>
              <w:right w:val="nil"/>
            </w:tcBorders>
            <w:shd w:val="clear" w:color="auto" w:fill="auto"/>
            <w:noWrap/>
            <w:vAlign w:val="center"/>
            <w:hideMark/>
          </w:tcPr>
          <w:p w14:paraId="53365CB2" w14:textId="77777777" w:rsidR="009A05C7" w:rsidRPr="002C4859" w:rsidRDefault="009A05C7" w:rsidP="000240DA">
            <w:pPr>
              <w:spacing w:after="0" w:line="240" w:lineRule="auto"/>
              <w:jc w:val="center"/>
              <w:rPr>
                <w:rFonts w:eastAsia="Times New Roman" w:cs="Times New Roman"/>
                <w:color w:val="000000"/>
                <w:sz w:val="18"/>
                <w:szCs w:val="18"/>
                <w:lang w:eastAsia="sk-SK"/>
              </w:rPr>
            </w:pPr>
            <w:r w:rsidRPr="002C4859">
              <w:rPr>
                <w:rFonts w:eastAsia="Times New Roman" w:cs="Times New Roman"/>
                <w:color w:val="000000"/>
                <w:sz w:val="18"/>
                <w:szCs w:val="18"/>
                <w:lang w:eastAsia="sk-SK"/>
              </w:rPr>
              <w:t>D.7P</w:t>
            </w:r>
          </w:p>
        </w:tc>
        <w:tc>
          <w:tcPr>
            <w:tcW w:w="602" w:type="pct"/>
            <w:tcBorders>
              <w:top w:val="nil"/>
              <w:left w:val="nil"/>
              <w:bottom w:val="nil"/>
              <w:right w:val="nil"/>
            </w:tcBorders>
            <w:shd w:val="clear" w:color="auto" w:fill="auto"/>
            <w:noWrap/>
            <w:vAlign w:val="center"/>
            <w:hideMark/>
          </w:tcPr>
          <w:p w14:paraId="678EF426"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2 340 358</w:t>
            </w:r>
          </w:p>
        </w:tc>
        <w:tc>
          <w:tcPr>
            <w:tcW w:w="602" w:type="pct"/>
            <w:tcBorders>
              <w:top w:val="nil"/>
              <w:left w:val="nil"/>
              <w:bottom w:val="nil"/>
              <w:right w:val="nil"/>
            </w:tcBorders>
            <w:shd w:val="clear" w:color="auto" w:fill="auto"/>
            <w:noWrap/>
            <w:vAlign w:val="center"/>
            <w:hideMark/>
          </w:tcPr>
          <w:p w14:paraId="72394DB0"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2 369 087</w:t>
            </w:r>
          </w:p>
        </w:tc>
        <w:tc>
          <w:tcPr>
            <w:tcW w:w="602" w:type="pct"/>
            <w:tcBorders>
              <w:top w:val="nil"/>
              <w:left w:val="nil"/>
              <w:bottom w:val="nil"/>
              <w:right w:val="nil"/>
            </w:tcBorders>
            <w:shd w:val="clear" w:color="auto" w:fill="auto"/>
            <w:noWrap/>
            <w:vAlign w:val="center"/>
            <w:hideMark/>
          </w:tcPr>
          <w:p w14:paraId="1B664AC2"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3 075 838</w:t>
            </w:r>
          </w:p>
        </w:tc>
        <w:tc>
          <w:tcPr>
            <w:tcW w:w="603" w:type="pct"/>
            <w:tcBorders>
              <w:top w:val="nil"/>
              <w:left w:val="nil"/>
              <w:bottom w:val="nil"/>
              <w:right w:val="nil"/>
            </w:tcBorders>
            <w:shd w:val="clear" w:color="auto" w:fill="auto"/>
            <w:noWrap/>
            <w:vAlign w:val="center"/>
            <w:hideMark/>
          </w:tcPr>
          <w:p w14:paraId="3E4EA4A8"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2 524 819</w:t>
            </w:r>
          </w:p>
        </w:tc>
        <w:tc>
          <w:tcPr>
            <w:tcW w:w="477" w:type="pct"/>
            <w:tcBorders>
              <w:top w:val="nil"/>
              <w:left w:val="nil"/>
              <w:bottom w:val="nil"/>
              <w:right w:val="nil"/>
            </w:tcBorders>
            <w:shd w:val="clear" w:color="auto" w:fill="auto"/>
            <w:noWrap/>
            <w:vAlign w:val="center"/>
            <w:hideMark/>
          </w:tcPr>
          <w:p w14:paraId="6A0F9300"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-551 019</w:t>
            </w:r>
          </w:p>
        </w:tc>
      </w:tr>
      <w:tr w:rsidR="009A05C7" w:rsidRPr="002C4859" w14:paraId="7FABCDD8" w14:textId="77777777" w:rsidTr="003A3C32">
        <w:trPr>
          <w:trHeight w:val="187"/>
        </w:trPr>
        <w:tc>
          <w:tcPr>
            <w:tcW w:w="1508" w:type="pct"/>
            <w:tcBorders>
              <w:top w:val="nil"/>
              <w:left w:val="nil"/>
              <w:bottom w:val="nil"/>
              <w:right w:val="nil"/>
            </w:tcBorders>
            <w:shd w:val="clear" w:color="auto" w:fill="auto"/>
            <w:noWrap/>
            <w:vAlign w:val="center"/>
            <w:hideMark/>
          </w:tcPr>
          <w:p w14:paraId="4DEB5A72" w14:textId="77777777" w:rsidR="009A05C7" w:rsidRPr="002C4859" w:rsidRDefault="009A05C7" w:rsidP="000240DA">
            <w:pPr>
              <w:spacing w:after="0" w:line="240" w:lineRule="auto"/>
              <w:jc w:val="lef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Kapitálové výdavky</w:t>
            </w:r>
          </w:p>
        </w:tc>
        <w:tc>
          <w:tcPr>
            <w:tcW w:w="606" w:type="pct"/>
            <w:tcBorders>
              <w:top w:val="nil"/>
              <w:left w:val="nil"/>
              <w:bottom w:val="nil"/>
              <w:right w:val="nil"/>
            </w:tcBorders>
            <w:shd w:val="clear" w:color="auto" w:fill="auto"/>
            <w:noWrap/>
            <w:vAlign w:val="center"/>
            <w:hideMark/>
          </w:tcPr>
          <w:p w14:paraId="58F994AA" w14:textId="77777777" w:rsidR="009A05C7" w:rsidRPr="002C4859" w:rsidRDefault="009A05C7" w:rsidP="000240DA">
            <w:pPr>
              <w:spacing w:after="0" w:line="240" w:lineRule="auto"/>
              <w:jc w:val="left"/>
              <w:rPr>
                <w:rFonts w:eastAsia="Times New Roman" w:cs="Times New Roman"/>
                <w:b/>
                <w:bCs/>
                <w:color w:val="000000"/>
                <w:sz w:val="18"/>
                <w:szCs w:val="18"/>
                <w:lang w:eastAsia="sk-SK"/>
              </w:rPr>
            </w:pPr>
          </w:p>
        </w:tc>
        <w:tc>
          <w:tcPr>
            <w:tcW w:w="602" w:type="pct"/>
            <w:tcBorders>
              <w:top w:val="nil"/>
              <w:left w:val="nil"/>
              <w:bottom w:val="nil"/>
              <w:right w:val="nil"/>
            </w:tcBorders>
            <w:shd w:val="clear" w:color="auto" w:fill="auto"/>
            <w:noWrap/>
            <w:vAlign w:val="center"/>
            <w:hideMark/>
          </w:tcPr>
          <w:p w14:paraId="79C92202" w14:textId="77777777" w:rsidR="009A05C7" w:rsidRPr="002C4859" w:rsidRDefault="009A05C7" w:rsidP="000240DA">
            <w:pPr>
              <w:spacing w:after="0" w:line="240" w:lineRule="auto"/>
              <w:jc w:val="right"/>
              <w:rPr>
                <w:rFonts w:eastAsia="Times New Roman" w:cs="Times New Roman"/>
                <w:b/>
                <w:bCs/>
                <w:sz w:val="18"/>
                <w:szCs w:val="18"/>
                <w:lang w:eastAsia="sk-SK"/>
              </w:rPr>
            </w:pPr>
            <w:r w:rsidRPr="002C4859">
              <w:rPr>
                <w:rFonts w:eastAsia="Times New Roman" w:cs="Times New Roman"/>
                <w:b/>
                <w:bCs/>
                <w:sz w:val="18"/>
                <w:szCs w:val="18"/>
                <w:lang w:eastAsia="sk-SK"/>
              </w:rPr>
              <w:t>4 290 715</w:t>
            </w:r>
          </w:p>
        </w:tc>
        <w:tc>
          <w:tcPr>
            <w:tcW w:w="602" w:type="pct"/>
            <w:tcBorders>
              <w:top w:val="nil"/>
              <w:left w:val="nil"/>
              <w:bottom w:val="nil"/>
              <w:right w:val="nil"/>
            </w:tcBorders>
            <w:shd w:val="clear" w:color="auto" w:fill="auto"/>
            <w:noWrap/>
            <w:vAlign w:val="center"/>
            <w:hideMark/>
          </w:tcPr>
          <w:p w14:paraId="342AA847" w14:textId="77777777" w:rsidR="009A05C7" w:rsidRPr="002C4859" w:rsidRDefault="009A05C7" w:rsidP="000240DA">
            <w:pPr>
              <w:spacing w:after="0" w:line="240" w:lineRule="auto"/>
              <w:jc w:val="right"/>
              <w:rPr>
                <w:rFonts w:eastAsia="Times New Roman" w:cs="Times New Roman"/>
                <w:b/>
                <w:bCs/>
                <w:sz w:val="18"/>
                <w:szCs w:val="18"/>
                <w:lang w:eastAsia="sk-SK"/>
              </w:rPr>
            </w:pPr>
            <w:r w:rsidRPr="002C4859">
              <w:rPr>
                <w:rFonts w:eastAsia="Times New Roman" w:cs="Times New Roman"/>
                <w:b/>
                <w:bCs/>
                <w:sz w:val="18"/>
                <w:szCs w:val="18"/>
                <w:lang w:eastAsia="sk-SK"/>
              </w:rPr>
              <w:t>6 669 870</w:t>
            </w:r>
          </w:p>
        </w:tc>
        <w:tc>
          <w:tcPr>
            <w:tcW w:w="602" w:type="pct"/>
            <w:tcBorders>
              <w:top w:val="nil"/>
              <w:left w:val="nil"/>
              <w:bottom w:val="nil"/>
              <w:right w:val="nil"/>
            </w:tcBorders>
            <w:shd w:val="clear" w:color="auto" w:fill="auto"/>
            <w:noWrap/>
            <w:vAlign w:val="center"/>
            <w:hideMark/>
          </w:tcPr>
          <w:p w14:paraId="638687E1" w14:textId="77777777" w:rsidR="009A05C7" w:rsidRPr="002C4859" w:rsidRDefault="009A05C7" w:rsidP="000240DA">
            <w:pPr>
              <w:spacing w:after="0" w:line="240" w:lineRule="auto"/>
              <w:jc w:val="right"/>
              <w:rPr>
                <w:rFonts w:eastAsia="Times New Roman" w:cs="Times New Roman"/>
                <w:b/>
                <w:bCs/>
                <w:sz w:val="18"/>
                <w:szCs w:val="18"/>
                <w:lang w:eastAsia="sk-SK"/>
              </w:rPr>
            </w:pPr>
            <w:r w:rsidRPr="002C4859">
              <w:rPr>
                <w:rFonts w:eastAsia="Times New Roman" w:cs="Times New Roman"/>
                <w:b/>
                <w:bCs/>
                <w:sz w:val="18"/>
                <w:szCs w:val="18"/>
                <w:lang w:eastAsia="sk-SK"/>
              </w:rPr>
              <w:t>5 406 228</w:t>
            </w:r>
          </w:p>
        </w:tc>
        <w:tc>
          <w:tcPr>
            <w:tcW w:w="603" w:type="pct"/>
            <w:tcBorders>
              <w:top w:val="nil"/>
              <w:left w:val="nil"/>
              <w:bottom w:val="nil"/>
              <w:right w:val="nil"/>
            </w:tcBorders>
            <w:shd w:val="clear" w:color="auto" w:fill="auto"/>
            <w:noWrap/>
            <w:vAlign w:val="center"/>
            <w:hideMark/>
          </w:tcPr>
          <w:p w14:paraId="3B17A5A5" w14:textId="77777777" w:rsidR="009A05C7" w:rsidRPr="002C4859" w:rsidRDefault="009A05C7" w:rsidP="000240DA">
            <w:pPr>
              <w:spacing w:after="0" w:line="240" w:lineRule="auto"/>
              <w:jc w:val="right"/>
              <w:rPr>
                <w:rFonts w:eastAsia="Times New Roman" w:cs="Times New Roman"/>
                <w:b/>
                <w:bCs/>
                <w:sz w:val="18"/>
                <w:szCs w:val="18"/>
                <w:lang w:eastAsia="sk-SK"/>
              </w:rPr>
            </w:pPr>
            <w:r w:rsidRPr="002C4859">
              <w:rPr>
                <w:rFonts w:eastAsia="Times New Roman" w:cs="Times New Roman"/>
                <w:b/>
                <w:bCs/>
                <w:sz w:val="18"/>
                <w:szCs w:val="18"/>
                <w:lang w:eastAsia="sk-SK"/>
              </w:rPr>
              <w:t>5 361 110</w:t>
            </w:r>
          </w:p>
        </w:tc>
        <w:tc>
          <w:tcPr>
            <w:tcW w:w="477" w:type="pct"/>
            <w:tcBorders>
              <w:top w:val="nil"/>
              <w:left w:val="nil"/>
              <w:bottom w:val="nil"/>
              <w:right w:val="nil"/>
            </w:tcBorders>
            <w:shd w:val="clear" w:color="auto" w:fill="auto"/>
            <w:noWrap/>
            <w:vAlign w:val="center"/>
            <w:hideMark/>
          </w:tcPr>
          <w:p w14:paraId="153A7BCB" w14:textId="77777777" w:rsidR="009A05C7" w:rsidRPr="002C4859" w:rsidRDefault="009A05C7" w:rsidP="000240DA">
            <w:pPr>
              <w:spacing w:after="0" w:line="240" w:lineRule="auto"/>
              <w:jc w:val="right"/>
              <w:rPr>
                <w:rFonts w:eastAsia="Times New Roman" w:cs="Times New Roman"/>
                <w:b/>
                <w:bCs/>
                <w:sz w:val="18"/>
                <w:szCs w:val="18"/>
                <w:lang w:eastAsia="sk-SK"/>
              </w:rPr>
            </w:pPr>
            <w:r w:rsidRPr="002C4859">
              <w:rPr>
                <w:rFonts w:eastAsia="Times New Roman" w:cs="Times New Roman"/>
                <w:b/>
                <w:bCs/>
                <w:sz w:val="18"/>
                <w:szCs w:val="18"/>
                <w:lang w:eastAsia="sk-SK"/>
              </w:rPr>
              <w:t>-45 118</w:t>
            </w:r>
          </w:p>
        </w:tc>
      </w:tr>
      <w:tr w:rsidR="009A05C7" w:rsidRPr="002C4859" w14:paraId="1193146C" w14:textId="77777777" w:rsidTr="003A3C32">
        <w:trPr>
          <w:trHeight w:val="269"/>
        </w:trPr>
        <w:tc>
          <w:tcPr>
            <w:tcW w:w="1508" w:type="pct"/>
            <w:tcBorders>
              <w:top w:val="nil"/>
              <w:left w:val="nil"/>
              <w:bottom w:val="nil"/>
              <w:right w:val="nil"/>
            </w:tcBorders>
            <w:shd w:val="clear" w:color="auto" w:fill="auto"/>
            <w:noWrap/>
            <w:vAlign w:val="center"/>
            <w:hideMark/>
          </w:tcPr>
          <w:p w14:paraId="7D04D306" w14:textId="77777777" w:rsidR="009A05C7" w:rsidRPr="002C4859" w:rsidRDefault="009A05C7" w:rsidP="000240DA">
            <w:pPr>
              <w:spacing w:after="0" w:line="240" w:lineRule="auto"/>
              <w:jc w:val="left"/>
              <w:rPr>
                <w:rFonts w:eastAsia="Times New Roman" w:cs="Times New Roman"/>
                <w:color w:val="000000"/>
                <w:sz w:val="18"/>
                <w:szCs w:val="18"/>
                <w:lang w:eastAsia="sk-SK"/>
              </w:rPr>
            </w:pPr>
            <w:r w:rsidRPr="002C4859">
              <w:rPr>
                <w:rFonts w:eastAsia="Times New Roman" w:cs="Times New Roman"/>
                <w:color w:val="000000"/>
                <w:sz w:val="18"/>
                <w:szCs w:val="18"/>
                <w:lang w:eastAsia="sk-SK"/>
              </w:rPr>
              <w:t>Kapitálové investície</w:t>
            </w:r>
          </w:p>
        </w:tc>
        <w:tc>
          <w:tcPr>
            <w:tcW w:w="606" w:type="pct"/>
            <w:tcBorders>
              <w:top w:val="nil"/>
              <w:left w:val="nil"/>
              <w:bottom w:val="nil"/>
              <w:right w:val="nil"/>
            </w:tcBorders>
            <w:shd w:val="clear" w:color="auto" w:fill="auto"/>
            <w:noWrap/>
            <w:vAlign w:val="center"/>
            <w:hideMark/>
          </w:tcPr>
          <w:p w14:paraId="3D207B40" w14:textId="77777777" w:rsidR="009A05C7" w:rsidRPr="002C4859" w:rsidRDefault="009A05C7" w:rsidP="000240DA">
            <w:pPr>
              <w:spacing w:after="0" w:line="240" w:lineRule="auto"/>
              <w:jc w:val="center"/>
              <w:rPr>
                <w:rFonts w:eastAsia="Times New Roman" w:cs="Times New Roman"/>
                <w:color w:val="000000"/>
                <w:sz w:val="18"/>
                <w:szCs w:val="18"/>
                <w:lang w:eastAsia="sk-SK"/>
              </w:rPr>
            </w:pPr>
            <w:r w:rsidRPr="002C4859">
              <w:rPr>
                <w:rFonts w:eastAsia="Times New Roman" w:cs="Times New Roman"/>
                <w:color w:val="000000"/>
                <w:sz w:val="18"/>
                <w:szCs w:val="18"/>
                <w:lang w:eastAsia="sk-SK"/>
              </w:rPr>
              <w:t>P.5L</w:t>
            </w:r>
          </w:p>
        </w:tc>
        <w:tc>
          <w:tcPr>
            <w:tcW w:w="602" w:type="pct"/>
            <w:tcBorders>
              <w:top w:val="nil"/>
              <w:left w:val="nil"/>
              <w:bottom w:val="nil"/>
              <w:right w:val="nil"/>
            </w:tcBorders>
            <w:shd w:val="clear" w:color="auto" w:fill="auto"/>
            <w:noWrap/>
            <w:vAlign w:val="center"/>
            <w:hideMark/>
          </w:tcPr>
          <w:p w14:paraId="222519A6"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3 440 542</w:t>
            </w:r>
          </w:p>
        </w:tc>
        <w:tc>
          <w:tcPr>
            <w:tcW w:w="602" w:type="pct"/>
            <w:tcBorders>
              <w:top w:val="nil"/>
              <w:left w:val="nil"/>
              <w:bottom w:val="nil"/>
              <w:right w:val="nil"/>
            </w:tcBorders>
            <w:shd w:val="clear" w:color="auto" w:fill="auto"/>
            <w:noWrap/>
            <w:vAlign w:val="center"/>
            <w:hideMark/>
          </w:tcPr>
          <w:p w14:paraId="0455AF27"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4 585 071</w:t>
            </w:r>
          </w:p>
        </w:tc>
        <w:tc>
          <w:tcPr>
            <w:tcW w:w="602" w:type="pct"/>
            <w:tcBorders>
              <w:top w:val="nil"/>
              <w:left w:val="nil"/>
              <w:bottom w:val="nil"/>
              <w:right w:val="nil"/>
            </w:tcBorders>
            <w:shd w:val="clear" w:color="auto" w:fill="auto"/>
            <w:noWrap/>
            <w:vAlign w:val="center"/>
            <w:hideMark/>
          </w:tcPr>
          <w:p w14:paraId="662D2755"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4 547 382</w:t>
            </w:r>
          </w:p>
        </w:tc>
        <w:tc>
          <w:tcPr>
            <w:tcW w:w="603" w:type="pct"/>
            <w:tcBorders>
              <w:top w:val="nil"/>
              <w:left w:val="nil"/>
              <w:bottom w:val="nil"/>
              <w:right w:val="nil"/>
            </w:tcBorders>
            <w:shd w:val="clear" w:color="auto" w:fill="auto"/>
            <w:noWrap/>
            <w:vAlign w:val="center"/>
            <w:hideMark/>
          </w:tcPr>
          <w:p w14:paraId="6D4AE29C"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4 749 907</w:t>
            </w:r>
          </w:p>
        </w:tc>
        <w:tc>
          <w:tcPr>
            <w:tcW w:w="477" w:type="pct"/>
            <w:tcBorders>
              <w:top w:val="nil"/>
              <w:left w:val="nil"/>
              <w:bottom w:val="nil"/>
              <w:right w:val="nil"/>
            </w:tcBorders>
            <w:shd w:val="clear" w:color="auto" w:fill="auto"/>
            <w:noWrap/>
            <w:vAlign w:val="center"/>
            <w:hideMark/>
          </w:tcPr>
          <w:p w14:paraId="6CE468BD"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202 525</w:t>
            </w:r>
          </w:p>
        </w:tc>
      </w:tr>
      <w:tr w:rsidR="009A05C7" w:rsidRPr="002C4859" w14:paraId="44C7A605" w14:textId="77777777" w:rsidTr="003A3C32">
        <w:trPr>
          <w:trHeight w:val="269"/>
        </w:trPr>
        <w:tc>
          <w:tcPr>
            <w:tcW w:w="1508" w:type="pct"/>
            <w:tcBorders>
              <w:top w:val="nil"/>
              <w:left w:val="nil"/>
              <w:bottom w:val="nil"/>
              <w:right w:val="nil"/>
            </w:tcBorders>
            <w:shd w:val="clear" w:color="auto" w:fill="auto"/>
            <w:noWrap/>
            <w:vAlign w:val="center"/>
            <w:hideMark/>
          </w:tcPr>
          <w:p w14:paraId="52832D27" w14:textId="77777777" w:rsidR="009A05C7" w:rsidRPr="002C4859" w:rsidRDefault="009A05C7" w:rsidP="000240DA">
            <w:pPr>
              <w:spacing w:after="0" w:line="240" w:lineRule="auto"/>
              <w:jc w:val="left"/>
              <w:rPr>
                <w:rFonts w:eastAsia="Times New Roman" w:cs="Times New Roman"/>
                <w:color w:val="000000"/>
                <w:sz w:val="18"/>
                <w:szCs w:val="18"/>
                <w:lang w:eastAsia="sk-SK"/>
              </w:rPr>
            </w:pPr>
            <w:r w:rsidRPr="002C4859">
              <w:rPr>
                <w:rFonts w:eastAsia="Times New Roman" w:cs="Times New Roman"/>
                <w:color w:val="000000"/>
                <w:sz w:val="18"/>
                <w:szCs w:val="18"/>
                <w:lang w:eastAsia="sk-SK"/>
              </w:rPr>
              <w:t xml:space="preserve"> - Tvorba hrubého fixného kapitálu</w:t>
            </w:r>
          </w:p>
        </w:tc>
        <w:tc>
          <w:tcPr>
            <w:tcW w:w="606" w:type="pct"/>
            <w:tcBorders>
              <w:top w:val="nil"/>
              <w:left w:val="nil"/>
              <w:bottom w:val="nil"/>
              <w:right w:val="nil"/>
            </w:tcBorders>
            <w:shd w:val="clear" w:color="auto" w:fill="auto"/>
            <w:noWrap/>
            <w:vAlign w:val="center"/>
            <w:hideMark/>
          </w:tcPr>
          <w:p w14:paraId="0D681AAC" w14:textId="77777777" w:rsidR="009A05C7" w:rsidRPr="002C4859" w:rsidRDefault="009A05C7" w:rsidP="000240DA">
            <w:pPr>
              <w:spacing w:after="0" w:line="240" w:lineRule="auto"/>
              <w:jc w:val="center"/>
              <w:rPr>
                <w:rFonts w:eastAsia="Times New Roman" w:cs="Times New Roman"/>
                <w:color w:val="000000"/>
                <w:sz w:val="18"/>
                <w:szCs w:val="18"/>
                <w:lang w:eastAsia="sk-SK"/>
              </w:rPr>
            </w:pPr>
            <w:r w:rsidRPr="002C4859">
              <w:rPr>
                <w:rFonts w:eastAsia="Times New Roman" w:cs="Times New Roman"/>
                <w:color w:val="000000"/>
                <w:sz w:val="18"/>
                <w:szCs w:val="18"/>
                <w:lang w:eastAsia="sk-SK"/>
              </w:rPr>
              <w:t>P.51G</w:t>
            </w:r>
          </w:p>
        </w:tc>
        <w:tc>
          <w:tcPr>
            <w:tcW w:w="602" w:type="pct"/>
            <w:tcBorders>
              <w:top w:val="nil"/>
              <w:left w:val="nil"/>
              <w:bottom w:val="nil"/>
              <w:right w:val="nil"/>
            </w:tcBorders>
            <w:shd w:val="clear" w:color="auto" w:fill="auto"/>
            <w:noWrap/>
            <w:vAlign w:val="center"/>
            <w:hideMark/>
          </w:tcPr>
          <w:p w14:paraId="6DD3E25E"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3 374 658</w:t>
            </w:r>
          </w:p>
        </w:tc>
        <w:tc>
          <w:tcPr>
            <w:tcW w:w="602" w:type="pct"/>
            <w:tcBorders>
              <w:top w:val="nil"/>
              <w:left w:val="nil"/>
              <w:bottom w:val="nil"/>
              <w:right w:val="nil"/>
            </w:tcBorders>
            <w:shd w:val="clear" w:color="auto" w:fill="auto"/>
            <w:noWrap/>
            <w:vAlign w:val="center"/>
            <w:hideMark/>
          </w:tcPr>
          <w:p w14:paraId="74A01E97"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4 384 679</w:t>
            </w:r>
          </w:p>
        </w:tc>
        <w:tc>
          <w:tcPr>
            <w:tcW w:w="602" w:type="pct"/>
            <w:tcBorders>
              <w:top w:val="nil"/>
              <w:left w:val="nil"/>
              <w:bottom w:val="nil"/>
              <w:right w:val="nil"/>
            </w:tcBorders>
            <w:shd w:val="clear" w:color="auto" w:fill="auto"/>
            <w:noWrap/>
            <w:vAlign w:val="center"/>
            <w:hideMark/>
          </w:tcPr>
          <w:p w14:paraId="3DC27D2B"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4 404 507</w:t>
            </w:r>
          </w:p>
        </w:tc>
        <w:tc>
          <w:tcPr>
            <w:tcW w:w="603" w:type="pct"/>
            <w:tcBorders>
              <w:top w:val="nil"/>
              <w:left w:val="nil"/>
              <w:bottom w:val="nil"/>
              <w:right w:val="nil"/>
            </w:tcBorders>
            <w:shd w:val="clear" w:color="auto" w:fill="auto"/>
            <w:noWrap/>
            <w:vAlign w:val="center"/>
            <w:hideMark/>
          </w:tcPr>
          <w:p w14:paraId="6948AD44"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4 681 112</w:t>
            </w:r>
          </w:p>
        </w:tc>
        <w:tc>
          <w:tcPr>
            <w:tcW w:w="477" w:type="pct"/>
            <w:tcBorders>
              <w:top w:val="nil"/>
              <w:left w:val="nil"/>
              <w:bottom w:val="nil"/>
              <w:right w:val="nil"/>
            </w:tcBorders>
            <w:shd w:val="clear" w:color="auto" w:fill="auto"/>
            <w:noWrap/>
            <w:vAlign w:val="center"/>
            <w:hideMark/>
          </w:tcPr>
          <w:p w14:paraId="242BF0F5"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276 605</w:t>
            </w:r>
          </w:p>
        </w:tc>
      </w:tr>
      <w:tr w:rsidR="009A05C7" w:rsidRPr="002C4859" w14:paraId="3C0FCBF3" w14:textId="77777777" w:rsidTr="003A3C32">
        <w:trPr>
          <w:trHeight w:val="269"/>
        </w:trPr>
        <w:tc>
          <w:tcPr>
            <w:tcW w:w="1508" w:type="pct"/>
            <w:tcBorders>
              <w:top w:val="nil"/>
              <w:left w:val="nil"/>
              <w:bottom w:val="nil"/>
              <w:right w:val="nil"/>
            </w:tcBorders>
            <w:shd w:val="clear" w:color="auto" w:fill="auto"/>
            <w:noWrap/>
            <w:vAlign w:val="center"/>
            <w:hideMark/>
          </w:tcPr>
          <w:p w14:paraId="3A38DE71" w14:textId="77777777" w:rsidR="009A05C7" w:rsidRDefault="009A05C7" w:rsidP="000240DA">
            <w:pPr>
              <w:spacing w:after="0" w:line="240" w:lineRule="auto"/>
              <w:jc w:val="left"/>
              <w:rPr>
                <w:rFonts w:eastAsia="Times New Roman" w:cs="Times New Roman"/>
                <w:color w:val="000000"/>
                <w:sz w:val="18"/>
                <w:szCs w:val="18"/>
                <w:lang w:eastAsia="sk-SK"/>
              </w:rPr>
            </w:pPr>
            <w:r w:rsidRPr="002C4859">
              <w:rPr>
                <w:rFonts w:eastAsia="Times New Roman" w:cs="Times New Roman"/>
                <w:color w:val="000000"/>
                <w:sz w:val="18"/>
                <w:szCs w:val="18"/>
                <w:lang w:eastAsia="sk-SK"/>
              </w:rPr>
              <w:t xml:space="preserve"> - Zmena st. zásob</w:t>
            </w:r>
            <w:r>
              <w:rPr>
                <w:rFonts w:eastAsia="Times New Roman" w:cs="Times New Roman"/>
                <w:color w:val="000000"/>
                <w:sz w:val="18"/>
                <w:szCs w:val="18"/>
                <w:lang w:eastAsia="sk-SK"/>
              </w:rPr>
              <w:t xml:space="preserve"> </w:t>
            </w:r>
            <w:r w:rsidRPr="002C4859">
              <w:rPr>
                <w:rFonts w:eastAsia="Times New Roman" w:cs="Times New Roman"/>
                <w:color w:val="000000"/>
                <w:sz w:val="18"/>
                <w:szCs w:val="18"/>
                <w:lang w:eastAsia="sk-SK"/>
              </w:rPr>
              <w:t>+</w:t>
            </w:r>
            <w:r>
              <w:rPr>
                <w:rFonts w:eastAsia="Times New Roman" w:cs="Times New Roman"/>
                <w:color w:val="000000"/>
                <w:sz w:val="18"/>
                <w:szCs w:val="18"/>
                <w:lang w:eastAsia="sk-SK"/>
              </w:rPr>
              <w:t xml:space="preserve"> </w:t>
            </w:r>
            <w:r w:rsidRPr="002C4859">
              <w:rPr>
                <w:rFonts w:eastAsia="Times New Roman" w:cs="Times New Roman"/>
                <w:color w:val="000000"/>
                <w:sz w:val="18"/>
                <w:szCs w:val="18"/>
                <w:lang w:eastAsia="sk-SK"/>
              </w:rPr>
              <w:t xml:space="preserve">Nadobudnutie </w:t>
            </w:r>
            <w:r>
              <w:rPr>
                <w:rFonts w:eastAsia="Times New Roman" w:cs="Times New Roman"/>
                <w:color w:val="000000"/>
                <w:sz w:val="18"/>
                <w:szCs w:val="18"/>
                <w:lang w:eastAsia="sk-SK"/>
              </w:rPr>
              <w:t xml:space="preserve">       </w:t>
            </w:r>
          </w:p>
          <w:p w14:paraId="32BA599C" w14:textId="77777777" w:rsidR="009A05C7" w:rsidRPr="002C4859" w:rsidRDefault="009A05C7" w:rsidP="000240DA">
            <w:pPr>
              <w:spacing w:after="0" w:line="240" w:lineRule="auto"/>
              <w:jc w:val="left"/>
              <w:rPr>
                <w:rFonts w:eastAsia="Times New Roman" w:cs="Times New Roman"/>
                <w:color w:val="000000"/>
                <w:sz w:val="18"/>
                <w:szCs w:val="18"/>
                <w:lang w:eastAsia="sk-SK"/>
              </w:rPr>
            </w:pPr>
            <w:r>
              <w:rPr>
                <w:rFonts w:eastAsia="Times New Roman" w:cs="Times New Roman"/>
                <w:color w:val="000000"/>
                <w:sz w:val="18"/>
                <w:szCs w:val="18"/>
                <w:lang w:eastAsia="sk-SK"/>
              </w:rPr>
              <w:t xml:space="preserve">   </w:t>
            </w:r>
            <w:r w:rsidRPr="002C4859">
              <w:rPr>
                <w:rFonts w:eastAsia="Times New Roman" w:cs="Times New Roman"/>
                <w:color w:val="000000"/>
                <w:sz w:val="18"/>
                <w:szCs w:val="18"/>
                <w:lang w:eastAsia="sk-SK"/>
              </w:rPr>
              <w:t>Úbytok cenností</w:t>
            </w:r>
          </w:p>
        </w:tc>
        <w:tc>
          <w:tcPr>
            <w:tcW w:w="606" w:type="pct"/>
            <w:tcBorders>
              <w:top w:val="nil"/>
              <w:left w:val="nil"/>
              <w:bottom w:val="nil"/>
              <w:right w:val="nil"/>
            </w:tcBorders>
            <w:shd w:val="clear" w:color="auto" w:fill="auto"/>
            <w:noWrap/>
            <w:vAlign w:val="center"/>
            <w:hideMark/>
          </w:tcPr>
          <w:p w14:paraId="320C973B" w14:textId="77777777" w:rsidR="009A05C7" w:rsidRPr="002C4859" w:rsidRDefault="009A05C7" w:rsidP="000240DA">
            <w:pPr>
              <w:spacing w:after="0" w:line="240" w:lineRule="auto"/>
              <w:jc w:val="center"/>
              <w:rPr>
                <w:rFonts w:eastAsia="Times New Roman" w:cs="Times New Roman"/>
                <w:color w:val="000000"/>
                <w:sz w:val="18"/>
                <w:szCs w:val="18"/>
                <w:lang w:eastAsia="sk-SK"/>
              </w:rPr>
            </w:pPr>
            <w:r w:rsidRPr="002C4859">
              <w:rPr>
                <w:rFonts w:eastAsia="Times New Roman" w:cs="Times New Roman"/>
                <w:color w:val="000000"/>
                <w:sz w:val="18"/>
                <w:szCs w:val="18"/>
                <w:lang w:eastAsia="sk-SK"/>
              </w:rPr>
              <w:t>P.5M</w:t>
            </w:r>
          </w:p>
        </w:tc>
        <w:tc>
          <w:tcPr>
            <w:tcW w:w="602" w:type="pct"/>
            <w:tcBorders>
              <w:top w:val="nil"/>
              <w:left w:val="nil"/>
              <w:bottom w:val="nil"/>
              <w:right w:val="nil"/>
            </w:tcBorders>
            <w:shd w:val="clear" w:color="auto" w:fill="auto"/>
            <w:noWrap/>
            <w:vAlign w:val="center"/>
            <w:hideMark/>
          </w:tcPr>
          <w:p w14:paraId="281278F1"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38 840</w:t>
            </w:r>
          </w:p>
        </w:tc>
        <w:tc>
          <w:tcPr>
            <w:tcW w:w="602" w:type="pct"/>
            <w:tcBorders>
              <w:top w:val="nil"/>
              <w:left w:val="nil"/>
              <w:bottom w:val="nil"/>
              <w:right w:val="nil"/>
            </w:tcBorders>
            <w:shd w:val="clear" w:color="auto" w:fill="auto"/>
            <w:noWrap/>
            <w:vAlign w:val="center"/>
            <w:hideMark/>
          </w:tcPr>
          <w:p w14:paraId="67B68C77"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149 490</w:t>
            </w:r>
          </w:p>
        </w:tc>
        <w:tc>
          <w:tcPr>
            <w:tcW w:w="602" w:type="pct"/>
            <w:tcBorders>
              <w:top w:val="nil"/>
              <w:left w:val="nil"/>
              <w:bottom w:val="nil"/>
              <w:right w:val="nil"/>
            </w:tcBorders>
            <w:shd w:val="clear" w:color="auto" w:fill="auto"/>
            <w:noWrap/>
            <w:vAlign w:val="center"/>
            <w:hideMark/>
          </w:tcPr>
          <w:p w14:paraId="6137A60B"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112 464</w:t>
            </w:r>
          </w:p>
        </w:tc>
        <w:tc>
          <w:tcPr>
            <w:tcW w:w="603" w:type="pct"/>
            <w:tcBorders>
              <w:top w:val="nil"/>
              <w:left w:val="nil"/>
              <w:bottom w:val="nil"/>
              <w:right w:val="nil"/>
            </w:tcBorders>
            <w:shd w:val="clear" w:color="auto" w:fill="auto"/>
            <w:noWrap/>
            <w:vAlign w:val="center"/>
            <w:hideMark/>
          </w:tcPr>
          <w:p w14:paraId="2EE9D4A8"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69 064</w:t>
            </w:r>
          </w:p>
        </w:tc>
        <w:tc>
          <w:tcPr>
            <w:tcW w:w="477" w:type="pct"/>
            <w:tcBorders>
              <w:top w:val="nil"/>
              <w:left w:val="nil"/>
              <w:bottom w:val="nil"/>
              <w:right w:val="nil"/>
            </w:tcBorders>
            <w:shd w:val="clear" w:color="auto" w:fill="auto"/>
            <w:noWrap/>
            <w:vAlign w:val="center"/>
            <w:hideMark/>
          </w:tcPr>
          <w:p w14:paraId="5B8FF0A5"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-43 400</w:t>
            </w:r>
          </w:p>
        </w:tc>
      </w:tr>
      <w:tr w:rsidR="009A05C7" w:rsidRPr="002C4859" w14:paraId="6D8A0D5A" w14:textId="77777777" w:rsidTr="003A3C32">
        <w:trPr>
          <w:trHeight w:val="205"/>
        </w:trPr>
        <w:tc>
          <w:tcPr>
            <w:tcW w:w="1508" w:type="pct"/>
            <w:tcBorders>
              <w:top w:val="nil"/>
              <w:left w:val="nil"/>
              <w:bottom w:val="nil"/>
              <w:right w:val="nil"/>
            </w:tcBorders>
            <w:shd w:val="clear" w:color="auto" w:fill="auto"/>
            <w:noWrap/>
            <w:vAlign w:val="center"/>
            <w:hideMark/>
          </w:tcPr>
          <w:p w14:paraId="450FF33B" w14:textId="77777777" w:rsidR="009A05C7" w:rsidRDefault="009A05C7" w:rsidP="000240DA">
            <w:pPr>
              <w:spacing w:after="0" w:line="240" w:lineRule="auto"/>
              <w:jc w:val="left"/>
              <w:rPr>
                <w:rFonts w:eastAsia="Times New Roman" w:cs="Times New Roman"/>
                <w:color w:val="000000"/>
                <w:sz w:val="18"/>
                <w:szCs w:val="18"/>
                <w:lang w:eastAsia="sk-SK"/>
              </w:rPr>
            </w:pPr>
            <w:r w:rsidRPr="002C4859">
              <w:rPr>
                <w:rFonts w:eastAsia="Times New Roman" w:cs="Times New Roman"/>
                <w:color w:val="000000"/>
                <w:sz w:val="18"/>
                <w:szCs w:val="18"/>
                <w:lang w:eastAsia="sk-SK"/>
              </w:rPr>
              <w:t xml:space="preserve"> - Nadobud. mínus úbytok nef. </w:t>
            </w:r>
          </w:p>
          <w:p w14:paraId="0FF302FE" w14:textId="77777777" w:rsidR="009A05C7" w:rsidRPr="002C4859" w:rsidRDefault="009A05C7" w:rsidP="000240DA">
            <w:pPr>
              <w:spacing w:after="0" w:line="240" w:lineRule="auto"/>
              <w:jc w:val="left"/>
              <w:rPr>
                <w:rFonts w:eastAsia="Times New Roman" w:cs="Times New Roman"/>
                <w:color w:val="000000"/>
                <w:sz w:val="18"/>
                <w:szCs w:val="18"/>
                <w:lang w:eastAsia="sk-SK"/>
              </w:rPr>
            </w:pPr>
            <w:r>
              <w:rPr>
                <w:rFonts w:eastAsia="Times New Roman" w:cs="Times New Roman"/>
                <w:color w:val="000000"/>
                <w:sz w:val="18"/>
                <w:szCs w:val="18"/>
                <w:lang w:eastAsia="sk-SK"/>
              </w:rPr>
              <w:t xml:space="preserve">   </w:t>
            </w:r>
            <w:r w:rsidRPr="002C4859">
              <w:rPr>
                <w:rFonts w:eastAsia="Times New Roman" w:cs="Times New Roman"/>
                <w:color w:val="000000"/>
                <w:sz w:val="18"/>
                <w:szCs w:val="18"/>
                <w:lang w:eastAsia="sk-SK"/>
              </w:rPr>
              <w:t>neproduk. aktív</w:t>
            </w:r>
          </w:p>
        </w:tc>
        <w:tc>
          <w:tcPr>
            <w:tcW w:w="606" w:type="pct"/>
            <w:tcBorders>
              <w:top w:val="nil"/>
              <w:left w:val="nil"/>
              <w:bottom w:val="nil"/>
              <w:right w:val="nil"/>
            </w:tcBorders>
            <w:shd w:val="clear" w:color="auto" w:fill="auto"/>
            <w:noWrap/>
            <w:vAlign w:val="center"/>
            <w:hideMark/>
          </w:tcPr>
          <w:p w14:paraId="78C6749B" w14:textId="77777777" w:rsidR="009A05C7" w:rsidRPr="002C4859" w:rsidRDefault="009A05C7" w:rsidP="000240DA">
            <w:pPr>
              <w:spacing w:after="0" w:line="240" w:lineRule="auto"/>
              <w:jc w:val="center"/>
              <w:rPr>
                <w:rFonts w:eastAsia="Times New Roman" w:cs="Times New Roman"/>
                <w:color w:val="000000"/>
                <w:sz w:val="18"/>
                <w:szCs w:val="18"/>
                <w:lang w:eastAsia="sk-SK"/>
              </w:rPr>
            </w:pPr>
            <w:r w:rsidRPr="002C4859">
              <w:rPr>
                <w:rFonts w:eastAsia="Times New Roman" w:cs="Times New Roman"/>
                <w:color w:val="000000"/>
                <w:sz w:val="18"/>
                <w:szCs w:val="18"/>
                <w:lang w:eastAsia="sk-SK"/>
              </w:rPr>
              <w:t>NP</w:t>
            </w:r>
          </w:p>
        </w:tc>
        <w:tc>
          <w:tcPr>
            <w:tcW w:w="602" w:type="pct"/>
            <w:tcBorders>
              <w:top w:val="nil"/>
              <w:left w:val="nil"/>
              <w:bottom w:val="nil"/>
              <w:right w:val="nil"/>
            </w:tcBorders>
            <w:shd w:val="clear" w:color="auto" w:fill="auto"/>
            <w:noWrap/>
            <w:vAlign w:val="center"/>
            <w:hideMark/>
          </w:tcPr>
          <w:p w14:paraId="70745032"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27 044</w:t>
            </w:r>
          </w:p>
        </w:tc>
        <w:tc>
          <w:tcPr>
            <w:tcW w:w="602" w:type="pct"/>
            <w:tcBorders>
              <w:top w:val="nil"/>
              <w:left w:val="nil"/>
              <w:bottom w:val="nil"/>
              <w:right w:val="nil"/>
            </w:tcBorders>
            <w:shd w:val="clear" w:color="auto" w:fill="auto"/>
            <w:noWrap/>
            <w:vAlign w:val="center"/>
            <w:hideMark/>
          </w:tcPr>
          <w:p w14:paraId="393591F7"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50 902</w:t>
            </w:r>
          </w:p>
        </w:tc>
        <w:tc>
          <w:tcPr>
            <w:tcW w:w="602" w:type="pct"/>
            <w:tcBorders>
              <w:top w:val="nil"/>
              <w:left w:val="nil"/>
              <w:bottom w:val="nil"/>
              <w:right w:val="nil"/>
            </w:tcBorders>
            <w:shd w:val="clear" w:color="auto" w:fill="auto"/>
            <w:noWrap/>
            <w:vAlign w:val="center"/>
            <w:hideMark/>
          </w:tcPr>
          <w:p w14:paraId="572D77B0"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30 411</w:t>
            </w:r>
          </w:p>
        </w:tc>
        <w:tc>
          <w:tcPr>
            <w:tcW w:w="603" w:type="pct"/>
            <w:tcBorders>
              <w:top w:val="nil"/>
              <w:left w:val="nil"/>
              <w:bottom w:val="nil"/>
              <w:right w:val="nil"/>
            </w:tcBorders>
            <w:shd w:val="clear" w:color="auto" w:fill="auto"/>
            <w:noWrap/>
            <w:vAlign w:val="center"/>
            <w:hideMark/>
          </w:tcPr>
          <w:p w14:paraId="0655754E"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-269</w:t>
            </w:r>
          </w:p>
        </w:tc>
        <w:tc>
          <w:tcPr>
            <w:tcW w:w="477" w:type="pct"/>
            <w:tcBorders>
              <w:top w:val="nil"/>
              <w:left w:val="nil"/>
              <w:bottom w:val="nil"/>
              <w:right w:val="nil"/>
            </w:tcBorders>
            <w:shd w:val="clear" w:color="auto" w:fill="auto"/>
            <w:noWrap/>
            <w:vAlign w:val="center"/>
            <w:hideMark/>
          </w:tcPr>
          <w:p w14:paraId="1781E710"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-30 680</w:t>
            </w:r>
          </w:p>
        </w:tc>
      </w:tr>
      <w:tr w:rsidR="009A05C7" w:rsidRPr="002C4859" w14:paraId="30C933AE" w14:textId="77777777" w:rsidTr="003A3C32">
        <w:trPr>
          <w:trHeight w:val="170"/>
        </w:trPr>
        <w:tc>
          <w:tcPr>
            <w:tcW w:w="1508" w:type="pct"/>
            <w:tcBorders>
              <w:top w:val="nil"/>
              <w:left w:val="nil"/>
              <w:bottom w:val="single" w:sz="4" w:space="0" w:color="auto"/>
              <w:right w:val="nil"/>
            </w:tcBorders>
            <w:shd w:val="clear" w:color="auto" w:fill="auto"/>
            <w:noWrap/>
            <w:vAlign w:val="center"/>
            <w:hideMark/>
          </w:tcPr>
          <w:p w14:paraId="642F2CE8" w14:textId="77777777" w:rsidR="009A05C7" w:rsidRPr="002C4859" w:rsidRDefault="009A05C7" w:rsidP="000240DA">
            <w:pPr>
              <w:spacing w:after="0" w:line="240" w:lineRule="auto"/>
              <w:jc w:val="left"/>
              <w:rPr>
                <w:rFonts w:eastAsia="Times New Roman" w:cs="Times New Roman"/>
                <w:color w:val="000000"/>
                <w:sz w:val="18"/>
                <w:szCs w:val="18"/>
                <w:lang w:eastAsia="sk-SK"/>
              </w:rPr>
            </w:pPr>
            <w:r w:rsidRPr="002C4859">
              <w:rPr>
                <w:rFonts w:eastAsia="Times New Roman" w:cs="Times New Roman"/>
                <w:color w:val="000000"/>
                <w:sz w:val="18"/>
                <w:szCs w:val="18"/>
                <w:lang w:eastAsia="sk-SK"/>
              </w:rPr>
              <w:t>Kapitálové transfery</w:t>
            </w:r>
          </w:p>
        </w:tc>
        <w:tc>
          <w:tcPr>
            <w:tcW w:w="606" w:type="pct"/>
            <w:tcBorders>
              <w:top w:val="nil"/>
              <w:left w:val="nil"/>
              <w:bottom w:val="single" w:sz="4" w:space="0" w:color="auto"/>
              <w:right w:val="nil"/>
            </w:tcBorders>
            <w:shd w:val="clear" w:color="auto" w:fill="auto"/>
            <w:noWrap/>
            <w:vAlign w:val="center"/>
            <w:hideMark/>
          </w:tcPr>
          <w:p w14:paraId="00DA99D3" w14:textId="77777777" w:rsidR="009A05C7" w:rsidRPr="002C4859" w:rsidRDefault="009A05C7" w:rsidP="000240DA">
            <w:pPr>
              <w:spacing w:after="0" w:line="240" w:lineRule="auto"/>
              <w:jc w:val="center"/>
              <w:rPr>
                <w:rFonts w:eastAsia="Times New Roman" w:cs="Times New Roman"/>
                <w:color w:val="000000"/>
                <w:sz w:val="18"/>
                <w:szCs w:val="18"/>
                <w:lang w:eastAsia="sk-SK"/>
              </w:rPr>
            </w:pPr>
            <w:r w:rsidRPr="002C4859">
              <w:rPr>
                <w:rFonts w:eastAsia="Times New Roman" w:cs="Times New Roman"/>
                <w:color w:val="000000"/>
                <w:sz w:val="18"/>
                <w:szCs w:val="18"/>
                <w:lang w:eastAsia="sk-SK"/>
              </w:rPr>
              <w:t>D.9P</w:t>
            </w:r>
          </w:p>
        </w:tc>
        <w:tc>
          <w:tcPr>
            <w:tcW w:w="602" w:type="pct"/>
            <w:tcBorders>
              <w:top w:val="nil"/>
              <w:left w:val="nil"/>
              <w:bottom w:val="nil"/>
              <w:right w:val="nil"/>
            </w:tcBorders>
            <w:shd w:val="clear" w:color="auto" w:fill="auto"/>
            <w:noWrap/>
            <w:vAlign w:val="center"/>
            <w:hideMark/>
          </w:tcPr>
          <w:p w14:paraId="5D4BE973"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850 173</w:t>
            </w:r>
          </w:p>
        </w:tc>
        <w:tc>
          <w:tcPr>
            <w:tcW w:w="602" w:type="pct"/>
            <w:tcBorders>
              <w:top w:val="nil"/>
              <w:left w:val="nil"/>
              <w:bottom w:val="nil"/>
              <w:right w:val="nil"/>
            </w:tcBorders>
            <w:shd w:val="clear" w:color="auto" w:fill="auto"/>
            <w:noWrap/>
            <w:vAlign w:val="center"/>
            <w:hideMark/>
          </w:tcPr>
          <w:p w14:paraId="4447CAA7"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2 084 799</w:t>
            </w:r>
          </w:p>
        </w:tc>
        <w:tc>
          <w:tcPr>
            <w:tcW w:w="602" w:type="pct"/>
            <w:tcBorders>
              <w:top w:val="nil"/>
              <w:left w:val="nil"/>
              <w:bottom w:val="nil"/>
              <w:right w:val="nil"/>
            </w:tcBorders>
            <w:shd w:val="clear" w:color="auto" w:fill="auto"/>
            <w:noWrap/>
            <w:vAlign w:val="center"/>
            <w:hideMark/>
          </w:tcPr>
          <w:p w14:paraId="113640DD"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858 846</w:t>
            </w:r>
          </w:p>
        </w:tc>
        <w:tc>
          <w:tcPr>
            <w:tcW w:w="603" w:type="pct"/>
            <w:tcBorders>
              <w:top w:val="nil"/>
              <w:left w:val="nil"/>
              <w:bottom w:val="nil"/>
              <w:right w:val="nil"/>
            </w:tcBorders>
            <w:shd w:val="clear" w:color="auto" w:fill="auto"/>
            <w:noWrap/>
            <w:vAlign w:val="center"/>
            <w:hideMark/>
          </w:tcPr>
          <w:p w14:paraId="696309BE"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611 203</w:t>
            </w:r>
          </w:p>
        </w:tc>
        <w:tc>
          <w:tcPr>
            <w:tcW w:w="477" w:type="pct"/>
            <w:tcBorders>
              <w:top w:val="nil"/>
              <w:left w:val="nil"/>
              <w:bottom w:val="nil"/>
              <w:right w:val="nil"/>
            </w:tcBorders>
            <w:shd w:val="clear" w:color="auto" w:fill="auto"/>
            <w:noWrap/>
            <w:vAlign w:val="center"/>
            <w:hideMark/>
          </w:tcPr>
          <w:p w14:paraId="1779A55A" w14:textId="77777777" w:rsidR="009A05C7" w:rsidRPr="002C4859" w:rsidRDefault="009A05C7" w:rsidP="000240DA">
            <w:pPr>
              <w:spacing w:after="0" w:line="240" w:lineRule="auto"/>
              <w:jc w:val="right"/>
              <w:rPr>
                <w:rFonts w:eastAsia="Times New Roman" w:cs="Times New Roman"/>
                <w:sz w:val="18"/>
                <w:szCs w:val="18"/>
                <w:lang w:eastAsia="sk-SK"/>
              </w:rPr>
            </w:pPr>
            <w:r w:rsidRPr="002C4859">
              <w:rPr>
                <w:rFonts w:eastAsia="Times New Roman" w:cs="Times New Roman"/>
                <w:sz w:val="18"/>
                <w:szCs w:val="18"/>
                <w:lang w:eastAsia="sk-SK"/>
              </w:rPr>
              <w:t>-247 643</w:t>
            </w:r>
          </w:p>
        </w:tc>
      </w:tr>
      <w:tr w:rsidR="009A05C7" w:rsidRPr="002C4859" w14:paraId="6CE47597" w14:textId="77777777" w:rsidTr="003A3C32">
        <w:trPr>
          <w:trHeight w:val="218"/>
        </w:trPr>
        <w:tc>
          <w:tcPr>
            <w:tcW w:w="1508" w:type="pct"/>
            <w:tcBorders>
              <w:top w:val="single" w:sz="4" w:space="0" w:color="auto"/>
              <w:left w:val="nil"/>
              <w:bottom w:val="nil"/>
              <w:right w:val="nil"/>
            </w:tcBorders>
            <w:shd w:val="clear" w:color="auto" w:fill="auto"/>
            <w:vAlign w:val="center"/>
            <w:hideMark/>
          </w:tcPr>
          <w:p w14:paraId="31D066B7" w14:textId="77777777" w:rsidR="009A05C7" w:rsidRPr="002C4859" w:rsidRDefault="009A05C7" w:rsidP="000240DA">
            <w:pPr>
              <w:spacing w:after="0" w:line="240" w:lineRule="auto"/>
              <w:rPr>
                <w:rFonts w:eastAsia="Times New Roman" w:cs="Times New Roman"/>
                <w:b/>
                <w:bCs/>
                <w:sz w:val="18"/>
                <w:szCs w:val="18"/>
                <w:lang w:eastAsia="sk-SK"/>
              </w:rPr>
            </w:pPr>
            <w:r w:rsidRPr="002C4859">
              <w:rPr>
                <w:rFonts w:eastAsia="Times New Roman" w:cs="Times New Roman"/>
                <w:b/>
                <w:bCs/>
                <w:sz w:val="18"/>
                <w:szCs w:val="18"/>
                <w:lang w:eastAsia="sk-SK"/>
              </w:rPr>
              <w:t>Čisté pôžičky poskytnuté (+) / prijaté (-)</w:t>
            </w:r>
          </w:p>
        </w:tc>
        <w:tc>
          <w:tcPr>
            <w:tcW w:w="606" w:type="pct"/>
            <w:tcBorders>
              <w:top w:val="single" w:sz="4" w:space="0" w:color="auto"/>
              <w:left w:val="nil"/>
              <w:bottom w:val="nil"/>
              <w:right w:val="nil"/>
            </w:tcBorders>
            <w:shd w:val="clear" w:color="auto" w:fill="auto"/>
            <w:vAlign w:val="center"/>
            <w:hideMark/>
          </w:tcPr>
          <w:p w14:paraId="23013F6B" w14:textId="77777777" w:rsidR="009A05C7" w:rsidRPr="002C4859" w:rsidRDefault="009A05C7" w:rsidP="000240DA">
            <w:pPr>
              <w:spacing w:after="0" w:line="240" w:lineRule="auto"/>
              <w:jc w:val="center"/>
              <w:rPr>
                <w:rFonts w:eastAsia="Times New Roman" w:cs="Times New Roman"/>
                <w:b/>
                <w:bCs/>
                <w:sz w:val="18"/>
                <w:szCs w:val="18"/>
                <w:lang w:eastAsia="sk-SK"/>
              </w:rPr>
            </w:pPr>
            <w:r w:rsidRPr="002C4859">
              <w:rPr>
                <w:rFonts w:eastAsia="Times New Roman" w:cs="Times New Roman"/>
                <w:b/>
                <w:bCs/>
                <w:sz w:val="18"/>
                <w:szCs w:val="18"/>
                <w:lang w:eastAsia="sk-SK"/>
              </w:rPr>
              <w:t>B.9</w:t>
            </w:r>
          </w:p>
        </w:tc>
        <w:tc>
          <w:tcPr>
            <w:tcW w:w="602" w:type="pct"/>
            <w:tcBorders>
              <w:top w:val="single" w:sz="4" w:space="0" w:color="auto"/>
              <w:left w:val="nil"/>
              <w:bottom w:val="nil"/>
              <w:right w:val="nil"/>
            </w:tcBorders>
            <w:shd w:val="clear" w:color="auto" w:fill="auto"/>
            <w:noWrap/>
            <w:vAlign w:val="center"/>
            <w:hideMark/>
          </w:tcPr>
          <w:p w14:paraId="01EAA38C" w14:textId="77777777" w:rsidR="009A05C7" w:rsidRPr="002C4859" w:rsidRDefault="009A05C7" w:rsidP="000240DA">
            <w:pPr>
              <w:spacing w:after="0" w:line="240" w:lineRule="auto"/>
              <w:jc w:val="righ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-1 835 734</w:t>
            </w:r>
          </w:p>
        </w:tc>
        <w:tc>
          <w:tcPr>
            <w:tcW w:w="602" w:type="pct"/>
            <w:tcBorders>
              <w:top w:val="single" w:sz="4" w:space="0" w:color="auto"/>
              <w:left w:val="nil"/>
              <w:bottom w:val="nil"/>
              <w:right w:val="nil"/>
            </w:tcBorders>
            <w:shd w:val="clear" w:color="auto" w:fill="auto"/>
            <w:noWrap/>
            <w:vAlign w:val="center"/>
            <w:hideMark/>
          </w:tcPr>
          <w:p w14:paraId="2190E3C4" w14:textId="77777777" w:rsidR="009A05C7" w:rsidRPr="002C4859" w:rsidRDefault="009A05C7" w:rsidP="000240DA">
            <w:pPr>
              <w:spacing w:after="0" w:line="240" w:lineRule="auto"/>
              <w:jc w:val="righ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-6 426 966</w:t>
            </w:r>
          </w:p>
        </w:tc>
        <w:tc>
          <w:tcPr>
            <w:tcW w:w="602" w:type="pct"/>
            <w:tcBorders>
              <w:top w:val="single" w:sz="4" w:space="0" w:color="auto"/>
              <w:left w:val="nil"/>
              <w:bottom w:val="nil"/>
              <w:right w:val="nil"/>
            </w:tcBorders>
            <w:shd w:val="clear" w:color="auto" w:fill="auto"/>
            <w:noWrap/>
            <w:vAlign w:val="center"/>
            <w:hideMark/>
          </w:tcPr>
          <w:p w14:paraId="4E7E88A2" w14:textId="77777777" w:rsidR="009A05C7" w:rsidRPr="002C4859" w:rsidRDefault="009A05C7" w:rsidP="000240DA">
            <w:pPr>
              <w:spacing w:after="0" w:line="240" w:lineRule="auto"/>
              <w:jc w:val="righ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-7 840 706</w:t>
            </w:r>
          </w:p>
        </w:tc>
        <w:tc>
          <w:tcPr>
            <w:tcW w:w="603" w:type="pct"/>
            <w:tcBorders>
              <w:top w:val="single" w:sz="4" w:space="0" w:color="auto"/>
              <w:left w:val="nil"/>
              <w:bottom w:val="nil"/>
              <w:right w:val="nil"/>
            </w:tcBorders>
            <w:shd w:val="clear" w:color="auto" w:fill="auto"/>
            <w:noWrap/>
            <w:vAlign w:val="center"/>
            <w:hideMark/>
          </w:tcPr>
          <w:p w14:paraId="674C82B2" w14:textId="77777777" w:rsidR="009A05C7" w:rsidRPr="00912F1D" w:rsidRDefault="009A05C7" w:rsidP="000240DA">
            <w:pPr>
              <w:spacing w:after="0" w:line="240" w:lineRule="auto"/>
              <w:jc w:val="right"/>
              <w:rPr>
                <w:rFonts w:eastAsia="Times New Roman" w:cs="Times New Roman"/>
                <w:b/>
                <w:bCs/>
                <w:color w:val="000000"/>
                <w:sz w:val="18"/>
                <w:szCs w:val="18"/>
                <w:lang w:eastAsia="sk-SK"/>
              </w:rPr>
            </w:pPr>
            <w:r w:rsidRPr="00912F1D">
              <w:rPr>
                <w:rFonts w:eastAsia="Times New Roman" w:cs="Times New Roman"/>
                <w:b/>
                <w:bCs/>
                <w:color w:val="000000"/>
                <w:sz w:val="18"/>
                <w:szCs w:val="18"/>
                <w:lang w:eastAsia="sk-SK"/>
              </w:rPr>
              <w:t>-6 906 738</w:t>
            </w:r>
          </w:p>
        </w:tc>
        <w:tc>
          <w:tcPr>
            <w:tcW w:w="477" w:type="pct"/>
            <w:tcBorders>
              <w:top w:val="single" w:sz="4" w:space="0" w:color="auto"/>
              <w:left w:val="nil"/>
              <w:bottom w:val="nil"/>
              <w:right w:val="nil"/>
            </w:tcBorders>
            <w:shd w:val="clear" w:color="auto" w:fill="auto"/>
            <w:noWrap/>
            <w:vAlign w:val="center"/>
            <w:hideMark/>
          </w:tcPr>
          <w:p w14:paraId="7D3ECA51" w14:textId="77777777" w:rsidR="009A05C7" w:rsidRPr="00912F1D" w:rsidRDefault="009A05C7" w:rsidP="000240DA">
            <w:pPr>
              <w:spacing w:after="0" w:line="240" w:lineRule="auto"/>
              <w:jc w:val="right"/>
              <w:rPr>
                <w:rFonts w:eastAsia="Times New Roman" w:cs="Times New Roman"/>
                <w:b/>
                <w:bCs/>
                <w:color w:val="000000"/>
                <w:sz w:val="18"/>
                <w:szCs w:val="18"/>
                <w:lang w:eastAsia="sk-SK"/>
              </w:rPr>
            </w:pPr>
            <w:r w:rsidRPr="00912F1D">
              <w:rPr>
                <w:rFonts w:eastAsia="Times New Roman" w:cs="Times New Roman"/>
                <w:b/>
                <w:bCs/>
                <w:color w:val="000000"/>
                <w:sz w:val="18"/>
                <w:szCs w:val="18"/>
                <w:lang w:eastAsia="sk-SK"/>
              </w:rPr>
              <w:t>933 968</w:t>
            </w:r>
          </w:p>
        </w:tc>
      </w:tr>
      <w:tr w:rsidR="009A05C7" w:rsidRPr="002C4859" w14:paraId="7384CECD" w14:textId="77777777" w:rsidTr="003A3C32">
        <w:trPr>
          <w:trHeight w:val="60"/>
        </w:trPr>
        <w:tc>
          <w:tcPr>
            <w:tcW w:w="1508" w:type="pct"/>
            <w:tcBorders>
              <w:top w:val="nil"/>
              <w:left w:val="nil"/>
              <w:bottom w:val="single" w:sz="4" w:space="0" w:color="auto"/>
              <w:right w:val="nil"/>
            </w:tcBorders>
            <w:shd w:val="clear" w:color="auto" w:fill="auto"/>
            <w:noWrap/>
            <w:vAlign w:val="center"/>
            <w:hideMark/>
          </w:tcPr>
          <w:p w14:paraId="13801EEA" w14:textId="77777777" w:rsidR="009A05C7" w:rsidRPr="002C4859" w:rsidRDefault="009A05C7" w:rsidP="000240DA">
            <w:pPr>
              <w:spacing w:after="0" w:line="240" w:lineRule="auto"/>
              <w:jc w:val="left"/>
              <w:rPr>
                <w:rFonts w:eastAsia="Times New Roman" w:cs="Times New Roman"/>
                <w:b/>
                <w:bCs/>
                <w:sz w:val="18"/>
                <w:szCs w:val="18"/>
                <w:lang w:eastAsia="sk-SK"/>
              </w:rPr>
            </w:pPr>
            <w:r w:rsidRPr="002C4859">
              <w:rPr>
                <w:rFonts w:eastAsia="Times New Roman" w:cs="Times New Roman"/>
                <w:b/>
                <w:bCs/>
                <w:sz w:val="18"/>
                <w:szCs w:val="18"/>
                <w:lang w:eastAsia="sk-SK"/>
              </w:rPr>
              <w:t>% HDP</w:t>
            </w:r>
          </w:p>
        </w:tc>
        <w:tc>
          <w:tcPr>
            <w:tcW w:w="606" w:type="pct"/>
            <w:tcBorders>
              <w:top w:val="nil"/>
              <w:left w:val="nil"/>
              <w:bottom w:val="single" w:sz="4" w:space="0" w:color="auto"/>
              <w:right w:val="nil"/>
            </w:tcBorders>
            <w:shd w:val="clear" w:color="auto" w:fill="auto"/>
            <w:noWrap/>
            <w:vAlign w:val="center"/>
            <w:hideMark/>
          </w:tcPr>
          <w:p w14:paraId="352EB0A1" w14:textId="77777777" w:rsidR="009A05C7" w:rsidRPr="002C4859" w:rsidRDefault="009A05C7" w:rsidP="000240DA">
            <w:pPr>
              <w:spacing w:after="0" w:line="240" w:lineRule="auto"/>
              <w:jc w:val="left"/>
              <w:rPr>
                <w:rFonts w:eastAsia="Times New Roman" w:cs="Times New Roman"/>
                <w:b/>
                <w:bCs/>
                <w:sz w:val="18"/>
                <w:szCs w:val="18"/>
                <w:lang w:eastAsia="sk-SK"/>
              </w:rPr>
            </w:pPr>
            <w:r w:rsidRPr="002C4859">
              <w:rPr>
                <w:rFonts w:eastAsia="Times New Roman" w:cs="Times New Roman"/>
                <w:b/>
                <w:bCs/>
                <w:sz w:val="18"/>
                <w:szCs w:val="18"/>
                <w:lang w:eastAsia="sk-SK"/>
              </w:rPr>
              <w:t> </w:t>
            </w:r>
          </w:p>
        </w:tc>
        <w:tc>
          <w:tcPr>
            <w:tcW w:w="602" w:type="pct"/>
            <w:tcBorders>
              <w:top w:val="nil"/>
              <w:left w:val="nil"/>
              <w:bottom w:val="single" w:sz="4" w:space="0" w:color="auto"/>
              <w:right w:val="nil"/>
            </w:tcBorders>
            <w:shd w:val="clear" w:color="auto" w:fill="auto"/>
            <w:noWrap/>
            <w:vAlign w:val="center"/>
            <w:hideMark/>
          </w:tcPr>
          <w:p w14:paraId="5B3ADE1D" w14:textId="77777777" w:rsidR="009A05C7" w:rsidRPr="002C4859" w:rsidRDefault="009A05C7" w:rsidP="000240DA">
            <w:pPr>
              <w:spacing w:after="0" w:line="240" w:lineRule="auto"/>
              <w:jc w:val="righ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-1,7</w:t>
            </w:r>
          </w:p>
        </w:tc>
        <w:tc>
          <w:tcPr>
            <w:tcW w:w="602" w:type="pct"/>
            <w:tcBorders>
              <w:top w:val="nil"/>
              <w:left w:val="nil"/>
              <w:bottom w:val="single" w:sz="4" w:space="0" w:color="auto"/>
              <w:right w:val="nil"/>
            </w:tcBorders>
            <w:shd w:val="clear" w:color="auto" w:fill="auto"/>
            <w:noWrap/>
            <w:vAlign w:val="center"/>
            <w:hideMark/>
          </w:tcPr>
          <w:p w14:paraId="7C67DF44" w14:textId="77777777" w:rsidR="009A05C7" w:rsidRPr="002C4859" w:rsidRDefault="009A05C7" w:rsidP="000240DA">
            <w:pPr>
              <w:spacing w:after="0" w:line="240" w:lineRule="auto"/>
              <w:jc w:val="righ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-5,2</w:t>
            </w:r>
          </w:p>
        </w:tc>
        <w:tc>
          <w:tcPr>
            <w:tcW w:w="602" w:type="pct"/>
            <w:tcBorders>
              <w:top w:val="nil"/>
              <w:left w:val="nil"/>
              <w:bottom w:val="single" w:sz="4" w:space="0" w:color="auto"/>
              <w:right w:val="nil"/>
            </w:tcBorders>
            <w:shd w:val="clear" w:color="auto" w:fill="auto"/>
            <w:noWrap/>
            <w:vAlign w:val="center"/>
            <w:hideMark/>
          </w:tcPr>
          <w:p w14:paraId="37ED20A6" w14:textId="77777777" w:rsidR="009A05C7" w:rsidRPr="002C4859" w:rsidRDefault="009A05C7" w:rsidP="000240DA">
            <w:pPr>
              <w:spacing w:after="0" w:line="240" w:lineRule="auto"/>
              <w:jc w:val="righ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-6,0</w:t>
            </w:r>
          </w:p>
        </w:tc>
        <w:tc>
          <w:tcPr>
            <w:tcW w:w="603" w:type="pct"/>
            <w:tcBorders>
              <w:top w:val="nil"/>
              <w:left w:val="nil"/>
              <w:bottom w:val="single" w:sz="4" w:space="0" w:color="auto"/>
              <w:right w:val="nil"/>
            </w:tcBorders>
            <w:shd w:val="clear" w:color="auto" w:fill="auto"/>
            <w:noWrap/>
            <w:vAlign w:val="center"/>
            <w:hideMark/>
          </w:tcPr>
          <w:p w14:paraId="1F0A5E58" w14:textId="77777777" w:rsidR="009A05C7" w:rsidRPr="002C4859" w:rsidRDefault="009A05C7" w:rsidP="000240DA">
            <w:pPr>
              <w:spacing w:after="0" w:line="240" w:lineRule="auto"/>
              <w:jc w:val="righ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-5,3</w:t>
            </w:r>
          </w:p>
        </w:tc>
        <w:tc>
          <w:tcPr>
            <w:tcW w:w="477" w:type="pct"/>
            <w:tcBorders>
              <w:top w:val="nil"/>
              <w:left w:val="nil"/>
              <w:bottom w:val="single" w:sz="4" w:space="0" w:color="auto"/>
              <w:right w:val="nil"/>
            </w:tcBorders>
            <w:shd w:val="clear" w:color="auto" w:fill="auto"/>
            <w:noWrap/>
            <w:vAlign w:val="center"/>
            <w:hideMark/>
          </w:tcPr>
          <w:p w14:paraId="6BD207DE" w14:textId="77777777" w:rsidR="009A05C7" w:rsidRPr="002C4859" w:rsidRDefault="009A05C7" w:rsidP="000240DA">
            <w:pPr>
              <w:spacing w:after="0" w:line="240" w:lineRule="auto"/>
              <w:jc w:val="righ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0,7</w:t>
            </w:r>
          </w:p>
        </w:tc>
      </w:tr>
      <w:tr w:rsidR="009A05C7" w:rsidRPr="002C4859" w14:paraId="3DCB486F" w14:textId="77777777" w:rsidTr="003A3C32">
        <w:trPr>
          <w:trHeight w:val="269"/>
        </w:trPr>
        <w:tc>
          <w:tcPr>
            <w:tcW w:w="1508" w:type="pct"/>
            <w:tcBorders>
              <w:top w:val="nil"/>
              <w:left w:val="nil"/>
              <w:bottom w:val="single" w:sz="4" w:space="0" w:color="auto"/>
              <w:right w:val="nil"/>
            </w:tcBorders>
            <w:shd w:val="clear" w:color="auto" w:fill="auto"/>
            <w:noWrap/>
            <w:vAlign w:val="center"/>
            <w:hideMark/>
          </w:tcPr>
          <w:p w14:paraId="48FE71C1" w14:textId="77777777" w:rsidR="009A05C7" w:rsidRPr="002C4859" w:rsidRDefault="009A05C7" w:rsidP="000240DA">
            <w:pPr>
              <w:spacing w:after="0" w:line="240" w:lineRule="auto"/>
              <w:jc w:val="left"/>
              <w:rPr>
                <w:rFonts w:eastAsia="Times New Roman" w:cs="Times New Roman"/>
                <w:b/>
                <w:bCs/>
                <w:sz w:val="18"/>
                <w:szCs w:val="18"/>
                <w:lang w:eastAsia="sk-SK"/>
              </w:rPr>
            </w:pPr>
            <w:r w:rsidRPr="002C4859">
              <w:rPr>
                <w:rFonts w:eastAsia="Times New Roman" w:cs="Times New Roman"/>
                <w:b/>
                <w:bCs/>
                <w:sz w:val="18"/>
                <w:szCs w:val="18"/>
                <w:lang w:eastAsia="sk-SK"/>
              </w:rPr>
              <w:t>HDP</w:t>
            </w:r>
          </w:p>
        </w:tc>
        <w:tc>
          <w:tcPr>
            <w:tcW w:w="606" w:type="pct"/>
            <w:tcBorders>
              <w:top w:val="nil"/>
              <w:left w:val="nil"/>
              <w:bottom w:val="single" w:sz="4" w:space="0" w:color="auto"/>
              <w:right w:val="nil"/>
            </w:tcBorders>
            <w:shd w:val="clear" w:color="auto" w:fill="auto"/>
            <w:noWrap/>
            <w:vAlign w:val="center"/>
            <w:hideMark/>
          </w:tcPr>
          <w:p w14:paraId="645EC683" w14:textId="77777777" w:rsidR="009A05C7" w:rsidRPr="002C4859" w:rsidRDefault="009A05C7" w:rsidP="000240DA">
            <w:pPr>
              <w:spacing w:after="0" w:line="240" w:lineRule="auto"/>
              <w:jc w:val="left"/>
              <w:rPr>
                <w:rFonts w:eastAsia="Times New Roman" w:cs="Times New Roman"/>
                <w:b/>
                <w:bCs/>
                <w:sz w:val="18"/>
                <w:szCs w:val="18"/>
                <w:lang w:eastAsia="sk-SK"/>
              </w:rPr>
            </w:pPr>
            <w:r w:rsidRPr="002C4859">
              <w:rPr>
                <w:rFonts w:eastAsia="Times New Roman" w:cs="Times New Roman"/>
                <w:b/>
                <w:bCs/>
                <w:sz w:val="18"/>
                <w:szCs w:val="18"/>
                <w:lang w:eastAsia="sk-SK"/>
              </w:rPr>
              <w:t> </w:t>
            </w:r>
          </w:p>
        </w:tc>
        <w:tc>
          <w:tcPr>
            <w:tcW w:w="602" w:type="pct"/>
            <w:tcBorders>
              <w:top w:val="single" w:sz="4" w:space="0" w:color="auto"/>
              <w:left w:val="nil"/>
              <w:bottom w:val="single" w:sz="4" w:space="0" w:color="auto"/>
              <w:right w:val="nil"/>
            </w:tcBorders>
            <w:shd w:val="clear" w:color="auto" w:fill="auto"/>
            <w:noWrap/>
            <w:vAlign w:val="center"/>
            <w:hideMark/>
          </w:tcPr>
          <w:p w14:paraId="22F281C8" w14:textId="77777777" w:rsidR="009A05C7" w:rsidRPr="002C4859" w:rsidRDefault="009A05C7" w:rsidP="000240DA">
            <w:pPr>
              <w:spacing w:after="0" w:line="240" w:lineRule="auto"/>
              <w:jc w:val="righ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110 046 448</w:t>
            </w:r>
          </w:p>
        </w:tc>
        <w:tc>
          <w:tcPr>
            <w:tcW w:w="602" w:type="pct"/>
            <w:tcBorders>
              <w:top w:val="single" w:sz="4" w:space="0" w:color="auto"/>
              <w:left w:val="nil"/>
              <w:bottom w:val="single" w:sz="4" w:space="0" w:color="auto"/>
              <w:right w:val="nil"/>
            </w:tcBorders>
            <w:shd w:val="clear" w:color="auto" w:fill="auto"/>
            <w:noWrap/>
            <w:vAlign w:val="center"/>
            <w:hideMark/>
          </w:tcPr>
          <w:p w14:paraId="4C69A89A" w14:textId="77777777" w:rsidR="009A05C7" w:rsidRPr="002C4859" w:rsidRDefault="009A05C7" w:rsidP="000240DA">
            <w:pPr>
              <w:spacing w:after="0" w:line="240" w:lineRule="auto"/>
              <w:jc w:val="righ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123 833 179</w:t>
            </w:r>
          </w:p>
        </w:tc>
        <w:tc>
          <w:tcPr>
            <w:tcW w:w="602" w:type="pct"/>
            <w:tcBorders>
              <w:top w:val="single" w:sz="4" w:space="0" w:color="auto"/>
              <w:left w:val="nil"/>
              <w:bottom w:val="single" w:sz="4" w:space="0" w:color="auto"/>
              <w:right w:val="nil"/>
            </w:tcBorders>
            <w:shd w:val="clear" w:color="auto" w:fill="auto"/>
            <w:noWrap/>
            <w:vAlign w:val="center"/>
            <w:hideMark/>
          </w:tcPr>
          <w:p w14:paraId="0C75F8B6" w14:textId="77777777" w:rsidR="009A05C7" w:rsidRPr="002C4859" w:rsidRDefault="009A05C7" w:rsidP="000240DA">
            <w:pPr>
              <w:spacing w:after="0" w:line="240" w:lineRule="auto"/>
              <w:jc w:val="righ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131 335 110</w:t>
            </w:r>
          </w:p>
        </w:tc>
        <w:tc>
          <w:tcPr>
            <w:tcW w:w="603" w:type="pct"/>
            <w:tcBorders>
              <w:top w:val="single" w:sz="4" w:space="0" w:color="auto"/>
              <w:left w:val="nil"/>
              <w:bottom w:val="single" w:sz="4" w:space="0" w:color="auto"/>
              <w:right w:val="nil"/>
            </w:tcBorders>
            <w:shd w:val="clear" w:color="auto" w:fill="auto"/>
            <w:noWrap/>
            <w:vAlign w:val="center"/>
            <w:hideMark/>
          </w:tcPr>
          <w:p w14:paraId="24D30CA6" w14:textId="77777777" w:rsidR="009A05C7" w:rsidRPr="002C4859" w:rsidRDefault="009A05C7" w:rsidP="000240DA">
            <w:pPr>
              <w:spacing w:after="0" w:line="240" w:lineRule="auto"/>
              <w:jc w:val="righ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130 985 118</w:t>
            </w:r>
          </w:p>
        </w:tc>
        <w:tc>
          <w:tcPr>
            <w:tcW w:w="477" w:type="pct"/>
            <w:tcBorders>
              <w:top w:val="single" w:sz="4" w:space="0" w:color="auto"/>
              <w:left w:val="nil"/>
              <w:bottom w:val="single" w:sz="4" w:space="0" w:color="auto"/>
              <w:right w:val="nil"/>
            </w:tcBorders>
            <w:shd w:val="clear" w:color="auto" w:fill="auto"/>
            <w:noWrap/>
            <w:vAlign w:val="center"/>
            <w:hideMark/>
          </w:tcPr>
          <w:p w14:paraId="4F990E6D" w14:textId="77777777" w:rsidR="009A05C7" w:rsidRPr="002C4859" w:rsidRDefault="009A05C7" w:rsidP="000240DA">
            <w:pPr>
              <w:spacing w:after="0" w:line="240" w:lineRule="auto"/>
              <w:jc w:val="right"/>
              <w:rPr>
                <w:rFonts w:eastAsia="Times New Roman" w:cs="Times New Roman"/>
                <w:b/>
                <w:bCs/>
                <w:color w:val="000000"/>
                <w:sz w:val="18"/>
                <w:szCs w:val="18"/>
                <w:lang w:eastAsia="sk-SK"/>
              </w:rPr>
            </w:pPr>
            <w:r w:rsidRPr="002C4859">
              <w:rPr>
                <w:rFonts w:eastAsia="Times New Roman" w:cs="Times New Roman"/>
                <w:b/>
                <w:bCs/>
                <w:color w:val="000000"/>
                <w:sz w:val="18"/>
                <w:szCs w:val="18"/>
                <w:lang w:eastAsia="sk-SK"/>
              </w:rPr>
              <w:t>-349 992</w:t>
            </w:r>
          </w:p>
        </w:tc>
      </w:tr>
    </w:tbl>
    <w:p w14:paraId="3AA6A630" w14:textId="77777777" w:rsidR="009A05C7" w:rsidRPr="00A559C9" w:rsidRDefault="009A05C7" w:rsidP="009A05C7">
      <w:pPr>
        <w:spacing w:line="240" w:lineRule="auto"/>
        <w:jc w:val="right"/>
        <w:rPr>
          <w:sz w:val="24"/>
          <w:szCs w:val="24"/>
        </w:rPr>
      </w:pPr>
      <w:r w:rsidRPr="00EE1A4E">
        <w:rPr>
          <w:rFonts w:cs="Times New Roman"/>
          <w:sz w:val="18"/>
          <w:szCs w:val="18"/>
        </w:rPr>
        <w:t xml:space="preserve">Zdroj: </w:t>
      </w:r>
      <w:r>
        <w:rPr>
          <w:rFonts w:cs="Times New Roman"/>
          <w:sz w:val="18"/>
          <w:szCs w:val="18"/>
        </w:rPr>
        <w:t>ŠÚ SR</w:t>
      </w:r>
    </w:p>
    <w:p w14:paraId="26424D71" w14:textId="77777777" w:rsidR="009A05C7" w:rsidRPr="008D04AC" w:rsidRDefault="009A05C7" w:rsidP="009A05C7">
      <w:pPr>
        <w:spacing w:line="240" w:lineRule="auto"/>
        <w:rPr>
          <w:sz w:val="24"/>
          <w:szCs w:val="24"/>
        </w:rPr>
      </w:pPr>
      <w:r w:rsidRPr="00A559C9">
        <w:rPr>
          <w:b/>
          <w:sz w:val="24"/>
          <w:szCs w:val="24"/>
        </w:rPr>
        <w:lastRenderedPageBreak/>
        <w:t xml:space="preserve">Na úrovni celej verejnej správy bola oproti rozpočtu zaznamenaná pozitívna odchýlka v sume </w:t>
      </w:r>
      <w:r w:rsidRPr="00912F1D">
        <w:rPr>
          <w:b/>
          <w:sz w:val="24"/>
          <w:szCs w:val="24"/>
        </w:rPr>
        <w:t>933 968 tis. eur</w:t>
      </w:r>
      <w:r w:rsidRPr="00A559C9">
        <w:rPr>
          <w:b/>
          <w:sz w:val="24"/>
          <w:szCs w:val="24"/>
        </w:rPr>
        <w:t xml:space="preserve"> resp. o 0,7</w:t>
      </w:r>
      <w:r>
        <w:rPr>
          <w:b/>
          <w:sz w:val="24"/>
          <w:szCs w:val="24"/>
        </w:rPr>
        <w:t> </w:t>
      </w:r>
      <w:r w:rsidRPr="00A559C9">
        <w:rPr>
          <w:b/>
          <w:sz w:val="24"/>
          <w:szCs w:val="24"/>
        </w:rPr>
        <w:t>p.</w:t>
      </w:r>
      <w:r>
        <w:rPr>
          <w:b/>
          <w:sz w:val="24"/>
          <w:szCs w:val="24"/>
        </w:rPr>
        <w:t> </w:t>
      </w:r>
      <w:r w:rsidRPr="00A559C9">
        <w:rPr>
          <w:b/>
          <w:sz w:val="24"/>
          <w:szCs w:val="24"/>
        </w:rPr>
        <w:t>b.</w:t>
      </w:r>
      <w:r w:rsidRPr="0071157A">
        <w:rPr>
          <w:sz w:val="24"/>
          <w:szCs w:val="24"/>
        </w:rPr>
        <w:t xml:space="preserve"> najmä vplyvom nižšieho hotovostného schodku št</w:t>
      </w:r>
      <w:r>
        <w:rPr>
          <w:sz w:val="24"/>
          <w:szCs w:val="24"/>
        </w:rPr>
        <w:t>átneho rozpočtu (opisovaný v 3. </w:t>
      </w:r>
      <w:r w:rsidRPr="0071157A">
        <w:rPr>
          <w:sz w:val="24"/>
          <w:szCs w:val="24"/>
        </w:rPr>
        <w:t>kapitole</w:t>
      </w:r>
      <w:r w:rsidRPr="008D04AC">
        <w:rPr>
          <w:sz w:val="24"/>
          <w:szCs w:val="24"/>
        </w:rPr>
        <w:t>) a vyšších prebytkov niektorých ostatných zložiek verejnej správy (Sociálna poisťovňa, štátne fondy a Eximbanka). Negatívny vývoj zaznamenali najmä dopravné podniky.</w:t>
      </w:r>
    </w:p>
    <w:p w14:paraId="58A19EE6" w14:textId="77777777" w:rsidR="009A05C7" w:rsidRPr="00AD12E2" w:rsidRDefault="009A05C7" w:rsidP="009A05C7">
      <w:pPr>
        <w:spacing w:before="120" w:after="0" w:line="240" w:lineRule="auto"/>
        <w:rPr>
          <w:sz w:val="24"/>
          <w:szCs w:val="24"/>
          <w:highlight w:val="yellow"/>
        </w:rPr>
      </w:pPr>
      <w:r w:rsidRPr="001B53BB">
        <w:rPr>
          <w:sz w:val="24"/>
          <w:szCs w:val="24"/>
        </w:rPr>
        <w:t>Nezanedbateľným faktorom v porovnávaní očakávaného salda verejných financií a dosiahnutej skutočnosti mal ekonomický vývoj. Reálny rast HDP bol v rámci zostaveného rozpočtu predpokladaný na úrovni 2,</w:t>
      </w:r>
      <w:r>
        <w:rPr>
          <w:sz w:val="24"/>
          <w:szCs w:val="24"/>
        </w:rPr>
        <w:t>7</w:t>
      </w:r>
      <w:r w:rsidRPr="001B53BB">
        <w:rPr>
          <w:sz w:val="24"/>
          <w:szCs w:val="24"/>
        </w:rPr>
        <w:t> </w:t>
      </w:r>
      <w:r w:rsidRPr="00E872B3">
        <w:rPr>
          <w:sz w:val="24"/>
          <w:szCs w:val="24"/>
        </w:rPr>
        <w:t>%, v priebehu roka 2024 nastal jeho pokles</w:t>
      </w:r>
      <w:r>
        <w:rPr>
          <w:sz w:val="24"/>
          <w:szCs w:val="24"/>
        </w:rPr>
        <w:t xml:space="preserve"> prevažne v </w:t>
      </w:r>
      <w:r w:rsidRPr="00E872B3">
        <w:rPr>
          <w:sz w:val="24"/>
          <w:szCs w:val="24"/>
        </w:rPr>
        <w:t xml:space="preserve">dôsledku zvyšujúcej sa neistoty v oblasti globálneho obchodu a stagnácie nemeckého </w:t>
      </w:r>
      <w:r w:rsidRPr="00B0288A">
        <w:rPr>
          <w:sz w:val="24"/>
          <w:szCs w:val="24"/>
        </w:rPr>
        <w:t>priemyslu. V skutočnosti</w:t>
      </w:r>
      <w:r w:rsidRPr="003308B5">
        <w:rPr>
          <w:sz w:val="24"/>
          <w:szCs w:val="24"/>
        </w:rPr>
        <w:t xml:space="preserve"> Štatistický úrad SR vyčíslil medziročný reálny rast HDP za rok 2024 na úrovni 2,1 %.</w:t>
      </w:r>
    </w:p>
    <w:p w14:paraId="4B59B5E5" w14:textId="77777777" w:rsidR="009A05C7" w:rsidRPr="00711AF1" w:rsidRDefault="009A05C7" w:rsidP="009A05C7">
      <w:pPr>
        <w:spacing w:before="120" w:line="240" w:lineRule="auto"/>
        <w:rPr>
          <w:sz w:val="24"/>
          <w:szCs w:val="24"/>
        </w:rPr>
      </w:pPr>
      <w:r w:rsidRPr="00711AF1">
        <w:rPr>
          <w:b/>
          <w:sz w:val="24"/>
          <w:szCs w:val="24"/>
        </w:rPr>
        <w:t>Príjmy verejnej správy</w:t>
      </w:r>
      <w:r w:rsidRPr="00711AF1">
        <w:rPr>
          <w:sz w:val="24"/>
          <w:szCs w:val="24"/>
        </w:rPr>
        <w:t xml:space="preserve"> </w:t>
      </w:r>
      <w:r w:rsidRPr="00711AF1">
        <w:rPr>
          <w:b/>
          <w:sz w:val="24"/>
          <w:szCs w:val="24"/>
        </w:rPr>
        <w:t>v metodike ESA 2010</w:t>
      </w:r>
      <w:r w:rsidRPr="00711AF1">
        <w:rPr>
          <w:sz w:val="24"/>
          <w:szCs w:val="24"/>
        </w:rPr>
        <w:t xml:space="preserve"> boli oproti rozpočtu na rok 2024 úhrnom vyššie o 1 326 703 tis. eur (1,12</w:t>
      </w:r>
      <w:r>
        <w:rPr>
          <w:sz w:val="24"/>
          <w:szCs w:val="24"/>
        </w:rPr>
        <w:t> </w:t>
      </w:r>
      <w:r w:rsidRPr="00711AF1">
        <w:rPr>
          <w:sz w:val="24"/>
          <w:szCs w:val="24"/>
        </w:rPr>
        <w:t>% HDP), z toho daňové príjmy poklesli o 90 840 tis. eur. Príspevky na</w:t>
      </w:r>
      <w:r>
        <w:rPr>
          <w:sz w:val="24"/>
          <w:szCs w:val="24"/>
        </w:rPr>
        <w:t> </w:t>
      </w:r>
      <w:r w:rsidRPr="00711AF1">
        <w:rPr>
          <w:sz w:val="24"/>
          <w:szCs w:val="24"/>
        </w:rPr>
        <w:t xml:space="preserve">sociálne zabezpečenie vzrástli o 221 539 tis. eur, nedaňové príjmy </w:t>
      </w:r>
      <w:r>
        <w:rPr>
          <w:sz w:val="24"/>
          <w:szCs w:val="24"/>
        </w:rPr>
        <w:t xml:space="preserve">vzrástli </w:t>
      </w:r>
      <w:r w:rsidRPr="00711AF1">
        <w:rPr>
          <w:sz w:val="24"/>
          <w:szCs w:val="24"/>
        </w:rPr>
        <w:t>o 652 </w:t>
      </w:r>
      <w:r>
        <w:rPr>
          <w:sz w:val="24"/>
          <w:szCs w:val="24"/>
        </w:rPr>
        <w:t>027 tis. eur a </w:t>
      </w:r>
      <w:r w:rsidRPr="00711AF1">
        <w:rPr>
          <w:sz w:val="24"/>
          <w:szCs w:val="24"/>
        </w:rPr>
        <w:t>granty a transfery o 543 977 tis. eur.</w:t>
      </w:r>
    </w:p>
    <w:p w14:paraId="4BA3F1F3" w14:textId="77777777" w:rsidR="009A05C7" w:rsidRPr="00711AF1" w:rsidRDefault="009A05C7" w:rsidP="009A05C7">
      <w:pPr>
        <w:spacing w:line="240" w:lineRule="auto"/>
        <w:rPr>
          <w:sz w:val="24"/>
          <w:szCs w:val="24"/>
        </w:rPr>
      </w:pPr>
      <w:r w:rsidRPr="00711AF1">
        <w:rPr>
          <w:b/>
          <w:sz w:val="24"/>
          <w:szCs w:val="24"/>
        </w:rPr>
        <w:t>Výdavky verejnej správy v metodike ESA 2010</w:t>
      </w:r>
      <w:r w:rsidRPr="00711AF1">
        <w:rPr>
          <w:sz w:val="24"/>
          <w:szCs w:val="24"/>
        </w:rPr>
        <w:t xml:space="preserve"> boli vyššie o 392 735 tis. eur oproti rozpočtu (0,42 % HDP), z toho bežné výdavky vzrástli o 437 854 tis. eur a kapitálové výdavky poklesli o 45 119 tis. eur.</w:t>
      </w:r>
    </w:p>
    <w:p w14:paraId="6B85D65C" w14:textId="77777777" w:rsidR="009A05C7" w:rsidRDefault="009A05C7" w:rsidP="009A05C7">
      <w:pPr>
        <w:spacing w:line="240" w:lineRule="auto"/>
        <w:rPr>
          <w:sz w:val="24"/>
          <w:szCs w:val="24"/>
        </w:rPr>
      </w:pPr>
      <w:r w:rsidRPr="00A122DA">
        <w:rPr>
          <w:sz w:val="24"/>
          <w:szCs w:val="24"/>
        </w:rPr>
        <w:t xml:space="preserve">Nasledujúca tabuľka poskytuje prehľad najvýznamnejších položiek (príjmov, výdavkov resp. </w:t>
      </w:r>
      <w:r>
        <w:rPr>
          <w:sz w:val="24"/>
          <w:szCs w:val="24"/>
        </w:rPr>
        <w:t xml:space="preserve">celkový </w:t>
      </w:r>
      <w:r w:rsidRPr="00A122DA">
        <w:rPr>
          <w:sz w:val="24"/>
          <w:szCs w:val="24"/>
        </w:rPr>
        <w:t>výsledok hospodáreni</w:t>
      </w:r>
      <w:r>
        <w:rPr>
          <w:sz w:val="24"/>
          <w:szCs w:val="24"/>
        </w:rPr>
        <w:t>a</w:t>
      </w:r>
      <w:r w:rsidRPr="00A122DA">
        <w:rPr>
          <w:sz w:val="24"/>
          <w:szCs w:val="24"/>
        </w:rPr>
        <w:t xml:space="preserve"> subjektov verejnej správy) a ich vplyv na dosiahnuté saldo verejnej správy za rok 2024 oproti rozpočtu.</w:t>
      </w:r>
    </w:p>
    <w:p w14:paraId="17162625" w14:textId="4C7C46E8" w:rsidR="00D96E6C" w:rsidRPr="00D96E6C" w:rsidRDefault="00D96E6C" w:rsidP="00D96E6C">
      <w:pPr>
        <w:pStyle w:val="Popis"/>
        <w:keepNext/>
        <w:spacing w:after="120"/>
        <w:rPr>
          <w:rFonts w:eastAsia="Times New Roman" w:cs="Times New Roman"/>
          <w:b/>
          <w:bCs/>
          <w:i w:val="0"/>
          <w:iCs w:val="0"/>
          <w:color w:val="5B9BD5"/>
          <w:sz w:val="20"/>
          <w:szCs w:val="20"/>
          <w:lang w:eastAsia="sk-SK"/>
        </w:rPr>
      </w:pPr>
      <w:bookmarkStart w:id="39" w:name="_Toc196313633"/>
      <w:bookmarkStart w:id="40" w:name="_Toc196389254"/>
      <w:r w:rsidRPr="00D96E6C">
        <w:rPr>
          <w:rFonts w:eastAsia="Times New Roman" w:cs="Times New Roman"/>
          <w:b/>
          <w:bCs/>
          <w:i w:val="0"/>
          <w:iCs w:val="0"/>
          <w:color w:val="5B9BD5"/>
          <w:sz w:val="20"/>
          <w:szCs w:val="20"/>
          <w:lang w:eastAsia="sk-SK"/>
        </w:rPr>
        <w:t xml:space="preserve">Tabuľka </w:t>
      </w:r>
      <w:r w:rsidR="003B7AF0">
        <w:rPr>
          <w:rFonts w:eastAsia="Times New Roman" w:cs="Times New Roman"/>
          <w:b/>
          <w:bCs/>
          <w:i w:val="0"/>
          <w:iCs w:val="0"/>
          <w:color w:val="5B9BD5"/>
          <w:sz w:val="20"/>
          <w:szCs w:val="20"/>
          <w:lang w:eastAsia="sk-SK"/>
        </w:rPr>
        <w:fldChar w:fldCharType="begin"/>
      </w:r>
      <w:r w:rsidR="003B7AF0">
        <w:rPr>
          <w:rFonts w:eastAsia="Times New Roman" w:cs="Times New Roman"/>
          <w:b/>
          <w:bCs/>
          <w:i w:val="0"/>
          <w:iCs w:val="0"/>
          <w:color w:val="5B9BD5"/>
          <w:sz w:val="20"/>
          <w:szCs w:val="20"/>
          <w:lang w:eastAsia="sk-SK"/>
        </w:rPr>
        <w:instrText xml:space="preserve"> SEQ Tabuľka \* ARABIC </w:instrText>
      </w:r>
      <w:r w:rsidR="003B7AF0">
        <w:rPr>
          <w:rFonts w:eastAsia="Times New Roman" w:cs="Times New Roman"/>
          <w:b/>
          <w:bCs/>
          <w:i w:val="0"/>
          <w:iCs w:val="0"/>
          <w:color w:val="5B9BD5"/>
          <w:sz w:val="20"/>
          <w:szCs w:val="20"/>
          <w:lang w:eastAsia="sk-SK"/>
        </w:rPr>
        <w:fldChar w:fldCharType="separate"/>
      </w:r>
      <w:r w:rsidR="00C64CBA">
        <w:rPr>
          <w:rFonts w:eastAsia="Times New Roman" w:cs="Times New Roman"/>
          <w:b/>
          <w:bCs/>
          <w:i w:val="0"/>
          <w:iCs w:val="0"/>
          <w:noProof/>
          <w:color w:val="5B9BD5"/>
          <w:sz w:val="20"/>
          <w:szCs w:val="20"/>
          <w:lang w:eastAsia="sk-SK"/>
        </w:rPr>
        <w:t>7</w:t>
      </w:r>
      <w:r w:rsidR="003B7AF0">
        <w:rPr>
          <w:rFonts w:eastAsia="Times New Roman" w:cs="Times New Roman"/>
          <w:b/>
          <w:bCs/>
          <w:i w:val="0"/>
          <w:iCs w:val="0"/>
          <w:color w:val="5B9BD5"/>
          <w:sz w:val="20"/>
          <w:szCs w:val="20"/>
          <w:lang w:eastAsia="sk-SK"/>
        </w:rPr>
        <w:fldChar w:fldCharType="end"/>
      </w:r>
      <w:r w:rsidRPr="00D96E6C">
        <w:rPr>
          <w:rFonts w:eastAsia="Times New Roman" w:cs="Times New Roman"/>
          <w:b/>
          <w:bCs/>
          <w:i w:val="0"/>
          <w:iCs w:val="0"/>
          <w:color w:val="5B9BD5"/>
          <w:sz w:val="20"/>
          <w:szCs w:val="20"/>
          <w:lang w:eastAsia="sk-SK"/>
        </w:rPr>
        <w:t xml:space="preserve"> - Saldo verejnej správy </w:t>
      </w:r>
      <w:r w:rsidR="001D18C1" w:rsidRPr="00D96E6C">
        <w:rPr>
          <w:b/>
          <w:i w:val="0"/>
          <w:iCs w:val="0"/>
          <w:color w:val="5B9BD5" w:themeColor="accent1"/>
          <w:sz w:val="20"/>
          <w:szCs w:val="20"/>
        </w:rPr>
        <w:t xml:space="preserve">v metodike </w:t>
      </w:r>
      <w:r w:rsidRPr="00D96E6C">
        <w:rPr>
          <w:rFonts w:eastAsia="Times New Roman" w:cs="Times New Roman"/>
          <w:b/>
          <w:bCs/>
          <w:i w:val="0"/>
          <w:iCs w:val="0"/>
          <w:color w:val="5B9BD5"/>
          <w:sz w:val="20"/>
          <w:szCs w:val="20"/>
          <w:lang w:eastAsia="sk-SK"/>
        </w:rPr>
        <w:t>ESA2010 - rozdiel oproti rozpočtu</w:t>
      </w:r>
      <w:bookmarkEnd w:id="39"/>
      <w:bookmarkEnd w:id="40"/>
    </w:p>
    <w:tbl>
      <w:tblPr>
        <w:tblW w:w="5037" w:type="pct"/>
        <w:tblCellMar>
          <w:left w:w="70" w:type="dxa"/>
          <w:right w:w="70" w:type="dxa"/>
        </w:tblCellMar>
        <w:tblLook w:val="04A0" w:firstRow="1" w:lastRow="0" w:firstColumn="1" w:lastColumn="0" w:noHBand="0" w:noVBand="1"/>
      </w:tblPr>
      <w:tblGrid>
        <w:gridCol w:w="6613"/>
        <w:gridCol w:w="1232"/>
        <w:gridCol w:w="1151"/>
      </w:tblGrid>
      <w:tr w:rsidR="009A05C7" w:rsidRPr="00912F1D" w14:paraId="3A2AE13B" w14:textId="77777777" w:rsidTr="00BA40FB">
        <w:trPr>
          <w:trHeight w:val="281"/>
          <w:tblHeader/>
        </w:trPr>
        <w:tc>
          <w:tcPr>
            <w:tcW w:w="3674" w:type="pct"/>
            <w:vMerge w:val="restart"/>
            <w:tcBorders>
              <w:top w:val="single" w:sz="4" w:space="0" w:color="auto"/>
              <w:left w:val="nil"/>
              <w:bottom w:val="single" w:sz="4" w:space="0" w:color="000000"/>
              <w:right w:val="nil"/>
            </w:tcBorders>
            <w:shd w:val="clear" w:color="auto" w:fill="auto"/>
            <w:vAlign w:val="center"/>
            <w:hideMark/>
          </w:tcPr>
          <w:p w14:paraId="4FEBD7C6" w14:textId="77777777" w:rsidR="009A05C7" w:rsidRPr="00912F1D" w:rsidRDefault="009A05C7" w:rsidP="000240DA">
            <w:pPr>
              <w:spacing w:after="0" w:line="240" w:lineRule="auto"/>
              <w:jc w:val="left"/>
              <w:rPr>
                <w:rFonts w:eastAsia="Times New Roman" w:cs="Times New Roman"/>
                <w:b/>
                <w:bCs/>
                <w:color w:val="000000"/>
                <w:sz w:val="18"/>
                <w:szCs w:val="18"/>
                <w:lang w:eastAsia="sk-SK"/>
              </w:rPr>
            </w:pPr>
            <w:r w:rsidRPr="00912F1D">
              <w:rPr>
                <w:rFonts w:eastAsia="Times New Roman" w:cs="Times New Roman"/>
                <w:b/>
                <w:bCs/>
                <w:color w:val="000000"/>
                <w:sz w:val="18"/>
                <w:szCs w:val="18"/>
                <w:lang w:eastAsia="sk-SK"/>
              </w:rPr>
              <w:t>v tis. eur</w:t>
            </w:r>
          </w:p>
        </w:tc>
        <w:tc>
          <w:tcPr>
            <w:tcW w:w="685" w:type="pct"/>
            <w:tcBorders>
              <w:top w:val="single" w:sz="4" w:space="0" w:color="auto"/>
              <w:left w:val="nil"/>
              <w:bottom w:val="nil"/>
              <w:right w:val="nil"/>
            </w:tcBorders>
            <w:shd w:val="clear" w:color="auto" w:fill="auto"/>
            <w:noWrap/>
            <w:vAlign w:val="center"/>
            <w:hideMark/>
          </w:tcPr>
          <w:p w14:paraId="25C1AF62" w14:textId="77777777" w:rsidR="009A05C7" w:rsidRPr="00912F1D" w:rsidRDefault="009A05C7" w:rsidP="000240DA">
            <w:pPr>
              <w:spacing w:after="0" w:line="240" w:lineRule="auto"/>
              <w:ind w:left="169"/>
              <w:jc w:val="center"/>
              <w:rPr>
                <w:rFonts w:eastAsia="Times New Roman" w:cs="Times New Roman"/>
                <w:b/>
                <w:bCs/>
                <w:color w:val="000000"/>
                <w:sz w:val="18"/>
                <w:szCs w:val="18"/>
                <w:lang w:eastAsia="sk-SK"/>
              </w:rPr>
            </w:pPr>
            <w:r w:rsidRPr="00912F1D">
              <w:rPr>
                <w:rFonts w:eastAsia="Times New Roman" w:cs="Times New Roman"/>
                <w:b/>
                <w:bCs/>
                <w:color w:val="000000"/>
                <w:sz w:val="18"/>
                <w:szCs w:val="18"/>
                <w:lang w:eastAsia="sk-SK"/>
              </w:rPr>
              <w:t>2024</w:t>
            </w:r>
          </w:p>
        </w:tc>
        <w:tc>
          <w:tcPr>
            <w:tcW w:w="640" w:type="pct"/>
            <w:tcBorders>
              <w:top w:val="single" w:sz="4" w:space="0" w:color="auto"/>
              <w:left w:val="nil"/>
              <w:bottom w:val="nil"/>
              <w:right w:val="nil"/>
            </w:tcBorders>
            <w:shd w:val="clear" w:color="auto" w:fill="auto"/>
            <w:noWrap/>
            <w:vAlign w:val="center"/>
            <w:hideMark/>
          </w:tcPr>
          <w:p w14:paraId="1271FE06" w14:textId="77777777" w:rsidR="009A05C7" w:rsidRPr="00912F1D" w:rsidRDefault="009A05C7" w:rsidP="000240DA">
            <w:pPr>
              <w:spacing w:after="0" w:line="240" w:lineRule="auto"/>
              <w:ind w:left="141"/>
              <w:jc w:val="center"/>
              <w:rPr>
                <w:rFonts w:eastAsia="Times New Roman" w:cs="Times New Roman"/>
                <w:b/>
                <w:bCs/>
                <w:color w:val="000000"/>
                <w:sz w:val="18"/>
                <w:szCs w:val="18"/>
                <w:lang w:eastAsia="sk-SK"/>
              </w:rPr>
            </w:pPr>
            <w:r w:rsidRPr="00912F1D">
              <w:rPr>
                <w:rFonts w:eastAsia="Times New Roman" w:cs="Times New Roman"/>
                <w:b/>
                <w:bCs/>
                <w:color w:val="000000"/>
                <w:sz w:val="18"/>
                <w:szCs w:val="18"/>
                <w:lang w:eastAsia="sk-SK"/>
              </w:rPr>
              <w:t>Rozdiel</w:t>
            </w:r>
          </w:p>
        </w:tc>
      </w:tr>
      <w:tr w:rsidR="009A05C7" w:rsidRPr="00912F1D" w14:paraId="7183299A" w14:textId="77777777" w:rsidTr="00BA40FB">
        <w:trPr>
          <w:trHeight w:val="278"/>
          <w:tblHeader/>
        </w:trPr>
        <w:tc>
          <w:tcPr>
            <w:tcW w:w="3674" w:type="pct"/>
            <w:vMerge/>
            <w:tcBorders>
              <w:top w:val="single" w:sz="4" w:space="0" w:color="auto"/>
              <w:left w:val="nil"/>
              <w:bottom w:val="single" w:sz="4" w:space="0" w:color="000000"/>
              <w:right w:val="nil"/>
            </w:tcBorders>
            <w:vAlign w:val="center"/>
            <w:hideMark/>
          </w:tcPr>
          <w:p w14:paraId="1A0F5EFD" w14:textId="77777777" w:rsidR="009A05C7" w:rsidRPr="00912F1D" w:rsidRDefault="009A05C7" w:rsidP="000240DA">
            <w:pPr>
              <w:spacing w:after="0" w:line="240" w:lineRule="auto"/>
              <w:jc w:val="left"/>
              <w:rPr>
                <w:rFonts w:eastAsia="Times New Roman" w:cs="Times New Roman"/>
                <w:b/>
                <w:bCs/>
                <w:color w:val="000000"/>
                <w:sz w:val="18"/>
                <w:szCs w:val="18"/>
                <w:lang w:eastAsia="sk-SK"/>
              </w:rPr>
            </w:pPr>
          </w:p>
        </w:tc>
        <w:tc>
          <w:tcPr>
            <w:tcW w:w="685" w:type="pct"/>
            <w:tcBorders>
              <w:top w:val="nil"/>
              <w:left w:val="nil"/>
              <w:bottom w:val="single" w:sz="4" w:space="0" w:color="auto"/>
              <w:right w:val="nil"/>
            </w:tcBorders>
            <w:shd w:val="clear" w:color="auto" w:fill="auto"/>
            <w:noWrap/>
            <w:vAlign w:val="center"/>
            <w:hideMark/>
          </w:tcPr>
          <w:p w14:paraId="5ABBDF7C" w14:textId="77777777" w:rsidR="009A05C7" w:rsidRPr="00912F1D" w:rsidRDefault="009A05C7" w:rsidP="000240DA">
            <w:pPr>
              <w:spacing w:after="0" w:line="240" w:lineRule="auto"/>
              <w:ind w:left="169"/>
              <w:jc w:val="center"/>
              <w:rPr>
                <w:rFonts w:eastAsia="Times New Roman" w:cs="Times New Roman"/>
                <w:b/>
                <w:bCs/>
                <w:color w:val="000000"/>
                <w:sz w:val="18"/>
                <w:szCs w:val="18"/>
                <w:lang w:eastAsia="sk-SK"/>
              </w:rPr>
            </w:pPr>
            <w:r w:rsidRPr="00912F1D">
              <w:rPr>
                <w:rFonts w:eastAsia="Times New Roman" w:cs="Times New Roman"/>
                <w:b/>
                <w:bCs/>
                <w:color w:val="000000"/>
                <w:sz w:val="18"/>
                <w:szCs w:val="18"/>
                <w:lang w:eastAsia="sk-SK"/>
              </w:rPr>
              <w:t>Rozdiel S-R</w:t>
            </w:r>
          </w:p>
        </w:tc>
        <w:tc>
          <w:tcPr>
            <w:tcW w:w="640" w:type="pct"/>
            <w:tcBorders>
              <w:top w:val="nil"/>
              <w:left w:val="nil"/>
              <w:bottom w:val="single" w:sz="4" w:space="0" w:color="auto"/>
              <w:right w:val="nil"/>
            </w:tcBorders>
            <w:shd w:val="clear" w:color="auto" w:fill="auto"/>
            <w:noWrap/>
            <w:vAlign w:val="center"/>
            <w:hideMark/>
          </w:tcPr>
          <w:p w14:paraId="74796E23" w14:textId="77777777" w:rsidR="009A05C7" w:rsidRPr="00912F1D" w:rsidRDefault="009A05C7" w:rsidP="000240DA">
            <w:pPr>
              <w:spacing w:after="0" w:line="240" w:lineRule="auto"/>
              <w:ind w:left="141"/>
              <w:jc w:val="center"/>
              <w:rPr>
                <w:rFonts w:eastAsia="Times New Roman" w:cs="Times New Roman"/>
                <w:b/>
                <w:bCs/>
                <w:color w:val="000000"/>
                <w:sz w:val="18"/>
                <w:szCs w:val="18"/>
                <w:lang w:eastAsia="sk-SK"/>
              </w:rPr>
            </w:pPr>
            <w:r w:rsidRPr="00912F1D">
              <w:rPr>
                <w:rFonts w:eastAsia="Times New Roman" w:cs="Times New Roman"/>
                <w:b/>
                <w:bCs/>
                <w:color w:val="000000"/>
                <w:sz w:val="18"/>
                <w:szCs w:val="18"/>
                <w:lang w:eastAsia="sk-SK"/>
              </w:rPr>
              <w:t>(% HDP)</w:t>
            </w:r>
          </w:p>
        </w:tc>
      </w:tr>
      <w:tr w:rsidR="009A05C7" w:rsidRPr="00912F1D" w14:paraId="370470BA" w14:textId="77777777" w:rsidTr="00BA40FB">
        <w:trPr>
          <w:trHeight w:val="278"/>
        </w:trPr>
        <w:tc>
          <w:tcPr>
            <w:tcW w:w="3674" w:type="pct"/>
            <w:tcBorders>
              <w:top w:val="nil"/>
              <w:left w:val="nil"/>
              <w:bottom w:val="nil"/>
              <w:right w:val="nil"/>
            </w:tcBorders>
            <w:shd w:val="clear" w:color="auto" w:fill="auto"/>
            <w:vAlign w:val="center"/>
            <w:hideMark/>
          </w:tcPr>
          <w:p w14:paraId="4FDFE092" w14:textId="77777777" w:rsidR="009A05C7" w:rsidRPr="00912F1D" w:rsidRDefault="009A05C7" w:rsidP="000240DA">
            <w:pPr>
              <w:spacing w:after="0" w:line="240" w:lineRule="auto"/>
              <w:jc w:val="left"/>
              <w:rPr>
                <w:rFonts w:eastAsia="Times New Roman" w:cs="Times New Roman"/>
                <w:b/>
                <w:bCs/>
                <w:color w:val="000000"/>
                <w:sz w:val="18"/>
                <w:szCs w:val="18"/>
                <w:lang w:eastAsia="sk-SK"/>
              </w:rPr>
            </w:pPr>
            <w:r w:rsidRPr="00912F1D">
              <w:rPr>
                <w:rFonts w:eastAsia="Times New Roman" w:cs="Times New Roman"/>
                <w:b/>
                <w:bCs/>
                <w:color w:val="000000"/>
                <w:sz w:val="18"/>
                <w:szCs w:val="18"/>
                <w:lang w:eastAsia="sk-SK"/>
              </w:rPr>
              <w:t xml:space="preserve">Saldo verejnej správy - rozpočet </w:t>
            </w:r>
          </w:p>
        </w:tc>
        <w:tc>
          <w:tcPr>
            <w:tcW w:w="685" w:type="pct"/>
            <w:tcBorders>
              <w:top w:val="nil"/>
              <w:left w:val="nil"/>
              <w:bottom w:val="nil"/>
              <w:right w:val="nil"/>
            </w:tcBorders>
            <w:shd w:val="clear" w:color="auto" w:fill="auto"/>
            <w:noWrap/>
            <w:vAlign w:val="center"/>
            <w:hideMark/>
          </w:tcPr>
          <w:p w14:paraId="5AB722F8" w14:textId="77777777" w:rsidR="009A05C7" w:rsidRPr="00912F1D" w:rsidRDefault="009A05C7" w:rsidP="000240DA">
            <w:pPr>
              <w:spacing w:after="0" w:line="240" w:lineRule="auto"/>
              <w:jc w:val="right"/>
              <w:rPr>
                <w:rFonts w:eastAsia="Times New Roman" w:cs="Times New Roman"/>
                <w:b/>
                <w:bCs/>
                <w:color w:val="000000"/>
                <w:sz w:val="18"/>
                <w:szCs w:val="18"/>
                <w:lang w:eastAsia="sk-SK"/>
              </w:rPr>
            </w:pPr>
            <w:r w:rsidRPr="00912F1D">
              <w:rPr>
                <w:rFonts w:eastAsia="Times New Roman" w:cs="Times New Roman"/>
                <w:b/>
                <w:bCs/>
                <w:color w:val="000000"/>
                <w:sz w:val="18"/>
                <w:szCs w:val="18"/>
                <w:lang w:eastAsia="sk-SK"/>
              </w:rPr>
              <w:t>-7 840 706</w:t>
            </w:r>
          </w:p>
        </w:tc>
        <w:tc>
          <w:tcPr>
            <w:tcW w:w="640" w:type="pct"/>
            <w:tcBorders>
              <w:top w:val="nil"/>
              <w:left w:val="nil"/>
              <w:bottom w:val="nil"/>
              <w:right w:val="nil"/>
            </w:tcBorders>
            <w:shd w:val="clear" w:color="auto" w:fill="auto"/>
            <w:noWrap/>
            <w:vAlign w:val="center"/>
            <w:hideMark/>
          </w:tcPr>
          <w:p w14:paraId="3EC56D71" w14:textId="77777777" w:rsidR="009A05C7" w:rsidRPr="00912F1D" w:rsidRDefault="009A05C7" w:rsidP="000240DA">
            <w:pPr>
              <w:spacing w:after="0" w:line="240" w:lineRule="auto"/>
              <w:jc w:val="right"/>
              <w:rPr>
                <w:rFonts w:eastAsia="Times New Roman" w:cs="Times New Roman"/>
                <w:b/>
                <w:bCs/>
                <w:color w:val="000000"/>
                <w:sz w:val="18"/>
                <w:szCs w:val="18"/>
                <w:lang w:eastAsia="sk-SK"/>
              </w:rPr>
            </w:pPr>
            <w:r w:rsidRPr="00912F1D">
              <w:rPr>
                <w:rFonts w:eastAsia="Times New Roman" w:cs="Times New Roman"/>
                <w:b/>
                <w:bCs/>
                <w:color w:val="000000"/>
                <w:sz w:val="18"/>
                <w:szCs w:val="18"/>
                <w:lang w:eastAsia="sk-SK"/>
              </w:rPr>
              <w:t>-5,97</w:t>
            </w:r>
          </w:p>
        </w:tc>
      </w:tr>
      <w:tr w:rsidR="009A05C7" w:rsidRPr="00912F1D" w14:paraId="7D3188E5" w14:textId="77777777" w:rsidTr="00BA40FB">
        <w:trPr>
          <w:trHeight w:val="278"/>
        </w:trPr>
        <w:tc>
          <w:tcPr>
            <w:tcW w:w="3674" w:type="pct"/>
            <w:tcBorders>
              <w:top w:val="nil"/>
              <w:left w:val="nil"/>
              <w:bottom w:val="nil"/>
              <w:right w:val="nil"/>
            </w:tcBorders>
            <w:shd w:val="clear" w:color="auto" w:fill="auto"/>
            <w:vAlign w:val="center"/>
            <w:hideMark/>
          </w:tcPr>
          <w:p w14:paraId="40655FE5" w14:textId="77777777" w:rsidR="009A05C7" w:rsidRPr="00912F1D" w:rsidRDefault="009A05C7" w:rsidP="000240DA">
            <w:pPr>
              <w:spacing w:after="0" w:line="240" w:lineRule="auto"/>
              <w:jc w:val="left"/>
              <w:rPr>
                <w:rFonts w:eastAsia="Times New Roman" w:cs="Times New Roman"/>
                <w:b/>
                <w:bCs/>
                <w:color w:val="000000"/>
                <w:sz w:val="18"/>
                <w:szCs w:val="18"/>
                <w:lang w:eastAsia="sk-SK"/>
              </w:rPr>
            </w:pPr>
            <w:r w:rsidRPr="00912F1D">
              <w:rPr>
                <w:rFonts w:eastAsia="Times New Roman" w:cs="Times New Roman"/>
                <w:b/>
                <w:bCs/>
                <w:color w:val="000000"/>
                <w:sz w:val="18"/>
                <w:szCs w:val="18"/>
                <w:lang w:eastAsia="sk-SK"/>
              </w:rPr>
              <w:t>1. Daňové a odvodové príjmy verejnej správy</w:t>
            </w:r>
          </w:p>
        </w:tc>
        <w:tc>
          <w:tcPr>
            <w:tcW w:w="685" w:type="pct"/>
            <w:tcBorders>
              <w:top w:val="nil"/>
              <w:left w:val="nil"/>
              <w:bottom w:val="nil"/>
              <w:right w:val="nil"/>
            </w:tcBorders>
            <w:shd w:val="clear" w:color="auto" w:fill="auto"/>
            <w:noWrap/>
            <w:vAlign w:val="center"/>
            <w:hideMark/>
          </w:tcPr>
          <w:p w14:paraId="0C1CA33F" w14:textId="77777777" w:rsidR="009A05C7" w:rsidRPr="00912F1D" w:rsidRDefault="009A05C7" w:rsidP="000240DA">
            <w:pPr>
              <w:spacing w:after="0" w:line="240" w:lineRule="auto"/>
              <w:jc w:val="right"/>
              <w:rPr>
                <w:rFonts w:eastAsia="Times New Roman" w:cs="Times New Roman"/>
                <w:b/>
                <w:bCs/>
                <w:i/>
                <w:iCs/>
                <w:color w:val="000000"/>
                <w:sz w:val="18"/>
                <w:szCs w:val="18"/>
                <w:lang w:eastAsia="sk-SK"/>
              </w:rPr>
            </w:pPr>
            <w:r w:rsidRPr="00912F1D">
              <w:rPr>
                <w:rFonts w:eastAsia="Times New Roman" w:cs="Times New Roman"/>
                <w:b/>
                <w:bCs/>
                <w:i/>
                <w:iCs/>
                <w:color w:val="000000"/>
                <w:sz w:val="18"/>
                <w:szCs w:val="18"/>
                <w:lang w:eastAsia="sk-SK"/>
              </w:rPr>
              <w:t>130 699</w:t>
            </w:r>
          </w:p>
        </w:tc>
        <w:tc>
          <w:tcPr>
            <w:tcW w:w="640" w:type="pct"/>
            <w:tcBorders>
              <w:top w:val="nil"/>
              <w:left w:val="nil"/>
              <w:bottom w:val="nil"/>
              <w:right w:val="nil"/>
            </w:tcBorders>
            <w:shd w:val="clear" w:color="auto" w:fill="auto"/>
            <w:noWrap/>
            <w:vAlign w:val="center"/>
            <w:hideMark/>
          </w:tcPr>
          <w:p w14:paraId="41AF4D34"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0,10</w:t>
            </w:r>
          </w:p>
        </w:tc>
      </w:tr>
      <w:tr w:rsidR="009A05C7" w:rsidRPr="00912F1D" w14:paraId="368550A8" w14:textId="77777777" w:rsidTr="00BA40FB">
        <w:trPr>
          <w:trHeight w:val="278"/>
        </w:trPr>
        <w:tc>
          <w:tcPr>
            <w:tcW w:w="3674" w:type="pct"/>
            <w:tcBorders>
              <w:top w:val="nil"/>
              <w:left w:val="nil"/>
              <w:bottom w:val="nil"/>
              <w:right w:val="nil"/>
            </w:tcBorders>
            <w:shd w:val="clear" w:color="auto" w:fill="auto"/>
            <w:vAlign w:val="center"/>
            <w:hideMark/>
          </w:tcPr>
          <w:p w14:paraId="705DC48E"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ESA daňové príjmy</w:t>
            </w:r>
          </w:p>
        </w:tc>
        <w:tc>
          <w:tcPr>
            <w:tcW w:w="685" w:type="pct"/>
            <w:tcBorders>
              <w:top w:val="nil"/>
              <w:left w:val="nil"/>
              <w:bottom w:val="nil"/>
              <w:right w:val="nil"/>
            </w:tcBorders>
            <w:shd w:val="clear" w:color="auto" w:fill="auto"/>
            <w:noWrap/>
            <w:vAlign w:val="center"/>
            <w:hideMark/>
          </w:tcPr>
          <w:p w14:paraId="584A7618"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-90 840</w:t>
            </w:r>
          </w:p>
        </w:tc>
        <w:tc>
          <w:tcPr>
            <w:tcW w:w="640" w:type="pct"/>
            <w:tcBorders>
              <w:top w:val="nil"/>
              <w:left w:val="nil"/>
              <w:bottom w:val="nil"/>
              <w:right w:val="nil"/>
            </w:tcBorders>
            <w:shd w:val="clear" w:color="auto" w:fill="auto"/>
            <w:noWrap/>
            <w:vAlign w:val="center"/>
            <w:hideMark/>
          </w:tcPr>
          <w:p w14:paraId="3BA14FF5"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-0,07</w:t>
            </w:r>
          </w:p>
        </w:tc>
      </w:tr>
      <w:tr w:rsidR="009A05C7" w:rsidRPr="00912F1D" w14:paraId="55DC7624" w14:textId="77777777" w:rsidTr="00BA40FB">
        <w:trPr>
          <w:trHeight w:val="278"/>
        </w:trPr>
        <w:tc>
          <w:tcPr>
            <w:tcW w:w="3674" w:type="pct"/>
            <w:tcBorders>
              <w:top w:val="nil"/>
              <w:left w:val="nil"/>
              <w:bottom w:val="nil"/>
              <w:right w:val="nil"/>
            </w:tcBorders>
            <w:shd w:val="clear" w:color="auto" w:fill="auto"/>
            <w:vAlign w:val="center"/>
            <w:hideMark/>
          </w:tcPr>
          <w:p w14:paraId="33741107"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z toho: imputácia daňových príjmov za zelenú energiu</w:t>
            </w:r>
          </w:p>
        </w:tc>
        <w:tc>
          <w:tcPr>
            <w:tcW w:w="685" w:type="pct"/>
            <w:tcBorders>
              <w:top w:val="nil"/>
              <w:left w:val="nil"/>
              <w:bottom w:val="nil"/>
              <w:right w:val="nil"/>
            </w:tcBorders>
            <w:shd w:val="clear" w:color="auto" w:fill="auto"/>
            <w:noWrap/>
            <w:vAlign w:val="center"/>
            <w:hideMark/>
          </w:tcPr>
          <w:p w14:paraId="06BE04C6"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-19 188</w:t>
            </w:r>
          </w:p>
        </w:tc>
        <w:tc>
          <w:tcPr>
            <w:tcW w:w="640" w:type="pct"/>
            <w:tcBorders>
              <w:top w:val="nil"/>
              <w:left w:val="nil"/>
              <w:bottom w:val="nil"/>
              <w:right w:val="nil"/>
            </w:tcBorders>
            <w:shd w:val="clear" w:color="auto" w:fill="auto"/>
            <w:noWrap/>
            <w:vAlign w:val="center"/>
            <w:hideMark/>
          </w:tcPr>
          <w:p w14:paraId="42C9E17E"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-0,01</w:t>
            </w:r>
          </w:p>
        </w:tc>
      </w:tr>
      <w:tr w:rsidR="009A05C7" w:rsidRPr="00912F1D" w14:paraId="2D3E2EB3" w14:textId="77777777" w:rsidTr="00BA40FB">
        <w:trPr>
          <w:trHeight w:val="278"/>
        </w:trPr>
        <w:tc>
          <w:tcPr>
            <w:tcW w:w="3674" w:type="pct"/>
            <w:tcBorders>
              <w:top w:val="nil"/>
              <w:left w:val="nil"/>
              <w:bottom w:val="nil"/>
              <w:right w:val="nil"/>
            </w:tcBorders>
            <w:shd w:val="clear" w:color="auto" w:fill="auto"/>
            <w:vAlign w:val="center"/>
            <w:hideMark/>
          </w:tcPr>
          <w:p w14:paraId="05AD14FB"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ESA odvodové príjmy</w:t>
            </w:r>
          </w:p>
        </w:tc>
        <w:tc>
          <w:tcPr>
            <w:tcW w:w="685" w:type="pct"/>
            <w:tcBorders>
              <w:top w:val="nil"/>
              <w:left w:val="nil"/>
              <w:bottom w:val="nil"/>
              <w:right w:val="nil"/>
            </w:tcBorders>
            <w:shd w:val="clear" w:color="auto" w:fill="auto"/>
            <w:noWrap/>
            <w:vAlign w:val="center"/>
            <w:hideMark/>
          </w:tcPr>
          <w:p w14:paraId="5C0A82C0" w14:textId="77777777" w:rsidR="009A05C7" w:rsidRPr="00912F1D" w:rsidRDefault="009A05C7" w:rsidP="000240DA">
            <w:pPr>
              <w:spacing w:after="0" w:line="240" w:lineRule="auto"/>
              <w:jc w:val="right"/>
              <w:rPr>
                <w:rFonts w:eastAsia="Times New Roman" w:cs="Times New Roman"/>
                <w:sz w:val="18"/>
                <w:szCs w:val="18"/>
                <w:lang w:eastAsia="sk-SK"/>
              </w:rPr>
            </w:pPr>
            <w:r w:rsidRPr="00912F1D">
              <w:rPr>
                <w:rFonts w:eastAsia="Times New Roman" w:cs="Times New Roman"/>
                <w:sz w:val="18"/>
                <w:szCs w:val="18"/>
                <w:lang w:eastAsia="sk-SK"/>
              </w:rPr>
              <w:t>221 539</w:t>
            </w:r>
          </w:p>
        </w:tc>
        <w:tc>
          <w:tcPr>
            <w:tcW w:w="640" w:type="pct"/>
            <w:tcBorders>
              <w:top w:val="nil"/>
              <w:left w:val="nil"/>
              <w:bottom w:val="nil"/>
              <w:right w:val="nil"/>
            </w:tcBorders>
            <w:shd w:val="clear" w:color="auto" w:fill="auto"/>
            <w:noWrap/>
            <w:vAlign w:val="center"/>
            <w:hideMark/>
          </w:tcPr>
          <w:p w14:paraId="1A46E7FA"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0,17</w:t>
            </w:r>
          </w:p>
        </w:tc>
      </w:tr>
      <w:tr w:rsidR="009A05C7" w:rsidRPr="00912F1D" w14:paraId="411277D6" w14:textId="77777777" w:rsidTr="00BA40FB">
        <w:trPr>
          <w:trHeight w:val="278"/>
        </w:trPr>
        <w:tc>
          <w:tcPr>
            <w:tcW w:w="3674" w:type="pct"/>
            <w:tcBorders>
              <w:top w:val="nil"/>
              <w:left w:val="nil"/>
              <w:bottom w:val="nil"/>
              <w:right w:val="nil"/>
            </w:tcBorders>
            <w:shd w:val="clear" w:color="auto" w:fill="auto"/>
            <w:vAlign w:val="center"/>
            <w:hideMark/>
          </w:tcPr>
          <w:p w14:paraId="45924A71" w14:textId="77777777" w:rsidR="009A05C7" w:rsidRPr="00912F1D" w:rsidRDefault="009A05C7" w:rsidP="000240DA">
            <w:pPr>
              <w:spacing w:after="0" w:line="240" w:lineRule="auto"/>
              <w:jc w:val="left"/>
              <w:rPr>
                <w:rFonts w:eastAsia="Times New Roman" w:cs="Times New Roman"/>
                <w:b/>
                <w:bCs/>
                <w:color w:val="000000"/>
                <w:sz w:val="18"/>
                <w:szCs w:val="18"/>
                <w:lang w:eastAsia="sk-SK"/>
              </w:rPr>
            </w:pPr>
            <w:r w:rsidRPr="00912F1D">
              <w:rPr>
                <w:rFonts w:eastAsia="Times New Roman" w:cs="Times New Roman"/>
                <w:b/>
                <w:bCs/>
                <w:color w:val="000000"/>
                <w:sz w:val="18"/>
                <w:szCs w:val="18"/>
                <w:lang w:eastAsia="sk-SK"/>
              </w:rPr>
              <w:t>2. Vplyv iných ako daňových príjmov štátneho rozpočtu</w:t>
            </w:r>
          </w:p>
        </w:tc>
        <w:tc>
          <w:tcPr>
            <w:tcW w:w="685" w:type="pct"/>
            <w:tcBorders>
              <w:top w:val="nil"/>
              <w:left w:val="nil"/>
              <w:bottom w:val="nil"/>
              <w:right w:val="nil"/>
            </w:tcBorders>
            <w:shd w:val="clear" w:color="auto" w:fill="auto"/>
            <w:noWrap/>
            <w:vAlign w:val="center"/>
            <w:hideMark/>
          </w:tcPr>
          <w:p w14:paraId="183E9A7C" w14:textId="77777777" w:rsidR="009A05C7" w:rsidRPr="00912F1D" w:rsidRDefault="009A05C7" w:rsidP="000240DA">
            <w:pPr>
              <w:spacing w:after="0" w:line="240" w:lineRule="auto"/>
              <w:jc w:val="right"/>
              <w:rPr>
                <w:rFonts w:eastAsia="Times New Roman" w:cs="Times New Roman"/>
                <w:b/>
                <w:bCs/>
                <w:i/>
                <w:iCs/>
                <w:color w:val="000000"/>
                <w:sz w:val="18"/>
                <w:szCs w:val="18"/>
                <w:lang w:eastAsia="sk-SK"/>
              </w:rPr>
            </w:pPr>
            <w:r w:rsidRPr="00912F1D">
              <w:rPr>
                <w:rFonts w:eastAsia="Times New Roman" w:cs="Times New Roman"/>
                <w:b/>
                <w:bCs/>
                <w:i/>
                <w:iCs/>
                <w:color w:val="000000"/>
                <w:sz w:val="18"/>
                <w:szCs w:val="18"/>
                <w:lang w:eastAsia="sk-SK"/>
              </w:rPr>
              <w:t>998 634</w:t>
            </w:r>
          </w:p>
        </w:tc>
        <w:tc>
          <w:tcPr>
            <w:tcW w:w="640" w:type="pct"/>
            <w:tcBorders>
              <w:top w:val="nil"/>
              <w:left w:val="nil"/>
              <w:bottom w:val="nil"/>
              <w:right w:val="nil"/>
            </w:tcBorders>
            <w:shd w:val="clear" w:color="auto" w:fill="auto"/>
            <w:noWrap/>
            <w:vAlign w:val="center"/>
            <w:hideMark/>
          </w:tcPr>
          <w:p w14:paraId="34B93AD3"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0,76</w:t>
            </w:r>
          </w:p>
        </w:tc>
      </w:tr>
      <w:tr w:rsidR="009A05C7" w:rsidRPr="00912F1D" w14:paraId="6D67A019" w14:textId="77777777" w:rsidTr="00BA40FB">
        <w:trPr>
          <w:trHeight w:val="457"/>
        </w:trPr>
        <w:tc>
          <w:tcPr>
            <w:tcW w:w="3674" w:type="pct"/>
            <w:tcBorders>
              <w:top w:val="nil"/>
              <w:left w:val="nil"/>
              <w:bottom w:val="nil"/>
              <w:right w:val="nil"/>
            </w:tcBorders>
            <w:shd w:val="clear" w:color="auto" w:fill="auto"/>
            <w:vAlign w:val="center"/>
            <w:hideMark/>
          </w:tcPr>
          <w:p w14:paraId="7C8C15A5" w14:textId="77777777" w:rsidR="009A05C7"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príjmy z dividend a z odvodov zo zisku (vrátane časového rozlíšenia a po vylúčení </w:t>
            </w:r>
          </w:p>
          <w:p w14:paraId="25275108"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Pr>
                <w:rFonts w:eastAsia="Times New Roman" w:cs="Times New Roman"/>
                <w:color w:val="000000"/>
                <w:sz w:val="18"/>
                <w:szCs w:val="18"/>
                <w:lang w:eastAsia="sk-SK"/>
              </w:rPr>
              <w:t xml:space="preserve">       </w:t>
            </w:r>
            <w:r w:rsidRPr="00912F1D">
              <w:rPr>
                <w:rFonts w:eastAsia="Times New Roman" w:cs="Times New Roman"/>
                <w:color w:val="000000"/>
                <w:sz w:val="18"/>
                <w:szCs w:val="18"/>
                <w:lang w:eastAsia="sk-SK"/>
              </w:rPr>
              <w:t>superdividend)</w:t>
            </w:r>
          </w:p>
        </w:tc>
        <w:tc>
          <w:tcPr>
            <w:tcW w:w="685" w:type="pct"/>
            <w:tcBorders>
              <w:top w:val="nil"/>
              <w:left w:val="nil"/>
              <w:bottom w:val="nil"/>
              <w:right w:val="nil"/>
            </w:tcBorders>
            <w:shd w:val="clear" w:color="auto" w:fill="auto"/>
            <w:noWrap/>
            <w:vAlign w:val="center"/>
            <w:hideMark/>
          </w:tcPr>
          <w:p w14:paraId="705C5D92"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29 080</w:t>
            </w:r>
          </w:p>
        </w:tc>
        <w:tc>
          <w:tcPr>
            <w:tcW w:w="640" w:type="pct"/>
            <w:tcBorders>
              <w:top w:val="nil"/>
              <w:left w:val="nil"/>
              <w:bottom w:val="nil"/>
              <w:right w:val="nil"/>
            </w:tcBorders>
            <w:shd w:val="clear" w:color="auto" w:fill="auto"/>
            <w:noWrap/>
            <w:vAlign w:val="center"/>
            <w:hideMark/>
          </w:tcPr>
          <w:p w14:paraId="227E96B0"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0,02</w:t>
            </w:r>
          </w:p>
        </w:tc>
      </w:tr>
      <w:tr w:rsidR="009A05C7" w:rsidRPr="00912F1D" w14:paraId="5F556457" w14:textId="77777777" w:rsidTr="00BA40FB">
        <w:trPr>
          <w:trHeight w:val="278"/>
        </w:trPr>
        <w:tc>
          <w:tcPr>
            <w:tcW w:w="3674" w:type="pct"/>
            <w:tcBorders>
              <w:top w:val="nil"/>
              <w:left w:val="nil"/>
              <w:bottom w:val="nil"/>
              <w:right w:val="nil"/>
            </w:tcBorders>
            <w:shd w:val="clear" w:color="auto" w:fill="auto"/>
            <w:vAlign w:val="center"/>
            <w:hideMark/>
          </w:tcPr>
          <w:p w14:paraId="3B75C7D5"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zmena stavu pohľadávok po vylúčení preddavkov na vojen.</w:t>
            </w:r>
            <w:r>
              <w:rPr>
                <w:rFonts w:eastAsia="Times New Roman" w:cs="Times New Roman"/>
                <w:color w:val="000000"/>
                <w:sz w:val="18"/>
                <w:szCs w:val="18"/>
                <w:lang w:eastAsia="sk-SK"/>
              </w:rPr>
              <w:t xml:space="preserve"> </w:t>
            </w:r>
            <w:r w:rsidRPr="00912F1D">
              <w:rPr>
                <w:rFonts w:eastAsia="Times New Roman" w:cs="Times New Roman"/>
                <w:color w:val="000000"/>
                <w:sz w:val="18"/>
                <w:szCs w:val="18"/>
                <w:lang w:eastAsia="sk-SK"/>
              </w:rPr>
              <w:t>techniku</w:t>
            </w:r>
          </w:p>
        </w:tc>
        <w:tc>
          <w:tcPr>
            <w:tcW w:w="685" w:type="pct"/>
            <w:tcBorders>
              <w:top w:val="nil"/>
              <w:left w:val="nil"/>
              <w:bottom w:val="nil"/>
              <w:right w:val="nil"/>
            </w:tcBorders>
            <w:shd w:val="clear" w:color="auto" w:fill="auto"/>
            <w:noWrap/>
            <w:vAlign w:val="center"/>
            <w:hideMark/>
          </w:tcPr>
          <w:p w14:paraId="30800DD2"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-146 222</w:t>
            </w:r>
          </w:p>
        </w:tc>
        <w:tc>
          <w:tcPr>
            <w:tcW w:w="640" w:type="pct"/>
            <w:tcBorders>
              <w:top w:val="nil"/>
              <w:left w:val="nil"/>
              <w:bottom w:val="nil"/>
              <w:right w:val="nil"/>
            </w:tcBorders>
            <w:shd w:val="clear" w:color="auto" w:fill="auto"/>
            <w:noWrap/>
            <w:vAlign w:val="center"/>
            <w:hideMark/>
          </w:tcPr>
          <w:p w14:paraId="3B9F0A28"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-0,11</w:t>
            </w:r>
          </w:p>
        </w:tc>
      </w:tr>
      <w:tr w:rsidR="009A05C7" w:rsidRPr="00912F1D" w14:paraId="200218C6" w14:textId="77777777" w:rsidTr="00BA40FB">
        <w:trPr>
          <w:trHeight w:val="278"/>
        </w:trPr>
        <w:tc>
          <w:tcPr>
            <w:tcW w:w="3674" w:type="pct"/>
            <w:tcBorders>
              <w:top w:val="nil"/>
              <w:left w:val="nil"/>
              <w:bottom w:val="nil"/>
              <w:right w:val="nil"/>
            </w:tcBorders>
            <w:shd w:val="clear" w:color="auto" w:fill="auto"/>
            <w:vAlign w:val="center"/>
            <w:hideMark/>
          </w:tcPr>
          <w:p w14:paraId="69F74634"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EÚ príjmy po vylúčení EÚ tokov mimo sektor</w:t>
            </w:r>
          </w:p>
        </w:tc>
        <w:tc>
          <w:tcPr>
            <w:tcW w:w="685" w:type="pct"/>
            <w:tcBorders>
              <w:top w:val="nil"/>
              <w:left w:val="nil"/>
              <w:bottom w:val="nil"/>
              <w:right w:val="nil"/>
            </w:tcBorders>
            <w:shd w:val="clear" w:color="auto" w:fill="auto"/>
            <w:noWrap/>
            <w:vAlign w:val="center"/>
            <w:hideMark/>
          </w:tcPr>
          <w:p w14:paraId="4E4D289C"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923 687</w:t>
            </w:r>
          </w:p>
        </w:tc>
        <w:tc>
          <w:tcPr>
            <w:tcW w:w="640" w:type="pct"/>
            <w:tcBorders>
              <w:top w:val="nil"/>
              <w:left w:val="nil"/>
              <w:bottom w:val="nil"/>
              <w:right w:val="nil"/>
            </w:tcBorders>
            <w:shd w:val="clear" w:color="auto" w:fill="auto"/>
            <w:noWrap/>
            <w:vAlign w:val="center"/>
            <w:hideMark/>
          </w:tcPr>
          <w:p w14:paraId="011BBBD9"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0,71</w:t>
            </w:r>
          </w:p>
        </w:tc>
      </w:tr>
      <w:tr w:rsidR="009A05C7" w:rsidRPr="00912F1D" w14:paraId="329C77CA" w14:textId="77777777" w:rsidTr="00BA40FB">
        <w:trPr>
          <w:trHeight w:val="278"/>
        </w:trPr>
        <w:tc>
          <w:tcPr>
            <w:tcW w:w="3674" w:type="pct"/>
            <w:tcBorders>
              <w:top w:val="nil"/>
              <w:left w:val="nil"/>
              <w:bottom w:val="nil"/>
              <w:right w:val="nil"/>
            </w:tcBorders>
            <w:shd w:val="clear" w:color="auto" w:fill="auto"/>
            <w:vAlign w:val="center"/>
            <w:hideMark/>
          </w:tcPr>
          <w:p w14:paraId="0B7D2C77"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w:t>
            </w:r>
            <w:r>
              <w:rPr>
                <w:rFonts w:eastAsia="Times New Roman" w:cs="Times New Roman"/>
                <w:color w:val="000000"/>
                <w:sz w:val="18"/>
                <w:szCs w:val="18"/>
                <w:lang w:eastAsia="sk-SK"/>
              </w:rPr>
              <w:t>akruálne</w:t>
            </w:r>
            <w:r w:rsidRPr="00912F1D">
              <w:rPr>
                <w:rFonts w:eastAsia="Times New Roman" w:cs="Times New Roman"/>
                <w:color w:val="000000"/>
                <w:sz w:val="18"/>
                <w:szCs w:val="18"/>
                <w:lang w:eastAsia="sk-SK"/>
              </w:rPr>
              <w:t xml:space="preserve"> príjmy z POO</w:t>
            </w:r>
          </w:p>
        </w:tc>
        <w:tc>
          <w:tcPr>
            <w:tcW w:w="685" w:type="pct"/>
            <w:tcBorders>
              <w:top w:val="nil"/>
              <w:left w:val="nil"/>
              <w:bottom w:val="nil"/>
              <w:right w:val="nil"/>
            </w:tcBorders>
            <w:shd w:val="clear" w:color="auto" w:fill="auto"/>
            <w:noWrap/>
            <w:vAlign w:val="center"/>
            <w:hideMark/>
          </w:tcPr>
          <w:p w14:paraId="5C1F899D"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-276 758</w:t>
            </w:r>
          </w:p>
        </w:tc>
        <w:tc>
          <w:tcPr>
            <w:tcW w:w="640" w:type="pct"/>
            <w:tcBorders>
              <w:top w:val="nil"/>
              <w:left w:val="nil"/>
              <w:bottom w:val="nil"/>
              <w:right w:val="nil"/>
            </w:tcBorders>
            <w:shd w:val="clear" w:color="auto" w:fill="auto"/>
            <w:noWrap/>
            <w:vAlign w:val="center"/>
            <w:hideMark/>
          </w:tcPr>
          <w:p w14:paraId="40EF2CF5"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-0,21</w:t>
            </w:r>
          </w:p>
        </w:tc>
      </w:tr>
      <w:tr w:rsidR="009A05C7" w:rsidRPr="00912F1D" w14:paraId="6F41CC5A" w14:textId="77777777" w:rsidTr="00BA40FB">
        <w:trPr>
          <w:trHeight w:val="278"/>
        </w:trPr>
        <w:tc>
          <w:tcPr>
            <w:tcW w:w="3674" w:type="pct"/>
            <w:tcBorders>
              <w:top w:val="nil"/>
              <w:left w:val="nil"/>
              <w:bottom w:val="nil"/>
              <w:right w:val="nil"/>
            </w:tcBorders>
            <w:shd w:val="clear" w:color="auto" w:fill="auto"/>
            <w:vAlign w:val="center"/>
            <w:hideMark/>
          </w:tcPr>
          <w:p w14:paraId="37AC507B"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UMTS Licencie</w:t>
            </w:r>
          </w:p>
        </w:tc>
        <w:tc>
          <w:tcPr>
            <w:tcW w:w="685" w:type="pct"/>
            <w:tcBorders>
              <w:top w:val="nil"/>
              <w:left w:val="nil"/>
              <w:bottom w:val="nil"/>
              <w:right w:val="nil"/>
            </w:tcBorders>
            <w:shd w:val="clear" w:color="auto" w:fill="auto"/>
            <w:noWrap/>
            <w:vAlign w:val="center"/>
            <w:hideMark/>
          </w:tcPr>
          <w:p w14:paraId="68985F30"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-17 846</w:t>
            </w:r>
          </w:p>
        </w:tc>
        <w:tc>
          <w:tcPr>
            <w:tcW w:w="640" w:type="pct"/>
            <w:tcBorders>
              <w:top w:val="nil"/>
              <w:left w:val="nil"/>
              <w:bottom w:val="nil"/>
              <w:right w:val="nil"/>
            </w:tcBorders>
            <w:shd w:val="clear" w:color="auto" w:fill="auto"/>
            <w:noWrap/>
            <w:vAlign w:val="center"/>
            <w:hideMark/>
          </w:tcPr>
          <w:p w14:paraId="3888B2D8"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-0,01</w:t>
            </w:r>
          </w:p>
        </w:tc>
      </w:tr>
      <w:tr w:rsidR="009A05C7" w:rsidRPr="00912F1D" w14:paraId="28BBC4F9" w14:textId="77777777" w:rsidTr="00BA40FB">
        <w:trPr>
          <w:trHeight w:val="278"/>
        </w:trPr>
        <w:tc>
          <w:tcPr>
            <w:tcW w:w="3674" w:type="pct"/>
            <w:tcBorders>
              <w:top w:val="nil"/>
              <w:left w:val="nil"/>
              <w:bottom w:val="nil"/>
              <w:right w:val="nil"/>
            </w:tcBorders>
            <w:shd w:val="clear" w:color="auto" w:fill="auto"/>
            <w:vAlign w:val="center"/>
            <w:hideMark/>
          </w:tcPr>
          <w:p w14:paraId="4A498843"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iné nedaňové príjmy (bez EÚ zdrojov, spolufinancovania a POO)</w:t>
            </w:r>
          </w:p>
        </w:tc>
        <w:tc>
          <w:tcPr>
            <w:tcW w:w="685" w:type="pct"/>
            <w:tcBorders>
              <w:top w:val="nil"/>
              <w:left w:val="nil"/>
              <w:bottom w:val="nil"/>
              <w:right w:val="nil"/>
            </w:tcBorders>
            <w:shd w:val="clear" w:color="auto" w:fill="auto"/>
            <w:noWrap/>
            <w:vAlign w:val="center"/>
            <w:hideMark/>
          </w:tcPr>
          <w:p w14:paraId="01FD5E04"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233 423</w:t>
            </w:r>
          </w:p>
        </w:tc>
        <w:tc>
          <w:tcPr>
            <w:tcW w:w="640" w:type="pct"/>
            <w:tcBorders>
              <w:top w:val="nil"/>
              <w:left w:val="nil"/>
              <w:bottom w:val="nil"/>
              <w:right w:val="nil"/>
            </w:tcBorders>
            <w:shd w:val="clear" w:color="auto" w:fill="auto"/>
            <w:noWrap/>
            <w:vAlign w:val="center"/>
            <w:hideMark/>
          </w:tcPr>
          <w:p w14:paraId="700C739A"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0,18</w:t>
            </w:r>
          </w:p>
        </w:tc>
      </w:tr>
      <w:tr w:rsidR="009A05C7" w:rsidRPr="00912F1D" w14:paraId="4929ABBF" w14:textId="77777777" w:rsidTr="00BA40FB">
        <w:trPr>
          <w:trHeight w:val="278"/>
        </w:trPr>
        <w:tc>
          <w:tcPr>
            <w:tcW w:w="3674" w:type="pct"/>
            <w:tcBorders>
              <w:top w:val="nil"/>
              <w:left w:val="nil"/>
              <w:bottom w:val="nil"/>
              <w:right w:val="nil"/>
            </w:tcBorders>
            <w:shd w:val="clear" w:color="auto" w:fill="auto"/>
            <w:vAlign w:val="center"/>
            <w:hideMark/>
          </w:tcPr>
          <w:p w14:paraId="46804FC3"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ostatné</w:t>
            </w:r>
          </w:p>
        </w:tc>
        <w:tc>
          <w:tcPr>
            <w:tcW w:w="685" w:type="pct"/>
            <w:tcBorders>
              <w:top w:val="nil"/>
              <w:left w:val="nil"/>
              <w:bottom w:val="nil"/>
              <w:right w:val="nil"/>
            </w:tcBorders>
            <w:shd w:val="clear" w:color="auto" w:fill="auto"/>
            <w:noWrap/>
            <w:vAlign w:val="center"/>
            <w:hideMark/>
          </w:tcPr>
          <w:p w14:paraId="4380B45F"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253 270</w:t>
            </w:r>
          </w:p>
        </w:tc>
        <w:tc>
          <w:tcPr>
            <w:tcW w:w="640" w:type="pct"/>
            <w:tcBorders>
              <w:top w:val="nil"/>
              <w:left w:val="nil"/>
              <w:bottom w:val="nil"/>
              <w:right w:val="nil"/>
            </w:tcBorders>
            <w:shd w:val="clear" w:color="auto" w:fill="auto"/>
            <w:noWrap/>
            <w:vAlign w:val="center"/>
            <w:hideMark/>
          </w:tcPr>
          <w:p w14:paraId="3B9473C2"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0,19</w:t>
            </w:r>
          </w:p>
        </w:tc>
      </w:tr>
      <w:tr w:rsidR="009A05C7" w:rsidRPr="00912F1D" w14:paraId="2FB052A2" w14:textId="77777777" w:rsidTr="00BA40FB">
        <w:trPr>
          <w:trHeight w:val="278"/>
        </w:trPr>
        <w:tc>
          <w:tcPr>
            <w:tcW w:w="3674" w:type="pct"/>
            <w:tcBorders>
              <w:top w:val="nil"/>
              <w:left w:val="nil"/>
              <w:bottom w:val="nil"/>
              <w:right w:val="nil"/>
            </w:tcBorders>
            <w:shd w:val="clear" w:color="auto" w:fill="auto"/>
            <w:vAlign w:val="center"/>
            <w:hideMark/>
          </w:tcPr>
          <w:p w14:paraId="5EAEA928" w14:textId="77777777" w:rsidR="009A05C7" w:rsidRPr="00912F1D" w:rsidRDefault="009A05C7" w:rsidP="000240DA">
            <w:pPr>
              <w:spacing w:after="0" w:line="240" w:lineRule="auto"/>
              <w:jc w:val="left"/>
              <w:rPr>
                <w:rFonts w:eastAsia="Times New Roman" w:cs="Times New Roman"/>
                <w:b/>
                <w:bCs/>
                <w:color w:val="000000"/>
                <w:sz w:val="18"/>
                <w:szCs w:val="18"/>
                <w:lang w:eastAsia="sk-SK"/>
              </w:rPr>
            </w:pPr>
            <w:r w:rsidRPr="00912F1D">
              <w:rPr>
                <w:rFonts w:eastAsia="Times New Roman" w:cs="Times New Roman"/>
                <w:b/>
                <w:bCs/>
                <w:color w:val="000000"/>
                <w:sz w:val="18"/>
                <w:szCs w:val="18"/>
                <w:lang w:eastAsia="sk-SK"/>
              </w:rPr>
              <w:t>3. Vplyv vybraných výdavkov štátneho rozpočtu</w:t>
            </w:r>
          </w:p>
        </w:tc>
        <w:tc>
          <w:tcPr>
            <w:tcW w:w="685" w:type="pct"/>
            <w:tcBorders>
              <w:top w:val="nil"/>
              <w:left w:val="nil"/>
              <w:bottom w:val="nil"/>
              <w:right w:val="nil"/>
            </w:tcBorders>
            <w:shd w:val="clear" w:color="auto" w:fill="auto"/>
            <w:noWrap/>
            <w:vAlign w:val="center"/>
            <w:hideMark/>
          </w:tcPr>
          <w:p w14:paraId="6D9C5D83" w14:textId="77777777" w:rsidR="009A05C7" w:rsidRPr="00912F1D" w:rsidRDefault="009A05C7" w:rsidP="000240DA">
            <w:pPr>
              <w:spacing w:after="0" w:line="240" w:lineRule="auto"/>
              <w:jc w:val="right"/>
              <w:rPr>
                <w:rFonts w:eastAsia="Times New Roman" w:cs="Times New Roman"/>
                <w:b/>
                <w:bCs/>
                <w:i/>
                <w:iCs/>
                <w:color w:val="000000"/>
                <w:sz w:val="18"/>
                <w:szCs w:val="18"/>
                <w:lang w:eastAsia="sk-SK"/>
              </w:rPr>
            </w:pPr>
            <w:r w:rsidRPr="00912F1D">
              <w:rPr>
                <w:rFonts w:eastAsia="Times New Roman" w:cs="Times New Roman"/>
                <w:b/>
                <w:bCs/>
                <w:i/>
                <w:iCs/>
                <w:color w:val="000000"/>
                <w:sz w:val="18"/>
                <w:szCs w:val="18"/>
                <w:lang w:eastAsia="sk-SK"/>
              </w:rPr>
              <w:t>383 758</w:t>
            </w:r>
          </w:p>
        </w:tc>
        <w:tc>
          <w:tcPr>
            <w:tcW w:w="640" w:type="pct"/>
            <w:tcBorders>
              <w:top w:val="nil"/>
              <w:left w:val="nil"/>
              <w:bottom w:val="nil"/>
              <w:right w:val="nil"/>
            </w:tcBorders>
            <w:shd w:val="clear" w:color="auto" w:fill="auto"/>
            <w:noWrap/>
            <w:vAlign w:val="center"/>
            <w:hideMark/>
          </w:tcPr>
          <w:p w14:paraId="22BC5FB4"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0,29</w:t>
            </w:r>
          </w:p>
        </w:tc>
      </w:tr>
      <w:tr w:rsidR="009A05C7" w:rsidRPr="00912F1D" w14:paraId="30B41028" w14:textId="77777777" w:rsidTr="00BA40FB">
        <w:trPr>
          <w:trHeight w:val="278"/>
        </w:trPr>
        <w:tc>
          <w:tcPr>
            <w:tcW w:w="3674" w:type="pct"/>
            <w:tcBorders>
              <w:top w:val="nil"/>
              <w:left w:val="nil"/>
              <w:bottom w:val="nil"/>
              <w:right w:val="nil"/>
            </w:tcBorders>
            <w:shd w:val="clear" w:color="auto" w:fill="auto"/>
            <w:vAlign w:val="center"/>
            <w:hideMark/>
          </w:tcPr>
          <w:p w14:paraId="1A5EED51"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EÚ výdavky po vylúčení EÚ tokov mimo sektor</w:t>
            </w:r>
          </w:p>
        </w:tc>
        <w:tc>
          <w:tcPr>
            <w:tcW w:w="685" w:type="pct"/>
            <w:tcBorders>
              <w:top w:val="nil"/>
              <w:left w:val="nil"/>
              <w:bottom w:val="nil"/>
              <w:right w:val="nil"/>
            </w:tcBorders>
            <w:shd w:val="clear" w:color="auto" w:fill="auto"/>
            <w:noWrap/>
            <w:vAlign w:val="center"/>
            <w:hideMark/>
          </w:tcPr>
          <w:p w14:paraId="46C2F572"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-923 687</w:t>
            </w:r>
          </w:p>
        </w:tc>
        <w:tc>
          <w:tcPr>
            <w:tcW w:w="640" w:type="pct"/>
            <w:tcBorders>
              <w:top w:val="nil"/>
              <w:left w:val="nil"/>
              <w:bottom w:val="nil"/>
              <w:right w:val="nil"/>
            </w:tcBorders>
            <w:shd w:val="clear" w:color="auto" w:fill="auto"/>
            <w:noWrap/>
            <w:vAlign w:val="center"/>
            <w:hideMark/>
          </w:tcPr>
          <w:p w14:paraId="404EF905"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-0,71</w:t>
            </w:r>
          </w:p>
        </w:tc>
      </w:tr>
      <w:tr w:rsidR="009A05C7" w:rsidRPr="00912F1D" w14:paraId="42CAB13C" w14:textId="77777777" w:rsidTr="00BA40FB">
        <w:trPr>
          <w:trHeight w:val="278"/>
        </w:trPr>
        <w:tc>
          <w:tcPr>
            <w:tcW w:w="3674" w:type="pct"/>
            <w:tcBorders>
              <w:top w:val="nil"/>
              <w:left w:val="nil"/>
              <w:bottom w:val="nil"/>
              <w:right w:val="nil"/>
            </w:tcBorders>
            <w:shd w:val="clear" w:color="auto" w:fill="auto"/>
            <w:vAlign w:val="center"/>
            <w:hideMark/>
          </w:tcPr>
          <w:p w14:paraId="06DC921F"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w:t>
            </w:r>
            <w:r>
              <w:rPr>
                <w:rFonts w:eastAsia="Times New Roman" w:cs="Times New Roman"/>
                <w:color w:val="000000"/>
                <w:sz w:val="18"/>
                <w:szCs w:val="18"/>
                <w:lang w:eastAsia="sk-SK"/>
              </w:rPr>
              <w:t xml:space="preserve">akruálne </w:t>
            </w:r>
            <w:r w:rsidRPr="00912F1D">
              <w:rPr>
                <w:rFonts w:eastAsia="Times New Roman" w:cs="Times New Roman"/>
                <w:color w:val="000000"/>
                <w:sz w:val="18"/>
                <w:szCs w:val="18"/>
                <w:lang w:eastAsia="sk-SK"/>
              </w:rPr>
              <w:t>výdavky POO</w:t>
            </w:r>
          </w:p>
        </w:tc>
        <w:tc>
          <w:tcPr>
            <w:tcW w:w="685" w:type="pct"/>
            <w:tcBorders>
              <w:top w:val="nil"/>
              <w:left w:val="nil"/>
              <w:bottom w:val="nil"/>
              <w:right w:val="nil"/>
            </w:tcBorders>
            <w:shd w:val="clear" w:color="auto" w:fill="auto"/>
            <w:noWrap/>
            <w:vAlign w:val="center"/>
            <w:hideMark/>
          </w:tcPr>
          <w:p w14:paraId="56DE5C98"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276 758</w:t>
            </w:r>
          </w:p>
        </w:tc>
        <w:tc>
          <w:tcPr>
            <w:tcW w:w="640" w:type="pct"/>
            <w:tcBorders>
              <w:top w:val="nil"/>
              <w:left w:val="nil"/>
              <w:bottom w:val="nil"/>
              <w:right w:val="nil"/>
            </w:tcBorders>
            <w:shd w:val="clear" w:color="auto" w:fill="auto"/>
            <w:noWrap/>
            <w:vAlign w:val="center"/>
            <w:hideMark/>
          </w:tcPr>
          <w:p w14:paraId="2B9308F0"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0,21</w:t>
            </w:r>
          </w:p>
        </w:tc>
      </w:tr>
      <w:tr w:rsidR="009A05C7" w:rsidRPr="00912F1D" w14:paraId="53528FE8" w14:textId="77777777" w:rsidTr="00BA40FB">
        <w:trPr>
          <w:trHeight w:val="278"/>
        </w:trPr>
        <w:tc>
          <w:tcPr>
            <w:tcW w:w="3674" w:type="pct"/>
            <w:tcBorders>
              <w:top w:val="nil"/>
              <w:left w:val="nil"/>
              <w:bottom w:val="nil"/>
              <w:right w:val="nil"/>
            </w:tcBorders>
            <w:shd w:val="clear" w:color="auto" w:fill="auto"/>
            <w:vAlign w:val="center"/>
            <w:hideMark/>
          </w:tcPr>
          <w:p w14:paraId="74FE20A9"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spolufinancovanie k EÚ zdrojom</w:t>
            </w:r>
          </w:p>
        </w:tc>
        <w:tc>
          <w:tcPr>
            <w:tcW w:w="685" w:type="pct"/>
            <w:tcBorders>
              <w:top w:val="nil"/>
              <w:left w:val="nil"/>
              <w:bottom w:val="nil"/>
              <w:right w:val="nil"/>
            </w:tcBorders>
            <w:shd w:val="clear" w:color="auto" w:fill="auto"/>
            <w:noWrap/>
            <w:vAlign w:val="center"/>
            <w:hideMark/>
          </w:tcPr>
          <w:p w14:paraId="5437F9BD"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-222 308</w:t>
            </w:r>
          </w:p>
        </w:tc>
        <w:tc>
          <w:tcPr>
            <w:tcW w:w="640" w:type="pct"/>
            <w:tcBorders>
              <w:top w:val="nil"/>
              <w:left w:val="nil"/>
              <w:bottom w:val="nil"/>
              <w:right w:val="nil"/>
            </w:tcBorders>
            <w:shd w:val="clear" w:color="auto" w:fill="auto"/>
            <w:noWrap/>
            <w:vAlign w:val="center"/>
            <w:hideMark/>
          </w:tcPr>
          <w:p w14:paraId="0274BBBA"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-0,17</w:t>
            </w:r>
          </w:p>
        </w:tc>
      </w:tr>
      <w:tr w:rsidR="009A05C7" w:rsidRPr="00912F1D" w14:paraId="492FEE31" w14:textId="77777777" w:rsidTr="00BA40FB">
        <w:trPr>
          <w:trHeight w:val="278"/>
        </w:trPr>
        <w:tc>
          <w:tcPr>
            <w:tcW w:w="3674" w:type="pct"/>
            <w:tcBorders>
              <w:top w:val="nil"/>
              <w:left w:val="nil"/>
              <w:bottom w:val="nil"/>
              <w:right w:val="nil"/>
            </w:tcBorders>
            <w:shd w:val="clear" w:color="auto" w:fill="auto"/>
            <w:vAlign w:val="center"/>
            <w:hideMark/>
          </w:tcPr>
          <w:p w14:paraId="2167A01C"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odvod do rozpočtu EÚ</w:t>
            </w:r>
          </w:p>
        </w:tc>
        <w:tc>
          <w:tcPr>
            <w:tcW w:w="685" w:type="pct"/>
            <w:tcBorders>
              <w:top w:val="nil"/>
              <w:left w:val="nil"/>
              <w:bottom w:val="nil"/>
              <w:right w:val="nil"/>
            </w:tcBorders>
            <w:shd w:val="clear" w:color="auto" w:fill="auto"/>
            <w:noWrap/>
            <w:vAlign w:val="center"/>
            <w:hideMark/>
          </w:tcPr>
          <w:p w14:paraId="1F762113" w14:textId="33E451B0" w:rsidR="009A05C7" w:rsidRPr="00912F1D" w:rsidRDefault="00AA45D3" w:rsidP="000240DA">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250 217</w:t>
            </w:r>
          </w:p>
        </w:tc>
        <w:tc>
          <w:tcPr>
            <w:tcW w:w="640" w:type="pct"/>
            <w:tcBorders>
              <w:top w:val="nil"/>
              <w:left w:val="nil"/>
              <w:bottom w:val="nil"/>
              <w:right w:val="nil"/>
            </w:tcBorders>
            <w:shd w:val="clear" w:color="auto" w:fill="auto"/>
            <w:noWrap/>
            <w:vAlign w:val="center"/>
            <w:hideMark/>
          </w:tcPr>
          <w:p w14:paraId="11DF93A5" w14:textId="15894F3F" w:rsidR="009A05C7" w:rsidRPr="00912F1D" w:rsidRDefault="009A05C7" w:rsidP="00AA45D3">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0,1</w:t>
            </w:r>
            <w:r w:rsidR="00AA45D3">
              <w:rPr>
                <w:rFonts w:eastAsia="Times New Roman" w:cs="Times New Roman"/>
                <w:color w:val="000000"/>
                <w:sz w:val="18"/>
                <w:szCs w:val="18"/>
                <w:lang w:eastAsia="sk-SK"/>
              </w:rPr>
              <w:t>9</w:t>
            </w:r>
          </w:p>
        </w:tc>
      </w:tr>
      <w:tr w:rsidR="009A05C7" w:rsidRPr="00912F1D" w14:paraId="51D92DFD" w14:textId="77777777" w:rsidTr="00BA40FB">
        <w:trPr>
          <w:trHeight w:val="278"/>
        </w:trPr>
        <w:tc>
          <w:tcPr>
            <w:tcW w:w="3674" w:type="pct"/>
            <w:tcBorders>
              <w:top w:val="nil"/>
              <w:left w:val="nil"/>
              <w:bottom w:val="nil"/>
              <w:right w:val="nil"/>
            </w:tcBorders>
            <w:shd w:val="clear" w:color="auto" w:fill="auto"/>
            <w:vAlign w:val="center"/>
            <w:hideMark/>
          </w:tcPr>
          <w:p w14:paraId="4ED1B20E"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korekcie k fondom EÚ </w:t>
            </w:r>
          </w:p>
        </w:tc>
        <w:tc>
          <w:tcPr>
            <w:tcW w:w="685" w:type="pct"/>
            <w:tcBorders>
              <w:top w:val="nil"/>
              <w:left w:val="nil"/>
              <w:bottom w:val="nil"/>
              <w:right w:val="nil"/>
            </w:tcBorders>
            <w:shd w:val="clear" w:color="auto" w:fill="auto"/>
            <w:noWrap/>
            <w:vAlign w:val="center"/>
            <w:hideMark/>
          </w:tcPr>
          <w:p w14:paraId="5DA89E46"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-59 775</w:t>
            </w:r>
          </w:p>
        </w:tc>
        <w:tc>
          <w:tcPr>
            <w:tcW w:w="640" w:type="pct"/>
            <w:tcBorders>
              <w:top w:val="nil"/>
              <w:left w:val="nil"/>
              <w:bottom w:val="nil"/>
              <w:right w:val="nil"/>
            </w:tcBorders>
            <w:shd w:val="clear" w:color="auto" w:fill="auto"/>
            <w:noWrap/>
            <w:vAlign w:val="center"/>
            <w:hideMark/>
          </w:tcPr>
          <w:p w14:paraId="28CCBF72"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-0,05</w:t>
            </w:r>
          </w:p>
        </w:tc>
      </w:tr>
      <w:tr w:rsidR="009A05C7" w:rsidRPr="00912F1D" w14:paraId="5B616E2B" w14:textId="77777777" w:rsidTr="00BA40FB">
        <w:trPr>
          <w:trHeight w:val="457"/>
        </w:trPr>
        <w:tc>
          <w:tcPr>
            <w:tcW w:w="3674" w:type="pct"/>
            <w:tcBorders>
              <w:top w:val="nil"/>
              <w:left w:val="nil"/>
              <w:bottom w:val="nil"/>
              <w:right w:val="nil"/>
            </w:tcBorders>
            <w:shd w:val="clear" w:color="auto" w:fill="auto"/>
            <w:vAlign w:val="center"/>
            <w:hideMark/>
          </w:tcPr>
          <w:p w14:paraId="13C617E2"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upravujúca položka-očistenie vplyvu príjmov PJ za prostriedky EÚ </w:t>
            </w:r>
            <w:r w:rsidRPr="00912F1D">
              <w:rPr>
                <w:rFonts w:eastAsia="Times New Roman" w:cs="Times New Roman"/>
                <w:color w:val="000000"/>
                <w:sz w:val="18"/>
                <w:szCs w:val="18"/>
                <w:lang w:eastAsia="sk-SK"/>
              </w:rPr>
              <w:br/>
              <w:t xml:space="preserve">       z uhradených korekcií nahlásených v roku rozhodnutia </w:t>
            </w:r>
          </w:p>
        </w:tc>
        <w:tc>
          <w:tcPr>
            <w:tcW w:w="685" w:type="pct"/>
            <w:tcBorders>
              <w:top w:val="nil"/>
              <w:left w:val="nil"/>
              <w:bottom w:val="nil"/>
              <w:right w:val="nil"/>
            </w:tcBorders>
            <w:shd w:val="clear" w:color="auto" w:fill="auto"/>
            <w:noWrap/>
            <w:vAlign w:val="center"/>
            <w:hideMark/>
          </w:tcPr>
          <w:p w14:paraId="318EEBD4"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4 029</w:t>
            </w:r>
          </w:p>
        </w:tc>
        <w:tc>
          <w:tcPr>
            <w:tcW w:w="640" w:type="pct"/>
            <w:tcBorders>
              <w:top w:val="nil"/>
              <w:left w:val="nil"/>
              <w:bottom w:val="nil"/>
              <w:right w:val="nil"/>
            </w:tcBorders>
            <w:shd w:val="clear" w:color="auto" w:fill="auto"/>
            <w:noWrap/>
            <w:vAlign w:val="center"/>
            <w:hideMark/>
          </w:tcPr>
          <w:p w14:paraId="52F9FCBB"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0,00</w:t>
            </w:r>
          </w:p>
        </w:tc>
      </w:tr>
      <w:tr w:rsidR="009A05C7" w:rsidRPr="00912F1D" w14:paraId="2D14E128" w14:textId="77777777" w:rsidTr="00BA40FB">
        <w:trPr>
          <w:trHeight w:val="278"/>
        </w:trPr>
        <w:tc>
          <w:tcPr>
            <w:tcW w:w="3674" w:type="pct"/>
            <w:tcBorders>
              <w:top w:val="nil"/>
              <w:left w:val="nil"/>
              <w:bottom w:val="nil"/>
              <w:right w:val="nil"/>
            </w:tcBorders>
            <w:shd w:val="clear" w:color="auto" w:fill="auto"/>
            <w:vAlign w:val="center"/>
            <w:hideMark/>
          </w:tcPr>
          <w:p w14:paraId="43CC5877"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transfer Sociálnej poisťovni a zdravotnej poisťovni</w:t>
            </w:r>
          </w:p>
        </w:tc>
        <w:tc>
          <w:tcPr>
            <w:tcW w:w="685" w:type="pct"/>
            <w:tcBorders>
              <w:top w:val="nil"/>
              <w:left w:val="nil"/>
              <w:bottom w:val="nil"/>
              <w:right w:val="nil"/>
            </w:tcBorders>
            <w:shd w:val="clear" w:color="auto" w:fill="auto"/>
            <w:noWrap/>
            <w:vAlign w:val="center"/>
            <w:hideMark/>
          </w:tcPr>
          <w:p w14:paraId="116A95D7"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-1 144 392</w:t>
            </w:r>
          </w:p>
        </w:tc>
        <w:tc>
          <w:tcPr>
            <w:tcW w:w="640" w:type="pct"/>
            <w:tcBorders>
              <w:top w:val="nil"/>
              <w:left w:val="nil"/>
              <w:bottom w:val="nil"/>
              <w:right w:val="nil"/>
            </w:tcBorders>
            <w:shd w:val="clear" w:color="auto" w:fill="auto"/>
            <w:noWrap/>
            <w:vAlign w:val="center"/>
            <w:hideMark/>
          </w:tcPr>
          <w:p w14:paraId="41030CF5"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-0,87</w:t>
            </w:r>
          </w:p>
        </w:tc>
      </w:tr>
      <w:tr w:rsidR="009A05C7" w:rsidRPr="00912F1D" w14:paraId="16B1557B" w14:textId="77777777" w:rsidTr="00BA40FB">
        <w:trPr>
          <w:trHeight w:val="278"/>
        </w:trPr>
        <w:tc>
          <w:tcPr>
            <w:tcW w:w="3674" w:type="pct"/>
            <w:tcBorders>
              <w:top w:val="nil"/>
              <w:left w:val="nil"/>
              <w:bottom w:val="nil"/>
              <w:right w:val="nil"/>
            </w:tcBorders>
            <w:shd w:val="clear" w:color="auto" w:fill="auto"/>
            <w:vAlign w:val="center"/>
            <w:hideMark/>
          </w:tcPr>
          <w:p w14:paraId="150E8052"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lastRenderedPageBreak/>
              <w:t xml:space="preserve">     - imputácia výdavkových subvencií na zelenú energiu</w:t>
            </w:r>
          </w:p>
        </w:tc>
        <w:tc>
          <w:tcPr>
            <w:tcW w:w="685" w:type="pct"/>
            <w:tcBorders>
              <w:top w:val="nil"/>
              <w:left w:val="nil"/>
              <w:bottom w:val="nil"/>
              <w:right w:val="nil"/>
            </w:tcBorders>
            <w:shd w:val="clear" w:color="auto" w:fill="auto"/>
            <w:noWrap/>
            <w:vAlign w:val="center"/>
            <w:hideMark/>
          </w:tcPr>
          <w:p w14:paraId="685D7386"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-130 584</w:t>
            </w:r>
          </w:p>
        </w:tc>
        <w:tc>
          <w:tcPr>
            <w:tcW w:w="640" w:type="pct"/>
            <w:tcBorders>
              <w:top w:val="nil"/>
              <w:left w:val="nil"/>
              <w:bottom w:val="nil"/>
              <w:right w:val="nil"/>
            </w:tcBorders>
            <w:shd w:val="clear" w:color="auto" w:fill="auto"/>
            <w:noWrap/>
            <w:vAlign w:val="center"/>
            <w:hideMark/>
          </w:tcPr>
          <w:p w14:paraId="6425BC2F"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-0,10</w:t>
            </w:r>
          </w:p>
        </w:tc>
      </w:tr>
      <w:tr w:rsidR="009A05C7" w:rsidRPr="00912F1D" w14:paraId="1685EFCF" w14:textId="77777777" w:rsidTr="00BA40FB">
        <w:trPr>
          <w:trHeight w:val="278"/>
        </w:trPr>
        <w:tc>
          <w:tcPr>
            <w:tcW w:w="3674" w:type="pct"/>
            <w:tcBorders>
              <w:top w:val="nil"/>
              <w:left w:val="nil"/>
              <w:bottom w:val="nil"/>
              <w:right w:val="nil"/>
            </w:tcBorders>
            <w:shd w:val="clear" w:color="auto" w:fill="auto"/>
            <w:vAlign w:val="center"/>
            <w:hideMark/>
          </w:tcPr>
          <w:p w14:paraId="2C291392"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zmena stavu záväzkov</w:t>
            </w:r>
          </w:p>
        </w:tc>
        <w:tc>
          <w:tcPr>
            <w:tcW w:w="685" w:type="pct"/>
            <w:tcBorders>
              <w:top w:val="nil"/>
              <w:left w:val="nil"/>
              <w:bottom w:val="nil"/>
              <w:right w:val="nil"/>
            </w:tcBorders>
            <w:shd w:val="clear" w:color="auto" w:fill="auto"/>
            <w:noWrap/>
            <w:vAlign w:val="center"/>
            <w:hideMark/>
          </w:tcPr>
          <w:p w14:paraId="3EE0913F"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-189 295</w:t>
            </w:r>
          </w:p>
        </w:tc>
        <w:tc>
          <w:tcPr>
            <w:tcW w:w="640" w:type="pct"/>
            <w:tcBorders>
              <w:top w:val="nil"/>
              <w:left w:val="nil"/>
              <w:bottom w:val="nil"/>
              <w:right w:val="nil"/>
            </w:tcBorders>
            <w:shd w:val="clear" w:color="auto" w:fill="auto"/>
            <w:noWrap/>
            <w:vAlign w:val="center"/>
            <w:hideMark/>
          </w:tcPr>
          <w:p w14:paraId="4830E31F"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-0,14</w:t>
            </w:r>
          </w:p>
        </w:tc>
      </w:tr>
      <w:tr w:rsidR="009A05C7" w:rsidRPr="00912F1D" w14:paraId="7D3004ED" w14:textId="77777777" w:rsidTr="00BA40FB">
        <w:trPr>
          <w:trHeight w:val="278"/>
        </w:trPr>
        <w:tc>
          <w:tcPr>
            <w:tcW w:w="3674" w:type="pct"/>
            <w:tcBorders>
              <w:top w:val="nil"/>
              <w:left w:val="nil"/>
              <w:bottom w:val="nil"/>
              <w:right w:val="nil"/>
            </w:tcBorders>
            <w:shd w:val="clear" w:color="auto" w:fill="auto"/>
            <w:vAlign w:val="center"/>
            <w:hideMark/>
          </w:tcPr>
          <w:p w14:paraId="2B4D9FFB"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zaplatené preddavky na dlhod. hm. majetok na vojenskú techniku</w:t>
            </w:r>
          </w:p>
        </w:tc>
        <w:tc>
          <w:tcPr>
            <w:tcW w:w="685" w:type="pct"/>
            <w:tcBorders>
              <w:top w:val="nil"/>
              <w:left w:val="nil"/>
              <w:bottom w:val="nil"/>
              <w:right w:val="nil"/>
            </w:tcBorders>
            <w:shd w:val="clear" w:color="auto" w:fill="auto"/>
            <w:noWrap/>
            <w:vAlign w:val="center"/>
            <w:hideMark/>
          </w:tcPr>
          <w:p w14:paraId="5BFF3A79"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606 504</w:t>
            </w:r>
          </w:p>
        </w:tc>
        <w:tc>
          <w:tcPr>
            <w:tcW w:w="640" w:type="pct"/>
            <w:tcBorders>
              <w:top w:val="nil"/>
              <w:left w:val="nil"/>
              <w:bottom w:val="nil"/>
              <w:right w:val="nil"/>
            </w:tcBorders>
            <w:shd w:val="clear" w:color="auto" w:fill="auto"/>
            <w:noWrap/>
            <w:vAlign w:val="center"/>
            <w:hideMark/>
          </w:tcPr>
          <w:p w14:paraId="69730913"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0,46</w:t>
            </w:r>
          </w:p>
        </w:tc>
      </w:tr>
      <w:tr w:rsidR="009A05C7" w:rsidRPr="00912F1D" w14:paraId="330BE78A" w14:textId="77777777" w:rsidTr="00BA40FB">
        <w:trPr>
          <w:trHeight w:val="278"/>
        </w:trPr>
        <w:tc>
          <w:tcPr>
            <w:tcW w:w="3674" w:type="pct"/>
            <w:tcBorders>
              <w:top w:val="nil"/>
              <w:left w:val="nil"/>
              <w:bottom w:val="nil"/>
              <w:right w:val="nil"/>
            </w:tcBorders>
            <w:shd w:val="clear" w:color="auto" w:fill="auto"/>
            <w:vAlign w:val="center"/>
            <w:hideMark/>
          </w:tcPr>
          <w:p w14:paraId="3639EEEF"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výdavky na tovary a služby </w:t>
            </w:r>
          </w:p>
        </w:tc>
        <w:tc>
          <w:tcPr>
            <w:tcW w:w="685" w:type="pct"/>
            <w:tcBorders>
              <w:top w:val="nil"/>
              <w:left w:val="nil"/>
              <w:bottom w:val="nil"/>
              <w:right w:val="nil"/>
            </w:tcBorders>
            <w:shd w:val="clear" w:color="auto" w:fill="auto"/>
            <w:noWrap/>
            <w:vAlign w:val="center"/>
            <w:hideMark/>
          </w:tcPr>
          <w:p w14:paraId="679023F5"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732 975</w:t>
            </w:r>
          </w:p>
        </w:tc>
        <w:tc>
          <w:tcPr>
            <w:tcW w:w="640" w:type="pct"/>
            <w:tcBorders>
              <w:top w:val="nil"/>
              <w:left w:val="nil"/>
              <w:bottom w:val="nil"/>
              <w:right w:val="nil"/>
            </w:tcBorders>
            <w:shd w:val="clear" w:color="auto" w:fill="auto"/>
            <w:noWrap/>
            <w:vAlign w:val="center"/>
            <w:hideMark/>
          </w:tcPr>
          <w:p w14:paraId="1FC065BE"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0,56</w:t>
            </w:r>
          </w:p>
        </w:tc>
      </w:tr>
      <w:tr w:rsidR="009A05C7" w:rsidRPr="00912F1D" w14:paraId="7B535FA4" w14:textId="77777777" w:rsidTr="00BA40FB">
        <w:trPr>
          <w:trHeight w:val="278"/>
        </w:trPr>
        <w:tc>
          <w:tcPr>
            <w:tcW w:w="3674" w:type="pct"/>
            <w:tcBorders>
              <w:top w:val="nil"/>
              <w:left w:val="nil"/>
              <w:bottom w:val="nil"/>
              <w:right w:val="nil"/>
            </w:tcBorders>
            <w:shd w:val="clear" w:color="auto" w:fill="auto"/>
            <w:vAlign w:val="center"/>
            <w:hideMark/>
          </w:tcPr>
          <w:p w14:paraId="6ABE77D7"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výdavky na obstarávanie kapitálových aktív </w:t>
            </w:r>
          </w:p>
        </w:tc>
        <w:tc>
          <w:tcPr>
            <w:tcW w:w="685" w:type="pct"/>
            <w:tcBorders>
              <w:top w:val="nil"/>
              <w:left w:val="nil"/>
              <w:bottom w:val="nil"/>
              <w:right w:val="nil"/>
            </w:tcBorders>
            <w:shd w:val="clear" w:color="auto" w:fill="auto"/>
            <w:noWrap/>
            <w:vAlign w:val="center"/>
            <w:hideMark/>
          </w:tcPr>
          <w:p w14:paraId="280863B9"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530 350</w:t>
            </w:r>
          </w:p>
        </w:tc>
        <w:tc>
          <w:tcPr>
            <w:tcW w:w="640" w:type="pct"/>
            <w:tcBorders>
              <w:top w:val="nil"/>
              <w:left w:val="nil"/>
              <w:bottom w:val="nil"/>
              <w:right w:val="nil"/>
            </w:tcBorders>
            <w:shd w:val="clear" w:color="auto" w:fill="auto"/>
            <w:noWrap/>
            <w:vAlign w:val="center"/>
            <w:hideMark/>
          </w:tcPr>
          <w:p w14:paraId="64E68A45"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0,40</w:t>
            </w:r>
          </w:p>
        </w:tc>
      </w:tr>
      <w:tr w:rsidR="009A05C7" w:rsidRPr="00912F1D" w14:paraId="4D855AD5" w14:textId="77777777" w:rsidTr="00BA40FB">
        <w:trPr>
          <w:trHeight w:val="278"/>
        </w:trPr>
        <w:tc>
          <w:tcPr>
            <w:tcW w:w="3674" w:type="pct"/>
            <w:tcBorders>
              <w:top w:val="nil"/>
              <w:left w:val="nil"/>
              <w:bottom w:val="nil"/>
              <w:right w:val="nil"/>
            </w:tcBorders>
            <w:shd w:val="clear" w:color="auto" w:fill="auto"/>
            <w:vAlign w:val="center"/>
            <w:hideMark/>
          </w:tcPr>
          <w:p w14:paraId="488909F8"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výdavky na dôchodkové dávky zo starobného poistenia</w:t>
            </w:r>
            <w:r w:rsidRPr="00FD7B25">
              <w:rPr>
                <w:rFonts w:eastAsia="Times New Roman" w:cs="Times New Roman"/>
                <w:color w:val="000000"/>
                <w:sz w:val="18"/>
                <w:szCs w:val="18"/>
                <w:vertAlign w:val="superscript"/>
                <w:lang w:eastAsia="sk-SK"/>
              </w:rPr>
              <w:t>1</w:t>
            </w:r>
            <w:r>
              <w:rPr>
                <w:rFonts w:eastAsia="Times New Roman" w:cs="Times New Roman"/>
                <w:color w:val="000000"/>
                <w:sz w:val="18"/>
                <w:szCs w:val="18"/>
                <w:vertAlign w:val="superscript"/>
                <w:lang w:eastAsia="sk-SK"/>
              </w:rPr>
              <w:t>)</w:t>
            </w:r>
          </w:p>
        </w:tc>
        <w:tc>
          <w:tcPr>
            <w:tcW w:w="685" w:type="pct"/>
            <w:tcBorders>
              <w:top w:val="nil"/>
              <w:left w:val="nil"/>
              <w:bottom w:val="nil"/>
              <w:right w:val="nil"/>
            </w:tcBorders>
            <w:shd w:val="clear" w:color="auto" w:fill="auto"/>
            <w:noWrap/>
            <w:vAlign w:val="center"/>
            <w:hideMark/>
          </w:tcPr>
          <w:p w14:paraId="4C503E71"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822 904</w:t>
            </w:r>
          </w:p>
        </w:tc>
        <w:tc>
          <w:tcPr>
            <w:tcW w:w="640" w:type="pct"/>
            <w:tcBorders>
              <w:top w:val="nil"/>
              <w:left w:val="nil"/>
              <w:bottom w:val="nil"/>
              <w:right w:val="nil"/>
            </w:tcBorders>
            <w:shd w:val="clear" w:color="auto" w:fill="auto"/>
            <w:noWrap/>
            <w:vAlign w:val="center"/>
            <w:hideMark/>
          </w:tcPr>
          <w:p w14:paraId="3D785C9A"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0,63</w:t>
            </w:r>
          </w:p>
        </w:tc>
      </w:tr>
      <w:tr w:rsidR="009A05C7" w:rsidRPr="00912F1D" w14:paraId="63BE41F6" w14:textId="77777777" w:rsidTr="00BA40FB">
        <w:trPr>
          <w:trHeight w:val="278"/>
        </w:trPr>
        <w:tc>
          <w:tcPr>
            <w:tcW w:w="3674" w:type="pct"/>
            <w:tcBorders>
              <w:top w:val="nil"/>
              <w:left w:val="nil"/>
              <w:bottom w:val="nil"/>
              <w:right w:val="nil"/>
            </w:tcBorders>
            <w:shd w:val="clear" w:color="auto" w:fill="auto"/>
            <w:vAlign w:val="center"/>
            <w:hideMark/>
          </w:tcPr>
          <w:p w14:paraId="0FFA83E2"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ostatné</w:t>
            </w:r>
          </w:p>
        </w:tc>
        <w:tc>
          <w:tcPr>
            <w:tcW w:w="685" w:type="pct"/>
            <w:tcBorders>
              <w:top w:val="nil"/>
              <w:left w:val="nil"/>
              <w:bottom w:val="nil"/>
              <w:right w:val="nil"/>
            </w:tcBorders>
            <w:shd w:val="clear" w:color="auto" w:fill="auto"/>
            <w:noWrap/>
            <w:vAlign w:val="center"/>
            <w:hideMark/>
          </w:tcPr>
          <w:p w14:paraId="18A23B2A" w14:textId="09AC819D" w:rsidR="009A05C7" w:rsidRPr="00912F1D" w:rsidRDefault="009A05C7" w:rsidP="00AA45D3">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w:t>
            </w:r>
            <w:r w:rsidR="00AA45D3">
              <w:rPr>
                <w:rFonts w:eastAsia="Times New Roman" w:cs="Times New Roman"/>
                <w:color w:val="000000"/>
                <w:sz w:val="18"/>
                <w:szCs w:val="18"/>
                <w:lang w:eastAsia="sk-SK"/>
              </w:rPr>
              <w:t>169 938</w:t>
            </w:r>
          </w:p>
        </w:tc>
        <w:tc>
          <w:tcPr>
            <w:tcW w:w="640" w:type="pct"/>
            <w:tcBorders>
              <w:top w:val="nil"/>
              <w:left w:val="nil"/>
              <w:bottom w:val="nil"/>
              <w:right w:val="nil"/>
            </w:tcBorders>
            <w:shd w:val="clear" w:color="auto" w:fill="auto"/>
            <w:noWrap/>
            <w:vAlign w:val="center"/>
            <w:hideMark/>
          </w:tcPr>
          <w:p w14:paraId="22C4675E" w14:textId="4D4BB514" w:rsidR="009A05C7" w:rsidRPr="00912F1D" w:rsidRDefault="009A05C7" w:rsidP="00AA45D3">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-0,1</w:t>
            </w:r>
            <w:r w:rsidR="00AA45D3">
              <w:rPr>
                <w:rFonts w:eastAsia="Times New Roman" w:cs="Times New Roman"/>
                <w:color w:val="000000"/>
                <w:sz w:val="18"/>
                <w:szCs w:val="18"/>
                <w:lang w:eastAsia="sk-SK"/>
              </w:rPr>
              <w:t>3</w:t>
            </w:r>
          </w:p>
        </w:tc>
      </w:tr>
      <w:tr w:rsidR="009A05C7" w:rsidRPr="00912F1D" w14:paraId="159F6502" w14:textId="77777777" w:rsidTr="00BA40FB">
        <w:trPr>
          <w:trHeight w:val="278"/>
        </w:trPr>
        <w:tc>
          <w:tcPr>
            <w:tcW w:w="3674" w:type="pct"/>
            <w:tcBorders>
              <w:top w:val="nil"/>
              <w:left w:val="nil"/>
              <w:bottom w:val="nil"/>
              <w:right w:val="nil"/>
            </w:tcBorders>
            <w:shd w:val="clear" w:color="auto" w:fill="auto"/>
            <w:vAlign w:val="center"/>
            <w:hideMark/>
          </w:tcPr>
          <w:p w14:paraId="14F558C8" w14:textId="77777777" w:rsidR="009A05C7" w:rsidRPr="00912F1D" w:rsidRDefault="009A05C7" w:rsidP="000240DA">
            <w:pPr>
              <w:spacing w:after="0" w:line="240" w:lineRule="auto"/>
              <w:jc w:val="left"/>
              <w:rPr>
                <w:rFonts w:eastAsia="Times New Roman" w:cs="Times New Roman"/>
                <w:b/>
                <w:bCs/>
                <w:color w:val="000000"/>
                <w:sz w:val="18"/>
                <w:szCs w:val="18"/>
                <w:lang w:eastAsia="sk-SK"/>
              </w:rPr>
            </w:pPr>
            <w:r w:rsidRPr="00912F1D">
              <w:rPr>
                <w:rFonts w:eastAsia="Times New Roman" w:cs="Times New Roman"/>
                <w:b/>
                <w:bCs/>
                <w:color w:val="000000"/>
                <w:sz w:val="18"/>
                <w:szCs w:val="18"/>
                <w:lang w:eastAsia="sk-SK"/>
              </w:rPr>
              <w:t>4. Vplyv hospodárenia samostatných účtov (vrátane ŠFA) bez daní</w:t>
            </w:r>
          </w:p>
        </w:tc>
        <w:tc>
          <w:tcPr>
            <w:tcW w:w="685" w:type="pct"/>
            <w:tcBorders>
              <w:top w:val="nil"/>
              <w:left w:val="nil"/>
              <w:bottom w:val="nil"/>
              <w:right w:val="nil"/>
            </w:tcBorders>
            <w:shd w:val="clear" w:color="auto" w:fill="auto"/>
            <w:noWrap/>
            <w:vAlign w:val="center"/>
            <w:hideMark/>
          </w:tcPr>
          <w:p w14:paraId="235B9F0A" w14:textId="77777777" w:rsidR="009A05C7" w:rsidRPr="00912F1D" w:rsidRDefault="009A05C7" w:rsidP="000240DA">
            <w:pPr>
              <w:spacing w:after="0" w:line="240" w:lineRule="auto"/>
              <w:jc w:val="right"/>
              <w:rPr>
                <w:rFonts w:eastAsia="Times New Roman" w:cs="Times New Roman"/>
                <w:b/>
                <w:bCs/>
                <w:i/>
                <w:iCs/>
                <w:color w:val="000000"/>
                <w:sz w:val="18"/>
                <w:szCs w:val="18"/>
                <w:lang w:eastAsia="sk-SK"/>
              </w:rPr>
            </w:pPr>
            <w:r w:rsidRPr="00912F1D">
              <w:rPr>
                <w:rFonts w:eastAsia="Times New Roman" w:cs="Times New Roman"/>
                <w:b/>
                <w:bCs/>
                <w:i/>
                <w:iCs/>
                <w:color w:val="000000"/>
                <w:sz w:val="18"/>
                <w:szCs w:val="18"/>
                <w:lang w:eastAsia="sk-SK"/>
              </w:rPr>
              <w:t>-1 155 286</w:t>
            </w:r>
          </w:p>
        </w:tc>
        <w:tc>
          <w:tcPr>
            <w:tcW w:w="640" w:type="pct"/>
            <w:tcBorders>
              <w:top w:val="nil"/>
              <w:left w:val="nil"/>
              <w:bottom w:val="nil"/>
              <w:right w:val="nil"/>
            </w:tcBorders>
            <w:shd w:val="clear" w:color="auto" w:fill="auto"/>
            <w:noWrap/>
            <w:vAlign w:val="center"/>
            <w:hideMark/>
          </w:tcPr>
          <w:p w14:paraId="0CF106D2"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-0,88</w:t>
            </w:r>
          </w:p>
        </w:tc>
      </w:tr>
      <w:tr w:rsidR="009A05C7" w:rsidRPr="00912F1D" w14:paraId="4148A510" w14:textId="77777777" w:rsidTr="00BA40FB">
        <w:trPr>
          <w:trHeight w:val="457"/>
        </w:trPr>
        <w:tc>
          <w:tcPr>
            <w:tcW w:w="3674" w:type="pct"/>
            <w:tcBorders>
              <w:top w:val="nil"/>
              <w:left w:val="nil"/>
              <w:bottom w:val="nil"/>
              <w:right w:val="nil"/>
            </w:tcBorders>
            <w:shd w:val="clear" w:color="auto" w:fill="auto"/>
            <w:vAlign w:val="center"/>
            <w:hideMark/>
          </w:tcPr>
          <w:p w14:paraId="1EF2B27A" w14:textId="77777777" w:rsidR="009A05C7" w:rsidRPr="00912F1D" w:rsidRDefault="009A05C7" w:rsidP="000240DA">
            <w:pPr>
              <w:spacing w:after="0" w:line="240" w:lineRule="auto"/>
              <w:jc w:val="left"/>
              <w:rPr>
                <w:rFonts w:eastAsia="Times New Roman" w:cs="Times New Roman"/>
                <w:b/>
                <w:bCs/>
                <w:color w:val="000000"/>
                <w:sz w:val="18"/>
                <w:szCs w:val="18"/>
                <w:lang w:eastAsia="sk-SK"/>
              </w:rPr>
            </w:pPr>
            <w:r w:rsidRPr="00912F1D">
              <w:rPr>
                <w:rFonts w:eastAsia="Times New Roman" w:cs="Times New Roman"/>
                <w:b/>
                <w:bCs/>
                <w:color w:val="000000"/>
                <w:sz w:val="18"/>
                <w:szCs w:val="18"/>
                <w:lang w:eastAsia="sk-SK"/>
              </w:rPr>
              <w:t xml:space="preserve">5. Vplyv akruálnych príjmov a výdavkov súvisiacich s obsluhou </w:t>
            </w:r>
            <w:r w:rsidRPr="00912F1D">
              <w:rPr>
                <w:rFonts w:eastAsia="Times New Roman" w:cs="Times New Roman"/>
                <w:b/>
                <w:bCs/>
                <w:color w:val="000000"/>
                <w:sz w:val="18"/>
                <w:szCs w:val="18"/>
                <w:lang w:eastAsia="sk-SK"/>
              </w:rPr>
              <w:br/>
              <w:t xml:space="preserve">    štátneho dlhu</w:t>
            </w:r>
          </w:p>
        </w:tc>
        <w:tc>
          <w:tcPr>
            <w:tcW w:w="685" w:type="pct"/>
            <w:tcBorders>
              <w:top w:val="nil"/>
              <w:left w:val="nil"/>
              <w:bottom w:val="nil"/>
              <w:right w:val="nil"/>
            </w:tcBorders>
            <w:shd w:val="clear" w:color="auto" w:fill="auto"/>
            <w:noWrap/>
            <w:vAlign w:val="center"/>
            <w:hideMark/>
          </w:tcPr>
          <w:p w14:paraId="5FB5C75D" w14:textId="77777777" w:rsidR="009A05C7" w:rsidRPr="00912F1D" w:rsidRDefault="009A05C7" w:rsidP="000240DA">
            <w:pPr>
              <w:spacing w:after="0" w:line="240" w:lineRule="auto"/>
              <w:jc w:val="right"/>
              <w:rPr>
                <w:rFonts w:eastAsia="Times New Roman" w:cs="Times New Roman"/>
                <w:b/>
                <w:bCs/>
                <w:i/>
                <w:iCs/>
                <w:color w:val="000000"/>
                <w:sz w:val="18"/>
                <w:szCs w:val="18"/>
                <w:lang w:eastAsia="sk-SK"/>
              </w:rPr>
            </w:pPr>
            <w:r w:rsidRPr="00912F1D">
              <w:rPr>
                <w:rFonts w:eastAsia="Times New Roman" w:cs="Times New Roman"/>
                <w:b/>
                <w:bCs/>
                <w:i/>
                <w:iCs/>
                <w:color w:val="000000"/>
                <w:sz w:val="18"/>
                <w:szCs w:val="18"/>
                <w:lang w:eastAsia="sk-SK"/>
              </w:rPr>
              <w:t>-51 718</w:t>
            </w:r>
          </w:p>
        </w:tc>
        <w:tc>
          <w:tcPr>
            <w:tcW w:w="640" w:type="pct"/>
            <w:tcBorders>
              <w:top w:val="nil"/>
              <w:left w:val="nil"/>
              <w:bottom w:val="nil"/>
              <w:right w:val="nil"/>
            </w:tcBorders>
            <w:shd w:val="clear" w:color="auto" w:fill="auto"/>
            <w:noWrap/>
            <w:vAlign w:val="center"/>
            <w:hideMark/>
          </w:tcPr>
          <w:p w14:paraId="5BAE1AD8"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-0,04</w:t>
            </w:r>
          </w:p>
        </w:tc>
      </w:tr>
      <w:tr w:rsidR="009A05C7" w:rsidRPr="00912F1D" w14:paraId="32923E5E" w14:textId="77777777" w:rsidTr="00BA40FB">
        <w:trPr>
          <w:trHeight w:val="278"/>
        </w:trPr>
        <w:tc>
          <w:tcPr>
            <w:tcW w:w="3674" w:type="pct"/>
            <w:tcBorders>
              <w:top w:val="nil"/>
              <w:left w:val="nil"/>
              <w:bottom w:val="nil"/>
              <w:right w:val="nil"/>
            </w:tcBorders>
            <w:shd w:val="clear" w:color="auto" w:fill="auto"/>
            <w:vAlign w:val="center"/>
            <w:hideMark/>
          </w:tcPr>
          <w:p w14:paraId="1AF1336D" w14:textId="77777777" w:rsidR="009A05C7" w:rsidRPr="00912F1D" w:rsidRDefault="009A05C7" w:rsidP="000240DA">
            <w:pPr>
              <w:spacing w:after="0" w:line="240" w:lineRule="auto"/>
              <w:jc w:val="left"/>
              <w:rPr>
                <w:rFonts w:eastAsia="Times New Roman" w:cs="Times New Roman"/>
                <w:b/>
                <w:bCs/>
                <w:color w:val="000000"/>
                <w:sz w:val="18"/>
                <w:szCs w:val="18"/>
                <w:lang w:eastAsia="sk-SK"/>
              </w:rPr>
            </w:pPr>
            <w:r w:rsidRPr="00912F1D">
              <w:rPr>
                <w:rFonts w:eastAsia="Times New Roman" w:cs="Times New Roman"/>
                <w:b/>
                <w:bCs/>
                <w:color w:val="000000"/>
                <w:sz w:val="18"/>
                <w:szCs w:val="18"/>
                <w:lang w:eastAsia="sk-SK"/>
              </w:rPr>
              <w:t>6. Výdavky sociálneho a zdravotného poistenia</w:t>
            </w:r>
          </w:p>
        </w:tc>
        <w:tc>
          <w:tcPr>
            <w:tcW w:w="685" w:type="pct"/>
            <w:tcBorders>
              <w:top w:val="nil"/>
              <w:left w:val="nil"/>
              <w:bottom w:val="nil"/>
              <w:right w:val="nil"/>
            </w:tcBorders>
            <w:shd w:val="clear" w:color="auto" w:fill="auto"/>
            <w:noWrap/>
            <w:vAlign w:val="center"/>
            <w:hideMark/>
          </w:tcPr>
          <w:p w14:paraId="324EA38E" w14:textId="77777777" w:rsidR="009A05C7" w:rsidRPr="00912F1D" w:rsidRDefault="009A05C7" w:rsidP="000240DA">
            <w:pPr>
              <w:spacing w:after="0" w:line="240" w:lineRule="auto"/>
              <w:jc w:val="right"/>
              <w:rPr>
                <w:rFonts w:eastAsia="Times New Roman" w:cs="Times New Roman"/>
                <w:b/>
                <w:bCs/>
                <w:i/>
                <w:iCs/>
                <w:color w:val="000000"/>
                <w:sz w:val="18"/>
                <w:szCs w:val="18"/>
                <w:lang w:eastAsia="sk-SK"/>
              </w:rPr>
            </w:pPr>
            <w:r w:rsidRPr="00912F1D">
              <w:rPr>
                <w:rFonts w:eastAsia="Times New Roman" w:cs="Times New Roman"/>
                <w:b/>
                <w:bCs/>
                <w:i/>
                <w:iCs/>
                <w:color w:val="000000"/>
                <w:sz w:val="18"/>
                <w:szCs w:val="18"/>
                <w:lang w:eastAsia="sk-SK"/>
              </w:rPr>
              <w:t>-1 335 531</w:t>
            </w:r>
          </w:p>
        </w:tc>
        <w:tc>
          <w:tcPr>
            <w:tcW w:w="640" w:type="pct"/>
            <w:tcBorders>
              <w:top w:val="nil"/>
              <w:left w:val="nil"/>
              <w:bottom w:val="nil"/>
              <w:right w:val="nil"/>
            </w:tcBorders>
            <w:shd w:val="clear" w:color="auto" w:fill="auto"/>
            <w:noWrap/>
            <w:vAlign w:val="center"/>
            <w:hideMark/>
          </w:tcPr>
          <w:p w14:paraId="0DE558F4"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-1,02</w:t>
            </w:r>
          </w:p>
        </w:tc>
      </w:tr>
      <w:tr w:rsidR="009A05C7" w:rsidRPr="00912F1D" w14:paraId="6980B242" w14:textId="77777777" w:rsidTr="00BA40FB">
        <w:trPr>
          <w:trHeight w:val="278"/>
        </w:trPr>
        <w:tc>
          <w:tcPr>
            <w:tcW w:w="3674" w:type="pct"/>
            <w:tcBorders>
              <w:top w:val="nil"/>
              <w:left w:val="nil"/>
              <w:bottom w:val="nil"/>
              <w:right w:val="nil"/>
            </w:tcBorders>
            <w:shd w:val="clear" w:color="auto" w:fill="auto"/>
            <w:noWrap/>
            <w:vAlign w:val="center"/>
            <w:hideMark/>
          </w:tcPr>
          <w:p w14:paraId="2F6F58B1"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výdavky zo sociálneho poistenia</w:t>
            </w:r>
          </w:p>
        </w:tc>
        <w:tc>
          <w:tcPr>
            <w:tcW w:w="685" w:type="pct"/>
            <w:tcBorders>
              <w:top w:val="nil"/>
              <w:left w:val="nil"/>
              <w:bottom w:val="nil"/>
              <w:right w:val="nil"/>
            </w:tcBorders>
            <w:shd w:val="clear" w:color="auto" w:fill="auto"/>
            <w:noWrap/>
            <w:vAlign w:val="center"/>
            <w:hideMark/>
          </w:tcPr>
          <w:p w14:paraId="5DAA4F26"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-1 054 987</w:t>
            </w:r>
          </w:p>
        </w:tc>
        <w:tc>
          <w:tcPr>
            <w:tcW w:w="640" w:type="pct"/>
            <w:tcBorders>
              <w:top w:val="nil"/>
              <w:left w:val="nil"/>
              <w:bottom w:val="nil"/>
              <w:right w:val="nil"/>
            </w:tcBorders>
            <w:shd w:val="clear" w:color="auto" w:fill="auto"/>
            <w:noWrap/>
            <w:vAlign w:val="center"/>
            <w:hideMark/>
          </w:tcPr>
          <w:p w14:paraId="69AB3E44"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-0,81</w:t>
            </w:r>
          </w:p>
        </w:tc>
      </w:tr>
      <w:tr w:rsidR="009A05C7" w:rsidRPr="00912F1D" w14:paraId="020CD161" w14:textId="77777777" w:rsidTr="00BA40FB">
        <w:trPr>
          <w:trHeight w:val="278"/>
        </w:trPr>
        <w:tc>
          <w:tcPr>
            <w:tcW w:w="3674" w:type="pct"/>
            <w:tcBorders>
              <w:top w:val="nil"/>
              <w:left w:val="nil"/>
              <w:bottom w:val="nil"/>
              <w:right w:val="nil"/>
            </w:tcBorders>
            <w:shd w:val="clear" w:color="auto" w:fill="auto"/>
            <w:noWrap/>
            <w:vAlign w:val="center"/>
            <w:hideMark/>
          </w:tcPr>
          <w:p w14:paraId="09437BFA"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výdavky zo zdravotného poistenia  (výdavky poistenia)</w:t>
            </w:r>
          </w:p>
        </w:tc>
        <w:tc>
          <w:tcPr>
            <w:tcW w:w="685" w:type="pct"/>
            <w:tcBorders>
              <w:top w:val="nil"/>
              <w:left w:val="nil"/>
              <w:bottom w:val="nil"/>
              <w:right w:val="nil"/>
            </w:tcBorders>
            <w:shd w:val="clear" w:color="auto" w:fill="auto"/>
            <w:noWrap/>
            <w:vAlign w:val="center"/>
            <w:hideMark/>
          </w:tcPr>
          <w:p w14:paraId="7CF7CBCE" w14:textId="77777777" w:rsidR="009A05C7" w:rsidRPr="00912F1D" w:rsidRDefault="009A05C7" w:rsidP="000240DA">
            <w:pPr>
              <w:spacing w:after="0" w:line="240" w:lineRule="auto"/>
              <w:jc w:val="right"/>
              <w:rPr>
                <w:rFonts w:eastAsia="Times New Roman" w:cs="Times New Roman"/>
                <w:sz w:val="18"/>
                <w:szCs w:val="18"/>
                <w:lang w:eastAsia="sk-SK"/>
              </w:rPr>
            </w:pPr>
            <w:r w:rsidRPr="00912F1D">
              <w:rPr>
                <w:rFonts w:eastAsia="Times New Roman" w:cs="Times New Roman"/>
                <w:sz w:val="18"/>
                <w:szCs w:val="18"/>
                <w:lang w:eastAsia="sk-SK"/>
              </w:rPr>
              <w:t>-280 544</w:t>
            </w:r>
          </w:p>
        </w:tc>
        <w:tc>
          <w:tcPr>
            <w:tcW w:w="640" w:type="pct"/>
            <w:tcBorders>
              <w:top w:val="nil"/>
              <w:left w:val="nil"/>
              <w:bottom w:val="nil"/>
              <w:right w:val="nil"/>
            </w:tcBorders>
            <w:shd w:val="clear" w:color="auto" w:fill="auto"/>
            <w:noWrap/>
            <w:vAlign w:val="center"/>
            <w:hideMark/>
          </w:tcPr>
          <w:p w14:paraId="4952A18F"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-0,21</w:t>
            </w:r>
          </w:p>
        </w:tc>
      </w:tr>
      <w:tr w:rsidR="009A05C7" w:rsidRPr="00912F1D" w14:paraId="3B2E0BE7" w14:textId="77777777" w:rsidTr="00BA40FB">
        <w:trPr>
          <w:trHeight w:val="686"/>
        </w:trPr>
        <w:tc>
          <w:tcPr>
            <w:tcW w:w="3674" w:type="pct"/>
            <w:tcBorders>
              <w:top w:val="nil"/>
              <w:left w:val="nil"/>
              <w:bottom w:val="nil"/>
              <w:right w:val="nil"/>
            </w:tcBorders>
            <w:shd w:val="clear" w:color="auto" w:fill="auto"/>
            <w:vAlign w:val="center"/>
            <w:hideMark/>
          </w:tcPr>
          <w:p w14:paraId="40C93554" w14:textId="77777777" w:rsidR="009A05C7" w:rsidRPr="00912F1D" w:rsidRDefault="009A05C7" w:rsidP="000240DA">
            <w:pPr>
              <w:spacing w:after="0" w:line="240" w:lineRule="auto"/>
              <w:jc w:val="left"/>
              <w:rPr>
                <w:rFonts w:eastAsia="Times New Roman" w:cs="Times New Roman"/>
                <w:b/>
                <w:bCs/>
                <w:color w:val="000000"/>
                <w:sz w:val="18"/>
                <w:szCs w:val="18"/>
                <w:lang w:eastAsia="sk-SK"/>
              </w:rPr>
            </w:pPr>
            <w:r w:rsidRPr="00912F1D">
              <w:rPr>
                <w:rFonts w:eastAsia="Times New Roman" w:cs="Times New Roman"/>
                <w:b/>
                <w:bCs/>
                <w:color w:val="000000"/>
                <w:sz w:val="18"/>
                <w:szCs w:val="18"/>
                <w:lang w:eastAsia="sk-SK"/>
              </w:rPr>
              <w:t>7. Rozdiel v hospodárení fondov sociálneho zabezpečenia (okrem</w:t>
            </w:r>
            <w:r w:rsidRPr="00912F1D">
              <w:rPr>
                <w:rFonts w:eastAsia="Times New Roman" w:cs="Times New Roman"/>
                <w:b/>
                <w:bCs/>
                <w:color w:val="000000"/>
                <w:sz w:val="18"/>
                <w:szCs w:val="18"/>
                <w:lang w:eastAsia="sk-SK"/>
              </w:rPr>
              <w:br/>
              <w:t xml:space="preserve">   odvodových príjmov a výdavkov poistenia  verejného zdravotného</w:t>
            </w:r>
            <w:r w:rsidRPr="00912F1D">
              <w:rPr>
                <w:rFonts w:eastAsia="Times New Roman" w:cs="Times New Roman"/>
                <w:b/>
                <w:bCs/>
                <w:color w:val="000000"/>
                <w:sz w:val="18"/>
                <w:szCs w:val="18"/>
                <w:lang w:eastAsia="sk-SK"/>
              </w:rPr>
              <w:br/>
              <w:t xml:space="preserve">   poistenia a sociálneho poistenia)</w:t>
            </w:r>
          </w:p>
        </w:tc>
        <w:tc>
          <w:tcPr>
            <w:tcW w:w="685" w:type="pct"/>
            <w:tcBorders>
              <w:top w:val="nil"/>
              <w:left w:val="nil"/>
              <w:bottom w:val="nil"/>
              <w:right w:val="nil"/>
            </w:tcBorders>
            <w:shd w:val="clear" w:color="auto" w:fill="auto"/>
            <w:noWrap/>
            <w:vAlign w:val="center"/>
            <w:hideMark/>
          </w:tcPr>
          <w:p w14:paraId="020FAF1D" w14:textId="77777777" w:rsidR="009A05C7" w:rsidRPr="00912F1D" w:rsidRDefault="009A05C7" w:rsidP="000240DA">
            <w:pPr>
              <w:spacing w:after="0" w:line="240" w:lineRule="auto"/>
              <w:jc w:val="right"/>
              <w:rPr>
                <w:rFonts w:eastAsia="Times New Roman" w:cs="Times New Roman"/>
                <w:b/>
                <w:bCs/>
                <w:i/>
                <w:iCs/>
                <w:sz w:val="18"/>
                <w:szCs w:val="18"/>
                <w:lang w:eastAsia="sk-SK"/>
              </w:rPr>
            </w:pPr>
            <w:r w:rsidRPr="00912F1D">
              <w:rPr>
                <w:rFonts w:eastAsia="Times New Roman" w:cs="Times New Roman"/>
                <w:b/>
                <w:bCs/>
                <w:i/>
                <w:iCs/>
                <w:sz w:val="18"/>
                <w:szCs w:val="18"/>
                <w:lang w:eastAsia="sk-SK"/>
              </w:rPr>
              <w:t>1 348 324</w:t>
            </w:r>
          </w:p>
        </w:tc>
        <w:tc>
          <w:tcPr>
            <w:tcW w:w="640" w:type="pct"/>
            <w:tcBorders>
              <w:top w:val="nil"/>
              <w:left w:val="nil"/>
              <w:bottom w:val="nil"/>
              <w:right w:val="nil"/>
            </w:tcBorders>
            <w:shd w:val="clear" w:color="auto" w:fill="auto"/>
            <w:noWrap/>
            <w:vAlign w:val="center"/>
            <w:hideMark/>
          </w:tcPr>
          <w:p w14:paraId="2EBD9C9D"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1,03</w:t>
            </w:r>
          </w:p>
        </w:tc>
      </w:tr>
      <w:tr w:rsidR="009A05C7" w:rsidRPr="00912F1D" w14:paraId="22770FE6" w14:textId="77777777" w:rsidTr="00BA40FB">
        <w:trPr>
          <w:trHeight w:val="278"/>
        </w:trPr>
        <w:tc>
          <w:tcPr>
            <w:tcW w:w="3674" w:type="pct"/>
            <w:tcBorders>
              <w:top w:val="nil"/>
              <w:left w:val="nil"/>
              <w:bottom w:val="nil"/>
              <w:right w:val="nil"/>
            </w:tcBorders>
            <w:shd w:val="clear" w:color="auto" w:fill="auto"/>
            <w:noWrap/>
            <w:vAlign w:val="center"/>
            <w:hideMark/>
          </w:tcPr>
          <w:p w14:paraId="708B77BA"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w:t>
            </w:r>
            <w:r>
              <w:rPr>
                <w:rFonts w:eastAsia="Times New Roman" w:cs="Times New Roman"/>
                <w:color w:val="000000"/>
                <w:sz w:val="18"/>
                <w:szCs w:val="18"/>
                <w:lang w:eastAsia="sk-SK"/>
              </w:rPr>
              <w:t xml:space="preserve"> príjmový</w:t>
            </w:r>
            <w:r w:rsidRPr="00912F1D">
              <w:rPr>
                <w:rFonts w:eastAsia="Times New Roman" w:cs="Times New Roman"/>
                <w:color w:val="000000"/>
                <w:sz w:val="18"/>
                <w:szCs w:val="18"/>
                <w:lang w:eastAsia="sk-SK"/>
              </w:rPr>
              <w:t xml:space="preserve"> transfer Sociálnej poisťovni zo štátneho rozpočtu</w:t>
            </w:r>
          </w:p>
        </w:tc>
        <w:tc>
          <w:tcPr>
            <w:tcW w:w="685" w:type="pct"/>
            <w:tcBorders>
              <w:top w:val="nil"/>
              <w:left w:val="nil"/>
              <w:bottom w:val="nil"/>
              <w:right w:val="nil"/>
            </w:tcBorders>
            <w:shd w:val="clear" w:color="auto" w:fill="auto"/>
            <w:noWrap/>
            <w:vAlign w:val="center"/>
            <w:hideMark/>
          </w:tcPr>
          <w:p w14:paraId="317D2078" w14:textId="77777777" w:rsidR="009A05C7" w:rsidRPr="00912F1D" w:rsidRDefault="009A05C7" w:rsidP="000240DA">
            <w:pPr>
              <w:spacing w:after="0" w:line="240" w:lineRule="auto"/>
              <w:jc w:val="right"/>
              <w:rPr>
                <w:rFonts w:eastAsia="Times New Roman" w:cs="Times New Roman"/>
                <w:sz w:val="18"/>
                <w:szCs w:val="18"/>
                <w:lang w:eastAsia="sk-SK"/>
              </w:rPr>
            </w:pPr>
            <w:r w:rsidRPr="00912F1D">
              <w:rPr>
                <w:rFonts w:eastAsia="Times New Roman" w:cs="Times New Roman"/>
                <w:sz w:val="18"/>
                <w:szCs w:val="18"/>
                <w:lang w:eastAsia="sk-SK"/>
              </w:rPr>
              <w:t>1 120 000</w:t>
            </w:r>
          </w:p>
        </w:tc>
        <w:tc>
          <w:tcPr>
            <w:tcW w:w="640" w:type="pct"/>
            <w:tcBorders>
              <w:top w:val="nil"/>
              <w:left w:val="nil"/>
              <w:bottom w:val="nil"/>
              <w:right w:val="nil"/>
            </w:tcBorders>
            <w:shd w:val="clear" w:color="auto" w:fill="auto"/>
            <w:noWrap/>
            <w:vAlign w:val="center"/>
            <w:hideMark/>
          </w:tcPr>
          <w:p w14:paraId="285365D9"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0,86</w:t>
            </w:r>
          </w:p>
        </w:tc>
      </w:tr>
      <w:tr w:rsidR="009A05C7" w:rsidRPr="00912F1D" w14:paraId="2A38D43A" w14:textId="77777777" w:rsidTr="00BA40FB">
        <w:trPr>
          <w:trHeight w:val="457"/>
        </w:trPr>
        <w:tc>
          <w:tcPr>
            <w:tcW w:w="3674" w:type="pct"/>
            <w:tcBorders>
              <w:top w:val="nil"/>
              <w:left w:val="nil"/>
              <w:bottom w:val="nil"/>
              <w:right w:val="nil"/>
            </w:tcBorders>
            <w:shd w:val="clear" w:color="auto" w:fill="auto"/>
            <w:vAlign w:val="center"/>
            <w:hideMark/>
          </w:tcPr>
          <w:p w14:paraId="4CA9AAC5"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výdavkový transfer z verejnej časti ZP do súkromnej časti ZP </w:t>
            </w:r>
            <w:r w:rsidRPr="00912F1D">
              <w:rPr>
                <w:rFonts w:eastAsia="Times New Roman" w:cs="Times New Roman"/>
                <w:color w:val="000000"/>
                <w:sz w:val="18"/>
                <w:szCs w:val="18"/>
                <w:lang w:eastAsia="sk-SK"/>
              </w:rPr>
              <w:br/>
              <w:t xml:space="preserve">        na výplatu akcionárovi</w:t>
            </w:r>
          </w:p>
        </w:tc>
        <w:tc>
          <w:tcPr>
            <w:tcW w:w="685" w:type="pct"/>
            <w:tcBorders>
              <w:top w:val="nil"/>
              <w:left w:val="nil"/>
              <w:bottom w:val="nil"/>
              <w:right w:val="nil"/>
            </w:tcBorders>
            <w:shd w:val="clear" w:color="auto" w:fill="auto"/>
            <w:noWrap/>
            <w:vAlign w:val="center"/>
            <w:hideMark/>
          </w:tcPr>
          <w:p w14:paraId="24091498"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-24 455</w:t>
            </w:r>
          </w:p>
        </w:tc>
        <w:tc>
          <w:tcPr>
            <w:tcW w:w="640" w:type="pct"/>
            <w:tcBorders>
              <w:top w:val="nil"/>
              <w:left w:val="nil"/>
              <w:bottom w:val="nil"/>
              <w:right w:val="nil"/>
            </w:tcBorders>
            <w:shd w:val="clear" w:color="auto" w:fill="auto"/>
            <w:noWrap/>
            <w:vAlign w:val="center"/>
            <w:hideMark/>
          </w:tcPr>
          <w:p w14:paraId="0B67DA92"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-0,02</w:t>
            </w:r>
          </w:p>
        </w:tc>
      </w:tr>
      <w:tr w:rsidR="009A05C7" w:rsidRPr="00912F1D" w14:paraId="20077111" w14:textId="77777777" w:rsidTr="00BA40FB">
        <w:trPr>
          <w:trHeight w:val="457"/>
        </w:trPr>
        <w:tc>
          <w:tcPr>
            <w:tcW w:w="3674" w:type="pct"/>
            <w:tcBorders>
              <w:top w:val="nil"/>
              <w:left w:val="nil"/>
              <w:bottom w:val="nil"/>
              <w:right w:val="nil"/>
            </w:tcBorders>
            <w:shd w:val="clear" w:color="auto" w:fill="auto"/>
            <w:vAlign w:val="center"/>
            <w:hideMark/>
          </w:tcPr>
          <w:p w14:paraId="61328FF5"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platba za správu verejného zdravotného poistenia súkromným </w:t>
            </w:r>
            <w:r w:rsidRPr="00912F1D">
              <w:rPr>
                <w:rFonts w:eastAsia="Times New Roman" w:cs="Times New Roman"/>
                <w:color w:val="000000"/>
                <w:sz w:val="18"/>
                <w:szCs w:val="18"/>
                <w:lang w:eastAsia="sk-SK"/>
              </w:rPr>
              <w:br/>
              <w:t xml:space="preserve">       zdrav. poisťovniam</w:t>
            </w:r>
          </w:p>
        </w:tc>
        <w:tc>
          <w:tcPr>
            <w:tcW w:w="685" w:type="pct"/>
            <w:tcBorders>
              <w:top w:val="nil"/>
              <w:left w:val="nil"/>
              <w:bottom w:val="nil"/>
              <w:right w:val="nil"/>
            </w:tcBorders>
            <w:shd w:val="clear" w:color="auto" w:fill="auto"/>
            <w:noWrap/>
            <w:vAlign w:val="center"/>
            <w:hideMark/>
          </w:tcPr>
          <w:p w14:paraId="6BC99081"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-101 264</w:t>
            </w:r>
          </w:p>
        </w:tc>
        <w:tc>
          <w:tcPr>
            <w:tcW w:w="640" w:type="pct"/>
            <w:tcBorders>
              <w:top w:val="nil"/>
              <w:left w:val="nil"/>
              <w:bottom w:val="nil"/>
              <w:right w:val="nil"/>
            </w:tcBorders>
            <w:shd w:val="clear" w:color="auto" w:fill="auto"/>
            <w:noWrap/>
            <w:vAlign w:val="center"/>
            <w:hideMark/>
          </w:tcPr>
          <w:p w14:paraId="2EB99149"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-0,08</w:t>
            </w:r>
          </w:p>
        </w:tc>
      </w:tr>
      <w:tr w:rsidR="009A05C7" w:rsidRPr="00912F1D" w14:paraId="542C19D0" w14:textId="77777777" w:rsidTr="00BA40FB">
        <w:trPr>
          <w:trHeight w:val="278"/>
        </w:trPr>
        <w:tc>
          <w:tcPr>
            <w:tcW w:w="3674" w:type="pct"/>
            <w:tcBorders>
              <w:top w:val="nil"/>
              <w:left w:val="nil"/>
              <w:bottom w:val="nil"/>
              <w:right w:val="nil"/>
            </w:tcBorders>
            <w:shd w:val="clear" w:color="auto" w:fill="auto"/>
            <w:noWrap/>
            <w:vAlign w:val="center"/>
            <w:hideMark/>
          </w:tcPr>
          <w:p w14:paraId="588960F5"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ostatné</w:t>
            </w:r>
          </w:p>
        </w:tc>
        <w:tc>
          <w:tcPr>
            <w:tcW w:w="685" w:type="pct"/>
            <w:tcBorders>
              <w:top w:val="nil"/>
              <w:left w:val="nil"/>
              <w:bottom w:val="nil"/>
              <w:right w:val="nil"/>
            </w:tcBorders>
            <w:shd w:val="clear" w:color="auto" w:fill="auto"/>
            <w:noWrap/>
            <w:vAlign w:val="center"/>
            <w:hideMark/>
          </w:tcPr>
          <w:p w14:paraId="2959714B" w14:textId="77777777" w:rsidR="009A05C7" w:rsidRPr="00912F1D" w:rsidRDefault="009A05C7" w:rsidP="000240DA">
            <w:pPr>
              <w:spacing w:after="0" w:line="240" w:lineRule="auto"/>
              <w:jc w:val="right"/>
              <w:rPr>
                <w:rFonts w:eastAsia="Times New Roman" w:cs="Times New Roman"/>
                <w:sz w:val="18"/>
                <w:szCs w:val="18"/>
                <w:lang w:eastAsia="sk-SK"/>
              </w:rPr>
            </w:pPr>
            <w:r w:rsidRPr="00912F1D">
              <w:rPr>
                <w:rFonts w:eastAsia="Times New Roman" w:cs="Times New Roman"/>
                <w:sz w:val="18"/>
                <w:szCs w:val="18"/>
                <w:lang w:eastAsia="sk-SK"/>
              </w:rPr>
              <w:t xml:space="preserve">354 </w:t>
            </w:r>
            <w:r>
              <w:rPr>
                <w:rFonts w:eastAsia="Times New Roman" w:cs="Times New Roman"/>
                <w:sz w:val="18"/>
                <w:szCs w:val="18"/>
                <w:lang w:eastAsia="sk-SK"/>
              </w:rPr>
              <w:t>04</w:t>
            </w:r>
            <w:r w:rsidRPr="00912F1D">
              <w:rPr>
                <w:rFonts w:eastAsia="Times New Roman" w:cs="Times New Roman"/>
                <w:sz w:val="18"/>
                <w:szCs w:val="18"/>
                <w:lang w:eastAsia="sk-SK"/>
              </w:rPr>
              <w:t>3</w:t>
            </w:r>
          </w:p>
        </w:tc>
        <w:tc>
          <w:tcPr>
            <w:tcW w:w="640" w:type="pct"/>
            <w:tcBorders>
              <w:top w:val="nil"/>
              <w:left w:val="nil"/>
              <w:bottom w:val="nil"/>
              <w:right w:val="nil"/>
            </w:tcBorders>
            <w:shd w:val="clear" w:color="auto" w:fill="auto"/>
            <w:noWrap/>
            <w:vAlign w:val="center"/>
            <w:hideMark/>
          </w:tcPr>
          <w:p w14:paraId="675C1F5D"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0,27</w:t>
            </w:r>
          </w:p>
        </w:tc>
      </w:tr>
      <w:tr w:rsidR="009A05C7" w:rsidRPr="00912F1D" w14:paraId="03F30E45" w14:textId="77777777" w:rsidTr="00BA40FB">
        <w:trPr>
          <w:trHeight w:val="478"/>
        </w:trPr>
        <w:tc>
          <w:tcPr>
            <w:tcW w:w="3674" w:type="pct"/>
            <w:tcBorders>
              <w:top w:val="nil"/>
              <w:left w:val="nil"/>
              <w:bottom w:val="nil"/>
              <w:right w:val="nil"/>
            </w:tcBorders>
            <w:shd w:val="clear" w:color="auto" w:fill="auto"/>
            <w:vAlign w:val="center"/>
            <w:hideMark/>
          </w:tcPr>
          <w:p w14:paraId="3AE71109" w14:textId="77777777" w:rsidR="009A05C7" w:rsidRPr="00912F1D" w:rsidRDefault="009A05C7" w:rsidP="000240DA">
            <w:pPr>
              <w:spacing w:after="0" w:line="240" w:lineRule="auto"/>
              <w:jc w:val="left"/>
              <w:rPr>
                <w:rFonts w:eastAsia="Times New Roman" w:cs="Times New Roman"/>
                <w:b/>
                <w:bCs/>
                <w:color w:val="000000"/>
                <w:sz w:val="18"/>
                <w:szCs w:val="18"/>
                <w:lang w:eastAsia="sk-SK"/>
              </w:rPr>
            </w:pPr>
            <w:r w:rsidRPr="00912F1D">
              <w:rPr>
                <w:rFonts w:eastAsia="Times New Roman" w:cs="Times New Roman"/>
                <w:b/>
                <w:bCs/>
                <w:color w:val="000000"/>
                <w:sz w:val="18"/>
                <w:szCs w:val="18"/>
                <w:lang w:eastAsia="sk-SK"/>
              </w:rPr>
              <w:t xml:space="preserve">8. Rozdiel v hospodárení ústredných subjektov verejnej správy </w:t>
            </w:r>
            <w:r w:rsidRPr="00912F1D">
              <w:rPr>
                <w:rFonts w:eastAsia="Times New Roman" w:cs="Times New Roman"/>
                <w:b/>
                <w:bCs/>
                <w:color w:val="000000"/>
                <w:sz w:val="18"/>
                <w:szCs w:val="18"/>
                <w:lang w:eastAsia="sk-SK"/>
              </w:rPr>
              <w:br/>
              <w:t xml:space="preserve">    bez daňových príjmov</w:t>
            </w:r>
          </w:p>
        </w:tc>
        <w:tc>
          <w:tcPr>
            <w:tcW w:w="685" w:type="pct"/>
            <w:tcBorders>
              <w:top w:val="nil"/>
              <w:left w:val="nil"/>
              <w:bottom w:val="nil"/>
              <w:right w:val="nil"/>
            </w:tcBorders>
            <w:shd w:val="clear" w:color="auto" w:fill="auto"/>
            <w:noWrap/>
            <w:vAlign w:val="center"/>
            <w:hideMark/>
          </w:tcPr>
          <w:p w14:paraId="4D856341" w14:textId="77777777" w:rsidR="009A05C7" w:rsidRPr="00912F1D" w:rsidRDefault="009A05C7" w:rsidP="000240DA">
            <w:pPr>
              <w:spacing w:after="0" w:line="240" w:lineRule="auto"/>
              <w:jc w:val="right"/>
              <w:rPr>
                <w:rFonts w:eastAsia="Times New Roman" w:cs="Times New Roman"/>
                <w:b/>
                <w:bCs/>
                <w:i/>
                <w:iCs/>
                <w:color w:val="000000"/>
                <w:sz w:val="18"/>
                <w:szCs w:val="18"/>
                <w:lang w:eastAsia="sk-SK"/>
              </w:rPr>
            </w:pPr>
            <w:r w:rsidRPr="00912F1D">
              <w:rPr>
                <w:rFonts w:eastAsia="Times New Roman" w:cs="Times New Roman"/>
                <w:b/>
                <w:bCs/>
                <w:i/>
                <w:iCs/>
                <w:color w:val="000000"/>
                <w:sz w:val="18"/>
                <w:szCs w:val="18"/>
                <w:lang w:eastAsia="sk-SK"/>
              </w:rPr>
              <w:t>540 638</w:t>
            </w:r>
          </w:p>
        </w:tc>
        <w:tc>
          <w:tcPr>
            <w:tcW w:w="640" w:type="pct"/>
            <w:tcBorders>
              <w:top w:val="nil"/>
              <w:left w:val="nil"/>
              <w:bottom w:val="nil"/>
              <w:right w:val="nil"/>
            </w:tcBorders>
            <w:shd w:val="clear" w:color="auto" w:fill="auto"/>
            <w:noWrap/>
            <w:vAlign w:val="center"/>
            <w:hideMark/>
          </w:tcPr>
          <w:p w14:paraId="113D9E6A"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0,41</w:t>
            </w:r>
          </w:p>
        </w:tc>
      </w:tr>
      <w:tr w:rsidR="009A05C7" w:rsidRPr="00912F1D" w14:paraId="0BE3B178" w14:textId="77777777" w:rsidTr="00BA40FB">
        <w:trPr>
          <w:trHeight w:val="278"/>
        </w:trPr>
        <w:tc>
          <w:tcPr>
            <w:tcW w:w="3674" w:type="pct"/>
            <w:tcBorders>
              <w:top w:val="nil"/>
              <w:left w:val="nil"/>
              <w:bottom w:val="nil"/>
              <w:right w:val="nil"/>
            </w:tcBorders>
            <w:shd w:val="clear" w:color="auto" w:fill="auto"/>
            <w:vAlign w:val="center"/>
            <w:hideMark/>
          </w:tcPr>
          <w:p w14:paraId="1E7724AA"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obchodné spoločnosti štátu</w:t>
            </w:r>
          </w:p>
        </w:tc>
        <w:tc>
          <w:tcPr>
            <w:tcW w:w="685" w:type="pct"/>
            <w:tcBorders>
              <w:top w:val="nil"/>
              <w:left w:val="nil"/>
              <w:bottom w:val="nil"/>
              <w:right w:val="nil"/>
            </w:tcBorders>
            <w:shd w:val="clear" w:color="auto" w:fill="auto"/>
            <w:noWrap/>
            <w:vAlign w:val="center"/>
            <w:hideMark/>
          </w:tcPr>
          <w:p w14:paraId="5BC65F0E"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144 605</w:t>
            </w:r>
          </w:p>
        </w:tc>
        <w:tc>
          <w:tcPr>
            <w:tcW w:w="640" w:type="pct"/>
            <w:tcBorders>
              <w:top w:val="nil"/>
              <w:left w:val="nil"/>
              <w:bottom w:val="nil"/>
              <w:right w:val="nil"/>
            </w:tcBorders>
            <w:shd w:val="clear" w:color="auto" w:fill="auto"/>
            <w:noWrap/>
            <w:vAlign w:val="center"/>
            <w:hideMark/>
          </w:tcPr>
          <w:p w14:paraId="643978FF"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0,11</w:t>
            </w:r>
          </w:p>
        </w:tc>
      </w:tr>
      <w:tr w:rsidR="009A05C7" w:rsidRPr="00912F1D" w14:paraId="459EE494" w14:textId="77777777" w:rsidTr="00BA40FB">
        <w:trPr>
          <w:trHeight w:val="278"/>
        </w:trPr>
        <w:tc>
          <w:tcPr>
            <w:tcW w:w="3674" w:type="pct"/>
            <w:tcBorders>
              <w:top w:val="nil"/>
              <w:left w:val="nil"/>
              <w:bottom w:val="nil"/>
              <w:right w:val="nil"/>
            </w:tcBorders>
            <w:shd w:val="clear" w:color="auto" w:fill="auto"/>
            <w:vAlign w:val="center"/>
            <w:hideMark/>
          </w:tcPr>
          <w:p w14:paraId="391C1279"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Slovak Investment Holding (SIH)</w:t>
            </w:r>
            <w:r w:rsidRPr="004D5C4A">
              <w:rPr>
                <w:rFonts w:eastAsia="Times New Roman" w:cs="Times New Roman"/>
                <w:color w:val="000000"/>
                <w:sz w:val="18"/>
                <w:szCs w:val="18"/>
                <w:vertAlign w:val="superscript"/>
                <w:lang w:eastAsia="sk-SK"/>
              </w:rPr>
              <w:t>2)</w:t>
            </w:r>
          </w:p>
        </w:tc>
        <w:tc>
          <w:tcPr>
            <w:tcW w:w="685" w:type="pct"/>
            <w:tcBorders>
              <w:top w:val="nil"/>
              <w:left w:val="nil"/>
              <w:bottom w:val="nil"/>
              <w:right w:val="nil"/>
            </w:tcBorders>
            <w:shd w:val="clear" w:color="auto" w:fill="auto"/>
            <w:noWrap/>
            <w:vAlign w:val="center"/>
            <w:hideMark/>
          </w:tcPr>
          <w:p w14:paraId="04FD898C"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-15 220</w:t>
            </w:r>
          </w:p>
        </w:tc>
        <w:tc>
          <w:tcPr>
            <w:tcW w:w="640" w:type="pct"/>
            <w:tcBorders>
              <w:top w:val="nil"/>
              <w:left w:val="nil"/>
              <w:bottom w:val="nil"/>
              <w:right w:val="nil"/>
            </w:tcBorders>
            <w:shd w:val="clear" w:color="auto" w:fill="auto"/>
            <w:noWrap/>
            <w:vAlign w:val="center"/>
            <w:hideMark/>
          </w:tcPr>
          <w:p w14:paraId="0D926E51"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-0,01</w:t>
            </w:r>
          </w:p>
        </w:tc>
      </w:tr>
      <w:tr w:rsidR="009A05C7" w:rsidRPr="00912F1D" w14:paraId="425740C3" w14:textId="77777777" w:rsidTr="00BA40FB">
        <w:trPr>
          <w:trHeight w:val="278"/>
        </w:trPr>
        <w:tc>
          <w:tcPr>
            <w:tcW w:w="3674" w:type="pct"/>
            <w:tcBorders>
              <w:top w:val="nil"/>
              <w:left w:val="nil"/>
              <w:bottom w:val="nil"/>
              <w:right w:val="nil"/>
            </w:tcBorders>
            <w:shd w:val="clear" w:color="auto" w:fill="auto"/>
            <w:noWrap/>
            <w:vAlign w:val="center"/>
            <w:hideMark/>
          </w:tcPr>
          <w:p w14:paraId="7BB3E2B8" w14:textId="77777777" w:rsidR="009A05C7" w:rsidRPr="00912F1D" w:rsidRDefault="009A05C7" w:rsidP="000240DA">
            <w:pPr>
              <w:spacing w:after="0" w:line="240" w:lineRule="auto"/>
              <w:jc w:val="left"/>
              <w:rPr>
                <w:rFonts w:eastAsia="Times New Roman" w:cs="Times New Roman"/>
                <w:sz w:val="18"/>
                <w:szCs w:val="18"/>
                <w:lang w:eastAsia="sk-SK"/>
              </w:rPr>
            </w:pPr>
            <w:r w:rsidRPr="00912F1D">
              <w:rPr>
                <w:rFonts w:eastAsia="Times New Roman" w:cs="Times New Roman"/>
                <w:sz w:val="18"/>
                <w:szCs w:val="18"/>
                <w:lang w:eastAsia="sk-SK"/>
              </w:rPr>
              <w:t xml:space="preserve">     - Eximbanka</w:t>
            </w:r>
          </w:p>
        </w:tc>
        <w:tc>
          <w:tcPr>
            <w:tcW w:w="685" w:type="pct"/>
            <w:tcBorders>
              <w:top w:val="nil"/>
              <w:left w:val="nil"/>
              <w:bottom w:val="nil"/>
              <w:right w:val="nil"/>
            </w:tcBorders>
            <w:shd w:val="clear" w:color="auto" w:fill="auto"/>
            <w:noWrap/>
            <w:vAlign w:val="center"/>
            <w:hideMark/>
          </w:tcPr>
          <w:p w14:paraId="3F0DAEB2"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228 654</w:t>
            </w:r>
          </w:p>
        </w:tc>
        <w:tc>
          <w:tcPr>
            <w:tcW w:w="640" w:type="pct"/>
            <w:tcBorders>
              <w:top w:val="nil"/>
              <w:left w:val="nil"/>
              <w:bottom w:val="nil"/>
              <w:right w:val="nil"/>
            </w:tcBorders>
            <w:shd w:val="clear" w:color="auto" w:fill="auto"/>
            <w:noWrap/>
            <w:vAlign w:val="center"/>
            <w:hideMark/>
          </w:tcPr>
          <w:p w14:paraId="0AF3B444"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0,17</w:t>
            </w:r>
          </w:p>
        </w:tc>
      </w:tr>
      <w:tr w:rsidR="009A05C7" w:rsidRPr="00912F1D" w14:paraId="442D74CC" w14:textId="77777777" w:rsidTr="00BA40FB">
        <w:trPr>
          <w:trHeight w:val="278"/>
        </w:trPr>
        <w:tc>
          <w:tcPr>
            <w:tcW w:w="3674" w:type="pct"/>
            <w:tcBorders>
              <w:top w:val="nil"/>
              <w:left w:val="nil"/>
              <w:bottom w:val="nil"/>
              <w:right w:val="nil"/>
            </w:tcBorders>
            <w:shd w:val="clear" w:color="auto" w:fill="auto"/>
            <w:noWrap/>
            <w:vAlign w:val="center"/>
            <w:hideMark/>
          </w:tcPr>
          <w:p w14:paraId="285C4B30" w14:textId="77777777" w:rsidR="009A05C7" w:rsidRPr="00912F1D" w:rsidRDefault="009A05C7" w:rsidP="000240DA">
            <w:pPr>
              <w:spacing w:after="0" w:line="240" w:lineRule="auto"/>
              <w:jc w:val="left"/>
              <w:rPr>
                <w:rFonts w:eastAsia="Times New Roman" w:cs="Times New Roman"/>
                <w:sz w:val="18"/>
                <w:szCs w:val="18"/>
                <w:lang w:eastAsia="sk-SK"/>
              </w:rPr>
            </w:pPr>
            <w:r w:rsidRPr="00912F1D">
              <w:rPr>
                <w:rFonts w:eastAsia="Times New Roman" w:cs="Times New Roman"/>
                <w:sz w:val="18"/>
                <w:szCs w:val="18"/>
                <w:lang w:eastAsia="sk-SK"/>
              </w:rPr>
              <w:t xml:space="preserve">     - Slovenská záručná rozvojová banka, a.</w:t>
            </w:r>
            <w:r>
              <w:rPr>
                <w:rFonts w:eastAsia="Times New Roman" w:cs="Times New Roman"/>
                <w:sz w:val="18"/>
                <w:szCs w:val="18"/>
                <w:lang w:eastAsia="sk-SK"/>
              </w:rPr>
              <w:t> </w:t>
            </w:r>
            <w:r w:rsidRPr="00912F1D">
              <w:rPr>
                <w:rFonts w:eastAsia="Times New Roman" w:cs="Times New Roman"/>
                <w:sz w:val="18"/>
                <w:szCs w:val="18"/>
                <w:lang w:eastAsia="sk-SK"/>
              </w:rPr>
              <w:t>s. (SZRB)</w:t>
            </w:r>
          </w:p>
        </w:tc>
        <w:tc>
          <w:tcPr>
            <w:tcW w:w="685" w:type="pct"/>
            <w:tcBorders>
              <w:top w:val="nil"/>
              <w:left w:val="nil"/>
              <w:bottom w:val="nil"/>
              <w:right w:val="nil"/>
            </w:tcBorders>
            <w:shd w:val="clear" w:color="auto" w:fill="auto"/>
            <w:noWrap/>
            <w:vAlign w:val="center"/>
            <w:hideMark/>
          </w:tcPr>
          <w:p w14:paraId="77BD3BD0"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9 644</w:t>
            </w:r>
          </w:p>
        </w:tc>
        <w:tc>
          <w:tcPr>
            <w:tcW w:w="640" w:type="pct"/>
            <w:tcBorders>
              <w:top w:val="nil"/>
              <w:left w:val="nil"/>
              <w:bottom w:val="nil"/>
              <w:right w:val="nil"/>
            </w:tcBorders>
            <w:shd w:val="clear" w:color="auto" w:fill="auto"/>
            <w:noWrap/>
            <w:vAlign w:val="center"/>
            <w:hideMark/>
          </w:tcPr>
          <w:p w14:paraId="31AC906D"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0,01</w:t>
            </w:r>
          </w:p>
        </w:tc>
      </w:tr>
      <w:tr w:rsidR="009A05C7" w:rsidRPr="00912F1D" w14:paraId="1087F2BE" w14:textId="77777777" w:rsidTr="00BA40FB">
        <w:trPr>
          <w:trHeight w:val="278"/>
        </w:trPr>
        <w:tc>
          <w:tcPr>
            <w:tcW w:w="3674" w:type="pct"/>
            <w:tcBorders>
              <w:top w:val="nil"/>
              <w:left w:val="nil"/>
              <w:bottom w:val="nil"/>
              <w:right w:val="nil"/>
            </w:tcBorders>
            <w:shd w:val="clear" w:color="auto" w:fill="auto"/>
            <w:noWrap/>
            <w:vAlign w:val="center"/>
            <w:hideMark/>
          </w:tcPr>
          <w:p w14:paraId="1EE68FBA" w14:textId="77777777" w:rsidR="009A05C7" w:rsidRPr="00912F1D" w:rsidRDefault="009A05C7" w:rsidP="000240DA">
            <w:pPr>
              <w:spacing w:after="0" w:line="240" w:lineRule="auto"/>
              <w:jc w:val="left"/>
              <w:rPr>
                <w:rFonts w:eastAsia="Times New Roman" w:cs="Times New Roman"/>
                <w:sz w:val="18"/>
                <w:szCs w:val="18"/>
                <w:lang w:eastAsia="sk-SK"/>
              </w:rPr>
            </w:pPr>
            <w:r w:rsidRPr="00912F1D">
              <w:rPr>
                <w:rFonts w:eastAsia="Times New Roman" w:cs="Times New Roman"/>
                <w:sz w:val="18"/>
                <w:szCs w:val="18"/>
                <w:lang w:eastAsia="sk-SK"/>
              </w:rPr>
              <w:t xml:space="preserve">     - zdravotnícke zariadenia ústredné</w:t>
            </w:r>
          </w:p>
        </w:tc>
        <w:tc>
          <w:tcPr>
            <w:tcW w:w="685" w:type="pct"/>
            <w:tcBorders>
              <w:top w:val="nil"/>
              <w:left w:val="nil"/>
              <w:bottom w:val="nil"/>
              <w:right w:val="nil"/>
            </w:tcBorders>
            <w:shd w:val="clear" w:color="auto" w:fill="auto"/>
            <w:noWrap/>
            <w:vAlign w:val="center"/>
            <w:hideMark/>
          </w:tcPr>
          <w:p w14:paraId="0E248F57"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53 644</w:t>
            </w:r>
          </w:p>
        </w:tc>
        <w:tc>
          <w:tcPr>
            <w:tcW w:w="640" w:type="pct"/>
            <w:tcBorders>
              <w:top w:val="nil"/>
              <w:left w:val="nil"/>
              <w:bottom w:val="nil"/>
              <w:right w:val="nil"/>
            </w:tcBorders>
            <w:shd w:val="clear" w:color="auto" w:fill="auto"/>
            <w:noWrap/>
            <w:vAlign w:val="center"/>
            <w:hideMark/>
          </w:tcPr>
          <w:p w14:paraId="2B9BBBFF"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0,04</w:t>
            </w:r>
          </w:p>
        </w:tc>
      </w:tr>
      <w:tr w:rsidR="009A05C7" w:rsidRPr="00912F1D" w14:paraId="0C96F2B9" w14:textId="77777777" w:rsidTr="00BA40FB">
        <w:trPr>
          <w:trHeight w:val="278"/>
        </w:trPr>
        <w:tc>
          <w:tcPr>
            <w:tcW w:w="3674" w:type="pct"/>
            <w:tcBorders>
              <w:top w:val="nil"/>
              <w:left w:val="nil"/>
              <w:bottom w:val="nil"/>
              <w:right w:val="nil"/>
            </w:tcBorders>
            <w:shd w:val="clear" w:color="auto" w:fill="auto"/>
            <w:noWrap/>
            <w:vAlign w:val="center"/>
            <w:hideMark/>
          </w:tcPr>
          <w:p w14:paraId="4A7812FA" w14:textId="77777777" w:rsidR="009A05C7" w:rsidRPr="00912F1D" w:rsidRDefault="009A05C7" w:rsidP="000240DA">
            <w:pPr>
              <w:spacing w:after="0" w:line="240" w:lineRule="auto"/>
              <w:jc w:val="left"/>
              <w:rPr>
                <w:rFonts w:eastAsia="Times New Roman" w:cs="Times New Roman"/>
                <w:sz w:val="18"/>
                <w:szCs w:val="18"/>
                <w:lang w:eastAsia="sk-SK"/>
              </w:rPr>
            </w:pPr>
            <w:r w:rsidRPr="00912F1D">
              <w:rPr>
                <w:rFonts w:eastAsia="Times New Roman" w:cs="Times New Roman"/>
                <w:sz w:val="18"/>
                <w:szCs w:val="18"/>
                <w:lang w:eastAsia="sk-SK"/>
              </w:rPr>
              <w:t xml:space="preserve">     - PO štátu</w:t>
            </w:r>
          </w:p>
        </w:tc>
        <w:tc>
          <w:tcPr>
            <w:tcW w:w="685" w:type="pct"/>
            <w:tcBorders>
              <w:top w:val="nil"/>
              <w:left w:val="nil"/>
              <w:bottom w:val="nil"/>
              <w:right w:val="nil"/>
            </w:tcBorders>
            <w:shd w:val="clear" w:color="auto" w:fill="auto"/>
            <w:noWrap/>
            <w:vAlign w:val="center"/>
            <w:hideMark/>
          </w:tcPr>
          <w:p w14:paraId="7B7CE43F"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19 107</w:t>
            </w:r>
          </w:p>
        </w:tc>
        <w:tc>
          <w:tcPr>
            <w:tcW w:w="640" w:type="pct"/>
            <w:tcBorders>
              <w:top w:val="nil"/>
              <w:left w:val="nil"/>
              <w:bottom w:val="nil"/>
              <w:right w:val="nil"/>
            </w:tcBorders>
            <w:shd w:val="clear" w:color="auto" w:fill="auto"/>
            <w:noWrap/>
            <w:vAlign w:val="center"/>
            <w:hideMark/>
          </w:tcPr>
          <w:p w14:paraId="014D4684"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0,01</w:t>
            </w:r>
          </w:p>
        </w:tc>
      </w:tr>
      <w:tr w:rsidR="009A05C7" w:rsidRPr="00912F1D" w14:paraId="2954F370" w14:textId="77777777" w:rsidTr="00BA40FB">
        <w:trPr>
          <w:trHeight w:val="278"/>
        </w:trPr>
        <w:tc>
          <w:tcPr>
            <w:tcW w:w="3674" w:type="pct"/>
            <w:tcBorders>
              <w:top w:val="nil"/>
              <w:left w:val="nil"/>
              <w:bottom w:val="nil"/>
              <w:right w:val="nil"/>
            </w:tcBorders>
            <w:shd w:val="clear" w:color="auto" w:fill="auto"/>
            <w:noWrap/>
            <w:vAlign w:val="center"/>
            <w:hideMark/>
          </w:tcPr>
          <w:p w14:paraId="15EA629A" w14:textId="77777777" w:rsidR="009A05C7" w:rsidRPr="00912F1D" w:rsidRDefault="009A05C7" w:rsidP="000240DA">
            <w:pPr>
              <w:spacing w:after="0" w:line="240" w:lineRule="auto"/>
              <w:jc w:val="left"/>
              <w:rPr>
                <w:rFonts w:eastAsia="Times New Roman" w:cs="Times New Roman"/>
                <w:sz w:val="18"/>
                <w:szCs w:val="18"/>
                <w:lang w:eastAsia="sk-SK"/>
              </w:rPr>
            </w:pPr>
            <w:r w:rsidRPr="00912F1D">
              <w:rPr>
                <w:rFonts w:eastAsia="Times New Roman" w:cs="Times New Roman"/>
                <w:sz w:val="18"/>
                <w:szCs w:val="18"/>
                <w:lang w:eastAsia="sk-SK"/>
              </w:rPr>
              <w:t xml:space="preserve">     - VVŠ</w:t>
            </w:r>
          </w:p>
        </w:tc>
        <w:tc>
          <w:tcPr>
            <w:tcW w:w="685" w:type="pct"/>
            <w:tcBorders>
              <w:top w:val="nil"/>
              <w:left w:val="nil"/>
              <w:bottom w:val="nil"/>
              <w:right w:val="nil"/>
            </w:tcBorders>
            <w:shd w:val="clear" w:color="auto" w:fill="auto"/>
            <w:noWrap/>
            <w:vAlign w:val="center"/>
            <w:hideMark/>
          </w:tcPr>
          <w:p w14:paraId="5BD5602F" w14:textId="77777777" w:rsidR="009A05C7" w:rsidRPr="00912F1D" w:rsidRDefault="009A05C7" w:rsidP="000240DA">
            <w:pPr>
              <w:spacing w:after="0" w:line="240" w:lineRule="auto"/>
              <w:jc w:val="right"/>
              <w:rPr>
                <w:rFonts w:eastAsia="Times New Roman" w:cs="Times New Roman"/>
                <w:sz w:val="18"/>
                <w:szCs w:val="18"/>
                <w:lang w:eastAsia="sk-SK"/>
              </w:rPr>
            </w:pPr>
            <w:r w:rsidRPr="00912F1D">
              <w:rPr>
                <w:rFonts w:eastAsia="Times New Roman" w:cs="Times New Roman"/>
                <w:sz w:val="18"/>
                <w:szCs w:val="18"/>
                <w:lang w:eastAsia="sk-SK"/>
              </w:rPr>
              <w:t>87 092</w:t>
            </w:r>
          </w:p>
        </w:tc>
        <w:tc>
          <w:tcPr>
            <w:tcW w:w="640" w:type="pct"/>
            <w:tcBorders>
              <w:top w:val="nil"/>
              <w:left w:val="nil"/>
              <w:bottom w:val="nil"/>
              <w:right w:val="nil"/>
            </w:tcBorders>
            <w:shd w:val="clear" w:color="auto" w:fill="auto"/>
            <w:noWrap/>
            <w:vAlign w:val="center"/>
            <w:hideMark/>
          </w:tcPr>
          <w:p w14:paraId="23D7D00B"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0,07</w:t>
            </w:r>
          </w:p>
        </w:tc>
      </w:tr>
      <w:tr w:rsidR="009A05C7" w:rsidRPr="00912F1D" w14:paraId="3DC67D8F" w14:textId="77777777" w:rsidTr="00BA40FB">
        <w:trPr>
          <w:trHeight w:val="278"/>
        </w:trPr>
        <w:tc>
          <w:tcPr>
            <w:tcW w:w="3674" w:type="pct"/>
            <w:tcBorders>
              <w:top w:val="nil"/>
              <w:left w:val="nil"/>
              <w:bottom w:val="nil"/>
              <w:right w:val="nil"/>
            </w:tcBorders>
            <w:shd w:val="clear" w:color="auto" w:fill="auto"/>
            <w:noWrap/>
            <w:vAlign w:val="center"/>
            <w:hideMark/>
          </w:tcPr>
          <w:p w14:paraId="3B0BE76E" w14:textId="77777777" w:rsidR="009A05C7" w:rsidRPr="00912F1D" w:rsidRDefault="009A05C7" w:rsidP="000240DA">
            <w:pPr>
              <w:spacing w:after="0" w:line="240" w:lineRule="auto"/>
              <w:jc w:val="left"/>
              <w:rPr>
                <w:rFonts w:eastAsia="Times New Roman" w:cs="Times New Roman"/>
                <w:sz w:val="18"/>
                <w:szCs w:val="18"/>
                <w:lang w:eastAsia="sk-SK"/>
              </w:rPr>
            </w:pPr>
            <w:r w:rsidRPr="00912F1D">
              <w:rPr>
                <w:rFonts w:eastAsia="Times New Roman" w:cs="Times New Roman"/>
                <w:sz w:val="18"/>
                <w:szCs w:val="18"/>
                <w:lang w:eastAsia="sk-SK"/>
              </w:rPr>
              <w:t xml:space="preserve">     - VVI</w:t>
            </w:r>
          </w:p>
        </w:tc>
        <w:tc>
          <w:tcPr>
            <w:tcW w:w="685" w:type="pct"/>
            <w:tcBorders>
              <w:top w:val="nil"/>
              <w:left w:val="nil"/>
              <w:bottom w:val="nil"/>
              <w:right w:val="nil"/>
            </w:tcBorders>
            <w:shd w:val="clear" w:color="auto" w:fill="auto"/>
            <w:noWrap/>
            <w:vAlign w:val="center"/>
            <w:hideMark/>
          </w:tcPr>
          <w:p w14:paraId="52BA3556" w14:textId="77777777" w:rsidR="009A05C7" w:rsidRPr="00912F1D" w:rsidRDefault="009A05C7" w:rsidP="000240DA">
            <w:pPr>
              <w:spacing w:after="0" w:line="240" w:lineRule="auto"/>
              <w:jc w:val="right"/>
              <w:rPr>
                <w:rFonts w:eastAsia="Times New Roman" w:cs="Times New Roman"/>
                <w:sz w:val="18"/>
                <w:szCs w:val="18"/>
                <w:lang w:eastAsia="sk-SK"/>
              </w:rPr>
            </w:pPr>
            <w:r w:rsidRPr="00912F1D">
              <w:rPr>
                <w:rFonts w:eastAsia="Times New Roman" w:cs="Times New Roman"/>
                <w:sz w:val="18"/>
                <w:szCs w:val="18"/>
                <w:lang w:eastAsia="sk-SK"/>
              </w:rPr>
              <w:t>13 737</w:t>
            </w:r>
          </w:p>
        </w:tc>
        <w:tc>
          <w:tcPr>
            <w:tcW w:w="640" w:type="pct"/>
            <w:tcBorders>
              <w:top w:val="nil"/>
              <w:left w:val="nil"/>
              <w:bottom w:val="nil"/>
              <w:right w:val="nil"/>
            </w:tcBorders>
            <w:shd w:val="clear" w:color="auto" w:fill="auto"/>
            <w:noWrap/>
            <w:vAlign w:val="center"/>
            <w:hideMark/>
          </w:tcPr>
          <w:p w14:paraId="4C9CFDEE"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0,01</w:t>
            </w:r>
          </w:p>
        </w:tc>
      </w:tr>
      <w:tr w:rsidR="009A05C7" w:rsidRPr="00912F1D" w14:paraId="0BC42BA4" w14:textId="77777777" w:rsidTr="00BA40FB">
        <w:trPr>
          <w:trHeight w:val="278"/>
        </w:trPr>
        <w:tc>
          <w:tcPr>
            <w:tcW w:w="3674" w:type="pct"/>
            <w:tcBorders>
              <w:top w:val="nil"/>
              <w:left w:val="nil"/>
              <w:bottom w:val="nil"/>
              <w:right w:val="nil"/>
            </w:tcBorders>
            <w:shd w:val="clear" w:color="auto" w:fill="auto"/>
            <w:noWrap/>
            <w:vAlign w:val="center"/>
            <w:hideMark/>
          </w:tcPr>
          <w:p w14:paraId="02CBB896"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štátne fondy bez vplyvu príjmov z emisných kvót</w:t>
            </w:r>
          </w:p>
        </w:tc>
        <w:tc>
          <w:tcPr>
            <w:tcW w:w="685" w:type="pct"/>
            <w:tcBorders>
              <w:top w:val="nil"/>
              <w:left w:val="nil"/>
              <w:bottom w:val="nil"/>
              <w:right w:val="nil"/>
            </w:tcBorders>
            <w:shd w:val="clear" w:color="auto" w:fill="auto"/>
            <w:noWrap/>
            <w:vAlign w:val="center"/>
            <w:hideMark/>
          </w:tcPr>
          <w:p w14:paraId="5C74F99A"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-14 517</w:t>
            </w:r>
          </w:p>
        </w:tc>
        <w:tc>
          <w:tcPr>
            <w:tcW w:w="640" w:type="pct"/>
            <w:tcBorders>
              <w:top w:val="nil"/>
              <w:left w:val="nil"/>
              <w:bottom w:val="nil"/>
              <w:right w:val="nil"/>
            </w:tcBorders>
            <w:shd w:val="clear" w:color="auto" w:fill="auto"/>
            <w:noWrap/>
            <w:vAlign w:val="center"/>
            <w:hideMark/>
          </w:tcPr>
          <w:p w14:paraId="0E98821C"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-0,01</w:t>
            </w:r>
          </w:p>
        </w:tc>
      </w:tr>
      <w:tr w:rsidR="009A05C7" w:rsidRPr="00912F1D" w14:paraId="20776A22" w14:textId="77777777" w:rsidTr="00BA40FB">
        <w:trPr>
          <w:trHeight w:val="278"/>
        </w:trPr>
        <w:tc>
          <w:tcPr>
            <w:tcW w:w="3674" w:type="pct"/>
            <w:tcBorders>
              <w:top w:val="nil"/>
              <w:left w:val="nil"/>
              <w:bottom w:val="nil"/>
              <w:right w:val="nil"/>
            </w:tcBorders>
            <w:shd w:val="clear" w:color="auto" w:fill="auto"/>
            <w:noWrap/>
            <w:vAlign w:val="center"/>
            <w:hideMark/>
          </w:tcPr>
          <w:p w14:paraId="7FCAE048" w14:textId="77777777" w:rsidR="009A05C7" w:rsidRPr="00912F1D" w:rsidRDefault="009A05C7" w:rsidP="000240DA">
            <w:pPr>
              <w:spacing w:after="0" w:line="240" w:lineRule="auto"/>
              <w:jc w:val="left"/>
              <w:rPr>
                <w:rFonts w:eastAsia="Times New Roman" w:cs="Times New Roman"/>
                <w:sz w:val="18"/>
                <w:szCs w:val="18"/>
                <w:lang w:eastAsia="sk-SK"/>
              </w:rPr>
            </w:pPr>
            <w:r w:rsidRPr="00912F1D">
              <w:rPr>
                <w:rFonts w:eastAsia="Times New Roman" w:cs="Times New Roman"/>
                <w:sz w:val="18"/>
                <w:szCs w:val="18"/>
                <w:lang w:eastAsia="sk-SK"/>
              </w:rPr>
              <w:t xml:space="preserve">     - Slovenský pozemkový fond</w:t>
            </w:r>
          </w:p>
        </w:tc>
        <w:tc>
          <w:tcPr>
            <w:tcW w:w="685" w:type="pct"/>
            <w:tcBorders>
              <w:top w:val="nil"/>
              <w:left w:val="nil"/>
              <w:bottom w:val="nil"/>
              <w:right w:val="nil"/>
            </w:tcBorders>
            <w:shd w:val="clear" w:color="auto" w:fill="auto"/>
            <w:noWrap/>
            <w:vAlign w:val="center"/>
            <w:hideMark/>
          </w:tcPr>
          <w:p w14:paraId="250B22B8"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27 492</w:t>
            </w:r>
          </w:p>
        </w:tc>
        <w:tc>
          <w:tcPr>
            <w:tcW w:w="640" w:type="pct"/>
            <w:tcBorders>
              <w:top w:val="nil"/>
              <w:left w:val="nil"/>
              <w:bottom w:val="nil"/>
              <w:right w:val="nil"/>
            </w:tcBorders>
            <w:shd w:val="clear" w:color="auto" w:fill="auto"/>
            <w:noWrap/>
            <w:vAlign w:val="center"/>
            <w:hideMark/>
          </w:tcPr>
          <w:p w14:paraId="373FAA5C"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0,02</w:t>
            </w:r>
          </w:p>
        </w:tc>
      </w:tr>
      <w:tr w:rsidR="009A05C7" w:rsidRPr="00912F1D" w14:paraId="6C429E61" w14:textId="77777777" w:rsidTr="00BA40FB">
        <w:trPr>
          <w:trHeight w:val="278"/>
        </w:trPr>
        <w:tc>
          <w:tcPr>
            <w:tcW w:w="3674" w:type="pct"/>
            <w:tcBorders>
              <w:top w:val="nil"/>
              <w:left w:val="nil"/>
              <w:bottom w:val="nil"/>
              <w:right w:val="nil"/>
            </w:tcBorders>
            <w:shd w:val="clear" w:color="auto" w:fill="auto"/>
            <w:noWrap/>
            <w:vAlign w:val="center"/>
            <w:hideMark/>
          </w:tcPr>
          <w:p w14:paraId="202F649C"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ostatné subjekty ústrednej správy, z toho:</w:t>
            </w:r>
          </w:p>
        </w:tc>
        <w:tc>
          <w:tcPr>
            <w:tcW w:w="685" w:type="pct"/>
            <w:tcBorders>
              <w:top w:val="nil"/>
              <w:left w:val="nil"/>
              <w:bottom w:val="nil"/>
              <w:right w:val="nil"/>
            </w:tcBorders>
            <w:shd w:val="clear" w:color="auto" w:fill="auto"/>
            <w:noWrap/>
            <w:vAlign w:val="center"/>
            <w:hideMark/>
          </w:tcPr>
          <w:p w14:paraId="5533685F"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-13 600</w:t>
            </w:r>
          </w:p>
        </w:tc>
        <w:tc>
          <w:tcPr>
            <w:tcW w:w="640" w:type="pct"/>
            <w:tcBorders>
              <w:top w:val="nil"/>
              <w:left w:val="nil"/>
              <w:bottom w:val="nil"/>
              <w:right w:val="nil"/>
            </w:tcBorders>
            <w:shd w:val="clear" w:color="auto" w:fill="auto"/>
            <w:noWrap/>
            <w:vAlign w:val="center"/>
            <w:hideMark/>
          </w:tcPr>
          <w:p w14:paraId="3037EB17"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-0,01</w:t>
            </w:r>
          </w:p>
        </w:tc>
      </w:tr>
      <w:tr w:rsidR="009A05C7" w:rsidRPr="00912F1D" w14:paraId="05B9BE50" w14:textId="77777777" w:rsidTr="00BA40FB">
        <w:trPr>
          <w:trHeight w:val="278"/>
        </w:trPr>
        <w:tc>
          <w:tcPr>
            <w:tcW w:w="3674" w:type="pct"/>
            <w:tcBorders>
              <w:top w:val="nil"/>
              <w:left w:val="nil"/>
              <w:bottom w:val="nil"/>
              <w:right w:val="nil"/>
            </w:tcBorders>
            <w:shd w:val="clear" w:color="auto" w:fill="auto"/>
            <w:noWrap/>
            <w:vAlign w:val="center"/>
            <w:hideMark/>
          </w:tcPr>
          <w:p w14:paraId="52C2E4F3"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Valaliky Industrial Park, a.</w:t>
            </w:r>
            <w:r>
              <w:rPr>
                <w:rFonts w:eastAsia="Times New Roman" w:cs="Times New Roman"/>
                <w:color w:val="000000"/>
                <w:sz w:val="18"/>
                <w:szCs w:val="18"/>
                <w:lang w:eastAsia="sk-SK"/>
              </w:rPr>
              <w:t> </w:t>
            </w:r>
            <w:r w:rsidRPr="00912F1D">
              <w:rPr>
                <w:rFonts w:eastAsia="Times New Roman" w:cs="Times New Roman"/>
                <w:color w:val="000000"/>
                <w:sz w:val="18"/>
                <w:szCs w:val="18"/>
                <w:lang w:eastAsia="sk-SK"/>
              </w:rPr>
              <w:t>s.</w:t>
            </w:r>
          </w:p>
        </w:tc>
        <w:tc>
          <w:tcPr>
            <w:tcW w:w="685" w:type="pct"/>
            <w:tcBorders>
              <w:top w:val="nil"/>
              <w:left w:val="nil"/>
              <w:bottom w:val="nil"/>
              <w:right w:val="nil"/>
            </w:tcBorders>
            <w:shd w:val="clear" w:color="auto" w:fill="auto"/>
            <w:noWrap/>
            <w:vAlign w:val="center"/>
            <w:hideMark/>
          </w:tcPr>
          <w:p w14:paraId="19D625E8"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228 956</w:t>
            </w:r>
          </w:p>
        </w:tc>
        <w:tc>
          <w:tcPr>
            <w:tcW w:w="640" w:type="pct"/>
            <w:tcBorders>
              <w:top w:val="nil"/>
              <w:left w:val="nil"/>
              <w:bottom w:val="nil"/>
              <w:right w:val="nil"/>
            </w:tcBorders>
            <w:shd w:val="clear" w:color="auto" w:fill="auto"/>
            <w:noWrap/>
            <w:vAlign w:val="center"/>
            <w:hideMark/>
          </w:tcPr>
          <w:p w14:paraId="4778F0C6"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0,17</w:t>
            </w:r>
          </w:p>
        </w:tc>
      </w:tr>
      <w:tr w:rsidR="009A05C7" w:rsidRPr="00912F1D" w14:paraId="0BD3DF9A" w14:textId="77777777" w:rsidTr="00BA40FB">
        <w:trPr>
          <w:trHeight w:val="278"/>
        </w:trPr>
        <w:tc>
          <w:tcPr>
            <w:tcW w:w="3674" w:type="pct"/>
            <w:tcBorders>
              <w:top w:val="nil"/>
              <w:left w:val="nil"/>
              <w:bottom w:val="nil"/>
              <w:right w:val="nil"/>
            </w:tcBorders>
            <w:shd w:val="clear" w:color="auto" w:fill="auto"/>
            <w:noWrap/>
            <w:vAlign w:val="center"/>
            <w:hideMark/>
          </w:tcPr>
          <w:p w14:paraId="41C6C97F"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Slovenský vodohospodársky podnik, š.</w:t>
            </w:r>
            <w:r>
              <w:rPr>
                <w:rFonts w:eastAsia="Times New Roman" w:cs="Times New Roman"/>
                <w:color w:val="000000"/>
                <w:sz w:val="18"/>
                <w:szCs w:val="18"/>
                <w:lang w:eastAsia="sk-SK"/>
              </w:rPr>
              <w:t> </w:t>
            </w:r>
            <w:r w:rsidRPr="00912F1D">
              <w:rPr>
                <w:rFonts w:eastAsia="Times New Roman" w:cs="Times New Roman"/>
                <w:color w:val="000000"/>
                <w:sz w:val="18"/>
                <w:szCs w:val="18"/>
                <w:lang w:eastAsia="sk-SK"/>
              </w:rPr>
              <w:t>p.</w:t>
            </w:r>
          </w:p>
        </w:tc>
        <w:tc>
          <w:tcPr>
            <w:tcW w:w="685" w:type="pct"/>
            <w:tcBorders>
              <w:top w:val="nil"/>
              <w:left w:val="nil"/>
              <w:bottom w:val="nil"/>
              <w:right w:val="nil"/>
            </w:tcBorders>
            <w:shd w:val="clear" w:color="auto" w:fill="auto"/>
            <w:noWrap/>
            <w:vAlign w:val="center"/>
            <w:hideMark/>
          </w:tcPr>
          <w:p w14:paraId="022CDD17"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1 757</w:t>
            </w:r>
          </w:p>
        </w:tc>
        <w:tc>
          <w:tcPr>
            <w:tcW w:w="640" w:type="pct"/>
            <w:tcBorders>
              <w:top w:val="nil"/>
              <w:left w:val="nil"/>
              <w:bottom w:val="nil"/>
              <w:right w:val="nil"/>
            </w:tcBorders>
            <w:shd w:val="clear" w:color="auto" w:fill="auto"/>
            <w:noWrap/>
            <w:vAlign w:val="center"/>
            <w:hideMark/>
          </w:tcPr>
          <w:p w14:paraId="0E2A6791"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0,00</w:t>
            </w:r>
          </w:p>
        </w:tc>
      </w:tr>
      <w:tr w:rsidR="009A05C7" w:rsidRPr="00912F1D" w14:paraId="1393D086" w14:textId="77777777" w:rsidTr="00BA40FB">
        <w:trPr>
          <w:trHeight w:val="278"/>
        </w:trPr>
        <w:tc>
          <w:tcPr>
            <w:tcW w:w="3674" w:type="pct"/>
            <w:tcBorders>
              <w:top w:val="nil"/>
              <w:left w:val="nil"/>
              <w:bottom w:val="nil"/>
              <w:right w:val="nil"/>
            </w:tcBorders>
            <w:shd w:val="clear" w:color="auto" w:fill="auto"/>
            <w:vAlign w:val="center"/>
            <w:hideMark/>
          </w:tcPr>
          <w:p w14:paraId="5A35CAB8" w14:textId="77777777" w:rsidR="009A05C7" w:rsidRPr="00912F1D" w:rsidRDefault="009A05C7" w:rsidP="000240DA">
            <w:pPr>
              <w:spacing w:after="0" w:line="240" w:lineRule="auto"/>
              <w:jc w:val="left"/>
              <w:rPr>
                <w:rFonts w:eastAsia="Times New Roman" w:cs="Times New Roman"/>
                <w:b/>
                <w:bCs/>
                <w:color w:val="000000"/>
                <w:sz w:val="18"/>
                <w:szCs w:val="18"/>
                <w:lang w:eastAsia="sk-SK"/>
              </w:rPr>
            </w:pPr>
            <w:r w:rsidRPr="00912F1D">
              <w:rPr>
                <w:rFonts w:eastAsia="Times New Roman" w:cs="Times New Roman"/>
                <w:b/>
                <w:bCs/>
                <w:color w:val="000000"/>
                <w:sz w:val="18"/>
                <w:szCs w:val="18"/>
                <w:lang w:eastAsia="sk-SK"/>
              </w:rPr>
              <w:t>9. Rozdiel v hospodárení územnej samosprávy bez daňových príjmov</w:t>
            </w:r>
          </w:p>
        </w:tc>
        <w:tc>
          <w:tcPr>
            <w:tcW w:w="685" w:type="pct"/>
            <w:tcBorders>
              <w:top w:val="nil"/>
              <w:left w:val="nil"/>
              <w:bottom w:val="nil"/>
              <w:right w:val="nil"/>
            </w:tcBorders>
            <w:shd w:val="clear" w:color="auto" w:fill="auto"/>
            <w:noWrap/>
            <w:vAlign w:val="center"/>
            <w:hideMark/>
          </w:tcPr>
          <w:p w14:paraId="5CAEE263" w14:textId="77777777" w:rsidR="009A05C7" w:rsidRPr="00912F1D" w:rsidRDefault="009A05C7" w:rsidP="000240DA">
            <w:pPr>
              <w:spacing w:after="0" w:line="240" w:lineRule="auto"/>
              <w:jc w:val="right"/>
              <w:rPr>
                <w:rFonts w:eastAsia="Times New Roman" w:cs="Times New Roman"/>
                <w:b/>
                <w:bCs/>
                <w:i/>
                <w:iCs/>
                <w:color w:val="000000"/>
                <w:sz w:val="18"/>
                <w:szCs w:val="18"/>
                <w:lang w:eastAsia="sk-SK"/>
              </w:rPr>
            </w:pPr>
            <w:r w:rsidRPr="00912F1D">
              <w:rPr>
                <w:rFonts w:eastAsia="Times New Roman" w:cs="Times New Roman"/>
                <w:b/>
                <w:bCs/>
                <w:i/>
                <w:iCs/>
                <w:color w:val="000000"/>
                <w:sz w:val="18"/>
                <w:szCs w:val="18"/>
                <w:lang w:eastAsia="sk-SK"/>
              </w:rPr>
              <w:t>74 450</w:t>
            </w:r>
          </w:p>
        </w:tc>
        <w:tc>
          <w:tcPr>
            <w:tcW w:w="640" w:type="pct"/>
            <w:tcBorders>
              <w:top w:val="nil"/>
              <w:left w:val="nil"/>
              <w:bottom w:val="nil"/>
              <w:right w:val="nil"/>
            </w:tcBorders>
            <w:shd w:val="clear" w:color="auto" w:fill="auto"/>
            <w:noWrap/>
            <w:vAlign w:val="center"/>
            <w:hideMark/>
          </w:tcPr>
          <w:p w14:paraId="3C2FDF3C"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0,06</w:t>
            </w:r>
          </w:p>
        </w:tc>
      </w:tr>
      <w:tr w:rsidR="009A05C7" w:rsidRPr="00912F1D" w14:paraId="080FCFF6" w14:textId="77777777" w:rsidTr="00BA40FB">
        <w:trPr>
          <w:trHeight w:val="278"/>
        </w:trPr>
        <w:tc>
          <w:tcPr>
            <w:tcW w:w="3674" w:type="pct"/>
            <w:tcBorders>
              <w:top w:val="nil"/>
              <w:left w:val="nil"/>
              <w:bottom w:val="nil"/>
              <w:right w:val="nil"/>
            </w:tcBorders>
            <w:shd w:val="clear" w:color="auto" w:fill="auto"/>
            <w:vAlign w:val="center"/>
            <w:hideMark/>
          </w:tcPr>
          <w:p w14:paraId="28B36259"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obce</w:t>
            </w:r>
          </w:p>
        </w:tc>
        <w:tc>
          <w:tcPr>
            <w:tcW w:w="685" w:type="pct"/>
            <w:tcBorders>
              <w:top w:val="nil"/>
              <w:left w:val="nil"/>
              <w:bottom w:val="nil"/>
              <w:right w:val="nil"/>
            </w:tcBorders>
            <w:shd w:val="clear" w:color="auto" w:fill="auto"/>
            <w:noWrap/>
            <w:vAlign w:val="center"/>
            <w:hideMark/>
          </w:tcPr>
          <w:p w14:paraId="04D0B69E"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120 287</w:t>
            </w:r>
          </w:p>
        </w:tc>
        <w:tc>
          <w:tcPr>
            <w:tcW w:w="640" w:type="pct"/>
            <w:tcBorders>
              <w:top w:val="nil"/>
              <w:left w:val="nil"/>
              <w:bottom w:val="nil"/>
              <w:right w:val="nil"/>
            </w:tcBorders>
            <w:shd w:val="clear" w:color="auto" w:fill="auto"/>
            <w:noWrap/>
            <w:vAlign w:val="center"/>
            <w:hideMark/>
          </w:tcPr>
          <w:p w14:paraId="55FA8D69"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0,09</w:t>
            </w:r>
          </w:p>
        </w:tc>
      </w:tr>
      <w:tr w:rsidR="009A05C7" w:rsidRPr="00912F1D" w14:paraId="652E9E3A" w14:textId="77777777" w:rsidTr="00BA40FB">
        <w:trPr>
          <w:trHeight w:val="278"/>
        </w:trPr>
        <w:tc>
          <w:tcPr>
            <w:tcW w:w="3674" w:type="pct"/>
            <w:tcBorders>
              <w:top w:val="nil"/>
              <w:left w:val="nil"/>
              <w:bottom w:val="nil"/>
              <w:right w:val="nil"/>
            </w:tcBorders>
            <w:shd w:val="clear" w:color="auto" w:fill="auto"/>
            <w:vAlign w:val="center"/>
            <w:hideMark/>
          </w:tcPr>
          <w:p w14:paraId="61A9C989"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VÚC</w:t>
            </w:r>
          </w:p>
        </w:tc>
        <w:tc>
          <w:tcPr>
            <w:tcW w:w="685" w:type="pct"/>
            <w:tcBorders>
              <w:top w:val="nil"/>
              <w:left w:val="nil"/>
              <w:bottom w:val="nil"/>
              <w:right w:val="nil"/>
            </w:tcBorders>
            <w:shd w:val="clear" w:color="auto" w:fill="auto"/>
            <w:noWrap/>
            <w:vAlign w:val="center"/>
            <w:hideMark/>
          </w:tcPr>
          <w:p w14:paraId="49A57D50"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49 624</w:t>
            </w:r>
          </w:p>
        </w:tc>
        <w:tc>
          <w:tcPr>
            <w:tcW w:w="640" w:type="pct"/>
            <w:tcBorders>
              <w:top w:val="nil"/>
              <w:left w:val="nil"/>
              <w:bottom w:val="nil"/>
              <w:right w:val="nil"/>
            </w:tcBorders>
            <w:shd w:val="clear" w:color="auto" w:fill="auto"/>
            <w:noWrap/>
            <w:vAlign w:val="center"/>
            <w:hideMark/>
          </w:tcPr>
          <w:p w14:paraId="6CC53928"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0,04</w:t>
            </w:r>
          </w:p>
        </w:tc>
      </w:tr>
      <w:tr w:rsidR="009A05C7" w:rsidRPr="00912F1D" w14:paraId="0CF43C49" w14:textId="77777777" w:rsidTr="00BA40FB">
        <w:trPr>
          <w:trHeight w:val="278"/>
        </w:trPr>
        <w:tc>
          <w:tcPr>
            <w:tcW w:w="3674" w:type="pct"/>
            <w:tcBorders>
              <w:top w:val="nil"/>
              <w:left w:val="nil"/>
              <w:bottom w:val="nil"/>
              <w:right w:val="nil"/>
            </w:tcBorders>
            <w:shd w:val="clear" w:color="auto" w:fill="auto"/>
            <w:vAlign w:val="center"/>
            <w:hideMark/>
          </w:tcPr>
          <w:p w14:paraId="48790A16"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dopravné podniky</w:t>
            </w:r>
          </w:p>
        </w:tc>
        <w:tc>
          <w:tcPr>
            <w:tcW w:w="685" w:type="pct"/>
            <w:tcBorders>
              <w:top w:val="nil"/>
              <w:left w:val="nil"/>
              <w:bottom w:val="nil"/>
              <w:right w:val="nil"/>
            </w:tcBorders>
            <w:shd w:val="clear" w:color="auto" w:fill="auto"/>
            <w:noWrap/>
            <w:vAlign w:val="center"/>
            <w:hideMark/>
          </w:tcPr>
          <w:p w14:paraId="6684C0DC"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-61 421</w:t>
            </w:r>
          </w:p>
        </w:tc>
        <w:tc>
          <w:tcPr>
            <w:tcW w:w="640" w:type="pct"/>
            <w:tcBorders>
              <w:top w:val="nil"/>
              <w:left w:val="nil"/>
              <w:bottom w:val="nil"/>
              <w:right w:val="nil"/>
            </w:tcBorders>
            <w:shd w:val="clear" w:color="auto" w:fill="auto"/>
            <w:noWrap/>
            <w:vAlign w:val="center"/>
            <w:hideMark/>
          </w:tcPr>
          <w:p w14:paraId="0DE7B415"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-0,05</w:t>
            </w:r>
          </w:p>
        </w:tc>
      </w:tr>
      <w:tr w:rsidR="009A05C7" w:rsidRPr="00912F1D" w14:paraId="6846CDAE" w14:textId="77777777" w:rsidTr="00BA40FB">
        <w:trPr>
          <w:trHeight w:val="278"/>
        </w:trPr>
        <w:tc>
          <w:tcPr>
            <w:tcW w:w="3674" w:type="pct"/>
            <w:tcBorders>
              <w:top w:val="nil"/>
              <w:left w:val="nil"/>
              <w:bottom w:val="nil"/>
              <w:right w:val="nil"/>
            </w:tcBorders>
            <w:shd w:val="clear" w:color="auto" w:fill="auto"/>
            <w:vAlign w:val="center"/>
            <w:hideMark/>
          </w:tcPr>
          <w:p w14:paraId="10B967E8"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príspevkové organizácie obcí a VÚC</w:t>
            </w:r>
          </w:p>
        </w:tc>
        <w:tc>
          <w:tcPr>
            <w:tcW w:w="685" w:type="pct"/>
            <w:tcBorders>
              <w:top w:val="nil"/>
              <w:left w:val="nil"/>
              <w:bottom w:val="nil"/>
              <w:right w:val="nil"/>
            </w:tcBorders>
            <w:shd w:val="clear" w:color="auto" w:fill="auto"/>
            <w:noWrap/>
            <w:vAlign w:val="center"/>
            <w:hideMark/>
          </w:tcPr>
          <w:p w14:paraId="33D3E947"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-10 737</w:t>
            </w:r>
          </w:p>
        </w:tc>
        <w:tc>
          <w:tcPr>
            <w:tcW w:w="640" w:type="pct"/>
            <w:tcBorders>
              <w:top w:val="nil"/>
              <w:left w:val="nil"/>
              <w:bottom w:val="nil"/>
              <w:right w:val="nil"/>
            </w:tcBorders>
            <w:shd w:val="clear" w:color="auto" w:fill="auto"/>
            <w:noWrap/>
            <w:vAlign w:val="center"/>
            <w:hideMark/>
          </w:tcPr>
          <w:p w14:paraId="63A912E5"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-0,01</w:t>
            </w:r>
          </w:p>
        </w:tc>
      </w:tr>
      <w:tr w:rsidR="009A05C7" w:rsidRPr="00912F1D" w14:paraId="1E9EDA5F" w14:textId="77777777" w:rsidTr="00BA40FB">
        <w:trPr>
          <w:trHeight w:val="278"/>
        </w:trPr>
        <w:tc>
          <w:tcPr>
            <w:tcW w:w="3674" w:type="pct"/>
            <w:tcBorders>
              <w:top w:val="nil"/>
              <w:left w:val="nil"/>
              <w:bottom w:val="nil"/>
              <w:right w:val="nil"/>
            </w:tcBorders>
            <w:shd w:val="clear" w:color="auto" w:fill="auto"/>
            <w:vAlign w:val="center"/>
            <w:hideMark/>
          </w:tcPr>
          <w:p w14:paraId="7F4D7B07"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zdravotnícke zariadenia územnej samosprávy</w:t>
            </w:r>
          </w:p>
        </w:tc>
        <w:tc>
          <w:tcPr>
            <w:tcW w:w="685" w:type="pct"/>
            <w:tcBorders>
              <w:top w:val="nil"/>
              <w:left w:val="nil"/>
              <w:bottom w:val="nil"/>
              <w:right w:val="nil"/>
            </w:tcBorders>
            <w:shd w:val="clear" w:color="auto" w:fill="auto"/>
            <w:noWrap/>
            <w:vAlign w:val="center"/>
            <w:hideMark/>
          </w:tcPr>
          <w:p w14:paraId="5A75AE2F"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1 514</w:t>
            </w:r>
          </w:p>
        </w:tc>
        <w:tc>
          <w:tcPr>
            <w:tcW w:w="640" w:type="pct"/>
            <w:tcBorders>
              <w:top w:val="nil"/>
              <w:left w:val="nil"/>
              <w:bottom w:val="nil"/>
              <w:right w:val="nil"/>
            </w:tcBorders>
            <w:shd w:val="clear" w:color="auto" w:fill="auto"/>
            <w:noWrap/>
            <w:vAlign w:val="center"/>
            <w:hideMark/>
          </w:tcPr>
          <w:p w14:paraId="6FA8179D"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0,00</w:t>
            </w:r>
          </w:p>
        </w:tc>
      </w:tr>
      <w:tr w:rsidR="009A05C7" w:rsidRPr="00912F1D" w14:paraId="79D1D83B" w14:textId="77777777" w:rsidTr="00BA40FB">
        <w:trPr>
          <w:trHeight w:val="278"/>
        </w:trPr>
        <w:tc>
          <w:tcPr>
            <w:tcW w:w="3674" w:type="pct"/>
            <w:tcBorders>
              <w:top w:val="nil"/>
              <w:left w:val="nil"/>
              <w:bottom w:val="nil"/>
              <w:right w:val="nil"/>
            </w:tcBorders>
            <w:shd w:val="clear" w:color="auto" w:fill="auto"/>
            <w:vAlign w:val="center"/>
            <w:hideMark/>
          </w:tcPr>
          <w:p w14:paraId="4F2C3D8F" w14:textId="77777777" w:rsidR="009A05C7" w:rsidRPr="00912F1D" w:rsidRDefault="009A05C7" w:rsidP="000240DA">
            <w:pPr>
              <w:spacing w:after="0" w:line="240" w:lineRule="auto"/>
              <w:jc w:val="left"/>
              <w:rPr>
                <w:rFonts w:eastAsia="Times New Roman" w:cs="Times New Roman"/>
                <w:color w:val="000000"/>
                <w:sz w:val="18"/>
                <w:szCs w:val="18"/>
                <w:lang w:eastAsia="sk-SK"/>
              </w:rPr>
            </w:pPr>
            <w:r w:rsidRPr="00912F1D">
              <w:rPr>
                <w:rFonts w:eastAsia="Times New Roman" w:cs="Times New Roman"/>
                <w:color w:val="000000"/>
                <w:sz w:val="18"/>
                <w:szCs w:val="18"/>
                <w:lang w:eastAsia="sk-SK"/>
              </w:rPr>
              <w:t xml:space="preserve">     - ostatné subjekty územnej samosprávy</w:t>
            </w:r>
          </w:p>
        </w:tc>
        <w:tc>
          <w:tcPr>
            <w:tcW w:w="685" w:type="pct"/>
            <w:tcBorders>
              <w:top w:val="nil"/>
              <w:left w:val="nil"/>
              <w:bottom w:val="nil"/>
              <w:right w:val="nil"/>
            </w:tcBorders>
            <w:shd w:val="clear" w:color="auto" w:fill="auto"/>
            <w:noWrap/>
            <w:vAlign w:val="center"/>
            <w:hideMark/>
          </w:tcPr>
          <w:p w14:paraId="6F4288FD"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-24 817</w:t>
            </w:r>
          </w:p>
        </w:tc>
        <w:tc>
          <w:tcPr>
            <w:tcW w:w="640" w:type="pct"/>
            <w:tcBorders>
              <w:top w:val="nil"/>
              <w:left w:val="nil"/>
              <w:bottom w:val="nil"/>
              <w:right w:val="nil"/>
            </w:tcBorders>
            <w:shd w:val="clear" w:color="auto" w:fill="auto"/>
            <w:noWrap/>
            <w:vAlign w:val="center"/>
            <w:hideMark/>
          </w:tcPr>
          <w:p w14:paraId="668E3D48" w14:textId="77777777" w:rsidR="009A05C7" w:rsidRPr="00912F1D" w:rsidRDefault="009A05C7" w:rsidP="000240DA">
            <w:pPr>
              <w:spacing w:after="0" w:line="240" w:lineRule="auto"/>
              <w:jc w:val="right"/>
              <w:rPr>
                <w:rFonts w:eastAsia="Times New Roman" w:cs="Times New Roman"/>
                <w:color w:val="000000"/>
                <w:sz w:val="18"/>
                <w:szCs w:val="18"/>
                <w:lang w:eastAsia="sk-SK"/>
              </w:rPr>
            </w:pPr>
            <w:r w:rsidRPr="00912F1D">
              <w:rPr>
                <w:rFonts w:eastAsia="Times New Roman" w:cs="Times New Roman"/>
                <w:color w:val="000000"/>
                <w:sz w:val="18"/>
                <w:szCs w:val="18"/>
                <w:lang w:eastAsia="sk-SK"/>
              </w:rPr>
              <w:t>-0,02</w:t>
            </w:r>
          </w:p>
        </w:tc>
      </w:tr>
      <w:tr w:rsidR="009A05C7" w:rsidRPr="00912F1D" w14:paraId="67B58C3B" w14:textId="77777777" w:rsidTr="00BA40FB">
        <w:trPr>
          <w:trHeight w:val="278"/>
        </w:trPr>
        <w:tc>
          <w:tcPr>
            <w:tcW w:w="3674" w:type="pct"/>
            <w:tcBorders>
              <w:top w:val="nil"/>
              <w:left w:val="nil"/>
              <w:bottom w:val="single" w:sz="4" w:space="0" w:color="auto"/>
              <w:right w:val="nil"/>
            </w:tcBorders>
            <w:shd w:val="clear" w:color="auto" w:fill="auto"/>
            <w:vAlign w:val="center"/>
            <w:hideMark/>
          </w:tcPr>
          <w:p w14:paraId="026150EA" w14:textId="77777777" w:rsidR="009A05C7" w:rsidRPr="00912F1D" w:rsidRDefault="009A05C7" w:rsidP="000240DA">
            <w:pPr>
              <w:spacing w:after="0" w:line="240" w:lineRule="auto"/>
              <w:jc w:val="left"/>
              <w:rPr>
                <w:rFonts w:eastAsia="Times New Roman" w:cs="Times New Roman"/>
                <w:b/>
                <w:bCs/>
                <w:color w:val="000000"/>
                <w:sz w:val="18"/>
                <w:szCs w:val="18"/>
                <w:lang w:eastAsia="sk-SK"/>
              </w:rPr>
            </w:pPr>
            <w:r w:rsidRPr="00912F1D">
              <w:rPr>
                <w:rFonts w:eastAsia="Times New Roman" w:cs="Times New Roman"/>
                <w:b/>
                <w:bCs/>
                <w:color w:val="000000"/>
                <w:sz w:val="18"/>
                <w:szCs w:val="18"/>
                <w:lang w:eastAsia="sk-SK"/>
              </w:rPr>
              <w:t>Saldo verejnej správy - skutočnosť</w:t>
            </w:r>
          </w:p>
        </w:tc>
        <w:tc>
          <w:tcPr>
            <w:tcW w:w="685" w:type="pct"/>
            <w:tcBorders>
              <w:top w:val="nil"/>
              <w:left w:val="nil"/>
              <w:bottom w:val="single" w:sz="4" w:space="0" w:color="auto"/>
              <w:right w:val="nil"/>
            </w:tcBorders>
            <w:shd w:val="clear" w:color="auto" w:fill="auto"/>
            <w:noWrap/>
            <w:vAlign w:val="center"/>
            <w:hideMark/>
          </w:tcPr>
          <w:p w14:paraId="6A69CFB0" w14:textId="77777777" w:rsidR="009A05C7" w:rsidRPr="00912F1D" w:rsidRDefault="009A05C7" w:rsidP="000240DA">
            <w:pPr>
              <w:spacing w:after="0" w:line="240" w:lineRule="auto"/>
              <w:jc w:val="right"/>
              <w:rPr>
                <w:rFonts w:eastAsia="Times New Roman" w:cs="Times New Roman"/>
                <w:b/>
                <w:bCs/>
                <w:color w:val="000000"/>
                <w:sz w:val="18"/>
                <w:szCs w:val="18"/>
                <w:lang w:eastAsia="sk-SK"/>
              </w:rPr>
            </w:pPr>
            <w:r w:rsidRPr="00912F1D">
              <w:rPr>
                <w:rFonts w:eastAsia="Times New Roman" w:cs="Times New Roman"/>
                <w:b/>
                <w:bCs/>
                <w:color w:val="000000"/>
                <w:sz w:val="18"/>
                <w:szCs w:val="18"/>
                <w:lang w:eastAsia="sk-SK"/>
              </w:rPr>
              <w:t>-6 906 738</w:t>
            </w:r>
          </w:p>
        </w:tc>
        <w:tc>
          <w:tcPr>
            <w:tcW w:w="640" w:type="pct"/>
            <w:tcBorders>
              <w:top w:val="nil"/>
              <w:left w:val="nil"/>
              <w:bottom w:val="single" w:sz="4" w:space="0" w:color="auto"/>
              <w:right w:val="nil"/>
            </w:tcBorders>
            <w:shd w:val="clear" w:color="auto" w:fill="auto"/>
            <w:noWrap/>
            <w:vAlign w:val="center"/>
            <w:hideMark/>
          </w:tcPr>
          <w:p w14:paraId="785172FF" w14:textId="77777777" w:rsidR="009A05C7" w:rsidRPr="00912F1D" w:rsidRDefault="009A05C7" w:rsidP="000240DA">
            <w:pPr>
              <w:spacing w:after="0" w:line="240" w:lineRule="auto"/>
              <w:jc w:val="right"/>
              <w:rPr>
                <w:rFonts w:eastAsia="Times New Roman" w:cs="Times New Roman"/>
                <w:b/>
                <w:bCs/>
                <w:color w:val="000000"/>
                <w:sz w:val="18"/>
                <w:szCs w:val="18"/>
                <w:lang w:eastAsia="sk-SK"/>
              </w:rPr>
            </w:pPr>
            <w:r w:rsidRPr="00912F1D">
              <w:rPr>
                <w:rFonts w:eastAsia="Times New Roman" w:cs="Times New Roman"/>
                <w:b/>
                <w:bCs/>
                <w:color w:val="000000"/>
                <w:sz w:val="18"/>
                <w:szCs w:val="18"/>
                <w:lang w:eastAsia="sk-SK"/>
              </w:rPr>
              <w:t>-5,27</w:t>
            </w:r>
          </w:p>
        </w:tc>
      </w:tr>
    </w:tbl>
    <w:p w14:paraId="3AD1AD58" w14:textId="30507A57" w:rsidR="009A05C7" w:rsidRPr="00EE1A4E" w:rsidRDefault="009A05C7" w:rsidP="00134CE1">
      <w:pPr>
        <w:keepLines/>
        <w:spacing w:line="240" w:lineRule="auto"/>
        <w:rPr>
          <w:rFonts w:cs="Times New Roman"/>
          <w:sz w:val="18"/>
          <w:szCs w:val="18"/>
        </w:rPr>
      </w:pPr>
      <w:r w:rsidRPr="00EE1A4E">
        <w:rPr>
          <w:rFonts w:cs="Times New Roman"/>
          <w:sz w:val="18"/>
          <w:szCs w:val="18"/>
        </w:rPr>
        <w:t>Pozn.: (+) znamená pozitívny vplyv a (-) negatívny vplyv na saldo VS</w:t>
      </w:r>
      <w:r w:rsidRPr="00EE1A4E">
        <w:rPr>
          <w:rFonts w:cs="Times New Roman"/>
          <w:sz w:val="18"/>
          <w:szCs w:val="18"/>
        </w:rPr>
        <w:tab/>
      </w:r>
      <w:r w:rsidRPr="00EE1A4E">
        <w:rPr>
          <w:rFonts w:cs="Times New Roman"/>
          <w:sz w:val="18"/>
          <w:szCs w:val="18"/>
        </w:rPr>
        <w:tab/>
      </w:r>
      <w:r w:rsidRPr="00EE1A4E">
        <w:rPr>
          <w:rFonts w:cs="Times New Roman"/>
          <w:sz w:val="18"/>
          <w:szCs w:val="18"/>
        </w:rPr>
        <w:tab/>
      </w:r>
      <w:r w:rsidRPr="00EE1A4E">
        <w:rPr>
          <w:rFonts w:cs="Times New Roman"/>
          <w:sz w:val="18"/>
          <w:szCs w:val="18"/>
        </w:rPr>
        <w:tab/>
      </w:r>
      <w:r w:rsidR="00BA40FB">
        <w:rPr>
          <w:rFonts w:cs="Times New Roman"/>
          <w:sz w:val="18"/>
          <w:szCs w:val="18"/>
        </w:rPr>
        <w:tab/>
      </w:r>
      <w:r>
        <w:rPr>
          <w:rFonts w:cs="Times New Roman"/>
          <w:sz w:val="18"/>
          <w:szCs w:val="18"/>
        </w:rPr>
        <w:t xml:space="preserve">    </w:t>
      </w:r>
      <w:r w:rsidRPr="00EE1A4E">
        <w:rPr>
          <w:rFonts w:cs="Times New Roman"/>
          <w:sz w:val="18"/>
          <w:szCs w:val="18"/>
        </w:rPr>
        <w:t>Zdroj: MF SR</w:t>
      </w:r>
      <w:r>
        <w:rPr>
          <w:rFonts w:cs="Times New Roman"/>
          <w:sz w:val="18"/>
          <w:szCs w:val="18"/>
        </w:rPr>
        <w:t>, ŠÚ SR</w:t>
      </w:r>
    </w:p>
    <w:p w14:paraId="18F3D0C1" w14:textId="77777777" w:rsidR="009A05C7" w:rsidRDefault="009A05C7" w:rsidP="009A05C7">
      <w:pPr>
        <w:spacing w:after="0" w:line="240" w:lineRule="auto"/>
        <w:rPr>
          <w:rFonts w:cs="Times New Roman"/>
          <w:sz w:val="18"/>
          <w:szCs w:val="18"/>
        </w:rPr>
      </w:pPr>
      <w:r w:rsidRPr="00EE1A4E">
        <w:rPr>
          <w:rFonts w:cs="Times New Roman"/>
          <w:sz w:val="18"/>
          <w:szCs w:val="18"/>
          <w:vertAlign w:val="superscript"/>
        </w:rPr>
        <w:t>1)</w:t>
      </w:r>
      <w:r w:rsidRPr="00EE1A4E">
        <w:rPr>
          <w:rFonts w:cs="Times New Roman"/>
          <w:sz w:val="18"/>
          <w:szCs w:val="18"/>
        </w:rPr>
        <w:t xml:space="preserve"> </w:t>
      </w:r>
      <w:r w:rsidRPr="00FD7B25">
        <w:rPr>
          <w:rFonts w:cs="Times New Roman"/>
          <w:sz w:val="18"/>
          <w:szCs w:val="18"/>
        </w:rPr>
        <w:t>V roku 2024 boli prost</w:t>
      </w:r>
      <w:r>
        <w:rPr>
          <w:rFonts w:cs="Times New Roman"/>
          <w:sz w:val="18"/>
          <w:szCs w:val="18"/>
        </w:rPr>
        <w:t>r</w:t>
      </w:r>
      <w:r w:rsidRPr="00FD7B25">
        <w:rPr>
          <w:rFonts w:cs="Times New Roman"/>
          <w:sz w:val="18"/>
          <w:szCs w:val="18"/>
        </w:rPr>
        <w:t>iedky na vyplatenie 13. dôchodkov rozpočtované v kapitole VPS, ale čerpanie sa v skutočnosti</w:t>
      </w:r>
    </w:p>
    <w:p w14:paraId="5C9C300A" w14:textId="77777777" w:rsidR="009A05C7" w:rsidRDefault="009A05C7" w:rsidP="009A05C7">
      <w:pPr>
        <w:spacing w:after="0" w:line="240" w:lineRule="auto"/>
        <w:rPr>
          <w:rFonts w:cs="Times New Roman"/>
          <w:sz w:val="18"/>
          <w:szCs w:val="18"/>
        </w:rPr>
      </w:pPr>
      <w:r>
        <w:rPr>
          <w:rFonts w:cs="Times New Roman"/>
          <w:sz w:val="18"/>
          <w:szCs w:val="18"/>
        </w:rPr>
        <w:t xml:space="preserve">    </w:t>
      </w:r>
      <w:r w:rsidRPr="00FD7B25">
        <w:rPr>
          <w:rFonts w:cs="Times New Roman"/>
          <w:sz w:val="18"/>
          <w:szCs w:val="18"/>
        </w:rPr>
        <w:t>realizovalo v Sociálnej poisťovni.</w:t>
      </w:r>
    </w:p>
    <w:p w14:paraId="65E7E0C6" w14:textId="37ADFD4F" w:rsidR="009A05C7" w:rsidRPr="00EE1A4E" w:rsidRDefault="009A05C7" w:rsidP="009A05C7">
      <w:pPr>
        <w:spacing w:after="0" w:line="240" w:lineRule="auto"/>
        <w:rPr>
          <w:rFonts w:cs="Times New Roman"/>
          <w:sz w:val="18"/>
          <w:szCs w:val="18"/>
        </w:rPr>
      </w:pPr>
      <w:r w:rsidRPr="00FD7B25">
        <w:rPr>
          <w:rFonts w:cs="Times New Roman"/>
          <w:sz w:val="18"/>
          <w:szCs w:val="18"/>
          <w:vertAlign w:val="superscript"/>
        </w:rPr>
        <w:t>2</w:t>
      </w:r>
      <w:r>
        <w:rPr>
          <w:rFonts w:cs="Times New Roman"/>
          <w:sz w:val="18"/>
          <w:szCs w:val="18"/>
          <w:vertAlign w:val="superscript"/>
        </w:rPr>
        <w:t>)</w:t>
      </w:r>
      <w:r>
        <w:rPr>
          <w:rFonts w:cs="Times New Roman"/>
          <w:sz w:val="18"/>
          <w:szCs w:val="18"/>
        </w:rPr>
        <w:t xml:space="preserve"> </w:t>
      </w:r>
      <w:r w:rsidRPr="00EE1A4E">
        <w:rPr>
          <w:rFonts w:cs="Times New Roman"/>
          <w:sz w:val="18"/>
          <w:szCs w:val="18"/>
        </w:rPr>
        <w:t>V roku 2024 boli  v rozpočte verejnej správy príjmy a výdavky SIH-u (prebytok vo výške 40 982</w:t>
      </w:r>
      <w:r>
        <w:rPr>
          <w:rFonts w:cs="Times New Roman"/>
          <w:sz w:val="18"/>
          <w:szCs w:val="18"/>
        </w:rPr>
        <w:t xml:space="preserve"> tis. eur) rozpočtované v rámci </w:t>
      </w:r>
      <w:r w:rsidRPr="00EE1A4E">
        <w:rPr>
          <w:rFonts w:cs="Times New Roman"/>
          <w:sz w:val="18"/>
          <w:szCs w:val="18"/>
        </w:rPr>
        <w:t>ostatných úprav štátneho rozpočtu a skutočné plnenie SIH-u bolo vykázané samostatne.</w:t>
      </w:r>
    </w:p>
    <w:p w14:paraId="0BA702D8" w14:textId="5EB08431" w:rsidR="009A05C7" w:rsidRDefault="009A05C7" w:rsidP="009A05C7">
      <w:pPr>
        <w:keepNext/>
        <w:spacing w:before="120" w:line="240" w:lineRule="auto"/>
        <w:rPr>
          <w:sz w:val="24"/>
          <w:szCs w:val="24"/>
        </w:rPr>
      </w:pPr>
      <w:r w:rsidRPr="00A122DA">
        <w:rPr>
          <w:sz w:val="24"/>
          <w:szCs w:val="24"/>
        </w:rPr>
        <w:lastRenderedPageBreak/>
        <w:t>Vysvetlenie pozitívnej či negatívnej odchýlky od rozpočtu je v nasledujúcom texte pomocou opisu hotovostného plnenia rozpočtu resp. pri významných úpravách hotovostného plnenia aj pomocou vysvetlenia akrualizácie podľa metodiky ESA 2010.</w:t>
      </w:r>
      <w:r w:rsidRPr="00A122DA">
        <w:rPr>
          <w:color w:val="FF0000"/>
          <w:sz w:val="24"/>
          <w:szCs w:val="24"/>
        </w:rPr>
        <w:t xml:space="preserve"> </w:t>
      </w:r>
      <w:r w:rsidRPr="00A122DA">
        <w:rPr>
          <w:sz w:val="24"/>
          <w:szCs w:val="24"/>
        </w:rPr>
        <w:t xml:space="preserve">Výsledky hospodárenia podľa zložiek verejnej správy ako aj rozdiel medzi rozpočtom a skutočnosťou za rok 2024 sú uvedené v tabuľke </w:t>
      </w:r>
      <w:r w:rsidRPr="00A122DA">
        <w:rPr>
          <w:b/>
          <w:sz w:val="24"/>
          <w:szCs w:val="24"/>
        </w:rPr>
        <w:t>Schodok verejnej správy podľa jednotlivých (zložiek) subjektov</w:t>
      </w:r>
      <w:r>
        <w:rPr>
          <w:rFonts w:eastAsia="Times New Roman" w:cs="Times New Roman"/>
          <w:b/>
          <w:bCs/>
          <w:color w:val="5B9BD5" w:themeColor="accent1"/>
          <w:sz w:val="20"/>
          <w:szCs w:val="20"/>
          <w:lang w:eastAsia="sk-SK"/>
        </w:rPr>
        <w:t xml:space="preserve"> </w:t>
      </w:r>
      <w:r w:rsidRPr="00A122DA">
        <w:rPr>
          <w:sz w:val="24"/>
          <w:szCs w:val="24"/>
        </w:rPr>
        <w:t>v závere kapitoly.</w:t>
      </w:r>
    </w:p>
    <w:p w14:paraId="2124D610" w14:textId="77777777" w:rsidR="009A05C7" w:rsidRPr="00DF3AA2" w:rsidRDefault="009A05C7" w:rsidP="009A05C7">
      <w:pPr>
        <w:keepNext/>
        <w:spacing w:before="120" w:line="240" w:lineRule="auto"/>
        <w:rPr>
          <w:sz w:val="24"/>
          <w:szCs w:val="24"/>
        </w:rPr>
      </w:pPr>
      <w:r w:rsidRPr="000A36A0">
        <w:rPr>
          <w:b/>
          <w:color w:val="5B9BD5" w:themeColor="accent1"/>
          <w:sz w:val="24"/>
          <w:szCs w:val="24"/>
        </w:rPr>
        <w:t xml:space="preserve">Celkové daňové a odvodové príjmy verejnej </w:t>
      </w:r>
      <w:r w:rsidRPr="003451EE">
        <w:rPr>
          <w:b/>
          <w:color w:val="5B9BD5" w:themeColor="accent1"/>
          <w:sz w:val="24"/>
          <w:szCs w:val="24"/>
        </w:rPr>
        <w:t>správy v metodike ESA 2010</w:t>
      </w:r>
      <w:r>
        <w:rPr>
          <w:sz w:val="24"/>
          <w:szCs w:val="24"/>
        </w:rPr>
        <w:t>.</w:t>
      </w:r>
      <w:r w:rsidRPr="003451EE">
        <w:rPr>
          <w:sz w:val="24"/>
          <w:szCs w:val="24"/>
        </w:rPr>
        <w:t xml:space="preserve"> </w:t>
      </w:r>
      <w:r>
        <w:rPr>
          <w:sz w:val="24"/>
          <w:szCs w:val="24"/>
        </w:rPr>
        <w:t>Daňové a odvodové príjmy verejnej správy boli</w:t>
      </w:r>
      <w:r w:rsidRPr="000A36A0">
        <w:rPr>
          <w:sz w:val="24"/>
          <w:szCs w:val="24"/>
        </w:rPr>
        <w:t xml:space="preserve"> v hotovostnom vyjadrení oproti rozpočtu nižšie o 279 746 tis. eur, z toho daňové príjmy boli oproti rozpočtu nižšie o 221 197 tis. eur a odvodové príjmy boli oproti rozpočtu nižšie o 58 549 tis. eur. (V rámci hotovostných odvodových príjmov sú zahrnuté aj odvodové príjmy vyberané súkromnými poisťovňami.) </w:t>
      </w:r>
      <w:r>
        <w:rPr>
          <w:sz w:val="24"/>
          <w:szCs w:val="24"/>
        </w:rPr>
        <w:t>Celkové daňové a odvodové príjmy verejnej správy v metodike ESA 2010 boli oproti rozpočtu na rok 2024 vyššie o 130 699 tis. </w:t>
      </w:r>
      <w:r>
        <w:t>eur.</w:t>
      </w:r>
    </w:p>
    <w:p w14:paraId="1D34E321" w14:textId="77777777" w:rsidR="009A05C7" w:rsidRPr="00B35184" w:rsidRDefault="009A05C7" w:rsidP="009A05C7">
      <w:pPr>
        <w:spacing w:line="240" w:lineRule="auto"/>
        <w:rPr>
          <w:sz w:val="24"/>
          <w:szCs w:val="24"/>
        </w:rPr>
      </w:pPr>
      <w:r>
        <w:rPr>
          <w:sz w:val="24"/>
          <w:szCs w:val="24"/>
        </w:rPr>
        <w:t>Na</w:t>
      </w:r>
      <w:r w:rsidRPr="00B35184">
        <w:rPr>
          <w:sz w:val="24"/>
          <w:szCs w:val="24"/>
        </w:rPr>
        <w:t xml:space="preserve"> rozdiel skutočných daňových príjmov oproti rozpočtu </w:t>
      </w:r>
      <w:r>
        <w:rPr>
          <w:sz w:val="24"/>
          <w:szCs w:val="24"/>
        </w:rPr>
        <w:t xml:space="preserve">mali </w:t>
      </w:r>
      <w:r w:rsidRPr="00B35184">
        <w:rPr>
          <w:sz w:val="24"/>
          <w:szCs w:val="24"/>
        </w:rPr>
        <w:t>vplyv ostatné metodické úpravy ako príjmy dosahované z podpory obnoviteľných zdrojov energie a vysoko účinnej kombinovanej výroby elektriny a tepla (pokles príjmov z podpory tzv. „zelenej energie“ o 19 188 tis. eur), príjmy zo spotreby emisných kvót (nárast o 383 931 </w:t>
      </w:r>
      <w:r>
        <w:rPr>
          <w:sz w:val="24"/>
          <w:szCs w:val="24"/>
        </w:rPr>
        <w:t>tis. eur) a </w:t>
      </w:r>
      <w:r w:rsidRPr="00B35184">
        <w:rPr>
          <w:sz w:val="24"/>
          <w:szCs w:val="24"/>
        </w:rPr>
        <w:t>príjmy z príspevkov prevádzkovateľov hazardných hier (nárast o 4 400 tis. eur). V prípade odvodových príjmov oproti rozpočtu pozitívne vplývalo imputovanie nových pohľadávok Sociálnej poisťovne na poistnom voči zdravotníckym zariadeniam (nárast o 217 976</w:t>
      </w:r>
      <w:r>
        <w:rPr>
          <w:sz w:val="24"/>
          <w:szCs w:val="24"/>
        </w:rPr>
        <w:t> tis. eur) a </w:t>
      </w:r>
      <w:r w:rsidRPr="00B35184">
        <w:rPr>
          <w:sz w:val="24"/>
          <w:szCs w:val="24"/>
        </w:rPr>
        <w:t>negatívne vplývalo imputovanie vplyvu oddlženia na poistnom za zdravotnícke zariadenia (pokles o 166 845 tis. eur).</w:t>
      </w:r>
    </w:p>
    <w:p w14:paraId="10FA2F20" w14:textId="77777777" w:rsidR="009A05C7" w:rsidRDefault="009A05C7" w:rsidP="009A05C7">
      <w:pPr>
        <w:spacing w:line="240" w:lineRule="auto"/>
        <w:rPr>
          <w:sz w:val="24"/>
          <w:szCs w:val="24"/>
        </w:rPr>
      </w:pPr>
      <w:r w:rsidRPr="00800667">
        <w:rPr>
          <w:b/>
          <w:sz w:val="24"/>
          <w:szCs w:val="24"/>
        </w:rPr>
        <w:t>Celkové daňové a odvodové p</w:t>
      </w:r>
      <w:r>
        <w:rPr>
          <w:b/>
          <w:sz w:val="24"/>
          <w:szCs w:val="24"/>
        </w:rPr>
        <w:t>ríjmy (prognózované Výborom pre </w:t>
      </w:r>
      <w:r w:rsidRPr="00800667">
        <w:rPr>
          <w:b/>
          <w:sz w:val="24"/>
          <w:szCs w:val="24"/>
        </w:rPr>
        <w:t>daňové prognózy</w:t>
      </w:r>
      <w:r w:rsidRPr="00800667">
        <w:rPr>
          <w:sz w:val="24"/>
          <w:szCs w:val="24"/>
        </w:rPr>
        <w:t>) boli rozpočtované v objeme 41 810</w:t>
      </w:r>
      <w:r>
        <w:rPr>
          <w:sz w:val="24"/>
          <w:szCs w:val="24"/>
        </w:rPr>
        <w:t> </w:t>
      </w:r>
      <w:r w:rsidRPr="00800667">
        <w:rPr>
          <w:sz w:val="24"/>
          <w:szCs w:val="24"/>
        </w:rPr>
        <w:t>585</w:t>
      </w:r>
      <w:r>
        <w:rPr>
          <w:sz w:val="24"/>
          <w:szCs w:val="24"/>
        </w:rPr>
        <w:t> tis. </w:t>
      </w:r>
      <w:r w:rsidRPr="00800667">
        <w:rPr>
          <w:sz w:val="24"/>
          <w:szCs w:val="24"/>
        </w:rPr>
        <w:t>eur. Skutočné príjmy boli o 58</w:t>
      </w:r>
      <w:r>
        <w:rPr>
          <w:sz w:val="24"/>
          <w:szCs w:val="24"/>
        </w:rPr>
        <w:t> </w:t>
      </w:r>
      <w:r w:rsidRPr="00800667">
        <w:rPr>
          <w:sz w:val="24"/>
          <w:szCs w:val="24"/>
        </w:rPr>
        <w:t>269</w:t>
      </w:r>
      <w:r>
        <w:rPr>
          <w:sz w:val="24"/>
          <w:szCs w:val="24"/>
        </w:rPr>
        <w:t> tis. </w:t>
      </w:r>
      <w:r w:rsidRPr="00800667">
        <w:rPr>
          <w:sz w:val="24"/>
          <w:szCs w:val="24"/>
        </w:rPr>
        <w:t>eur vyššie a dosiahli výšku 41 870</w:t>
      </w:r>
      <w:r>
        <w:rPr>
          <w:sz w:val="24"/>
          <w:szCs w:val="24"/>
        </w:rPr>
        <w:t> </w:t>
      </w:r>
      <w:r w:rsidRPr="00800667">
        <w:rPr>
          <w:sz w:val="24"/>
          <w:szCs w:val="24"/>
        </w:rPr>
        <w:t>574</w:t>
      </w:r>
      <w:r>
        <w:rPr>
          <w:sz w:val="24"/>
          <w:szCs w:val="24"/>
        </w:rPr>
        <w:t> tis. </w:t>
      </w:r>
      <w:r w:rsidRPr="00800667">
        <w:rPr>
          <w:sz w:val="24"/>
          <w:szCs w:val="24"/>
        </w:rPr>
        <w:t xml:space="preserve">eur. Za nárastom sú miestne dane </w:t>
      </w:r>
      <w:r>
        <w:rPr>
          <w:sz w:val="24"/>
          <w:szCs w:val="24"/>
        </w:rPr>
        <w:t>(dane z nehnuteľností a dane za </w:t>
      </w:r>
      <w:r w:rsidRPr="00800667">
        <w:rPr>
          <w:sz w:val="24"/>
          <w:szCs w:val="24"/>
        </w:rPr>
        <w:t>špecifické služby)</w:t>
      </w:r>
      <w:r>
        <w:rPr>
          <w:sz w:val="24"/>
          <w:szCs w:val="24"/>
        </w:rPr>
        <w:t>, daň z príjmu vyberaná zrážkou</w:t>
      </w:r>
      <w:r w:rsidRPr="00800667">
        <w:rPr>
          <w:sz w:val="24"/>
          <w:szCs w:val="24"/>
        </w:rPr>
        <w:t xml:space="preserve"> a</w:t>
      </w:r>
      <w:r>
        <w:rPr>
          <w:sz w:val="24"/>
          <w:szCs w:val="24"/>
        </w:rPr>
        <w:t> daň z príjmu fyzických osôb zo </w:t>
      </w:r>
      <w:r w:rsidRPr="00800667">
        <w:rPr>
          <w:sz w:val="24"/>
          <w:szCs w:val="24"/>
        </w:rPr>
        <w:t>závislej činnosti. Výpadok príjmov je najmä pri DPH a spotrebných daniach.</w:t>
      </w:r>
    </w:p>
    <w:p w14:paraId="0A91B36F" w14:textId="2BCAD23C" w:rsidR="00D96E6C" w:rsidRPr="00D96E6C" w:rsidRDefault="00D96E6C" w:rsidP="00D96E6C">
      <w:pPr>
        <w:pStyle w:val="Popis"/>
        <w:keepNext/>
        <w:spacing w:after="120"/>
        <w:rPr>
          <w:b/>
          <w:i w:val="0"/>
          <w:iCs w:val="0"/>
          <w:color w:val="5B9BD5" w:themeColor="accent1"/>
          <w:sz w:val="20"/>
          <w:szCs w:val="20"/>
        </w:rPr>
      </w:pPr>
      <w:bookmarkStart w:id="41" w:name="_Toc196313634"/>
      <w:bookmarkStart w:id="42" w:name="_Toc196389255"/>
      <w:r w:rsidRPr="00D96E6C">
        <w:rPr>
          <w:b/>
          <w:i w:val="0"/>
          <w:iCs w:val="0"/>
          <w:color w:val="5B9BD5" w:themeColor="accent1"/>
          <w:sz w:val="20"/>
          <w:szCs w:val="20"/>
        </w:rPr>
        <w:t xml:space="preserve">Tabuľka </w:t>
      </w:r>
      <w:r w:rsidR="003B7AF0">
        <w:rPr>
          <w:b/>
          <w:i w:val="0"/>
          <w:iCs w:val="0"/>
          <w:color w:val="5B9BD5" w:themeColor="accent1"/>
          <w:sz w:val="20"/>
          <w:szCs w:val="20"/>
        </w:rPr>
        <w:fldChar w:fldCharType="begin"/>
      </w:r>
      <w:r w:rsidR="003B7AF0">
        <w:rPr>
          <w:b/>
          <w:i w:val="0"/>
          <w:iCs w:val="0"/>
          <w:color w:val="5B9BD5" w:themeColor="accent1"/>
          <w:sz w:val="20"/>
          <w:szCs w:val="20"/>
        </w:rPr>
        <w:instrText xml:space="preserve"> SEQ Tabuľka \* ARABIC </w:instrText>
      </w:r>
      <w:r w:rsidR="003B7AF0">
        <w:rPr>
          <w:b/>
          <w:i w:val="0"/>
          <w:iCs w:val="0"/>
          <w:color w:val="5B9BD5" w:themeColor="accent1"/>
          <w:sz w:val="20"/>
          <w:szCs w:val="20"/>
        </w:rPr>
        <w:fldChar w:fldCharType="separate"/>
      </w:r>
      <w:r w:rsidR="00C64CBA">
        <w:rPr>
          <w:b/>
          <w:i w:val="0"/>
          <w:iCs w:val="0"/>
          <w:noProof/>
          <w:color w:val="5B9BD5" w:themeColor="accent1"/>
          <w:sz w:val="20"/>
          <w:szCs w:val="20"/>
        </w:rPr>
        <w:t>8</w:t>
      </w:r>
      <w:r w:rsidR="003B7AF0">
        <w:rPr>
          <w:b/>
          <w:i w:val="0"/>
          <w:iCs w:val="0"/>
          <w:color w:val="5B9BD5" w:themeColor="accent1"/>
          <w:sz w:val="20"/>
          <w:szCs w:val="20"/>
        </w:rPr>
        <w:fldChar w:fldCharType="end"/>
      </w:r>
      <w:r w:rsidRPr="00D96E6C">
        <w:rPr>
          <w:b/>
          <w:i w:val="0"/>
          <w:iCs w:val="0"/>
          <w:color w:val="5B9BD5" w:themeColor="accent1"/>
          <w:sz w:val="20"/>
          <w:szCs w:val="20"/>
        </w:rPr>
        <w:t xml:space="preserve"> - Vybrané daňové a odvodové príjmy </w:t>
      </w:r>
      <w:r w:rsidR="001D18C1" w:rsidRPr="00D96E6C">
        <w:rPr>
          <w:b/>
          <w:i w:val="0"/>
          <w:iCs w:val="0"/>
          <w:color w:val="5B9BD5" w:themeColor="accent1"/>
          <w:sz w:val="20"/>
          <w:szCs w:val="20"/>
        </w:rPr>
        <w:t xml:space="preserve">v metodike </w:t>
      </w:r>
      <w:r w:rsidRPr="00D96E6C">
        <w:rPr>
          <w:b/>
          <w:i w:val="0"/>
          <w:iCs w:val="0"/>
          <w:color w:val="5B9BD5" w:themeColor="accent1"/>
          <w:sz w:val="20"/>
          <w:szCs w:val="20"/>
        </w:rPr>
        <w:t>ESA2010</w:t>
      </w:r>
      <w:bookmarkEnd w:id="41"/>
      <w:bookmarkEnd w:id="42"/>
    </w:p>
    <w:tbl>
      <w:tblPr>
        <w:tblW w:w="5000" w:type="pct"/>
        <w:tblCellMar>
          <w:left w:w="70" w:type="dxa"/>
          <w:right w:w="70" w:type="dxa"/>
        </w:tblCellMar>
        <w:tblLook w:val="04A0" w:firstRow="1" w:lastRow="0" w:firstColumn="1" w:lastColumn="0" w:noHBand="0" w:noVBand="1"/>
      </w:tblPr>
      <w:tblGrid>
        <w:gridCol w:w="4765"/>
        <w:gridCol w:w="1338"/>
        <w:gridCol w:w="1586"/>
        <w:gridCol w:w="1241"/>
      </w:tblGrid>
      <w:tr w:rsidR="009A05C7" w:rsidRPr="000428DB" w14:paraId="60626654" w14:textId="77777777" w:rsidTr="000240DA">
        <w:trPr>
          <w:trHeight w:val="290"/>
          <w:tblHeader/>
        </w:trPr>
        <w:tc>
          <w:tcPr>
            <w:tcW w:w="2668" w:type="pct"/>
            <w:vMerge w:val="restart"/>
            <w:tcBorders>
              <w:top w:val="single" w:sz="4" w:space="0" w:color="auto"/>
              <w:left w:val="nil"/>
              <w:bottom w:val="single" w:sz="4" w:space="0" w:color="000000"/>
              <w:right w:val="nil"/>
            </w:tcBorders>
            <w:shd w:val="clear" w:color="auto" w:fill="auto"/>
            <w:noWrap/>
            <w:vAlign w:val="center"/>
            <w:hideMark/>
          </w:tcPr>
          <w:p w14:paraId="237EC016" w14:textId="77777777" w:rsidR="009A05C7" w:rsidRPr="000428DB" w:rsidRDefault="009A05C7" w:rsidP="000240DA">
            <w:pPr>
              <w:spacing w:after="0" w:line="240" w:lineRule="auto"/>
              <w:jc w:val="left"/>
              <w:rPr>
                <w:rFonts w:eastAsia="Times New Roman" w:cs="Times New Roman"/>
                <w:b/>
                <w:bCs/>
                <w:color w:val="000000"/>
                <w:sz w:val="18"/>
                <w:szCs w:val="18"/>
                <w:lang w:eastAsia="sk-SK"/>
              </w:rPr>
            </w:pPr>
            <w:r w:rsidRPr="000428DB">
              <w:rPr>
                <w:rFonts w:eastAsia="Times New Roman" w:cs="Times New Roman"/>
                <w:b/>
                <w:bCs/>
                <w:color w:val="000000"/>
                <w:sz w:val="18"/>
                <w:szCs w:val="18"/>
                <w:lang w:eastAsia="sk-SK"/>
              </w:rPr>
              <w:t xml:space="preserve">v tis. eur </w:t>
            </w:r>
          </w:p>
        </w:tc>
        <w:tc>
          <w:tcPr>
            <w:tcW w:w="749" w:type="pct"/>
            <w:tcBorders>
              <w:top w:val="single" w:sz="4" w:space="0" w:color="auto"/>
              <w:left w:val="nil"/>
              <w:bottom w:val="nil"/>
              <w:right w:val="nil"/>
            </w:tcBorders>
            <w:shd w:val="clear" w:color="auto" w:fill="auto"/>
            <w:noWrap/>
            <w:hideMark/>
          </w:tcPr>
          <w:p w14:paraId="509BC46A" w14:textId="77777777" w:rsidR="009A05C7" w:rsidRPr="000428DB" w:rsidRDefault="009A05C7" w:rsidP="00CB2432">
            <w:pPr>
              <w:spacing w:after="0" w:line="240" w:lineRule="auto"/>
              <w:jc w:val="center"/>
              <w:rPr>
                <w:rFonts w:eastAsia="Times New Roman" w:cs="Times New Roman"/>
                <w:b/>
                <w:bCs/>
                <w:color w:val="000000"/>
                <w:sz w:val="18"/>
                <w:szCs w:val="18"/>
                <w:lang w:eastAsia="sk-SK"/>
              </w:rPr>
            </w:pPr>
            <w:r w:rsidRPr="000428DB">
              <w:rPr>
                <w:rFonts w:eastAsia="Times New Roman" w:cs="Times New Roman"/>
                <w:b/>
                <w:bCs/>
                <w:color w:val="000000"/>
                <w:sz w:val="18"/>
                <w:szCs w:val="18"/>
                <w:lang w:eastAsia="sk-SK"/>
              </w:rPr>
              <w:t>2024 R</w:t>
            </w:r>
          </w:p>
        </w:tc>
        <w:tc>
          <w:tcPr>
            <w:tcW w:w="888" w:type="pct"/>
            <w:tcBorders>
              <w:top w:val="single" w:sz="4" w:space="0" w:color="auto"/>
              <w:left w:val="nil"/>
              <w:bottom w:val="nil"/>
              <w:right w:val="nil"/>
            </w:tcBorders>
            <w:shd w:val="clear" w:color="auto" w:fill="auto"/>
            <w:noWrap/>
            <w:hideMark/>
          </w:tcPr>
          <w:p w14:paraId="02CAE7BC" w14:textId="77777777" w:rsidR="009A05C7" w:rsidRPr="000428DB" w:rsidRDefault="009A05C7" w:rsidP="00CB2432">
            <w:pPr>
              <w:spacing w:after="0" w:line="240" w:lineRule="auto"/>
              <w:jc w:val="center"/>
              <w:rPr>
                <w:rFonts w:eastAsia="Times New Roman" w:cs="Times New Roman"/>
                <w:b/>
                <w:bCs/>
                <w:color w:val="000000"/>
                <w:sz w:val="18"/>
                <w:szCs w:val="18"/>
                <w:lang w:eastAsia="sk-SK"/>
              </w:rPr>
            </w:pPr>
            <w:r w:rsidRPr="000428DB">
              <w:rPr>
                <w:rFonts w:eastAsia="Times New Roman" w:cs="Times New Roman"/>
                <w:b/>
                <w:bCs/>
                <w:color w:val="000000"/>
                <w:sz w:val="18"/>
                <w:szCs w:val="18"/>
                <w:lang w:eastAsia="sk-SK"/>
              </w:rPr>
              <w:t>2024 S</w:t>
            </w:r>
          </w:p>
        </w:tc>
        <w:tc>
          <w:tcPr>
            <w:tcW w:w="695" w:type="pct"/>
            <w:tcBorders>
              <w:top w:val="single" w:sz="4" w:space="0" w:color="auto"/>
              <w:left w:val="nil"/>
              <w:bottom w:val="nil"/>
              <w:right w:val="nil"/>
            </w:tcBorders>
            <w:shd w:val="clear" w:color="auto" w:fill="auto"/>
            <w:noWrap/>
            <w:hideMark/>
          </w:tcPr>
          <w:p w14:paraId="3D28C6E0" w14:textId="77777777" w:rsidR="009A05C7" w:rsidRPr="000428DB" w:rsidRDefault="009A05C7" w:rsidP="00CB2432">
            <w:pPr>
              <w:spacing w:after="0" w:line="240" w:lineRule="auto"/>
              <w:jc w:val="center"/>
              <w:rPr>
                <w:rFonts w:eastAsia="Times New Roman" w:cs="Times New Roman"/>
                <w:b/>
                <w:bCs/>
                <w:color w:val="000000"/>
                <w:sz w:val="18"/>
                <w:szCs w:val="18"/>
                <w:lang w:eastAsia="sk-SK"/>
              </w:rPr>
            </w:pPr>
            <w:r w:rsidRPr="000428DB">
              <w:rPr>
                <w:rFonts w:eastAsia="Times New Roman" w:cs="Times New Roman"/>
                <w:b/>
                <w:bCs/>
                <w:color w:val="000000"/>
                <w:sz w:val="18"/>
                <w:szCs w:val="18"/>
                <w:lang w:eastAsia="sk-SK"/>
              </w:rPr>
              <w:t>Rozdiel</w:t>
            </w:r>
          </w:p>
        </w:tc>
      </w:tr>
      <w:tr w:rsidR="009A05C7" w:rsidRPr="000428DB" w14:paraId="5D18F3D4" w14:textId="77777777" w:rsidTr="000240DA">
        <w:trPr>
          <w:trHeight w:val="290"/>
          <w:tblHeader/>
        </w:trPr>
        <w:tc>
          <w:tcPr>
            <w:tcW w:w="2668" w:type="pct"/>
            <w:vMerge/>
            <w:tcBorders>
              <w:top w:val="single" w:sz="4" w:space="0" w:color="auto"/>
              <w:left w:val="nil"/>
              <w:bottom w:val="single" w:sz="4" w:space="0" w:color="000000"/>
              <w:right w:val="nil"/>
            </w:tcBorders>
            <w:vAlign w:val="center"/>
            <w:hideMark/>
          </w:tcPr>
          <w:p w14:paraId="39FC8506" w14:textId="77777777" w:rsidR="009A05C7" w:rsidRPr="000428DB" w:rsidRDefault="009A05C7" w:rsidP="000240DA">
            <w:pPr>
              <w:spacing w:after="0" w:line="240" w:lineRule="auto"/>
              <w:jc w:val="left"/>
              <w:rPr>
                <w:rFonts w:eastAsia="Times New Roman" w:cs="Times New Roman"/>
                <w:b/>
                <w:bCs/>
                <w:color w:val="000000"/>
                <w:sz w:val="18"/>
                <w:szCs w:val="18"/>
                <w:lang w:eastAsia="sk-SK"/>
              </w:rPr>
            </w:pPr>
          </w:p>
        </w:tc>
        <w:tc>
          <w:tcPr>
            <w:tcW w:w="749" w:type="pct"/>
            <w:tcBorders>
              <w:top w:val="nil"/>
              <w:left w:val="nil"/>
              <w:bottom w:val="single" w:sz="4" w:space="0" w:color="auto"/>
              <w:right w:val="nil"/>
            </w:tcBorders>
            <w:shd w:val="clear" w:color="auto" w:fill="auto"/>
            <w:noWrap/>
            <w:vAlign w:val="bottom"/>
            <w:hideMark/>
          </w:tcPr>
          <w:p w14:paraId="27880F39" w14:textId="77777777" w:rsidR="009A05C7" w:rsidRPr="000428DB" w:rsidRDefault="009A05C7" w:rsidP="00CB2432">
            <w:pPr>
              <w:spacing w:after="0" w:line="240" w:lineRule="auto"/>
              <w:jc w:val="center"/>
              <w:rPr>
                <w:rFonts w:eastAsia="Times New Roman" w:cs="Times New Roman"/>
                <w:b/>
                <w:bCs/>
                <w:color w:val="000000"/>
                <w:sz w:val="18"/>
                <w:szCs w:val="18"/>
                <w:lang w:eastAsia="sk-SK"/>
              </w:rPr>
            </w:pPr>
            <w:r w:rsidRPr="000428DB">
              <w:rPr>
                <w:rFonts w:eastAsia="Times New Roman" w:cs="Times New Roman"/>
                <w:b/>
                <w:bCs/>
                <w:color w:val="000000"/>
                <w:sz w:val="18"/>
                <w:szCs w:val="18"/>
                <w:lang w:eastAsia="sk-SK"/>
              </w:rPr>
              <w:t>1</w:t>
            </w:r>
          </w:p>
        </w:tc>
        <w:tc>
          <w:tcPr>
            <w:tcW w:w="888" w:type="pct"/>
            <w:tcBorders>
              <w:top w:val="nil"/>
              <w:left w:val="nil"/>
              <w:bottom w:val="single" w:sz="4" w:space="0" w:color="auto"/>
              <w:right w:val="nil"/>
            </w:tcBorders>
            <w:shd w:val="clear" w:color="auto" w:fill="auto"/>
            <w:noWrap/>
            <w:vAlign w:val="bottom"/>
            <w:hideMark/>
          </w:tcPr>
          <w:p w14:paraId="29BCC198" w14:textId="77777777" w:rsidR="009A05C7" w:rsidRPr="000428DB" w:rsidRDefault="009A05C7" w:rsidP="00CB2432">
            <w:pPr>
              <w:spacing w:after="0" w:line="240" w:lineRule="auto"/>
              <w:jc w:val="center"/>
              <w:rPr>
                <w:rFonts w:eastAsia="Times New Roman" w:cs="Times New Roman"/>
                <w:b/>
                <w:bCs/>
                <w:color w:val="000000"/>
                <w:sz w:val="18"/>
                <w:szCs w:val="18"/>
                <w:lang w:eastAsia="sk-SK"/>
              </w:rPr>
            </w:pPr>
            <w:r w:rsidRPr="000428DB">
              <w:rPr>
                <w:rFonts w:eastAsia="Times New Roman" w:cs="Times New Roman"/>
                <w:b/>
                <w:bCs/>
                <w:color w:val="000000"/>
                <w:sz w:val="18"/>
                <w:szCs w:val="18"/>
                <w:lang w:eastAsia="sk-SK"/>
              </w:rPr>
              <w:t>2</w:t>
            </w:r>
          </w:p>
        </w:tc>
        <w:tc>
          <w:tcPr>
            <w:tcW w:w="695" w:type="pct"/>
            <w:tcBorders>
              <w:top w:val="nil"/>
              <w:left w:val="nil"/>
              <w:bottom w:val="single" w:sz="4" w:space="0" w:color="auto"/>
              <w:right w:val="nil"/>
            </w:tcBorders>
            <w:shd w:val="clear" w:color="auto" w:fill="auto"/>
            <w:noWrap/>
            <w:vAlign w:val="bottom"/>
            <w:hideMark/>
          </w:tcPr>
          <w:p w14:paraId="495BAD6C" w14:textId="77777777" w:rsidR="009A05C7" w:rsidRPr="000428DB" w:rsidRDefault="009A05C7" w:rsidP="00CB2432">
            <w:pPr>
              <w:spacing w:after="0" w:line="240" w:lineRule="auto"/>
              <w:jc w:val="center"/>
              <w:rPr>
                <w:rFonts w:eastAsia="Times New Roman" w:cs="Times New Roman"/>
                <w:b/>
                <w:bCs/>
                <w:color w:val="000000"/>
                <w:sz w:val="18"/>
                <w:szCs w:val="18"/>
                <w:lang w:eastAsia="sk-SK"/>
              </w:rPr>
            </w:pPr>
            <w:r w:rsidRPr="000428DB">
              <w:rPr>
                <w:rFonts w:eastAsia="Times New Roman" w:cs="Times New Roman"/>
                <w:b/>
                <w:bCs/>
                <w:color w:val="000000"/>
                <w:sz w:val="18"/>
                <w:szCs w:val="18"/>
                <w:lang w:eastAsia="sk-SK"/>
              </w:rPr>
              <w:t>3=2-1</w:t>
            </w:r>
          </w:p>
        </w:tc>
      </w:tr>
      <w:tr w:rsidR="009A05C7" w:rsidRPr="000428DB" w14:paraId="5604054A" w14:textId="77777777" w:rsidTr="000240DA">
        <w:trPr>
          <w:trHeight w:val="315"/>
        </w:trPr>
        <w:tc>
          <w:tcPr>
            <w:tcW w:w="2668" w:type="pct"/>
            <w:tcBorders>
              <w:top w:val="nil"/>
              <w:left w:val="nil"/>
              <w:bottom w:val="nil"/>
              <w:right w:val="nil"/>
            </w:tcBorders>
            <w:shd w:val="clear" w:color="auto" w:fill="auto"/>
            <w:noWrap/>
            <w:vAlign w:val="center"/>
            <w:hideMark/>
          </w:tcPr>
          <w:p w14:paraId="214F05ED" w14:textId="77777777" w:rsidR="009A05C7" w:rsidRPr="000428DB" w:rsidRDefault="009A05C7" w:rsidP="000240DA">
            <w:pPr>
              <w:spacing w:after="0" w:line="240" w:lineRule="auto"/>
              <w:jc w:val="left"/>
              <w:rPr>
                <w:rFonts w:eastAsia="Times New Roman" w:cs="Times New Roman"/>
                <w:color w:val="000000"/>
                <w:sz w:val="18"/>
                <w:szCs w:val="18"/>
                <w:lang w:eastAsia="sk-SK"/>
              </w:rPr>
            </w:pPr>
            <w:r w:rsidRPr="000428DB">
              <w:rPr>
                <w:rFonts w:eastAsia="Times New Roman" w:cs="Times New Roman"/>
                <w:color w:val="000000"/>
                <w:sz w:val="18"/>
                <w:szCs w:val="18"/>
                <w:lang w:eastAsia="sk-SK"/>
              </w:rPr>
              <w:t>Daň z príjmov fyzických osôb</w:t>
            </w:r>
          </w:p>
        </w:tc>
        <w:tc>
          <w:tcPr>
            <w:tcW w:w="749" w:type="pct"/>
            <w:tcBorders>
              <w:top w:val="nil"/>
              <w:left w:val="nil"/>
              <w:bottom w:val="nil"/>
              <w:right w:val="nil"/>
            </w:tcBorders>
            <w:shd w:val="clear" w:color="auto" w:fill="auto"/>
            <w:noWrap/>
            <w:vAlign w:val="center"/>
            <w:hideMark/>
          </w:tcPr>
          <w:p w14:paraId="6FA31CE0"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4 802 550</w:t>
            </w:r>
          </w:p>
        </w:tc>
        <w:tc>
          <w:tcPr>
            <w:tcW w:w="888" w:type="pct"/>
            <w:tcBorders>
              <w:top w:val="nil"/>
              <w:left w:val="nil"/>
              <w:bottom w:val="nil"/>
              <w:right w:val="nil"/>
            </w:tcBorders>
            <w:shd w:val="clear" w:color="auto" w:fill="auto"/>
            <w:noWrap/>
            <w:vAlign w:val="center"/>
            <w:hideMark/>
          </w:tcPr>
          <w:p w14:paraId="5F97BE06"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4 834 193</w:t>
            </w:r>
          </w:p>
        </w:tc>
        <w:tc>
          <w:tcPr>
            <w:tcW w:w="695" w:type="pct"/>
            <w:tcBorders>
              <w:top w:val="nil"/>
              <w:left w:val="nil"/>
              <w:bottom w:val="nil"/>
              <w:right w:val="nil"/>
            </w:tcBorders>
            <w:shd w:val="clear" w:color="auto" w:fill="auto"/>
            <w:noWrap/>
            <w:vAlign w:val="center"/>
            <w:hideMark/>
          </w:tcPr>
          <w:p w14:paraId="5B61E7BC"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31 643</w:t>
            </w:r>
          </w:p>
        </w:tc>
      </w:tr>
      <w:tr w:rsidR="009A05C7" w:rsidRPr="000428DB" w14:paraId="1CE3082C" w14:textId="77777777" w:rsidTr="000240DA">
        <w:trPr>
          <w:trHeight w:val="290"/>
        </w:trPr>
        <w:tc>
          <w:tcPr>
            <w:tcW w:w="2668" w:type="pct"/>
            <w:tcBorders>
              <w:top w:val="nil"/>
              <w:left w:val="nil"/>
              <w:bottom w:val="nil"/>
              <w:right w:val="nil"/>
            </w:tcBorders>
            <w:shd w:val="clear" w:color="auto" w:fill="auto"/>
            <w:noWrap/>
            <w:vAlign w:val="center"/>
            <w:hideMark/>
          </w:tcPr>
          <w:p w14:paraId="734BDA98" w14:textId="77777777" w:rsidR="009A05C7" w:rsidRPr="000428DB" w:rsidRDefault="009A05C7" w:rsidP="000240DA">
            <w:pPr>
              <w:spacing w:after="0" w:line="240" w:lineRule="auto"/>
              <w:jc w:val="left"/>
              <w:rPr>
                <w:rFonts w:eastAsia="Times New Roman" w:cs="Times New Roman"/>
                <w:color w:val="000000"/>
                <w:sz w:val="18"/>
                <w:szCs w:val="18"/>
                <w:lang w:eastAsia="sk-SK"/>
              </w:rPr>
            </w:pPr>
            <w:r w:rsidRPr="000428DB">
              <w:rPr>
                <w:rFonts w:eastAsia="Times New Roman" w:cs="Times New Roman"/>
                <w:color w:val="000000"/>
                <w:sz w:val="18"/>
                <w:szCs w:val="18"/>
                <w:lang w:eastAsia="sk-SK"/>
              </w:rPr>
              <w:t xml:space="preserve">      - závislá činnosť</w:t>
            </w:r>
          </w:p>
        </w:tc>
        <w:tc>
          <w:tcPr>
            <w:tcW w:w="749" w:type="pct"/>
            <w:tcBorders>
              <w:top w:val="nil"/>
              <w:left w:val="nil"/>
              <w:bottom w:val="nil"/>
              <w:right w:val="nil"/>
            </w:tcBorders>
            <w:shd w:val="clear" w:color="auto" w:fill="auto"/>
            <w:noWrap/>
            <w:vAlign w:val="center"/>
            <w:hideMark/>
          </w:tcPr>
          <w:p w14:paraId="400DFCF1"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4 604 598</w:t>
            </w:r>
          </w:p>
        </w:tc>
        <w:tc>
          <w:tcPr>
            <w:tcW w:w="888" w:type="pct"/>
            <w:tcBorders>
              <w:top w:val="nil"/>
              <w:left w:val="nil"/>
              <w:bottom w:val="nil"/>
              <w:right w:val="nil"/>
            </w:tcBorders>
            <w:shd w:val="clear" w:color="auto" w:fill="auto"/>
            <w:noWrap/>
            <w:vAlign w:val="center"/>
            <w:hideMark/>
          </w:tcPr>
          <w:p w14:paraId="73AD8FFA"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4 696 060</w:t>
            </w:r>
          </w:p>
        </w:tc>
        <w:tc>
          <w:tcPr>
            <w:tcW w:w="695" w:type="pct"/>
            <w:tcBorders>
              <w:top w:val="nil"/>
              <w:left w:val="nil"/>
              <w:bottom w:val="nil"/>
              <w:right w:val="nil"/>
            </w:tcBorders>
            <w:shd w:val="clear" w:color="auto" w:fill="auto"/>
            <w:noWrap/>
            <w:vAlign w:val="center"/>
            <w:hideMark/>
          </w:tcPr>
          <w:p w14:paraId="64794F45"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91 462</w:t>
            </w:r>
          </w:p>
        </w:tc>
      </w:tr>
      <w:tr w:rsidR="009A05C7" w:rsidRPr="000428DB" w14:paraId="6BCDD180" w14:textId="77777777" w:rsidTr="000240DA">
        <w:trPr>
          <w:trHeight w:val="290"/>
        </w:trPr>
        <w:tc>
          <w:tcPr>
            <w:tcW w:w="2668" w:type="pct"/>
            <w:tcBorders>
              <w:top w:val="nil"/>
              <w:left w:val="nil"/>
              <w:bottom w:val="nil"/>
              <w:right w:val="nil"/>
            </w:tcBorders>
            <w:shd w:val="clear" w:color="auto" w:fill="auto"/>
            <w:noWrap/>
            <w:vAlign w:val="center"/>
            <w:hideMark/>
          </w:tcPr>
          <w:p w14:paraId="4CBD4E5C" w14:textId="77777777" w:rsidR="009A05C7" w:rsidRPr="000428DB" w:rsidRDefault="009A05C7" w:rsidP="000240DA">
            <w:pPr>
              <w:spacing w:after="0" w:line="240" w:lineRule="auto"/>
              <w:jc w:val="left"/>
              <w:rPr>
                <w:rFonts w:eastAsia="Times New Roman" w:cs="Times New Roman"/>
                <w:color w:val="000000"/>
                <w:sz w:val="18"/>
                <w:szCs w:val="18"/>
                <w:lang w:eastAsia="sk-SK"/>
              </w:rPr>
            </w:pPr>
            <w:r w:rsidRPr="000428DB">
              <w:rPr>
                <w:rFonts w:eastAsia="Times New Roman" w:cs="Times New Roman"/>
                <w:color w:val="000000"/>
                <w:sz w:val="18"/>
                <w:szCs w:val="18"/>
                <w:lang w:eastAsia="sk-SK"/>
              </w:rPr>
              <w:t xml:space="preserve">      - podnikanie</w:t>
            </w:r>
          </w:p>
        </w:tc>
        <w:tc>
          <w:tcPr>
            <w:tcW w:w="749" w:type="pct"/>
            <w:tcBorders>
              <w:top w:val="nil"/>
              <w:left w:val="nil"/>
              <w:bottom w:val="nil"/>
              <w:right w:val="nil"/>
            </w:tcBorders>
            <w:shd w:val="clear" w:color="auto" w:fill="auto"/>
            <w:noWrap/>
            <w:vAlign w:val="center"/>
            <w:hideMark/>
          </w:tcPr>
          <w:p w14:paraId="1573F91D"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197 952</w:t>
            </w:r>
          </w:p>
        </w:tc>
        <w:tc>
          <w:tcPr>
            <w:tcW w:w="888" w:type="pct"/>
            <w:tcBorders>
              <w:top w:val="nil"/>
              <w:left w:val="nil"/>
              <w:bottom w:val="nil"/>
              <w:right w:val="nil"/>
            </w:tcBorders>
            <w:shd w:val="clear" w:color="auto" w:fill="auto"/>
            <w:noWrap/>
            <w:vAlign w:val="center"/>
            <w:hideMark/>
          </w:tcPr>
          <w:p w14:paraId="1D289146"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138 133</w:t>
            </w:r>
          </w:p>
        </w:tc>
        <w:tc>
          <w:tcPr>
            <w:tcW w:w="695" w:type="pct"/>
            <w:tcBorders>
              <w:top w:val="nil"/>
              <w:left w:val="nil"/>
              <w:bottom w:val="nil"/>
              <w:right w:val="nil"/>
            </w:tcBorders>
            <w:shd w:val="clear" w:color="auto" w:fill="auto"/>
            <w:noWrap/>
            <w:vAlign w:val="center"/>
            <w:hideMark/>
          </w:tcPr>
          <w:p w14:paraId="3859E5B3"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-59 819</w:t>
            </w:r>
          </w:p>
        </w:tc>
      </w:tr>
      <w:tr w:rsidR="009A05C7" w:rsidRPr="000428DB" w14:paraId="5E28943E" w14:textId="77777777" w:rsidTr="000240DA">
        <w:trPr>
          <w:trHeight w:val="290"/>
        </w:trPr>
        <w:tc>
          <w:tcPr>
            <w:tcW w:w="2668" w:type="pct"/>
            <w:tcBorders>
              <w:top w:val="nil"/>
              <w:left w:val="nil"/>
              <w:bottom w:val="nil"/>
              <w:right w:val="nil"/>
            </w:tcBorders>
            <w:shd w:val="clear" w:color="auto" w:fill="auto"/>
            <w:noWrap/>
            <w:vAlign w:val="center"/>
            <w:hideMark/>
          </w:tcPr>
          <w:p w14:paraId="51EB14A9" w14:textId="77777777" w:rsidR="009A05C7" w:rsidRPr="000428DB" w:rsidRDefault="009A05C7" w:rsidP="000240DA">
            <w:pPr>
              <w:spacing w:after="0" w:line="240" w:lineRule="auto"/>
              <w:jc w:val="left"/>
              <w:rPr>
                <w:rFonts w:eastAsia="Times New Roman" w:cs="Times New Roman"/>
                <w:color w:val="000000"/>
                <w:sz w:val="18"/>
                <w:szCs w:val="18"/>
                <w:lang w:eastAsia="sk-SK"/>
              </w:rPr>
            </w:pPr>
            <w:r w:rsidRPr="000428DB">
              <w:rPr>
                <w:rFonts w:eastAsia="Times New Roman" w:cs="Times New Roman"/>
                <w:color w:val="000000"/>
                <w:sz w:val="18"/>
                <w:szCs w:val="18"/>
                <w:lang w:eastAsia="sk-SK"/>
              </w:rPr>
              <w:t>Daň z príjmov právnických osôb</w:t>
            </w:r>
          </w:p>
        </w:tc>
        <w:tc>
          <w:tcPr>
            <w:tcW w:w="749" w:type="pct"/>
            <w:tcBorders>
              <w:top w:val="nil"/>
              <w:left w:val="nil"/>
              <w:bottom w:val="nil"/>
              <w:right w:val="nil"/>
            </w:tcBorders>
            <w:shd w:val="clear" w:color="auto" w:fill="auto"/>
            <w:noWrap/>
            <w:vAlign w:val="center"/>
            <w:hideMark/>
          </w:tcPr>
          <w:p w14:paraId="4284664B"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4 517 651</w:t>
            </w:r>
          </w:p>
        </w:tc>
        <w:tc>
          <w:tcPr>
            <w:tcW w:w="888" w:type="pct"/>
            <w:tcBorders>
              <w:top w:val="nil"/>
              <w:left w:val="nil"/>
              <w:bottom w:val="nil"/>
              <w:right w:val="nil"/>
            </w:tcBorders>
            <w:shd w:val="clear" w:color="auto" w:fill="auto"/>
            <w:noWrap/>
            <w:vAlign w:val="center"/>
            <w:hideMark/>
          </w:tcPr>
          <w:p w14:paraId="6C552F59"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4 537 777</w:t>
            </w:r>
          </w:p>
        </w:tc>
        <w:tc>
          <w:tcPr>
            <w:tcW w:w="695" w:type="pct"/>
            <w:tcBorders>
              <w:top w:val="nil"/>
              <w:left w:val="nil"/>
              <w:bottom w:val="nil"/>
              <w:right w:val="nil"/>
            </w:tcBorders>
            <w:shd w:val="clear" w:color="auto" w:fill="auto"/>
            <w:noWrap/>
            <w:vAlign w:val="center"/>
            <w:hideMark/>
          </w:tcPr>
          <w:p w14:paraId="1B065CF3"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20 126</w:t>
            </w:r>
          </w:p>
        </w:tc>
      </w:tr>
      <w:tr w:rsidR="009A05C7" w:rsidRPr="000428DB" w14:paraId="0827CF96" w14:textId="77777777" w:rsidTr="000240DA">
        <w:trPr>
          <w:trHeight w:val="290"/>
        </w:trPr>
        <w:tc>
          <w:tcPr>
            <w:tcW w:w="2668" w:type="pct"/>
            <w:tcBorders>
              <w:top w:val="nil"/>
              <w:left w:val="nil"/>
              <w:bottom w:val="nil"/>
              <w:right w:val="nil"/>
            </w:tcBorders>
            <w:shd w:val="clear" w:color="auto" w:fill="auto"/>
            <w:noWrap/>
            <w:vAlign w:val="center"/>
            <w:hideMark/>
          </w:tcPr>
          <w:p w14:paraId="55CBF0AE" w14:textId="77777777" w:rsidR="009A05C7" w:rsidRPr="000428DB" w:rsidRDefault="009A05C7" w:rsidP="000240DA">
            <w:pPr>
              <w:spacing w:after="0" w:line="240" w:lineRule="auto"/>
              <w:jc w:val="left"/>
              <w:rPr>
                <w:rFonts w:eastAsia="Times New Roman" w:cs="Times New Roman"/>
                <w:color w:val="000000"/>
                <w:sz w:val="18"/>
                <w:szCs w:val="18"/>
                <w:lang w:eastAsia="sk-SK"/>
              </w:rPr>
            </w:pPr>
            <w:r w:rsidRPr="000428DB">
              <w:rPr>
                <w:rFonts w:eastAsia="Times New Roman" w:cs="Times New Roman"/>
                <w:color w:val="000000"/>
                <w:sz w:val="18"/>
                <w:szCs w:val="18"/>
                <w:lang w:eastAsia="sk-SK"/>
              </w:rPr>
              <w:t>Daň z príjmov vyberaná zrážkou</w:t>
            </w:r>
          </w:p>
        </w:tc>
        <w:tc>
          <w:tcPr>
            <w:tcW w:w="749" w:type="pct"/>
            <w:tcBorders>
              <w:top w:val="nil"/>
              <w:left w:val="nil"/>
              <w:bottom w:val="nil"/>
              <w:right w:val="nil"/>
            </w:tcBorders>
            <w:shd w:val="clear" w:color="auto" w:fill="auto"/>
            <w:noWrap/>
            <w:vAlign w:val="center"/>
            <w:hideMark/>
          </w:tcPr>
          <w:p w14:paraId="0BDD1B1B"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415 070</w:t>
            </w:r>
          </w:p>
        </w:tc>
        <w:tc>
          <w:tcPr>
            <w:tcW w:w="888" w:type="pct"/>
            <w:tcBorders>
              <w:top w:val="nil"/>
              <w:left w:val="nil"/>
              <w:bottom w:val="nil"/>
              <w:right w:val="nil"/>
            </w:tcBorders>
            <w:shd w:val="clear" w:color="auto" w:fill="auto"/>
            <w:noWrap/>
            <w:vAlign w:val="center"/>
            <w:hideMark/>
          </w:tcPr>
          <w:p w14:paraId="3C6590C2"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529 151</w:t>
            </w:r>
          </w:p>
        </w:tc>
        <w:tc>
          <w:tcPr>
            <w:tcW w:w="695" w:type="pct"/>
            <w:tcBorders>
              <w:top w:val="nil"/>
              <w:left w:val="nil"/>
              <w:bottom w:val="nil"/>
              <w:right w:val="nil"/>
            </w:tcBorders>
            <w:shd w:val="clear" w:color="auto" w:fill="auto"/>
            <w:noWrap/>
            <w:vAlign w:val="center"/>
            <w:hideMark/>
          </w:tcPr>
          <w:p w14:paraId="1F6F33ED"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114 081</w:t>
            </w:r>
          </w:p>
        </w:tc>
      </w:tr>
      <w:tr w:rsidR="009A05C7" w:rsidRPr="000428DB" w14:paraId="27B58ACE" w14:textId="77777777" w:rsidTr="000240DA">
        <w:trPr>
          <w:trHeight w:val="290"/>
        </w:trPr>
        <w:tc>
          <w:tcPr>
            <w:tcW w:w="2668" w:type="pct"/>
            <w:tcBorders>
              <w:top w:val="nil"/>
              <w:left w:val="nil"/>
              <w:bottom w:val="nil"/>
              <w:right w:val="nil"/>
            </w:tcBorders>
            <w:shd w:val="clear" w:color="auto" w:fill="auto"/>
            <w:noWrap/>
            <w:vAlign w:val="center"/>
            <w:hideMark/>
          </w:tcPr>
          <w:p w14:paraId="7A5361B7" w14:textId="77777777" w:rsidR="009A05C7" w:rsidRPr="000428DB" w:rsidRDefault="009A05C7" w:rsidP="000240DA">
            <w:pPr>
              <w:spacing w:after="0" w:line="240" w:lineRule="auto"/>
              <w:jc w:val="left"/>
              <w:rPr>
                <w:rFonts w:eastAsia="Times New Roman" w:cs="Times New Roman"/>
                <w:color w:val="000000"/>
                <w:sz w:val="18"/>
                <w:szCs w:val="18"/>
                <w:lang w:eastAsia="sk-SK"/>
              </w:rPr>
            </w:pPr>
            <w:r w:rsidRPr="000428DB">
              <w:rPr>
                <w:rFonts w:eastAsia="Times New Roman" w:cs="Times New Roman"/>
                <w:color w:val="000000"/>
                <w:sz w:val="18"/>
                <w:szCs w:val="18"/>
                <w:lang w:eastAsia="sk-SK"/>
              </w:rPr>
              <w:t>Daň z pridanej hodnoty</w:t>
            </w:r>
          </w:p>
        </w:tc>
        <w:tc>
          <w:tcPr>
            <w:tcW w:w="749" w:type="pct"/>
            <w:tcBorders>
              <w:top w:val="nil"/>
              <w:left w:val="nil"/>
              <w:bottom w:val="nil"/>
              <w:right w:val="nil"/>
            </w:tcBorders>
            <w:shd w:val="clear" w:color="auto" w:fill="auto"/>
            <w:noWrap/>
            <w:vAlign w:val="center"/>
            <w:hideMark/>
          </w:tcPr>
          <w:p w14:paraId="6BD89A78"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10 081 564</w:t>
            </w:r>
          </w:p>
        </w:tc>
        <w:tc>
          <w:tcPr>
            <w:tcW w:w="888" w:type="pct"/>
            <w:tcBorders>
              <w:top w:val="nil"/>
              <w:left w:val="nil"/>
              <w:bottom w:val="nil"/>
              <w:right w:val="nil"/>
            </w:tcBorders>
            <w:shd w:val="clear" w:color="auto" w:fill="auto"/>
            <w:noWrap/>
            <w:vAlign w:val="center"/>
            <w:hideMark/>
          </w:tcPr>
          <w:p w14:paraId="6FAAEA7F"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9 904 422</w:t>
            </w:r>
          </w:p>
        </w:tc>
        <w:tc>
          <w:tcPr>
            <w:tcW w:w="695" w:type="pct"/>
            <w:tcBorders>
              <w:top w:val="nil"/>
              <w:left w:val="nil"/>
              <w:bottom w:val="nil"/>
              <w:right w:val="nil"/>
            </w:tcBorders>
            <w:shd w:val="clear" w:color="auto" w:fill="auto"/>
            <w:noWrap/>
            <w:vAlign w:val="center"/>
            <w:hideMark/>
          </w:tcPr>
          <w:p w14:paraId="0AF3028D"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-177 142</w:t>
            </w:r>
          </w:p>
        </w:tc>
      </w:tr>
      <w:tr w:rsidR="009A05C7" w:rsidRPr="000428DB" w14:paraId="1F67577A" w14:textId="77777777" w:rsidTr="000240DA">
        <w:trPr>
          <w:trHeight w:val="290"/>
        </w:trPr>
        <w:tc>
          <w:tcPr>
            <w:tcW w:w="2668" w:type="pct"/>
            <w:tcBorders>
              <w:top w:val="nil"/>
              <w:left w:val="nil"/>
              <w:bottom w:val="nil"/>
              <w:right w:val="nil"/>
            </w:tcBorders>
            <w:shd w:val="clear" w:color="auto" w:fill="auto"/>
            <w:noWrap/>
            <w:vAlign w:val="center"/>
            <w:hideMark/>
          </w:tcPr>
          <w:p w14:paraId="7A9AC16C" w14:textId="77777777" w:rsidR="009A05C7" w:rsidRPr="000428DB" w:rsidRDefault="009A05C7" w:rsidP="000240DA">
            <w:pPr>
              <w:spacing w:after="0" w:line="240" w:lineRule="auto"/>
              <w:jc w:val="left"/>
              <w:rPr>
                <w:rFonts w:eastAsia="Times New Roman" w:cs="Times New Roman"/>
                <w:color w:val="000000"/>
                <w:sz w:val="18"/>
                <w:szCs w:val="18"/>
                <w:lang w:eastAsia="sk-SK"/>
              </w:rPr>
            </w:pPr>
            <w:r w:rsidRPr="000428DB">
              <w:rPr>
                <w:rFonts w:eastAsia="Times New Roman" w:cs="Times New Roman"/>
                <w:color w:val="000000"/>
                <w:sz w:val="18"/>
                <w:szCs w:val="18"/>
                <w:lang w:eastAsia="sk-SK"/>
              </w:rPr>
              <w:t>Spotrebné dane</w:t>
            </w:r>
            <w:r w:rsidRPr="000428DB">
              <w:rPr>
                <w:rFonts w:eastAsia="Times New Roman" w:cs="Times New Roman"/>
                <w:color w:val="000000"/>
                <w:sz w:val="18"/>
                <w:szCs w:val="18"/>
                <w:vertAlign w:val="superscript"/>
                <w:lang w:eastAsia="sk-SK"/>
              </w:rPr>
              <w:t>1</w:t>
            </w:r>
          </w:p>
        </w:tc>
        <w:tc>
          <w:tcPr>
            <w:tcW w:w="749" w:type="pct"/>
            <w:tcBorders>
              <w:top w:val="nil"/>
              <w:left w:val="nil"/>
              <w:bottom w:val="nil"/>
              <w:right w:val="nil"/>
            </w:tcBorders>
            <w:shd w:val="clear" w:color="auto" w:fill="auto"/>
            <w:noWrap/>
            <w:vAlign w:val="center"/>
            <w:hideMark/>
          </w:tcPr>
          <w:p w14:paraId="1DFB3C1B"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2 795 455</w:t>
            </w:r>
          </w:p>
        </w:tc>
        <w:tc>
          <w:tcPr>
            <w:tcW w:w="888" w:type="pct"/>
            <w:tcBorders>
              <w:top w:val="nil"/>
              <w:left w:val="nil"/>
              <w:bottom w:val="nil"/>
              <w:right w:val="nil"/>
            </w:tcBorders>
            <w:shd w:val="clear" w:color="auto" w:fill="auto"/>
            <w:noWrap/>
            <w:vAlign w:val="center"/>
            <w:hideMark/>
          </w:tcPr>
          <w:p w14:paraId="4A3D92A1"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2 700 285</w:t>
            </w:r>
          </w:p>
        </w:tc>
        <w:tc>
          <w:tcPr>
            <w:tcW w:w="695" w:type="pct"/>
            <w:tcBorders>
              <w:top w:val="nil"/>
              <w:left w:val="nil"/>
              <w:bottom w:val="nil"/>
              <w:right w:val="nil"/>
            </w:tcBorders>
            <w:shd w:val="clear" w:color="auto" w:fill="auto"/>
            <w:noWrap/>
            <w:vAlign w:val="center"/>
            <w:hideMark/>
          </w:tcPr>
          <w:p w14:paraId="372EF485"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-95 170</w:t>
            </w:r>
          </w:p>
        </w:tc>
      </w:tr>
      <w:tr w:rsidR="009A05C7" w:rsidRPr="000428DB" w14:paraId="007853DD" w14:textId="77777777" w:rsidTr="000240DA">
        <w:trPr>
          <w:trHeight w:val="290"/>
        </w:trPr>
        <w:tc>
          <w:tcPr>
            <w:tcW w:w="2668" w:type="pct"/>
            <w:tcBorders>
              <w:top w:val="nil"/>
              <w:left w:val="nil"/>
              <w:bottom w:val="nil"/>
              <w:right w:val="nil"/>
            </w:tcBorders>
            <w:shd w:val="clear" w:color="auto" w:fill="auto"/>
            <w:noWrap/>
            <w:vAlign w:val="center"/>
            <w:hideMark/>
          </w:tcPr>
          <w:p w14:paraId="5A93AFE5" w14:textId="77777777" w:rsidR="009A05C7" w:rsidRPr="000428DB" w:rsidRDefault="009A05C7" w:rsidP="000240DA">
            <w:pPr>
              <w:spacing w:after="0" w:line="240" w:lineRule="auto"/>
              <w:jc w:val="left"/>
              <w:rPr>
                <w:rFonts w:eastAsia="Times New Roman" w:cs="Times New Roman"/>
                <w:color w:val="000000"/>
                <w:sz w:val="18"/>
                <w:szCs w:val="18"/>
                <w:lang w:eastAsia="sk-SK"/>
              </w:rPr>
            </w:pPr>
            <w:r w:rsidRPr="000428DB">
              <w:rPr>
                <w:rFonts w:eastAsia="Times New Roman" w:cs="Times New Roman"/>
                <w:color w:val="000000"/>
                <w:sz w:val="18"/>
                <w:szCs w:val="18"/>
                <w:lang w:eastAsia="sk-SK"/>
              </w:rPr>
              <w:t xml:space="preserve">     - Minerálny olej</w:t>
            </w:r>
          </w:p>
        </w:tc>
        <w:tc>
          <w:tcPr>
            <w:tcW w:w="749" w:type="pct"/>
            <w:tcBorders>
              <w:top w:val="nil"/>
              <w:left w:val="nil"/>
              <w:bottom w:val="nil"/>
              <w:right w:val="nil"/>
            </w:tcBorders>
            <w:shd w:val="clear" w:color="auto" w:fill="auto"/>
            <w:noWrap/>
            <w:vAlign w:val="center"/>
            <w:hideMark/>
          </w:tcPr>
          <w:p w14:paraId="6ECFD674"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1 347 653</w:t>
            </w:r>
          </w:p>
        </w:tc>
        <w:tc>
          <w:tcPr>
            <w:tcW w:w="888" w:type="pct"/>
            <w:tcBorders>
              <w:top w:val="nil"/>
              <w:left w:val="nil"/>
              <w:bottom w:val="nil"/>
              <w:right w:val="nil"/>
            </w:tcBorders>
            <w:shd w:val="clear" w:color="auto" w:fill="auto"/>
            <w:noWrap/>
            <w:vAlign w:val="center"/>
            <w:hideMark/>
          </w:tcPr>
          <w:p w14:paraId="3663206B"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1 352 021</w:t>
            </w:r>
          </w:p>
        </w:tc>
        <w:tc>
          <w:tcPr>
            <w:tcW w:w="695" w:type="pct"/>
            <w:tcBorders>
              <w:top w:val="nil"/>
              <w:left w:val="nil"/>
              <w:bottom w:val="nil"/>
              <w:right w:val="nil"/>
            </w:tcBorders>
            <w:shd w:val="clear" w:color="auto" w:fill="auto"/>
            <w:noWrap/>
            <w:vAlign w:val="center"/>
            <w:hideMark/>
          </w:tcPr>
          <w:p w14:paraId="13DF8184"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4 368</w:t>
            </w:r>
          </w:p>
        </w:tc>
      </w:tr>
      <w:tr w:rsidR="009A05C7" w:rsidRPr="000428DB" w14:paraId="155697B4" w14:textId="77777777" w:rsidTr="000240DA">
        <w:trPr>
          <w:trHeight w:val="290"/>
        </w:trPr>
        <w:tc>
          <w:tcPr>
            <w:tcW w:w="2668" w:type="pct"/>
            <w:tcBorders>
              <w:top w:val="nil"/>
              <w:left w:val="nil"/>
              <w:bottom w:val="nil"/>
              <w:right w:val="nil"/>
            </w:tcBorders>
            <w:shd w:val="clear" w:color="auto" w:fill="auto"/>
            <w:noWrap/>
            <w:vAlign w:val="center"/>
            <w:hideMark/>
          </w:tcPr>
          <w:p w14:paraId="2335ED86" w14:textId="77777777" w:rsidR="009A05C7" w:rsidRPr="000428DB" w:rsidRDefault="009A05C7" w:rsidP="000240DA">
            <w:pPr>
              <w:spacing w:after="0" w:line="240" w:lineRule="auto"/>
              <w:jc w:val="left"/>
              <w:rPr>
                <w:rFonts w:eastAsia="Times New Roman" w:cs="Times New Roman"/>
                <w:color w:val="000000"/>
                <w:sz w:val="18"/>
                <w:szCs w:val="18"/>
                <w:lang w:eastAsia="sk-SK"/>
              </w:rPr>
            </w:pPr>
            <w:r w:rsidRPr="000428DB">
              <w:rPr>
                <w:rFonts w:eastAsia="Times New Roman" w:cs="Times New Roman"/>
                <w:color w:val="000000"/>
                <w:sz w:val="18"/>
                <w:szCs w:val="18"/>
                <w:lang w:eastAsia="sk-SK"/>
              </w:rPr>
              <w:t xml:space="preserve">     - Tabak a tabakové výrobky</w:t>
            </w:r>
          </w:p>
        </w:tc>
        <w:tc>
          <w:tcPr>
            <w:tcW w:w="749" w:type="pct"/>
            <w:tcBorders>
              <w:top w:val="nil"/>
              <w:left w:val="nil"/>
              <w:bottom w:val="nil"/>
              <w:right w:val="nil"/>
            </w:tcBorders>
            <w:shd w:val="clear" w:color="auto" w:fill="auto"/>
            <w:noWrap/>
            <w:vAlign w:val="center"/>
            <w:hideMark/>
          </w:tcPr>
          <w:p w14:paraId="66E5F5E9"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1 043 240</w:t>
            </w:r>
          </w:p>
        </w:tc>
        <w:tc>
          <w:tcPr>
            <w:tcW w:w="888" w:type="pct"/>
            <w:tcBorders>
              <w:top w:val="nil"/>
              <w:left w:val="nil"/>
              <w:bottom w:val="nil"/>
              <w:right w:val="nil"/>
            </w:tcBorders>
            <w:shd w:val="clear" w:color="auto" w:fill="auto"/>
            <w:noWrap/>
            <w:vAlign w:val="center"/>
            <w:hideMark/>
          </w:tcPr>
          <w:p w14:paraId="1F17D4E2"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1 021 079</w:t>
            </w:r>
          </w:p>
        </w:tc>
        <w:tc>
          <w:tcPr>
            <w:tcW w:w="695" w:type="pct"/>
            <w:tcBorders>
              <w:top w:val="nil"/>
              <w:left w:val="nil"/>
              <w:bottom w:val="nil"/>
              <w:right w:val="nil"/>
            </w:tcBorders>
            <w:shd w:val="clear" w:color="auto" w:fill="auto"/>
            <w:noWrap/>
            <w:vAlign w:val="center"/>
            <w:hideMark/>
          </w:tcPr>
          <w:p w14:paraId="704EAD2D"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-22 161</w:t>
            </w:r>
          </w:p>
        </w:tc>
      </w:tr>
      <w:tr w:rsidR="009A05C7" w:rsidRPr="000428DB" w14:paraId="1C152BB9" w14:textId="77777777" w:rsidTr="000240DA">
        <w:trPr>
          <w:trHeight w:val="290"/>
        </w:trPr>
        <w:tc>
          <w:tcPr>
            <w:tcW w:w="2668" w:type="pct"/>
            <w:tcBorders>
              <w:top w:val="nil"/>
              <w:left w:val="nil"/>
              <w:bottom w:val="nil"/>
              <w:right w:val="nil"/>
            </w:tcBorders>
            <w:shd w:val="clear" w:color="auto" w:fill="auto"/>
            <w:noWrap/>
            <w:vAlign w:val="center"/>
            <w:hideMark/>
          </w:tcPr>
          <w:p w14:paraId="36068DB6" w14:textId="77777777" w:rsidR="009A05C7" w:rsidRPr="000428DB" w:rsidRDefault="009A05C7" w:rsidP="000240DA">
            <w:pPr>
              <w:spacing w:after="0" w:line="240" w:lineRule="auto"/>
              <w:jc w:val="left"/>
              <w:rPr>
                <w:rFonts w:eastAsia="Times New Roman" w:cs="Times New Roman"/>
                <w:color w:val="000000"/>
                <w:sz w:val="18"/>
                <w:szCs w:val="18"/>
                <w:lang w:eastAsia="sk-SK"/>
              </w:rPr>
            </w:pPr>
            <w:r w:rsidRPr="000428DB">
              <w:rPr>
                <w:rFonts w:eastAsia="Times New Roman" w:cs="Times New Roman"/>
                <w:color w:val="000000"/>
                <w:sz w:val="18"/>
                <w:szCs w:val="18"/>
                <w:lang w:eastAsia="sk-SK"/>
              </w:rPr>
              <w:t xml:space="preserve">     - Ostatné spotrebné dane</w:t>
            </w:r>
          </w:p>
        </w:tc>
        <w:tc>
          <w:tcPr>
            <w:tcW w:w="749" w:type="pct"/>
            <w:tcBorders>
              <w:top w:val="nil"/>
              <w:left w:val="nil"/>
              <w:bottom w:val="nil"/>
              <w:right w:val="nil"/>
            </w:tcBorders>
            <w:shd w:val="clear" w:color="auto" w:fill="auto"/>
            <w:noWrap/>
            <w:vAlign w:val="center"/>
            <w:hideMark/>
          </w:tcPr>
          <w:p w14:paraId="3477573C"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404 562</w:t>
            </w:r>
          </w:p>
        </w:tc>
        <w:tc>
          <w:tcPr>
            <w:tcW w:w="888" w:type="pct"/>
            <w:tcBorders>
              <w:top w:val="nil"/>
              <w:left w:val="nil"/>
              <w:bottom w:val="nil"/>
              <w:right w:val="nil"/>
            </w:tcBorders>
            <w:shd w:val="clear" w:color="auto" w:fill="auto"/>
            <w:noWrap/>
            <w:vAlign w:val="center"/>
            <w:hideMark/>
          </w:tcPr>
          <w:p w14:paraId="615A63A6"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327 185</w:t>
            </w:r>
          </w:p>
        </w:tc>
        <w:tc>
          <w:tcPr>
            <w:tcW w:w="695" w:type="pct"/>
            <w:tcBorders>
              <w:top w:val="nil"/>
              <w:left w:val="nil"/>
              <w:bottom w:val="nil"/>
              <w:right w:val="nil"/>
            </w:tcBorders>
            <w:shd w:val="clear" w:color="auto" w:fill="auto"/>
            <w:noWrap/>
            <w:vAlign w:val="center"/>
            <w:hideMark/>
          </w:tcPr>
          <w:p w14:paraId="63ADC2C0"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-77 377</w:t>
            </w:r>
          </w:p>
        </w:tc>
      </w:tr>
      <w:tr w:rsidR="009A05C7" w:rsidRPr="000428DB" w14:paraId="7643330B" w14:textId="77777777" w:rsidTr="000240DA">
        <w:trPr>
          <w:trHeight w:val="290"/>
        </w:trPr>
        <w:tc>
          <w:tcPr>
            <w:tcW w:w="2668" w:type="pct"/>
            <w:tcBorders>
              <w:top w:val="nil"/>
              <w:left w:val="nil"/>
              <w:bottom w:val="nil"/>
              <w:right w:val="nil"/>
            </w:tcBorders>
            <w:shd w:val="clear" w:color="auto" w:fill="auto"/>
            <w:noWrap/>
            <w:vAlign w:val="center"/>
            <w:hideMark/>
          </w:tcPr>
          <w:p w14:paraId="733B283A" w14:textId="77777777" w:rsidR="009A05C7" w:rsidRPr="000428DB" w:rsidRDefault="009A05C7" w:rsidP="000240DA">
            <w:pPr>
              <w:spacing w:after="0" w:line="240" w:lineRule="auto"/>
              <w:jc w:val="left"/>
              <w:rPr>
                <w:rFonts w:eastAsia="Times New Roman" w:cs="Times New Roman"/>
                <w:color w:val="000000"/>
                <w:sz w:val="18"/>
                <w:szCs w:val="18"/>
                <w:lang w:eastAsia="sk-SK"/>
              </w:rPr>
            </w:pPr>
            <w:r w:rsidRPr="000428DB">
              <w:rPr>
                <w:rFonts w:eastAsia="Times New Roman" w:cs="Times New Roman"/>
                <w:color w:val="000000"/>
                <w:sz w:val="18"/>
                <w:szCs w:val="18"/>
                <w:lang w:eastAsia="sk-SK"/>
              </w:rPr>
              <w:t>Dane z majetku (nehnuteľnosti)</w:t>
            </w:r>
          </w:p>
        </w:tc>
        <w:tc>
          <w:tcPr>
            <w:tcW w:w="749" w:type="pct"/>
            <w:tcBorders>
              <w:top w:val="nil"/>
              <w:left w:val="nil"/>
              <w:bottom w:val="nil"/>
              <w:right w:val="nil"/>
            </w:tcBorders>
            <w:shd w:val="clear" w:color="auto" w:fill="auto"/>
            <w:noWrap/>
            <w:vAlign w:val="center"/>
            <w:hideMark/>
          </w:tcPr>
          <w:p w14:paraId="3F8338F9"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512 041</w:t>
            </w:r>
          </w:p>
        </w:tc>
        <w:tc>
          <w:tcPr>
            <w:tcW w:w="888" w:type="pct"/>
            <w:tcBorders>
              <w:top w:val="nil"/>
              <w:left w:val="nil"/>
              <w:bottom w:val="nil"/>
              <w:right w:val="nil"/>
            </w:tcBorders>
            <w:shd w:val="clear" w:color="auto" w:fill="auto"/>
            <w:noWrap/>
            <w:vAlign w:val="center"/>
            <w:hideMark/>
          </w:tcPr>
          <w:p w14:paraId="282D84B2"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618 717</w:t>
            </w:r>
          </w:p>
        </w:tc>
        <w:tc>
          <w:tcPr>
            <w:tcW w:w="695" w:type="pct"/>
            <w:tcBorders>
              <w:top w:val="nil"/>
              <w:left w:val="nil"/>
              <w:bottom w:val="nil"/>
              <w:right w:val="nil"/>
            </w:tcBorders>
            <w:shd w:val="clear" w:color="auto" w:fill="auto"/>
            <w:noWrap/>
            <w:vAlign w:val="center"/>
            <w:hideMark/>
          </w:tcPr>
          <w:p w14:paraId="75486B24"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106 676</w:t>
            </w:r>
          </w:p>
        </w:tc>
      </w:tr>
      <w:tr w:rsidR="009A05C7" w:rsidRPr="000428DB" w14:paraId="6EC416C0" w14:textId="77777777" w:rsidTr="000240DA">
        <w:trPr>
          <w:trHeight w:val="290"/>
        </w:trPr>
        <w:tc>
          <w:tcPr>
            <w:tcW w:w="2668" w:type="pct"/>
            <w:tcBorders>
              <w:top w:val="nil"/>
              <w:left w:val="nil"/>
              <w:bottom w:val="nil"/>
              <w:right w:val="nil"/>
            </w:tcBorders>
            <w:shd w:val="clear" w:color="auto" w:fill="auto"/>
            <w:noWrap/>
            <w:vAlign w:val="center"/>
            <w:hideMark/>
          </w:tcPr>
          <w:p w14:paraId="0B0A2DA7" w14:textId="77777777" w:rsidR="009A05C7" w:rsidRPr="000428DB" w:rsidRDefault="009A05C7" w:rsidP="000240DA">
            <w:pPr>
              <w:spacing w:after="0" w:line="240" w:lineRule="auto"/>
              <w:jc w:val="left"/>
              <w:rPr>
                <w:rFonts w:eastAsia="Times New Roman" w:cs="Times New Roman"/>
                <w:color w:val="000000"/>
                <w:sz w:val="18"/>
                <w:szCs w:val="18"/>
                <w:lang w:eastAsia="sk-SK"/>
              </w:rPr>
            </w:pPr>
            <w:r w:rsidRPr="000428DB">
              <w:rPr>
                <w:rFonts w:eastAsia="Times New Roman" w:cs="Times New Roman"/>
                <w:color w:val="000000"/>
                <w:sz w:val="18"/>
                <w:szCs w:val="18"/>
                <w:lang w:eastAsia="sk-SK"/>
              </w:rPr>
              <w:t>Dane z medzinárodného obchodu</w:t>
            </w:r>
          </w:p>
        </w:tc>
        <w:tc>
          <w:tcPr>
            <w:tcW w:w="749" w:type="pct"/>
            <w:tcBorders>
              <w:top w:val="nil"/>
              <w:left w:val="nil"/>
              <w:bottom w:val="nil"/>
              <w:right w:val="nil"/>
            </w:tcBorders>
            <w:shd w:val="clear" w:color="auto" w:fill="auto"/>
            <w:noWrap/>
            <w:vAlign w:val="center"/>
            <w:hideMark/>
          </w:tcPr>
          <w:p w14:paraId="20860E80"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41 724</w:t>
            </w:r>
          </w:p>
        </w:tc>
        <w:tc>
          <w:tcPr>
            <w:tcW w:w="888" w:type="pct"/>
            <w:tcBorders>
              <w:top w:val="nil"/>
              <w:left w:val="nil"/>
              <w:bottom w:val="nil"/>
              <w:right w:val="nil"/>
            </w:tcBorders>
            <w:shd w:val="clear" w:color="auto" w:fill="auto"/>
            <w:noWrap/>
            <w:vAlign w:val="center"/>
            <w:hideMark/>
          </w:tcPr>
          <w:p w14:paraId="51E70C21"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36 828</w:t>
            </w:r>
          </w:p>
        </w:tc>
        <w:tc>
          <w:tcPr>
            <w:tcW w:w="695" w:type="pct"/>
            <w:tcBorders>
              <w:top w:val="nil"/>
              <w:left w:val="nil"/>
              <w:bottom w:val="nil"/>
              <w:right w:val="nil"/>
            </w:tcBorders>
            <w:shd w:val="clear" w:color="auto" w:fill="auto"/>
            <w:noWrap/>
            <w:vAlign w:val="center"/>
            <w:hideMark/>
          </w:tcPr>
          <w:p w14:paraId="27C940B5"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-4 896</w:t>
            </w:r>
          </w:p>
        </w:tc>
      </w:tr>
      <w:tr w:rsidR="009A05C7" w:rsidRPr="000428DB" w14:paraId="30741953" w14:textId="77777777" w:rsidTr="000240DA">
        <w:trPr>
          <w:trHeight w:val="290"/>
        </w:trPr>
        <w:tc>
          <w:tcPr>
            <w:tcW w:w="2668" w:type="pct"/>
            <w:tcBorders>
              <w:top w:val="nil"/>
              <w:left w:val="nil"/>
              <w:bottom w:val="nil"/>
              <w:right w:val="nil"/>
            </w:tcBorders>
            <w:shd w:val="clear" w:color="auto" w:fill="auto"/>
            <w:noWrap/>
            <w:vAlign w:val="center"/>
            <w:hideMark/>
          </w:tcPr>
          <w:p w14:paraId="73A9AA06" w14:textId="77777777" w:rsidR="009A05C7" w:rsidRPr="000428DB" w:rsidRDefault="009A05C7" w:rsidP="000240DA">
            <w:pPr>
              <w:spacing w:after="0" w:line="240" w:lineRule="auto"/>
              <w:jc w:val="left"/>
              <w:rPr>
                <w:rFonts w:eastAsia="Times New Roman" w:cs="Times New Roman"/>
                <w:color w:val="000000"/>
                <w:sz w:val="18"/>
                <w:szCs w:val="18"/>
                <w:lang w:eastAsia="sk-SK"/>
              </w:rPr>
            </w:pPr>
            <w:r w:rsidRPr="000428DB">
              <w:rPr>
                <w:rFonts w:eastAsia="Times New Roman" w:cs="Times New Roman"/>
                <w:color w:val="000000"/>
                <w:sz w:val="18"/>
                <w:szCs w:val="18"/>
                <w:lang w:eastAsia="sk-SK"/>
              </w:rPr>
              <w:t>Ostatné dane</w:t>
            </w:r>
          </w:p>
        </w:tc>
        <w:tc>
          <w:tcPr>
            <w:tcW w:w="749" w:type="pct"/>
            <w:tcBorders>
              <w:top w:val="nil"/>
              <w:left w:val="nil"/>
              <w:bottom w:val="nil"/>
              <w:right w:val="nil"/>
            </w:tcBorders>
            <w:shd w:val="clear" w:color="auto" w:fill="auto"/>
            <w:noWrap/>
            <w:vAlign w:val="center"/>
            <w:hideMark/>
          </w:tcPr>
          <w:p w14:paraId="4EECA622"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1 365 414</w:t>
            </w:r>
          </w:p>
        </w:tc>
        <w:tc>
          <w:tcPr>
            <w:tcW w:w="888" w:type="pct"/>
            <w:tcBorders>
              <w:top w:val="nil"/>
              <w:left w:val="nil"/>
              <w:bottom w:val="nil"/>
              <w:right w:val="nil"/>
            </w:tcBorders>
            <w:shd w:val="clear" w:color="auto" w:fill="auto"/>
            <w:noWrap/>
            <w:vAlign w:val="center"/>
            <w:hideMark/>
          </w:tcPr>
          <w:p w14:paraId="67AE4D3A"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1 424 186</w:t>
            </w:r>
          </w:p>
        </w:tc>
        <w:tc>
          <w:tcPr>
            <w:tcW w:w="695" w:type="pct"/>
            <w:tcBorders>
              <w:top w:val="nil"/>
              <w:left w:val="nil"/>
              <w:bottom w:val="nil"/>
              <w:right w:val="nil"/>
            </w:tcBorders>
            <w:shd w:val="clear" w:color="auto" w:fill="auto"/>
            <w:noWrap/>
            <w:vAlign w:val="center"/>
            <w:hideMark/>
          </w:tcPr>
          <w:p w14:paraId="24D592F9"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58 772</w:t>
            </w:r>
          </w:p>
        </w:tc>
      </w:tr>
      <w:tr w:rsidR="009A05C7" w:rsidRPr="000428DB" w14:paraId="057882F1" w14:textId="77777777" w:rsidTr="000240DA">
        <w:trPr>
          <w:trHeight w:val="290"/>
        </w:trPr>
        <w:tc>
          <w:tcPr>
            <w:tcW w:w="2668" w:type="pct"/>
            <w:tcBorders>
              <w:top w:val="nil"/>
              <w:left w:val="nil"/>
              <w:bottom w:val="nil"/>
              <w:right w:val="nil"/>
            </w:tcBorders>
            <w:shd w:val="clear" w:color="auto" w:fill="auto"/>
            <w:noWrap/>
            <w:vAlign w:val="center"/>
            <w:hideMark/>
          </w:tcPr>
          <w:p w14:paraId="70FC47D6" w14:textId="77777777" w:rsidR="009A05C7" w:rsidRPr="000428DB" w:rsidRDefault="009A05C7" w:rsidP="000240DA">
            <w:pPr>
              <w:spacing w:after="0" w:line="240" w:lineRule="auto"/>
              <w:jc w:val="left"/>
              <w:rPr>
                <w:rFonts w:eastAsia="Times New Roman" w:cs="Times New Roman"/>
                <w:color w:val="000000"/>
                <w:sz w:val="18"/>
                <w:szCs w:val="18"/>
                <w:lang w:eastAsia="sk-SK"/>
              </w:rPr>
            </w:pPr>
            <w:r w:rsidRPr="000428DB">
              <w:rPr>
                <w:rFonts w:eastAsia="Times New Roman" w:cs="Times New Roman"/>
                <w:color w:val="000000"/>
                <w:sz w:val="18"/>
                <w:szCs w:val="18"/>
                <w:lang w:eastAsia="sk-SK"/>
              </w:rPr>
              <w:t xml:space="preserve">     - Daň z motorových vozidiel</w:t>
            </w:r>
          </w:p>
        </w:tc>
        <w:tc>
          <w:tcPr>
            <w:tcW w:w="749" w:type="pct"/>
            <w:tcBorders>
              <w:top w:val="nil"/>
              <w:left w:val="nil"/>
              <w:bottom w:val="nil"/>
              <w:right w:val="nil"/>
            </w:tcBorders>
            <w:shd w:val="clear" w:color="auto" w:fill="auto"/>
            <w:noWrap/>
            <w:vAlign w:val="center"/>
            <w:hideMark/>
          </w:tcPr>
          <w:p w14:paraId="195CCFE9"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139 916</w:t>
            </w:r>
          </w:p>
        </w:tc>
        <w:tc>
          <w:tcPr>
            <w:tcW w:w="888" w:type="pct"/>
            <w:tcBorders>
              <w:top w:val="nil"/>
              <w:left w:val="nil"/>
              <w:bottom w:val="nil"/>
              <w:right w:val="nil"/>
            </w:tcBorders>
            <w:shd w:val="clear" w:color="auto" w:fill="auto"/>
            <w:noWrap/>
            <w:vAlign w:val="center"/>
            <w:hideMark/>
          </w:tcPr>
          <w:p w14:paraId="18A0D82B"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139 482</w:t>
            </w:r>
          </w:p>
        </w:tc>
        <w:tc>
          <w:tcPr>
            <w:tcW w:w="695" w:type="pct"/>
            <w:tcBorders>
              <w:top w:val="nil"/>
              <w:left w:val="nil"/>
              <w:bottom w:val="nil"/>
              <w:right w:val="nil"/>
            </w:tcBorders>
            <w:shd w:val="clear" w:color="auto" w:fill="auto"/>
            <w:noWrap/>
            <w:vAlign w:val="center"/>
            <w:hideMark/>
          </w:tcPr>
          <w:p w14:paraId="6D9197C6"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-434</w:t>
            </w:r>
          </w:p>
        </w:tc>
      </w:tr>
      <w:tr w:rsidR="009A05C7" w:rsidRPr="000428DB" w14:paraId="791BEFBD" w14:textId="77777777" w:rsidTr="000240DA">
        <w:trPr>
          <w:trHeight w:val="290"/>
        </w:trPr>
        <w:tc>
          <w:tcPr>
            <w:tcW w:w="2668" w:type="pct"/>
            <w:tcBorders>
              <w:top w:val="nil"/>
              <w:left w:val="nil"/>
              <w:bottom w:val="nil"/>
              <w:right w:val="nil"/>
            </w:tcBorders>
            <w:shd w:val="clear" w:color="auto" w:fill="auto"/>
            <w:noWrap/>
            <w:vAlign w:val="center"/>
            <w:hideMark/>
          </w:tcPr>
          <w:p w14:paraId="7B43FC56" w14:textId="77777777" w:rsidR="009A05C7" w:rsidRPr="000428DB" w:rsidRDefault="009A05C7" w:rsidP="000240DA">
            <w:pPr>
              <w:spacing w:after="0" w:line="240" w:lineRule="auto"/>
              <w:jc w:val="left"/>
              <w:rPr>
                <w:rFonts w:eastAsia="Times New Roman" w:cs="Times New Roman"/>
                <w:color w:val="000000"/>
                <w:sz w:val="18"/>
                <w:szCs w:val="18"/>
                <w:lang w:eastAsia="sk-SK"/>
              </w:rPr>
            </w:pPr>
            <w:r w:rsidRPr="000428DB">
              <w:rPr>
                <w:rFonts w:eastAsia="Times New Roman" w:cs="Times New Roman"/>
                <w:color w:val="000000"/>
                <w:sz w:val="18"/>
                <w:szCs w:val="18"/>
                <w:lang w:eastAsia="sk-SK"/>
              </w:rPr>
              <w:t xml:space="preserve">     - Osobitný odvod z podnikania v regulovaných odvetviach </w:t>
            </w:r>
          </w:p>
        </w:tc>
        <w:tc>
          <w:tcPr>
            <w:tcW w:w="749" w:type="pct"/>
            <w:tcBorders>
              <w:top w:val="nil"/>
              <w:left w:val="nil"/>
              <w:bottom w:val="nil"/>
              <w:right w:val="nil"/>
            </w:tcBorders>
            <w:shd w:val="clear" w:color="auto" w:fill="auto"/>
            <w:noWrap/>
            <w:vAlign w:val="center"/>
            <w:hideMark/>
          </w:tcPr>
          <w:p w14:paraId="7A34768F"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511 553</w:t>
            </w:r>
          </w:p>
        </w:tc>
        <w:tc>
          <w:tcPr>
            <w:tcW w:w="888" w:type="pct"/>
            <w:tcBorders>
              <w:top w:val="nil"/>
              <w:left w:val="nil"/>
              <w:bottom w:val="nil"/>
              <w:right w:val="nil"/>
            </w:tcBorders>
            <w:shd w:val="clear" w:color="auto" w:fill="auto"/>
            <w:noWrap/>
            <w:vAlign w:val="center"/>
            <w:hideMark/>
          </w:tcPr>
          <w:p w14:paraId="49B54DF3"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526 233</w:t>
            </w:r>
          </w:p>
        </w:tc>
        <w:tc>
          <w:tcPr>
            <w:tcW w:w="695" w:type="pct"/>
            <w:tcBorders>
              <w:top w:val="nil"/>
              <w:left w:val="nil"/>
              <w:bottom w:val="nil"/>
              <w:right w:val="nil"/>
            </w:tcBorders>
            <w:shd w:val="clear" w:color="auto" w:fill="auto"/>
            <w:noWrap/>
            <w:vAlign w:val="center"/>
            <w:hideMark/>
          </w:tcPr>
          <w:p w14:paraId="4B7C42CF"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14 680</w:t>
            </w:r>
          </w:p>
        </w:tc>
      </w:tr>
      <w:tr w:rsidR="009A05C7" w:rsidRPr="000428DB" w14:paraId="32A8BC1E" w14:textId="77777777" w:rsidTr="000240DA">
        <w:trPr>
          <w:trHeight w:val="290"/>
        </w:trPr>
        <w:tc>
          <w:tcPr>
            <w:tcW w:w="2668" w:type="pct"/>
            <w:tcBorders>
              <w:top w:val="nil"/>
              <w:left w:val="nil"/>
              <w:bottom w:val="nil"/>
              <w:right w:val="nil"/>
            </w:tcBorders>
            <w:shd w:val="clear" w:color="auto" w:fill="auto"/>
            <w:noWrap/>
            <w:vAlign w:val="center"/>
            <w:hideMark/>
          </w:tcPr>
          <w:p w14:paraId="3FC91F1F" w14:textId="77777777" w:rsidR="009A05C7" w:rsidRPr="000428DB" w:rsidRDefault="009A05C7" w:rsidP="000240DA">
            <w:pPr>
              <w:spacing w:after="0" w:line="240" w:lineRule="auto"/>
              <w:jc w:val="left"/>
              <w:rPr>
                <w:rFonts w:eastAsia="Times New Roman" w:cs="Times New Roman"/>
                <w:color w:val="000000"/>
                <w:sz w:val="18"/>
                <w:szCs w:val="18"/>
                <w:lang w:eastAsia="sk-SK"/>
              </w:rPr>
            </w:pPr>
            <w:r w:rsidRPr="000428DB">
              <w:rPr>
                <w:rFonts w:eastAsia="Times New Roman" w:cs="Times New Roman"/>
                <w:color w:val="000000"/>
                <w:sz w:val="18"/>
                <w:szCs w:val="18"/>
                <w:lang w:eastAsia="sk-SK"/>
              </w:rPr>
              <w:t xml:space="preserve">     - Dane za špecifické služby</w:t>
            </w:r>
          </w:p>
        </w:tc>
        <w:tc>
          <w:tcPr>
            <w:tcW w:w="749" w:type="pct"/>
            <w:tcBorders>
              <w:top w:val="nil"/>
              <w:left w:val="nil"/>
              <w:bottom w:val="nil"/>
              <w:right w:val="nil"/>
            </w:tcBorders>
            <w:shd w:val="clear" w:color="auto" w:fill="auto"/>
            <w:noWrap/>
            <w:vAlign w:val="center"/>
            <w:hideMark/>
          </w:tcPr>
          <w:p w14:paraId="21BBACAC"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305 961</w:t>
            </w:r>
          </w:p>
        </w:tc>
        <w:tc>
          <w:tcPr>
            <w:tcW w:w="888" w:type="pct"/>
            <w:tcBorders>
              <w:top w:val="nil"/>
              <w:left w:val="nil"/>
              <w:bottom w:val="nil"/>
              <w:right w:val="nil"/>
            </w:tcBorders>
            <w:shd w:val="clear" w:color="auto" w:fill="auto"/>
            <w:noWrap/>
            <w:vAlign w:val="center"/>
            <w:hideMark/>
          </w:tcPr>
          <w:p w14:paraId="37DC161B"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354 744</w:t>
            </w:r>
          </w:p>
        </w:tc>
        <w:tc>
          <w:tcPr>
            <w:tcW w:w="695" w:type="pct"/>
            <w:tcBorders>
              <w:top w:val="nil"/>
              <w:left w:val="nil"/>
              <w:bottom w:val="nil"/>
              <w:right w:val="nil"/>
            </w:tcBorders>
            <w:shd w:val="clear" w:color="auto" w:fill="auto"/>
            <w:noWrap/>
            <w:vAlign w:val="center"/>
            <w:hideMark/>
          </w:tcPr>
          <w:p w14:paraId="1148D890"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48 783</w:t>
            </w:r>
          </w:p>
        </w:tc>
      </w:tr>
      <w:tr w:rsidR="009A05C7" w:rsidRPr="000428DB" w14:paraId="7A270C98" w14:textId="77777777" w:rsidTr="000240DA">
        <w:trPr>
          <w:trHeight w:val="460"/>
        </w:trPr>
        <w:tc>
          <w:tcPr>
            <w:tcW w:w="2668" w:type="pct"/>
            <w:tcBorders>
              <w:top w:val="nil"/>
              <w:left w:val="nil"/>
              <w:bottom w:val="nil"/>
              <w:right w:val="nil"/>
            </w:tcBorders>
            <w:shd w:val="clear" w:color="auto" w:fill="auto"/>
            <w:vAlign w:val="center"/>
            <w:hideMark/>
          </w:tcPr>
          <w:p w14:paraId="0E45A065" w14:textId="77777777" w:rsidR="009A05C7" w:rsidRPr="000428DB" w:rsidRDefault="009A05C7" w:rsidP="000240DA">
            <w:pPr>
              <w:spacing w:after="0" w:line="240" w:lineRule="auto"/>
              <w:jc w:val="left"/>
              <w:rPr>
                <w:rFonts w:eastAsia="Times New Roman" w:cs="Times New Roman"/>
                <w:color w:val="000000"/>
                <w:sz w:val="18"/>
                <w:szCs w:val="18"/>
                <w:lang w:eastAsia="sk-SK"/>
              </w:rPr>
            </w:pPr>
            <w:r w:rsidRPr="000428DB">
              <w:rPr>
                <w:rFonts w:eastAsia="Times New Roman" w:cs="Times New Roman"/>
                <w:color w:val="000000"/>
                <w:sz w:val="18"/>
                <w:szCs w:val="18"/>
                <w:lang w:eastAsia="sk-SK"/>
              </w:rPr>
              <w:lastRenderedPageBreak/>
              <w:t xml:space="preserve">      - Solidárny príspevok z činností v odvetviach ropy,     </w:t>
            </w:r>
            <w:r w:rsidRPr="000428DB">
              <w:rPr>
                <w:rFonts w:eastAsia="Times New Roman" w:cs="Times New Roman"/>
                <w:color w:val="000000"/>
                <w:sz w:val="18"/>
                <w:szCs w:val="18"/>
                <w:lang w:eastAsia="sk-SK"/>
              </w:rPr>
              <w:br/>
              <w:t xml:space="preserve">        zemného plynu, uhlia a rafinérií</w:t>
            </w:r>
          </w:p>
        </w:tc>
        <w:tc>
          <w:tcPr>
            <w:tcW w:w="749" w:type="pct"/>
            <w:tcBorders>
              <w:top w:val="nil"/>
              <w:left w:val="nil"/>
              <w:bottom w:val="nil"/>
              <w:right w:val="nil"/>
            </w:tcBorders>
            <w:shd w:val="clear" w:color="auto" w:fill="auto"/>
            <w:noWrap/>
            <w:vAlign w:val="center"/>
            <w:hideMark/>
          </w:tcPr>
          <w:p w14:paraId="2026FFD6"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227 600</w:t>
            </w:r>
          </w:p>
        </w:tc>
        <w:tc>
          <w:tcPr>
            <w:tcW w:w="888" w:type="pct"/>
            <w:tcBorders>
              <w:top w:val="nil"/>
              <w:left w:val="nil"/>
              <w:bottom w:val="nil"/>
              <w:right w:val="nil"/>
            </w:tcBorders>
            <w:shd w:val="clear" w:color="auto" w:fill="auto"/>
            <w:noWrap/>
            <w:vAlign w:val="center"/>
            <w:hideMark/>
          </w:tcPr>
          <w:p w14:paraId="1331709D"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211 422</w:t>
            </w:r>
          </w:p>
        </w:tc>
        <w:tc>
          <w:tcPr>
            <w:tcW w:w="695" w:type="pct"/>
            <w:tcBorders>
              <w:top w:val="nil"/>
              <w:left w:val="nil"/>
              <w:bottom w:val="nil"/>
              <w:right w:val="nil"/>
            </w:tcBorders>
            <w:shd w:val="clear" w:color="auto" w:fill="auto"/>
            <w:noWrap/>
            <w:vAlign w:val="center"/>
            <w:hideMark/>
          </w:tcPr>
          <w:p w14:paraId="6AB9EF87"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-16 178</w:t>
            </w:r>
          </w:p>
        </w:tc>
      </w:tr>
      <w:tr w:rsidR="009A05C7" w:rsidRPr="000428DB" w14:paraId="17086922" w14:textId="77777777" w:rsidTr="000240DA">
        <w:trPr>
          <w:trHeight w:val="290"/>
        </w:trPr>
        <w:tc>
          <w:tcPr>
            <w:tcW w:w="2668" w:type="pct"/>
            <w:tcBorders>
              <w:top w:val="nil"/>
              <w:left w:val="nil"/>
              <w:bottom w:val="nil"/>
              <w:right w:val="nil"/>
            </w:tcBorders>
            <w:shd w:val="clear" w:color="auto" w:fill="auto"/>
            <w:noWrap/>
            <w:vAlign w:val="center"/>
            <w:hideMark/>
          </w:tcPr>
          <w:p w14:paraId="471B1B67" w14:textId="77777777" w:rsidR="009A05C7" w:rsidRPr="000428DB" w:rsidRDefault="009A05C7" w:rsidP="000240DA">
            <w:pPr>
              <w:spacing w:after="0" w:line="240" w:lineRule="auto"/>
              <w:jc w:val="left"/>
              <w:rPr>
                <w:rFonts w:eastAsia="Times New Roman" w:cs="Times New Roman"/>
                <w:color w:val="000000"/>
                <w:sz w:val="18"/>
                <w:szCs w:val="18"/>
                <w:lang w:eastAsia="sk-SK"/>
              </w:rPr>
            </w:pPr>
            <w:r w:rsidRPr="000428DB">
              <w:rPr>
                <w:rFonts w:eastAsia="Times New Roman" w:cs="Times New Roman"/>
                <w:color w:val="000000"/>
                <w:sz w:val="18"/>
                <w:szCs w:val="18"/>
                <w:lang w:eastAsia="sk-SK"/>
              </w:rPr>
              <w:t xml:space="preserve">     - Ostatné</w:t>
            </w:r>
          </w:p>
        </w:tc>
        <w:tc>
          <w:tcPr>
            <w:tcW w:w="749" w:type="pct"/>
            <w:tcBorders>
              <w:top w:val="nil"/>
              <w:left w:val="nil"/>
              <w:bottom w:val="nil"/>
              <w:right w:val="nil"/>
            </w:tcBorders>
            <w:shd w:val="clear" w:color="auto" w:fill="auto"/>
            <w:noWrap/>
            <w:vAlign w:val="center"/>
            <w:hideMark/>
          </w:tcPr>
          <w:p w14:paraId="75F725BE"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180 384</w:t>
            </w:r>
          </w:p>
        </w:tc>
        <w:tc>
          <w:tcPr>
            <w:tcW w:w="888" w:type="pct"/>
            <w:tcBorders>
              <w:top w:val="nil"/>
              <w:left w:val="nil"/>
              <w:bottom w:val="single" w:sz="4" w:space="0" w:color="auto"/>
              <w:right w:val="nil"/>
            </w:tcBorders>
            <w:shd w:val="clear" w:color="auto" w:fill="auto"/>
            <w:noWrap/>
            <w:vAlign w:val="center"/>
            <w:hideMark/>
          </w:tcPr>
          <w:p w14:paraId="256FD65F"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192 305</w:t>
            </w:r>
          </w:p>
        </w:tc>
        <w:tc>
          <w:tcPr>
            <w:tcW w:w="695" w:type="pct"/>
            <w:tcBorders>
              <w:top w:val="nil"/>
              <w:left w:val="nil"/>
              <w:bottom w:val="nil"/>
              <w:right w:val="nil"/>
            </w:tcBorders>
            <w:shd w:val="clear" w:color="auto" w:fill="auto"/>
            <w:noWrap/>
            <w:vAlign w:val="center"/>
            <w:hideMark/>
          </w:tcPr>
          <w:p w14:paraId="4E7FC72A"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11 921</w:t>
            </w:r>
          </w:p>
        </w:tc>
      </w:tr>
      <w:tr w:rsidR="009A05C7" w:rsidRPr="000428DB" w14:paraId="1F55C9DA" w14:textId="77777777" w:rsidTr="000240DA">
        <w:trPr>
          <w:trHeight w:val="290"/>
        </w:trPr>
        <w:tc>
          <w:tcPr>
            <w:tcW w:w="2668" w:type="pct"/>
            <w:tcBorders>
              <w:top w:val="single" w:sz="4" w:space="0" w:color="auto"/>
              <w:left w:val="nil"/>
              <w:bottom w:val="single" w:sz="4" w:space="0" w:color="auto"/>
              <w:right w:val="nil"/>
            </w:tcBorders>
            <w:shd w:val="clear" w:color="auto" w:fill="auto"/>
            <w:noWrap/>
            <w:vAlign w:val="center"/>
            <w:hideMark/>
          </w:tcPr>
          <w:p w14:paraId="38B5ECC8" w14:textId="77777777" w:rsidR="009A05C7" w:rsidRPr="000428DB" w:rsidRDefault="009A05C7" w:rsidP="000240DA">
            <w:pPr>
              <w:spacing w:after="0" w:line="240" w:lineRule="auto"/>
              <w:jc w:val="left"/>
              <w:rPr>
                <w:rFonts w:eastAsia="Times New Roman" w:cs="Times New Roman"/>
                <w:b/>
                <w:bCs/>
                <w:color w:val="000000"/>
                <w:sz w:val="18"/>
                <w:szCs w:val="18"/>
                <w:lang w:eastAsia="sk-SK"/>
              </w:rPr>
            </w:pPr>
            <w:r w:rsidRPr="000428DB">
              <w:rPr>
                <w:rFonts w:eastAsia="Times New Roman" w:cs="Times New Roman"/>
                <w:b/>
                <w:bCs/>
                <w:color w:val="000000"/>
                <w:sz w:val="18"/>
                <w:szCs w:val="18"/>
                <w:lang w:eastAsia="sk-SK"/>
              </w:rPr>
              <w:t>Daňové príjmy</w:t>
            </w:r>
          </w:p>
        </w:tc>
        <w:tc>
          <w:tcPr>
            <w:tcW w:w="749" w:type="pct"/>
            <w:tcBorders>
              <w:top w:val="single" w:sz="4" w:space="0" w:color="auto"/>
              <w:left w:val="nil"/>
              <w:bottom w:val="single" w:sz="4" w:space="0" w:color="auto"/>
              <w:right w:val="nil"/>
            </w:tcBorders>
            <w:shd w:val="clear" w:color="auto" w:fill="auto"/>
            <w:noWrap/>
            <w:vAlign w:val="center"/>
            <w:hideMark/>
          </w:tcPr>
          <w:p w14:paraId="36498DAC" w14:textId="77777777" w:rsidR="009A05C7" w:rsidRPr="000428DB" w:rsidRDefault="009A05C7" w:rsidP="000240DA">
            <w:pPr>
              <w:spacing w:after="0" w:line="240" w:lineRule="auto"/>
              <w:jc w:val="right"/>
              <w:rPr>
                <w:rFonts w:eastAsia="Times New Roman" w:cs="Times New Roman"/>
                <w:b/>
                <w:bCs/>
                <w:color w:val="000000"/>
                <w:sz w:val="18"/>
                <w:szCs w:val="18"/>
                <w:lang w:eastAsia="sk-SK"/>
              </w:rPr>
            </w:pPr>
            <w:r w:rsidRPr="000428DB">
              <w:rPr>
                <w:rFonts w:eastAsia="Times New Roman" w:cs="Times New Roman"/>
                <w:b/>
                <w:bCs/>
                <w:color w:val="000000"/>
                <w:sz w:val="18"/>
                <w:szCs w:val="18"/>
                <w:lang w:eastAsia="sk-SK"/>
              </w:rPr>
              <w:t>24 531 469</w:t>
            </w:r>
          </w:p>
        </w:tc>
        <w:tc>
          <w:tcPr>
            <w:tcW w:w="888" w:type="pct"/>
            <w:tcBorders>
              <w:top w:val="single" w:sz="4" w:space="0" w:color="auto"/>
              <w:left w:val="nil"/>
              <w:bottom w:val="single" w:sz="4" w:space="0" w:color="auto"/>
              <w:right w:val="nil"/>
            </w:tcBorders>
            <w:shd w:val="clear" w:color="auto" w:fill="auto"/>
            <w:noWrap/>
            <w:vAlign w:val="center"/>
            <w:hideMark/>
          </w:tcPr>
          <w:p w14:paraId="3ECCD13B" w14:textId="77777777" w:rsidR="009A05C7" w:rsidRPr="000428DB" w:rsidRDefault="009A05C7" w:rsidP="000240DA">
            <w:pPr>
              <w:spacing w:after="0" w:line="240" w:lineRule="auto"/>
              <w:jc w:val="right"/>
              <w:rPr>
                <w:rFonts w:eastAsia="Times New Roman" w:cs="Times New Roman"/>
                <w:b/>
                <w:bCs/>
                <w:color w:val="000000"/>
                <w:sz w:val="18"/>
                <w:szCs w:val="18"/>
                <w:lang w:eastAsia="sk-SK"/>
              </w:rPr>
            </w:pPr>
            <w:r w:rsidRPr="00DB246B">
              <w:rPr>
                <w:rFonts w:eastAsia="Times New Roman" w:cs="Times New Roman"/>
                <w:b/>
                <w:bCs/>
                <w:color w:val="000000"/>
                <w:sz w:val="18"/>
                <w:szCs w:val="18"/>
                <w:lang w:eastAsia="sk-SK"/>
              </w:rPr>
              <w:t>24 585 559</w:t>
            </w:r>
          </w:p>
        </w:tc>
        <w:tc>
          <w:tcPr>
            <w:tcW w:w="695" w:type="pct"/>
            <w:tcBorders>
              <w:top w:val="single" w:sz="4" w:space="0" w:color="auto"/>
              <w:left w:val="nil"/>
              <w:bottom w:val="single" w:sz="4" w:space="0" w:color="auto"/>
              <w:right w:val="nil"/>
            </w:tcBorders>
            <w:shd w:val="clear" w:color="auto" w:fill="auto"/>
            <w:noWrap/>
            <w:vAlign w:val="center"/>
            <w:hideMark/>
          </w:tcPr>
          <w:p w14:paraId="5283A4CA" w14:textId="77777777" w:rsidR="009A05C7" w:rsidRPr="000428DB" w:rsidRDefault="009A05C7" w:rsidP="000240DA">
            <w:pPr>
              <w:spacing w:after="0" w:line="240" w:lineRule="auto"/>
              <w:jc w:val="right"/>
              <w:rPr>
                <w:rFonts w:eastAsia="Times New Roman" w:cs="Times New Roman"/>
                <w:b/>
                <w:bCs/>
                <w:color w:val="000000"/>
                <w:sz w:val="18"/>
                <w:szCs w:val="18"/>
                <w:lang w:eastAsia="sk-SK"/>
              </w:rPr>
            </w:pPr>
            <w:r w:rsidRPr="000428DB">
              <w:rPr>
                <w:rFonts w:eastAsia="Times New Roman" w:cs="Times New Roman"/>
                <w:b/>
                <w:bCs/>
                <w:color w:val="000000"/>
                <w:sz w:val="18"/>
                <w:szCs w:val="18"/>
                <w:lang w:eastAsia="sk-SK"/>
              </w:rPr>
              <w:t>54 090</w:t>
            </w:r>
          </w:p>
        </w:tc>
      </w:tr>
      <w:tr w:rsidR="009A05C7" w:rsidRPr="000428DB" w14:paraId="01B1AA86" w14:textId="77777777" w:rsidTr="000240DA">
        <w:trPr>
          <w:trHeight w:val="315"/>
        </w:trPr>
        <w:tc>
          <w:tcPr>
            <w:tcW w:w="2668" w:type="pct"/>
            <w:tcBorders>
              <w:top w:val="nil"/>
              <w:left w:val="nil"/>
              <w:bottom w:val="nil"/>
              <w:right w:val="nil"/>
            </w:tcBorders>
            <w:shd w:val="clear" w:color="auto" w:fill="auto"/>
            <w:noWrap/>
            <w:vAlign w:val="center"/>
            <w:hideMark/>
          </w:tcPr>
          <w:p w14:paraId="392D7C53" w14:textId="77777777" w:rsidR="009A05C7" w:rsidRPr="000428DB" w:rsidRDefault="009A05C7" w:rsidP="000240DA">
            <w:pPr>
              <w:spacing w:after="0" w:line="240" w:lineRule="auto"/>
              <w:jc w:val="left"/>
              <w:rPr>
                <w:rFonts w:eastAsia="Times New Roman" w:cs="Times New Roman"/>
                <w:color w:val="000000"/>
                <w:sz w:val="18"/>
                <w:szCs w:val="18"/>
                <w:lang w:eastAsia="sk-SK"/>
              </w:rPr>
            </w:pPr>
            <w:r w:rsidRPr="000428DB">
              <w:rPr>
                <w:rFonts w:eastAsia="Times New Roman" w:cs="Times New Roman"/>
                <w:color w:val="000000"/>
                <w:sz w:val="18"/>
                <w:szCs w:val="18"/>
                <w:lang w:eastAsia="sk-SK"/>
              </w:rPr>
              <w:t>Sociálne odvody (EAO + dlžné)</w:t>
            </w:r>
            <w:r w:rsidRPr="000428DB">
              <w:rPr>
                <w:rFonts w:eastAsia="Times New Roman" w:cs="Times New Roman"/>
                <w:color w:val="000000"/>
                <w:sz w:val="18"/>
                <w:szCs w:val="18"/>
                <w:vertAlign w:val="superscript"/>
                <w:lang w:eastAsia="sk-SK"/>
              </w:rPr>
              <w:t>2</w:t>
            </w:r>
          </w:p>
        </w:tc>
        <w:tc>
          <w:tcPr>
            <w:tcW w:w="749" w:type="pct"/>
            <w:tcBorders>
              <w:top w:val="nil"/>
              <w:left w:val="nil"/>
              <w:bottom w:val="nil"/>
              <w:right w:val="nil"/>
            </w:tcBorders>
            <w:shd w:val="clear" w:color="auto" w:fill="auto"/>
            <w:noWrap/>
            <w:vAlign w:val="center"/>
            <w:hideMark/>
          </w:tcPr>
          <w:p w14:paraId="2107449C"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11 300 511</w:t>
            </w:r>
          </w:p>
        </w:tc>
        <w:tc>
          <w:tcPr>
            <w:tcW w:w="888" w:type="pct"/>
            <w:tcBorders>
              <w:top w:val="nil"/>
              <w:left w:val="nil"/>
              <w:bottom w:val="nil"/>
              <w:right w:val="nil"/>
            </w:tcBorders>
            <w:shd w:val="clear" w:color="auto" w:fill="auto"/>
            <w:noWrap/>
            <w:vAlign w:val="center"/>
            <w:hideMark/>
          </w:tcPr>
          <w:p w14:paraId="2EDFE0F3"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11 327 035</w:t>
            </w:r>
          </w:p>
        </w:tc>
        <w:tc>
          <w:tcPr>
            <w:tcW w:w="695" w:type="pct"/>
            <w:tcBorders>
              <w:top w:val="nil"/>
              <w:left w:val="nil"/>
              <w:bottom w:val="nil"/>
              <w:right w:val="nil"/>
            </w:tcBorders>
            <w:shd w:val="clear" w:color="auto" w:fill="auto"/>
            <w:noWrap/>
            <w:vAlign w:val="center"/>
            <w:hideMark/>
          </w:tcPr>
          <w:p w14:paraId="5DC5A0AB"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26 524</w:t>
            </w:r>
          </w:p>
        </w:tc>
      </w:tr>
      <w:tr w:rsidR="009A05C7" w:rsidRPr="000428DB" w14:paraId="35C4E481" w14:textId="77777777" w:rsidTr="000240DA">
        <w:trPr>
          <w:trHeight w:val="315"/>
        </w:trPr>
        <w:tc>
          <w:tcPr>
            <w:tcW w:w="2668" w:type="pct"/>
            <w:tcBorders>
              <w:top w:val="nil"/>
              <w:left w:val="nil"/>
              <w:bottom w:val="single" w:sz="4" w:space="0" w:color="auto"/>
              <w:right w:val="nil"/>
            </w:tcBorders>
            <w:shd w:val="clear" w:color="auto" w:fill="auto"/>
            <w:noWrap/>
            <w:vAlign w:val="center"/>
            <w:hideMark/>
          </w:tcPr>
          <w:p w14:paraId="17E78776" w14:textId="77777777" w:rsidR="009A05C7" w:rsidRPr="000428DB" w:rsidRDefault="009A05C7" w:rsidP="000240DA">
            <w:pPr>
              <w:spacing w:after="0" w:line="240" w:lineRule="auto"/>
              <w:jc w:val="left"/>
              <w:rPr>
                <w:rFonts w:eastAsia="Times New Roman" w:cs="Times New Roman"/>
                <w:color w:val="000000"/>
                <w:sz w:val="18"/>
                <w:szCs w:val="18"/>
                <w:lang w:eastAsia="sk-SK"/>
              </w:rPr>
            </w:pPr>
            <w:r w:rsidRPr="000428DB">
              <w:rPr>
                <w:rFonts w:eastAsia="Times New Roman" w:cs="Times New Roman"/>
                <w:color w:val="000000"/>
                <w:sz w:val="18"/>
                <w:szCs w:val="18"/>
                <w:lang w:eastAsia="sk-SK"/>
              </w:rPr>
              <w:t>Zdravotné odvody (EAO + dlžné)</w:t>
            </w:r>
            <w:r w:rsidRPr="000428DB">
              <w:rPr>
                <w:rFonts w:eastAsia="Times New Roman" w:cs="Times New Roman"/>
                <w:color w:val="000000"/>
                <w:sz w:val="18"/>
                <w:szCs w:val="18"/>
                <w:vertAlign w:val="superscript"/>
                <w:lang w:eastAsia="sk-SK"/>
              </w:rPr>
              <w:t>3</w:t>
            </w:r>
          </w:p>
        </w:tc>
        <w:tc>
          <w:tcPr>
            <w:tcW w:w="749" w:type="pct"/>
            <w:tcBorders>
              <w:top w:val="nil"/>
              <w:left w:val="nil"/>
              <w:bottom w:val="single" w:sz="4" w:space="0" w:color="auto"/>
              <w:right w:val="nil"/>
            </w:tcBorders>
            <w:shd w:val="clear" w:color="auto" w:fill="auto"/>
            <w:noWrap/>
            <w:vAlign w:val="center"/>
            <w:hideMark/>
          </w:tcPr>
          <w:p w14:paraId="284476DD"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5 978 605</w:t>
            </w:r>
          </w:p>
        </w:tc>
        <w:tc>
          <w:tcPr>
            <w:tcW w:w="888" w:type="pct"/>
            <w:tcBorders>
              <w:top w:val="nil"/>
              <w:left w:val="nil"/>
              <w:bottom w:val="single" w:sz="4" w:space="0" w:color="auto"/>
              <w:right w:val="nil"/>
            </w:tcBorders>
            <w:shd w:val="clear" w:color="auto" w:fill="auto"/>
            <w:noWrap/>
            <w:vAlign w:val="center"/>
            <w:hideMark/>
          </w:tcPr>
          <w:p w14:paraId="6590C138"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5 957 980</w:t>
            </w:r>
          </w:p>
        </w:tc>
        <w:tc>
          <w:tcPr>
            <w:tcW w:w="695" w:type="pct"/>
            <w:tcBorders>
              <w:top w:val="nil"/>
              <w:left w:val="nil"/>
              <w:bottom w:val="single" w:sz="4" w:space="0" w:color="auto"/>
              <w:right w:val="nil"/>
            </w:tcBorders>
            <w:shd w:val="clear" w:color="auto" w:fill="auto"/>
            <w:noWrap/>
            <w:vAlign w:val="center"/>
            <w:hideMark/>
          </w:tcPr>
          <w:p w14:paraId="7D515F60" w14:textId="77777777" w:rsidR="009A05C7" w:rsidRPr="000428DB" w:rsidRDefault="009A05C7" w:rsidP="000240DA">
            <w:pPr>
              <w:spacing w:after="0" w:line="240" w:lineRule="auto"/>
              <w:jc w:val="right"/>
              <w:rPr>
                <w:rFonts w:eastAsia="Times New Roman" w:cs="Times New Roman"/>
                <w:color w:val="000000"/>
                <w:sz w:val="18"/>
                <w:szCs w:val="18"/>
                <w:lang w:eastAsia="sk-SK"/>
              </w:rPr>
            </w:pPr>
            <w:r w:rsidRPr="000428DB">
              <w:rPr>
                <w:rFonts w:eastAsia="Times New Roman" w:cs="Times New Roman"/>
                <w:color w:val="000000"/>
                <w:sz w:val="18"/>
                <w:szCs w:val="18"/>
                <w:lang w:eastAsia="sk-SK"/>
              </w:rPr>
              <w:t>-20 625</w:t>
            </w:r>
          </w:p>
        </w:tc>
      </w:tr>
      <w:tr w:rsidR="009A05C7" w:rsidRPr="000428DB" w14:paraId="5014B718" w14:textId="77777777" w:rsidTr="000240DA">
        <w:trPr>
          <w:trHeight w:val="290"/>
        </w:trPr>
        <w:tc>
          <w:tcPr>
            <w:tcW w:w="2668" w:type="pct"/>
            <w:tcBorders>
              <w:top w:val="single" w:sz="4" w:space="0" w:color="auto"/>
              <w:left w:val="nil"/>
              <w:bottom w:val="single" w:sz="4" w:space="0" w:color="auto"/>
              <w:right w:val="nil"/>
            </w:tcBorders>
            <w:shd w:val="clear" w:color="auto" w:fill="auto"/>
            <w:noWrap/>
            <w:vAlign w:val="center"/>
            <w:hideMark/>
          </w:tcPr>
          <w:p w14:paraId="5D7F01CD" w14:textId="77777777" w:rsidR="009A05C7" w:rsidRPr="000428DB" w:rsidRDefault="009A05C7" w:rsidP="000240DA">
            <w:pPr>
              <w:spacing w:after="0" w:line="240" w:lineRule="auto"/>
              <w:jc w:val="left"/>
              <w:rPr>
                <w:rFonts w:eastAsia="Times New Roman" w:cs="Times New Roman"/>
                <w:b/>
                <w:bCs/>
                <w:color w:val="000000"/>
                <w:sz w:val="18"/>
                <w:szCs w:val="18"/>
                <w:lang w:eastAsia="sk-SK"/>
              </w:rPr>
            </w:pPr>
            <w:r w:rsidRPr="000428DB">
              <w:rPr>
                <w:rFonts w:eastAsia="Times New Roman" w:cs="Times New Roman"/>
                <w:b/>
                <w:bCs/>
                <w:color w:val="000000"/>
                <w:sz w:val="18"/>
                <w:szCs w:val="18"/>
                <w:lang w:eastAsia="sk-SK"/>
              </w:rPr>
              <w:t xml:space="preserve">Fondy sociálneho zabezpečenia </w:t>
            </w:r>
          </w:p>
        </w:tc>
        <w:tc>
          <w:tcPr>
            <w:tcW w:w="749" w:type="pct"/>
            <w:tcBorders>
              <w:top w:val="single" w:sz="4" w:space="0" w:color="auto"/>
              <w:left w:val="nil"/>
              <w:bottom w:val="single" w:sz="4" w:space="0" w:color="auto"/>
              <w:right w:val="nil"/>
            </w:tcBorders>
            <w:shd w:val="clear" w:color="auto" w:fill="auto"/>
            <w:noWrap/>
            <w:vAlign w:val="center"/>
            <w:hideMark/>
          </w:tcPr>
          <w:p w14:paraId="6C75069D" w14:textId="77777777" w:rsidR="009A05C7" w:rsidRPr="000428DB" w:rsidRDefault="009A05C7" w:rsidP="000240DA">
            <w:pPr>
              <w:spacing w:after="0" w:line="240" w:lineRule="auto"/>
              <w:jc w:val="right"/>
              <w:rPr>
                <w:rFonts w:eastAsia="Times New Roman" w:cs="Times New Roman"/>
                <w:b/>
                <w:bCs/>
                <w:color w:val="000000"/>
                <w:sz w:val="18"/>
                <w:szCs w:val="18"/>
                <w:lang w:eastAsia="sk-SK"/>
              </w:rPr>
            </w:pPr>
            <w:r w:rsidRPr="000428DB">
              <w:rPr>
                <w:rFonts w:eastAsia="Times New Roman" w:cs="Times New Roman"/>
                <w:b/>
                <w:bCs/>
                <w:color w:val="000000"/>
                <w:sz w:val="18"/>
                <w:szCs w:val="18"/>
                <w:lang w:eastAsia="sk-SK"/>
              </w:rPr>
              <w:t>17 279 116</w:t>
            </w:r>
          </w:p>
        </w:tc>
        <w:tc>
          <w:tcPr>
            <w:tcW w:w="888" w:type="pct"/>
            <w:tcBorders>
              <w:top w:val="single" w:sz="4" w:space="0" w:color="auto"/>
              <w:left w:val="nil"/>
              <w:bottom w:val="single" w:sz="4" w:space="0" w:color="auto"/>
              <w:right w:val="nil"/>
            </w:tcBorders>
            <w:shd w:val="clear" w:color="auto" w:fill="auto"/>
            <w:noWrap/>
            <w:vAlign w:val="center"/>
            <w:hideMark/>
          </w:tcPr>
          <w:p w14:paraId="608B9983" w14:textId="77777777" w:rsidR="009A05C7" w:rsidRPr="000428DB" w:rsidRDefault="009A05C7" w:rsidP="000240DA">
            <w:pPr>
              <w:spacing w:after="0" w:line="240" w:lineRule="auto"/>
              <w:jc w:val="right"/>
              <w:rPr>
                <w:rFonts w:eastAsia="Times New Roman" w:cs="Times New Roman"/>
                <w:b/>
                <w:bCs/>
                <w:color w:val="000000"/>
                <w:sz w:val="18"/>
                <w:szCs w:val="18"/>
                <w:lang w:eastAsia="sk-SK"/>
              </w:rPr>
            </w:pPr>
            <w:r w:rsidRPr="000428DB">
              <w:rPr>
                <w:rFonts w:eastAsia="Times New Roman" w:cs="Times New Roman"/>
                <w:b/>
                <w:bCs/>
                <w:color w:val="000000"/>
                <w:sz w:val="18"/>
                <w:szCs w:val="18"/>
                <w:lang w:eastAsia="sk-SK"/>
              </w:rPr>
              <w:t>17 285 015</w:t>
            </w:r>
          </w:p>
        </w:tc>
        <w:tc>
          <w:tcPr>
            <w:tcW w:w="695" w:type="pct"/>
            <w:tcBorders>
              <w:top w:val="single" w:sz="4" w:space="0" w:color="auto"/>
              <w:left w:val="nil"/>
              <w:bottom w:val="single" w:sz="4" w:space="0" w:color="auto"/>
              <w:right w:val="nil"/>
            </w:tcBorders>
            <w:shd w:val="clear" w:color="auto" w:fill="auto"/>
            <w:noWrap/>
            <w:vAlign w:val="center"/>
            <w:hideMark/>
          </w:tcPr>
          <w:p w14:paraId="668D26C1" w14:textId="77777777" w:rsidR="009A05C7" w:rsidRPr="000428DB" w:rsidRDefault="009A05C7" w:rsidP="000240DA">
            <w:pPr>
              <w:spacing w:after="0" w:line="240" w:lineRule="auto"/>
              <w:jc w:val="right"/>
              <w:rPr>
                <w:rFonts w:eastAsia="Times New Roman" w:cs="Times New Roman"/>
                <w:b/>
                <w:bCs/>
                <w:color w:val="000000"/>
                <w:sz w:val="18"/>
                <w:szCs w:val="18"/>
                <w:lang w:eastAsia="sk-SK"/>
              </w:rPr>
            </w:pPr>
            <w:r w:rsidRPr="000428DB">
              <w:rPr>
                <w:rFonts w:eastAsia="Times New Roman" w:cs="Times New Roman"/>
                <w:b/>
                <w:bCs/>
                <w:color w:val="000000"/>
                <w:sz w:val="18"/>
                <w:szCs w:val="18"/>
                <w:lang w:eastAsia="sk-SK"/>
              </w:rPr>
              <w:t>5 899</w:t>
            </w:r>
          </w:p>
        </w:tc>
      </w:tr>
      <w:tr w:rsidR="009A05C7" w:rsidRPr="000428DB" w14:paraId="4440B104" w14:textId="77777777" w:rsidTr="000240DA">
        <w:trPr>
          <w:trHeight w:val="290"/>
        </w:trPr>
        <w:tc>
          <w:tcPr>
            <w:tcW w:w="2668" w:type="pct"/>
            <w:tcBorders>
              <w:top w:val="single" w:sz="4" w:space="0" w:color="auto"/>
              <w:left w:val="nil"/>
              <w:bottom w:val="single" w:sz="4" w:space="0" w:color="auto"/>
              <w:right w:val="nil"/>
            </w:tcBorders>
            <w:shd w:val="clear" w:color="auto" w:fill="auto"/>
            <w:noWrap/>
            <w:vAlign w:val="center"/>
            <w:hideMark/>
          </w:tcPr>
          <w:p w14:paraId="45C0ECA9" w14:textId="77777777" w:rsidR="009A05C7" w:rsidRPr="000428DB" w:rsidRDefault="009A05C7" w:rsidP="000240DA">
            <w:pPr>
              <w:spacing w:after="0" w:line="240" w:lineRule="auto"/>
              <w:jc w:val="left"/>
              <w:rPr>
                <w:rFonts w:eastAsia="Times New Roman" w:cs="Times New Roman"/>
                <w:b/>
                <w:bCs/>
                <w:color w:val="000000"/>
                <w:sz w:val="18"/>
                <w:szCs w:val="18"/>
                <w:lang w:eastAsia="sk-SK"/>
              </w:rPr>
            </w:pPr>
            <w:r w:rsidRPr="000428DB">
              <w:rPr>
                <w:rFonts w:eastAsia="Times New Roman" w:cs="Times New Roman"/>
                <w:b/>
                <w:bCs/>
                <w:color w:val="000000"/>
                <w:sz w:val="18"/>
                <w:szCs w:val="18"/>
                <w:lang w:eastAsia="sk-SK"/>
              </w:rPr>
              <w:t>Daňové a odvodové príjmy spolu</w:t>
            </w:r>
          </w:p>
        </w:tc>
        <w:tc>
          <w:tcPr>
            <w:tcW w:w="749" w:type="pct"/>
            <w:tcBorders>
              <w:top w:val="single" w:sz="4" w:space="0" w:color="auto"/>
              <w:left w:val="nil"/>
              <w:bottom w:val="single" w:sz="4" w:space="0" w:color="auto"/>
              <w:right w:val="nil"/>
            </w:tcBorders>
            <w:shd w:val="clear" w:color="auto" w:fill="auto"/>
            <w:noWrap/>
            <w:vAlign w:val="center"/>
            <w:hideMark/>
          </w:tcPr>
          <w:p w14:paraId="1543DA2D" w14:textId="77777777" w:rsidR="009A05C7" w:rsidRPr="000428DB" w:rsidRDefault="009A05C7" w:rsidP="000240DA">
            <w:pPr>
              <w:spacing w:after="0" w:line="240" w:lineRule="auto"/>
              <w:jc w:val="right"/>
              <w:rPr>
                <w:rFonts w:eastAsia="Times New Roman" w:cs="Times New Roman"/>
                <w:b/>
                <w:bCs/>
                <w:color w:val="000000"/>
                <w:sz w:val="18"/>
                <w:szCs w:val="18"/>
                <w:lang w:eastAsia="sk-SK"/>
              </w:rPr>
            </w:pPr>
            <w:r w:rsidRPr="000428DB">
              <w:rPr>
                <w:rFonts w:eastAsia="Times New Roman" w:cs="Times New Roman"/>
                <w:b/>
                <w:bCs/>
                <w:color w:val="000000"/>
                <w:sz w:val="18"/>
                <w:szCs w:val="18"/>
                <w:lang w:eastAsia="sk-SK"/>
              </w:rPr>
              <w:t>41 810 585</w:t>
            </w:r>
          </w:p>
        </w:tc>
        <w:tc>
          <w:tcPr>
            <w:tcW w:w="888" w:type="pct"/>
            <w:tcBorders>
              <w:top w:val="single" w:sz="4" w:space="0" w:color="auto"/>
              <w:left w:val="nil"/>
              <w:bottom w:val="single" w:sz="4" w:space="0" w:color="auto"/>
              <w:right w:val="nil"/>
            </w:tcBorders>
            <w:shd w:val="clear" w:color="auto" w:fill="auto"/>
            <w:noWrap/>
            <w:vAlign w:val="center"/>
            <w:hideMark/>
          </w:tcPr>
          <w:p w14:paraId="6715AE76" w14:textId="77777777" w:rsidR="009A05C7" w:rsidRPr="000428DB" w:rsidRDefault="009A05C7" w:rsidP="000240DA">
            <w:pPr>
              <w:spacing w:after="0" w:line="240" w:lineRule="auto"/>
              <w:jc w:val="right"/>
              <w:rPr>
                <w:rFonts w:eastAsia="Times New Roman" w:cs="Times New Roman"/>
                <w:b/>
                <w:bCs/>
                <w:color w:val="000000"/>
                <w:sz w:val="18"/>
                <w:szCs w:val="18"/>
                <w:lang w:eastAsia="sk-SK"/>
              </w:rPr>
            </w:pPr>
            <w:r w:rsidRPr="000428DB">
              <w:rPr>
                <w:rFonts w:eastAsia="Times New Roman" w:cs="Times New Roman"/>
                <w:b/>
                <w:bCs/>
                <w:color w:val="000000"/>
                <w:sz w:val="18"/>
                <w:szCs w:val="18"/>
                <w:lang w:eastAsia="sk-SK"/>
              </w:rPr>
              <w:t>41 870 574</w:t>
            </w:r>
          </w:p>
        </w:tc>
        <w:tc>
          <w:tcPr>
            <w:tcW w:w="695" w:type="pct"/>
            <w:tcBorders>
              <w:top w:val="single" w:sz="4" w:space="0" w:color="auto"/>
              <w:left w:val="nil"/>
              <w:bottom w:val="single" w:sz="4" w:space="0" w:color="auto"/>
              <w:right w:val="nil"/>
            </w:tcBorders>
            <w:shd w:val="clear" w:color="auto" w:fill="auto"/>
            <w:noWrap/>
            <w:vAlign w:val="center"/>
            <w:hideMark/>
          </w:tcPr>
          <w:p w14:paraId="45D2D4F6" w14:textId="77777777" w:rsidR="009A05C7" w:rsidRPr="000428DB" w:rsidRDefault="009A05C7" w:rsidP="000240DA">
            <w:pPr>
              <w:spacing w:after="0" w:line="240" w:lineRule="auto"/>
              <w:jc w:val="right"/>
              <w:rPr>
                <w:rFonts w:eastAsia="Times New Roman" w:cs="Times New Roman"/>
                <w:b/>
                <w:bCs/>
                <w:color w:val="000000"/>
                <w:sz w:val="18"/>
                <w:szCs w:val="18"/>
                <w:lang w:eastAsia="sk-SK"/>
              </w:rPr>
            </w:pPr>
            <w:r w:rsidRPr="000428DB">
              <w:rPr>
                <w:rFonts w:eastAsia="Times New Roman" w:cs="Times New Roman"/>
                <w:b/>
                <w:bCs/>
                <w:color w:val="000000"/>
                <w:sz w:val="18"/>
                <w:szCs w:val="18"/>
                <w:lang w:eastAsia="sk-SK"/>
              </w:rPr>
              <w:t>59 989</w:t>
            </w:r>
          </w:p>
        </w:tc>
      </w:tr>
    </w:tbl>
    <w:p w14:paraId="00D3C385" w14:textId="6BFCB4AC" w:rsidR="009A05C7" w:rsidRPr="00C171ED" w:rsidRDefault="009A05C7" w:rsidP="009A05C7">
      <w:pPr>
        <w:keepNext/>
        <w:spacing w:after="0" w:line="240" w:lineRule="auto"/>
        <w:ind w:right="142"/>
        <w:rPr>
          <w:sz w:val="18"/>
          <w:szCs w:val="18"/>
        </w:rPr>
      </w:pPr>
      <w:r w:rsidRPr="00C171ED">
        <w:rPr>
          <w:sz w:val="18"/>
          <w:szCs w:val="18"/>
          <w:vertAlign w:val="superscript"/>
        </w:rPr>
        <w:footnoteRef/>
      </w:r>
      <w:r w:rsidRPr="00C171ED">
        <w:rPr>
          <w:sz w:val="18"/>
          <w:szCs w:val="18"/>
        </w:rPr>
        <w:t xml:space="preserve"> Bez vplyvu zelenej energie.</w:t>
      </w:r>
      <w:r w:rsidRPr="00C171ED">
        <w:rPr>
          <w:sz w:val="18"/>
          <w:szCs w:val="18"/>
        </w:rPr>
        <w:tab/>
      </w:r>
      <w:r w:rsidRPr="00C171ED">
        <w:rPr>
          <w:sz w:val="18"/>
          <w:szCs w:val="18"/>
        </w:rPr>
        <w:tab/>
      </w:r>
      <w:r w:rsidRPr="00C171ED">
        <w:rPr>
          <w:sz w:val="18"/>
          <w:szCs w:val="18"/>
        </w:rPr>
        <w:tab/>
        <w:t xml:space="preserve">                                                                             </w:t>
      </w:r>
      <w:r w:rsidR="00091E03">
        <w:rPr>
          <w:sz w:val="18"/>
          <w:szCs w:val="18"/>
        </w:rPr>
        <w:t xml:space="preserve">       </w:t>
      </w:r>
      <w:r w:rsidRPr="00C171ED">
        <w:rPr>
          <w:sz w:val="18"/>
          <w:szCs w:val="18"/>
        </w:rPr>
        <w:t xml:space="preserve"> </w:t>
      </w:r>
      <w:r w:rsidRPr="00C171ED">
        <w:rPr>
          <w:rFonts w:cs="Times New Roman"/>
          <w:sz w:val="18"/>
          <w:szCs w:val="18"/>
        </w:rPr>
        <w:t>Zdroj: IFP, MF SR</w:t>
      </w:r>
    </w:p>
    <w:p w14:paraId="5700695B" w14:textId="77777777" w:rsidR="009A05C7" w:rsidRPr="00C171ED" w:rsidRDefault="009A05C7" w:rsidP="009A05C7">
      <w:pPr>
        <w:spacing w:after="0" w:line="240" w:lineRule="auto"/>
        <w:rPr>
          <w:sz w:val="18"/>
          <w:szCs w:val="18"/>
        </w:rPr>
      </w:pPr>
      <w:r w:rsidRPr="00C171ED">
        <w:rPr>
          <w:sz w:val="18"/>
          <w:szCs w:val="18"/>
          <w:vertAlign w:val="superscript"/>
        </w:rPr>
        <w:t>2</w:t>
      </w:r>
      <w:r w:rsidRPr="00C171ED">
        <w:rPr>
          <w:sz w:val="18"/>
          <w:szCs w:val="18"/>
        </w:rPr>
        <w:t xml:space="preserve"> Príspevky na sociálne zabezpečenie, neobsahujú okrem štátom plateného poistného aj príjmy z odvodov za ozbrojené zložky, penále a imputované poistné.</w:t>
      </w:r>
    </w:p>
    <w:p w14:paraId="45D6B00F" w14:textId="77777777" w:rsidR="009A05C7" w:rsidRPr="00AD12E2" w:rsidRDefault="009A05C7" w:rsidP="009A05C7">
      <w:pPr>
        <w:spacing w:after="0" w:line="240" w:lineRule="auto"/>
        <w:rPr>
          <w:sz w:val="18"/>
          <w:szCs w:val="18"/>
          <w:highlight w:val="yellow"/>
        </w:rPr>
      </w:pPr>
      <w:r w:rsidRPr="00C171ED">
        <w:rPr>
          <w:sz w:val="18"/>
          <w:szCs w:val="18"/>
          <w:vertAlign w:val="superscript"/>
        </w:rPr>
        <w:t xml:space="preserve">3 </w:t>
      </w:r>
      <w:r w:rsidRPr="00C171ED">
        <w:rPr>
          <w:sz w:val="18"/>
          <w:szCs w:val="18"/>
        </w:rPr>
        <w:t xml:space="preserve">Zdravotné odvody neobsahujú štátom platené poistné. </w:t>
      </w:r>
    </w:p>
    <w:p w14:paraId="582D193F" w14:textId="24378F18" w:rsidR="009A05C7" w:rsidRDefault="009A05C7" w:rsidP="009A05C7">
      <w:pPr>
        <w:spacing w:before="120" w:line="240" w:lineRule="auto"/>
        <w:rPr>
          <w:sz w:val="24"/>
          <w:szCs w:val="24"/>
        </w:rPr>
      </w:pPr>
      <w:r w:rsidRPr="003C60AF">
        <w:rPr>
          <w:sz w:val="24"/>
          <w:szCs w:val="24"/>
        </w:rPr>
        <w:t>Prognózy pre rozpočet na rok 2024 boli tvorené v decembri 2023. V prognóze neboli zahrnuté zmeny sadzieb miestnych daní, ktoré majú v kompetencii obce, pretože z</w:t>
      </w:r>
      <w:r>
        <w:rPr>
          <w:sz w:val="24"/>
          <w:szCs w:val="24"/>
        </w:rPr>
        <w:t>meny sa </w:t>
      </w:r>
      <w:r w:rsidRPr="003C60AF">
        <w:rPr>
          <w:sz w:val="24"/>
          <w:szCs w:val="24"/>
        </w:rPr>
        <w:t>schvaľujú takmer vždy až na konci roka v rámci prípravy rozpočtu obcí cez prijímanie všeobecných záväzných nariadení. Taktiež bolo v roku 2024</w:t>
      </w:r>
      <w:r>
        <w:rPr>
          <w:sz w:val="24"/>
          <w:szCs w:val="24"/>
        </w:rPr>
        <w:t xml:space="preserve"> v </w:t>
      </w:r>
      <w:r w:rsidRPr="003C60AF">
        <w:rPr>
          <w:sz w:val="24"/>
          <w:szCs w:val="24"/>
        </w:rPr>
        <w:t>parlamente prijatých niekoľko legislatívnych zmien, s ktorými sa v rozpočte nepočítalo. V</w:t>
      </w:r>
      <w:r>
        <w:rPr>
          <w:sz w:val="24"/>
          <w:szCs w:val="24"/>
        </w:rPr>
        <w:t> </w:t>
      </w:r>
      <w:r w:rsidRPr="003C60AF">
        <w:rPr>
          <w:sz w:val="24"/>
          <w:szCs w:val="24"/>
        </w:rPr>
        <w:t>nasledujúcej tabuľke je prehľad všetkých legislatívnych opatrení nezahrnutých v návrhu rozpočtu</w:t>
      </w:r>
      <w:r>
        <w:rPr>
          <w:sz w:val="24"/>
          <w:szCs w:val="24"/>
        </w:rPr>
        <w:t>, ale s </w:t>
      </w:r>
      <w:r w:rsidRPr="003C60AF">
        <w:rPr>
          <w:sz w:val="24"/>
          <w:szCs w:val="24"/>
        </w:rPr>
        <w:t>vplyvom na</w:t>
      </w:r>
      <w:r>
        <w:rPr>
          <w:sz w:val="24"/>
          <w:szCs w:val="24"/>
        </w:rPr>
        <w:t> výnos v </w:t>
      </w:r>
      <w:r w:rsidRPr="003C60AF">
        <w:rPr>
          <w:sz w:val="24"/>
          <w:szCs w:val="24"/>
        </w:rPr>
        <w:t>roku 2024</w:t>
      </w:r>
      <w:r w:rsidR="001D18C1">
        <w:rPr>
          <w:sz w:val="24"/>
          <w:szCs w:val="24"/>
        </w:rPr>
        <w:t xml:space="preserve"> podľa metodiky ESA</w:t>
      </w:r>
      <w:r w:rsidRPr="003C60AF">
        <w:rPr>
          <w:sz w:val="24"/>
          <w:szCs w:val="24"/>
        </w:rPr>
        <w:t>.</w:t>
      </w:r>
    </w:p>
    <w:p w14:paraId="18D63139" w14:textId="0D911EAA" w:rsidR="00D96E6C" w:rsidRPr="00D96E6C" w:rsidRDefault="00D96E6C" w:rsidP="00D96E6C">
      <w:pPr>
        <w:pStyle w:val="Popis"/>
        <w:keepNext/>
        <w:spacing w:after="120"/>
        <w:rPr>
          <w:b/>
          <w:i w:val="0"/>
          <w:color w:val="5B9BD5" w:themeColor="accent1"/>
          <w:sz w:val="20"/>
          <w:szCs w:val="20"/>
        </w:rPr>
      </w:pPr>
      <w:bookmarkStart w:id="43" w:name="_Toc196389256"/>
      <w:bookmarkStart w:id="44" w:name="_Toc196313635"/>
      <w:r w:rsidRPr="00D96E6C">
        <w:rPr>
          <w:b/>
          <w:i w:val="0"/>
          <w:color w:val="5B9BD5" w:themeColor="accent1"/>
          <w:sz w:val="20"/>
          <w:szCs w:val="20"/>
        </w:rPr>
        <w:t xml:space="preserve">Tabuľka </w:t>
      </w:r>
      <w:r w:rsidR="003B7AF0">
        <w:rPr>
          <w:b/>
          <w:i w:val="0"/>
          <w:color w:val="5B9BD5" w:themeColor="accent1"/>
          <w:sz w:val="20"/>
          <w:szCs w:val="20"/>
        </w:rPr>
        <w:fldChar w:fldCharType="begin"/>
      </w:r>
      <w:r w:rsidR="003B7AF0">
        <w:rPr>
          <w:b/>
          <w:i w:val="0"/>
          <w:color w:val="5B9BD5" w:themeColor="accent1"/>
          <w:sz w:val="20"/>
          <w:szCs w:val="20"/>
        </w:rPr>
        <w:instrText xml:space="preserve"> SEQ Tabuľka \* ARABIC </w:instrText>
      </w:r>
      <w:r w:rsidR="003B7AF0">
        <w:rPr>
          <w:b/>
          <w:i w:val="0"/>
          <w:color w:val="5B9BD5" w:themeColor="accent1"/>
          <w:sz w:val="20"/>
          <w:szCs w:val="20"/>
        </w:rPr>
        <w:fldChar w:fldCharType="separate"/>
      </w:r>
      <w:r w:rsidR="00C64CBA">
        <w:rPr>
          <w:b/>
          <w:i w:val="0"/>
          <w:noProof/>
          <w:color w:val="5B9BD5" w:themeColor="accent1"/>
          <w:sz w:val="20"/>
          <w:szCs w:val="20"/>
        </w:rPr>
        <w:t>9</w:t>
      </w:r>
      <w:r w:rsidR="003B7AF0">
        <w:rPr>
          <w:b/>
          <w:i w:val="0"/>
          <w:color w:val="5B9BD5" w:themeColor="accent1"/>
          <w:sz w:val="20"/>
          <w:szCs w:val="20"/>
        </w:rPr>
        <w:fldChar w:fldCharType="end"/>
      </w:r>
      <w:r w:rsidRPr="00D96E6C">
        <w:rPr>
          <w:b/>
          <w:i w:val="0"/>
          <w:color w:val="5B9BD5" w:themeColor="accent1"/>
          <w:sz w:val="20"/>
          <w:szCs w:val="20"/>
        </w:rPr>
        <w:t xml:space="preserve"> - Legislatívne zmeny nezapracované v rozpočte VS na roky 2024-2027</w:t>
      </w:r>
      <w:bookmarkEnd w:id="43"/>
      <w:r w:rsidRPr="00D96E6C">
        <w:rPr>
          <w:b/>
          <w:i w:val="0"/>
          <w:color w:val="5B9BD5" w:themeColor="accent1"/>
          <w:sz w:val="20"/>
          <w:szCs w:val="20"/>
        </w:rPr>
        <w:t xml:space="preserve"> </w:t>
      </w:r>
      <w:bookmarkEnd w:id="44"/>
    </w:p>
    <w:tbl>
      <w:tblPr>
        <w:tblW w:w="8931" w:type="dxa"/>
        <w:tblCellMar>
          <w:left w:w="70" w:type="dxa"/>
          <w:right w:w="70" w:type="dxa"/>
        </w:tblCellMar>
        <w:tblLook w:val="04A0" w:firstRow="1" w:lastRow="0" w:firstColumn="1" w:lastColumn="0" w:noHBand="0" w:noVBand="1"/>
      </w:tblPr>
      <w:tblGrid>
        <w:gridCol w:w="8088"/>
        <w:gridCol w:w="843"/>
      </w:tblGrid>
      <w:tr w:rsidR="009A05C7" w:rsidRPr="00EB0D1A" w14:paraId="7DE8DBC8" w14:textId="77777777" w:rsidTr="00442609">
        <w:trPr>
          <w:trHeight w:val="290"/>
          <w:tblHeader/>
        </w:trPr>
        <w:tc>
          <w:tcPr>
            <w:tcW w:w="8088" w:type="dxa"/>
            <w:tcBorders>
              <w:top w:val="single" w:sz="4" w:space="0" w:color="auto"/>
              <w:left w:val="nil"/>
              <w:bottom w:val="single" w:sz="4" w:space="0" w:color="auto"/>
              <w:right w:val="nil"/>
            </w:tcBorders>
            <w:shd w:val="clear" w:color="auto" w:fill="auto"/>
            <w:noWrap/>
            <w:vAlign w:val="center"/>
            <w:hideMark/>
          </w:tcPr>
          <w:p w14:paraId="71D894AF" w14:textId="77777777" w:rsidR="009A05C7" w:rsidRPr="00EB0D1A" w:rsidRDefault="009A05C7" w:rsidP="000240DA">
            <w:pPr>
              <w:spacing w:after="0" w:line="240" w:lineRule="auto"/>
              <w:jc w:val="left"/>
              <w:rPr>
                <w:rFonts w:eastAsia="Times New Roman" w:cs="Times New Roman"/>
                <w:b/>
                <w:bCs/>
                <w:color w:val="000000"/>
                <w:sz w:val="18"/>
                <w:szCs w:val="18"/>
                <w:lang w:eastAsia="sk-SK"/>
              </w:rPr>
            </w:pPr>
            <w:r w:rsidRPr="00EB0D1A">
              <w:rPr>
                <w:rFonts w:eastAsia="Times New Roman" w:cs="Times New Roman"/>
                <w:b/>
                <w:bCs/>
                <w:color w:val="000000"/>
                <w:sz w:val="18"/>
                <w:szCs w:val="18"/>
                <w:lang w:eastAsia="sk-SK"/>
              </w:rPr>
              <w:t xml:space="preserve">v tis. eur </w:t>
            </w:r>
          </w:p>
        </w:tc>
        <w:tc>
          <w:tcPr>
            <w:tcW w:w="843" w:type="dxa"/>
            <w:tcBorders>
              <w:top w:val="single" w:sz="4" w:space="0" w:color="auto"/>
              <w:left w:val="nil"/>
              <w:bottom w:val="single" w:sz="4" w:space="0" w:color="auto"/>
              <w:right w:val="nil"/>
            </w:tcBorders>
            <w:shd w:val="clear" w:color="auto" w:fill="auto"/>
            <w:noWrap/>
            <w:vAlign w:val="center"/>
            <w:hideMark/>
          </w:tcPr>
          <w:p w14:paraId="1CCCF53D" w14:textId="77777777" w:rsidR="009A05C7" w:rsidRPr="00EB0D1A" w:rsidRDefault="009A05C7" w:rsidP="000240DA">
            <w:pPr>
              <w:spacing w:after="0" w:line="240" w:lineRule="auto"/>
              <w:jc w:val="left"/>
              <w:rPr>
                <w:rFonts w:eastAsia="Times New Roman" w:cs="Times New Roman"/>
                <w:color w:val="000000"/>
                <w:sz w:val="18"/>
                <w:szCs w:val="18"/>
                <w:lang w:eastAsia="sk-SK"/>
              </w:rPr>
            </w:pPr>
            <w:r w:rsidRPr="00EB0D1A">
              <w:rPr>
                <w:rFonts w:eastAsia="Times New Roman" w:cs="Times New Roman"/>
                <w:color w:val="000000"/>
                <w:sz w:val="18"/>
                <w:szCs w:val="18"/>
                <w:lang w:eastAsia="sk-SK"/>
              </w:rPr>
              <w:t> </w:t>
            </w:r>
          </w:p>
        </w:tc>
      </w:tr>
      <w:tr w:rsidR="009A05C7" w:rsidRPr="00EB0D1A" w14:paraId="71D6F74C" w14:textId="77777777" w:rsidTr="00442609">
        <w:trPr>
          <w:trHeight w:val="290"/>
        </w:trPr>
        <w:tc>
          <w:tcPr>
            <w:tcW w:w="8088" w:type="dxa"/>
            <w:tcBorders>
              <w:top w:val="nil"/>
              <w:left w:val="nil"/>
              <w:bottom w:val="nil"/>
              <w:right w:val="nil"/>
            </w:tcBorders>
            <w:shd w:val="clear" w:color="auto" w:fill="auto"/>
            <w:noWrap/>
            <w:vAlign w:val="center"/>
            <w:hideMark/>
          </w:tcPr>
          <w:p w14:paraId="69447174" w14:textId="77777777" w:rsidR="009A05C7" w:rsidRPr="00EB0D1A" w:rsidRDefault="009A05C7" w:rsidP="000240DA">
            <w:pPr>
              <w:spacing w:after="0" w:line="240" w:lineRule="auto"/>
              <w:jc w:val="left"/>
              <w:rPr>
                <w:rFonts w:eastAsia="Times New Roman" w:cs="Times New Roman"/>
                <w:color w:val="000000"/>
                <w:sz w:val="18"/>
                <w:szCs w:val="18"/>
                <w:lang w:eastAsia="sk-SK"/>
              </w:rPr>
            </w:pPr>
            <w:r w:rsidRPr="00EB0D1A">
              <w:rPr>
                <w:rFonts w:eastAsia="Times New Roman" w:cs="Times New Roman"/>
                <w:color w:val="000000"/>
                <w:sz w:val="18"/>
                <w:szCs w:val="18"/>
                <w:lang w:eastAsia="sk-SK"/>
              </w:rPr>
              <w:t>Odpustenie sociálnych odvodov zamestnávateľa za zamestnancov v potravinárskom priemysle</w:t>
            </w:r>
          </w:p>
        </w:tc>
        <w:tc>
          <w:tcPr>
            <w:tcW w:w="843" w:type="dxa"/>
            <w:tcBorders>
              <w:top w:val="nil"/>
              <w:left w:val="nil"/>
              <w:bottom w:val="nil"/>
              <w:right w:val="nil"/>
            </w:tcBorders>
            <w:shd w:val="clear" w:color="auto" w:fill="auto"/>
            <w:noWrap/>
            <w:vAlign w:val="center"/>
            <w:hideMark/>
          </w:tcPr>
          <w:p w14:paraId="01C15B44" w14:textId="77777777" w:rsidR="009A05C7" w:rsidRPr="00EB0D1A" w:rsidRDefault="009A05C7" w:rsidP="000240DA">
            <w:pPr>
              <w:spacing w:after="0" w:line="240" w:lineRule="auto"/>
              <w:jc w:val="right"/>
              <w:rPr>
                <w:rFonts w:eastAsia="Times New Roman" w:cs="Times New Roman"/>
                <w:color w:val="000000"/>
                <w:sz w:val="18"/>
                <w:szCs w:val="18"/>
                <w:lang w:eastAsia="sk-SK"/>
              </w:rPr>
            </w:pPr>
            <w:r w:rsidRPr="00EB0D1A">
              <w:rPr>
                <w:rFonts w:eastAsia="Times New Roman" w:cs="Times New Roman"/>
                <w:color w:val="000000"/>
                <w:sz w:val="18"/>
                <w:szCs w:val="18"/>
                <w:lang w:eastAsia="sk-SK"/>
              </w:rPr>
              <w:t>-31 573</w:t>
            </w:r>
          </w:p>
        </w:tc>
      </w:tr>
      <w:tr w:rsidR="009A05C7" w:rsidRPr="00EB0D1A" w14:paraId="4D1D9EF2" w14:textId="77777777" w:rsidTr="00442609">
        <w:trPr>
          <w:trHeight w:val="290"/>
        </w:trPr>
        <w:tc>
          <w:tcPr>
            <w:tcW w:w="8088" w:type="dxa"/>
            <w:tcBorders>
              <w:top w:val="nil"/>
              <w:left w:val="nil"/>
              <w:bottom w:val="nil"/>
              <w:right w:val="nil"/>
            </w:tcBorders>
            <w:shd w:val="clear" w:color="auto" w:fill="auto"/>
            <w:noWrap/>
            <w:vAlign w:val="center"/>
            <w:hideMark/>
          </w:tcPr>
          <w:p w14:paraId="5EDA1645" w14:textId="77777777" w:rsidR="009A05C7" w:rsidRPr="00EB0D1A" w:rsidRDefault="009A05C7" w:rsidP="000240DA">
            <w:pPr>
              <w:spacing w:after="0" w:line="240" w:lineRule="auto"/>
              <w:jc w:val="left"/>
              <w:rPr>
                <w:rFonts w:eastAsia="Times New Roman" w:cs="Times New Roman"/>
                <w:color w:val="000000"/>
                <w:sz w:val="18"/>
                <w:szCs w:val="18"/>
                <w:lang w:eastAsia="sk-SK"/>
              </w:rPr>
            </w:pPr>
            <w:r w:rsidRPr="00EB0D1A">
              <w:rPr>
                <w:rFonts w:eastAsia="Times New Roman" w:cs="Times New Roman"/>
                <w:color w:val="000000"/>
                <w:sz w:val="18"/>
                <w:szCs w:val="18"/>
                <w:lang w:eastAsia="sk-SK"/>
              </w:rPr>
              <w:t>Predĺženie odpustenia soc. odvodov zamestnávateľov pre poľnohospodárov</w:t>
            </w:r>
          </w:p>
        </w:tc>
        <w:tc>
          <w:tcPr>
            <w:tcW w:w="843" w:type="dxa"/>
            <w:tcBorders>
              <w:top w:val="nil"/>
              <w:left w:val="nil"/>
              <w:bottom w:val="nil"/>
              <w:right w:val="nil"/>
            </w:tcBorders>
            <w:shd w:val="clear" w:color="auto" w:fill="auto"/>
            <w:noWrap/>
            <w:vAlign w:val="center"/>
            <w:hideMark/>
          </w:tcPr>
          <w:p w14:paraId="6F9548FA" w14:textId="77777777" w:rsidR="009A05C7" w:rsidRPr="00EB0D1A" w:rsidRDefault="009A05C7" w:rsidP="000240DA">
            <w:pPr>
              <w:spacing w:after="0" w:line="240" w:lineRule="auto"/>
              <w:jc w:val="right"/>
              <w:rPr>
                <w:rFonts w:eastAsia="Times New Roman" w:cs="Times New Roman"/>
                <w:color w:val="000000"/>
                <w:sz w:val="18"/>
                <w:szCs w:val="18"/>
                <w:lang w:eastAsia="sk-SK"/>
              </w:rPr>
            </w:pPr>
            <w:r w:rsidRPr="00EB0D1A">
              <w:rPr>
                <w:rFonts w:eastAsia="Times New Roman" w:cs="Times New Roman"/>
                <w:color w:val="000000"/>
                <w:sz w:val="18"/>
                <w:szCs w:val="18"/>
                <w:lang w:eastAsia="sk-SK"/>
              </w:rPr>
              <w:t>-14 857</w:t>
            </w:r>
          </w:p>
        </w:tc>
      </w:tr>
      <w:tr w:rsidR="009A05C7" w:rsidRPr="00EB0D1A" w14:paraId="2F308A4C" w14:textId="77777777" w:rsidTr="00442609">
        <w:trPr>
          <w:trHeight w:val="290"/>
        </w:trPr>
        <w:tc>
          <w:tcPr>
            <w:tcW w:w="8088" w:type="dxa"/>
            <w:tcBorders>
              <w:top w:val="nil"/>
              <w:left w:val="nil"/>
              <w:bottom w:val="nil"/>
              <w:right w:val="nil"/>
            </w:tcBorders>
            <w:shd w:val="clear" w:color="auto" w:fill="auto"/>
            <w:noWrap/>
            <w:vAlign w:val="center"/>
            <w:hideMark/>
          </w:tcPr>
          <w:p w14:paraId="04679B22" w14:textId="77777777" w:rsidR="009A05C7" w:rsidRPr="00EB0D1A" w:rsidRDefault="009A05C7" w:rsidP="000240DA">
            <w:pPr>
              <w:spacing w:after="0" w:line="240" w:lineRule="auto"/>
              <w:jc w:val="left"/>
              <w:rPr>
                <w:rFonts w:eastAsia="Times New Roman" w:cs="Times New Roman"/>
                <w:color w:val="000000"/>
                <w:sz w:val="18"/>
                <w:szCs w:val="18"/>
                <w:lang w:eastAsia="sk-SK"/>
              </w:rPr>
            </w:pPr>
            <w:r w:rsidRPr="00EB0D1A">
              <w:rPr>
                <w:rFonts w:eastAsia="Times New Roman" w:cs="Times New Roman"/>
                <w:color w:val="000000"/>
                <w:sz w:val="18"/>
                <w:szCs w:val="18"/>
                <w:lang w:eastAsia="sk-SK"/>
              </w:rPr>
              <w:t>Miestne dane</w:t>
            </w:r>
          </w:p>
        </w:tc>
        <w:tc>
          <w:tcPr>
            <w:tcW w:w="843" w:type="dxa"/>
            <w:tcBorders>
              <w:top w:val="nil"/>
              <w:left w:val="nil"/>
              <w:bottom w:val="nil"/>
              <w:right w:val="nil"/>
            </w:tcBorders>
            <w:shd w:val="clear" w:color="auto" w:fill="auto"/>
            <w:noWrap/>
            <w:vAlign w:val="center"/>
            <w:hideMark/>
          </w:tcPr>
          <w:p w14:paraId="15B72C70" w14:textId="77777777" w:rsidR="009A05C7" w:rsidRPr="00EB0D1A" w:rsidRDefault="009A05C7" w:rsidP="000240DA">
            <w:pPr>
              <w:spacing w:after="0" w:line="240" w:lineRule="auto"/>
              <w:jc w:val="right"/>
              <w:rPr>
                <w:rFonts w:eastAsia="Times New Roman" w:cs="Times New Roman"/>
                <w:color w:val="000000"/>
                <w:sz w:val="18"/>
                <w:szCs w:val="18"/>
                <w:lang w:eastAsia="sk-SK"/>
              </w:rPr>
            </w:pPr>
            <w:r w:rsidRPr="00EB0D1A">
              <w:rPr>
                <w:rFonts w:eastAsia="Times New Roman" w:cs="Times New Roman"/>
                <w:color w:val="000000"/>
                <w:sz w:val="18"/>
                <w:szCs w:val="18"/>
                <w:lang w:eastAsia="sk-SK"/>
              </w:rPr>
              <w:t>158 163</w:t>
            </w:r>
          </w:p>
        </w:tc>
      </w:tr>
      <w:tr w:rsidR="009A05C7" w:rsidRPr="00EB0D1A" w14:paraId="40C23591" w14:textId="77777777" w:rsidTr="00442609">
        <w:trPr>
          <w:trHeight w:val="290"/>
        </w:trPr>
        <w:tc>
          <w:tcPr>
            <w:tcW w:w="8088" w:type="dxa"/>
            <w:tcBorders>
              <w:top w:val="nil"/>
              <w:left w:val="nil"/>
              <w:bottom w:val="nil"/>
              <w:right w:val="nil"/>
            </w:tcBorders>
            <w:shd w:val="clear" w:color="auto" w:fill="auto"/>
            <w:noWrap/>
            <w:vAlign w:val="center"/>
            <w:hideMark/>
          </w:tcPr>
          <w:p w14:paraId="743655A1" w14:textId="77777777" w:rsidR="009A05C7" w:rsidRPr="00EB0D1A" w:rsidRDefault="009A05C7" w:rsidP="000240DA">
            <w:pPr>
              <w:spacing w:after="0" w:line="240" w:lineRule="auto"/>
              <w:ind w:firstLineChars="200" w:firstLine="360"/>
              <w:jc w:val="left"/>
              <w:rPr>
                <w:rFonts w:eastAsia="Times New Roman" w:cs="Times New Roman"/>
                <w:color w:val="000000"/>
                <w:sz w:val="18"/>
                <w:szCs w:val="18"/>
                <w:lang w:eastAsia="sk-SK"/>
              </w:rPr>
            </w:pPr>
            <w:r w:rsidRPr="00EB0D1A">
              <w:rPr>
                <w:rFonts w:eastAsia="Times New Roman" w:cs="Times New Roman"/>
                <w:color w:val="000000"/>
                <w:sz w:val="18"/>
                <w:szCs w:val="18"/>
                <w:lang w:eastAsia="sk-SK"/>
              </w:rPr>
              <w:t>Zmena sadzieb daní z nehnuteľností podľa VZN</w:t>
            </w:r>
          </w:p>
        </w:tc>
        <w:tc>
          <w:tcPr>
            <w:tcW w:w="843" w:type="dxa"/>
            <w:tcBorders>
              <w:top w:val="nil"/>
              <w:left w:val="nil"/>
              <w:bottom w:val="nil"/>
              <w:right w:val="nil"/>
            </w:tcBorders>
            <w:shd w:val="clear" w:color="auto" w:fill="auto"/>
            <w:noWrap/>
            <w:vAlign w:val="center"/>
            <w:hideMark/>
          </w:tcPr>
          <w:p w14:paraId="63800164" w14:textId="77777777" w:rsidR="009A05C7" w:rsidRPr="00EB0D1A" w:rsidRDefault="009A05C7" w:rsidP="000240DA">
            <w:pPr>
              <w:spacing w:after="0" w:line="240" w:lineRule="auto"/>
              <w:jc w:val="right"/>
              <w:rPr>
                <w:rFonts w:eastAsia="Times New Roman" w:cs="Times New Roman"/>
                <w:color w:val="000000"/>
                <w:sz w:val="18"/>
                <w:szCs w:val="18"/>
                <w:lang w:eastAsia="sk-SK"/>
              </w:rPr>
            </w:pPr>
            <w:r w:rsidRPr="00EB0D1A">
              <w:rPr>
                <w:rFonts w:eastAsia="Times New Roman" w:cs="Times New Roman"/>
                <w:color w:val="000000"/>
                <w:sz w:val="18"/>
                <w:szCs w:val="18"/>
                <w:lang w:eastAsia="sk-SK"/>
              </w:rPr>
              <w:t>113 887</w:t>
            </w:r>
          </w:p>
        </w:tc>
      </w:tr>
      <w:tr w:rsidR="009A05C7" w:rsidRPr="00EB0D1A" w14:paraId="6BECDA00" w14:textId="77777777" w:rsidTr="00442609">
        <w:trPr>
          <w:trHeight w:val="290"/>
        </w:trPr>
        <w:tc>
          <w:tcPr>
            <w:tcW w:w="8088" w:type="dxa"/>
            <w:tcBorders>
              <w:top w:val="nil"/>
              <w:left w:val="nil"/>
              <w:bottom w:val="nil"/>
              <w:right w:val="nil"/>
            </w:tcBorders>
            <w:shd w:val="clear" w:color="auto" w:fill="auto"/>
            <w:noWrap/>
            <w:vAlign w:val="center"/>
            <w:hideMark/>
          </w:tcPr>
          <w:p w14:paraId="758DC627" w14:textId="77777777" w:rsidR="009A05C7" w:rsidRPr="00EB0D1A" w:rsidRDefault="009A05C7" w:rsidP="000240DA">
            <w:pPr>
              <w:spacing w:after="0" w:line="240" w:lineRule="auto"/>
              <w:ind w:firstLineChars="200" w:firstLine="360"/>
              <w:jc w:val="left"/>
              <w:rPr>
                <w:rFonts w:eastAsia="Times New Roman" w:cs="Times New Roman"/>
                <w:color w:val="000000"/>
                <w:sz w:val="18"/>
                <w:szCs w:val="18"/>
                <w:lang w:eastAsia="sk-SK"/>
              </w:rPr>
            </w:pPr>
            <w:r w:rsidRPr="00EB0D1A">
              <w:rPr>
                <w:rFonts w:eastAsia="Times New Roman" w:cs="Times New Roman"/>
                <w:color w:val="000000"/>
                <w:sz w:val="18"/>
                <w:szCs w:val="18"/>
                <w:lang w:eastAsia="sk-SK"/>
              </w:rPr>
              <w:t>Zvýšenie sadzieb špecifických daní podľa VZN (poplatok za komunálny odpad + daň za ubytovanie)</w:t>
            </w:r>
          </w:p>
        </w:tc>
        <w:tc>
          <w:tcPr>
            <w:tcW w:w="843" w:type="dxa"/>
            <w:tcBorders>
              <w:top w:val="nil"/>
              <w:left w:val="nil"/>
              <w:bottom w:val="nil"/>
              <w:right w:val="nil"/>
            </w:tcBorders>
            <w:shd w:val="clear" w:color="auto" w:fill="auto"/>
            <w:noWrap/>
            <w:vAlign w:val="center"/>
            <w:hideMark/>
          </w:tcPr>
          <w:p w14:paraId="5AF7B523" w14:textId="77777777" w:rsidR="009A05C7" w:rsidRPr="00EB0D1A" w:rsidRDefault="009A05C7" w:rsidP="000240DA">
            <w:pPr>
              <w:spacing w:after="0" w:line="240" w:lineRule="auto"/>
              <w:jc w:val="right"/>
              <w:rPr>
                <w:rFonts w:eastAsia="Times New Roman" w:cs="Times New Roman"/>
                <w:color w:val="000000"/>
                <w:sz w:val="18"/>
                <w:szCs w:val="18"/>
                <w:lang w:eastAsia="sk-SK"/>
              </w:rPr>
            </w:pPr>
            <w:r w:rsidRPr="00EB0D1A">
              <w:rPr>
                <w:rFonts w:eastAsia="Times New Roman" w:cs="Times New Roman"/>
                <w:color w:val="000000"/>
                <w:sz w:val="18"/>
                <w:szCs w:val="18"/>
                <w:lang w:eastAsia="sk-SK"/>
              </w:rPr>
              <w:t>44 276</w:t>
            </w:r>
          </w:p>
        </w:tc>
      </w:tr>
      <w:tr w:rsidR="009A05C7" w:rsidRPr="00EB0D1A" w14:paraId="07984CAB" w14:textId="77777777" w:rsidTr="00442609">
        <w:trPr>
          <w:trHeight w:val="290"/>
        </w:trPr>
        <w:tc>
          <w:tcPr>
            <w:tcW w:w="8088" w:type="dxa"/>
            <w:tcBorders>
              <w:top w:val="single" w:sz="4" w:space="0" w:color="auto"/>
              <w:left w:val="nil"/>
              <w:bottom w:val="single" w:sz="4" w:space="0" w:color="auto"/>
              <w:right w:val="nil"/>
            </w:tcBorders>
            <w:shd w:val="clear" w:color="auto" w:fill="auto"/>
            <w:noWrap/>
            <w:vAlign w:val="center"/>
            <w:hideMark/>
          </w:tcPr>
          <w:p w14:paraId="78742D7B" w14:textId="77777777" w:rsidR="009A05C7" w:rsidRPr="00EB0D1A" w:rsidRDefault="009A05C7" w:rsidP="000240DA">
            <w:pPr>
              <w:spacing w:after="0" w:line="240" w:lineRule="auto"/>
              <w:jc w:val="left"/>
              <w:rPr>
                <w:rFonts w:eastAsia="Times New Roman" w:cs="Times New Roman"/>
                <w:b/>
                <w:bCs/>
                <w:color w:val="000000"/>
                <w:sz w:val="18"/>
                <w:szCs w:val="18"/>
                <w:lang w:eastAsia="sk-SK"/>
              </w:rPr>
            </w:pPr>
            <w:r w:rsidRPr="00EB0D1A">
              <w:rPr>
                <w:rFonts w:eastAsia="Times New Roman" w:cs="Times New Roman"/>
                <w:b/>
                <w:bCs/>
                <w:color w:val="000000"/>
                <w:sz w:val="18"/>
                <w:szCs w:val="18"/>
                <w:lang w:eastAsia="sk-SK"/>
              </w:rPr>
              <w:t>Celkový vplyv na príjmy verejnej správy</w:t>
            </w:r>
          </w:p>
        </w:tc>
        <w:tc>
          <w:tcPr>
            <w:tcW w:w="843" w:type="dxa"/>
            <w:tcBorders>
              <w:top w:val="single" w:sz="4" w:space="0" w:color="auto"/>
              <w:left w:val="nil"/>
              <w:bottom w:val="single" w:sz="4" w:space="0" w:color="auto"/>
              <w:right w:val="nil"/>
            </w:tcBorders>
            <w:shd w:val="clear" w:color="auto" w:fill="auto"/>
            <w:noWrap/>
            <w:vAlign w:val="center"/>
            <w:hideMark/>
          </w:tcPr>
          <w:p w14:paraId="1C01AEB6" w14:textId="77777777" w:rsidR="009A05C7" w:rsidRPr="00EB0D1A" w:rsidRDefault="009A05C7" w:rsidP="000240DA">
            <w:pPr>
              <w:spacing w:after="0" w:line="240" w:lineRule="auto"/>
              <w:jc w:val="right"/>
              <w:rPr>
                <w:rFonts w:eastAsia="Times New Roman" w:cs="Times New Roman"/>
                <w:b/>
                <w:bCs/>
                <w:color w:val="000000"/>
                <w:sz w:val="18"/>
                <w:szCs w:val="18"/>
                <w:lang w:eastAsia="sk-SK"/>
              </w:rPr>
            </w:pPr>
            <w:r w:rsidRPr="00EB0D1A">
              <w:rPr>
                <w:rFonts w:eastAsia="Times New Roman" w:cs="Times New Roman"/>
                <w:b/>
                <w:bCs/>
                <w:color w:val="000000"/>
                <w:sz w:val="18"/>
                <w:szCs w:val="18"/>
                <w:lang w:eastAsia="sk-SK"/>
              </w:rPr>
              <w:t>111 733</w:t>
            </w:r>
          </w:p>
        </w:tc>
      </w:tr>
      <w:tr w:rsidR="009A05C7" w:rsidRPr="00EB0D1A" w14:paraId="3B467851" w14:textId="77777777" w:rsidTr="00442609">
        <w:trPr>
          <w:trHeight w:val="290"/>
        </w:trPr>
        <w:tc>
          <w:tcPr>
            <w:tcW w:w="8088" w:type="dxa"/>
            <w:tcBorders>
              <w:top w:val="single" w:sz="4" w:space="0" w:color="auto"/>
              <w:left w:val="nil"/>
              <w:bottom w:val="single" w:sz="4" w:space="0" w:color="auto"/>
              <w:right w:val="nil"/>
            </w:tcBorders>
            <w:shd w:val="clear" w:color="auto" w:fill="auto"/>
            <w:noWrap/>
            <w:vAlign w:val="center"/>
            <w:hideMark/>
          </w:tcPr>
          <w:p w14:paraId="78C1F9B6" w14:textId="77777777" w:rsidR="009A05C7" w:rsidRPr="00EB0D1A" w:rsidRDefault="009A05C7" w:rsidP="000240DA">
            <w:pPr>
              <w:spacing w:after="0" w:line="240" w:lineRule="auto"/>
              <w:ind w:firstLineChars="200" w:firstLine="360"/>
              <w:jc w:val="left"/>
              <w:rPr>
                <w:rFonts w:eastAsia="Times New Roman" w:cs="Times New Roman"/>
                <w:color w:val="000000"/>
                <w:sz w:val="18"/>
                <w:szCs w:val="18"/>
                <w:lang w:eastAsia="sk-SK"/>
              </w:rPr>
            </w:pPr>
            <w:r w:rsidRPr="00EB0D1A">
              <w:rPr>
                <w:rFonts w:eastAsia="Times New Roman" w:cs="Times New Roman"/>
                <w:color w:val="000000"/>
                <w:sz w:val="18"/>
                <w:szCs w:val="18"/>
                <w:lang w:eastAsia="sk-SK"/>
              </w:rPr>
              <w:t>-</w:t>
            </w:r>
            <w:r w:rsidRPr="00EB0D1A">
              <w:rPr>
                <w:rFonts w:eastAsia="Times New Roman" w:cs="Times New Roman"/>
                <w:color w:val="000000"/>
                <w:sz w:val="14"/>
                <w:szCs w:val="14"/>
                <w:lang w:eastAsia="sk-SK"/>
              </w:rPr>
              <w:t xml:space="preserve">        </w:t>
            </w:r>
            <w:r w:rsidRPr="00EB0D1A">
              <w:rPr>
                <w:rFonts w:eastAsia="Times New Roman" w:cs="Times New Roman"/>
                <w:color w:val="000000"/>
                <w:sz w:val="18"/>
                <w:szCs w:val="18"/>
                <w:lang w:eastAsia="sk-SK"/>
              </w:rPr>
              <w:t>Z toho príjmy ŠR</w:t>
            </w:r>
          </w:p>
        </w:tc>
        <w:tc>
          <w:tcPr>
            <w:tcW w:w="843" w:type="dxa"/>
            <w:tcBorders>
              <w:top w:val="single" w:sz="4" w:space="0" w:color="auto"/>
              <w:left w:val="nil"/>
              <w:bottom w:val="single" w:sz="4" w:space="0" w:color="auto"/>
              <w:right w:val="nil"/>
            </w:tcBorders>
            <w:shd w:val="clear" w:color="auto" w:fill="auto"/>
            <w:noWrap/>
            <w:vAlign w:val="center"/>
            <w:hideMark/>
          </w:tcPr>
          <w:p w14:paraId="4495A0CC" w14:textId="77777777" w:rsidR="009A05C7" w:rsidRPr="00EB0D1A" w:rsidRDefault="009A05C7" w:rsidP="000240DA">
            <w:pPr>
              <w:spacing w:after="0" w:line="240" w:lineRule="auto"/>
              <w:jc w:val="right"/>
              <w:rPr>
                <w:rFonts w:eastAsia="Times New Roman" w:cs="Times New Roman"/>
                <w:bCs/>
                <w:color w:val="000000"/>
                <w:sz w:val="18"/>
                <w:szCs w:val="18"/>
                <w:lang w:eastAsia="sk-SK"/>
              </w:rPr>
            </w:pPr>
            <w:r w:rsidRPr="00EB0D1A">
              <w:rPr>
                <w:rFonts w:eastAsia="Times New Roman" w:cs="Times New Roman"/>
                <w:bCs/>
                <w:color w:val="000000"/>
                <w:sz w:val="18"/>
                <w:szCs w:val="18"/>
                <w:lang w:eastAsia="sk-SK"/>
              </w:rPr>
              <w:t>5 550</w:t>
            </w:r>
          </w:p>
        </w:tc>
      </w:tr>
    </w:tbl>
    <w:p w14:paraId="19829CD6" w14:textId="4002CC6E" w:rsidR="009A05C7" w:rsidRPr="00F53B1C" w:rsidRDefault="009A05C7" w:rsidP="009A05C7">
      <w:pPr>
        <w:keepNext/>
        <w:spacing w:after="0" w:line="240" w:lineRule="auto"/>
        <w:ind w:right="142"/>
        <w:rPr>
          <w:sz w:val="16"/>
          <w:szCs w:val="16"/>
        </w:rPr>
      </w:pPr>
      <w:r w:rsidRPr="00F53B1C">
        <w:rPr>
          <w:rFonts w:cs="Times New Roman"/>
          <w:sz w:val="18"/>
          <w:szCs w:val="18"/>
        </w:rPr>
        <w:t>Pozn.: (+) znamená pozitívny vplyv a (-) negatívny vplyv oproti rozpočtu VS</w:t>
      </w:r>
      <w:r w:rsidRPr="00F53B1C">
        <w:rPr>
          <w:rFonts w:cs="Times New Roman"/>
          <w:sz w:val="18"/>
          <w:szCs w:val="18"/>
        </w:rPr>
        <w:tab/>
      </w:r>
      <w:r w:rsidRPr="00F53B1C">
        <w:rPr>
          <w:rFonts w:cs="Times New Roman"/>
          <w:sz w:val="18"/>
          <w:szCs w:val="18"/>
        </w:rPr>
        <w:tab/>
      </w:r>
      <w:r w:rsidRPr="00F53B1C">
        <w:rPr>
          <w:rFonts w:cs="Times New Roman"/>
          <w:sz w:val="18"/>
          <w:szCs w:val="18"/>
        </w:rPr>
        <w:tab/>
      </w:r>
      <w:r w:rsidRPr="00F53B1C">
        <w:rPr>
          <w:rFonts w:cs="Times New Roman"/>
          <w:sz w:val="18"/>
          <w:szCs w:val="18"/>
        </w:rPr>
        <w:tab/>
      </w:r>
      <w:r w:rsidR="00091E03">
        <w:rPr>
          <w:rFonts w:cs="Times New Roman"/>
          <w:sz w:val="18"/>
          <w:szCs w:val="18"/>
        </w:rPr>
        <w:t xml:space="preserve">      </w:t>
      </w:r>
      <w:r w:rsidRPr="00F53B1C">
        <w:rPr>
          <w:rFonts w:cs="Times New Roman"/>
          <w:sz w:val="18"/>
          <w:szCs w:val="18"/>
        </w:rPr>
        <w:t>Zdroj: IFP, MF SR</w:t>
      </w:r>
    </w:p>
    <w:p w14:paraId="42C77650" w14:textId="77777777" w:rsidR="009A05C7" w:rsidRPr="00877F81" w:rsidRDefault="009A05C7" w:rsidP="009A05C7">
      <w:pPr>
        <w:spacing w:before="120" w:line="240" w:lineRule="auto"/>
        <w:rPr>
          <w:sz w:val="24"/>
          <w:szCs w:val="24"/>
        </w:rPr>
      </w:pPr>
      <w:r w:rsidRPr="00877F81">
        <w:rPr>
          <w:bCs/>
          <w:sz w:val="24"/>
          <w:szCs w:val="24"/>
        </w:rPr>
        <w:t>Výnos</w:t>
      </w:r>
      <w:r w:rsidRPr="00877F81">
        <w:rPr>
          <w:b/>
          <w:sz w:val="24"/>
          <w:szCs w:val="24"/>
        </w:rPr>
        <w:t xml:space="preserve"> dane z príjmu fyzických osôb zo závislej činnosti</w:t>
      </w:r>
      <w:r w:rsidRPr="00877F81">
        <w:rPr>
          <w:sz w:val="24"/>
          <w:szCs w:val="24"/>
        </w:rPr>
        <w:t xml:space="preserve"> je oproti rozpočtu vyšší o</w:t>
      </w:r>
      <w:r>
        <w:rPr>
          <w:sz w:val="24"/>
          <w:szCs w:val="24"/>
        </w:rPr>
        <w:t> 91 462 </w:t>
      </w:r>
      <w:r w:rsidRPr="00877F81">
        <w:rPr>
          <w:sz w:val="24"/>
          <w:szCs w:val="24"/>
        </w:rPr>
        <w:t>tis.</w:t>
      </w:r>
      <w:r>
        <w:rPr>
          <w:sz w:val="24"/>
          <w:szCs w:val="24"/>
        </w:rPr>
        <w:t> </w:t>
      </w:r>
      <w:r w:rsidRPr="00877F81">
        <w:rPr>
          <w:sz w:val="24"/>
          <w:szCs w:val="24"/>
        </w:rPr>
        <w:t>eur. Pod nárast sa podpísalo predovšetkým vyššie uplatňovanie daňového bonusu na</w:t>
      </w:r>
      <w:r>
        <w:rPr>
          <w:sz w:val="24"/>
          <w:szCs w:val="24"/>
        </w:rPr>
        <w:t> </w:t>
      </w:r>
      <w:r w:rsidRPr="00877F81">
        <w:rPr>
          <w:sz w:val="24"/>
          <w:szCs w:val="24"/>
        </w:rPr>
        <w:t>dieťa</w:t>
      </w:r>
      <w:r>
        <w:rPr>
          <w:sz w:val="24"/>
          <w:szCs w:val="24"/>
        </w:rPr>
        <w:t>, ktorý bol na roky 2023 a 2024 dočasne navýšený, ktorý vstupuje do akruálneho výnosu dane</w:t>
      </w:r>
      <w:r w:rsidRPr="00877F81">
        <w:rPr>
          <w:sz w:val="24"/>
          <w:szCs w:val="24"/>
        </w:rPr>
        <w:t>. Samotný akruálny výnos dane bez daňového bonusu mierne zaostal za</w:t>
      </w:r>
      <w:r>
        <w:rPr>
          <w:sz w:val="24"/>
          <w:szCs w:val="24"/>
        </w:rPr>
        <w:t> </w:t>
      </w:r>
      <w:r w:rsidRPr="00877F81">
        <w:rPr>
          <w:sz w:val="24"/>
          <w:szCs w:val="24"/>
        </w:rPr>
        <w:t>rozpočtovanou hodnotu o 9,3</w:t>
      </w:r>
      <w:r>
        <w:rPr>
          <w:sz w:val="24"/>
          <w:szCs w:val="24"/>
        </w:rPr>
        <w:t> </w:t>
      </w:r>
      <w:r w:rsidRPr="00877F81">
        <w:rPr>
          <w:sz w:val="24"/>
          <w:szCs w:val="24"/>
        </w:rPr>
        <w:t>mil.</w:t>
      </w:r>
      <w:r>
        <w:rPr>
          <w:sz w:val="24"/>
          <w:szCs w:val="24"/>
        </w:rPr>
        <w:t> </w:t>
      </w:r>
      <w:r w:rsidRPr="00877F81">
        <w:rPr>
          <w:sz w:val="24"/>
          <w:szCs w:val="24"/>
        </w:rPr>
        <w:t>eur z dôvodu slabšieho rastu miezd a menej pri</w:t>
      </w:r>
      <w:r>
        <w:rPr>
          <w:sz w:val="24"/>
          <w:szCs w:val="24"/>
        </w:rPr>
        <w:t>aznivého vývoja zamestnanosti v porovnaní s očakávaniami v </w:t>
      </w:r>
      <w:r w:rsidRPr="00877F81">
        <w:rPr>
          <w:sz w:val="24"/>
          <w:szCs w:val="24"/>
        </w:rPr>
        <w:t>čase prípravy rozpočtu.</w:t>
      </w:r>
    </w:p>
    <w:p w14:paraId="7912BA38" w14:textId="77777777" w:rsidR="009A05C7" w:rsidRPr="00F71637" w:rsidRDefault="009A05C7" w:rsidP="009A05C7">
      <w:pPr>
        <w:spacing w:before="120" w:line="240" w:lineRule="auto"/>
        <w:rPr>
          <w:sz w:val="24"/>
          <w:szCs w:val="24"/>
        </w:rPr>
      </w:pPr>
      <w:r w:rsidRPr="00F71637">
        <w:rPr>
          <w:sz w:val="24"/>
          <w:szCs w:val="24"/>
        </w:rPr>
        <w:t xml:space="preserve">Odhad výnosu </w:t>
      </w:r>
      <w:r w:rsidRPr="00F71637">
        <w:rPr>
          <w:b/>
          <w:sz w:val="24"/>
          <w:szCs w:val="24"/>
        </w:rPr>
        <w:t>DPFO z podnikania</w:t>
      </w:r>
      <w:r w:rsidRPr="00F71637">
        <w:rPr>
          <w:rStyle w:val="Odkaznapoznmkupodiarou"/>
          <w:sz w:val="24"/>
          <w:szCs w:val="24"/>
        </w:rPr>
        <w:footnoteReference w:id="7"/>
      </w:r>
      <w:r w:rsidRPr="00F71637">
        <w:rPr>
          <w:sz w:val="24"/>
          <w:szCs w:val="24"/>
        </w:rPr>
        <w:t xml:space="preserve"> je za rok 202</w:t>
      </w:r>
      <w:r>
        <w:rPr>
          <w:sz w:val="24"/>
          <w:szCs w:val="24"/>
        </w:rPr>
        <w:t xml:space="preserve">4 </w:t>
      </w:r>
      <w:r w:rsidRPr="00F71637">
        <w:rPr>
          <w:sz w:val="24"/>
          <w:szCs w:val="24"/>
        </w:rPr>
        <w:t>o 59</w:t>
      </w:r>
      <w:r>
        <w:rPr>
          <w:sz w:val="24"/>
          <w:szCs w:val="24"/>
        </w:rPr>
        <w:t> </w:t>
      </w:r>
      <w:r w:rsidRPr="00F71637">
        <w:rPr>
          <w:sz w:val="24"/>
          <w:szCs w:val="24"/>
        </w:rPr>
        <w:t>819</w:t>
      </w:r>
      <w:r>
        <w:rPr>
          <w:sz w:val="24"/>
          <w:szCs w:val="24"/>
        </w:rPr>
        <w:t> </w:t>
      </w:r>
      <w:r w:rsidRPr="00F71637">
        <w:rPr>
          <w:sz w:val="24"/>
          <w:szCs w:val="24"/>
        </w:rPr>
        <w:t>tis.</w:t>
      </w:r>
      <w:r>
        <w:rPr>
          <w:sz w:val="24"/>
          <w:szCs w:val="24"/>
        </w:rPr>
        <w:t> </w:t>
      </w:r>
      <w:r w:rsidRPr="00F71637">
        <w:rPr>
          <w:sz w:val="24"/>
          <w:szCs w:val="24"/>
        </w:rPr>
        <w:t xml:space="preserve">eur </w:t>
      </w:r>
      <w:r>
        <w:rPr>
          <w:sz w:val="24"/>
          <w:szCs w:val="24"/>
        </w:rPr>
        <w:t>nižší</w:t>
      </w:r>
      <w:r w:rsidRPr="00F71637">
        <w:rPr>
          <w:sz w:val="24"/>
          <w:szCs w:val="24"/>
        </w:rPr>
        <w:t xml:space="preserve"> ako predpokladal rozpočet. Hlavným dôvodom </w:t>
      </w:r>
      <w:r>
        <w:rPr>
          <w:sz w:val="24"/>
          <w:szCs w:val="24"/>
        </w:rPr>
        <w:t>boli očakávania o vyššom raste ziskovosti živnostníkov za rok 2023, ktoré sa nepotvrdili a tento trend sme preniesli aj na rok 2024. Medzi iné faktory možno zaradiť aj nižší výnos dane u dohodárov a z predaja nehnuteľností.</w:t>
      </w:r>
    </w:p>
    <w:p w14:paraId="414A8E39" w14:textId="77777777" w:rsidR="00A643E2" w:rsidRDefault="00A643E2">
      <w:pPr>
        <w:spacing w:after="160" w:line="259" w:lineRule="auto"/>
        <w:jc w:val="left"/>
        <w:rPr>
          <w:sz w:val="24"/>
          <w:szCs w:val="24"/>
        </w:rPr>
      </w:pPr>
      <w:r>
        <w:rPr>
          <w:sz w:val="24"/>
          <w:szCs w:val="24"/>
        </w:rPr>
        <w:br w:type="page"/>
      </w:r>
    </w:p>
    <w:p w14:paraId="5E7EEA68" w14:textId="7B031BB3" w:rsidR="009A05C7" w:rsidRPr="00A92127" w:rsidRDefault="009A05C7" w:rsidP="009A05C7">
      <w:pPr>
        <w:spacing w:line="240" w:lineRule="auto"/>
        <w:rPr>
          <w:sz w:val="24"/>
          <w:szCs w:val="24"/>
        </w:rPr>
      </w:pPr>
      <w:r w:rsidRPr="00A92127">
        <w:rPr>
          <w:sz w:val="24"/>
          <w:szCs w:val="24"/>
        </w:rPr>
        <w:lastRenderedPageBreak/>
        <w:t xml:space="preserve">Odhad výnosu </w:t>
      </w:r>
      <w:r w:rsidRPr="00A92127">
        <w:rPr>
          <w:b/>
          <w:sz w:val="24"/>
          <w:szCs w:val="24"/>
        </w:rPr>
        <w:t>dane z príjmov právnických osôb</w:t>
      </w:r>
      <w:r w:rsidRPr="00A92127">
        <w:rPr>
          <w:sz w:val="24"/>
          <w:szCs w:val="24"/>
          <w:vertAlign w:val="superscript"/>
        </w:rPr>
        <w:footnoteReference w:id="8"/>
      </w:r>
      <w:r w:rsidRPr="00A92127">
        <w:rPr>
          <w:sz w:val="24"/>
          <w:szCs w:val="24"/>
          <w:vertAlign w:val="superscript"/>
        </w:rPr>
        <w:t xml:space="preserve"> </w:t>
      </w:r>
      <w:r w:rsidRPr="00A92127">
        <w:rPr>
          <w:sz w:val="24"/>
          <w:szCs w:val="24"/>
        </w:rPr>
        <w:t>za rok 2024 je oproti rozpočtu vyšší o</w:t>
      </w:r>
      <w:r>
        <w:rPr>
          <w:sz w:val="24"/>
          <w:szCs w:val="24"/>
        </w:rPr>
        <w:t> </w:t>
      </w:r>
      <w:r w:rsidRPr="00A92127">
        <w:rPr>
          <w:sz w:val="24"/>
          <w:szCs w:val="24"/>
        </w:rPr>
        <w:t>20</w:t>
      </w:r>
      <w:r>
        <w:rPr>
          <w:sz w:val="24"/>
          <w:szCs w:val="24"/>
        </w:rPr>
        <w:t> 126 </w:t>
      </w:r>
      <w:r w:rsidRPr="00A92127">
        <w:rPr>
          <w:sz w:val="24"/>
          <w:szCs w:val="24"/>
        </w:rPr>
        <w:t>tis.</w:t>
      </w:r>
      <w:r>
        <w:rPr>
          <w:sz w:val="24"/>
          <w:szCs w:val="24"/>
        </w:rPr>
        <w:t> </w:t>
      </w:r>
      <w:r w:rsidRPr="00A92127">
        <w:rPr>
          <w:sz w:val="24"/>
          <w:szCs w:val="24"/>
        </w:rPr>
        <w:t>eur. Revízia je postavená najmä na predpokladoch o vývoji ekonomiky v roku 2024 a údajoch o výsledku hospodárenia firiem zverejňovaných Štatistickým úradom Slovenskej republiky. Výrazn</w:t>
      </w:r>
      <w:r>
        <w:rPr>
          <w:sz w:val="24"/>
          <w:szCs w:val="24"/>
        </w:rPr>
        <w:t>ý,</w:t>
      </w:r>
      <w:r w:rsidRPr="00A92127">
        <w:rPr>
          <w:sz w:val="24"/>
          <w:szCs w:val="24"/>
        </w:rPr>
        <w:t xml:space="preserve"> medziročn</w:t>
      </w:r>
      <w:r>
        <w:rPr>
          <w:sz w:val="24"/>
          <w:szCs w:val="24"/>
        </w:rPr>
        <w:t>ý rast</w:t>
      </w:r>
      <w:r w:rsidRPr="00A92127">
        <w:rPr>
          <w:sz w:val="24"/>
          <w:szCs w:val="24"/>
        </w:rPr>
        <w:t xml:space="preserve"> ziskovosti firiem z posledných rokov sa spomalil v dôsledku utlmenia rastu aktivity</w:t>
      </w:r>
      <w:r>
        <w:rPr>
          <w:sz w:val="24"/>
          <w:szCs w:val="24"/>
        </w:rPr>
        <w:t xml:space="preserve"> po období silných rastov v rokoch 2022 a 2023</w:t>
      </w:r>
      <w:r w:rsidRPr="00A92127">
        <w:rPr>
          <w:sz w:val="24"/>
          <w:szCs w:val="24"/>
        </w:rPr>
        <w:t xml:space="preserve">. Medziročne poklesla ziskovosť v sektoroch priemyselnej výroby a obchodu. Výraznejší medziročný rast ziskovosti zaznamenali firmy v sektoroch dodávok elektriny a plynu, </w:t>
      </w:r>
      <w:r>
        <w:rPr>
          <w:sz w:val="24"/>
          <w:szCs w:val="24"/>
        </w:rPr>
        <w:t xml:space="preserve">čo sa prejavilo aj v lepších výnosoch z regulovaného odvodu. Polepšili si aj firmy </w:t>
      </w:r>
      <w:r w:rsidRPr="00A92127">
        <w:rPr>
          <w:sz w:val="24"/>
          <w:szCs w:val="24"/>
        </w:rPr>
        <w:t>v stavebníctve, a tiež firmy v sektoroch dopravy a skladovania a poskytovatelia ubytovacích a stravovacích služieb.</w:t>
      </w:r>
    </w:p>
    <w:p w14:paraId="45F37F8F" w14:textId="77777777" w:rsidR="009A05C7" w:rsidRPr="00C06091" w:rsidRDefault="009A05C7" w:rsidP="009A05C7">
      <w:pPr>
        <w:spacing w:line="240" w:lineRule="auto"/>
        <w:rPr>
          <w:b/>
          <w:sz w:val="24"/>
          <w:szCs w:val="24"/>
        </w:rPr>
      </w:pPr>
      <w:r w:rsidRPr="00121623">
        <w:rPr>
          <w:b/>
          <w:sz w:val="24"/>
          <w:szCs w:val="24"/>
        </w:rPr>
        <w:t xml:space="preserve">Daň z príjmov vyberaná zrážkou </w:t>
      </w:r>
      <w:r>
        <w:rPr>
          <w:bCs/>
          <w:sz w:val="24"/>
          <w:szCs w:val="24"/>
        </w:rPr>
        <w:t>je oproti rozpočtu vyššia</w:t>
      </w:r>
      <w:r w:rsidRPr="00121623">
        <w:rPr>
          <w:bCs/>
          <w:sz w:val="24"/>
          <w:szCs w:val="24"/>
        </w:rPr>
        <w:t xml:space="preserve"> o</w:t>
      </w:r>
      <w:r>
        <w:rPr>
          <w:bCs/>
          <w:sz w:val="24"/>
          <w:szCs w:val="24"/>
        </w:rPr>
        <w:t> </w:t>
      </w:r>
      <w:r w:rsidRPr="00121623">
        <w:rPr>
          <w:bCs/>
          <w:sz w:val="24"/>
          <w:szCs w:val="24"/>
        </w:rPr>
        <w:t>114</w:t>
      </w:r>
      <w:r>
        <w:rPr>
          <w:bCs/>
          <w:sz w:val="24"/>
          <w:szCs w:val="24"/>
        </w:rPr>
        <w:t> </w:t>
      </w:r>
      <w:r w:rsidRPr="00121623">
        <w:rPr>
          <w:bCs/>
          <w:sz w:val="24"/>
          <w:szCs w:val="24"/>
        </w:rPr>
        <w:t>08</w:t>
      </w:r>
      <w:r>
        <w:rPr>
          <w:bCs/>
          <w:sz w:val="24"/>
          <w:szCs w:val="24"/>
        </w:rPr>
        <w:t>1 </w:t>
      </w:r>
      <w:r w:rsidRPr="00121623">
        <w:rPr>
          <w:bCs/>
          <w:sz w:val="24"/>
          <w:szCs w:val="24"/>
        </w:rPr>
        <w:t>tis.</w:t>
      </w:r>
      <w:r>
        <w:rPr>
          <w:bCs/>
          <w:sz w:val="24"/>
          <w:szCs w:val="24"/>
        </w:rPr>
        <w:t> </w:t>
      </w:r>
      <w:r w:rsidRPr="00121623">
        <w:rPr>
          <w:bCs/>
          <w:sz w:val="24"/>
          <w:szCs w:val="24"/>
        </w:rPr>
        <w:t>eur. Približne tri štvrtiny vyššieho</w:t>
      </w:r>
      <w:r>
        <w:rPr>
          <w:bCs/>
          <w:sz w:val="24"/>
          <w:szCs w:val="24"/>
        </w:rPr>
        <w:t xml:space="preserve"> výnosu tvoria vyššie príjmy zo </w:t>
      </w:r>
      <w:r w:rsidRPr="00121623">
        <w:rPr>
          <w:bCs/>
          <w:sz w:val="24"/>
          <w:szCs w:val="24"/>
        </w:rPr>
        <w:t>zdanenia vkladov. Úroková miera po</w:t>
      </w:r>
      <w:r>
        <w:rPr>
          <w:bCs/>
          <w:sz w:val="24"/>
          <w:szCs w:val="24"/>
        </w:rPr>
        <w:t> dlhodobom poklese od </w:t>
      </w:r>
      <w:r w:rsidRPr="00121623">
        <w:rPr>
          <w:bCs/>
          <w:sz w:val="24"/>
          <w:szCs w:val="24"/>
        </w:rPr>
        <w:t>roku 2022 postupné rástla. Na príjm</w:t>
      </w:r>
      <w:r>
        <w:rPr>
          <w:bCs/>
          <w:sz w:val="24"/>
          <w:szCs w:val="24"/>
        </w:rPr>
        <w:t>och zo </w:t>
      </w:r>
      <w:r w:rsidRPr="00121623">
        <w:rPr>
          <w:bCs/>
          <w:sz w:val="24"/>
          <w:szCs w:val="24"/>
        </w:rPr>
        <w:t>zdanenia úrokových výnosov sa to však premietalo len postupne</w:t>
      </w:r>
      <w:r>
        <w:rPr>
          <w:bCs/>
          <w:sz w:val="24"/>
          <w:szCs w:val="24"/>
        </w:rPr>
        <w:t xml:space="preserve">, </w:t>
      </w:r>
      <w:r w:rsidRPr="00DB0460">
        <w:rPr>
          <w:bCs/>
          <w:sz w:val="24"/>
          <w:szCs w:val="24"/>
        </w:rPr>
        <w:t>čo sa dá vysvetliť viazanosťou terminovaných vkladov. Kým najvýraznejší rast úrokov bol už</w:t>
      </w:r>
      <w:r>
        <w:rPr>
          <w:bCs/>
          <w:sz w:val="24"/>
          <w:szCs w:val="24"/>
        </w:rPr>
        <w:t xml:space="preserve"> v </w:t>
      </w:r>
      <w:r w:rsidRPr="00121623">
        <w:rPr>
          <w:bCs/>
          <w:sz w:val="24"/>
          <w:szCs w:val="24"/>
        </w:rPr>
        <w:t>roku 2023, najväčší nárast dane nastal v</w:t>
      </w:r>
      <w:r>
        <w:rPr>
          <w:bCs/>
          <w:sz w:val="24"/>
          <w:szCs w:val="24"/>
        </w:rPr>
        <w:t> </w:t>
      </w:r>
      <w:r w:rsidRPr="00121623">
        <w:rPr>
          <w:bCs/>
          <w:sz w:val="24"/>
          <w:szCs w:val="24"/>
        </w:rPr>
        <w:t>roku 2024. V</w:t>
      </w:r>
      <w:r>
        <w:rPr>
          <w:bCs/>
          <w:sz w:val="24"/>
          <w:szCs w:val="24"/>
        </w:rPr>
        <w:t>ýrazne vyššie boli aj príjmy zo </w:t>
      </w:r>
      <w:r w:rsidRPr="00121623">
        <w:rPr>
          <w:bCs/>
          <w:sz w:val="24"/>
          <w:szCs w:val="24"/>
        </w:rPr>
        <w:t>zdanenia</w:t>
      </w:r>
      <w:r>
        <w:rPr>
          <w:bCs/>
          <w:sz w:val="24"/>
          <w:szCs w:val="24"/>
        </w:rPr>
        <w:t xml:space="preserve"> podielových fondov a </w:t>
      </w:r>
      <w:r w:rsidRPr="00121623">
        <w:rPr>
          <w:bCs/>
          <w:sz w:val="24"/>
          <w:szCs w:val="24"/>
        </w:rPr>
        <w:t>dividend.</w:t>
      </w:r>
    </w:p>
    <w:p w14:paraId="29715A61" w14:textId="77777777" w:rsidR="009A05C7" w:rsidRPr="00C315AE" w:rsidRDefault="009A05C7" w:rsidP="009A05C7">
      <w:pPr>
        <w:spacing w:line="240" w:lineRule="auto"/>
        <w:rPr>
          <w:sz w:val="24"/>
          <w:szCs w:val="24"/>
          <w:highlight w:val="yellow"/>
        </w:rPr>
      </w:pPr>
      <w:r w:rsidRPr="00963545">
        <w:rPr>
          <w:sz w:val="24"/>
          <w:szCs w:val="24"/>
        </w:rPr>
        <w:t xml:space="preserve">Výnos </w:t>
      </w:r>
      <w:r w:rsidRPr="00963545">
        <w:rPr>
          <w:b/>
          <w:sz w:val="24"/>
          <w:szCs w:val="24"/>
        </w:rPr>
        <w:t>dane z pridanej hodnoty</w:t>
      </w:r>
      <w:r w:rsidRPr="00963545">
        <w:rPr>
          <w:sz w:val="24"/>
          <w:szCs w:val="24"/>
          <w:vertAlign w:val="superscript"/>
        </w:rPr>
        <w:footnoteReference w:id="9"/>
      </w:r>
      <w:r w:rsidRPr="00963545">
        <w:rPr>
          <w:sz w:val="24"/>
          <w:szCs w:val="24"/>
        </w:rPr>
        <w:t xml:space="preserve"> </w:t>
      </w:r>
      <w:r>
        <w:rPr>
          <w:sz w:val="24"/>
          <w:szCs w:val="24"/>
        </w:rPr>
        <w:t>je za rok 2024 o 1</w:t>
      </w:r>
      <w:r w:rsidRPr="00963545">
        <w:rPr>
          <w:sz w:val="24"/>
          <w:szCs w:val="24"/>
        </w:rPr>
        <w:t>77</w:t>
      </w:r>
      <w:r>
        <w:rPr>
          <w:sz w:val="24"/>
          <w:szCs w:val="24"/>
        </w:rPr>
        <w:t> </w:t>
      </w:r>
      <w:r w:rsidRPr="00963545">
        <w:rPr>
          <w:sz w:val="24"/>
          <w:szCs w:val="24"/>
        </w:rPr>
        <w:t>142</w:t>
      </w:r>
      <w:r>
        <w:rPr>
          <w:sz w:val="24"/>
          <w:szCs w:val="24"/>
        </w:rPr>
        <w:t> </w:t>
      </w:r>
      <w:r w:rsidRPr="00963545">
        <w:rPr>
          <w:sz w:val="24"/>
          <w:szCs w:val="24"/>
        </w:rPr>
        <w:t>tis.</w:t>
      </w:r>
      <w:r>
        <w:rPr>
          <w:sz w:val="24"/>
          <w:szCs w:val="24"/>
        </w:rPr>
        <w:t> </w:t>
      </w:r>
      <w:r w:rsidRPr="00963545">
        <w:rPr>
          <w:sz w:val="24"/>
          <w:szCs w:val="24"/>
        </w:rPr>
        <w:t>eur</w:t>
      </w:r>
      <w:r>
        <w:rPr>
          <w:sz w:val="24"/>
          <w:szCs w:val="24"/>
        </w:rPr>
        <w:t xml:space="preserve"> nižší ako predpokladal rozpočet. Ide o plnenie dane na úrovni 98,2 %, pričom skutočný výnos ovplyvnila kombinácia dodatočných pozitívnych a negatívnych faktorov</w:t>
      </w:r>
      <w:r w:rsidRPr="00963545">
        <w:rPr>
          <w:sz w:val="24"/>
          <w:szCs w:val="24"/>
        </w:rPr>
        <w:t>.</w:t>
      </w:r>
      <w:r>
        <w:rPr>
          <w:sz w:val="24"/>
          <w:szCs w:val="24"/>
        </w:rPr>
        <w:t xml:space="preserve"> Výnos oproti rozpočtu negatívne poznačilo predovšetkým nenaplnenie očakávaní v oblasti čerpania prostriedkov z Plánu obnovy a odolnosti a zhoršenie makroekonomického vývoja. Koncom roka 2024 výnos dane potiahol najmä zvýšený predaj tovarov dlhodobej spotreby pred avizovaným navýšením základnej sadzby</w:t>
      </w:r>
      <w:r>
        <w:rPr>
          <w:rStyle w:val="Odkaznapoznmkupodiarou"/>
          <w:sz w:val="24"/>
          <w:szCs w:val="24"/>
        </w:rPr>
        <w:footnoteReference w:id="10"/>
      </w:r>
      <w:r>
        <w:rPr>
          <w:sz w:val="24"/>
          <w:szCs w:val="24"/>
        </w:rPr>
        <w:t xml:space="preserve"> a jednorazová platba dane plynúca z nákupu obrannej techniky.</w:t>
      </w:r>
    </w:p>
    <w:p w14:paraId="7CA51560" w14:textId="77777777" w:rsidR="009A05C7" w:rsidRPr="00B15F16" w:rsidRDefault="009A05C7" w:rsidP="009A05C7">
      <w:pPr>
        <w:spacing w:line="240" w:lineRule="auto"/>
        <w:rPr>
          <w:sz w:val="24"/>
          <w:szCs w:val="24"/>
        </w:rPr>
      </w:pPr>
      <w:r w:rsidRPr="00B15F16">
        <w:rPr>
          <w:sz w:val="24"/>
          <w:szCs w:val="24"/>
        </w:rPr>
        <w:t xml:space="preserve">Výnos </w:t>
      </w:r>
      <w:r w:rsidRPr="00B15F16">
        <w:rPr>
          <w:b/>
          <w:sz w:val="24"/>
          <w:szCs w:val="24"/>
        </w:rPr>
        <w:t>spotrebných daní</w:t>
      </w:r>
      <w:r w:rsidRPr="00B15F16">
        <w:rPr>
          <w:sz w:val="24"/>
          <w:szCs w:val="24"/>
        </w:rPr>
        <w:t xml:space="preserve"> za rok 2024 je oproti rozpočtu nižší o</w:t>
      </w:r>
      <w:r>
        <w:rPr>
          <w:sz w:val="24"/>
          <w:szCs w:val="24"/>
        </w:rPr>
        <w:t> </w:t>
      </w:r>
      <w:r w:rsidRPr="00B15F16">
        <w:rPr>
          <w:sz w:val="24"/>
          <w:szCs w:val="24"/>
        </w:rPr>
        <w:t>95</w:t>
      </w:r>
      <w:r>
        <w:rPr>
          <w:sz w:val="24"/>
          <w:szCs w:val="24"/>
        </w:rPr>
        <w:t> </w:t>
      </w:r>
      <w:r w:rsidRPr="00B15F16">
        <w:rPr>
          <w:sz w:val="24"/>
          <w:szCs w:val="24"/>
        </w:rPr>
        <w:t>17</w:t>
      </w:r>
      <w:r>
        <w:rPr>
          <w:sz w:val="24"/>
          <w:szCs w:val="24"/>
        </w:rPr>
        <w:t>0 </w:t>
      </w:r>
      <w:r w:rsidRPr="00B15F16">
        <w:rPr>
          <w:sz w:val="24"/>
          <w:szCs w:val="24"/>
        </w:rPr>
        <w:t>tis.</w:t>
      </w:r>
      <w:r>
        <w:rPr>
          <w:sz w:val="24"/>
          <w:szCs w:val="24"/>
        </w:rPr>
        <w:t> </w:t>
      </w:r>
      <w:r w:rsidRPr="00B15F16">
        <w:rPr>
          <w:sz w:val="24"/>
          <w:szCs w:val="24"/>
        </w:rPr>
        <w:t>eur. Rozpočtované hodnoty sa naplnili pri spotrebných daniach z minerálneho oleja, z uhlia a z piva. Najvyššie výpadky v porovnaní s rozpočtom zaznamenali spotrebné dane z liehu a z tabakových výrobkov. Výnos spotrebnej dane z liehu nedos</w:t>
      </w:r>
      <w:r>
        <w:rPr>
          <w:sz w:val="24"/>
          <w:szCs w:val="24"/>
        </w:rPr>
        <w:t>iahol rozpočtovanú hodnotu o 77 </w:t>
      </w:r>
      <w:r w:rsidRPr="00B15F16">
        <w:rPr>
          <w:sz w:val="24"/>
          <w:szCs w:val="24"/>
        </w:rPr>
        <w:t>302</w:t>
      </w:r>
      <w:r>
        <w:rPr>
          <w:sz w:val="24"/>
          <w:szCs w:val="24"/>
        </w:rPr>
        <w:t> </w:t>
      </w:r>
      <w:r w:rsidRPr="00B15F16">
        <w:rPr>
          <w:sz w:val="24"/>
          <w:szCs w:val="24"/>
        </w:rPr>
        <w:t>tis.</w:t>
      </w:r>
      <w:r>
        <w:rPr>
          <w:sz w:val="24"/>
          <w:szCs w:val="24"/>
        </w:rPr>
        <w:t> </w:t>
      </w:r>
      <w:r w:rsidRPr="00B15F16">
        <w:rPr>
          <w:sz w:val="24"/>
          <w:szCs w:val="24"/>
        </w:rPr>
        <w:t>eur. Jeho plnenie bolo v roku 2024 ovplyvnené najmä legislatívnym zvýšením sadzieb v rokoch 2023 a 2024. S tým bolo spojené nepredvídateľné predzásobenie obchodníkov, ktorého hodnota za</w:t>
      </w:r>
      <w:r>
        <w:rPr>
          <w:sz w:val="24"/>
          <w:szCs w:val="24"/>
        </w:rPr>
        <w:t> </w:t>
      </w:r>
      <w:r w:rsidRPr="00B15F16">
        <w:rPr>
          <w:sz w:val="24"/>
          <w:szCs w:val="24"/>
        </w:rPr>
        <w:t>december 2023 bola odhadnutá na približne 34</w:t>
      </w:r>
      <w:r>
        <w:rPr>
          <w:sz w:val="24"/>
          <w:szCs w:val="24"/>
        </w:rPr>
        <w:t> </w:t>
      </w:r>
      <w:r w:rsidRPr="00B15F16">
        <w:rPr>
          <w:sz w:val="24"/>
          <w:szCs w:val="24"/>
        </w:rPr>
        <w:t>mil.</w:t>
      </w:r>
      <w:r>
        <w:rPr>
          <w:sz w:val="24"/>
          <w:szCs w:val="24"/>
        </w:rPr>
        <w:t> </w:t>
      </w:r>
      <w:r w:rsidRPr="00B15F16">
        <w:rPr>
          <w:sz w:val="24"/>
          <w:szCs w:val="24"/>
        </w:rPr>
        <w:t>eur</w:t>
      </w:r>
      <w:r>
        <w:rPr>
          <w:sz w:val="24"/>
          <w:szCs w:val="24"/>
        </w:rPr>
        <w:t>, z toho 2 mil. eur bol výpadok na výnose dane z titulu vyššej sadzby od januára 2024.</w:t>
      </w:r>
      <w:r w:rsidRPr="00B15F16">
        <w:rPr>
          <w:sz w:val="24"/>
          <w:szCs w:val="24"/>
        </w:rPr>
        <w:t xml:space="preserve"> </w:t>
      </w:r>
      <w:r>
        <w:rPr>
          <w:sz w:val="24"/>
          <w:szCs w:val="24"/>
        </w:rPr>
        <w:t xml:space="preserve">Predzásobenie </w:t>
      </w:r>
      <w:r w:rsidRPr="00B15F16">
        <w:rPr>
          <w:sz w:val="24"/>
          <w:szCs w:val="24"/>
        </w:rPr>
        <w:t>negatívne ovplyvnil</w:t>
      </w:r>
      <w:r>
        <w:rPr>
          <w:sz w:val="24"/>
          <w:szCs w:val="24"/>
        </w:rPr>
        <w:t>o</w:t>
      </w:r>
      <w:r w:rsidRPr="00B15F16">
        <w:rPr>
          <w:sz w:val="24"/>
          <w:szCs w:val="24"/>
        </w:rPr>
        <w:t xml:space="preserve"> výnos v roku 2024. Legislatívne vplyvy zvýšenia sadzieb boli v skutočnosti nižšie o približne 17</w:t>
      </w:r>
      <w:r>
        <w:rPr>
          <w:sz w:val="24"/>
          <w:szCs w:val="24"/>
        </w:rPr>
        <w:t> </w:t>
      </w:r>
      <w:r w:rsidRPr="00B15F16">
        <w:rPr>
          <w:sz w:val="24"/>
          <w:szCs w:val="24"/>
        </w:rPr>
        <w:t>mil.</w:t>
      </w:r>
      <w:r>
        <w:rPr>
          <w:sz w:val="24"/>
          <w:szCs w:val="24"/>
        </w:rPr>
        <w:t> </w:t>
      </w:r>
      <w:r w:rsidRPr="00B15F16">
        <w:rPr>
          <w:sz w:val="24"/>
          <w:szCs w:val="24"/>
        </w:rPr>
        <w:t xml:space="preserve">eur. K nenaplneniu rozpočtovanej úrovne prispeli aj </w:t>
      </w:r>
      <w:r>
        <w:rPr>
          <w:sz w:val="24"/>
          <w:szCs w:val="24"/>
        </w:rPr>
        <w:t xml:space="preserve">horšie plnenie </w:t>
      </w:r>
      <w:r w:rsidRPr="00B15F16">
        <w:rPr>
          <w:sz w:val="24"/>
          <w:szCs w:val="24"/>
        </w:rPr>
        <w:t>makroekonomických predpokladov a pokles dopytu zo strany spotrebiteľov.</w:t>
      </w:r>
      <w:r>
        <w:rPr>
          <w:sz w:val="24"/>
          <w:szCs w:val="24"/>
        </w:rPr>
        <w:t xml:space="preserve"> </w:t>
      </w:r>
      <w:r w:rsidRPr="00B15F16">
        <w:rPr>
          <w:sz w:val="24"/>
          <w:szCs w:val="24"/>
        </w:rPr>
        <w:t>Výnos spotrebnej dane z tabakových výrobkov je o</w:t>
      </w:r>
      <w:r>
        <w:rPr>
          <w:sz w:val="24"/>
          <w:szCs w:val="24"/>
        </w:rPr>
        <w:t> </w:t>
      </w:r>
      <w:r w:rsidRPr="00B15F16">
        <w:rPr>
          <w:sz w:val="24"/>
          <w:szCs w:val="24"/>
        </w:rPr>
        <w:t>22</w:t>
      </w:r>
      <w:r>
        <w:rPr>
          <w:sz w:val="24"/>
          <w:szCs w:val="24"/>
        </w:rPr>
        <w:t> </w:t>
      </w:r>
      <w:r w:rsidRPr="00B15F16">
        <w:rPr>
          <w:sz w:val="24"/>
          <w:szCs w:val="24"/>
        </w:rPr>
        <w:t>16</w:t>
      </w:r>
      <w:r>
        <w:rPr>
          <w:sz w:val="24"/>
          <w:szCs w:val="24"/>
        </w:rPr>
        <w:t>1 </w:t>
      </w:r>
      <w:r w:rsidRPr="00B15F16">
        <w:rPr>
          <w:sz w:val="24"/>
          <w:szCs w:val="24"/>
        </w:rPr>
        <w:t>tis.</w:t>
      </w:r>
      <w:r>
        <w:rPr>
          <w:sz w:val="24"/>
          <w:szCs w:val="24"/>
        </w:rPr>
        <w:t> </w:t>
      </w:r>
      <w:r w:rsidRPr="00B15F16">
        <w:rPr>
          <w:sz w:val="24"/>
          <w:szCs w:val="24"/>
        </w:rPr>
        <w:t>eur nižší v porovnaní s rozpočtom. Pozitívne na</w:t>
      </w:r>
      <w:r>
        <w:rPr>
          <w:sz w:val="24"/>
          <w:szCs w:val="24"/>
        </w:rPr>
        <w:t> </w:t>
      </w:r>
      <w:r w:rsidRPr="00B15F16">
        <w:rPr>
          <w:sz w:val="24"/>
          <w:szCs w:val="24"/>
        </w:rPr>
        <w:t>výnos vplývalo zvýšenie sadzieb spotrebnej dane, ktorého vplyv však bol nižší</w:t>
      </w:r>
      <w:r>
        <w:rPr>
          <w:sz w:val="24"/>
          <w:szCs w:val="24"/>
        </w:rPr>
        <w:t xml:space="preserve"> v porovnaní</w:t>
      </w:r>
      <w:r w:rsidRPr="00B15F16">
        <w:rPr>
          <w:sz w:val="24"/>
          <w:szCs w:val="24"/>
        </w:rPr>
        <w:t xml:space="preserve"> s rozpočtovanými očakávaniami približne o</w:t>
      </w:r>
      <w:r>
        <w:rPr>
          <w:sz w:val="24"/>
          <w:szCs w:val="24"/>
        </w:rPr>
        <w:t> </w:t>
      </w:r>
      <w:r w:rsidRPr="00B15F16">
        <w:rPr>
          <w:sz w:val="24"/>
          <w:szCs w:val="24"/>
        </w:rPr>
        <w:t>5</w:t>
      </w:r>
      <w:r>
        <w:rPr>
          <w:sz w:val="24"/>
          <w:szCs w:val="24"/>
        </w:rPr>
        <w:t> </w:t>
      </w:r>
      <w:r w:rsidRPr="00B15F16">
        <w:rPr>
          <w:sz w:val="24"/>
          <w:szCs w:val="24"/>
        </w:rPr>
        <w:t>mil.</w:t>
      </w:r>
      <w:r>
        <w:rPr>
          <w:sz w:val="24"/>
          <w:szCs w:val="24"/>
        </w:rPr>
        <w:t> </w:t>
      </w:r>
      <w:r w:rsidRPr="00B15F16">
        <w:rPr>
          <w:sz w:val="24"/>
          <w:szCs w:val="24"/>
        </w:rPr>
        <w:t>eur. Predĺžením dopredaja cigariet so starou sadzbou z dvoch mesiacov na tri je výnos dane nižší o ďalších približne 10</w:t>
      </w:r>
      <w:r>
        <w:rPr>
          <w:sz w:val="24"/>
          <w:szCs w:val="24"/>
        </w:rPr>
        <w:t> </w:t>
      </w:r>
      <w:r w:rsidRPr="00B15F16">
        <w:rPr>
          <w:sz w:val="24"/>
          <w:szCs w:val="24"/>
        </w:rPr>
        <w:t>mil.</w:t>
      </w:r>
      <w:r>
        <w:rPr>
          <w:sz w:val="24"/>
          <w:szCs w:val="24"/>
        </w:rPr>
        <w:t> </w:t>
      </w:r>
      <w:r w:rsidRPr="00B15F16">
        <w:rPr>
          <w:sz w:val="24"/>
          <w:szCs w:val="24"/>
        </w:rPr>
        <w:t>eur. K nenaplneniu dane mierne prispel aj horší vývoj makroekonomickej základne (spotreba domácností).</w:t>
      </w:r>
    </w:p>
    <w:p w14:paraId="6431F16B" w14:textId="77777777" w:rsidR="009A05C7" w:rsidRPr="000A3752" w:rsidRDefault="009A05C7" w:rsidP="009A05C7">
      <w:pPr>
        <w:spacing w:line="240" w:lineRule="auto"/>
        <w:rPr>
          <w:sz w:val="24"/>
          <w:szCs w:val="24"/>
        </w:rPr>
      </w:pPr>
      <w:r w:rsidRPr="000A3752">
        <w:rPr>
          <w:sz w:val="24"/>
          <w:szCs w:val="24"/>
        </w:rPr>
        <w:lastRenderedPageBreak/>
        <w:t>Príjem z </w:t>
      </w:r>
      <w:r w:rsidRPr="000A3752">
        <w:rPr>
          <w:b/>
          <w:bCs/>
          <w:sz w:val="24"/>
          <w:szCs w:val="24"/>
        </w:rPr>
        <w:t>osobitného odvodu z podnikania v regulovaných odvetviach</w:t>
      </w:r>
      <w:r w:rsidRPr="000A3752">
        <w:rPr>
          <w:sz w:val="24"/>
          <w:szCs w:val="24"/>
        </w:rPr>
        <w:t xml:space="preserve"> bol oproti rozpočtu vyšší o 22</w:t>
      </w:r>
      <w:r>
        <w:rPr>
          <w:sz w:val="24"/>
          <w:szCs w:val="24"/>
        </w:rPr>
        <w:t> </w:t>
      </w:r>
      <w:r w:rsidRPr="000A3752">
        <w:rPr>
          <w:sz w:val="24"/>
          <w:szCs w:val="24"/>
        </w:rPr>
        <w:t>209</w:t>
      </w:r>
      <w:r>
        <w:rPr>
          <w:sz w:val="24"/>
          <w:szCs w:val="24"/>
        </w:rPr>
        <w:t> </w:t>
      </w:r>
      <w:r w:rsidRPr="000A3752">
        <w:rPr>
          <w:sz w:val="24"/>
          <w:szCs w:val="24"/>
        </w:rPr>
        <w:t>tis.</w:t>
      </w:r>
      <w:r>
        <w:rPr>
          <w:sz w:val="24"/>
          <w:szCs w:val="24"/>
        </w:rPr>
        <w:t> </w:t>
      </w:r>
      <w:r w:rsidRPr="000A3752">
        <w:rPr>
          <w:sz w:val="24"/>
          <w:szCs w:val="24"/>
        </w:rPr>
        <w:t>eur. Za vyšším výnosom sú predovšetkým lepšie príjmy firiem pôsobiacich v</w:t>
      </w:r>
      <w:r>
        <w:rPr>
          <w:sz w:val="24"/>
          <w:szCs w:val="24"/>
        </w:rPr>
        <w:t> </w:t>
      </w:r>
      <w:r w:rsidRPr="000A3752">
        <w:rPr>
          <w:sz w:val="24"/>
          <w:szCs w:val="24"/>
        </w:rPr>
        <w:t>energetickom sektore, kde ziskovosti firiem pomohla hlavne situácia na trhu s energiami.</w:t>
      </w:r>
    </w:p>
    <w:p w14:paraId="6B07854A" w14:textId="65B5F676" w:rsidR="009A05C7" w:rsidRDefault="009A05C7" w:rsidP="009A05C7">
      <w:pPr>
        <w:spacing w:line="240" w:lineRule="auto"/>
        <w:rPr>
          <w:sz w:val="24"/>
          <w:szCs w:val="24"/>
        </w:rPr>
      </w:pPr>
      <w:r>
        <w:rPr>
          <w:sz w:val="24"/>
          <w:szCs w:val="24"/>
        </w:rPr>
        <w:t xml:space="preserve">Výbery </w:t>
      </w:r>
      <w:r w:rsidRPr="001C74D6">
        <w:rPr>
          <w:b/>
          <w:bCs/>
          <w:sz w:val="24"/>
          <w:szCs w:val="24"/>
        </w:rPr>
        <w:t>sociálnych a zdravotných odvodov</w:t>
      </w:r>
      <w:r w:rsidR="004A2C04">
        <w:rPr>
          <w:sz w:val="24"/>
          <w:szCs w:val="24"/>
        </w:rPr>
        <w:t xml:space="preserve"> sledujú opačné trendy pri </w:t>
      </w:r>
      <w:r>
        <w:rPr>
          <w:sz w:val="24"/>
          <w:szCs w:val="24"/>
        </w:rPr>
        <w:t xml:space="preserve">porovnaní s prognózou. Aj keď oba odvody boli pod vplyvom slabšieho makroekonomického vývoja, výberu </w:t>
      </w:r>
      <w:r w:rsidRPr="00C72A2D">
        <w:rPr>
          <w:b/>
          <w:bCs/>
          <w:sz w:val="24"/>
          <w:szCs w:val="24"/>
        </w:rPr>
        <w:t>sociálnych odvodov</w:t>
      </w:r>
      <w:r>
        <w:rPr>
          <w:sz w:val="24"/>
          <w:szCs w:val="24"/>
        </w:rPr>
        <w:t xml:space="preserve"> pomohlo oddlženie nemocníc, ktoré navýšilo príjmy o dodatočných 167 000 tis. eur na výbere dlžného. Dlžné okrem tohto vplyvu zaznamenalo ďalší dodatočný výber v sume 49 901 tis. eur oproti prognóze. Odvody od EAO zaznamenali nižší výber o 190 377 tis. eur. Z toho 16 702 tis. eur tvorila nová legislatíva odpustenia odvodov potravinárskemu sektoru a približne 47 551 mil. eur spôsobil vyšší odvod do</w:t>
      </w:r>
      <w:r w:rsidR="00091E03">
        <w:rPr>
          <w:sz w:val="24"/>
          <w:szCs w:val="24"/>
        </w:rPr>
        <w:t> </w:t>
      </w:r>
      <w:r>
        <w:rPr>
          <w:sz w:val="24"/>
          <w:szCs w:val="24"/>
        </w:rPr>
        <w:t>II. piliera, ktorý Sociálna poisťovňa poslala do SDS nad rámec očakávaní z decembra (na</w:t>
      </w:r>
      <w:r w:rsidR="00091E03">
        <w:rPr>
          <w:sz w:val="24"/>
          <w:szCs w:val="24"/>
        </w:rPr>
        <w:t> </w:t>
      </w:r>
      <w:r>
        <w:rPr>
          <w:sz w:val="24"/>
          <w:szCs w:val="24"/>
        </w:rPr>
        <w:t>úkor výberu do I. piliera).</w:t>
      </w:r>
    </w:p>
    <w:p w14:paraId="1A91458C" w14:textId="09AC9863" w:rsidR="009A05C7" w:rsidRDefault="009A05C7" w:rsidP="009A05C7">
      <w:pPr>
        <w:spacing w:line="240" w:lineRule="auto"/>
        <w:rPr>
          <w:sz w:val="24"/>
          <w:szCs w:val="24"/>
        </w:rPr>
      </w:pPr>
      <w:r w:rsidRPr="001C74D6">
        <w:rPr>
          <w:b/>
          <w:bCs/>
          <w:sz w:val="24"/>
          <w:szCs w:val="24"/>
        </w:rPr>
        <w:t>Zdravotné odvody</w:t>
      </w:r>
      <w:r>
        <w:rPr>
          <w:sz w:val="24"/>
          <w:szCs w:val="24"/>
        </w:rPr>
        <w:t xml:space="preserve"> zaznamenali rovnako slabší výber EAO o 34 719 tis. eur v dôsledku makroekonomického vývoja. Tento pokles však bol z časti kompenzovaný lepším výberom v ročnom zúčtovaní zdravotného poistenia, ktoré oproti prognóze prinieslo dodatočných 14 094 tis. eur.</w:t>
      </w:r>
    </w:p>
    <w:p w14:paraId="3D5EB394" w14:textId="77777777" w:rsidR="00882557" w:rsidRDefault="00882557" w:rsidP="009A05C7">
      <w:pPr>
        <w:spacing w:line="240" w:lineRule="auto"/>
        <w:rPr>
          <w:sz w:val="24"/>
          <w:szCs w:val="24"/>
        </w:rPr>
      </w:pPr>
    </w:p>
    <w:p w14:paraId="5225C16F" w14:textId="010B921E" w:rsidR="009A05C7" w:rsidRPr="00AD12E2" w:rsidRDefault="009A05C7" w:rsidP="009A05C7">
      <w:pPr>
        <w:spacing w:before="120" w:line="240" w:lineRule="auto"/>
        <w:rPr>
          <w:b/>
          <w:color w:val="5B9BD5" w:themeColor="accent1"/>
          <w:sz w:val="24"/>
          <w:szCs w:val="24"/>
          <w:highlight w:val="yellow"/>
        </w:rPr>
      </w:pPr>
      <w:r w:rsidRPr="00C8001B">
        <w:rPr>
          <w:b/>
          <w:color w:val="5B9BD5" w:themeColor="accent1"/>
          <w:sz w:val="24"/>
          <w:szCs w:val="24"/>
        </w:rPr>
        <w:t>Dividendy vs. Superdividendy</w:t>
      </w:r>
      <w:r>
        <w:rPr>
          <w:b/>
          <w:color w:val="5B9BD5" w:themeColor="accent1"/>
          <w:sz w:val="24"/>
          <w:szCs w:val="24"/>
        </w:rPr>
        <w:t xml:space="preserve"> </w:t>
      </w:r>
    </w:p>
    <w:p w14:paraId="0D7A944C" w14:textId="13794EDD" w:rsidR="009A05C7" w:rsidRPr="00AD12E2" w:rsidRDefault="009A05C7" w:rsidP="009A05C7">
      <w:pPr>
        <w:spacing w:before="120" w:line="240" w:lineRule="auto"/>
        <w:rPr>
          <w:sz w:val="24"/>
          <w:szCs w:val="24"/>
          <w:highlight w:val="yellow"/>
        </w:rPr>
      </w:pPr>
      <w:r w:rsidRPr="00C8001B">
        <w:rPr>
          <w:b/>
          <w:sz w:val="24"/>
          <w:szCs w:val="24"/>
        </w:rPr>
        <w:t>Konsolidovaný príjem z dividend</w:t>
      </w:r>
      <w:r w:rsidR="003A686F">
        <w:rPr>
          <w:rStyle w:val="Odkaznapoznmkupodiarou"/>
          <w:b/>
          <w:sz w:val="24"/>
          <w:szCs w:val="24"/>
        </w:rPr>
        <w:footnoteReference w:id="11"/>
      </w:r>
      <w:r w:rsidRPr="00C8001B">
        <w:rPr>
          <w:b/>
          <w:sz w:val="24"/>
          <w:szCs w:val="24"/>
        </w:rPr>
        <w:t xml:space="preserve"> a odvodov zo zisku pre rok 2024</w:t>
      </w:r>
      <w:r w:rsidRPr="00C8001B">
        <w:rPr>
          <w:sz w:val="24"/>
          <w:szCs w:val="24"/>
        </w:rPr>
        <w:t xml:space="preserve"> bol rozpočtovaný vo</w:t>
      </w:r>
      <w:r w:rsidR="0042587D">
        <w:rPr>
          <w:sz w:val="24"/>
          <w:szCs w:val="24"/>
        </w:rPr>
        <w:t> </w:t>
      </w:r>
      <w:r w:rsidRPr="00C8001B">
        <w:rPr>
          <w:sz w:val="24"/>
          <w:szCs w:val="24"/>
        </w:rPr>
        <w:t xml:space="preserve">výške 515 749 tis. eur. </w:t>
      </w:r>
      <w:r w:rsidRPr="0051796B">
        <w:rPr>
          <w:sz w:val="24"/>
          <w:szCs w:val="24"/>
        </w:rPr>
        <w:t>Skutočný príjem z dividend a odvodov zo zisku za rok 2024 bol vo</w:t>
      </w:r>
      <w:r w:rsidR="0042587D">
        <w:rPr>
          <w:sz w:val="24"/>
          <w:szCs w:val="24"/>
        </w:rPr>
        <w:t> </w:t>
      </w:r>
      <w:r w:rsidRPr="0051796B">
        <w:rPr>
          <w:sz w:val="24"/>
          <w:szCs w:val="24"/>
        </w:rPr>
        <w:t xml:space="preserve">výške 538 581 tis. eur. </w:t>
      </w:r>
      <w:r>
        <w:rPr>
          <w:sz w:val="24"/>
          <w:szCs w:val="24"/>
        </w:rPr>
        <w:t>V</w:t>
      </w:r>
      <w:r w:rsidRPr="00D86D07">
        <w:rPr>
          <w:sz w:val="24"/>
          <w:szCs w:val="24"/>
        </w:rPr>
        <w:t xml:space="preserve">o výške 8 000 tis. eur </w:t>
      </w:r>
      <w:r>
        <w:rPr>
          <w:sz w:val="24"/>
          <w:szCs w:val="24"/>
        </w:rPr>
        <w:t>bola vykázaná k 3.12.2024 pohľadávka z</w:t>
      </w:r>
      <w:r w:rsidR="0042587D">
        <w:rPr>
          <w:sz w:val="24"/>
          <w:szCs w:val="24"/>
        </w:rPr>
        <w:t> </w:t>
      </w:r>
      <w:r w:rsidRPr="00D86D07">
        <w:rPr>
          <w:sz w:val="24"/>
          <w:szCs w:val="24"/>
        </w:rPr>
        <w:t xml:space="preserve">priznaných </w:t>
      </w:r>
      <w:r>
        <w:rPr>
          <w:sz w:val="24"/>
          <w:szCs w:val="24"/>
        </w:rPr>
        <w:t xml:space="preserve">darov pre zriaďovateľa </w:t>
      </w:r>
      <w:r w:rsidR="00166452">
        <w:rPr>
          <w:sz w:val="24"/>
          <w:szCs w:val="24"/>
        </w:rPr>
        <w:t>Vodohospodár</w:t>
      </w:r>
      <w:r w:rsidR="00FB6032">
        <w:rPr>
          <w:sz w:val="24"/>
          <w:szCs w:val="24"/>
        </w:rPr>
        <w:t>skej výstavby</w:t>
      </w:r>
      <w:r w:rsidR="00166452">
        <w:rPr>
          <w:sz w:val="24"/>
          <w:szCs w:val="24"/>
        </w:rPr>
        <w:t>, </w:t>
      </w:r>
      <w:r>
        <w:rPr>
          <w:sz w:val="24"/>
          <w:szCs w:val="24"/>
        </w:rPr>
        <w:t xml:space="preserve">š. p. </w:t>
      </w:r>
      <w:r w:rsidRPr="00D86D07">
        <w:rPr>
          <w:sz w:val="24"/>
          <w:szCs w:val="24"/>
        </w:rPr>
        <w:t xml:space="preserve">v roku 2024 s termínom úhrady </w:t>
      </w:r>
      <w:r w:rsidRPr="0051796B">
        <w:rPr>
          <w:sz w:val="24"/>
          <w:szCs w:val="24"/>
        </w:rPr>
        <w:t>v roku 2025</w:t>
      </w:r>
      <w:r>
        <w:rPr>
          <w:sz w:val="24"/>
          <w:szCs w:val="24"/>
        </w:rPr>
        <w:t>.</w:t>
      </w:r>
    </w:p>
    <w:p w14:paraId="3297DA56" w14:textId="5036B01D" w:rsidR="009A05C7" w:rsidRPr="005A16C6" w:rsidRDefault="009A05C7" w:rsidP="009A05C7">
      <w:pPr>
        <w:spacing w:line="240" w:lineRule="auto"/>
        <w:rPr>
          <w:sz w:val="24"/>
          <w:szCs w:val="24"/>
        </w:rPr>
      </w:pPr>
      <w:r w:rsidRPr="00C65A90">
        <w:rPr>
          <w:sz w:val="24"/>
          <w:szCs w:val="24"/>
        </w:rPr>
        <w:t xml:space="preserve">Dividendy a odvody zo zisku, ktoré sú príjmom </w:t>
      </w:r>
      <w:r w:rsidR="003A686F">
        <w:rPr>
          <w:sz w:val="24"/>
          <w:szCs w:val="24"/>
        </w:rPr>
        <w:t xml:space="preserve">rozpočtu verejnej správy </w:t>
      </w:r>
      <w:r w:rsidRPr="00C65A90">
        <w:rPr>
          <w:sz w:val="24"/>
          <w:szCs w:val="24"/>
        </w:rPr>
        <w:t>podľa metodiky ESA 2010 za príslušný rok, dosiahli výšku 546 581 tis. eur, čo je oproti rozpočtu viac o 30 832 tis. eur. Rozdiel bol spôsobený najmä vyšším podielom na zisku vyplateným z Vodohospodárskej výstavby,</w:t>
      </w:r>
      <w:r w:rsidR="00166452">
        <w:rPr>
          <w:sz w:val="24"/>
          <w:szCs w:val="24"/>
        </w:rPr>
        <w:t> </w:t>
      </w:r>
      <w:r w:rsidRPr="00C65A90">
        <w:rPr>
          <w:sz w:val="24"/>
          <w:szCs w:val="24"/>
        </w:rPr>
        <w:t>š. p. (vrátane poskytnutých darov), pričom práve poskytnuté dary, v celkovej výške 21 318 tis. eur, boli zdrojom rozdielu oproti rozpočtu,</w:t>
      </w:r>
      <w:r>
        <w:rPr>
          <w:sz w:val="24"/>
          <w:szCs w:val="24"/>
        </w:rPr>
        <w:t xml:space="preserve"> z dôvodu ich nerozpočtovania</w:t>
      </w:r>
      <w:r w:rsidR="00FB6032">
        <w:rPr>
          <w:rStyle w:val="Odkaznapoznmkupodiarou"/>
          <w:sz w:val="24"/>
          <w:szCs w:val="24"/>
        </w:rPr>
        <w:footnoteReference w:id="12"/>
      </w:r>
      <w:r>
        <w:rPr>
          <w:sz w:val="24"/>
          <w:szCs w:val="24"/>
        </w:rPr>
        <w:t>.</w:t>
      </w:r>
    </w:p>
    <w:p w14:paraId="4078AC3E" w14:textId="77F13A2C" w:rsidR="009A05C7" w:rsidRDefault="009A05C7" w:rsidP="00FB6032">
      <w:pPr>
        <w:spacing w:line="240" w:lineRule="auto"/>
        <w:rPr>
          <w:sz w:val="24"/>
          <w:szCs w:val="24"/>
          <w:highlight w:val="yellow"/>
        </w:rPr>
      </w:pPr>
      <w:r w:rsidRPr="005A16C6">
        <w:rPr>
          <w:sz w:val="24"/>
          <w:szCs w:val="24"/>
        </w:rPr>
        <w:t>Z celkovej výšky posky</w:t>
      </w:r>
      <w:r>
        <w:rPr>
          <w:sz w:val="24"/>
          <w:szCs w:val="24"/>
        </w:rPr>
        <w:t>tnutých darov predstavuje 8 000 tis. </w:t>
      </w:r>
      <w:r w:rsidRPr="005A16C6">
        <w:rPr>
          <w:sz w:val="24"/>
          <w:szCs w:val="24"/>
        </w:rPr>
        <w:t>eur pohľadávku splatnú v roku 2025.</w:t>
      </w:r>
      <w:r w:rsidR="00FB6032">
        <w:rPr>
          <w:sz w:val="24"/>
          <w:szCs w:val="24"/>
        </w:rPr>
        <w:t xml:space="preserve"> </w:t>
      </w:r>
      <w:r w:rsidRPr="005A16C6">
        <w:rPr>
          <w:sz w:val="24"/>
          <w:szCs w:val="24"/>
        </w:rPr>
        <w:t xml:space="preserve">Pri spoločnosti Slovenská </w:t>
      </w:r>
      <w:r>
        <w:rPr>
          <w:sz w:val="24"/>
          <w:szCs w:val="24"/>
        </w:rPr>
        <w:t>elektrizačná prenosová sústava, </w:t>
      </w:r>
      <w:r w:rsidRPr="005A16C6">
        <w:rPr>
          <w:sz w:val="24"/>
          <w:szCs w:val="24"/>
        </w:rPr>
        <w:t>a.</w:t>
      </w:r>
      <w:r>
        <w:rPr>
          <w:sz w:val="24"/>
          <w:szCs w:val="24"/>
        </w:rPr>
        <w:t> s. bola zaznamenaná</w:t>
      </w:r>
      <w:r w:rsidRPr="005A16C6">
        <w:rPr>
          <w:sz w:val="24"/>
          <w:szCs w:val="24"/>
        </w:rPr>
        <w:t xml:space="preserve"> vyššia dividenda oproti rozpočtu o</w:t>
      </w:r>
      <w:r>
        <w:rPr>
          <w:sz w:val="24"/>
          <w:szCs w:val="24"/>
        </w:rPr>
        <w:t> 10 070 tis. </w:t>
      </w:r>
      <w:r w:rsidRPr="005A16C6">
        <w:rPr>
          <w:sz w:val="24"/>
          <w:szCs w:val="24"/>
        </w:rPr>
        <w:t>eur vplyvom vyššieho zisku generovaného z prevádzkovej činnosti.</w:t>
      </w:r>
    </w:p>
    <w:p w14:paraId="0367C20D" w14:textId="3853CF38" w:rsidR="00D96E6C" w:rsidRPr="00D96E6C" w:rsidRDefault="00D96E6C" w:rsidP="00D96E6C">
      <w:pPr>
        <w:pStyle w:val="Popis"/>
        <w:keepNext/>
        <w:spacing w:after="120"/>
        <w:rPr>
          <w:b/>
          <w:i w:val="0"/>
          <w:color w:val="5B9BD5" w:themeColor="accent1"/>
          <w:sz w:val="20"/>
          <w:szCs w:val="20"/>
        </w:rPr>
      </w:pPr>
      <w:bookmarkStart w:id="45" w:name="_Toc196313636"/>
      <w:bookmarkStart w:id="46" w:name="_Toc196389257"/>
      <w:r w:rsidRPr="00D96E6C">
        <w:rPr>
          <w:b/>
          <w:i w:val="0"/>
          <w:color w:val="5B9BD5" w:themeColor="accent1"/>
          <w:sz w:val="20"/>
          <w:szCs w:val="20"/>
        </w:rPr>
        <w:t xml:space="preserve">Tabuľka </w:t>
      </w:r>
      <w:r w:rsidR="003B7AF0">
        <w:rPr>
          <w:b/>
          <w:i w:val="0"/>
          <w:color w:val="5B9BD5" w:themeColor="accent1"/>
          <w:sz w:val="20"/>
          <w:szCs w:val="20"/>
        </w:rPr>
        <w:fldChar w:fldCharType="begin"/>
      </w:r>
      <w:r w:rsidR="003B7AF0">
        <w:rPr>
          <w:b/>
          <w:i w:val="0"/>
          <w:color w:val="5B9BD5" w:themeColor="accent1"/>
          <w:sz w:val="20"/>
          <w:szCs w:val="20"/>
        </w:rPr>
        <w:instrText xml:space="preserve"> SEQ Tabuľka \* ARABIC </w:instrText>
      </w:r>
      <w:r w:rsidR="003B7AF0">
        <w:rPr>
          <w:b/>
          <w:i w:val="0"/>
          <w:color w:val="5B9BD5" w:themeColor="accent1"/>
          <w:sz w:val="20"/>
          <w:szCs w:val="20"/>
        </w:rPr>
        <w:fldChar w:fldCharType="separate"/>
      </w:r>
      <w:r w:rsidR="00C64CBA">
        <w:rPr>
          <w:b/>
          <w:i w:val="0"/>
          <w:noProof/>
          <w:color w:val="5B9BD5" w:themeColor="accent1"/>
          <w:sz w:val="20"/>
          <w:szCs w:val="20"/>
        </w:rPr>
        <w:t>10</w:t>
      </w:r>
      <w:r w:rsidR="003B7AF0">
        <w:rPr>
          <w:b/>
          <w:i w:val="0"/>
          <w:color w:val="5B9BD5" w:themeColor="accent1"/>
          <w:sz w:val="20"/>
          <w:szCs w:val="20"/>
        </w:rPr>
        <w:fldChar w:fldCharType="end"/>
      </w:r>
      <w:r w:rsidRPr="00D96E6C">
        <w:rPr>
          <w:b/>
          <w:i w:val="0"/>
          <w:color w:val="5B9BD5" w:themeColor="accent1"/>
          <w:sz w:val="20"/>
          <w:szCs w:val="20"/>
        </w:rPr>
        <w:t xml:space="preserve"> - Príjmy z dividend a odvodov zo zisku </w:t>
      </w:r>
      <w:r w:rsidR="00F60902">
        <w:rPr>
          <w:b/>
          <w:i w:val="0"/>
          <w:color w:val="5B9BD5" w:themeColor="accent1"/>
          <w:sz w:val="20"/>
          <w:szCs w:val="20"/>
        </w:rPr>
        <w:t>v metodike</w:t>
      </w:r>
      <w:r w:rsidRPr="00D96E6C">
        <w:rPr>
          <w:b/>
          <w:i w:val="0"/>
          <w:color w:val="5B9BD5" w:themeColor="accent1"/>
          <w:sz w:val="20"/>
          <w:szCs w:val="20"/>
        </w:rPr>
        <w:t xml:space="preserve"> ESA2010</w:t>
      </w:r>
      <w:bookmarkEnd w:id="45"/>
      <w:bookmarkEnd w:id="46"/>
    </w:p>
    <w:tbl>
      <w:tblPr>
        <w:tblW w:w="5000" w:type="pct"/>
        <w:tblCellMar>
          <w:left w:w="70" w:type="dxa"/>
          <w:right w:w="70" w:type="dxa"/>
        </w:tblCellMar>
        <w:tblLook w:val="04A0" w:firstRow="1" w:lastRow="0" w:firstColumn="1" w:lastColumn="0" w:noHBand="0" w:noVBand="1"/>
      </w:tblPr>
      <w:tblGrid>
        <w:gridCol w:w="4109"/>
        <w:gridCol w:w="965"/>
        <w:gridCol w:w="964"/>
        <w:gridCol w:w="964"/>
        <w:gridCol w:w="964"/>
        <w:gridCol w:w="964"/>
      </w:tblGrid>
      <w:tr w:rsidR="009A05C7" w:rsidRPr="00274557" w14:paraId="515C9172" w14:textId="77777777" w:rsidTr="00134CE1">
        <w:trPr>
          <w:trHeight w:val="290"/>
          <w:tblHeader/>
        </w:trPr>
        <w:tc>
          <w:tcPr>
            <w:tcW w:w="2300" w:type="pct"/>
            <w:vMerge w:val="restart"/>
            <w:tcBorders>
              <w:top w:val="single" w:sz="4" w:space="0" w:color="auto"/>
              <w:left w:val="nil"/>
              <w:bottom w:val="single" w:sz="8" w:space="0" w:color="000000"/>
              <w:right w:val="nil"/>
            </w:tcBorders>
            <w:shd w:val="clear" w:color="auto" w:fill="auto"/>
            <w:vAlign w:val="center"/>
            <w:hideMark/>
          </w:tcPr>
          <w:p w14:paraId="42EB9BF8" w14:textId="77777777" w:rsidR="009A05C7" w:rsidRPr="00274557" w:rsidRDefault="009A05C7" w:rsidP="000240DA">
            <w:pPr>
              <w:spacing w:after="0" w:line="240" w:lineRule="auto"/>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 v tis. eur</w:t>
            </w:r>
          </w:p>
        </w:tc>
        <w:tc>
          <w:tcPr>
            <w:tcW w:w="540" w:type="pct"/>
            <w:tcBorders>
              <w:top w:val="single" w:sz="4" w:space="0" w:color="auto"/>
              <w:left w:val="nil"/>
              <w:bottom w:val="nil"/>
              <w:right w:val="nil"/>
            </w:tcBorders>
            <w:shd w:val="clear" w:color="auto" w:fill="auto"/>
            <w:vAlign w:val="center"/>
            <w:hideMark/>
          </w:tcPr>
          <w:p w14:paraId="63CB5361" w14:textId="77777777" w:rsidR="009A05C7" w:rsidRPr="00274557" w:rsidRDefault="009A05C7" w:rsidP="000240DA">
            <w:pPr>
              <w:spacing w:after="0" w:line="240" w:lineRule="auto"/>
              <w:jc w:val="center"/>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2022 S</w:t>
            </w:r>
          </w:p>
        </w:tc>
        <w:tc>
          <w:tcPr>
            <w:tcW w:w="540" w:type="pct"/>
            <w:tcBorders>
              <w:top w:val="single" w:sz="4" w:space="0" w:color="auto"/>
              <w:left w:val="nil"/>
              <w:bottom w:val="nil"/>
              <w:right w:val="nil"/>
            </w:tcBorders>
            <w:shd w:val="clear" w:color="auto" w:fill="auto"/>
            <w:vAlign w:val="center"/>
            <w:hideMark/>
          </w:tcPr>
          <w:p w14:paraId="0A4AABB9" w14:textId="77777777" w:rsidR="009A05C7" w:rsidRPr="00274557" w:rsidRDefault="009A05C7" w:rsidP="000240DA">
            <w:pPr>
              <w:spacing w:after="0" w:line="240" w:lineRule="auto"/>
              <w:jc w:val="center"/>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2023 S</w:t>
            </w:r>
          </w:p>
        </w:tc>
        <w:tc>
          <w:tcPr>
            <w:tcW w:w="540" w:type="pct"/>
            <w:tcBorders>
              <w:top w:val="single" w:sz="4" w:space="0" w:color="auto"/>
              <w:left w:val="nil"/>
              <w:bottom w:val="nil"/>
              <w:right w:val="nil"/>
            </w:tcBorders>
            <w:shd w:val="clear" w:color="auto" w:fill="auto"/>
            <w:vAlign w:val="center"/>
            <w:hideMark/>
          </w:tcPr>
          <w:p w14:paraId="6DAA98DE" w14:textId="77777777" w:rsidR="009A05C7" w:rsidRPr="00274557" w:rsidRDefault="009A05C7" w:rsidP="000240DA">
            <w:pPr>
              <w:spacing w:after="0" w:line="240" w:lineRule="auto"/>
              <w:jc w:val="center"/>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2024 R</w:t>
            </w:r>
          </w:p>
        </w:tc>
        <w:tc>
          <w:tcPr>
            <w:tcW w:w="540" w:type="pct"/>
            <w:tcBorders>
              <w:top w:val="single" w:sz="4" w:space="0" w:color="auto"/>
              <w:left w:val="nil"/>
              <w:bottom w:val="nil"/>
              <w:right w:val="nil"/>
            </w:tcBorders>
            <w:shd w:val="clear" w:color="auto" w:fill="auto"/>
            <w:vAlign w:val="center"/>
            <w:hideMark/>
          </w:tcPr>
          <w:p w14:paraId="44B7737C" w14:textId="77777777" w:rsidR="009A05C7" w:rsidRPr="00274557" w:rsidRDefault="009A05C7" w:rsidP="000240DA">
            <w:pPr>
              <w:spacing w:after="0" w:line="240" w:lineRule="auto"/>
              <w:jc w:val="center"/>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2024 S</w:t>
            </w:r>
          </w:p>
        </w:tc>
        <w:tc>
          <w:tcPr>
            <w:tcW w:w="540" w:type="pct"/>
            <w:tcBorders>
              <w:top w:val="single" w:sz="4" w:space="0" w:color="auto"/>
              <w:left w:val="nil"/>
              <w:bottom w:val="nil"/>
              <w:right w:val="nil"/>
            </w:tcBorders>
            <w:shd w:val="clear" w:color="auto" w:fill="auto"/>
            <w:vAlign w:val="center"/>
            <w:hideMark/>
          </w:tcPr>
          <w:p w14:paraId="4CD6392F" w14:textId="77777777" w:rsidR="009A05C7" w:rsidRPr="00274557" w:rsidRDefault="009A05C7" w:rsidP="000240DA">
            <w:pPr>
              <w:spacing w:after="0" w:line="240" w:lineRule="auto"/>
              <w:jc w:val="center"/>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 xml:space="preserve">Rozdiel </w:t>
            </w:r>
          </w:p>
        </w:tc>
      </w:tr>
      <w:tr w:rsidR="009A05C7" w:rsidRPr="00274557" w14:paraId="671CAF4A" w14:textId="77777777" w:rsidTr="00134CE1">
        <w:trPr>
          <w:trHeight w:val="300"/>
          <w:tblHeader/>
        </w:trPr>
        <w:tc>
          <w:tcPr>
            <w:tcW w:w="2300" w:type="pct"/>
            <w:vMerge/>
            <w:tcBorders>
              <w:top w:val="single" w:sz="8" w:space="0" w:color="auto"/>
              <w:left w:val="nil"/>
              <w:bottom w:val="single" w:sz="4" w:space="0" w:color="auto"/>
              <w:right w:val="nil"/>
            </w:tcBorders>
            <w:vAlign w:val="center"/>
            <w:hideMark/>
          </w:tcPr>
          <w:p w14:paraId="6744A64B" w14:textId="77777777" w:rsidR="009A05C7" w:rsidRPr="00274557" w:rsidRDefault="009A05C7" w:rsidP="000240DA">
            <w:pPr>
              <w:spacing w:after="0" w:line="240" w:lineRule="auto"/>
              <w:jc w:val="left"/>
              <w:rPr>
                <w:rFonts w:eastAsia="Times New Roman" w:cs="Times New Roman"/>
                <w:b/>
                <w:bCs/>
                <w:color w:val="000000"/>
                <w:sz w:val="18"/>
                <w:szCs w:val="18"/>
                <w:lang w:eastAsia="sk-SK"/>
              </w:rPr>
            </w:pPr>
          </w:p>
        </w:tc>
        <w:tc>
          <w:tcPr>
            <w:tcW w:w="540" w:type="pct"/>
            <w:tcBorders>
              <w:top w:val="nil"/>
              <w:left w:val="nil"/>
              <w:bottom w:val="single" w:sz="4" w:space="0" w:color="auto"/>
              <w:right w:val="nil"/>
            </w:tcBorders>
            <w:shd w:val="clear" w:color="auto" w:fill="auto"/>
            <w:vAlign w:val="center"/>
            <w:hideMark/>
          </w:tcPr>
          <w:p w14:paraId="4FAC69F4" w14:textId="77777777" w:rsidR="009A05C7" w:rsidRPr="00274557" w:rsidRDefault="009A05C7" w:rsidP="000240DA">
            <w:pPr>
              <w:spacing w:after="0" w:line="240" w:lineRule="auto"/>
              <w:jc w:val="center"/>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1</w:t>
            </w:r>
          </w:p>
        </w:tc>
        <w:tc>
          <w:tcPr>
            <w:tcW w:w="540" w:type="pct"/>
            <w:tcBorders>
              <w:top w:val="nil"/>
              <w:left w:val="nil"/>
              <w:bottom w:val="single" w:sz="4" w:space="0" w:color="auto"/>
              <w:right w:val="nil"/>
            </w:tcBorders>
            <w:shd w:val="clear" w:color="auto" w:fill="auto"/>
            <w:vAlign w:val="center"/>
            <w:hideMark/>
          </w:tcPr>
          <w:p w14:paraId="2469A643" w14:textId="77777777" w:rsidR="009A05C7" w:rsidRPr="00274557" w:rsidRDefault="009A05C7" w:rsidP="000240DA">
            <w:pPr>
              <w:spacing w:after="0" w:line="240" w:lineRule="auto"/>
              <w:jc w:val="center"/>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2</w:t>
            </w:r>
          </w:p>
        </w:tc>
        <w:tc>
          <w:tcPr>
            <w:tcW w:w="540" w:type="pct"/>
            <w:tcBorders>
              <w:top w:val="nil"/>
              <w:left w:val="nil"/>
              <w:bottom w:val="single" w:sz="4" w:space="0" w:color="auto"/>
              <w:right w:val="nil"/>
            </w:tcBorders>
            <w:shd w:val="clear" w:color="auto" w:fill="auto"/>
            <w:vAlign w:val="center"/>
            <w:hideMark/>
          </w:tcPr>
          <w:p w14:paraId="041C0C0B" w14:textId="77777777" w:rsidR="009A05C7" w:rsidRPr="00274557" w:rsidRDefault="009A05C7" w:rsidP="000240DA">
            <w:pPr>
              <w:spacing w:after="0" w:line="240" w:lineRule="auto"/>
              <w:jc w:val="center"/>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3</w:t>
            </w:r>
          </w:p>
        </w:tc>
        <w:tc>
          <w:tcPr>
            <w:tcW w:w="540" w:type="pct"/>
            <w:tcBorders>
              <w:top w:val="nil"/>
              <w:left w:val="nil"/>
              <w:bottom w:val="single" w:sz="4" w:space="0" w:color="auto"/>
              <w:right w:val="nil"/>
            </w:tcBorders>
            <w:shd w:val="clear" w:color="auto" w:fill="auto"/>
            <w:vAlign w:val="center"/>
            <w:hideMark/>
          </w:tcPr>
          <w:p w14:paraId="4306C236" w14:textId="77777777" w:rsidR="009A05C7" w:rsidRPr="00274557" w:rsidRDefault="009A05C7" w:rsidP="000240DA">
            <w:pPr>
              <w:spacing w:after="0" w:line="240" w:lineRule="auto"/>
              <w:jc w:val="center"/>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4</w:t>
            </w:r>
          </w:p>
        </w:tc>
        <w:tc>
          <w:tcPr>
            <w:tcW w:w="540" w:type="pct"/>
            <w:tcBorders>
              <w:top w:val="nil"/>
              <w:left w:val="nil"/>
              <w:bottom w:val="single" w:sz="4" w:space="0" w:color="auto"/>
              <w:right w:val="nil"/>
            </w:tcBorders>
            <w:shd w:val="clear" w:color="auto" w:fill="auto"/>
            <w:vAlign w:val="center"/>
            <w:hideMark/>
          </w:tcPr>
          <w:p w14:paraId="75555EA4" w14:textId="77777777" w:rsidR="009A05C7" w:rsidRPr="00274557" w:rsidRDefault="009A05C7" w:rsidP="000240DA">
            <w:pPr>
              <w:spacing w:after="0" w:line="240" w:lineRule="auto"/>
              <w:jc w:val="center"/>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5=4-3</w:t>
            </w:r>
          </w:p>
        </w:tc>
      </w:tr>
      <w:tr w:rsidR="009A05C7" w:rsidRPr="00274557" w14:paraId="072251BC" w14:textId="77777777" w:rsidTr="00134CE1">
        <w:trPr>
          <w:trHeight w:val="460"/>
        </w:trPr>
        <w:tc>
          <w:tcPr>
            <w:tcW w:w="2300" w:type="pct"/>
            <w:tcBorders>
              <w:top w:val="single" w:sz="4" w:space="0" w:color="auto"/>
              <w:left w:val="nil"/>
              <w:bottom w:val="nil"/>
              <w:right w:val="nil"/>
            </w:tcBorders>
            <w:shd w:val="clear" w:color="auto" w:fill="auto"/>
            <w:vAlign w:val="center"/>
            <w:hideMark/>
          </w:tcPr>
          <w:p w14:paraId="527D9182" w14:textId="77777777" w:rsidR="009A05C7" w:rsidRPr="00274557" w:rsidRDefault="009A05C7" w:rsidP="000240DA">
            <w:pPr>
              <w:spacing w:after="0" w:line="240" w:lineRule="auto"/>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Nekonsolidované príjmy z dividend a odvodov zo zisku</w:t>
            </w:r>
          </w:p>
        </w:tc>
        <w:tc>
          <w:tcPr>
            <w:tcW w:w="540" w:type="pct"/>
            <w:tcBorders>
              <w:top w:val="single" w:sz="4" w:space="0" w:color="auto"/>
              <w:left w:val="nil"/>
              <w:bottom w:val="nil"/>
              <w:right w:val="nil"/>
            </w:tcBorders>
            <w:shd w:val="clear" w:color="auto" w:fill="auto"/>
            <w:vAlign w:val="center"/>
            <w:hideMark/>
          </w:tcPr>
          <w:p w14:paraId="36440A15"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388 533</w:t>
            </w:r>
          </w:p>
        </w:tc>
        <w:tc>
          <w:tcPr>
            <w:tcW w:w="540" w:type="pct"/>
            <w:tcBorders>
              <w:top w:val="single" w:sz="4" w:space="0" w:color="auto"/>
              <w:left w:val="nil"/>
              <w:bottom w:val="nil"/>
              <w:right w:val="nil"/>
            </w:tcBorders>
            <w:shd w:val="clear" w:color="auto" w:fill="auto"/>
            <w:vAlign w:val="center"/>
            <w:hideMark/>
          </w:tcPr>
          <w:p w14:paraId="6B43AA02"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374 609</w:t>
            </w:r>
          </w:p>
        </w:tc>
        <w:tc>
          <w:tcPr>
            <w:tcW w:w="540" w:type="pct"/>
            <w:tcBorders>
              <w:top w:val="single" w:sz="4" w:space="0" w:color="auto"/>
              <w:left w:val="nil"/>
              <w:bottom w:val="nil"/>
              <w:right w:val="nil"/>
            </w:tcBorders>
            <w:shd w:val="clear" w:color="auto" w:fill="auto"/>
            <w:vAlign w:val="center"/>
            <w:hideMark/>
          </w:tcPr>
          <w:p w14:paraId="1DDDFB86"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518 227</w:t>
            </w:r>
          </w:p>
        </w:tc>
        <w:tc>
          <w:tcPr>
            <w:tcW w:w="540" w:type="pct"/>
            <w:tcBorders>
              <w:top w:val="single" w:sz="4" w:space="0" w:color="auto"/>
              <w:left w:val="nil"/>
              <w:bottom w:val="nil"/>
              <w:right w:val="nil"/>
            </w:tcBorders>
            <w:shd w:val="clear" w:color="auto" w:fill="auto"/>
            <w:vAlign w:val="center"/>
            <w:hideMark/>
          </w:tcPr>
          <w:p w14:paraId="680713A0"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551 876</w:t>
            </w:r>
          </w:p>
        </w:tc>
        <w:tc>
          <w:tcPr>
            <w:tcW w:w="540" w:type="pct"/>
            <w:tcBorders>
              <w:top w:val="single" w:sz="4" w:space="0" w:color="auto"/>
              <w:left w:val="nil"/>
              <w:bottom w:val="nil"/>
              <w:right w:val="nil"/>
            </w:tcBorders>
            <w:shd w:val="clear" w:color="auto" w:fill="auto"/>
            <w:vAlign w:val="center"/>
            <w:hideMark/>
          </w:tcPr>
          <w:p w14:paraId="7288DA0E"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33 649</w:t>
            </w:r>
          </w:p>
        </w:tc>
      </w:tr>
      <w:tr w:rsidR="009A05C7" w:rsidRPr="00274557" w14:paraId="39A7180A" w14:textId="77777777" w:rsidTr="00134CE1">
        <w:trPr>
          <w:trHeight w:val="290"/>
        </w:trPr>
        <w:tc>
          <w:tcPr>
            <w:tcW w:w="2300" w:type="pct"/>
            <w:tcBorders>
              <w:top w:val="nil"/>
              <w:left w:val="nil"/>
              <w:right w:val="nil"/>
            </w:tcBorders>
            <w:shd w:val="clear" w:color="auto" w:fill="auto"/>
            <w:vAlign w:val="center"/>
            <w:hideMark/>
          </w:tcPr>
          <w:p w14:paraId="4AA65C82" w14:textId="77777777" w:rsidR="009A05C7" w:rsidRPr="00274557" w:rsidRDefault="009A05C7" w:rsidP="000240DA">
            <w:pPr>
              <w:spacing w:after="0"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riadne dividendy a odvody zo zisku</w:t>
            </w:r>
          </w:p>
        </w:tc>
        <w:tc>
          <w:tcPr>
            <w:tcW w:w="540" w:type="pct"/>
            <w:tcBorders>
              <w:top w:val="nil"/>
              <w:left w:val="nil"/>
              <w:right w:val="nil"/>
            </w:tcBorders>
            <w:shd w:val="clear" w:color="auto" w:fill="auto"/>
            <w:vAlign w:val="center"/>
            <w:hideMark/>
          </w:tcPr>
          <w:p w14:paraId="6B37BE71"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318 511</w:t>
            </w:r>
          </w:p>
        </w:tc>
        <w:tc>
          <w:tcPr>
            <w:tcW w:w="540" w:type="pct"/>
            <w:tcBorders>
              <w:top w:val="nil"/>
              <w:left w:val="nil"/>
              <w:right w:val="nil"/>
            </w:tcBorders>
            <w:shd w:val="clear" w:color="auto" w:fill="auto"/>
            <w:vAlign w:val="center"/>
            <w:hideMark/>
          </w:tcPr>
          <w:p w14:paraId="5491DF60"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349 038</w:t>
            </w:r>
          </w:p>
        </w:tc>
        <w:tc>
          <w:tcPr>
            <w:tcW w:w="540" w:type="pct"/>
            <w:tcBorders>
              <w:top w:val="nil"/>
              <w:left w:val="nil"/>
              <w:right w:val="nil"/>
            </w:tcBorders>
            <w:shd w:val="clear" w:color="auto" w:fill="auto"/>
            <w:vAlign w:val="center"/>
            <w:hideMark/>
          </w:tcPr>
          <w:p w14:paraId="7B33361F"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354 010</w:t>
            </w:r>
          </w:p>
        </w:tc>
        <w:tc>
          <w:tcPr>
            <w:tcW w:w="540" w:type="pct"/>
            <w:tcBorders>
              <w:top w:val="nil"/>
              <w:left w:val="nil"/>
              <w:right w:val="nil"/>
            </w:tcBorders>
            <w:shd w:val="clear" w:color="auto" w:fill="auto"/>
            <w:vAlign w:val="center"/>
            <w:hideMark/>
          </w:tcPr>
          <w:p w14:paraId="76B031B4"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398 455</w:t>
            </w:r>
          </w:p>
        </w:tc>
        <w:tc>
          <w:tcPr>
            <w:tcW w:w="540" w:type="pct"/>
            <w:tcBorders>
              <w:top w:val="nil"/>
              <w:left w:val="nil"/>
              <w:right w:val="nil"/>
            </w:tcBorders>
            <w:shd w:val="clear" w:color="auto" w:fill="auto"/>
            <w:vAlign w:val="center"/>
            <w:hideMark/>
          </w:tcPr>
          <w:p w14:paraId="606FBCB3"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44 445</w:t>
            </w:r>
          </w:p>
        </w:tc>
      </w:tr>
      <w:tr w:rsidR="009A05C7" w:rsidRPr="00274557" w14:paraId="11EDD95F" w14:textId="77777777" w:rsidTr="00134CE1">
        <w:trPr>
          <w:trHeight w:val="300"/>
        </w:trPr>
        <w:tc>
          <w:tcPr>
            <w:tcW w:w="2300" w:type="pct"/>
            <w:tcBorders>
              <w:top w:val="nil"/>
              <w:left w:val="nil"/>
              <w:bottom w:val="single" w:sz="4" w:space="0" w:color="auto"/>
              <w:right w:val="nil"/>
            </w:tcBorders>
            <w:shd w:val="clear" w:color="auto" w:fill="auto"/>
            <w:vAlign w:val="center"/>
            <w:hideMark/>
          </w:tcPr>
          <w:p w14:paraId="5A51F885" w14:textId="77777777" w:rsidR="009A05C7" w:rsidRPr="00274557" w:rsidRDefault="009A05C7" w:rsidP="000240DA">
            <w:pPr>
              <w:spacing w:after="0"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superdividendy</w:t>
            </w:r>
          </w:p>
        </w:tc>
        <w:tc>
          <w:tcPr>
            <w:tcW w:w="540" w:type="pct"/>
            <w:tcBorders>
              <w:top w:val="nil"/>
              <w:left w:val="nil"/>
              <w:bottom w:val="single" w:sz="4" w:space="0" w:color="auto"/>
              <w:right w:val="nil"/>
            </w:tcBorders>
            <w:shd w:val="clear" w:color="auto" w:fill="auto"/>
            <w:vAlign w:val="center"/>
            <w:hideMark/>
          </w:tcPr>
          <w:p w14:paraId="15B7EBB3"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70 022</w:t>
            </w:r>
          </w:p>
        </w:tc>
        <w:tc>
          <w:tcPr>
            <w:tcW w:w="540" w:type="pct"/>
            <w:tcBorders>
              <w:top w:val="nil"/>
              <w:left w:val="nil"/>
              <w:bottom w:val="single" w:sz="4" w:space="0" w:color="auto"/>
              <w:right w:val="nil"/>
            </w:tcBorders>
            <w:shd w:val="clear" w:color="auto" w:fill="auto"/>
            <w:vAlign w:val="center"/>
            <w:hideMark/>
          </w:tcPr>
          <w:p w14:paraId="4BD9DC49"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25 571</w:t>
            </w:r>
          </w:p>
        </w:tc>
        <w:tc>
          <w:tcPr>
            <w:tcW w:w="540" w:type="pct"/>
            <w:tcBorders>
              <w:top w:val="nil"/>
              <w:left w:val="nil"/>
              <w:bottom w:val="single" w:sz="4" w:space="0" w:color="auto"/>
              <w:right w:val="nil"/>
            </w:tcBorders>
            <w:shd w:val="clear" w:color="auto" w:fill="auto"/>
            <w:vAlign w:val="center"/>
            <w:hideMark/>
          </w:tcPr>
          <w:p w14:paraId="7FE4C770"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164 217</w:t>
            </w:r>
          </w:p>
        </w:tc>
        <w:tc>
          <w:tcPr>
            <w:tcW w:w="540" w:type="pct"/>
            <w:tcBorders>
              <w:top w:val="nil"/>
              <w:left w:val="nil"/>
              <w:bottom w:val="single" w:sz="4" w:space="0" w:color="auto"/>
              <w:right w:val="nil"/>
            </w:tcBorders>
            <w:shd w:val="clear" w:color="auto" w:fill="auto"/>
            <w:vAlign w:val="center"/>
            <w:hideMark/>
          </w:tcPr>
          <w:p w14:paraId="06C41B9C"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153 421</w:t>
            </w:r>
          </w:p>
        </w:tc>
        <w:tc>
          <w:tcPr>
            <w:tcW w:w="540" w:type="pct"/>
            <w:tcBorders>
              <w:top w:val="nil"/>
              <w:left w:val="nil"/>
              <w:bottom w:val="single" w:sz="4" w:space="0" w:color="auto"/>
              <w:right w:val="nil"/>
            </w:tcBorders>
            <w:shd w:val="clear" w:color="auto" w:fill="auto"/>
            <w:vAlign w:val="center"/>
            <w:hideMark/>
          </w:tcPr>
          <w:p w14:paraId="2C63F655"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-10 796</w:t>
            </w:r>
          </w:p>
        </w:tc>
      </w:tr>
      <w:tr w:rsidR="009A05C7" w:rsidRPr="00274557" w14:paraId="0FA07B92" w14:textId="77777777" w:rsidTr="00134CE1">
        <w:trPr>
          <w:trHeight w:val="460"/>
        </w:trPr>
        <w:tc>
          <w:tcPr>
            <w:tcW w:w="2300" w:type="pct"/>
            <w:tcBorders>
              <w:top w:val="single" w:sz="4" w:space="0" w:color="auto"/>
              <w:left w:val="nil"/>
              <w:bottom w:val="nil"/>
              <w:right w:val="nil"/>
            </w:tcBorders>
            <w:shd w:val="clear" w:color="auto" w:fill="auto"/>
            <w:vAlign w:val="center"/>
            <w:hideMark/>
          </w:tcPr>
          <w:p w14:paraId="6CB8D7B8" w14:textId="77777777" w:rsidR="009A05C7" w:rsidRPr="00274557" w:rsidRDefault="009A05C7" w:rsidP="000240DA">
            <w:pPr>
              <w:spacing w:after="0" w:line="240" w:lineRule="auto"/>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Konsolidované príjmy z dividend a odvodov zo zisku</w:t>
            </w:r>
          </w:p>
        </w:tc>
        <w:tc>
          <w:tcPr>
            <w:tcW w:w="540" w:type="pct"/>
            <w:tcBorders>
              <w:top w:val="single" w:sz="4" w:space="0" w:color="auto"/>
              <w:left w:val="nil"/>
              <w:bottom w:val="nil"/>
              <w:right w:val="nil"/>
            </w:tcBorders>
            <w:shd w:val="clear" w:color="auto" w:fill="auto"/>
            <w:vAlign w:val="center"/>
            <w:hideMark/>
          </w:tcPr>
          <w:p w14:paraId="0A388F41"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378 533</w:t>
            </w:r>
          </w:p>
        </w:tc>
        <w:tc>
          <w:tcPr>
            <w:tcW w:w="540" w:type="pct"/>
            <w:tcBorders>
              <w:top w:val="single" w:sz="4" w:space="0" w:color="auto"/>
              <w:left w:val="nil"/>
              <w:bottom w:val="nil"/>
              <w:right w:val="nil"/>
            </w:tcBorders>
            <w:shd w:val="clear" w:color="auto" w:fill="auto"/>
            <w:vAlign w:val="center"/>
            <w:hideMark/>
          </w:tcPr>
          <w:p w14:paraId="36DC692F"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370 595</w:t>
            </w:r>
          </w:p>
        </w:tc>
        <w:tc>
          <w:tcPr>
            <w:tcW w:w="540" w:type="pct"/>
            <w:tcBorders>
              <w:top w:val="single" w:sz="4" w:space="0" w:color="auto"/>
              <w:left w:val="nil"/>
              <w:bottom w:val="nil"/>
              <w:right w:val="nil"/>
            </w:tcBorders>
            <w:shd w:val="clear" w:color="auto" w:fill="auto"/>
            <w:vAlign w:val="center"/>
            <w:hideMark/>
          </w:tcPr>
          <w:p w14:paraId="40BC0F3C"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515 749</w:t>
            </w:r>
          </w:p>
        </w:tc>
        <w:tc>
          <w:tcPr>
            <w:tcW w:w="540" w:type="pct"/>
            <w:tcBorders>
              <w:top w:val="single" w:sz="4" w:space="0" w:color="auto"/>
              <w:left w:val="nil"/>
              <w:bottom w:val="nil"/>
              <w:right w:val="nil"/>
            </w:tcBorders>
            <w:shd w:val="clear" w:color="auto" w:fill="auto"/>
            <w:vAlign w:val="center"/>
            <w:hideMark/>
          </w:tcPr>
          <w:p w14:paraId="09A13E80"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546 581</w:t>
            </w:r>
          </w:p>
        </w:tc>
        <w:tc>
          <w:tcPr>
            <w:tcW w:w="540" w:type="pct"/>
            <w:tcBorders>
              <w:top w:val="single" w:sz="4" w:space="0" w:color="auto"/>
              <w:left w:val="nil"/>
              <w:bottom w:val="nil"/>
              <w:right w:val="nil"/>
            </w:tcBorders>
            <w:shd w:val="clear" w:color="auto" w:fill="auto"/>
            <w:vAlign w:val="center"/>
            <w:hideMark/>
          </w:tcPr>
          <w:p w14:paraId="09E775D7"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30 832</w:t>
            </w:r>
          </w:p>
        </w:tc>
      </w:tr>
      <w:tr w:rsidR="009A05C7" w:rsidRPr="00274557" w14:paraId="6F5FE8FD" w14:textId="77777777" w:rsidTr="00134CE1">
        <w:trPr>
          <w:trHeight w:val="290"/>
        </w:trPr>
        <w:tc>
          <w:tcPr>
            <w:tcW w:w="2300" w:type="pct"/>
            <w:tcBorders>
              <w:top w:val="nil"/>
              <w:left w:val="nil"/>
              <w:right w:val="nil"/>
            </w:tcBorders>
            <w:shd w:val="clear" w:color="auto" w:fill="auto"/>
            <w:vAlign w:val="center"/>
            <w:hideMark/>
          </w:tcPr>
          <w:p w14:paraId="1AB147F0" w14:textId="77777777" w:rsidR="009A05C7" w:rsidRPr="00274557" w:rsidRDefault="009A05C7" w:rsidP="000240DA">
            <w:pPr>
              <w:spacing w:after="0"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riadne dividendy a odvody zo zisku</w:t>
            </w:r>
          </w:p>
        </w:tc>
        <w:tc>
          <w:tcPr>
            <w:tcW w:w="540" w:type="pct"/>
            <w:tcBorders>
              <w:top w:val="nil"/>
              <w:left w:val="nil"/>
              <w:right w:val="nil"/>
            </w:tcBorders>
            <w:shd w:val="clear" w:color="auto" w:fill="auto"/>
            <w:vAlign w:val="center"/>
            <w:hideMark/>
          </w:tcPr>
          <w:p w14:paraId="1E2188FF"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313 511</w:t>
            </w:r>
          </w:p>
        </w:tc>
        <w:tc>
          <w:tcPr>
            <w:tcW w:w="540" w:type="pct"/>
            <w:tcBorders>
              <w:top w:val="nil"/>
              <w:left w:val="nil"/>
              <w:right w:val="nil"/>
            </w:tcBorders>
            <w:shd w:val="clear" w:color="auto" w:fill="auto"/>
            <w:vAlign w:val="center"/>
            <w:hideMark/>
          </w:tcPr>
          <w:p w14:paraId="07916B11"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345 024</w:t>
            </w:r>
          </w:p>
        </w:tc>
        <w:tc>
          <w:tcPr>
            <w:tcW w:w="540" w:type="pct"/>
            <w:tcBorders>
              <w:top w:val="nil"/>
              <w:left w:val="nil"/>
              <w:right w:val="nil"/>
            </w:tcBorders>
            <w:shd w:val="clear" w:color="auto" w:fill="auto"/>
            <w:vAlign w:val="center"/>
            <w:hideMark/>
          </w:tcPr>
          <w:p w14:paraId="70C52924"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351 594</w:t>
            </w:r>
          </w:p>
        </w:tc>
        <w:tc>
          <w:tcPr>
            <w:tcW w:w="540" w:type="pct"/>
            <w:tcBorders>
              <w:top w:val="nil"/>
              <w:left w:val="nil"/>
              <w:right w:val="nil"/>
            </w:tcBorders>
            <w:shd w:val="clear" w:color="auto" w:fill="auto"/>
            <w:vAlign w:val="center"/>
            <w:hideMark/>
          </w:tcPr>
          <w:p w14:paraId="56C82C3C"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393 170</w:t>
            </w:r>
          </w:p>
        </w:tc>
        <w:tc>
          <w:tcPr>
            <w:tcW w:w="540" w:type="pct"/>
            <w:tcBorders>
              <w:top w:val="nil"/>
              <w:left w:val="nil"/>
              <w:right w:val="nil"/>
            </w:tcBorders>
            <w:shd w:val="clear" w:color="auto" w:fill="auto"/>
            <w:vAlign w:val="center"/>
            <w:hideMark/>
          </w:tcPr>
          <w:p w14:paraId="5855D1D6"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41 576</w:t>
            </w:r>
          </w:p>
        </w:tc>
      </w:tr>
      <w:tr w:rsidR="009A05C7" w:rsidRPr="00274557" w14:paraId="36F21DB2" w14:textId="77777777" w:rsidTr="00134CE1">
        <w:trPr>
          <w:trHeight w:val="300"/>
        </w:trPr>
        <w:tc>
          <w:tcPr>
            <w:tcW w:w="2300" w:type="pct"/>
            <w:tcBorders>
              <w:top w:val="nil"/>
              <w:left w:val="nil"/>
              <w:bottom w:val="single" w:sz="4" w:space="0" w:color="auto"/>
              <w:right w:val="nil"/>
            </w:tcBorders>
            <w:shd w:val="clear" w:color="auto" w:fill="auto"/>
            <w:vAlign w:val="center"/>
            <w:hideMark/>
          </w:tcPr>
          <w:p w14:paraId="4D7A217A" w14:textId="77777777" w:rsidR="009A05C7" w:rsidRPr="00274557" w:rsidRDefault="009A05C7" w:rsidP="000240DA">
            <w:pPr>
              <w:spacing w:after="0"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lastRenderedPageBreak/>
              <w:t xml:space="preserve">     superdividendy</w:t>
            </w:r>
          </w:p>
        </w:tc>
        <w:tc>
          <w:tcPr>
            <w:tcW w:w="540" w:type="pct"/>
            <w:tcBorders>
              <w:top w:val="nil"/>
              <w:left w:val="nil"/>
              <w:bottom w:val="single" w:sz="4" w:space="0" w:color="auto"/>
              <w:right w:val="nil"/>
            </w:tcBorders>
            <w:shd w:val="clear" w:color="auto" w:fill="auto"/>
            <w:vAlign w:val="center"/>
            <w:hideMark/>
          </w:tcPr>
          <w:p w14:paraId="616330FE"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65 022</w:t>
            </w:r>
          </w:p>
        </w:tc>
        <w:tc>
          <w:tcPr>
            <w:tcW w:w="540" w:type="pct"/>
            <w:tcBorders>
              <w:top w:val="nil"/>
              <w:left w:val="nil"/>
              <w:bottom w:val="single" w:sz="4" w:space="0" w:color="auto"/>
              <w:right w:val="nil"/>
            </w:tcBorders>
            <w:shd w:val="clear" w:color="auto" w:fill="auto"/>
            <w:vAlign w:val="center"/>
            <w:hideMark/>
          </w:tcPr>
          <w:p w14:paraId="355B5ACA"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25 571</w:t>
            </w:r>
          </w:p>
        </w:tc>
        <w:tc>
          <w:tcPr>
            <w:tcW w:w="540" w:type="pct"/>
            <w:tcBorders>
              <w:top w:val="nil"/>
              <w:left w:val="nil"/>
              <w:bottom w:val="single" w:sz="4" w:space="0" w:color="auto"/>
              <w:right w:val="nil"/>
            </w:tcBorders>
            <w:shd w:val="clear" w:color="auto" w:fill="auto"/>
            <w:vAlign w:val="center"/>
            <w:hideMark/>
          </w:tcPr>
          <w:p w14:paraId="0CB6BB0C"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164 155</w:t>
            </w:r>
          </w:p>
        </w:tc>
        <w:tc>
          <w:tcPr>
            <w:tcW w:w="540" w:type="pct"/>
            <w:tcBorders>
              <w:top w:val="nil"/>
              <w:left w:val="nil"/>
              <w:bottom w:val="single" w:sz="4" w:space="0" w:color="auto"/>
              <w:right w:val="nil"/>
            </w:tcBorders>
            <w:shd w:val="clear" w:color="auto" w:fill="auto"/>
            <w:vAlign w:val="center"/>
            <w:hideMark/>
          </w:tcPr>
          <w:p w14:paraId="59326FA8"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153 411</w:t>
            </w:r>
          </w:p>
        </w:tc>
        <w:tc>
          <w:tcPr>
            <w:tcW w:w="540" w:type="pct"/>
            <w:tcBorders>
              <w:top w:val="nil"/>
              <w:left w:val="nil"/>
              <w:bottom w:val="single" w:sz="4" w:space="0" w:color="auto"/>
              <w:right w:val="nil"/>
            </w:tcBorders>
            <w:shd w:val="clear" w:color="auto" w:fill="auto"/>
            <w:vAlign w:val="center"/>
            <w:hideMark/>
          </w:tcPr>
          <w:p w14:paraId="7EF277FD"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-10 744</w:t>
            </w:r>
          </w:p>
        </w:tc>
      </w:tr>
      <w:tr w:rsidR="009A05C7" w:rsidRPr="00274557" w14:paraId="3A4D3B6C" w14:textId="77777777" w:rsidTr="00134CE1">
        <w:trPr>
          <w:trHeight w:val="290"/>
        </w:trPr>
        <w:tc>
          <w:tcPr>
            <w:tcW w:w="2300" w:type="pct"/>
            <w:tcBorders>
              <w:top w:val="single" w:sz="4" w:space="0" w:color="auto"/>
              <w:left w:val="nil"/>
              <w:bottom w:val="nil"/>
              <w:right w:val="nil"/>
            </w:tcBorders>
            <w:shd w:val="clear" w:color="auto" w:fill="auto"/>
            <w:vAlign w:val="center"/>
            <w:hideMark/>
          </w:tcPr>
          <w:p w14:paraId="016A0804" w14:textId="77777777" w:rsidR="009A05C7" w:rsidRPr="00274557" w:rsidRDefault="009A05C7" w:rsidP="000240DA">
            <w:pPr>
              <w:spacing w:after="0" w:line="240" w:lineRule="auto"/>
              <w:jc w:val="lef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Ministerstvo financií SR</w:t>
            </w:r>
          </w:p>
        </w:tc>
        <w:tc>
          <w:tcPr>
            <w:tcW w:w="540" w:type="pct"/>
            <w:tcBorders>
              <w:top w:val="single" w:sz="4" w:space="0" w:color="auto"/>
              <w:left w:val="nil"/>
              <w:bottom w:val="nil"/>
              <w:right w:val="nil"/>
            </w:tcBorders>
            <w:shd w:val="clear" w:color="auto" w:fill="auto"/>
            <w:vAlign w:val="center"/>
            <w:hideMark/>
          </w:tcPr>
          <w:p w14:paraId="5BC22677"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7 000</w:t>
            </w:r>
          </w:p>
        </w:tc>
        <w:tc>
          <w:tcPr>
            <w:tcW w:w="540" w:type="pct"/>
            <w:tcBorders>
              <w:top w:val="single" w:sz="4" w:space="0" w:color="auto"/>
              <w:left w:val="nil"/>
              <w:bottom w:val="nil"/>
              <w:right w:val="nil"/>
            </w:tcBorders>
            <w:shd w:val="clear" w:color="auto" w:fill="auto"/>
            <w:vAlign w:val="center"/>
            <w:hideMark/>
          </w:tcPr>
          <w:p w14:paraId="424A9918"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133 262</w:t>
            </w:r>
          </w:p>
        </w:tc>
        <w:tc>
          <w:tcPr>
            <w:tcW w:w="540" w:type="pct"/>
            <w:tcBorders>
              <w:top w:val="single" w:sz="4" w:space="0" w:color="auto"/>
              <w:left w:val="nil"/>
              <w:bottom w:val="nil"/>
              <w:right w:val="nil"/>
            </w:tcBorders>
            <w:shd w:val="clear" w:color="auto" w:fill="auto"/>
            <w:vAlign w:val="center"/>
            <w:hideMark/>
          </w:tcPr>
          <w:p w14:paraId="42E0084F"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61 725</w:t>
            </w:r>
          </w:p>
        </w:tc>
        <w:tc>
          <w:tcPr>
            <w:tcW w:w="540" w:type="pct"/>
            <w:tcBorders>
              <w:top w:val="single" w:sz="4" w:space="0" w:color="auto"/>
              <w:left w:val="nil"/>
              <w:bottom w:val="nil"/>
              <w:right w:val="nil"/>
            </w:tcBorders>
            <w:shd w:val="clear" w:color="auto" w:fill="auto"/>
            <w:vAlign w:val="center"/>
            <w:hideMark/>
          </w:tcPr>
          <w:p w14:paraId="27AB8954"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67 974</w:t>
            </w:r>
          </w:p>
        </w:tc>
        <w:tc>
          <w:tcPr>
            <w:tcW w:w="540" w:type="pct"/>
            <w:tcBorders>
              <w:top w:val="single" w:sz="4" w:space="0" w:color="auto"/>
              <w:left w:val="nil"/>
              <w:bottom w:val="nil"/>
              <w:right w:val="nil"/>
            </w:tcBorders>
            <w:shd w:val="clear" w:color="auto" w:fill="auto"/>
            <w:vAlign w:val="center"/>
            <w:hideMark/>
          </w:tcPr>
          <w:p w14:paraId="7AC0320E"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6 249</w:t>
            </w:r>
          </w:p>
        </w:tc>
      </w:tr>
      <w:tr w:rsidR="009A05C7" w:rsidRPr="00274557" w14:paraId="25C61C03" w14:textId="77777777" w:rsidTr="000240DA">
        <w:trPr>
          <w:trHeight w:val="290"/>
        </w:trPr>
        <w:tc>
          <w:tcPr>
            <w:tcW w:w="2300" w:type="pct"/>
            <w:tcBorders>
              <w:top w:val="nil"/>
              <w:left w:val="nil"/>
              <w:bottom w:val="nil"/>
              <w:right w:val="nil"/>
            </w:tcBorders>
            <w:shd w:val="clear" w:color="auto" w:fill="auto"/>
            <w:vAlign w:val="center"/>
            <w:hideMark/>
          </w:tcPr>
          <w:p w14:paraId="3FED6D49" w14:textId="77777777" w:rsidR="009A05C7" w:rsidRPr="00274557" w:rsidRDefault="009A05C7" w:rsidP="000240DA">
            <w:pPr>
              <w:spacing w:after="0" w:line="240" w:lineRule="auto"/>
              <w:jc w:val="left"/>
              <w:rPr>
                <w:rFonts w:eastAsia="Times New Roman" w:cs="Times New Roman"/>
                <w:color w:val="000000"/>
                <w:sz w:val="18"/>
                <w:szCs w:val="18"/>
                <w:lang w:eastAsia="sk-SK"/>
              </w:rPr>
            </w:pPr>
            <w:r w:rsidRPr="00274557">
              <w:rPr>
                <w:rFonts w:eastAsia="Times New Roman" w:cs="Times New Roman"/>
                <w:color w:val="000000"/>
                <w:sz w:val="18"/>
                <w:szCs w:val="18"/>
                <w:lang w:eastAsia="sk-SK"/>
              </w:rPr>
              <w:t>Slovenská konsolidačná, a. s.</w:t>
            </w:r>
          </w:p>
        </w:tc>
        <w:tc>
          <w:tcPr>
            <w:tcW w:w="540" w:type="pct"/>
            <w:tcBorders>
              <w:top w:val="nil"/>
              <w:left w:val="nil"/>
              <w:bottom w:val="nil"/>
              <w:right w:val="nil"/>
            </w:tcBorders>
            <w:shd w:val="clear" w:color="auto" w:fill="auto"/>
            <w:vAlign w:val="center"/>
            <w:hideMark/>
          </w:tcPr>
          <w:p w14:paraId="12865533"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2 000</w:t>
            </w:r>
          </w:p>
        </w:tc>
        <w:tc>
          <w:tcPr>
            <w:tcW w:w="540" w:type="pct"/>
            <w:tcBorders>
              <w:top w:val="nil"/>
              <w:left w:val="nil"/>
              <w:bottom w:val="nil"/>
              <w:right w:val="nil"/>
            </w:tcBorders>
            <w:shd w:val="clear" w:color="auto" w:fill="auto"/>
            <w:vAlign w:val="center"/>
            <w:hideMark/>
          </w:tcPr>
          <w:p w14:paraId="467F4A89"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3 274</w:t>
            </w:r>
          </w:p>
        </w:tc>
        <w:tc>
          <w:tcPr>
            <w:tcW w:w="540" w:type="pct"/>
            <w:tcBorders>
              <w:top w:val="nil"/>
              <w:left w:val="nil"/>
              <w:bottom w:val="nil"/>
              <w:right w:val="nil"/>
            </w:tcBorders>
            <w:shd w:val="clear" w:color="auto" w:fill="auto"/>
            <w:vAlign w:val="center"/>
            <w:hideMark/>
          </w:tcPr>
          <w:p w14:paraId="1C5B4EC6"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325</w:t>
            </w:r>
          </w:p>
        </w:tc>
        <w:tc>
          <w:tcPr>
            <w:tcW w:w="540" w:type="pct"/>
            <w:tcBorders>
              <w:top w:val="nil"/>
              <w:left w:val="nil"/>
              <w:bottom w:val="nil"/>
              <w:right w:val="nil"/>
            </w:tcBorders>
            <w:shd w:val="clear" w:color="auto" w:fill="auto"/>
            <w:vAlign w:val="center"/>
            <w:hideMark/>
          </w:tcPr>
          <w:p w14:paraId="75E9D612"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1 904</w:t>
            </w:r>
          </w:p>
        </w:tc>
        <w:tc>
          <w:tcPr>
            <w:tcW w:w="540" w:type="pct"/>
            <w:tcBorders>
              <w:top w:val="nil"/>
              <w:left w:val="nil"/>
              <w:bottom w:val="nil"/>
              <w:right w:val="nil"/>
            </w:tcBorders>
            <w:shd w:val="clear" w:color="auto" w:fill="auto"/>
            <w:vAlign w:val="center"/>
            <w:hideMark/>
          </w:tcPr>
          <w:p w14:paraId="26C67012"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1 579</w:t>
            </w:r>
          </w:p>
        </w:tc>
      </w:tr>
      <w:tr w:rsidR="009A05C7" w:rsidRPr="00274557" w14:paraId="2EE14195" w14:textId="77777777" w:rsidTr="000240DA">
        <w:trPr>
          <w:trHeight w:val="290"/>
        </w:trPr>
        <w:tc>
          <w:tcPr>
            <w:tcW w:w="2300" w:type="pct"/>
            <w:tcBorders>
              <w:top w:val="nil"/>
              <w:left w:val="nil"/>
              <w:bottom w:val="nil"/>
              <w:right w:val="nil"/>
            </w:tcBorders>
            <w:shd w:val="clear" w:color="auto" w:fill="auto"/>
            <w:vAlign w:val="center"/>
            <w:hideMark/>
          </w:tcPr>
          <w:p w14:paraId="3C2D5EC8" w14:textId="77777777" w:rsidR="009A05C7" w:rsidRPr="00274557" w:rsidRDefault="009A05C7" w:rsidP="000240DA">
            <w:pPr>
              <w:spacing w:after="0"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riadne dividendy a odvody zo zisku</w:t>
            </w:r>
          </w:p>
        </w:tc>
        <w:tc>
          <w:tcPr>
            <w:tcW w:w="540" w:type="pct"/>
            <w:tcBorders>
              <w:top w:val="nil"/>
              <w:left w:val="nil"/>
              <w:bottom w:val="nil"/>
              <w:right w:val="nil"/>
            </w:tcBorders>
            <w:shd w:val="clear" w:color="auto" w:fill="auto"/>
            <w:vAlign w:val="center"/>
            <w:hideMark/>
          </w:tcPr>
          <w:p w14:paraId="3399E145"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3163D9E7"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3 274</w:t>
            </w:r>
          </w:p>
        </w:tc>
        <w:tc>
          <w:tcPr>
            <w:tcW w:w="540" w:type="pct"/>
            <w:tcBorders>
              <w:top w:val="nil"/>
              <w:left w:val="nil"/>
              <w:bottom w:val="nil"/>
              <w:right w:val="nil"/>
            </w:tcBorders>
            <w:shd w:val="clear" w:color="auto" w:fill="auto"/>
            <w:vAlign w:val="center"/>
            <w:hideMark/>
          </w:tcPr>
          <w:p w14:paraId="5EAB317B"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263</w:t>
            </w:r>
          </w:p>
        </w:tc>
        <w:tc>
          <w:tcPr>
            <w:tcW w:w="540" w:type="pct"/>
            <w:tcBorders>
              <w:top w:val="nil"/>
              <w:left w:val="nil"/>
              <w:bottom w:val="nil"/>
              <w:right w:val="nil"/>
            </w:tcBorders>
            <w:shd w:val="clear" w:color="auto" w:fill="auto"/>
            <w:vAlign w:val="center"/>
            <w:hideMark/>
          </w:tcPr>
          <w:p w14:paraId="68962F39"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1 904</w:t>
            </w:r>
          </w:p>
        </w:tc>
        <w:tc>
          <w:tcPr>
            <w:tcW w:w="540" w:type="pct"/>
            <w:tcBorders>
              <w:top w:val="nil"/>
              <w:left w:val="nil"/>
              <w:bottom w:val="nil"/>
              <w:right w:val="nil"/>
            </w:tcBorders>
            <w:shd w:val="clear" w:color="auto" w:fill="auto"/>
            <w:vAlign w:val="center"/>
            <w:hideMark/>
          </w:tcPr>
          <w:p w14:paraId="649E7AFE"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1 641</w:t>
            </w:r>
          </w:p>
        </w:tc>
      </w:tr>
      <w:tr w:rsidR="009A05C7" w:rsidRPr="00274557" w14:paraId="4EEF5E2C" w14:textId="77777777" w:rsidTr="000240DA">
        <w:trPr>
          <w:trHeight w:val="290"/>
        </w:trPr>
        <w:tc>
          <w:tcPr>
            <w:tcW w:w="2300" w:type="pct"/>
            <w:tcBorders>
              <w:top w:val="nil"/>
              <w:left w:val="nil"/>
              <w:bottom w:val="nil"/>
              <w:right w:val="nil"/>
            </w:tcBorders>
            <w:shd w:val="clear" w:color="auto" w:fill="auto"/>
            <w:vAlign w:val="center"/>
            <w:hideMark/>
          </w:tcPr>
          <w:p w14:paraId="129DCCC5" w14:textId="77777777" w:rsidR="009A05C7" w:rsidRPr="00274557" w:rsidRDefault="009A05C7" w:rsidP="000240DA">
            <w:pPr>
              <w:spacing w:after="0"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superdividendy</w:t>
            </w:r>
          </w:p>
        </w:tc>
        <w:tc>
          <w:tcPr>
            <w:tcW w:w="540" w:type="pct"/>
            <w:tcBorders>
              <w:top w:val="nil"/>
              <w:left w:val="nil"/>
              <w:bottom w:val="nil"/>
              <w:right w:val="nil"/>
            </w:tcBorders>
            <w:shd w:val="clear" w:color="auto" w:fill="auto"/>
            <w:vAlign w:val="center"/>
            <w:hideMark/>
          </w:tcPr>
          <w:p w14:paraId="4AC55AA9"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2 000</w:t>
            </w:r>
          </w:p>
        </w:tc>
        <w:tc>
          <w:tcPr>
            <w:tcW w:w="540" w:type="pct"/>
            <w:tcBorders>
              <w:top w:val="nil"/>
              <w:left w:val="nil"/>
              <w:bottom w:val="nil"/>
              <w:right w:val="nil"/>
            </w:tcBorders>
            <w:shd w:val="clear" w:color="auto" w:fill="auto"/>
            <w:vAlign w:val="center"/>
            <w:hideMark/>
          </w:tcPr>
          <w:p w14:paraId="1033EEF9"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33637750"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62</w:t>
            </w:r>
          </w:p>
        </w:tc>
        <w:tc>
          <w:tcPr>
            <w:tcW w:w="540" w:type="pct"/>
            <w:tcBorders>
              <w:top w:val="nil"/>
              <w:left w:val="nil"/>
              <w:bottom w:val="nil"/>
              <w:right w:val="nil"/>
            </w:tcBorders>
            <w:shd w:val="clear" w:color="auto" w:fill="auto"/>
            <w:vAlign w:val="center"/>
            <w:hideMark/>
          </w:tcPr>
          <w:p w14:paraId="09E4FC07"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30A5425B"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-62</w:t>
            </w:r>
          </w:p>
        </w:tc>
      </w:tr>
      <w:tr w:rsidR="009A05C7" w:rsidRPr="00274557" w14:paraId="2E57698A" w14:textId="77777777" w:rsidTr="000240DA">
        <w:trPr>
          <w:trHeight w:val="290"/>
        </w:trPr>
        <w:tc>
          <w:tcPr>
            <w:tcW w:w="2300" w:type="pct"/>
            <w:tcBorders>
              <w:top w:val="nil"/>
              <w:left w:val="nil"/>
              <w:bottom w:val="nil"/>
              <w:right w:val="nil"/>
            </w:tcBorders>
            <w:shd w:val="clear" w:color="auto" w:fill="auto"/>
            <w:vAlign w:val="center"/>
            <w:hideMark/>
          </w:tcPr>
          <w:p w14:paraId="4FFC91E7" w14:textId="77777777" w:rsidR="009A05C7" w:rsidRPr="00274557" w:rsidRDefault="009A05C7" w:rsidP="000240DA">
            <w:pPr>
              <w:spacing w:after="0" w:line="240" w:lineRule="auto"/>
              <w:jc w:val="left"/>
              <w:rPr>
                <w:rFonts w:eastAsia="Times New Roman" w:cs="Times New Roman"/>
                <w:color w:val="000000"/>
                <w:sz w:val="18"/>
                <w:szCs w:val="18"/>
                <w:lang w:eastAsia="sk-SK"/>
              </w:rPr>
            </w:pPr>
            <w:r w:rsidRPr="00274557">
              <w:rPr>
                <w:rFonts w:eastAsia="Times New Roman" w:cs="Times New Roman"/>
                <w:color w:val="000000"/>
                <w:sz w:val="18"/>
                <w:szCs w:val="18"/>
                <w:lang w:eastAsia="sk-SK"/>
              </w:rPr>
              <w:t>Tipos, a. s.</w:t>
            </w:r>
          </w:p>
        </w:tc>
        <w:tc>
          <w:tcPr>
            <w:tcW w:w="540" w:type="pct"/>
            <w:tcBorders>
              <w:top w:val="nil"/>
              <w:left w:val="nil"/>
              <w:bottom w:val="nil"/>
              <w:right w:val="nil"/>
            </w:tcBorders>
            <w:shd w:val="clear" w:color="auto" w:fill="auto"/>
            <w:vAlign w:val="center"/>
            <w:hideMark/>
          </w:tcPr>
          <w:p w14:paraId="2776358B"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5 000</w:t>
            </w:r>
          </w:p>
        </w:tc>
        <w:tc>
          <w:tcPr>
            <w:tcW w:w="540" w:type="pct"/>
            <w:tcBorders>
              <w:top w:val="nil"/>
              <w:left w:val="nil"/>
              <w:bottom w:val="nil"/>
              <w:right w:val="nil"/>
            </w:tcBorders>
            <w:shd w:val="clear" w:color="auto" w:fill="auto"/>
            <w:vAlign w:val="center"/>
            <w:hideMark/>
          </w:tcPr>
          <w:p w14:paraId="7CF0DB2D"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50 000</w:t>
            </w:r>
          </w:p>
        </w:tc>
        <w:tc>
          <w:tcPr>
            <w:tcW w:w="540" w:type="pct"/>
            <w:tcBorders>
              <w:top w:val="nil"/>
              <w:left w:val="nil"/>
              <w:bottom w:val="nil"/>
              <w:right w:val="nil"/>
            </w:tcBorders>
            <w:shd w:val="clear" w:color="auto" w:fill="auto"/>
            <w:vAlign w:val="center"/>
            <w:hideMark/>
          </w:tcPr>
          <w:p w14:paraId="3F154AB4"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20 000</w:t>
            </w:r>
          </w:p>
        </w:tc>
        <w:tc>
          <w:tcPr>
            <w:tcW w:w="540" w:type="pct"/>
            <w:tcBorders>
              <w:top w:val="nil"/>
              <w:left w:val="nil"/>
              <w:bottom w:val="nil"/>
              <w:right w:val="nil"/>
            </w:tcBorders>
            <w:shd w:val="clear" w:color="auto" w:fill="auto"/>
            <w:vAlign w:val="center"/>
            <w:hideMark/>
          </w:tcPr>
          <w:p w14:paraId="2EDFB0E3"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20 000</w:t>
            </w:r>
          </w:p>
        </w:tc>
        <w:tc>
          <w:tcPr>
            <w:tcW w:w="540" w:type="pct"/>
            <w:tcBorders>
              <w:top w:val="nil"/>
              <w:left w:val="nil"/>
              <w:bottom w:val="nil"/>
              <w:right w:val="nil"/>
            </w:tcBorders>
            <w:shd w:val="clear" w:color="auto" w:fill="auto"/>
            <w:vAlign w:val="center"/>
            <w:hideMark/>
          </w:tcPr>
          <w:p w14:paraId="5691B19B"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0</w:t>
            </w:r>
          </w:p>
        </w:tc>
      </w:tr>
      <w:tr w:rsidR="009A05C7" w:rsidRPr="00274557" w14:paraId="1DF186EA" w14:textId="77777777" w:rsidTr="000240DA">
        <w:trPr>
          <w:trHeight w:val="290"/>
        </w:trPr>
        <w:tc>
          <w:tcPr>
            <w:tcW w:w="2300" w:type="pct"/>
            <w:tcBorders>
              <w:top w:val="nil"/>
              <w:left w:val="nil"/>
              <w:bottom w:val="nil"/>
              <w:right w:val="nil"/>
            </w:tcBorders>
            <w:shd w:val="clear" w:color="auto" w:fill="auto"/>
            <w:vAlign w:val="center"/>
            <w:hideMark/>
          </w:tcPr>
          <w:p w14:paraId="6A78B1FD" w14:textId="77777777" w:rsidR="009A05C7" w:rsidRPr="00274557" w:rsidRDefault="009A05C7" w:rsidP="000240DA">
            <w:pPr>
              <w:spacing w:after="0"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riadne dividendy a odvody zo zisku</w:t>
            </w:r>
          </w:p>
        </w:tc>
        <w:tc>
          <w:tcPr>
            <w:tcW w:w="540" w:type="pct"/>
            <w:tcBorders>
              <w:top w:val="nil"/>
              <w:left w:val="nil"/>
              <w:bottom w:val="nil"/>
              <w:right w:val="nil"/>
            </w:tcBorders>
            <w:shd w:val="clear" w:color="auto" w:fill="auto"/>
            <w:vAlign w:val="center"/>
            <w:hideMark/>
          </w:tcPr>
          <w:p w14:paraId="33513577"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5 000</w:t>
            </w:r>
          </w:p>
        </w:tc>
        <w:tc>
          <w:tcPr>
            <w:tcW w:w="540" w:type="pct"/>
            <w:tcBorders>
              <w:top w:val="nil"/>
              <w:left w:val="nil"/>
              <w:bottom w:val="nil"/>
              <w:right w:val="nil"/>
            </w:tcBorders>
            <w:shd w:val="clear" w:color="auto" w:fill="auto"/>
            <w:vAlign w:val="center"/>
            <w:hideMark/>
          </w:tcPr>
          <w:p w14:paraId="4D7CE80D"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25 703</w:t>
            </w:r>
          </w:p>
        </w:tc>
        <w:tc>
          <w:tcPr>
            <w:tcW w:w="540" w:type="pct"/>
            <w:tcBorders>
              <w:top w:val="nil"/>
              <w:left w:val="nil"/>
              <w:bottom w:val="nil"/>
              <w:right w:val="nil"/>
            </w:tcBorders>
            <w:shd w:val="clear" w:color="auto" w:fill="auto"/>
            <w:vAlign w:val="center"/>
            <w:hideMark/>
          </w:tcPr>
          <w:p w14:paraId="4BDF220C"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20 000</w:t>
            </w:r>
          </w:p>
        </w:tc>
        <w:tc>
          <w:tcPr>
            <w:tcW w:w="540" w:type="pct"/>
            <w:tcBorders>
              <w:top w:val="nil"/>
              <w:left w:val="nil"/>
              <w:bottom w:val="nil"/>
              <w:right w:val="nil"/>
            </w:tcBorders>
            <w:shd w:val="clear" w:color="auto" w:fill="auto"/>
            <w:vAlign w:val="center"/>
            <w:hideMark/>
          </w:tcPr>
          <w:p w14:paraId="4A2A12B5"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20 000</w:t>
            </w:r>
          </w:p>
        </w:tc>
        <w:tc>
          <w:tcPr>
            <w:tcW w:w="540" w:type="pct"/>
            <w:tcBorders>
              <w:top w:val="nil"/>
              <w:left w:val="nil"/>
              <w:bottom w:val="nil"/>
              <w:right w:val="nil"/>
            </w:tcBorders>
            <w:shd w:val="clear" w:color="auto" w:fill="auto"/>
            <w:vAlign w:val="center"/>
            <w:hideMark/>
          </w:tcPr>
          <w:p w14:paraId="4B1C7641"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r>
      <w:tr w:rsidR="009A05C7" w:rsidRPr="00274557" w14:paraId="7141FF00" w14:textId="77777777" w:rsidTr="000240DA">
        <w:trPr>
          <w:trHeight w:val="290"/>
        </w:trPr>
        <w:tc>
          <w:tcPr>
            <w:tcW w:w="2300" w:type="pct"/>
            <w:tcBorders>
              <w:top w:val="nil"/>
              <w:left w:val="nil"/>
              <w:bottom w:val="nil"/>
              <w:right w:val="nil"/>
            </w:tcBorders>
            <w:shd w:val="clear" w:color="auto" w:fill="auto"/>
            <w:vAlign w:val="center"/>
            <w:hideMark/>
          </w:tcPr>
          <w:p w14:paraId="55D176AE" w14:textId="77777777" w:rsidR="009A05C7" w:rsidRPr="00274557" w:rsidRDefault="009A05C7" w:rsidP="000240DA">
            <w:pPr>
              <w:spacing w:after="0"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superdividendy</w:t>
            </w:r>
          </w:p>
        </w:tc>
        <w:tc>
          <w:tcPr>
            <w:tcW w:w="540" w:type="pct"/>
            <w:tcBorders>
              <w:top w:val="nil"/>
              <w:left w:val="nil"/>
              <w:bottom w:val="nil"/>
              <w:right w:val="nil"/>
            </w:tcBorders>
            <w:shd w:val="clear" w:color="auto" w:fill="auto"/>
            <w:vAlign w:val="center"/>
            <w:hideMark/>
          </w:tcPr>
          <w:p w14:paraId="5FC2C97A"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4EB8261C"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24 297</w:t>
            </w:r>
          </w:p>
        </w:tc>
        <w:tc>
          <w:tcPr>
            <w:tcW w:w="540" w:type="pct"/>
            <w:tcBorders>
              <w:top w:val="nil"/>
              <w:left w:val="nil"/>
              <w:bottom w:val="nil"/>
              <w:right w:val="nil"/>
            </w:tcBorders>
            <w:shd w:val="clear" w:color="auto" w:fill="auto"/>
            <w:vAlign w:val="center"/>
            <w:hideMark/>
          </w:tcPr>
          <w:p w14:paraId="099AE361"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1611C699"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42FCA490"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r>
      <w:tr w:rsidR="009A05C7" w:rsidRPr="00274557" w14:paraId="04F204D7" w14:textId="77777777" w:rsidTr="000240DA">
        <w:trPr>
          <w:trHeight w:val="290"/>
        </w:trPr>
        <w:tc>
          <w:tcPr>
            <w:tcW w:w="2300" w:type="pct"/>
            <w:tcBorders>
              <w:top w:val="nil"/>
              <w:left w:val="nil"/>
              <w:bottom w:val="nil"/>
              <w:right w:val="nil"/>
            </w:tcBorders>
            <w:shd w:val="clear" w:color="auto" w:fill="auto"/>
            <w:vAlign w:val="center"/>
            <w:hideMark/>
          </w:tcPr>
          <w:p w14:paraId="0BE0A946" w14:textId="77777777" w:rsidR="009A05C7" w:rsidRPr="00274557" w:rsidRDefault="009A05C7" w:rsidP="000240DA">
            <w:pPr>
              <w:spacing w:after="0" w:line="240" w:lineRule="auto"/>
              <w:jc w:val="left"/>
              <w:rPr>
                <w:rFonts w:eastAsia="Times New Roman" w:cs="Times New Roman"/>
                <w:color w:val="000000"/>
                <w:sz w:val="18"/>
                <w:szCs w:val="18"/>
                <w:lang w:eastAsia="sk-SK"/>
              </w:rPr>
            </w:pPr>
            <w:r w:rsidRPr="00274557">
              <w:rPr>
                <w:rFonts w:eastAsia="Times New Roman" w:cs="Times New Roman"/>
                <w:color w:val="000000"/>
                <w:sz w:val="18"/>
                <w:szCs w:val="18"/>
                <w:lang w:eastAsia="sk-SK"/>
              </w:rPr>
              <w:t>SEPS, a. s.</w:t>
            </w:r>
          </w:p>
        </w:tc>
        <w:tc>
          <w:tcPr>
            <w:tcW w:w="540" w:type="pct"/>
            <w:tcBorders>
              <w:top w:val="nil"/>
              <w:left w:val="nil"/>
              <w:bottom w:val="nil"/>
              <w:right w:val="nil"/>
            </w:tcBorders>
            <w:shd w:val="clear" w:color="auto" w:fill="auto"/>
            <w:vAlign w:val="center"/>
            <w:hideMark/>
          </w:tcPr>
          <w:p w14:paraId="44CAA916"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0</w:t>
            </w:r>
          </w:p>
        </w:tc>
        <w:tc>
          <w:tcPr>
            <w:tcW w:w="540" w:type="pct"/>
            <w:tcBorders>
              <w:top w:val="nil"/>
              <w:left w:val="nil"/>
              <w:bottom w:val="nil"/>
              <w:right w:val="nil"/>
            </w:tcBorders>
            <w:shd w:val="clear" w:color="auto" w:fill="auto"/>
            <w:vAlign w:val="center"/>
            <w:hideMark/>
          </w:tcPr>
          <w:p w14:paraId="2DC595D9"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79 338</w:t>
            </w:r>
          </w:p>
        </w:tc>
        <w:tc>
          <w:tcPr>
            <w:tcW w:w="540" w:type="pct"/>
            <w:tcBorders>
              <w:top w:val="nil"/>
              <w:left w:val="nil"/>
              <w:bottom w:val="nil"/>
              <w:right w:val="nil"/>
            </w:tcBorders>
            <w:shd w:val="clear" w:color="auto" w:fill="auto"/>
            <w:vAlign w:val="center"/>
            <w:hideMark/>
          </w:tcPr>
          <w:p w14:paraId="10126C0B"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35 750</w:t>
            </w:r>
          </w:p>
        </w:tc>
        <w:tc>
          <w:tcPr>
            <w:tcW w:w="540" w:type="pct"/>
            <w:tcBorders>
              <w:top w:val="nil"/>
              <w:left w:val="nil"/>
              <w:bottom w:val="nil"/>
              <w:right w:val="nil"/>
            </w:tcBorders>
            <w:shd w:val="clear" w:color="auto" w:fill="auto"/>
            <w:vAlign w:val="center"/>
            <w:hideMark/>
          </w:tcPr>
          <w:p w14:paraId="2DC79D0B"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45 820</w:t>
            </w:r>
          </w:p>
        </w:tc>
        <w:tc>
          <w:tcPr>
            <w:tcW w:w="540" w:type="pct"/>
            <w:tcBorders>
              <w:top w:val="nil"/>
              <w:left w:val="nil"/>
              <w:bottom w:val="nil"/>
              <w:right w:val="nil"/>
            </w:tcBorders>
            <w:shd w:val="clear" w:color="auto" w:fill="auto"/>
            <w:vAlign w:val="center"/>
            <w:hideMark/>
          </w:tcPr>
          <w:p w14:paraId="5DE06791"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10 070</w:t>
            </w:r>
          </w:p>
        </w:tc>
      </w:tr>
      <w:tr w:rsidR="009A05C7" w:rsidRPr="00274557" w14:paraId="26FFB4B9" w14:textId="77777777" w:rsidTr="000240DA">
        <w:trPr>
          <w:trHeight w:val="290"/>
        </w:trPr>
        <w:tc>
          <w:tcPr>
            <w:tcW w:w="2300" w:type="pct"/>
            <w:tcBorders>
              <w:top w:val="nil"/>
              <w:left w:val="nil"/>
              <w:bottom w:val="nil"/>
              <w:right w:val="nil"/>
            </w:tcBorders>
            <w:shd w:val="clear" w:color="auto" w:fill="auto"/>
            <w:vAlign w:val="center"/>
            <w:hideMark/>
          </w:tcPr>
          <w:p w14:paraId="53B05371" w14:textId="77777777" w:rsidR="009A05C7" w:rsidRPr="00274557" w:rsidRDefault="009A05C7" w:rsidP="000240DA">
            <w:pPr>
              <w:spacing w:after="0" w:line="240" w:lineRule="auto"/>
              <w:rPr>
                <w:rFonts w:eastAsia="Times New Roman" w:cs="Times New Roman"/>
                <w:color w:val="000000"/>
                <w:sz w:val="18"/>
                <w:szCs w:val="18"/>
                <w:lang w:eastAsia="sk-SK"/>
              </w:rPr>
            </w:pPr>
            <w:r w:rsidRPr="00274557">
              <w:rPr>
                <w:rFonts w:eastAsia="Times New Roman" w:cs="Times New Roman"/>
                <w:color w:val="000000"/>
                <w:sz w:val="18"/>
                <w:szCs w:val="18"/>
                <w:lang w:eastAsia="sk-SK"/>
              </w:rPr>
              <w:t>SZRB, a. s.</w:t>
            </w:r>
          </w:p>
        </w:tc>
        <w:tc>
          <w:tcPr>
            <w:tcW w:w="540" w:type="pct"/>
            <w:tcBorders>
              <w:top w:val="nil"/>
              <w:left w:val="nil"/>
              <w:bottom w:val="nil"/>
              <w:right w:val="nil"/>
            </w:tcBorders>
            <w:shd w:val="clear" w:color="auto" w:fill="auto"/>
            <w:vAlign w:val="center"/>
            <w:hideMark/>
          </w:tcPr>
          <w:p w14:paraId="2E7DFDC1"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0</w:t>
            </w:r>
          </w:p>
        </w:tc>
        <w:tc>
          <w:tcPr>
            <w:tcW w:w="540" w:type="pct"/>
            <w:tcBorders>
              <w:top w:val="nil"/>
              <w:left w:val="nil"/>
              <w:bottom w:val="nil"/>
              <w:right w:val="nil"/>
            </w:tcBorders>
            <w:shd w:val="clear" w:color="auto" w:fill="auto"/>
            <w:vAlign w:val="center"/>
            <w:hideMark/>
          </w:tcPr>
          <w:p w14:paraId="327C9793"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400</w:t>
            </w:r>
          </w:p>
        </w:tc>
        <w:tc>
          <w:tcPr>
            <w:tcW w:w="540" w:type="pct"/>
            <w:tcBorders>
              <w:top w:val="nil"/>
              <w:left w:val="nil"/>
              <w:bottom w:val="nil"/>
              <w:right w:val="nil"/>
            </w:tcBorders>
            <w:shd w:val="clear" w:color="auto" w:fill="auto"/>
            <w:vAlign w:val="center"/>
            <w:hideMark/>
          </w:tcPr>
          <w:p w14:paraId="70CFC0A9"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5 400</w:t>
            </w:r>
          </w:p>
        </w:tc>
        <w:tc>
          <w:tcPr>
            <w:tcW w:w="540" w:type="pct"/>
            <w:tcBorders>
              <w:top w:val="nil"/>
              <w:left w:val="nil"/>
              <w:bottom w:val="nil"/>
              <w:right w:val="nil"/>
            </w:tcBorders>
            <w:shd w:val="clear" w:color="auto" w:fill="auto"/>
            <w:vAlign w:val="center"/>
            <w:hideMark/>
          </w:tcPr>
          <w:p w14:paraId="6D1F0090"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0</w:t>
            </w:r>
          </w:p>
        </w:tc>
        <w:tc>
          <w:tcPr>
            <w:tcW w:w="540" w:type="pct"/>
            <w:tcBorders>
              <w:top w:val="nil"/>
              <w:left w:val="nil"/>
              <w:bottom w:val="nil"/>
              <w:right w:val="nil"/>
            </w:tcBorders>
            <w:shd w:val="clear" w:color="auto" w:fill="auto"/>
            <w:vAlign w:val="center"/>
            <w:hideMark/>
          </w:tcPr>
          <w:p w14:paraId="5965872D"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-5 400</w:t>
            </w:r>
          </w:p>
        </w:tc>
      </w:tr>
      <w:tr w:rsidR="009A05C7" w:rsidRPr="00274557" w14:paraId="5498706C" w14:textId="77777777" w:rsidTr="000240DA">
        <w:trPr>
          <w:trHeight w:val="290"/>
        </w:trPr>
        <w:tc>
          <w:tcPr>
            <w:tcW w:w="2300" w:type="pct"/>
            <w:tcBorders>
              <w:top w:val="nil"/>
              <w:left w:val="nil"/>
              <w:bottom w:val="nil"/>
              <w:right w:val="nil"/>
            </w:tcBorders>
            <w:shd w:val="clear" w:color="auto" w:fill="auto"/>
            <w:vAlign w:val="center"/>
            <w:hideMark/>
          </w:tcPr>
          <w:p w14:paraId="3AC4DBD9" w14:textId="77777777" w:rsidR="009A05C7" w:rsidRPr="00274557" w:rsidRDefault="009A05C7" w:rsidP="000240DA">
            <w:pPr>
              <w:spacing w:after="0"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riadne dividendy a odvody zo zisku</w:t>
            </w:r>
          </w:p>
        </w:tc>
        <w:tc>
          <w:tcPr>
            <w:tcW w:w="540" w:type="pct"/>
            <w:tcBorders>
              <w:top w:val="nil"/>
              <w:left w:val="nil"/>
              <w:bottom w:val="nil"/>
              <w:right w:val="nil"/>
            </w:tcBorders>
            <w:shd w:val="clear" w:color="auto" w:fill="auto"/>
            <w:vAlign w:val="center"/>
            <w:hideMark/>
          </w:tcPr>
          <w:p w14:paraId="2D32E7FA"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14FA3AFD"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400</w:t>
            </w:r>
          </w:p>
        </w:tc>
        <w:tc>
          <w:tcPr>
            <w:tcW w:w="540" w:type="pct"/>
            <w:tcBorders>
              <w:top w:val="nil"/>
              <w:left w:val="nil"/>
              <w:bottom w:val="nil"/>
              <w:right w:val="nil"/>
            </w:tcBorders>
            <w:shd w:val="clear" w:color="auto" w:fill="auto"/>
            <w:vAlign w:val="center"/>
            <w:hideMark/>
          </w:tcPr>
          <w:p w14:paraId="5EB5B53B"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5 400</w:t>
            </w:r>
          </w:p>
        </w:tc>
        <w:tc>
          <w:tcPr>
            <w:tcW w:w="540" w:type="pct"/>
            <w:tcBorders>
              <w:top w:val="nil"/>
              <w:left w:val="nil"/>
              <w:bottom w:val="nil"/>
              <w:right w:val="nil"/>
            </w:tcBorders>
            <w:shd w:val="clear" w:color="auto" w:fill="auto"/>
            <w:vAlign w:val="center"/>
            <w:hideMark/>
          </w:tcPr>
          <w:p w14:paraId="7BF6708C"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38489C14"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-5 400</w:t>
            </w:r>
          </w:p>
        </w:tc>
      </w:tr>
      <w:tr w:rsidR="009A05C7" w:rsidRPr="00274557" w14:paraId="55C0D636" w14:textId="77777777" w:rsidTr="000240DA">
        <w:trPr>
          <w:trHeight w:val="290"/>
        </w:trPr>
        <w:tc>
          <w:tcPr>
            <w:tcW w:w="2300" w:type="pct"/>
            <w:tcBorders>
              <w:top w:val="nil"/>
              <w:left w:val="nil"/>
              <w:bottom w:val="nil"/>
              <w:right w:val="nil"/>
            </w:tcBorders>
            <w:shd w:val="clear" w:color="auto" w:fill="auto"/>
            <w:vAlign w:val="center"/>
            <w:hideMark/>
          </w:tcPr>
          <w:p w14:paraId="771DD22C" w14:textId="77777777" w:rsidR="009A05C7" w:rsidRPr="00274557" w:rsidRDefault="009A05C7" w:rsidP="000240DA">
            <w:pPr>
              <w:spacing w:after="0" w:line="240" w:lineRule="auto"/>
              <w:rPr>
                <w:rFonts w:eastAsia="Times New Roman" w:cs="Times New Roman"/>
                <w:color w:val="000000"/>
                <w:sz w:val="18"/>
                <w:szCs w:val="18"/>
                <w:lang w:eastAsia="sk-SK"/>
              </w:rPr>
            </w:pPr>
            <w:r w:rsidRPr="00274557">
              <w:rPr>
                <w:rFonts w:eastAsia="Times New Roman" w:cs="Times New Roman"/>
                <w:color w:val="000000"/>
                <w:sz w:val="18"/>
                <w:szCs w:val="18"/>
                <w:lang w:eastAsia="sk-SK"/>
              </w:rPr>
              <w:t>EXIMBANKA SR</w:t>
            </w:r>
          </w:p>
        </w:tc>
        <w:tc>
          <w:tcPr>
            <w:tcW w:w="540" w:type="pct"/>
            <w:tcBorders>
              <w:top w:val="nil"/>
              <w:left w:val="nil"/>
              <w:bottom w:val="nil"/>
              <w:right w:val="nil"/>
            </w:tcBorders>
            <w:shd w:val="clear" w:color="auto" w:fill="auto"/>
            <w:vAlign w:val="center"/>
            <w:hideMark/>
          </w:tcPr>
          <w:p w14:paraId="4E14D440"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0</w:t>
            </w:r>
          </w:p>
        </w:tc>
        <w:tc>
          <w:tcPr>
            <w:tcW w:w="540" w:type="pct"/>
            <w:tcBorders>
              <w:top w:val="nil"/>
              <w:left w:val="nil"/>
              <w:bottom w:val="nil"/>
              <w:right w:val="nil"/>
            </w:tcBorders>
            <w:shd w:val="clear" w:color="auto" w:fill="auto"/>
            <w:vAlign w:val="center"/>
            <w:hideMark/>
          </w:tcPr>
          <w:p w14:paraId="101F753E"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250</w:t>
            </w:r>
          </w:p>
        </w:tc>
        <w:tc>
          <w:tcPr>
            <w:tcW w:w="540" w:type="pct"/>
            <w:tcBorders>
              <w:top w:val="nil"/>
              <w:left w:val="nil"/>
              <w:bottom w:val="nil"/>
              <w:right w:val="nil"/>
            </w:tcBorders>
            <w:shd w:val="clear" w:color="auto" w:fill="auto"/>
            <w:vAlign w:val="center"/>
            <w:hideMark/>
          </w:tcPr>
          <w:p w14:paraId="21E184C5"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250</w:t>
            </w:r>
          </w:p>
        </w:tc>
        <w:tc>
          <w:tcPr>
            <w:tcW w:w="540" w:type="pct"/>
            <w:tcBorders>
              <w:top w:val="nil"/>
              <w:left w:val="nil"/>
              <w:bottom w:val="nil"/>
              <w:right w:val="nil"/>
            </w:tcBorders>
            <w:shd w:val="clear" w:color="auto" w:fill="auto"/>
            <w:vAlign w:val="center"/>
            <w:hideMark/>
          </w:tcPr>
          <w:p w14:paraId="63AF4AB6"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250</w:t>
            </w:r>
          </w:p>
        </w:tc>
        <w:tc>
          <w:tcPr>
            <w:tcW w:w="540" w:type="pct"/>
            <w:tcBorders>
              <w:top w:val="nil"/>
              <w:left w:val="nil"/>
              <w:bottom w:val="nil"/>
              <w:right w:val="nil"/>
            </w:tcBorders>
            <w:shd w:val="clear" w:color="auto" w:fill="auto"/>
            <w:vAlign w:val="center"/>
            <w:hideMark/>
          </w:tcPr>
          <w:p w14:paraId="56D21D74"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0</w:t>
            </w:r>
          </w:p>
        </w:tc>
      </w:tr>
      <w:tr w:rsidR="009A05C7" w:rsidRPr="00274557" w14:paraId="06B7C7CB" w14:textId="77777777" w:rsidTr="000240DA">
        <w:trPr>
          <w:trHeight w:val="290"/>
        </w:trPr>
        <w:tc>
          <w:tcPr>
            <w:tcW w:w="2300" w:type="pct"/>
            <w:tcBorders>
              <w:top w:val="nil"/>
              <w:left w:val="nil"/>
              <w:bottom w:val="nil"/>
              <w:right w:val="nil"/>
            </w:tcBorders>
            <w:shd w:val="clear" w:color="auto" w:fill="auto"/>
            <w:vAlign w:val="center"/>
            <w:hideMark/>
          </w:tcPr>
          <w:p w14:paraId="61E6C51C" w14:textId="77777777" w:rsidR="009A05C7" w:rsidRPr="00274557" w:rsidRDefault="009A05C7" w:rsidP="000240DA">
            <w:pPr>
              <w:spacing w:after="0"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riadne dividendy a odvody zo zisku</w:t>
            </w:r>
          </w:p>
        </w:tc>
        <w:tc>
          <w:tcPr>
            <w:tcW w:w="540" w:type="pct"/>
            <w:tcBorders>
              <w:top w:val="nil"/>
              <w:left w:val="nil"/>
              <w:bottom w:val="nil"/>
              <w:right w:val="nil"/>
            </w:tcBorders>
            <w:shd w:val="clear" w:color="auto" w:fill="auto"/>
            <w:vAlign w:val="center"/>
            <w:hideMark/>
          </w:tcPr>
          <w:p w14:paraId="6D24A7CC"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32463B24"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250</w:t>
            </w:r>
          </w:p>
        </w:tc>
        <w:tc>
          <w:tcPr>
            <w:tcW w:w="540" w:type="pct"/>
            <w:tcBorders>
              <w:top w:val="nil"/>
              <w:left w:val="nil"/>
              <w:bottom w:val="nil"/>
              <w:right w:val="nil"/>
            </w:tcBorders>
            <w:shd w:val="clear" w:color="auto" w:fill="auto"/>
            <w:vAlign w:val="center"/>
            <w:hideMark/>
          </w:tcPr>
          <w:p w14:paraId="4B579BA2"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250</w:t>
            </w:r>
          </w:p>
        </w:tc>
        <w:tc>
          <w:tcPr>
            <w:tcW w:w="540" w:type="pct"/>
            <w:tcBorders>
              <w:top w:val="nil"/>
              <w:left w:val="nil"/>
              <w:bottom w:val="nil"/>
              <w:right w:val="nil"/>
            </w:tcBorders>
            <w:shd w:val="clear" w:color="auto" w:fill="auto"/>
            <w:vAlign w:val="center"/>
            <w:hideMark/>
          </w:tcPr>
          <w:p w14:paraId="7AFA8198"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250</w:t>
            </w:r>
          </w:p>
        </w:tc>
        <w:tc>
          <w:tcPr>
            <w:tcW w:w="540" w:type="pct"/>
            <w:tcBorders>
              <w:top w:val="nil"/>
              <w:left w:val="nil"/>
              <w:bottom w:val="nil"/>
              <w:right w:val="nil"/>
            </w:tcBorders>
            <w:shd w:val="clear" w:color="auto" w:fill="auto"/>
            <w:vAlign w:val="center"/>
            <w:hideMark/>
          </w:tcPr>
          <w:p w14:paraId="774AAC10"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r>
      <w:tr w:rsidR="009A05C7" w:rsidRPr="00274557" w14:paraId="276B48CE" w14:textId="77777777" w:rsidTr="000240DA">
        <w:trPr>
          <w:trHeight w:val="460"/>
        </w:trPr>
        <w:tc>
          <w:tcPr>
            <w:tcW w:w="2300" w:type="pct"/>
            <w:tcBorders>
              <w:top w:val="nil"/>
              <w:left w:val="nil"/>
              <w:bottom w:val="nil"/>
              <w:right w:val="nil"/>
            </w:tcBorders>
            <w:shd w:val="clear" w:color="auto" w:fill="auto"/>
            <w:vAlign w:val="center"/>
            <w:hideMark/>
          </w:tcPr>
          <w:p w14:paraId="53787277" w14:textId="77777777" w:rsidR="009A05C7" w:rsidRPr="00274557" w:rsidRDefault="009A05C7" w:rsidP="000240DA">
            <w:pPr>
              <w:spacing w:after="0" w:line="240" w:lineRule="auto"/>
              <w:jc w:val="lef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Ministerstvo zahraničných vecí a európskych záležitostí SR</w:t>
            </w:r>
          </w:p>
        </w:tc>
        <w:tc>
          <w:tcPr>
            <w:tcW w:w="540" w:type="pct"/>
            <w:tcBorders>
              <w:top w:val="nil"/>
              <w:left w:val="nil"/>
              <w:bottom w:val="nil"/>
              <w:right w:val="nil"/>
            </w:tcBorders>
            <w:shd w:val="clear" w:color="auto" w:fill="auto"/>
            <w:vAlign w:val="center"/>
            <w:hideMark/>
          </w:tcPr>
          <w:p w14:paraId="4ECC1027"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240</w:t>
            </w:r>
          </w:p>
        </w:tc>
        <w:tc>
          <w:tcPr>
            <w:tcW w:w="540" w:type="pct"/>
            <w:tcBorders>
              <w:top w:val="nil"/>
              <w:left w:val="nil"/>
              <w:bottom w:val="nil"/>
              <w:right w:val="nil"/>
            </w:tcBorders>
            <w:shd w:val="clear" w:color="auto" w:fill="auto"/>
            <w:vAlign w:val="center"/>
            <w:hideMark/>
          </w:tcPr>
          <w:p w14:paraId="0594889B"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260</w:t>
            </w:r>
          </w:p>
        </w:tc>
        <w:tc>
          <w:tcPr>
            <w:tcW w:w="540" w:type="pct"/>
            <w:tcBorders>
              <w:top w:val="nil"/>
              <w:left w:val="nil"/>
              <w:bottom w:val="nil"/>
              <w:right w:val="nil"/>
            </w:tcBorders>
            <w:shd w:val="clear" w:color="auto" w:fill="auto"/>
            <w:vAlign w:val="center"/>
            <w:hideMark/>
          </w:tcPr>
          <w:p w14:paraId="2E494D05"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260</w:t>
            </w:r>
          </w:p>
        </w:tc>
        <w:tc>
          <w:tcPr>
            <w:tcW w:w="540" w:type="pct"/>
            <w:tcBorders>
              <w:top w:val="nil"/>
              <w:left w:val="nil"/>
              <w:bottom w:val="nil"/>
              <w:right w:val="nil"/>
            </w:tcBorders>
            <w:shd w:val="clear" w:color="auto" w:fill="auto"/>
            <w:vAlign w:val="center"/>
            <w:hideMark/>
          </w:tcPr>
          <w:p w14:paraId="4D1C80D2"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260</w:t>
            </w:r>
          </w:p>
        </w:tc>
        <w:tc>
          <w:tcPr>
            <w:tcW w:w="540" w:type="pct"/>
            <w:tcBorders>
              <w:top w:val="nil"/>
              <w:left w:val="nil"/>
              <w:bottom w:val="nil"/>
              <w:right w:val="nil"/>
            </w:tcBorders>
            <w:shd w:val="clear" w:color="auto" w:fill="auto"/>
            <w:vAlign w:val="center"/>
            <w:hideMark/>
          </w:tcPr>
          <w:p w14:paraId="5986E77B"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0</w:t>
            </w:r>
          </w:p>
        </w:tc>
      </w:tr>
      <w:tr w:rsidR="009A05C7" w:rsidRPr="00274557" w14:paraId="290597A3" w14:textId="77777777" w:rsidTr="000240DA">
        <w:trPr>
          <w:trHeight w:val="290"/>
        </w:trPr>
        <w:tc>
          <w:tcPr>
            <w:tcW w:w="2300" w:type="pct"/>
            <w:tcBorders>
              <w:top w:val="nil"/>
              <w:left w:val="nil"/>
              <w:bottom w:val="nil"/>
              <w:right w:val="nil"/>
            </w:tcBorders>
            <w:shd w:val="clear" w:color="auto" w:fill="auto"/>
            <w:vAlign w:val="center"/>
            <w:hideMark/>
          </w:tcPr>
          <w:p w14:paraId="59D4C89F" w14:textId="77777777" w:rsidR="009A05C7" w:rsidRPr="00274557" w:rsidRDefault="009A05C7" w:rsidP="000240DA">
            <w:pPr>
              <w:spacing w:after="0" w:line="240" w:lineRule="auto"/>
              <w:jc w:val="left"/>
              <w:rPr>
                <w:rFonts w:eastAsia="Times New Roman" w:cs="Times New Roman"/>
                <w:color w:val="000000"/>
                <w:sz w:val="18"/>
                <w:szCs w:val="18"/>
                <w:lang w:eastAsia="sk-SK"/>
              </w:rPr>
            </w:pPr>
            <w:r w:rsidRPr="00274557">
              <w:rPr>
                <w:rFonts w:eastAsia="Times New Roman" w:cs="Times New Roman"/>
                <w:color w:val="000000"/>
                <w:sz w:val="18"/>
                <w:szCs w:val="18"/>
                <w:lang w:eastAsia="sk-SK"/>
              </w:rPr>
              <w:t>Správa služieb diplomatickému zboru, a. s.</w:t>
            </w:r>
          </w:p>
        </w:tc>
        <w:tc>
          <w:tcPr>
            <w:tcW w:w="540" w:type="pct"/>
            <w:tcBorders>
              <w:top w:val="nil"/>
              <w:left w:val="nil"/>
              <w:bottom w:val="nil"/>
              <w:right w:val="nil"/>
            </w:tcBorders>
            <w:shd w:val="clear" w:color="auto" w:fill="auto"/>
            <w:vAlign w:val="center"/>
            <w:hideMark/>
          </w:tcPr>
          <w:p w14:paraId="53216808"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240</w:t>
            </w:r>
          </w:p>
        </w:tc>
        <w:tc>
          <w:tcPr>
            <w:tcW w:w="540" w:type="pct"/>
            <w:tcBorders>
              <w:top w:val="nil"/>
              <w:left w:val="nil"/>
              <w:bottom w:val="nil"/>
              <w:right w:val="nil"/>
            </w:tcBorders>
            <w:shd w:val="clear" w:color="auto" w:fill="auto"/>
            <w:vAlign w:val="center"/>
            <w:hideMark/>
          </w:tcPr>
          <w:p w14:paraId="43A0E6CE"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260</w:t>
            </w:r>
          </w:p>
        </w:tc>
        <w:tc>
          <w:tcPr>
            <w:tcW w:w="540" w:type="pct"/>
            <w:tcBorders>
              <w:top w:val="nil"/>
              <w:left w:val="nil"/>
              <w:bottom w:val="nil"/>
              <w:right w:val="nil"/>
            </w:tcBorders>
            <w:shd w:val="clear" w:color="auto" w:fill="auto"/>
            <w:vAlign w:val="center"/>
            <w:hideMark/>
          </w:tcPr>
          <w:p w14:paraId="0EC335E5"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260</w:t>
            </w:r>
          </w:p>
        </w:tc>
        <w:tc>
          <w:tcPr>
            <w:tcW w:w="540" w:type="pct"/>
            <w:tcBorders>
              <w:top w:val="nil"/>
              <w:left w:val="nil"/>
              <w:bottom w:val="nil"/>
              <w:right w:val="nil"/>
            </w:tcBorders>
            <w:shd w:val="clear" w:color="auto" w:fill="auto"/>
            <w:vAlign w:val="center"/>
            <w:hideMark/>
          </w:tcPr>
          <w:p w14:paraId="71F7497C"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260</w:t>
            </w:r>
          </w:p>
        </w:tc>
        <w:tc>
          <w:tcPr>
            <w:tcW w:w="540" w:type="pct"/>
            <w:tcBorders>
              <w:top w:val="nil"/>
              <w:left w:val="nil"/>
              <w:bottom w:val="nil"/>
              <w:right w:val="nil"/>
            </w:tcBorders>
            <w:shd w:val="clear" w:color="auto" w:fill="auto"/>
            <w:vAlign w:val="center"/>
            <w:hideMark/>
          </w:tcPr>
          <w:p w14:paraId="36CB1C33"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0</w:t>
            </w:r>
          </w:p>
        </w:tc>
      </w:tr>
      <w:tr w:rsidR="009A05C7" w:rsidRPr="00274557" w14:paraId="6D43EAD2" w14:textId="77777777" w:rsidTr="000240DA">
        <w:trPr>
          <w:trHeight w:val="290"/>
        </w:trPr>
        <w:tc>
          <w:tcPr>
            <w:tcW w:w="2300" w:type="pct"/>
            <w:tcBorders>
              <w:top w:val="nil"/>
              <w:left w:val="nil"/>
              <w:bottom w:val="nil"/>
              <w:right w:val="nil"/>
            </w:tcBorders>
            <w:shd w:val="clear" w:color="auto" w:fill="auto"/>
            <w:vAlign w:val="center"/>
            <w:hideMark/>
          </w:tcPr>
          <w:p w14:paraId="56970A27" w14:textId="77777777" w:rsidR="009A05C7" w:rsidRPr="00274557" w:rsidRDefault="009A05C7" w:rsidP="000240DA">
            <w:pPr>
              <w:spacing w:after="0"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riadne dividendy a odvody zo zisku</w:t>
            </w:r>
          </w:p>
        </w:tc>
        <w:tc>
          <w:tcPr>
            <w:tcW w:w="540" w:type="pct"/>
            <w:tcBorders>
              <w:top w:val="nil"/>
              <w:left w:val="nil"/>
              <w:bottom w:val="nil"/>
              <w:right w:val="nil"/>
            </w:tcBorders>
            <w:shd w:val="clear" w:color="auto" w:fill="auto"/>
            <w:vAlign w:val="center"/>
            <w:hideMark/>
          </w:tcPr>
          <w:p w14:paraId="7B6D4E02"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240</w:t>
            </w:r>
          </w:p>
        </w:tc>
        <w:tc>
          <w:tcPr>
            <w:tcW w:w="540" w:type="pct"/>
            <w:tcBorders>
              <w:top w:val="nil"/>
              <w:left w:val="nil"/>
              <w:bottom w:val="nil"/>
              <w:right w:val="nil"/>
            </w:tcBorders>
            <w:shd w:val="clear" w:color="auto" w:fill="auto"/>
            <w:vAlign w:val="center"/>
            <w:hideMark/>
          </w:tcPr>
          <w:p w14:paraId="2B56ACBF"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260</w:t>
            </w:r>
          </w:p>
        </w:tc>
        <w:tc>
          <w:tcPr>
            <w:tcW w:w="540" w:type="pct"/>
            <w:tcBorders>
              <w:top w:val="nil"/>
              <w:left w:val="nil"/>
              <w:bottom w:val="nil"/>
              <w:right w:val="nil"/>
            </w:tcBorders>
            <w:shd w:val="clear" w:color="auto" w:fill="auto"/>
            <w:vAlign w:val="center"/>
            <w:hideMark/>
          </w:tcPr>
          <w:p w14:paraId="372DE558"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117</w:t>
            </w:r>
          </w:p>
        </w:tc>
        <w:tc>
          <w:tcPr>
            <w:tcW w:w="540" w:type="pct"/>
            <w:tcBorders>
              <w:top w:val="nil"/>
              <w:left w:val="nil"/>
              <w:bottom w:val="nil"/>
              <w:right w:val="nil"/>
            </w:tcBorders>
            <w:shd w:val="clear" w:color="auto" w:fill="auto"/>
            <w:vAlign w:val="center"/>
            <w:hideMark/>
          </w:tcPr>
          <w:p w14:paraId="76C41F28"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260</w:t>
            </w:r>
          </w:p>
        </w:tc>
        <w:tc>
          <w:tcPr>
            <w:tcW w:w="540" w:type="pct"/>
            <w:tcBorders>
              <w:top w:val="nil"/>
              <w:left w:val="nil"/>
              <w:bottom w:val="nil"/>
              <w:right w:val="nil"/>
            </w:tcBorders>
            <w:shd w:val="clear" w:color="auto" w:fill="auto"/>
            <w:vAlign w:val="center"/>
            <w:hideMark/>
          </w:tcPr>
          <w:p w14:paraId="5CEC3897"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143</w:t>
            </w:r>
          </w:p>
        </w:tc>
      </w:tr>
      <w:tr w:rsidR="009A05C7" w:rsidRPr="00274557" w14:paraId="033CE540" w14:textId="77777777" w:rsidTr="000240DA">
        <w:trPr>
          <w:trHeight w:val="290"/>
        </w:trPr>
        <w:tc>
          <w:tcPr>
            <w:tcW w:w="2300" w:type="pct"/>
            <w:tcBorders>
              <w:top w:val="nil"/>
              <w:left w:val="nil"/>
              <w:bottom w:val="nil"/>
              <w:right w:val="nil"/>
            </w:tcBorders>
            <w:shd w:val="clear" w:color="auto" w:fill="auto"/>
            <w:vAlign w:val="center"/>
            <w:hideMark/>
          </w:tcPr>
          <w:p w14:paraId="61945EB1" w14:textId="77777777" w:rsidR="009A05C7" w:rsidRPr="00274557" w:rsidRDefault="009A05C7" w:rsidP="000240DA">
            <w:pPr>
              <w:spacing w:after="0"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superdividendy</w:t>
            </w:r>
          </w:p>
        </w:tc>
        <w:tc>
          <w:tcPr>
            <w:tcW w:w="540" w:type="pct"/>
            <w:tcBorders>
              <w:top w:val="nil"/>
              <w:left w:val="nil"/>
              <w:bottom w:val="nil"/>
              <w:right w:val="nil"/>
            </w:tcBorders>
            <w:shd w:val="clear" w:color="auto" w:fill="auto"/>
            <w:vAlign w:val="center"/>
            <w:hideMark/>
          </w:tcPr>
          <w:p w14:paraId="1401956E"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1BCE4A5F"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5407D4D5"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143</w:t>
            </w:r>
          </w:p>
        </w:tc>
        <w:tc>
          <w:tcPr>
            <w:tcW w:w="540" w:type="pct"/>
            <w:tcBorders>
              <w:top w:val="nil"/>
              <w:left w:val="nil"/>
              <w:bottom w:val="nil"/>
              <w:right w:val="nil"/>
            </w:tcBorders>
            <w:shd w:val="clear" w:color="auto" w:fill="auto"/>
            <w:vAlign w:val="center"/>
            <w:hideMark/>
          </w:tcPr>
          <w:p w14:paraId="4B7CE3AB"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1136ED5E"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-143</w:t>
            </w:r>
          </w:p>
        </w:tc>
      </w:tr>
      <w:tr w:rsidR="009A05C7" w:rsidRPr="00274557" w14:paraId="0DE50F20" w14:textId="77777777" w:rsidTr="000240DA">
        <w:trPr>
          <w:trHeight w:val="290"/>
        </w:trPr>
        <w:tc>
          <w:tcPr>
            <w:tcW w:w="2300" w:type="pct"/>
            <w:tcBorders>
              <w:top w:val="nil"/>
              <w:left w:val="nil"/>
              <w:bottom w:val="nil"/>
              <w:right w:val="nil"/>
            </w:tcBorders>
            <w:shd w:val="clear" w:color="auto" w:fill="auto"/>
            <w:vAlign w:val="center"/>
            <w:hideMark/>
          </w:tcPr>
          <w:p w14:paraId="52338145" w14:textId="77777777" w:rsidR="009A05C7" w:rsidRPr="00274557" w:rsidRDefault="009A05C7" w:rsidP="000240DA">
            <w:pPr>
              <w:spacing w:after="0" w:line="240" w:lineRule="auto"/>
              <w:jc w:val="lef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Ministerstvo hospodárstva SR</w:t>
            </w:r>
          </w:p>
        </w:tc>
        <w:tc>
          <w:tcPr>
            <w:tcW w:w="540" w:type="pct"/>
            <w:tcBorders>
              <w:top w:val="nil"/>
              <w:left w:val="nil"/>
              <w:bottom w:val="nil"/>
              <w:right w:val="nil"/>
            </w:tcBorders>
            <w:shd w:val="clear" w:color="auto" w:fill="auto"/>
            <w:vAlign w:val="center"/>
            <w:hideMark/>
          </w:tcPr>
          <w:p w14:paraId="1CF316AD"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373 186</w:t>
            </w:r>
          </w:p>
        </w:tc>
        <w:tc>
          <w:tcPr>
            <w:tcW w:w="540" w:type="pct"/>
            <w:tcBorders>
              <w:top w:val="nil"/>
              <w:left w:val="nil"/>
              <w:bottom w:val="nil"/>
              <w:right w:val="nil"/>
            </w:tcBorders>
            <w:shd w:val="clear" w:color="auto" w:fill="auto"/>
            <w:vAlign w:val="center"/>
            <w:hideMark/>
          </w:tcPr>
          <w:p w14:paraId="34B9B6D3"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88 575</w:t>
            </w:r>
          </w:p>
        </w:tc>
        <w:tc>
          <w:tcPr>
            <w:tcW w:w="540" w:type="pct"/>
            <w:tcBorders>
              <w:top w:val="nil"/>
              <w:left w:val="nil"/>
              <w:bottom w:val="nil"/>
              <w:right w:val="nil"/>
            </w:tcBorders>
            <w:shd w:val="clear" w:color="auto" w:fill="auto"/>
            <w:vAlign w:val="center"/>
            <w:hideMark/>
          </w:tcPr>
          <w:p w14:paraId="53A79D89"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374 599</w:t>
            </w:r>
          </w:p>
        </w:tc>
        <w:tc>
          <w:tcPr>
            <w:tcW w:w="540" w:type="pct"/>
            <w:tcBorders>
              <w:top w:val="nil"/>
              <w:left w:val="nil"/>
              <w:bottom w:val="nil"/>
              <w:right w:val="nil"/>
            </w:tcBorders>
            <w:shd w:val="clear" w:color="auto" w:fill="auto"/>
            <w:vAlign w:val="center"/>
            <w:hideMark/>
          </w:tcPr>
          <w:p w14:paraId="60536549"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380 365</w:t>
            </w:r>
          </w:p>
        </w:tc>
        <w:tc>
          <w:tcPr>
            <w:tcW w:w="540" w:type="pct"/>
            <w:tcBorders>
              <w:top w:val="nil"/>
              <w:left w:val="nil"/>
              <w:bottom w:val="nil"/>
              <w:right w:val="nil"/>
            </w:tcBorders>
            <w:shd w:val="clear" w:color="auto" w:fill="auto"/>
            <w:vAlign w:val="center"/>
            <w:hideMark/>
          </w:tcPr>
          <w:p w14:paraId="7A619D86"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5 766</w:t>
            </w:r>
          </w:p>
        </w:tc>
      </w:tr>
      <w:tr w:rsidR="009A05C7" w:rsidRPr="00274557" w14:paraId="0810AD47" w14:textId="77777777" w:rsidTr="000240DA">
        <w:trPr>
          <w:trHeight w:val="290"/>
        </w:trPr>
        <w:tc>
          <w:tcPr>
            <w:tcW w:w="2300" w:type="pct"/>
            <w:tcBorders>
              <w:top w:val="nil"/>
              <w:left w:val="nil"/>
              <w:bottom w:val="nil"/>
              <w:right w:val="nil"/>
            </w:tcBorders>
            <w:shd w:val="clear" w:color="auto" w:fill="auto"/>
            <w:vAlign w:val="center"/>
            <w:hideMark/>
          </w:tcPr>
          <w:p w14:paraId="2781F267" w14:textId="77777777" w:rsidR="009A05C7" w:rsidRPr="00274557" w:rsidRDefault="009A05C7" w:rsidP="000240DA">
            <w:pPr>
              <w:spacing w:after="0" w:line="240" w:lineRule="auto"/>
              <w:jc w:val="left"/>
              <w:rPr>
                <w:rFonts w:eastAsia="Times New Roman" w:cs="Times New Roman"/>
                <w:color w:val="000000"/>
                <w:sz w:val="18"/>
                <w:szCs w:val="18"/>
                <w:lang w:eastAsia="sk-SK"/>
              </w:rPr>
            </w:pPr>
            <w:r w:rsidRPr="00274557">
              <w:rPr>
                <w:rFonts w:eastAsia="Times New Roman" w:cs="Times New Roman"/>
                <w:color w:val="000000"/>
                <w:sz w:val="18"/>
                <w:szCs w:val="18"/>
                <w:lang w:eastAsia="sk-SK"/>
              </w:rPr>
              <w:t>Jadrová a vyraďovacia spoločnosť, a. s.</w:t>
            </w:r>
          </w:p>
        </w:tc>
        <w:tc>
          <w:tcPr>
            <w:tcW w:w="540" w:type="pct"/>
            <w:tcBorders>
              <w:top w:val="nil"/>
              <w:left w:val="nil"/>
              <w:bottom w:val="nil"/>
              <w:right w:val="nil"/>
            </w:tcBorders>
            <w:shd w:val="clear" w:color="auto" w:fill="auto"/>
            <w:vAlign w:val="center"/>
            <w:hideMark/>
          </w:tcPr>
          <w:p w14:paraId="3F3D209A"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3 000</w:t>
            </w:r>
          </w:p>
        </w:tc>
        <w:tc>
          <w:tcPr>
            <w:tcW w:w="540" w:type="pct"/>
            <w:tcBorders>
              <w:top w:val="nil"/>
              <w:left w:val="nil"/>
              <w:bottom w:val="nil"/>
              <w:right w:val="nil"/>
            </w:tcBorders>
            <w:shd w:val="clear" w:color="auto" w:fill="auto"/>
            <w:vAlign w:val="center"/>
            <w:hideMark/>
          </w:tcPr>
          <w:p w14:paraId="27187CDA"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490</w:t>
            </w:r>
          </w:p>
        </w:tc>
        <w:tc>
          <w:tcPr>
            <w:tcW w:w="540" w:type="pct"/>
            <w:tcBorders>
              <w:top w:val="nil"/>
              <w:left w:val="nil"/>
              <w:bottom w:val="nil"/>
              <w:right w:val="nil"/>
            </w:tcBorders>
            <w:shd w:val="clear" w:color="auto" w:fill="auto"/>
            <w:vAlign w:val="center"/>
            <w:hideMark/>
          </w:tcPr>
          <w:p w14:paraId="717A86EB"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403</w:t>
            </w:r>
          </w:p>
        </w:tc>
        <w:tc>
          <w:tcPr>
            <w:tcW w:w="540" w:type="pct"/>
            <w:tcBorders>
              <w:top w:val="nil"/>
              <w:left w:val="nil"/>
              <w:bottom w:val="nil"/>
              <w:right w:val="nil"/>
            </w:tcBorders>
            <w:shd w:val="clear" w:color="auto" w:fill="auto"/>
            <w:vAlign w:val="center"/>
            <w:hideMark/>
          </w:tcPr>
          <w:p w14:paraId="0496C968"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1 074</w:t>
            </w:r>
          </w:p>
        </w:tc>
        <w:tc>
          <w:tcPr>
            <w:tcW w:w="540" w:type="pct"/>
            <w:tcBorders>
              <w:top w:val="nil"/>
              <w:left w:val="nil"/>
              <w:bottom w:val="nil"/>
              <w:right w:val="nil"/>
            </w:tcBorders>
            <w:shd w:val="clear" w:color="auto" w:fill="auto"/>
            <w:vAlign w:val="center"/>
            <w:hideMark/>
          </w:tcPr>
          <w:p w14:paraId="27B93AC7"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671</w:t>
            </w:r>
          </w:p>
        </w:tc>
      </w:tr>
      <w:tr w:rsidR="009A05C7" w:rsidRPr="00274557" w14:paraId="1AFFE0A4" w14:textId="77777777" w:rsidTr="000240DA">
        <w:trPr>
          <w:trHeight w:val="290"/>
        </w:trPr>
        <w:tc>
          <w:tcPr>
            <w:tcW w:w="2300" w:type="pct"/>
            <w:tcBorders>
              <w:top w:val="nil"/>
              <w:left w:val="nil"/>
              <w:bottom w:val="nil"/>
              <w:right w:val="nil"/>
            </w:tcBorders>
            <w:shd w:val="clear" w:color="auto" w:fill="auto"/>
            <w:vAlign w:val="center"/>
            <w:hideMark/>
          </w:tcPr>
          <w:p w14:paraId="02D42D20" w14:textId="77777777" w:rsidR="009A05C7" w:rsidRPr="00274557" w:rsidRDefault="009A05C7" w:rsidP="000240DA">
            <w:pPr>
              <w:spacing w:after="0"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riadne dividendy a odvody zo zisku</w:t>
            </w:r>
          </w:p>
        </w:tc>
        <w:tc>
          <w:tcPr>
            <w:tcW w:w="540" w:type="pct"/>
            <w:tcBorders>
              <w:top w:val="nil"/>
              <w:left w:val="nil"/>
              <w:bottom w:val="nil"/>
              <w:right w:val="nil"/>
            </w:tcBorders>
            <w:shd w:val="clear" w:color="auto" w:fill="auto"/>
            <w:vAlign w:val="center"/>
            <w:hideMark/>
          </w:tcPr>
          <w:p w14:paraId="20D3DE2C"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7AFF04A4"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490</w:t>
            </w:r>
          </w:p>
        </w:tc>
        <w:tc>
          <w:tcPr>
            <w:tcW w:w="540" w:type="pct"/>
            <w:tcBorders>
              <w:top w:val="nil"/>
              <w:left w:val="nil"/>
              <w:bottom w:val="nil"/>
              <w:right w:val="nil"/>
            </w:tcBorders>
            <w:shd w:val="clear" w:color="auto" w:fill="auto"/>
            <w:vAlign w:val="center"/>
            <w:hideMark/>
          </w:tcPr>
          <w:p w14:paraId="24620370"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403</w:t>
            </w:r>
          </w:p>
        </w:tc>
        <w:tc>
          <w:tcPr>
            <w:tcW w:w="540" w:type="pct"/>
            <w:tcBorders>
              <w:top w:val="nil"/>
              <w:left w:val="nil"/>
              <w:bottom w:val="nil"/>
              <w:right w:val="nil"/>
            </w:tcBorders>
            <w:shd w:val="clear" w:color="auto" w:fill="auto"/>
            <w:vAlign w:val="center"/>
            <w:hideMark/>
          </w:tcPr>
          <w:p w14:paraId="5F2A9CE7"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1 074</w:t>
            </w:r>
          </w:p>
        </w:tc>
        <w:tc>
          <w:tcPr>
            <w:tcW w:w="540" w:type="pct"/>
            <w:tcBorders>
              <w:top w:val="nil"/>
              <w:left w:val="nil"/>
              <w:bottom w:val="nil"/>
              <w:right w:val="nil"/>
            </w:tcBorders>
            <w:shd w:val="clear" w:color="auto" w:fill="auto"/>
            <w:vAlign w:val="center"/>
            <w:hideMark/>
          </w:tcPr>
          <w:p w14:paraId="00D2331F"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671</w:t>
            </w:r>
          </w:p>
        </w:tc>
      </w:tr>
      <w:tr w:rsidR="009A05C7" w:rsidRPr="00274557" w14:paraId="1BD67FD0" w14:textId="77777777" w:rsidTr="000240DA">
        <w:trPr>
          <w:trHeight w:val="290"/>
        </w:trPr>
        <w:tc>
          <w:tcPr>
            <w:tcW w:w="2300" w:type="pct"/>
            <w:tcBorders>
              <w:top w:val="nil"/>
              <w:left w:val="nil"/>
              <w:bottom w:val="nil"/>
              <w:right w:val="nil"/>
            </w:tcBorders>
            <w:shd w:val="clear" w:color="auto" w:fill="auto"/>
            <w:vAlign w:val="center"/>
            <w:hideMark/>
          </w:tcPr>
          <w:p w14:paraId="6559A5C8" w14:textId="77777777" w:rsidR="009A05C7" w:rsidRPr="00274557" w:rsidRDefault="009A05C7" w:rsidP="000240DA">
            <w:pPr>
              <w:spacing w:after="0"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superdividendy</w:t>
            </w:r>
          </w:p>
        </w:tc>
        <w:tc>
          <w:tcPr>
            <w:tcW w:w="540" w:type="pct"/>
            <w:tcBorders>
              <w:top w:val="nil"/>
              <w:left w:val="nil"/>
              <w:bottom w:val="nil"/>
              <w:right w:val="nil"/>
            </w:tcBorders>
            <w:shd w:val="clear" w:color="auto" w:fill="auto"/>
            <w:vAlign w:val="center"/>
            <w:hideMark/>
          </w:tcPr>
          <w:p w14:paraId="3B39C375"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3 000</w:t>
            </w:r>
          </w:p>
        </w:tc>
        <w:tc>
          <w:tcPr>
            <w:tcW w:w="540" w:type="pct"/>
            <w:tcBorders>
              <w:top w:val="nil"/>
              <w:left w:val="nil"/>
              <w:bottom w:val="nil"/>
              <w:right w:val="nil"/>
            </w:tcBorders>
            <w:shd w:val="clear" w:color="auto" w:fill="auto"/>
            <w:vAlign w:val="center"/>
            <w:hideMark/>
          </w:tcPr>
          <w:p w14:paraId="320C40E9"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1B230995"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2A3351ED"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0DDABECD"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r>
      <w:tr w:rsidR="009A05C7" w:rsidRPr="00274557" w14:paraId="75D1CA50" w14:textId="77777777" w:rsidTr="000240DA">
        <w:trPr>
          <w:trHeight w:val="290"/>
        </w:trPr>
        <w:tc>
          <w:tcPr>
            <w:tcW w:w="2300" w:type="pct"/>
            <w:tcBorders>
              <w:top w:val="nil"/>
              <w:left w:val="nil"/>
              <w:bottom w:val="nil"/>
              <w:right w:val="nil"/>
            </w:tcBorders>
            <w:shd w:val="clear" w:color="auto" w:fill="auto"/>
            <w:vAlign w:val="center"/>
            <w:hideMark/>
          </w:tcPr>
          <w:p w14:paraId="0EF21107" w14:textId="77777777" w:rsidR="009A05C7" w:rsidRPr="00274557" w:rsidRDefault="009A05C7" w:rsidP="000240DA">
            <w:pPr>
              <w:spacing w:after="0" w:line="240" w:lineRule="auto"/>
              <w:jc w:val="left"/>
              <w:rPr>
                <w:rFonts w:eastAsia="Times New Roman" w:cs="Times New Roman"/>
                <w:color w:val="000000"/>
                <w:sz w:val="18"/>
                <w:szCs w:val="18"/>
                <w:lang w:eastAsia="sk-SK"/>
              </w:rPr>
            </w:pPr>
            <w:r w:rsidRPr="00274557">
              <w:rPr>
                <w:rFonts w:eastAsia="Times New Roman" w:cs="Times New Roman"/>
                <w:color w:val="000000"/>
                <w:sz w:val="18"/>
                <w:szCs w:val="18"/>
                <w:lang w:eastAsia="sk-SK"/>
              </w:rPr>
              <w:t>Transpetrol, a. s.</w:t>
            </w:r>
          </w:p>
        </w:tc>
        <w:tc>
          <w:tcPr>
            <w:tcW w:w="540" w:type="pct"/>
            <w:tcBorders>
              <w:top w:val="nil"/>
              <w:left w:val="nil"/>
              <w:bottom w:val="nil"/>
              <w:right w:val="nil"/>
            </w:tcBorders>
            <w:shd w:val="clear" w:color="auto" w:fill="auto"/>
            <w:vAlign w:val="center"/>
            <w:hideMark/>
          </w:tcPr>
          <w:p w14:paraId="7783F170"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1 500</w:t>
            </w:r>
          </w:p>
        </w:tc>
        <w:tc>
          <w:tcPr>
            <w:tcW w:w="540" w:type="pct"/>
            <w:tcBorders>
              <w:top w:val="nil"/>
              <w:left w:val="nil"/>
              <w:bottom w:val="nil"/>
              <w:right w:val="nil"/>
            </w:tcBorders>
            <w:shd w:val="clear" w:color="auto" w:fill="auto"/>
            <w:vAlign w:val="center"/>
            <w:hideMark/>
          </w:tcPr>
          <w:p w14:paraId="1BD242DC"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1 500</w:t>
            </w:r>
          </w:p>
        </w:tc>
        <w:tc>
          <w:tcPr>
            <w:tcW w:w="540" w:type="pct"/>
            <w:tcBorders>
              <w:top w:val="nil"/>
              <w:left w:val="nil"/>
              <w:bottom w:val="nil"/>
              <w:right w:val="nil"/>
            </w:tcBorders>
            <w:shd w:val="clear" w:color="auto" w:fill="auto"/>
            <w:vAlign w:val="center"/>
            <w:hideMark/>
          </w:tcPr>
          <w:p w14:paraId="6C5BBE6C"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0</w:t>
            </w:r>
          </w:p>
        </w:tc>
        <w:tc>
          <w:tcPr>
            <w:tcW w:w="540" w:type="pct"/>
            <w:tcBorders>
              <w:top w:val="nil"/>
              <w:left w:val="nil"/>
              <w:bottom w:val="nil"/>
              <w:right w:val="nil"/>
            </w:tcBorders>
            <w:shd w:val="clear" w:color="auto" w:fill="auto"/>
            <w:vAlign w:val="center"/>
            <w:hideMark/>
          </w:tcPr>
          <w:p w14:paraId="16A52089"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1 500</w:t>
            </w:r>
          </w:p>
        </w:tc>
        <w:tc>
          <w:tcPr>
            <w:tcW w:w="540" w:type="pct"/>
            <w:tcBorders>
              <w:top w:val="nil"/>
              <w:left w:val="nil"/>
              <w:bottom w:val="nil"/>
              <w:right w:val="nil"/>
            </w:tcBorders>
            <w:shd w:val="clear" w:color="auto" w:fill="auto"/>
            <w:vAlign w:val="center"/>
            <w:hideMark/>
          </w:tcPr>
          <w:p w14:paraId="57DDDF71"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1 500</w:t>
            </w:r>
          </w:p>
        </w:tc>
      </w:tr>
      <w:tr w:rsidR="009A05C7" w:rsidRPr="00274557" w14:paraId="5BA3AECC" w14:textId="77777777" w:rsidTr="000240DA">
        <w:trPr>
          <w:trHeight w:val="290"/>
        </w:trPr>
        <w:tc>
          <w:tcPr>
            <w:tcW w:w="2300" w:type="pct"/>
            <w:tcBorders>
              <w:top w:val="nil"/>
              <w:left w:val="nil"/>
              <w:bottom w:val="nil"/>
              <w:right w:val="nil"/>
            </w:tcBorders>
            <w:shd w:val="clear" w:color="auto" w:fill="auto"/>
            <w:vAlign w:val="center"/>
            <w:hideMark/>
          </w:tcPr>
          <w:p w14:paraId="0C4B5E38" w14:textId="77777777" w:rsidR="009A05C7" w:rsidRPr="00274557" w:rsidRDefault="009A05C7" w:rsidP="000240DA">
            <w:pPr>
              <w:spacing w:after="0" w:line="240" w:lineRule="auto"/>
              <w:jc w:val="left"/>
              <w:rPr>
                <w:rFonts w:eastAsia="Times New Roman" w:cs="Times New Roman"/>
                <w:color w:val="000000"/>
                <w:sz w:val="18"/>
                <w:szCs w:val="18"/>
                <w:lang w:eastAsia="sk-SK"/>
              </w:rPr>
            </w:pPr>
            <w:r w:rsidRPr="00274557">
              <w:rPr>
                <w:rFonts w:eastAsia="Times New Roman" w:cs="Times New Roman"/>
                <w:color w:val="000000"/>
                <w:sz w:val="18"/>
                <w:szCs w:val="18"/>
                <w:lang w:eastAsia="sk-SK"/>
              </w:rPr>
              <w:t>Slovenský plynárenský priemysel, a. s.</w:t>
            </w:r>
            <w:r w:rsidRPr="00274557">
              <w:rPr>
                <w:rFonts w:eastAsia="Times New Roman" w:cs="Times New Roman"/>
                <w:color w:val="000000"/>
                <w:sz w:val="18"/>
                <w:szCs w:val="18"/>
                <w:vertAlign w:val="superscript"/>
                <w:lang w:eastAsia="sk-SK"/>
              </w:rPr>
              <w:t>1)</w:t>
            </w:r>
          </w:p>
        </w:tc>
        <w:tc>
          <w:tcPr>
            <w:tcW w:w="540" w:type="pct"/>
            <w:tcBorders>
              <w:top w:val="nil"/>
              <w:left w:val="nil"/>
              <w:bottom w:val="nil"/>
              <w:right w:val="nil"/>
            </w:tcBorders>
            <w:shd w:val="clear" w:color="auto" w:fill="auto"/>
            <w:vAlign w:val="center"/>
            <w:hideMark/>
          </w:tcPr>
          <w:p w14:paraId="426A4743"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220 000</w:t>
            </w:r>
          </w:p>
        </w:tc>
        <w:tc>
          <w:tcPr>
            <w:tcW w:w="540" w:type="pct"/>
            <w:tcBorders>
              <w:top w:val="nil"/>
              <w:left w:val="nil"/>
              <w:bottom w:val="nil"/>
              <w:right w:val="nil"/>
            </w:tcBorders>
            <w:shd w:val="clear" w:color="auto" w:fill="auto"/>
            <w:vAlign w:val="center"/>
            <w:hideMark/>
          </w:tcPr>
          <w:p w14:paraId="023CA2AC"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0</w:t>
            </w:r>
          </w:p>
        </w:tc>
        <w:tc>
          <w:tcPr>
            <w:tcW w:w="540" w:type="pct"/>
            <w:tcBorders>
              <w:top w:val="nil"/>
              <w:left w:val="nil"/>
              <w:bottom w:val="nil"/>
              <w:right w:val="nil"/>
            </w:tcBorders>
            <w:shd w:val="clear" w:color="auto" w:fill="auto"/>
            <w:vAlign w:val="center"/>
            <w:hideMark/>
          </w:tcPr>
          <w:p w14:paraId="6B393EFA"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290 700</w:t>
            </w:r>
          </w:p>
        </w:tc>
        <w:tc>
          <w:tcPr>
            <w:tcW w:w="540" w:type="pct"/>
            <w:tcBorders>
              <w:top w:val="nil"/>
              <w:left w:val="nil"/>
              <w:bottom w:val="nil"/>
              <w:right w:val="nil"/>
            </w:tcBorders>
            <w:shd w:val="clear" w:color="auto" w:fill="auto"/>
            <w:vAlign w:val="center"/>
            <w:hideMark/>
          </w:tcPr>
          <w:p w14:paraId="0E31FA42"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290 307</w:t>
            </w:r>
          </w:p>
        </w:tc>
        <w:tc>
          <w:tcPr>
            <w:tcW w:w="540" w:type="pct"/>
            <w:tcBorders>
              <w:top w:val="nil"/>
              <w:left w:val="nil"/>
              <w:bottom w:val="nil"/>
              <w:right w:val="nil"/>
            </w:tcBorders>
            <w:shd w:val="clear" w:color="auto" w:fill="auto"/>
            <w:vAlign w:val="center"/>
            <w:hideMark/>
          </w:tcPr>
          <w:p w14:paraId="2E5A5CB7"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-393</w:t>
            </w:r>
          </w:p>
        </w:tc>
      </w:tr>
      <w:tr w:rsidR="009A05C7" w:rsidRPr="00274557" w14:paraId="65845CBF" w14:textId="77777777" w:rsidTr="000240DA">
        <w:trPr>
          <w:trHeight w:val="290"/>
        </w:trPr>
        <w:tc>
          <w:tcPr>
            <w:tcW w:w="2300" w:type="pct"/>
            <w:tcBorders>
              <w:top w:val="nil"/>
              <w:left w:val="nil"/>
              <w:bottom w:val="nil"/>
              <w:right w:val="nil"/>
            </w:tcBorders>
            <w:shd w:val="clear" w:color="auto" w:fill="auto"/>
            <w:vAlign w:val="center"/>
            <w:hideMark/>
          </w:tcPr>
          <w:p w14:paraId="3175AB8A" w14:textId="77777777" w:rsidR="009A05C7" w:rsidRPr="00274557" w:rsidRDefault="009A05C7" w:rsidP="000240DA">
            <w:pPr>
              <w:spacing w:after="0"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riadne dividendy a odvody zo zisku</w:t>
            </w:r>
          </w:p>
        </w:tc>
        <w:tc>
          <w:tcPr>
            <w:tcW w:w="540" w:type="pct"/>
            <w:tcBorders>
              <w:top w:val="nil"/>
              <w:left w:val="nil"/>
              <w:bottom w:val="nil"/>
              <w:right w:val="nil"/>
            </w:tcBorders>
            <w:shd w:val="clear" w:color="auto" w:fill="auto"/>
            <w:vAlign w:val="center"/>
            <w:hideMark/>
          </w:tcPr>
          <w:p w14:paraId="0A42A866"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160 817</w:t>
            </w:r>
          </w:p>
        </w:tc>
        <w:tc>
          <w:tcPr>
            <w:tcW w:w="540" w:type="pct"/>
            <w:tcBorders>
              <w:top w:val="nil"/>
              <w:left w:val="nil"/>
              <w:bottom w:val="nil"/>
              <w:right w:val="nil"/>
            </w:tcBorders>
            <w:shd w:val="clear" w:color="auto" w:fill="auto"/>
            <w:vAlign w:val="center"/>
            <w:hideMark/>
          </w:tcPr>
          <w:p w14:paraId="3A430DAC"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3970574D"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130 817</w:t>
            </w:r>
          </w:p>
        </w:tc>
        <w:tc>
          <w:tcPr>
            <w:tcW w:w="540" w:type="pct"/>
            <w:tcBorders>
              <w:top w:val="nil"/>
              <w:left w:val="nil"/>
              <w:bottom w:val="nil"/>
              <w:right w:val="nil"/>
            </w:tcBorders>
            <w:shd w:val="clear" w:color="auto" w:fill="auto"/>
            <w:vAlign w:val="center"/>
            <w:hideMark/>
          </w:tcPr>
          <w:p w14:paraId="25D1FA51"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143 050</w:t>
            </w:r>
          </w:p>
        </w:tc>
        <w:tc>
          <w:tcPr>
            <w:tcW w:w="540" w:type="pct"/>
            <w:tcBorders>
              <w:top w:val="nil"/>
              <w:left w:val="nil"/>
              <w:bottom w:val="nil"/>
              <w:right w:val="nil"/>
            </w:tcBorders>
            <w:shd w:val="clear" w:color="auto" w:fill="auto"/>
            <w:vAlign w:val="center"/>
            <w:hideMark/>
          </w:tcPr>
          <w:p w14:paraId="037CCAFF"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12 233</w:t>
            </w:r>
          </w:p>
        </w:tc>
      </w:tr>
      <w:tr w:rsidR="009A05C7" w:rsidRPr="00274557" w14:paraId="4C5F53B7" w14:textId="77777777" w:rsidTr="000240DA">
        <w:trPr>
          <w:trHeight w:val="290"/>
        </w:trPr>
        <w:tc>
          <w:tcPr>
            <w:tcW w:w="2300" w:type="pct"/>
            <w:tcBorders>
              <w:top w:val="nil"/>
              <w:left w:val="nil"/>
              <w:bottom w:val="nil"/>
              <w:right w:val="nil"/>
            </w:tcBorders>
            <w:shd w:val="clear" w:color="auto" w:fill="auto"/>
            <w:vAlign w:val="center"/>
            <w:hideMark/>
          </w:tcPr>
          <w:p w14:paraId="21E6E980" w14:textId="77777777" w:rsidR="009A05C7" w:rsidRPr="00274557" w:rsidRDefault="009A05C7" w:rsidP="000240DA">
            <w:pPr>
              <w:spacing w:after="0"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superdividendy</w:t>
            </w:r>
          </w:p>
        </w:tc>
        <w:tc>
          <w:tcPr>
            <w:tcW w:w="540" w:type="pct"/>
            <w:tcBorders>
              <w:top w:val="nil"/>
              <w:left w:val="nil"/>
              <w:bottom w:val="nil"/>
              <w:right w:val="nil"/>
            </w:tcBorders>
            <w:shd w:val="clear" w:color="auto" w:fill="auto"/>
            <w:vAlign w:val="center"/>
            <w:hideMark/>
          </w:tcPr>
          <w:p w14:paraId="32988C5F"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59 183</w:t>
            </w:r>
          </w:p>
        </w:tc>
        <w:tc>
          <w:tcPr>
            <w:tcW w:w="540" w:type="pct"/>
            <w:tcBorders>
              <w:top w:val="nil"/>
              <w:left w:val="nil"/>
              <w:bottom w:val="nil"/>
              <w:right w:val="nil"/>
            </w:tcBorders>
            <w:shd w:val="clear" w:color="auto" w:fill="auto"/>
            <w:vAlign w:val="center"/>
            <w:hideMark/>
          </w:tcPr>
          <w:p w14:paraId="214DED2F"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4590E14A"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159 883</w:t>
            </w:r>
          </w:p>
        </w:tc>
        <w:tc>
          <w:tcPr>
            <w:tcW w:w="540" w:type="pct"/>
            <w:tcBorders>
              <w:top w:val="nil"/>
              <w:left w:val="nil"/>
              <w:bottom w:val="nil"/>
              <w:right w:val="nil"/>
            </w:tcBorders>
            <w:shd w:val="clear" w:color="auto" w:fill="auto"/>
            <w:vAlign w:val="center"/>
            <w:hideMark/>
          </w:tcPr>
          <w:p w14:paraId="621FBD15"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147 257</w:t>
            </w:r>
          </w:p>
        </w:tc>
        <w:tc>
          <w:tcPr>
            <w:tcW w:w="540" w:type="pct"/>
            <w:tcBorders>
              <w:top w:val="nil"/>
              <w:left w:val="nil"/>
              <w:bottom w:val="nil"/>
              <w:right w:val="nil"/>
            </w:tcBorders>
            <w:shd w:val="clear" w:color="auto" w:fill="auto"/>
            <w:vAlign w:val="center"/>
            <w:hideMark/>
          </w:tcPr>
          <w:p w14:paraId="76A5A95D"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-12 626</w:t>
            </w:r>
          </w:p>
        </w:tc>
      </w:tr>
      <w:tr w:rsidR="009A05C7" w:rsidRPr="00274557" w14:paraId="7FD764B4" w14:textId="77777777" w:rsidTr="000240DA">
        <w:trPr>
          <w:trHeight w:val="290"/>
        </w:trPr>
        <w:tc>
          <w:tcPr>
            <w:tcW w:w="2300" w:type="pct"/>
            <w:tcBorders>
              <w:top w:val="nil"/>
              <w:left w:val="nil"/>
              <w:bottom w:val="nil"/>
              <w:right w:val="nil"/>
            </w:tcBorders>
            <w:shd w:val="clear" w:color="auto" w:fill="auto"/>
            <w:vAlign w:val="center"/>
            <w:hideMark/>
          </w:tcPr>
          <w:p w14:paraId="001B61EF" w14:textId="77777777" w:rsidR="009A05C7" w:rsidRPr="00274557" w:rsidRDefault="009A05C7" w:rsidP="000240DA">
            <w:pPr>
              <w:spacing w:after="0" w:line="240" w:lineRule="auto"/>
              <w:jc w:val="left"/>
              <w:rPr>
                <w:rFonts w:eastAsia="Times New Roman" w:cs="Times New Roman"/>
                <w:color w:val="000000"/>
                <w:sz w:val="18"/>
                <w:szCs w:val="18"/>
                <w:lang w:eastAsia="sk-SK"/>
              </w:rPr>
            </w:pPr>
            <w:r w:rsidRPr="00274557">
              <w:rPr>
                <w:rFonts w:eastAsia="Times New Roman" w:cs="Times New Roman"/>
                <w:color w:val="000000"/>
                <w:sz w:val="18"/>
                <w:szCs w:val="18"/>
                <w:lang w:eastAsia="sk-SK"/>
              </w:rPr>
              <w:t>Západoslovenská energetika, a. s.</w:t>
            </w:r>
          </w:p>
        </w:tc>
        <w:tc>
          <w:tcPr>
            <w:tcW w:w="540" w:type="pct"/>
            <w:tcBorders>
              <w:top w:val="nil"/>
              <w:left w:val="nil"/>
              <w:bottom w:val="nil"/>
              <w:right w:val="nil"/>
            </w:tcBorders>
            <w:shd w:val="clear" w:color="auto" w:fill="auto"/>
            <w:vAlign w:val="center"/>
            <w:hideMark/>
          </w:tcPr>
          <w:p w14:paraId="3588C81F"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44 839</w:t>
            </w:r>
          </w:p>
        </w:tc>
        <w:tc>
          <w:tcPr>
            <w:tcW w:w="540" w:type="pct"/>
            <w:tcBorders>
              <w:top w:val="nil"/>
              <w:left w:val="nil"/>
              <w:bottom w:val="nil"/>
              <w:right w:val="nil"/>
            </w:tcBorders>
            <w:shd w:val="clear" w:color="auto" w:fill="auto"/>
            <w:vAlign w:val="center"/>
            <w:hideMark/>
          </w:tcPr>
          <w:p w14:paraId="5B720CE0"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37 091</w:t>
            </w:r>
          </w:p>
        </w:tc>
        <w:tc>
          <w:tcPr>
            <w:tcW w:w="540" w:type="pct"/>
            <w:tcBorders>
              <w:top w:val="nil"/>
              <w:left w:val="nil"/>
              <w:bottom w:val="nil"/>
              <w:right w:val="nil"/>
            </w:tcBorders>
            <w:shd w:val="clear" w:color="auto" w:fill="auto"/>
            <w:vAlign w:val="center"/>
            <w:hideMark/>
          </w:tcPr>
          <w:p w14:paraId="4164DDC5"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53 810</w:t>
            </w:r>
          </w:p>
        </w:tc>
        <w:tc>
          <w:tcPr>
            <w:tcW w:w="540" w:type="pct"/>
            <w:tcBorders>
              <w:top w:val="nil"/>
              <w:left w:val="nil"/>
              <w:bottom w:val="nil"/>
              <w:right w:val="nil"/>
            </w:tcBorders>
            <w:shd w:val="clear" w:color="auto" w:fill="auto"/>
            <w:vAlign w:val="center"/>
            <w:hideMark/>
          </w:tcPr>
          <w:p w14:paraId="559C93B9"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53 836</w:t>
            </w:r>
          </w:p>
        </w:tc>
        <w:tc>
          <w:tcPr>
            <w:tcW w:w="540" w:type="pct"/>
            <w:tcBorders>
              <w:top w:val="nil"/>
              <w:left w:val="nil"/>
              <w:bottom w:val="nil"/>
              <w:right w:val="nil"/>
            </w:tcBorders>
            <w:shd w:val="clear" w:color="auto" w:fill="auto"/>
            <w:vAlign w:val="center"/>
            <w:hideMark/>
          </w:tcPr>
          <w:p w14:paraId="72DC1325"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26</w:t>
            </w:r>
          </w:p>
        </w:tc>
      </w:tr>
      <w:tr w:rsidR="009A05C7" w:rsidRPr="00274557" w14:paraId="4C9A9F0C" w14:textId="77777777" w:rsidTr="000240DA">
        <w:trPr>
          <w:trHeight w:val="290"/>
        </w:trPr>
        <w:tc>
          <w:tcPr>
            <w:tcW w:w="2300" w:type="pct"/>
            <w:tcBorders>
              <w:top w:val="nil"/>
              <w:left w:val="nil"/>
              <w:bottom w:val="nil"/>
              <w:right w:val="nil"/>
            </w:tcBorders>
            <w:shd w:val="clear" w:color="auto" w:fill="auto"/>
            <w:vAlign w:val="center"/>
            <w:hideMark/>
          </w:tcPr>
          <w:p w14:paraId="053F4DBF" w14:textId="77777777" w:rsidR="009A05C7" w:rsidRPr="00274557" w:rsidRDefault="009A05C7" w:rsidP="000240DA">
            <w:pPr>
              <w:spacing w:after="0"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riadne dividendy a odvody zo zisku</w:t>
            </w:r>
          </w:p>
        </w:tc>
        <w:tc>
          <w:tcPr>
            <w:tcW w:w="540" w:type="pct"/>
            <w:tcBorders>
              <w:top w:val="nil"/>
              <w:left w:val="nil"/>
              <w:bottom w:val="nil"/>
              <w:right w:val="nil"/>
            </w:tcBorders>
            <w:shd w:val="clear" w:color="auto" w:fill="auto"/>
            <w:vAlign w:val="center"/>
            <w:hideMark/>
          </w:tcPr>
          <w:p w14:paraId="689651B4"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44 839</w:t>
            </w:r>
          </w:p>
        </w:tc>
        <w:tc>
          <w:tcPr>
            <w:tcW w:w="540" w:type="pct"/>
            <w:tcBorders>
              <w:top w:val="nil"/>
              <w:left w:val="nil"/>
              <w:bottom w:val="nil"/>
              <w:right w:val="nil"/>
            </w:tcBorders>
            <w:shd w:val="clear" w:color="auto" w:fill="auto"/>
            <w:vAlign w:val="center"/>
            <w:hideMark/>
          </w:tcPr>
          <w:p w14:paraId="69C964DE"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36 898</w:t>
            </w:r>
          </w:p>
        </w:tc>
        <w:tc>
          <w:tcPr>
            <w:tcW w:w="540" w:type="pct"/>
            <w:tcBorders>
              <w:top w:val="nil"/>
              <w:left w:val="nil"/>
              <w:bottom w:val="nil"/>
              <w:right w:val="nil"/>
            </w:tcBorders>
            <w:shd w:val="clear" w:color="auto" w:fill="auto"/>
            <w:vAlign w:val="center"/>
            <w:hideMark/>
          </w:tcPr>
          <w:p w14:paraId="6E2F89DD"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53 339</w:t>
            </w:r>
          </w:p>
        </w:tc>
        <w:tc>
          <w:tcPr>
            <w:tcW w:w="540" w:type="pct"/>
            <w:tcBorders>
              <w:top w:val="nil"/>
              <w:left w:val="nil"/>
              <w:bottom w:val="nil"/>
              <w:right w:val="nil"/>
            </w:tcBorders>
            <w:shd w:val="clear" w:color="auto" w:fill="auto"/>
            <w:vAlign w:val="center"/>
            <w:hideMark/>
          </w:tcPr>
          <w:p w14:paraId="30C8CEBC"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52 109</w:t>
            </w:r>
          </w:p>
        </w:tc>
        <w:tc>
          <w:tcPr>
            <w:tcW w:w="540" w:type="pct"/>
            <w:tcBorders>
              <w:top w:val="nil"/>
              <w:left w:val="nil"/>
              <w:bottom w:val="nil"/>
              <w:right w:val="nil"/>
            </w:tcBorders>
            <w:shd w:val="clear" w:color="auto" w:fill="auto"/>
            <w:vAlign w:val="center"/>
            <w:hideMark/>
          </w:tcPr>
          <w:p w14:paraId="22AFC80F"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-1 230</w:t>
            </w:r>
          </w:p>
        </w:tc>
      </w:tr>
      <w:tr w:rsidR="009A05C7" w:rsidRPr="00274557" w14:paraId="644C2C9E" w14:textId="77777777" w:rsidTr="000240DA">
        <w:trPr>
          <w:trHeight w:val="290"/>
        </w:trPr>
        <w:tc>
          <w:tcPr>
            <w:tcW w:w="2300" w:type="pct"/>
            <w:tcBorders>
              <w:top w:val="nil"/>
              <w:left w:val="nil"/>
              <w:bottom w:val="nil"/>
              <w:right w:val="nil"/>
            </w:tcBorders>
            <w:shd w:val="clear" w:color="auto" w:fill="auto"/>
            <w:vAlign w:val="center"/>
            <w:hideMark/>
          </w:tcPr>
          <w:p w14:paraId="62D460A8" w14:textId="77777777" w:rsidR="009A05C7" w:rsidRPr="00274557" w:rsidRDefault="009A05C7" w:rsidP="000240DA">
            <w:pPr>
              <w:spacing w:after="0"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superdividendy</w:t>
            </w:r>
          </w:p>
        </w:tc>
        <w:tc>
          <w:tcPr>
            <w:tcW w:w="540" w:type="pct"/>
            <w:tcBorders>
              <w:top w:val="nil"/>
              <w:left w:val="nil"/>
              <w:bottom w:val="nil"/>
              <w:right w:val="nil"/>
            </w:tcBorders>
            <w:shd w:val="clear" w:color="auto" w:fill="auto"/>
            <w:vAlign w:val="center"/>
            <w:hideMark/>
          </w:tcPr>
          <w:p w14:paraId="088CE9F2"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20F7A562"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193</w:t>
            </w:r>
          </w:p>
        </w:tc>
        <w:tc>
          <w:tcPr>
            <w:tcW w:w="540" w:type="pct"/>
            <w:tcBorders>
              <w:top w:val="nil"/>
              <w:left w:val="nil"/>
              <w:bottom w:val="nil"/>
              <w:right w:val="nil"/>
            </w:tcBorders>
            <w:shd w:val="clear" w:color="auto" w:fill="auto"/>
            <w:vAlign w:val="center"/>
            <w:hideMark/>
          </w:tcPr>
          <w:p w14:paraId="57906A7B"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471</w:t>
            </w:r>
          </w:p>
        </w:tc>
        <w:tc>
          <w:tcPr>
            <w:tcW w:w="540" w:type="pct"/>
            <w:tcBorders>
              <w:top w:val="nil"/>
              <w:left w:val="nil"/>
              <w:bottom w:val="nil"/>
              <w:right w:val="nil"/>
            </w:tcBorders>
            <w:shd w:val="clear" w:color="auto" w:fill="auto"/>
            <w:vAlign w:val="center"/>
            <w:hideMark/>
          </w:tcPr>
          <w:p w14:paraId="5A51CE45"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1 727</w:t>
            </w:r>
          </w:p>
        </w:tc>
        <w:tc>
          <w:tcPr>
            <w:tcW w:w="540" w:type="pct"/>
            <w:tcBorders>
              <w:top w:val="nil"/>
              <w:left w:val="nil"/>
              <w:bottom w:val="nil"/>
              <w:right w:val="nil"/>
            </w:tcBorders>
            <w:shd w:val="clear" w:color="auto" w:fill="auto"/>
            <w:vAlign w:val="center"/>
            <w:hideMark/>
          </w:tcPr>
          <w:p w14:paraId="0F6301E3"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1 256</w:t>
            </w:r>
          </w:p>
        </w:tc>
      </w:tr>
      <w:tr w:rsidR="009A05C7" w:rsidRPr="00274557" w14:paraId="4783779E" w14:textId="77777777" w:rsidTr="000240DA">
        <w:trPr>
          <w:trHeight w:val="290"/>
        </w:trPr>
        <w:tc>
          <w:tcPr>
            <w:tcW w:w="2300" w:type="pct"/>
            <w:tcBorders>
              <w:top w:val="nil"/>
              <w:left w:val="nil"/>
              <w:bottom w:val="nil"/>
              <w:right w:val="nil"/>
            </w:tcBorders>
            <w:shd w:val="clear" w:color="auto" w:fill="auto"/>
            <w:vAlign w:val="center"/>
            <w:hideMark/>
          </w:tcPr>
          <w:p w14:paraId="59588A5B" w14:textId="77777777" w:rsidR="009A05C7" w:rsidRPr="00274557" w:rsidRDefault="009A05C7" w:rsidP="000240DA">
            <w:pPr>
              <w:spacing w:after="0" w:line="240" w:lineRule="auto"/>
              <w:jc w:val="left"/>
              <w:rPr>
                <w:rFonts w:eastAsia="Times New Roman" w:cs="Times New Roman"/>
                <w:color w:val="000000"/>
                <w:sz w:val="18"/>
                <w:szCs w:val="18"/>
                <w:lang w:eastAsia="sk-SK"/>
              </w:rPr>
            </w:pPr>
            <w:r w:rsidRPr="00274557">
              <w:rPr>
                <w:rFonts w:eastAsia="Times New Roman" w:cs="Times New Roman"/>
                <w:color w:val="000000"/>
                <w:sz w:val="18"/>
                <w:szCs w:val="18"/>
                <w:lang w:eastAsia="sk-SK"/>
              </w:rPr>
              <w:t>Stredoslovenská energetika Holding, a. s.</w:t>
            </w:r>
          </w:p>
        </w:tc>
        <w:tc>
          <w:tcPr>
            <w:tcW w:w="540" w:type="pct"/>
            <w:tcBorders>
              <w:top w:val="nil"/>
              <w:left w:val="nil"/>
              <w:bottom w:val="nil"/>
              <w:right w:val="nil"/>
            </w:tcBorders>
            <w:shd w:val="clear" w:color="auto" w:fill="auto"/>
            <w:vAlign w:val="center"/>
            <w:hideMark/>
          </w:tcPr>
          <w:p w14:paraId="34C0A08C"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74 777</w:t>
            </w:r>
          </w:p>
        </w:tc>
        <w:tc>
          <w:tcPr>
            <w:tcW w:w="540" w:type="pct"/>
            <w:tcBorders>
              <w:top w:val="nil"/>
              <w:left w:val="nil"/>
              <w:bottom w:val="nil"/>
              <w:right w:val="nil"/>
            </w:tcBorders>
            <w:shd w:val="clear" w:color="auto" w:fill="auto"/>
            <w:vAlign w:val="center"/>
            <w:hideMark/>
          </w:tcPr>
          <w:p w14:paraId="5CDBEC61"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38 784</w:t>
            </w:r>
          </w:p>
        </w:tc>
        <w:tc>
          <w:tcPr>
            <w:tcW w:w="540" w:type="pct"/>
            <w:tcBorders>
              <w:top w:val="nil"/>
              <w:left w:val="nil"/>
              <w:bottom w:val="nil"/>
              <w:right w:val="nil"/>
            </w:tcBorders>
            <w:shd w:val="clear" w:color="auto" w:fill="auto"/>
            <w:vAlign w:val="center"/>
            <w:hideMark/>
          </w:tcPr>
          <w:p w14:paraId="7C08370D"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29 686</w:t>
            </w:r>
          </w:p>
        </w:tc>
        <w:tc>
          <w:tcPr>
            <w:tcW w:w="540" w:type="pct"/>
            <w:tcBorders>
              <w:top w:val="nil"/>
              <w:left w:val="nil"/>
              <w:bottom w:val="nil"/>
              <w:right w:val="nil"/>
            </w:tcBorders>
            <w:shd w:val="clear" w:color="auto" w:fill="auto"/>
            <w:vAlign w:val="center"/>
            <w:hideMark/>
          </w:tcPr>
          <w:p w14:paraId="6234EA8D"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33 081</w:t>
            </w:r>
          </w:p>
        </w:tc>
        <w:tc>
          <w:tcPr>
            <w:tcW w:w="540" w:type="pct"/>
            <w:tcBorders>
              <w:top w:val="nil"/>
              <w:left w:val="nil"/>
              <w:bottom w:val="nil"/>
              <w:right w:val="nil"/>
            </w:tcBorders>
            <w:shd w:val="clear" w:color="auto" w:fill="auto"/>
            <w:vAlign w:val="center"/>
            <w:hideMark/>
          </w:tcPr>
          <w:p w14:paraId="231714BE"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3 395</w:t>
            </w:r>
          </w:p>
        </w:tc>
      </w:tr>
      <w:tr w:rsidR="009A05C7" w:rsidRPr="00274557" w14:paraId="62411399" w14:textId="77777777" w:rsidTr="000240DA">
        <w:trPr>
          <w:trHeight w:val="290"/>
        </w:trPr>
        <w:tc>
          <w:tcPr>
            <w:tcW w:w="2300" w:type="pct"/>
            <w:tcBorders>
              <w:top w:val="nil"/>
              <w:left w:val="nil"/>
              <w:bottom w:val="nil"/>
              <w:right w:val="nil"/>
            </w:tcBorders>
            <w:shd w:val="clear" w:color="auto" w:fill="auto"/>
            <w:vAlign w:val="center"/>
            <w:hideMark/>
          </w:tcPr>
          <w:p w14:paraId="1990C3E3" w14:textId="77777777" w:rsidR="009A05C7" w:rsidRPr="00274557" w:rsidRDefault="009A05C7" w:rsidP="000240DA">
            <w:pPr>
              <w:spacing w:after="0"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riadne dividendy a odvody zo zisku</w:t>
            </w:r>
          </w:p>
        </w:tc>
        <w:tc>
          <w:tcPr>
            <w:tcW w:w="540" w:type="pct"/>
            <w:tcBorders>
              <w:top w:val="nil"/>
              <w:left w:val="nil"/>
              <w:bottom w:val="nil"/>
              <w:right w:val="nil"/>
            </w:tcBorders>
            <w:shd w:val="clear" w:color="auto" w:fill="auto"/>
            <w:vAlign w:val="center"/>
            <w:hideMark/>
          </w:tcPr>
          <w:p w14:paraId="61B7ACFC"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74 777</w:t>
            </w:r>
          </w:p>
        </w:tc>
        <w:tc>
          <w:tcPr>
            <w:tcW w:w="540" w:type="pct"/>
            <w:tcBorders>
              <w:top w:val="nil"/>
              <w:left w:val="nil"/>
              <w:bottom w:val="nil"/>
              <w:right w:val="nil"/>
            </w:tcBorders>
            <w:shd w:val="clear" w:color="auto" w:fill="auto"/>
            <w:vAlign w:val="center"/>
            <w:hideMark/>
          </w:tcPr>
          <w:p w14:paraId="5E74315D"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38 784</w:t>
            </w:r>
          </w:p>
        </w:tc>
        <w:tc>
          <w:tcPr>
            <w:tcW w:w="540" w:type="pct"/>
            <w:tcBorders>
              <w:top w:val="nil"/>
              <w:left w:val="nil"/>
              <w:bottom w:val="nil"/>
              <w:right w:val="nil"/>
            </w:tcBorders>
            <w:shd w:val="clear" w:color="auto" w:fill="auto"/>
            <w:vAlign w:val="center"/>
            <w:hideMark/>
          </w:tcPr>
          <w:p w14:paraId="2A969341"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26 062</w:t>
            </w:r>
          </w:p>
        </w:tc>
        <w:tc>
          <w:tcPr>
            <w:tcW w:w="540" w:type="pct"/>
            <w:tcBorders>
              <w:top w:val="nil"/>
              <w:left w:val="nil"/>
              <w:bottom w:val="nil"/>
              <w:right w:val="nil"/>
            </w:tcBorders>
            <w:shd w:val="clear" w:color="auto" w:fill="auto"/>
            <w:vAlign w:val="center"/>
            <w:hideMark/>
          </w:tcPr>
          <w:p w14:paraId="6D9BEF9D"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28 726</w:t>
            </w:r>
          </w:p>
        </w:tc>
        <w:tc>
          <w:tcPr>
            <w:tcW w:w="540" w:type="pct"/>
            <w:tcBorders>
              <w:top w:val="nil"/>
              <w:left w:val="nil"/>
              <w:bottom w:val="nil"/>
              <w:right w:val="nil"/>
            </w:tcBorders>
            <w:shd w:val="clear" w:color="auto" w:fill="auto"/>
            <w:vAlign w:val="center"/>
            <w:hideMark/>
          </w:tcPr>
          <w:p w14:paraId="1244536C"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2 664</w:t>
            </w:r>
          </w:p>
        </w:tc>
      </w:tr>
      <w:tr w:rsidR="009A05C7" w:rsidRPr="00274557" w14:paraId="36FB248E" w14:textId="77777777" w:rsidTr="000240DA">
        <w:trPr>
          <w:trHeight w:val="290"/>
        </w:trPr>
        <w:tc>
          <w:tcPr>
            <w:tcW w:w="2300" w:type="pct"/>
            <w:tcBorders>
              <w:top w:val="nil"/>
              <w:left w:val="nil"/>
              <w:bottom w:val="nil"/>
              <w:right w:val="nil"/>
            </w:tcBorders>
            <w:shd w:val="clear" w:color="auto" w:fill="auto"/>
            <w:vAlign w:val="center"/>
            <w:hideMark/>
          </w:tcPr>
          <w:p w14:paraId="7599CBB7" w14:textId="77777777" w:rsidR="009A05C7" w:rsidRPr="00274557" w:rsidRDefault="009A05C7" w:rsidP="000240DA">
            <w:pPr>
              <w:spacing w:after="0"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superdividendy</w:t>
            </w:r>
          </w:p>
        </w:tc>
        <w:tc>
          <w:tcPr>
            <w:tcW w:w="540" w:type="pct"/>
            <w:tcBorders>
              <w:top w:val="nil"/>
              <w:left w:val="nil"/>
              <w:bottom w:val="nil"/>
              <w:right w:val="nil"/>
            </w:tcBorders>
            <w:shd w:val="clear" w:color="auto" w:fill="auto"/>
            <w:vAlign w:val="center"/>
            <w:hideMark/>
          </w:tcPr>
          <w:p w14:paraId="28292457"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4D63F6FF"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0F0762DD"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3 624</w:t>
            </w:r>
          </w:p>
        </w:tc>
        <w:tc>
          <w:tcPr>
            <w:tcW w:w="540" w:type="pct"/>
            <w:tcBorders>
              <w:top w:val="nil"/>
              <w:left w:val="nil"/>
              <w:bottom w:val="nil"/>
              <w:right w:val="nil"/>
            </w:tcBorders>
            <w:shd w:val="clear" w:color="auto" w:fill="auto"/>
            <w:vAlign w:val="center"/>
            <w:hideMark/>
          </w:tcPr>
          <w:p w14:paraId="2968840A"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4 355</w:t>
            </w:r>
          </w:p>
        </w:tc>
        <w:tc>
          <w:tcPr>
            <w:tcW w:w="540" w:type="pct"/>
            <w:tcBorders>
              <w:top w:val="nil"/>
              <w:left w:val="nil"/>
              <w:bottom w:val="nil"/>
              <w:right w:val="nil"/>
            </w:tcBorders>
            <w:shd w:val="clear" w:color="auto" w:fill="auto"/>
            <w:vAlign w:val="center"/>
            <w:hideMark/>
          </w:tcPr>
          <w:p w14:paraId="299E3F9D"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731</w:t>
            </w:r>
          </w:p>
        </w:tc>
      </w:tr>
      <w:tr w:rsidR="009A05C7" w:rsidRPr="00274557" w14:paraId="2D7F2555" w14:textId="77777777" w:rsidTr="000240DA">
        <w:trPr>
          <w:trHeight w:val="290"/>
        </w:trPr>
        <w:tc>
          <w:tcPr>
            <w:tcW w:w="2300" w:type="pct"/>
            <w:tcBorders>
              <w:top w:val="nil"/>
              <w:left w:val="nil"/>
              <w:bottom w:val="nil"/>
              <w:right w:val="nil"/>
            </w:tcBorders>
            <w:shd w:val="clear" w:color="auto" w:fill="auto"/>
            <w:vAlign w:val="center"/>
            <w:hideMark/>
          </w:tcPr>
          <w:p w14:paraId="5BB6301B" w14:textId="77777777" w:rsidR="009A05C7" w:rsidRPr="00274557" w:rsidRDefault="009A05C7" w:rsidP="000240DA">
            <w:pPr>
              <w:spacing w:after="0" w:line="240" w:lineRule="auto"/>
              <w:jc w:val="left"/>
              <w:rPr>
                <w:rFonts w:eastAsia="Times New Roman" w:cs="Times New Roman"/>
                <w:color w:val="000000"/>
                <w:sz w:val="18"/>
                <w:szCs w:val="18"/>
                <w:lang w:eastAsia="sk-SK"/>
              </w:rPr>
            </w:pPr>
            <w:r w:rsidRPr="00274557">
              <w:rPr>
                <w:rFonts w:eastAsia="Times New Roman" w:cs="Times New Roman"/>
                <w:color w:val="000000"/>
                <w:sz w:val="18"/>
                <w:szCs w:val="18"/>
                <w:lang w:eastAsia="sk-SK"/>
              </w:rPr>
              <w:t>Východoslovenská energetika Holding, a. s.</w:t>
            </w:r>
            <w:r w:rsidRPr="003E61C1">
              <w:rPr>
                <w:rFonts w:eastAsia="Times New Roman" w:cs="Times New Roman"/>
                <w:color w:val="000000"/>
                <w:sz w:val="18"/>
                <w:szCs w:val="18"/>
                <w:vertAlign w:val="superscript"/>
                <w:lang w:eastAsia="sk-SK"/>
              </w:rPr>
              <w:t>3)</w:t>
            </w:r>
          </w:p>
        </w:tc>
        <w:tc>
          <w:tcPr>
            <w:tcW w:w="540" w:type="pct"/>
            <w:tcBorders>
              <w:top w:val="nil"/>
              <w:left w:val="nil"/>
              <w:bottom w:val="nil"/>
              <w:right w:val="nil"/>
            </w:tcBorders>
            <w:shd w:val="clear" w:color="auto" w:fill="auto"/>
            <w:vAlign w:val="center"/>
            <w:hideMark/>
          </w:tcPr>
          <w:p w14:paraId="77605173"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29 070</w:t>
            </w:r>
          </w:p>
        </w:tc>
        <w:tc>
          <w:tcPr>
            <w:tcW w:w="540" w:type="pct"/>
            <w:tcBorders>
              <w:top w:val="nil"/>
              <w:left w:val="nil"/>
              <w:bottom w:val="nil"/>
              <w:right w:val="nil"/>
            </w:tcBorders>
            <w:shd w:val="clear" w:color="auto" w:fill="auto"/>
            <w:vAlign w:val="center"/>
            <w:hideMark/>
          </w:tcPr>
          <w:p w14:paraId="45219A38"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10 710</w:t>
            </w:r>
          </w:p>
        </w:tc>
        <w:tc>
          <w:tcPr>
            <w:tcW w:w="540" w:type="pct"/>
            <w:tcBorders>
              <w:top w:val="nil"/>
              <w:left w:val="nil"/>
              <w:bottom w:val="nil"/>
              <w:right w:val="nil"/>
            </w:tcBorders>
            <w:shd w:val="clear" w:color="auto" w:fill="auto"/>
            <w:vAlign w:val="center"/>
            <w:hideMark/>
          </w:tcPr>
          <w:p w14:paraId="3526307C"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0</w:t>
            </w:r>
          </w:p>
        </w:tc>
        <w:tc>
          <w:tcPr>
            <w:tcW w:w="540" w:type="pct"/>
            <w:tcBorders>
              <w:top w:val="nil"/>
              <w:left w:val="nil"/>
              <w:bottom w:val="nil"/>
              <w:right w:val="nil"/>
            </w:tcBorders>
            <w:shd w:val="clear" w:color="auto" w:fill="auto"/>
            <w:vAlign w:val="center"/>
            <w:hideMark/>
          </w:tcPr>
          <w:p w14:paraId="151ECC3B"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0</w:t>
            </w:r>
          </w:p>
        </w:tc>
        <w:tc>
          <w:tcPr>
            <w:tcW w:w="540" w:type="pct"/>
            <w:tcBorders>
              <w:top w:val="nil"/>
              <w:left w:val="nil"/>
              <w:bottom w:val="nil"/>
              <w:right w:val="nil"/>
            </w:tcBorders>
            <w:shd w:val="clear" w:color="auto" w:fill="auto"/>
            <w:vAlign w:val="center"/>
            <w:hideMark/>
          </w:tcPr>
          <w:p w14:paraId="598DBC56"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0</w:t>
            </w:r>
          </w:p>
        </w:tc>
      </w:tr>
      <w:tr w:rsidR="009A05C7" w:rsidRPr="00274557" w14:paraId="2F433D64" w14:textId="77777777" w:rsidTr="000240DA">
        <w:trPr>
          <w:trHeight w:val="290"/>
        </w:trPr>
        <w:tc>
          <w:tcPr>
            <w:tcW w:w="2300" w:type="pct"/>
            <w:tcBorders>
              <w:top w:val="nil"/>
              <w:left w:val="nil"/>
              <w:bottom w:val="nil"/>
              <w:right w:val="nil"/>
            </w:tcBorders>
            <w:shd w:val="clear" w:color="auto" w:fill="auto"/>
            <w:vAlign w:val="center"/>
            <w:hideMark/>
          </w:tcPr>
          <w:p w14:paraId="01C7EB8D" w14:textId="77777777" w:rsidR="009A05C7" w:rsidRPr="00274557" w:rsidRDefault="009A05C7" w:rsidP="000240DA">
            <w:pPr>
              <w:spacing w:after="0"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riadne dividendy a odvody zo zisku</w:t>
            </w:r>
          </w:p>
        </w:tc>
        <w:tc>
          <w:tcPr>
            <w:tcW w:w="540" w:type="pct"/>
            <w:tcBorders>
              <w:top w:val="nil"/>
              <w:left w:val="nil"/>
              <w:bottom w:val="nil"/>
              <w:right w:val="nil"/>
            </w:tcBorders>
            <w:shd w:val="clear" w:color="auto" w:fill="auto"/>
            <w:vAlign w:val="center"/>
            <w:hideMark/>
          </w:tcPr>
          <w:p w14:paraId="6DA42024"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23 231</w:t>
            </w:r>
          </w:p>
        </w:tc>
        <w:tc>
          <w:tcPr>
            <w:tcW w:w="540" w:type="pct"/>
            <w:tcBorders>
              <w:top w:val="nil"/>
              <w:left w:val="nil"/>
              <w:bottom w:val="nil"/>
              <w:right w:val="nil"/>
            </w:tcBorders>
            <w:shd w:val="clear" w:color="auto" w:fill="auto"/>
            <w:vAlign w:val="center"/>
            <w:hideMark/>
          </w:tcPr>
          <w:p w14:paraId="4C71ED75"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9 666</w:t>
            </w:r>
          </w:p>
        </w:tc>
        <w:tc>
          <w:tcPr>
            <w:tcW w:w="540" w:type="pct"/>
            <w:tcBorders>
              <w:top w:val="nil"/>
              <w:left w:val="nil"/>
              <w:bottom w:val="nil"/>
              <w:right w:val="nil"/>
            </w:tcBorders>
            <w:shd w:val="clear" w:color="auto" w:fill="auto"/>
            <w:vAlign w:val="center"/>
            <w:hideMark/>
          </w:tcPr>
          <w:p w14:paraId="49AF6CF5"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69F3C978"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4884F1F6"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r>
      <w:tr w:rsidR="009A05C7" w:rsidRPr="00274557" w14:paraId="656EA8C0" w14:textId="77777777" w:rsidTr="000240DA">
        <w:trPr>
          <w:trHeight w:val="290"/>
        </w:trPr>
        <w:tc>
          <w:tcPr>
            <w:tcW w:w="2300" w:type="pct"/>
            <w:tcBorders>
              <w:top w:val="nil"/>
              <w:left w:val="nil"/>
              <w:bottom w:val="nil"/>
              <w:right w:val="nil"/>
            </w:tcBorders>
            <w:shd w:val="clear" w:color="auto" w:fill="auto"/>
            <w:vAlign w:val="center"/>
            <w:hideMark/>
          </w:tcPr>
          <w:p w14:paraId="4196E2B2" w14:textId="77777777" w:rsidR="009A05C7" w:rsidRPr="00274557" w:rsidRDefault="009A05C7" w:rsidP="000240DA">
            <w:pPr>
              <w:spacing w:after="0"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superdividendy</w:t>
            </w:r>
          </w:p>
        </w:tc>
        <w:tc>
          <w:tcPr>
            <w:tcW w:w="540" w:type="pct"/>
            <w:tcBorders>
              <w:top w:val="nil"/>
              <w:left w:val="nil"/>
              <w:bottom w:val="nil"/>
              <w:right w:val="nil"/>
            </w:tcBorders>
            <w:shd w:val="clear" w:color="auto" w:fill="auto"/>
            <w:vAlign w:val="center"/>
            <w:hideMark/>
          </w:tcPr>
          <w:p w14:paraId="54839770"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5 839</w:t>
            </w:r>
          </w:p>
        </w:tc>
        <w:tc>
          <w:tcPr>
            <w:tcW w:w="540" w:type="pct"/>
            <w:tcBorders>
              <w:top w:val="nil"/>
              <w:left w:val="nil"/>
              <w:bottom w:val="nil"/>
              <w:right w:val="nil"/>
            </w:tcBorders>
            <w:shd w:val="clear" w:color="auto" w:fill="auto"/>
            <w:vAlign w:val="center"/>
            <w:hideMark/>
          </w:tcPr>
          <w:p w14:paraId="5755762F"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1 044</w:t>
            </w:r>
          </w:p>
        </w:tc>
        <w:tc>
          <w:tcPr>
            <w:tcW w:w="540" w:type="pct"/>
            <w:tcBorders>
              <w:top w:val="nil"/>
              <w:left w:val="nil"/>
              <w:bottom w:val="nil"/>
              <w:right w:val="nil"/>
            </w:tcBorders>
            <w:shd w:val="clear" w:color="auto" w:fill="auto"/>
            <w:vAlign w:val="center"/>
            <w:hideMark/>
          </w:tcPr>
          <w:p w14:paraId="04A3C265"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19653D96"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5BF8735D"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r>
      <w:tr w:rsidR="009A05C7" w:rsidRPr="00274557" w14:paraId="245AEBD9" w14:textId="77777777" w:rsidTr="000240DA">
        <w:trPr>
          <w:trHeight w:val="290"/>
        </w:trPr>
        <w:tc>
          <w:tcPr>
            <w:tcW w:w="2300" w:type="pct"/>
            <w:tcBorders>
              <w:top w:val="nil"/>
              <w:left w:val="nil"/>
              <w:bottom w:val="nil"/>
              <w:right w:val="nil"/>
            </w:tcBorders>
            <w:shd w:val="clear" w:color="auto" w:fill="auto"/>
            <w:vAlign w:val="center"/>
            <w:hideMark/>
          </w:tcPr>
          <w:p w14:paraId="614CB227" w14:textId="77777777" w:rsidR="009A05C7" w:rsidRPr="008A2922" w:rsidRDefault="009A05C7" w:rsidP="000240DA">
            <w:pPr>
              <w:spacing w:after="0" w:line="240" w:lineRule="auto"/>
              <w:jc w:val="left"/>
              <w:rPr>
                <w:rFonts w:eastAsia="Times New Roman" w:cs="Times New Roman"/>
                <w:b/>
                <w:color w:val="000000"/>
                <w:sz w:val="18"/>
                <w:szCs w:val="18"/>
                <w:lang w:eastAsia="sk-SK"/>
              </w:rPr>
            </w:pPr>
            <w:r w:rsidRPr="008A2922">
              <w:rPr>
                <w:rFonts w:eastAsia="Times New Roman" w:cs="Times New Roman"/>
                <w:b/>
                <w:color w:val="000000"/>
                <w:sz w:val="18"/>
                <w:szCs w:val="18"/>
                <w:lang w:eastAsia="sk-SK"/>
              </w:rPr>
              <w:t xml:space="preserve">MH Manažment, a. s. </w:t>
            </w:r>
          </w:p>
        </w:tc>
        <w:tc>
          <w:tcPr>
            <w:tcW w:w="540" w:type="pct"/>
            <w:tcBorders>
              <w:top w:val="nil"/>
              <w:left w:val="nil"/>
              <w:bottom w:val="nil"/>
              <w:right w:val="nil"/>
            </w:tcBorders>
            <w:shd w:val="clear" w:color="auto" w:fill="auto"/>
            <w:vAlign w:val="center"/>
            <w:hideMark/>
          </w:tcPr>
          <w:p w14:paraId="565B6B4B"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0</w:t>
            </w:r>
          </w:p>
        </w:tc>
        <w:tc>
          <w:tcPr>
            <w:tcW w:w="540" w:type="pct"/>
            <w:tcBorders>
              <w:top w:val="nil"/>
              <w:left w:val="nil"/>
              <w:bottom w:val="nil"/>
              <w:right w:val="nil"/>
            </w:tcBorders>
            <w:shd w:val="clear" w:color="auto" w:fill="auto"/>
            <w:vAlign w:val="center"/>
            <w:hideMark/>
          </w:tcPr>
          <w:p w14:paraId="0C2FF005"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0</w:t>
            </w:r>
          </w:p>
        </w:tc>
        <w:tc>
          <w:tcPr>
            <w:tcW w:w="540" w:type="pct"/>
            <w:tcBorders>
              <w:top w:val="nil"/>
              <w:left w:val="nil"/>
              <w:bottom w:val="nil"/>
              <w:right w:val="nil"/>
            </w:tcBorders>
            <w:shd w:val="clear" w:color="auto" w:fill="auto"/>
            <w:vAlign w:val="center"/>
            <w:hideMark/>
          </w:tcPr>
          <w:p w14:paraId="2617A624"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0</w:t>
            </w:r>
          </w:p>
        </w:tc>
        <w:tc>
          <w:tcPr>
            <w:tcW w:w="540" w:type="pct"/>
            <w:tcBorders>
              <w:top w:val="nil"/>
              <w:left w:val="nil"/>
              <w:bottom w:val="nil"/>
              <w:right w:val="nil"/>
            </w:tcBorders>
            <w:shd w:val="clear" w:color="auto" w:fill="auto"/>
            <w:vAlign w:val="center"/>
            <w:hideMark/>
          </w:tcPr>
          <w:p w14:paraId="744D8100"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567</w:t>
            </w:r>
          </w:p>
        </w:tc>
        <w:tc>
          <w:tcPr>
            <w:tcW w:w="540" w:type="pct"/>
            <w:tcBorders>
              <w:top w:val="nil"/>
              <w:left w:val="nil"/>
              <w:bottom w:val="nil"/>
              <w:right w:val="nil"/>
            </w:tcBorders>
            <w:shd w:val="clear" w:color="auto" w:fill="auto"/>
            <w:vAlign w:val="center"/>
            <w:hideMark/>
          </w:tcPr>
          <w:p w14:paraId="5C5AD99B"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567</w:t>
            </w:r>
          </w:p>
        </w:tc>
      </w:tr>
      <w:tr w:rsidR="009A05C7" w:rsidRPr="00274557" w14:paraId="08D2C2A6" w14:textId="77777777" w:rsidTr="000240DA">
        <w:trPr>
          <w:trHeight w:val="290"/>
        </w:trPr>
        <w:tc>
          <w:tcPr>
            <w:tcW w:w="2300" w:type="pct"/>
            <w:tcBorders>
              <w:top w:val="nil"/>
              <w:left w:val="nil"/>
              <w:bottom w:val="nil"/>
              <w:right w:val="nil"/>
            </w:tcBorders>
            <w:shd w:val="clear" w:color="auto" w:fill="auto"/>
            <w:vAlign w:val="center"/>
            <w:hideMark/>
          </w:tcPr>
          <w:p w14:paraId="4F16A3D2" w14:textId="77777777" w:rsidR="009A05C7" w:rsidRPr="00274557" w:rsidRDefault="009A05C7" w:rsidP="000240DA">
            <w:pPr>
              <w:spacing w:after="0"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riadne dividendy a odvody zo zisku</w:t>
            </w:r>
          </w:p>
        </w:tc>
        <w:tc>
          <w:tcPr>
            <w:tcW w:w="540" w:type="pct"/>
            <w:tcBorders>
              <w:top w:val="nil"/>
              <w:left w:val="nil"/>
              <w:bottom w:val="nil"/>
              <w:right w:val="nil"/>
            </w:tcBorders>
            <w:shd w:val="clear" w:color="auto" w:fill="auto"/>
            <w:vAlign w:val="center"/>
            <w:hideMark/>
          </w:tcPr>
          <w:p w14:paraId="32978DC6"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7B26C0A3"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18B93A02"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14F31DE5"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557</w:t>
            </w:r>
          </w:p>
        </w:tc>
        <w:tc>
          <w:tcPr>
            <w:tcW w:w="540" w:type="pct"/>
            <w:tcBorders>
              <w:top w:val="nil"/>
              <w:left w:val="nil"/>
              <w:bottom w:val="nil"/>
              <w:right w:val="nil"/>
            </w:tcBorders>
            <w:shd w:val="clear" w:color="auto" w:fill="auto"/>
            <w:vAlign w:val="center"/>
            <w:hideMark/>
          </w:tcPr>
          <w:p w14:paraId="4DCE9263"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557</w:t>
            </w:r>
          </w:p>
        </w:tc>
      </w:tr>
      <w:tr w:rsidR="009A05C7" w:rsidRPr="00274557" w14:paraId="07101C20" w14:textId="77777777" w:rsidTr="000240DA">
        <w:trPr>
          <w:trHeight w:val="290"/>
        </w:trPr>
        <w:tc>
          <w:tcPr>
            <w:tcW w:w="2300" w:type="pct"/>
            <w:tcBorders>
              <w:top w:val="nil"/>
              <w:left w:val="nil"/>
              <w:bottom w:val="nil"/>
              <w:right w:val="nil"/>
            </w:tcBorders>
            <w:shd w:val="clear" w:color="auto" w:fill="auto"/>
            <w:vAlign w:val="center"/>
            <w:hideMark/>
          </w:tcPr>
          <w:p w14:paraId="18821640" w14:textId="77777777" w:rsidR="009A05C7" w:rsidRPr="00274557" w:rsidRDefault="009A05C7" w:rsidP="000240DA">
            <w:pPr>
              <w:spacing w:after="0"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superdividendy</w:t>
            </w:r>
          </w:p>
        </w:tc>
        <w:tc>
          <w:tcPr>
            <w:tcW w:w="540" w:type="pct"/>
            <w:tcBorders>
              <w:top w:val="nil"/>
              <w:left w:val="nil"/>
              <w:bottom w:val="nil"/>
              <w:right w:val="nil"/>
            </w:tcBorders>
            <w:shd w:val="clear" w:color="auto" w:fill="auto"/>
            <w:vAlign w:val="center"/>
            <w:hideMark/>
          </w:tcPr>
          <w:p w14:paraId="519C54B7"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756AC48C"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1C03276C"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400C17C0"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10</w:t>
            </w:r>
          </w:p>
        </w:tc>
        <w:tc>
          <w:tcPr>
            <w:tcW w:w="540" w:type="pct"/>
            <w:tcBorders>
              <w:top w:val="nil"/>
              <w:left w:val="nil"/>
              <w:bottom w:val="nil"/>
              <w:right w:val="nil"/>
            </w:tcBorders>
            <w:shd w:val="clear" w:color="auto" w:fill="auto"/>
            <w:vAlign w:val="center"/>
            <w:hideMark/>
          </w:tcPr>
          <w:p w14:paraId="2AF7FF76"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10</w:t>
            </w:r>
          </w:p>
        </w:tc>
      </w:tr>
      <w:tr w:rsidR="009A05C7" w:rsidRPr="00274557" w14:paraId="34CA8824" w14:textId="77777777" w:rsidTr="000240DA">
        <w:trPr>
          <w:trHeight w:val="290"/>
        </w:trPr>
        <w:tc>
          <w:tcPr>
            <w:tcW w:w="2300" w:type="pct"/>
            <w:tcBorders>
              <w:top w:val="nil"/>
              <w:left w:val="nil"/>
              <w:bottom w:val="nil"/>
              <w:right w:val="nil"/>
            </w:tcBorders>
            <w:shd w:val="clear" w:color="auto" w:fill="auto"/>
            <w:vAlign w:val="center"/>
            <w:hideMark/>
          </w:tcPr>
          <w:p w14:paraId="1013AB54" w14:textId="77777777" w:rsidR="009A05C7" w:rsidRPr="00274557" w:rsidRDefault="009A05C7" w:rsidP="000240DA">
            <w:pPr>
              <w:spacing w:after="0" w:line="240" w:lineRule="auto"/>
              <w:jc w:val="lef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Ministerstvo dopravy a výstavby SR</w:t>
            </w:r>
          </w:p>
        </w:tc>
        <w:tc>
          <w:tcPr>
            <w:tcW w:w="540" w:type="pct"/>
            <w:tcBorders>
              <w:top w:val="nil"/>
              <w:left w:val="nil"/>
              <w:bottom w:val="nil"/>
              <w:right w:val="nil"/>
            </w:tcBorders>
            <w:shd w:val="clear" w:color="auto" w:fill="auto"/>
            <w:vAlign w:val="center"/>
            <w:hideMark/>
          </w:tcPr>
          <w:p w14:paraId="5DA075BA"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15</w:t>
            </w:r>
          </w:p>
        </w:tc>
        <w:tc>
          <w:tcPr>
            <w:tcW w:w="540" w:type="pct"/>
            <w:tcBorders>
              <w:top w:val="nil"/>
              <w:left w:val="nil"/>
              <w:bottom w:val="nil"/>
              <w:right w:val="nil"/>
            </w:tcBorders>
            <w:shd w:val="clear" w:color="auto" w:fill="auto"/>
            <w:vAlign w:val="center"/>
            <w:hideMark/>
          </w:tcPr>
          <w:p w14:paraId="6FD153F5"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403</w:t>
            </w:r>
          </w:p>
        </w:tc>
        <w:tc>
          <w:tcPr>
            <w:tcW w:w="540" w:type="pct"/>
            <w:tcBorders>
              <w:top w:val="nil"/>
              <w:left w:val="nil"/>
              <w:bottom w:val="nil"/>
              <w:right w:val="nil"/>
            </w:tcBorders>
            <w:shd w:val="clear" w:color="auto" w:fill="auto"/>
            <w:vAlign w:val="center"/>
            <w:hideMark/>
          </w:tcPr>
          <w:p w14:paraId="4C8ED3B7"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34</w:t>
            </w:r>
          </w:p>
        </w:tc>
        <w:tc>
          <w:tcPr>
            <w:tcW w:w="540" w:type="pct"/>
            <w:tcBorders>
              <w:top w:val="nil"/>
              <w:left w:val="nil"/>
              <w:bottom w:val="nil"/>
              <w:right w:val="nil"/>
            </w:tcBorders>
            <w:shd w:val="clear" w:color="auto" w:fill="auto"/>
            <w:vAlign w:val="center"/>
            <w:hideMark/>
          </w:tcPr>
          <w:p w14:paraId="1E5CFB1C"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459</w:t>
            </w:r>
          </w:p>
        </w:tc>
        <w:tc>
          <w:tcPr>
            <w:tcW w:w="540" w:type="pct"/>
            <w:tcBorders>
              <w:top w:val="nil"/>
              <w:left w:val="nil"/>
              <w:bottom w:val="nil"/>
              <w:right w:val="nil"/>
            </w:tcBorders>
            <w:shd w:val="clear" w:color="auto" w:fill="auto"/>
            <w:vAlign w:val="center"/>
            <w:hideMark/>
          </w:tcPr>
          <w:p w14:paraId="701A1CAA"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425</w:t>
            </w:r>
          </w:p>
        </w:tc>
      </w:tr>
      <w:tr w:rsidR="009A05C7" w:rsidRPr="00274557" w14:paraId="617C9D58" w14:textId="77777777" w:rsidTr="000240DA">
        <w:trPr>
          <w:trHeight w:val="290"/>
        </w:trPr>
        <w:tc>
          <w:tcPr>
            <w:tcW w:w="2300" w:type="pct"/>
            <w:tcBorders>
              <w:top w:val="nil"/>
              <w:left w:val="nil"/>
              <w:bottom w:val="nil"/>
              <w:right w:val="nil"/>
            </w:tcBorders>
            <w:shd w:val="clear" w:color="auto" w:fill="auto"/>
            <w:vAlign w:val="center"/>
            <w:hideMark/>
          </w:tcPr>
          <w:p w14:paraId="58D59396" w14:textId="77777777" w:rsidR="009A05C7" w:rsidRPr="00274557" w:rsidRDefault="009A05C7" w:rsidP="000240DA">
            <w:pPr>
              <w:spacing w:after="0" w:line="240" w:lineRule="auto"/>
              <w:jc w:val="left"/>
              <w:rPr>
                <w:rFonts w:eastAsia="Times New Roman" w:cs="Times New Roman"/>
                <w:color w:val="000000"/>
                <w:sz w:val="18"/>
                <w:szCs w:val="18"/>
                <w:lang w:eastAsia="sk-SK"/>
              </w:rPr>
            </w:pPr>
            <w:r w:rsidRPr="00274557">
              <w:rPr>
                <w:rFonts w:eastAsia="Times New Roman" w:cs="Times New Roman"/>
                <w:color w:val="000000"/>
                <w:sz w:val="18"/>
                <w:szCs w:val="18"/>
                <w:lang w:eastAsia="sk-SK"/>
              </w:rPr>
              <w:t>Letisko Košice - Airport Košice, a. s.</w:t>
            </w:r>
          </w:p>
        </w:tc>
        <w:tc>
          <w:tcPr>
            <w:tcW w:w="540" w:type="pct"/>
            <w:tcBorders>
              <w:top w:val="nil"/>
              <w:left w:val="nil"/>
              <w:bottom w:val="nil"/>
              <w:right w:val="nil"/>
            </w:tcBorders>
            <w:shd w:val="clear" w:color="auto" w:fill="auto"/>
            <w:vAlign w:val="center"/>
            <w:hideMark/>
          </w:tcPr>
          <w:p w14:paraId="148BB869"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0</w:t>
            </w:r>
          </w:p>
        </w:tc>
        <w:tc>
          <w:tcPr>
            <w:tcW w:w="540" w:type="pct"/>
            <w:tcBorders>
              <w:top w:val="nil"/>
              <w:left w:val="nil"/>
              <w:bottom w:val="nil"/>
              <w:right w:val="nil"/>
            </w:tcBorders>
            <w:shd w:val="clear" w:color="auto" w:fill="auto"/>
            <w:vAlign w:val="center"/>
            <w:hideMark/>
          </w:tcPr>
          <w:p w14:paraId="4F2E6298"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346</w:t>
            </w:r>
          </w:p>
        </w:tc>
        <w:tc>
          <w:tcPr>
            <w:tcW w:w="540" w:type="pct"/>
            <w:tcBorders>
              <w:top w:val="nil"/>
              <w:left w:val="nil"/>
              <w:bottom w:val="nil"/>
              <w:right w:val="nil"/>
            </w:tcBorders>
            <w:shd w:val="clear" w:color="auto" w:fill="auto"/>
            <w:vAlign w:val="center"/>
            <w:hideMark/>
          </w:tcPr>
          <w:p w14:paraId="418941E0"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34</w:t>
            </w:r>
          </w:p>
        </w:tc>
        <w:tc>
          <w:tcPr>
            <w:tcW w:w="540" w:type="pct"/>
            <w:tcBorders>
              <w:top w:val="nil"/>
              <w:left w:val="nil"/>
              <w:bottom w:val="nil"/>
              <w:right w:val="nil"/>
            </w:tcBorders>
            <w:shd w:val="clear" w:color="auto" w:fill="auto"/>
            <w:vAlign w:val="center"/>
            <w:hideMark/>
          </w:tcPr>
          <w:p w14:paraId="49B1145A"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426</w:t>
            </w:r>
          </w:p>
        </w:tc>
        <w:tc>
          <w:tcPr>
            <w:tcW w:w="540" w:type="pct"/>
            <w:tcBorders>
              <w:top w:val="nil"/>
              <w:left w:val="nil"/>
              <w:bottom w:val="nil"/>
              <w:right w:val="nil"/>
            </w:tcBorders>
            <w:shd w:val="clear" w:color="auto" w:fill="auto"/>
            <w:vAlign w:val="center"/>
            <w:hideMark/>
          </w:tcPr>
          <w:p w14:paraId="2966A2B4"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392</w:t>
            </w:r>
          </w:p>
        </w:tc>
      </w:tr>
      <w:tr w:rsidR="009A05C7" w:rsidRPr="00274557" w14:paraId="5D3A3998" w14:textId="77777777" w:rsidTr="000240DA">
        <w:trPr>
          <w:trHeight w:val="290"/>
        </w:trPr>
        <w:tc>
          <w:tcPr>
            <w:tcW w:w="2300" w:type="pct"/>
            <w:tcBorders>
              <w:top w:val="nil"/>
              <w:left w:val="nil"/>
              <w:bottom w:val="nil"/>
              <w:right w:val="nil"/>
            </w:tcBorders>
            <w:shd w:val="clear" w:color="auto" w:fill="auto"/>
            <w:vAlign w:val="center"/>
            <w:hideMark/>
          </w:tcPr>
          <w:p w14:paraId="04AD1D87" w14:textId="77777777" w:rsidR="009A05C7" w:rsidRPr="00274557" w:rsidRDefault="009A05C7" w:rsidP="000240DA">
            <w:pPr>
              <w:spacing w:after="0"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riadne dividendy a odvody zo zisku</w:t>
            </w:r>
          </w:p>
        </w:tc>
        <w:tc>
          <w:tcPr>
            <w:tcW w:w="540" w:type="pct"/>
            <w:tcBorders>
              <w:top w:val="nil"/>
              <w:left w:val="nil"/>
              <w:bottom w:val="nil"/>
              <w:right w:val="nil"/>
            </w:tcBorders>
            <w:shd w:val="clear" w:color="auto" w:fill="auto"/>
            <w:vAlign w:val="center"/>
            <w:hideMark/>
          </w:tcPr>
          <w:p w14:paraId="00526E62"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75614AC3"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346</w:t>
            </w:r>
          </w:p>
        </w:tc>
        <w:tc>
          <w:tcPr>
            <w:tcW w:w="540" w:type="pct"/>
            <w:tcBorders>
              <w:top w:val="nil"/>
              <w:left w:val="nil"/>
              <w:bottom w:val="nil"/>
              <w:right w:val="nil"/>
            </w:tcBorders>
            <w:shd w:val="clear" w:color="auto" w:fill="auto"/>
            <w:vAlign w:val="center"/>
            <w:hideMark/>
          </w:tcPr>
          <w:p w14:paraId="307E1EA4"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716A4EEB"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365</w:t>
            </w:r>
          </w:p>
        </w:tc>
        <w:tc>
          <w:tcPr>
            <w:tcW w:w="540" w:type="pct"/>
            <w:tcBorders>
              <w:top w:val="nil"/>
              <w:left w:val="nil"/>
              <w:bottom w:val="nil"/>
              <w:right w:val="nil"/>
            </w:tcBorders>
            <w:shd w:val="clear" w:color="auto" w:fill="auto"/>
            <w:vAlign w:val="center"/>
            <w:hideMark/>
          </w:tcPr>
          <w:p w14:paraId="1662894E"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365</w:t>
            </w:r>
          </w:p>
        </w:tc>
      </w:tr>
      <w:tr w:rsidR="009A05C7" w:rsidRPr="00274557" w14:paraId="580AC4FC" w14:textId="77777777" w:rsidTr="000240DA">
        <w:trPr>
          <w:trHeight w:val="290"/>
        </w:trPr>
        <w:tc>
          <w:tcPr>
            <w:tcW w:w="2300" w:type="pct"/>
            <w:tcBorders>
              <w:top w:val="nil"/>
              <w:left w:val="nil"/>
              <w:bottom w:val="nil"/>
              <w:right w:val="nil"/>
            </w:tcBorders>
            <w:shd w:val="clear" w:color="auto" w:fill="auto"/>
            <w:vAlign w:val="center"/>
            <w:hideMark/>
          </w:tcPr>
          <w:p w14:paraId="1DC06845" w14:textId="77777777" w:rsidR="009A05C7" w:rsidRPr="00274557" w:rsidRDefault="009A05C7" w:rsidP="000240DA">
            <w:pPr>
              <w:spacing w:after="0"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superdividendy</w:t>
            </w:r>
          </w:p>
        </w:tc>
        <w:tc>
          <w:tcPr>
            <w:tcW w:w="540" w:type="pct"/>
            <w:tcBorders>
              <w:top w:val="nil"/>
              <w:left w:val="nil"/>
              <w:bottom w:val="nil"/>
              <w:right w:val="nil"/>
            </w:tcBorders>
            <w:shd w:val="clear" w:color="auto" w:fill="auto"/>
            <w:vAlign w:val="center"/>
            <w:hideMark/>
          </w:tcPr>
          <w:p w14:paraId="796CCFB1"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5E68B515"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71F7C32A"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34</w:t>
            </w:r>
          </w:p>
        </w:tc>
        <w:tc>
          <w:tcPr>
            <w:tcW w:w="540" w:type="pct"/>
            <w:tcBorders>
              <w:top w:val="nil"/>
              <w:left w:val="nil"/>
              <w:bottom w:val="nil"/>
              <w:right w:val="nil"/>
            </w:tcBorders>
            <w:shd w:val="clear" w:color="auto" w:fill="auto"/>
            <w:vAlign w:val="center"/>
            <w:hideMark/>
          </w:tcPr>
          <w:p w14:paraId="4907089C"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61</w:t>
            </w:r>
          </w:p>
        </w:tc>
        <w:tc>
          <w:tcPr>
            <w:tcW w:w="540" w:type="pct"/>
            <w:tcBorders>
              <w:top w:val="nil"/>
              <w:left w:val="nil"/>
              <w:bottom w:val="nil"/>
              <w:right w:val="nil"/>
            </w:tcBorders>
            <w:shd w:val="clear" w:color="auto" w:fill="auto"/>
            <w:vAlign w:val="center"/>
            <w:hideMark/>
          </w:tcPr>
          <w:p w14:paraId="2DE2274F"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27</w:t>
            </w:r>
          </w:p>
        </w:tc>
      </w:tr>
      <w:tr w:rsidR="009A05C7" w:rsidRPr="00274557" w14:paraId="0A2573E0" w14:textId="77777777" w:rsidTr="000240DA">
        <w:trPr>
          <w:trHeight w:val="290"/>
        </w:trPr>
        <w:tc>
          <w:tcPr>
            <w:tcW w:w="2300" w:type="pct"/>
            <w:tcBorders>
              <w:top w:val="nil"/>
              <w:left w:val="nil"/>
              <w:bottom w:val="nil"/>
              <w:right w:val="nil"/>
            </w:tcBorders>
            <w:shd w:val="clear" w:color="auto" w:fill="auto"/>
            <w:vAlign w:val="center"/>
            <w:hideMark/>
          </w:tcPr>
          <w:p w14:paraId="3033D5BC" w14:textId="77777777" w:rsidR="009A05C7" w:rsidRPr="00274557" w:rsidRDefault="009A05C7" w:rsidP="000240DA">
            <w:pPr>
              <w:spacing w:after="0" w:line="240" w:lineRule="auto"/>
              <w:jc w:val="left"/>
              <w:rPr>
                <w:rFonts w:eastAsia="Times New Roman" w:cs="Times New Roman"/>
                <w:color w:val="000000"/>
                <w:sz w:val="18"/>
                <w:szCs w:val="18"/>
                <w:lang w:eastAsia="sk-SK"/>
              </w:rPr>
            </w:pPr>
            <w:r w:rsidRPr="00274557">
              <w:rPr>
                <w:rFonts w:eastAsia="Times New Roman" w:cs="Times New Roman"/>
                <w:color w:val="000000"/>
                <w:sz w:val="18"/>
                <w:szCs w:val="18"/>
                <w:lang w:eastAsia="sk-SK"/>
              </w:rPr>
              <w:t>365.bank, a.s.</w:t>
            </w:r>
            <w:r w:rsidRPr="00274557">
              <w:rPr>
                <w:rFonts w:eastAsia="Times New Roman" w:cs="Times New Roman"/>
                <w:color w:val="000000"/>
                <w:sz w:val="18"/>
                <w:szCs w:val="18"/>
                <w:vertAlign w:val="superscript"/>
                <w:lang w:eastAsia="sk-SK"/>
              </w:rPr>
              <w:t>2)</w:t>
            </w:r>
          </w:p>
        </w:tc>
        <w:tc>
          <w:tcPr>
            <w:tcW w:w="540" w:type="pct"/>
            <w:tcBorders>
              <w:top w:val="nil"/>
              <w:left w:val="nil"/>
              <w:bottom w:val="nil"/>
              <w:right w:val="nil"/>
            </w:tcBorders>
            <w:shd w:val="clear" w:color="auto" w:fill="auto"/>
            <w:vAlign w:val="center"/>
            <w:hideMark/>
          </w:tcPr>
          <w:p w14:paraId="4F9B4D23"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15</w:t>
            </w:r>
          </w:p>
        </w:tc>
        <w:tc>
          <w:tcPr>
            <w:tcW w:w="540" w:type="pct"/>
            <w:tcBorders>
              <w:top w:val="nil"/>
              <w:left w:val="nil"/>
              <w:bottom w:val="nil"/>
              <w:right w:val="nil"/>
            </w:tcBorders>
            <w:shd w:val="clear" w:color="auto" w:fill="auto"/>
            <w:vAlign w:val="center"/>
            <w:hideMark/>
          </w:tcPr>
          <w:p w14:paraId="13EB0844"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57</w:t>
            </w:r>
          </w:p>
        </w:tc>
        <w:tc>
          <w:tcPr>
            <w:tcW w:w="540" w:type="pct"/>
            <w:tcBorders>
              <w:top w:val="nil"/>
              <w:left w:val="nil"/>
              <w:bottom w:val="nil"/>
              <w:right w:val="nil"/>
            </w:tcBorders>
            <w:shd w:val="clear" w:color="auto" w:fill="auto"/>
            <w:vAlign w:val="center"/>
            <w:hideMark/>
          </w:tcPr>
          <w:p w14:paraId="3AA8D64B"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0</w:t>
            </w:r>
          </w:p>
        </w:tc>
        <w:tc>
          <w:tcPr>
            <w:tcW w:w="540" w:type="pct"/>
            <w:tcBorders>
              <w:top w:val="nil"/>
              <w:left w:val="nil"/>
              <w:bottom w:val="nil"/>
              <w:right w:val="nil"/>
            </w:tcBorders>
            <w:shd w:val="clear" w:color="auto" w:fill="auto"/>
            <w:vAlign w:val="center"/>
            <w:hideMark/>
          </w:tcPr>
          <w:p w14:paraId="7A31E0EC"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33</w:t>
            </w:r>
          </w:p>
        </w:tc>
        <w:tc>
          <w:tcPr>
            <w:tcW w:w="540" w:type="pct"/>
            <w:tcBorders>
              <w:top w:val="nil"/>
              <w:left w:val="nil"/>
              <w:bottom w:val="nil"/>
              <w:right w:val="nil"/>
            </w:tcBorders>
            <w:shd w:val="clear" w:color="auto" w:fill="auto"/>
            <w:vAlign w:val="center"/>
            <w:hideMark/>
          </w:tcPr>
          <w:p w14:paraId="668EAA3A"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33</w:t>
            </w:r>
          </w:p>
        </w:tc>
      </w:tr>
      <w:tr w:rsidR="009A05C7" w:rsidRPr="00274557" w14:paraId="6F12A388" w14:textId="77777777" w:rsidTr="000240DA">
        <w:trPr>
          <w:trHeight w:val="290"/>
        </w:trPr>
        <w:tc>
          <w:tcPr>
            <w:tcW w:w="2300" w:type="pct"/>
            <w:tcBorders>
              <w:top w:val="nil"/>
              <w:left w:val="nil"/>
              <w:bottom w:val="nil"/>
              <w:right w:val="nil"/>
            </w:tcBorders>
            <w:shd w:val="clear" w:color="auto" w:fill="auto"/>
            <w:vAlign w:val="center"/>
            <w:hideMark/>
          </w:tcPr>
          <w:p w14:paraId="59DB1511" w14:textId="77777777" w:rsidR="009A05C7" w:rsidRPr="00274557" w:rsidRDefault="009A05C7" w:rsidP="000240DA">
            <w:pPr>
              <w:spacing w:after="0"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riadne dividendy a odvody zo zisku</w:t>
            </w:r>
          </w:p>
        </w:tc>
        <w:tc>
          <w:tcPr>
            <w:tcW w:w="540" w:type="pct"/>
            <w:tcBorders>
              <w:top w:val="nil"/>
              <w:left w:val="nil"/>
              <w:bottom w:val="nil"/>
              <w:right w:val="nil"/>
            </w:tcBorders>
            <w:shd w:val="clear" w:color="auto" w:fill="auto"/>
            <w:vAlign w:val="center"/>
            <w:hideMark/>
          </w:tcPr>
          <w:p w14:paraId="44C40BF6"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15</w:t>
            </w:r>
          </w:p>
        </w:tc>
        <w:tc>
          <w:tcPr>
            <w:tcW w:w="540" w:type="pct"/>
            <w:tcBorders>
              <w:top w:val="nil"/>
              <w:left w:val="nil"/>
              <w:bottom w:val="nil"/>
              <w:right w:val="nil"/>
            </w:tcBorders>
            <w:shd w:val="clear" w:color="auto" w:fill="auto"/>
            <w:vAlign w:val="center"/>
            <w:hideMark/>
          </w:tcPr>
          <w:p w14:paraId="300BAD97"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20</w:t>
            </w:r>
          </w:p>
        </w:tc>
        <w:tc>
          <w:tcPr>
            <w:tcW w:w="540" w:type="pct"/>
            <w:tcBorders>
              <w:top w:val="nil"/>
              <w:left w:val="nil"/>
              <w:bottom w:val="nil"/>
              <w:right w:val="nil"/>
            </w:tcBorders>
            <w:shd w:val="clear" w:color="auto" w:fill="auto"/>
            <w:vAlign w:val="center"/>
            <w:hideMark/>
          </w:tcPr>
          <w:p w14:paraId="4B0F4FCC"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25752C10"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22</w:t>
            </w:r>
          </w:p>
        </w:tc>
        <w:tc>
          <w:tcPr>
            <w:tcW w:w="540" w:type="pct"/>
            <w:tcBorders>
              <w:top w:val="nil"/>
              <w:left w:val="nil"/>
              <w:bottom w:val="nil"/>
              <w:right w:val="nil"/>
            </w:tcBorders>
            <w:shd w:val="clear" w:color="auto" w:fill="auto"/>
            <w:vAlign w:val="center"/>
            <w:hideMark/>
          </w:tcPr>
          <w:p w14:paraId="1B282B52"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22</w:t>
            </w:r>
          </w:p>
        </w:tc>
      </w:tr>
      <w:tr w:rsidR="009A05C7" w:rsidRPr="00274557" w14:paraId="7A9F63D5" w14:textId="77777777" w:rsidTr="000240DA">
        <w:trPr>
          <w:trHeight w:val="290"/>
        </w:trPr>
        <w:tc>
          <w:tcPr>
            <w:tcW w:w="2300" w:type="pct"/>
            <w:tcBorders>
              <w:top w:val="nil"/>
              <w:left w:val="nil"/>
              <w:bottom w:val="nil"/>
              <w:right w:val="nil"/>
            </w:tcBorders>
            <w:shd w:val="clear" w:color="auto" w:fill="auto"/>
            <w:vAlign w:val="center"/>
            <w:hideMark/>
          </w:tcPr>
          <w:p w14:paraId="391881D5" w14:textId="77777777" w:rsidR="009A05C7" w:rsidRPr="00274557" w:rsidRDefault="009A05C7" w:rsidP="000240DA">
            <w:pPr>
              <w:spacing w:after="0"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superdividendy</w:t>
            </w:r>
          </w:p>
        </w:tc>
        <w:tc>
          <w:tcPr>
            <w:tcW w:w="540" w:type="pct"/>
            <w:tcBorders>
              <w:top w:val="nil"/>
              <w:left w:val="nil"/>
              <w:bottom w:val="nil"/>
              <w:right w:val="nil"/>
            </w:tcBorders>
            <w:shd w:val="clear" w:color="auto" w:fill="auto"/>
            <w:vAlign w:val="center"/>
            <w:hideMark/>
          </w:tcPr>
          <w:p w14:paraId="7C3991BB"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4798AC78"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37</w:t>
            </w:r>
          </w:p>
        </w:tc>
        <w:tc>
          <w:tcPr>
            <w:tcW w:w="540" w:type="pct"/>
            <w:tcBorders>
              <w:top w:val="nil"/>
              <w:left w:val="nil"/>
              <w:bottom w:val="nil"/>
              <w:right w:val="nil"/>
            </w:tcBorders>
            <w:shd w:val="clear" w:color="auto" w:fill="auto"/>
            <w:vAlign w:val="center"/>
            <w:hideMark/>
          </w:tcPr>
          <w:p w14:paraId="471D430C"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48A1F9D4"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11</w:t>
            </w:r>
          </w:p>
        </w:tc>
        <w:tc>
          <w:tcPr>
            <w:tcW w:w="540" w:type="pct"/>
            <w:tcBorders>
              <w:top w:val="nil"/>
              <w:left w:val="nil"/>
              <w:bottom w:val="nil"/>
              <w:right w:val="nil"/>
            </w:tcBorders>
            <w:shd w:val="clear" w:color="auto" w:fill="auto"/>
            <w:vAlign w:val="center"/>
            <w:hideMark/>
          </w:tcPr>
          <w:p w14:paraId="08FA0506"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11</w:t>
            </w:r>
          </w:p>
        </w:tc>
      </w:tr>
      <w:tr w:rsidR="009A05C7" w:rsidRPr="00274557" w14:paraId="775A307E" w14:textId="77777777" w:rsidTr="000240DA">
        <w:trPr>
          <w:trHeight w:val="290"/>
        </w:trPr>
        <w:tc>
          <w:tcPr>
            <w:tcW w:w="2300" w:type="pct"/>
            <w:tcBorders>
              <w:top w:val="nil"/>
              <w:left w:val="nil"/>
              <w:bottom w:val="nil"/>
              <w:right w:val="nil"/>
            </w:tcBorders>
            <w:shd w:val="clear" w:color="auto" w:fill="auto"/>
            <w:vAlign w:val="center"/>
            <w:hideMark/>
          </w:tcPr>
          <w:p w14:paraId="4FC5EC79" w14:textId="77777777" w:rsidR="009A05C7" w:rsidRPr="00274557" w:rsidRDefault="009A05C7" w:rsidP="000240DA">
            <w:pPr>
              <w:spacing w:after="0" w:line="240" w:lineRule="auto"/>
              <w:jc w:val="lef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lastRenderedPageBreak/>
              <w:t>Správa štátnych hmotných rezerv SR</w:t>
            </w:r>
          </w:p>
        </w:tc>
        <w:tc>
          <w:tcPr>
            <w:tcW w:w="540" w:type="pct"/>
            <w:tcBorders>
              <w:top w:val="nil"/>
              <w:left w:val="nil"/>
              <w:bottom w:val="nil"/>
              <w:right w:val="nil"/>
            </w:tcBorders>
            <w:shd w:val="clear" w:color="auto" w:fill="auto"/>
            <w:vAlign w:val="center"/>
            <w:hideMark/>
          </w:tcPr>
          <w:p w14:paraId="770DAECD"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108</w:t>
            </w:r>
          </w:p>
        </w:tc>
        <w:tc>
          <w:tcPr>
            <w:tcW w:w="540" w:type="pct"/>
            <w:tcBorders>
              <w:top w:val="nil"/>
              <w:left w:val="nil"/>
              <w:bottom w:val="nil"/>
              <w:right w:val="nil"/>
            </w:tcBorders>
            <w:shd w:val="clear" w:color="auto" w:fill="auto"/>
            <w:vAlign w:val="center"/>
            <w:hideMark/>
          </w:tcPr>
          <w:p w14:paraId="62F7EE4C"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109</w:t>
            </w:r>
          </w:p>
        </w:tc>
        <w:tc>
          <w:tcPr>
            <w:tcW w:w="540" w:type="pct"/>
            <w:tcBorders>
              <w:top w:val="nil"/>
              <w:left w:val="nil"/>
              <w:bottom w:val="nil"/>
              <w:right w:val="nil"/>
            </w:tcBorders>
            <w:shd w:val="clear" w:color="auto" w:fill="auto"/>
            <w:vAlign w:val="center"/>
            <w:hideMark/>
          </w:tcPr>
          <w:p w14:paraId="5C7DD551"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109</w:t>
            </w:r>
          </w:p>
        </w:tc>
        <w:tc>
          <w:tcPr>
            <w:tcW w:w="540" w:type="pct"/>
            <w:tcBorders>
              <w:top w:val="nil"/>
              <w:left w:val="nil"/>
              <w:bottom w:val="nil"/>
              <w:right w:val="nil"/>
            </w:tcBorders>
            <w:shd w:val="clear" w:color="auto" w:fill="auto"/>
            <w:vAlign w:val="center"/>
            <w:hideMark/>
          </w:tcPr>
          <w:p w14:paraId="626D59FE"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0</w:t>
            </w:r>
          </w:p>
        </w:tc>
        <w:tc>
          <w:tcPr>
            <w:tcW w:w="540" w:type="pct"/>
            <w:tcBorders>
              <w:top w:val="nil"/>
              <w:left w:val="nil"/>
              <w:bottom w:val="nil"/>
              <w:right w:val="nil"/>
            </w:tcBorders>
            <w:shd w:val="clear" w:color="auto" w:fill="auto"/>
            <w:vAlign w:val="center"/>
            <w:hideMark/>
          </w:tcPr>
          <w:p w14:paraId="18224FC0"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-109</w:t>
            </w:r>
          </w:p>
        </w:tc>
      </w:tr>
      <w:tr w:rsidR="009A05C7" w:rsidRPr="00274557" w14:paraId="5DDF77C3" w14:textId="77777777" w:rsidTr="000240DA">
        <w:trPr>
          <w:trHeight w:val="290"/>
        </w:trPr>
        <w:tc>
          <w:tcPr>
            <w:tcW w:w="2300" w:type="pct"/>
            <w:tcBorders>
              <w:top w:val="nil"/>
              <w:left w:val="nil"/>
              <w:bottom w:val="nil"/>
              <w:right w:val="nil"/>
            </w:tcBorders>
            <w:shd w:val="clear" w:color="auto" w:fill="auto"/>
            <w:vAlign w:val="center"/>
            <w:hideMark/>
          </w:tcPr>
          <w:p w14:paraId="5A03575F" w14:textId="77777777" w:rsidR="009A05C7" w:rsidRPr="00274557" w:rsidRDefault="009A05C7" w:rsidP="000240DA">
            <w:pPr>
              <w:spacing w:after="0" w:line="240" w:lineRule="auto"/>
              <w:jc w:val="left"/>
              <w:rPr>
                <w:rFonts w:eastAsia="Times New Roman" w:cs="Times New Roman"/>
                <w:color w:val="000000"/>
                <w:sz w:val="18"/>
                <w:szCs w:val="18"/>
                <w:lang w:eastAsia="sk-SK"/>
              </w:rPr>
            </w:pPr>
            <w:r w:rsidRPr="00274557">
              <w:rPr>
                <w:rFonts w:eastAsia="Times New Roman" w:cs="Times New Roman"/>
                <w:color w:val="000000"/>
                <w:sz w:val="18"/>
                <w:szCs w:val="18"/>
                <w:lang w:eastAsia="sk-SK"/>
              </w:rPr>
              <w:t>Spoločnosť pre skladovanie, a.</w:t>
            </w:r>
            <w:r>
              <w:rPr>
                <w:rFonts w:eastAsia="Times New Roman" w:cs="Times New Roman"/>
                <w:color w:val="000000"/>
                <w:sz w:val="18"/>
                <w:szCs w:val="18"/>
                <w:lang w:eastAsia="sk-SK"/>
              </w:rPr>
              <w:t> </w:t>
            </w:r>
            <w:r w:rsidRPr="00274557">
              <w:rPr>
                <w:rFonts w:eastAsia="Times New Roman" w:cs="Times New Roman"/>
                <w:color w:val="000000"/>
                <w:sz w:val="18"/>
                <w:szCs w:val="18"/>
                <w:lang w:eastAsia="sk-SK"/>
              </w:rPr>
              <w:t>s.</w:t>
            </w:r>
          </w:p>
        </w:tc>
        <w:tc>
          <w:tcPr>
            <w:tcW w:w="540" w:type="pct"/>
            <w:tcBorders>
              <w:top w:val="nil"/>
              <w:left w:val="nil"/>
              <w:bottom w:val="nil"/>
              <w:right w:val="nil"/>
            </w:tcBorders>
            <w:shd w:val="clear" w:color="auto" w:fill="auto"/>
            <w:vAlign w:val="center"/>
            <w:hideMark/>
          </w:tcPr>
          <w:p w14:paraId="4D3BAC41"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108</w:t>
            </w:r>
          </w:p>
        </w:tc>
        <w:tc>
          <w:tcPr>
            <w:tcW w:w="540" w:type="pct"/>
            <w:tcBorders>
              <w:top w:val="nil"/>
              <w:left w:val="nil"/>
              <w:bottom w:val="nil"/>
              <w:right w:val="nil"/>
            </w:tcBorders>
            <w:shd w:val="clear" w:color="auto" w:fill="auto"/>
            <w:vAlign w:val="center"/>
            <w:hideMark/>
          </w:tcPr>
          <w:p w14:paraId="054C242A"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109</w:t>
            </w:r>
          </w:p>
        </w:tc>
        <w:tc>
          <w:tcPr>
            <w:tcW w:w="540" w:type="pct"/>
            <w:tcBorders>
              <w:top w:val="nil"/>
              <w:left w:val="nil"/>
              <w:bottom w:val="nil"/>
              <w:right w:val="nil"/>
            </w:tcBorders>
            <w:shd w:val="clear" w:color="auto" w:fill="auto"/>
            <w:vAlign w:val="center"/>
            <w:hideMark/>
          </w:tcPr>
          <w:p w14:paraId="55141DF9"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109</w:t>
            </w:r>
          </w:p>
        </w:tc>
        <w:tc>
          <w:tcPr>
            <w:tcW w:w="540" w:type="pct"/>
            <w:tcBorders>
              <w:top w:val="nil"/>
              <w:left w:val="nil"/>
              <w:bottom w:val="nil"/>
              <w:right w:val="nil"/>
            </w:tcBorders>
            <w:shd w:val="clear" w:color="auto" w:fill="auto"/>
            <w:vAlign w:val="center"/>
            <w:hideMark/>
          </w:tcPr>
          <w:p w14:paraId="7FCEB491"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37F21A15"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-109</w:t>
            </w:r>
          </w:p>
        </w:tc>
      </w:tr>
      <w:tr w:rsidR="009A05C7" w:rsidRPr="00274557" w14:paraId="04B3C2B0" w14:textId="77777777" w:rsidTr="000240DA">
        <w:trPr>
          <w:trHeight w:val="460"/>
        </w:trPr>
        <w:tc>
          <w:tcPr>
            <w:tcW w:w="2300" w:type="pct"/>
            <w:tcBorders>
              <w:top w:val="nil"/>
              <w:left w:val="nil"/>
              <w:bottom w:val="nil"/>
              <w:right w:val="nil"/>
            </w:tcBorders>
            <w:shd w:val="clear" w:color="auto" w:fill="auto"/>
            <w:vAlign w:val="center"/>
            <w:hideMark/>
          </w:tcPr>
          <w:p w14:paraId="61024F67" w14:textId="77777777" w:rsidR="009A05C7" w:rsidRPr="00274557" w:rsidRDefault="009A05C7" w:rsidP="000240DA">
            <w:pPr>
              <w:spacing w:after="0" w:line="240" w:lineRule="auto"/>
              <w:jc w:val="lef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Ministerstvo pôdohospodárstva a rozvoja vidieka SR</w:t>
            </w:r>
          </w:p>
        </w:tc>
        <w:tc>
          <w:tcPr>
            <w:tcW w:w="540" w:type="pct"/>
            <w:tcBorders>
              <w:top w:val="nil"/>
              <w:left w:val="nil"/>
              <w:bottom w:val="nil"/>
              <w:right w:val="nil"/>
            </w:tcBorders>
            <w:shd w:val="clear" w:color="auto" w:fill="auto"/>
            <w:vAlign w:val="center"/>
            <w:hideMark/>
          </w:tcPr>
          <w:p w14:paraId="30ACFAE9"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5 000</w:t>
            </w:r>
          </w:p>
        </w:tc>
        <w:tc>
          <w:tcPr>
            <w:tcW w:w="540" w:type="pct"/>
            <w:tcBorders>
              <w:top w:val="nil"/>
              <w:left w:val="nil"/>
              <w:bottom w:val="nil"/>
              <w:right w:val="nil"/>
            </w:tcBorders>
            <w:shd w:val="clear" w:color="auto" w:fill="auto"/>
            <w:vAlign w:val="center"/>
            <w:hideMark/>
          </w:tcPr>
          <w:p w14:paraId="772283F9"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0</w:t>
            </w:r>
          </w:p>
        </w:tc>
        <w:tc>
          <w:tcPr>
            <w:tcW w:w="540" w:type="pct"/>
            <w:tcBorders>
              <w:top w:val="nil"/>
              <w:left w:val="nil"/>
              <w:bottom w:val="nil"/>
              <w:right w:val="nil"/>
            </w:tcBorders>
            <w:shd w:val="clear" w:color="auto" w:fill="auto"/>
            <w:vAlign w:val="center"/>
            <w:hideMark/>
          </w:tcPr>
          <w:p w14:paraId="022DE4AB"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1 500</w:t>
            </w:r>
          </w:p>
        </w:tc>
        <w:tc>
          <w:tcPr>
            <w:tcW w:w="540" w:type="pct"/>
            <w:tcBorders>
              <w:top w:val="nil"/>
              <w:left w:val="nil"/>
              <w:bottom w:val="nil"/>
              <w:right w:val="nil"/>
            </w:tcBorders>
            <w:shd w:val="clear" w:color="auto" w:fill="auto"/>
            <w:vAlign w:val="center"/>
            <w:hideMark/>
          </w:tcPr>
          <w:p w14:paraId="35AA1551"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1 500</w:t>
            </w:r>
          </w:p>
        </w:tc>
        <w:tc>
          <w:tcPr>
            <w:tcW w:w="540" w:type="pct"/>
            <w:tcBorders>
              <w:top w:val="nil"/>
              <w:left w:val="nil"/>
              <w:bottom w:val="nil"/>
              <w:right w:val="nil"/>
            </w:tcBorders>
            <w:shd w:val="clear" w:color="auto" w:fill="auto"/>
            <w:vAlign w:val="center"/>
            <w:hideMark/>
          </w:tcPr>
          <w:p w14:paraId="590089CF"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0</w:t>
            </w:r>
          </w:p>
        </w:tc>
      </w:tr>
      <w:tr w:rsidR="009A05C7" w:rsidRPr="00274557" w14:paraId="47E4FCB7" w14:textId="77777777" w:rsidTr="000240DA">
        <w:trPr>
          <w:trHeight w:val="290"/>
        </w:trPr>
        <w:tc>
          <w:tcPr>
            <w:tcW w:w="2300" w:type="pct"/>
            <w:tcBorders>
              <w:top w:val="nil"/>
              <w:left w:val="nil"/>
              <w:bottom w:val="nil"/>
              <w:right w:val="nil"/>
            </w:tcBorders>
            <w:shd w:val="clear" w:color="auto" w:fill="auto"/>
            <w:vAlign w:val="center"/>
            <w:hideMark/>
          </w:tcPr>
          <w:p w14:paraId="7F409068" w14:textId="77777777" w:rsidR="009A05C7" w:rsidRPr="00274557" w:rsidRDefault="009A05C7" w:rsidP="000240DA">
            <w:pPr>
              <w:spacing w:after="0" w:line="240" w:lineRule="auto"/>
              <w:jc w:val="left"/>
              <w:rPr>
                <w:rFonts w:eastAsia="Times New Roman" w:cs="Times New Roman"/>
                <w:color w:val="000000"/>
                <w:sz w:val="18"/>
                <w:szCs w:val="18"/>
                <w:lang w:eastAsia="sk-SK"/>
              </w:rPr>
            </w:pPr>
            <w:r w:rsidRPr="00274557">
              <w:rPr>
                <w:rFonts w:eastAsia="Times New Roman" w:cs="Times New Roman"/>
                <w:color w:val="000000"/>
                <w:sz w:val="18"/>
                <w:szCs w:val="18"/>
                <w:lang w:eastAsia="sk-SK"/>
              </w:rPr>
              <w:t>Slovenský pozemkový fond</w:t>
            </w:r>
          </w:p>
        </w:tc>
        <w:tc>
          <w:tcPr>
            <w:tcW w:w="540" w:type="pct"/>
            <w:tcBorders>
              <w:top w:val="nil"/>
              <w:left w:val="nil"/>
              <w:bottom w:val="nil"/>
              <w:right w:val="nil"/>
            </w:tcBorders>
            <w:shd w:val="clear" w:color="auto" w:fill="auto"/>
            <w:vAlign w:val="center"/>
            <w:hideMark/>
          </w:tcPr>
          <w:p w14:paraId="6AF0E801"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5 000</w:t>
            </w:r>
          </w:p>
        </w:tc>
        <w:tc>
          <w:tcPr>
            <w:tcW w:w="540" w:type="pct"/>
            <w:tcBorders>
              <w:top w:val="nil"/>
              <w:left w:val="nil"/>
              <w:bottom w:val="nil"/>
              <w:right w:val="nil"/>
            </w:tcBorders>
            <w:shd w:val="clear" w:color="auto" w:fill="auto"/>
            <w:vAlign w:val="center"/>
            <w:hideMark/>
          </w:tcPr>
          <w:p w14:paraId="370162E1"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0</w:t>
            </w:r>
          </w:p>
        </w:tc>
        <w:tc>
          <w:tcPr>
            <w:tcW w:w="540" w:type="pct"/>
            <w:tcBorders>
              <w:top w:val="nil"/>
              <w:left w:val="nil"/>
              <w:bottom w:val="nil"/>
              <w:right w:val="nil"/>
            </w:tcBorders>
            <w:shd w:val="clear" w:color="auto" w:fill="auto"/>
            <w:vAlign w:val="center"/>
            <w:hideMark/>
          </w:tcPr>
          <w:p w14:paraId="4B3B1699"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1 500</w:t>
            </w:r>
          </w:p>
        </w:tc>
        <w:tc>
          <w:tcPr>
            <w:tcW w:w="540" w:type="pct"/>
            <w:tcBorders>
              <w:top w:val="nil"/>
              <w:left w:val="nil"/>
              <w:bottom w:val="nil"/>
              <w:right w:val="nil"/>
            </w:tcBorders>
            <w:shd w:val="clear" w:color="auto" w:fill="auto"/>
            <w:vAlign w:val="center"/>
            <w:hideMark/>
          </w:tcPr>
          <w:p w14:paraId="34DEC2A6"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1 500</w:t>
            </w:r>
          </w:p>
        </w:tc>
        <w:tc>
          <w:tcPr>
            <w:tcW w:w="540" w:type="pct"/>
            <w:tcBorders>
              <w:top w:val="nil"/>
              <w:left w:val="nil"/>
              <w:bottom w:val="nil"/>
              <w:right w:val="nil"/>
            </w:tcBorders>
            <w:shd w:val="clear" w:color="auto" w:fill="auto"/>
            <w:vAlign w:val="center"/>
            <w:hideMark/>
          </w:tcPr>
          <w:p w14:paraId="60DE36B1"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0</w:t>
            </w:r>
          </w:p>
        </w:tc>
      </w:tr>
      <w:tr w:rsidR="009A05C7" w:rsidRPr="00274557" w14:paraId="31489D06" w14:textId="77777777" w:rsidTr="000240DA">
        <w:trPr>
          <w:trHeight w:val="290"/>
        </w:trPr>
        <w:tc>
          <w:tcPr>
            <w:tcW w:w="2300" w:type="pct"/>
            <w:tcBorders>
              <w:top w:val="nil"/>
              <w:left w:val="nil"/>
              <w:bottom w:val="nil"/>
              <w:right w:val="nil"/>
            </w:tcBorders>
            <w:shd w:val="clear" w:color="auto" w:fill="auto"/>
            <w:vAlign w:val="center"/>
            <w:hideMark/>
          </w:tcPr>
          <w:p w14:paraId="36BFDF35" w14:textId="77777777" w:rsidR="009A05C7" w:rsidRPr="00274557" w:rsidRDefault="009A05C7" w:rsidP="000240DA">
            <w:pPr>
              <w:spacing w:after="0"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riadne dividendy a odvody zo zisku</w:t>
            </w:r>
          </w:p>
        </w:tc>
        <w:tc>
          <w:tcPr>
            <w:tcW w:w="540" w:type="pct"/>
            <w:tcBorders>
              <w:top w:val="nil"/>
              <w:left w:val="nil"/>
              <w:bottom w:val="nil"/>
              <w:right w:val="nil"/>
            </w:tcBorders>
            <w:shd w:val="clear" w:color="auto" w:fill="auto"/>
            <w:vAlign w:val="center"/>
            <w:hideMark/>
          </w:tcPr>
          <w:p w14:paraId="79E2CF37"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5 000</w:t>
            </w:r>
          </w:p>
        </w:tc>
        <w:tc>
          <w:tcPr>
            <w:tcW w:w="540" w:type="pct"/>
            <w:tcBorders>
              <w:top w:val="nil"/>
              <w:left w:val="nil"/>
              <w:bottom w:val="nil"/>
              <w:right w:val="nil"/>
            </w:tcBorders>
            <w:shd w:val="clear" w:color="auto" w:fill="auto"/>
            <w:vAlign w:val="center"/>
            <w:hideMark/>
          </w:tcPr>
          <w:p w14:paraId="0D345E74"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shd w:val="clear" w:color="auto" w:fill="auto"/>
            <w:vAlign w:val="center"/>
            <w:hideMark/>
          </w:tcPr>
          <w:p w14:paraId="2D184A27"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1 500</w:t>
            </w:r>
          </w:p>
        </w:tc>
        <w:tc>
          <w:tcPr>
            <w:tcW w:w="540" w:type="pct"/>
            <w:tcBorders>
              <w:top w:val="nil"/>
              <w:left w:val="nil"/>
              <w:bottom w:val="nil"/>
              <w:right w:val="nil"/>
            </w:tcBorders>
            <w:shd w:val="clear" w:color="auto" w:fill="auto"/>
            <w:vAlign w:val="center"/>
            <w:hideMark/>
          </w:tcPr>
          <w:p w14:paraId="17E194FC"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1 500</w:t>
            </w:r>
          </w:p>
        </w:tc>
        <w:tc>
          <w:tcPr>
            <w:tcW w:w="540" w:type="pct"/>
            <w:tcBorders>
              <w:top w:val="nil"/>
              <w:left w:val="nil"/>
              <w:bottom w:val="nil"/>
              <w:right w:val="nil"/>
            </w:tcBorders>
            <w:shd w:val="clear" w:color="auto" w:fill="auto"/>
            <w:vAlign w:val="center"/>
            <w:hideMark/>
          </w:tcPr>
          <w:p w14:paraId="441D40B8" w14:textId="77777777" w:rsidR="009A05C7" w:rsidRPr="00274557" w:rsidRDefault="009A05C7" w:rsidP="000240DA">
            <w:pPr>
              <w:spacing w:after="0"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r>
      <w:tr w:rsidR="009A05C7" w:rsidRPr="00274557" w14:paraId="68E42BD5" w14:textId="77777777" w:rsidTr="000240DA">
        <w:trPr>
          <w:trHeight w:val="290"/>
        </w:trPr>
        <w:tc>
          <w:tcPr>
            <w:tcW w:w="2300" w:type="pct"/>
            <w:tcBorders>
              <w:top w:val="nil"/>
              <w:left w:val="nil"/>
              <w:bottom w:val="nil"/>
              <w:right w:val="nil"/>
            </w:tcBorders>
            <w:shd w:val="clear" w:color="auto" w:fill="auto"/>
            <w:vAlign w:val="center"/>
            <w:hideMark/>
          </w:tcPr>
          <w:p w14:paraId="49BCC246" w14:textId="77777777" w:rsidR="009A05C7" w:rsidRPr="00274557" w:rsidRDefault="009A05C7" w:rsidP="000240DA">
            <w:pPr>
              <w:spacing w:after="0" w:line="240" w:lineRule="auto"/>
              <w:jc w:val="lef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Ministerstvo životného prostredia SR</w:t>
            </w:r>
          </w:p>
        </w:tc>
        <w:tc>
          <w:tcPr>
            <w:tcW w:w="540" w:type="pct"/>
            <w:tcBorders>
              <w:top w:val="nil"/>
              <w:left w:val="nil"/>
              <w:bottom w:val="nil"/>
              <w:right w:val="nil"/>
            </w:tcBorders>
            <w:shd w:val="clear" w:color="auto" w:fill="auto"/>
            <w:vAlign w:val="center"/>
            <w:hideMark/>
          </w:tcPr>
          <w:p w14:paraId="6975E220"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2 984</w:t>
            </w:r>
          </w:p>
        </w:tc>
        <w:tc>
          <w:tcPr>
            <w:tcW w:w="540" w:type="pct"/>
            <w:tcBorders>
              <w:top w:val="nil"/>
              <w:left w:val="nil"/>
              <w:bottom w:val="nil"/>
              <w:right w:val="nil"/>
            </w:tcBorders>
            <w:shd w:val="clear" w:color="auto" w:fill="auto"/>
            <w:vAlign w:val="center"/>
            <w:hideMark/>
          </w:tcPr>
          <w:p w14:paraId="6A70D8A3"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152 000</w:t>
            </w:r>
          </w:p>
        </w:tc>
        <w:tc>
          <w:tcPr>
            <w:tcW w:w="540" w:type="pct"/>
            <w:tcBorders>
              <w:top w:val="nil"/>
              <w:left w:val="nil"/>
              <w:bottom w:val="nil"/>
              <w:right w:val="nil"/>
            </w:tcBorders>
            <w:shd w:val="clear" w:color="auto" w:fill="auto"/>
            <w:vAlign w:val="center"/>
            <w:hideMark/>
          </w:tcPr>
          <w:p w14:paraId="0633DE74"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80 000</w:t>
            </w:r>
          </w:p>
        </w:tc>
        <w:tc>
          <w:tcPr>
            <w:tcW w:w="540" w:type="pct"/>
            <w:tcBorders>
              <w:top w:val="nil"/>
              <w:left w:val="nil"/>
              <w:bottom w:val="nil"/>
              <w:right w:val="nil"/>
            </w:tcBorders>
            <w:shd w:val="clear" w:color="auto" w:fill="auto"/>
            <w:vAlign w:val="center"/>
            <w:hideMark/>
          </w:tcPr>
          <w:p w14:paraId="0EE9B793"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101 318</w:t>
            </w:r>
          </w:p>
        </w:tc>
        <w:tc>
          <w:tcPr>
            <w:tcW w:w="540" w:type="pct"/>
            <w:tcBorders>
              <w:top w:val="nil"/>
              <w:left w:val="nil"/>
              <w:bottom w:val="nil"/>
              <w:right w:val="nil"/>
            </w:tcBorders>
            <w:shd w:val="clear" w:color="auto" w:fill="auto"/>
            <w:vAlign w:val="center"/>
            <w:hideMark/>
          </w:tcPr>
          <w:p w14:paraId="3734350E" w14:textId="77777777" w:rsidR="009A05C7" w:rsidRPr="00274557" w:rsidRDefault="009A05C7" w:rsidP="000240DA">
            <w:pPr>
              <w:spacing w:after="0"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21 318</w:t>
            </w:r>
          </w:p>
        </w:tc>
      </w:tr>
      <w:tr w:rsidR="009A05C7" w:rsidRPr="00274557" w14:paraId="21975EF8" w14:textId="77777777" w:rsidTr="000240DA">
        <w:trPr>
          <w:trHeight w:val="290"/>
        </w:trPr>
        <w:tc>
          <w:tcPr>
            <w:tcW w:w="2300" w:type="pct"/>
            <w:tcBorders>
              <w:top w:val="nil"/>
              <w:left w:val="nil"/>
              <w:bottom w:val="single" w:sz="4" w:space="0" w:color="auto"/>
              <w:right w:val="nil"/>
            </w:tcBorders>
            <w:shd w:val="clear" w:color="auto" w:fill="auto"/>
            <w:vAlign w:val="center"/>
            <w:hideMark/>
          </w:tcPr>
          <w:p w14:paraId="14726ABD" w14:textId="77777777" w:rsidR="009A05C7" w:rsidRPr="00274557" w:rsidRDefault="009A05C7" w:rsidP="000240DA">
            <w:pPr>
              <w:spacing w:after="0" w:line="240" w:lineRule="auto"/>
              <w:jc w:val="left"/>
              <w:rPr>
                <w:rFonts w:eastAsia="Times New Roman" w:cs="Times New Roman"/>
                <w:color w:val="000000"/>
                <w:sz w:val="18"/>
                <w:szCs w:val="18"/>
                <w:lang w:eastAsia="sk-SK"/>
              </w:rPr>
            </w:pPr>
            <w:r w:rsidRPr="00274557">
              <w:rPr>
                <w:rFonts w:eastAsia="Times New Roman" w:cs="Times New Roman"/>
                <w:color w:val="000000"/>
                <w:sz w:val="18"/>
                <w:szCs w:val="18"/>
                <w:lang w:eastAsia="sk-SK"/>
              </w:rPr>
              <w:t xml:space="preserve">Vodohospodárska výstavba, š. p. Bratislava </w:t>
            </w:r>
          </w:p>
        </w:tc>
        <w:tc>
          <w:tcPr>
            <w:tcW w:w="540" w:type="pct"/>
            <w:tcBorders>
              <w:top w:val="nil"/>
              <w:left w:val="nil"/>
              <w:bottom w:val="single" w:sz="4" w:space="0" w:color="auto"/>
              <w:right w:val="nil"/>
            </w:tcBorders>
            <w:shd w:val="clear" w:color="auto" w:fill="auto"/>
            <w:vAlign w:val="center"/>
            <w:hideMark/>
          </w:tcPr>
          <w:p w14:paraId="04759EC5"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2 984</w:t>
            </w:r>
          </w:p>
        </w:tc>
        <w:tc>
          <w:tcPr>
            <w:tcW w:w="540" w:type="pct"/>
            <w:tcBorders>
              <w:top w:val="nil"/>
              <w:left w:val="nil"/>
              <w:bottom w:val="single" w:sz="4" w:space="0" w:color="auto"/>
              <w:right w:val="nil"/>
            </w:tcBorders>
            <w:shd w:val="clear" w:color="auto" w:fill="auto"/>
            <w:vAlign w:val="center"/>
            <w:hideMark/>
          </w:tcPr>
          <w:p w14:paraId="2F589155"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152 000</w:t>
            </w:r>
          </w:p>
        </w:tc>
        <w:tc>
          <w:tcPr>
            <w:tcW w:w="540" w:type="pct"/>
            <w:tcBorders>
              <w:top w:val="nil"/>
              <w:left w:val="nil"/>
              <w:bottom w:val="single" w:sz="4" w:space="0" w:color="auto"/>
              <w:right w:val="nil"/>
            </w:tcBorders>
            <w:shd w:val="clear" w:color="auto" w:fill="auto"/>
            <w:vAlign w:val="center"/>
            <w:hideMark/>
          </w:tcPr>
          <w:p w14:paraId="73CC3255"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80 000</w:t>
            </w:r>
          </w:p>
        </w:tc>
        <w:tc>
          <w:tcPr>
            <w:tcW w:w="540" w:type="pct"/>
            <w:tcBorders>
              <w:top w:val="nil"/>
              <w:left w:val="nil"/>
              <w:bottom w:val="single" w:sz="4" w:space="0" w:color="auto"/>
              <w:right w:val="nil"/>
            </w:tcBorders>
            <w:shd w:val="clear" w:color="auto" w:fill="auto"/>
            <w:vAlign w:val="center"/>
            <w:hideMark/>
          </w:tcPr>
          <w:p w14:paraId="7BB3D984"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101 318</w:t>
            </w:r>
          </w:p>
        </w:tc>
        <w:tc>
          <w:tcPr>
            <w:tcW w:w="540" w:type="pct"/>
            <w:tcBorders>
              <w:top w:val="nil"/>
              <w:left w:val="nil"/>
              <w:bottom w:val="single" w:sz="4" w:space="0" w:color="auto"/>
              <w:right w:val="nil"/>
            </w:tcBorders>
            <w:shd w:val="clear" w:color="auto" w:fill="auto"/>
            <w:vAlign w:val="center"/>
            <w:hideMark/>
          </w:tcPr>
          <w:p w14:paraId="3DAC99DC" w14:textId="77777777" w:rsidR="009A05C7" w:rsidRPr="00274557" w:rsidRDefault="009A05C7" w:rsidP="000240DA">
            <w:pPr>
              <w:spacing w:after="0"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21 318</w:t>
            </w:r>
          </w:p>
        </w:tc>
      </w:tr>
    </w:tbl>
    <w:p w14:paraId="472325F6" w14:textId="77777777" w:rsidR="009A05C7" w:rsidRPr="00A34CC8" w:rsidRDefault="009A05C7" w:rsidP="009A05C7">
      <w:pPr>
        <w:spacing w:after="0" w:line="240" w:lineRule="auto"/>
        <w:jc w:val="right"/>
        <w:rPr>
          <w:rFonts w:eastAsia="Times New Roman" w:cs="Times New Roman"/>
          <w:bCs/>
          <w:sz w:val="18"/>
          <w:szCs w:val="18"/>
          <w:lang w:eastAsia="sk-SK"/>
        </w:rPr>
      </w:pPr>
      <w:r w:rsidRPr="00A34CC8">
        <w:rPr>
          <w:rFonts w:eastAsia="Times New Roman" w:cs="Times New Roman"/>
          <w:bCs/>
          <w:sz w:val="18"/>
          <w:szCs w:val="18"/>
          <w:lang w:eastAsia="sk-SK"/>
        </w:rPr>
        <w:t>Zdroj: MF SR</w:t>
      </w:r>
    </w:p>
    <w:p w14:paraId="2A742E5A" w14:textId="77777777" w:rsidR="009A05C7" w:rsidRPr="00A34CC8" w:rsidRDefault="009A05C7" w:rsidP="009A05C7">
      <w:pPr>
        <w:spacing w:after="0" w:line="240" w:lineRule="auto"/>
        <w:rPr>
          <w:rFonts w:eastAsia="Times New Roman" w:cs="Times New Roman"/>
          <w:sz w:val="18"/>
          <w:szCs w:val="18"/>
          <w:lang w:eastAsia="sk-SK"/>
        </w:rPr>
      </w:pPr>
      <w:r w:rsidRPr="00A34CC8">
        <w:rPr>
          <w:rFonts w:eastAsia="Times New Roman" w:cs="Times New Roman"/>
          <w:bCs/>
          <w:sz w:val="18"/>
          <w:szCs w:val="18"/>
          <w:vertAlign w:val="superscript"/>
          <w:lang w:eastAsia="sk-SK"/>
        </w:rPr>
        <w:t>1)</w:t>
      </w:r>
      <w:r w:rsidRPr="00A34CC8">
        <w:rPr>
          <w:rFonts w:eastAsia="Times New Roman" w:cs="Times New Roman"/>
          <w:bCs/>
          <w:sz w:val="18"/>
          <w:szCs w:val="18"/>
          <w:lang w:eastAsia="sk-SK"/>
        </w:rPr>
        <w:t>V roku 2022 valné zhromaždenie spoločnosti SPP, a. s. schválilo dividendu pre MH SR v sume 220 000 tis. eur s</w:t>
      </w:r>
      <w:r>
        <w:rPr>
          <w:rFonts w:eastAsia="Times New Roman" w:cs="Times New Roman"/>
          <w:bCs/>
          <w:sz w:val="18"/>
          <w:szCs w:val="18"/>
          <w:lang w:eastAsia="sk-SK"/>
        </w:rPr>
        <w:t> </w:t>
      </w:r>
      <w:r w:rsidRPr="00A34CC8">
        <w:rPr>
          <w:rFonts w:eastAsia="Times New Roman" w:cs="Times New Roman"/>
          <w:bCs/>
          <w:sz w:val="18"/>
          <w:szCs w:val="18"/>
          <w:lang w:eastAsia="sk-SK"/>
        </w:rPr>
        <w:t xml:space="preserve">termínom úhrady v roku 2023, v súlade s metodikou ESA2010 je v tejto výške vykázaná pohľadávka štátu voči SPP, a. s., ktorá bola splatená 31.03.2023. Suma superdividend spoločnosti SPP, a. s. za rok 2022 </w:t>
      </w:r>
      <w:r>
        <w:rPr>
          <w:rFonts w:eastAsia="Times New Roman" w:cs="Times New Roman"/>
          <w:bCs/>
          <w:sz w:val="18"/>
          <w:szCs w:val="18"/>
          <w:lang w:eastAsia="sk-SK"/>
        </w:rPr>
        <w:t>obsahuje aj dary vo výške 3 800 </w:t>
      </w:r>
      <w:r w:rsidRPr="00A34CC8">
        <w:rPr>
          <w:rFonts w:eastAsia="Times New Roman" w:cs="Times New Roman"/>
          <w:bCs/>
          <w:sz w:val="18"/>
          <w:szCs w:val="18"/>
          <w:lang w:eastAsia="sk-SK"/>
        </w:rPr>
        <w:t>tis.</w:t>
      </w:r>
      <w:r>
        <w:rPr>
          <w:rFonts w:eastAsia="Times New Roman" w:cs="Times New Roman"/>
          <w:bCs/>
          <w:sz w:val="18"/>
          <w:szCs w:val="18"/>
          <w:lang w:eastAsia="sk-SK"/>
        </w:rPr>
        <w:t> </w:t>
      </w:r>
      <w:r w:rsidRPr="00A34CC8">
        <w:rPr>
          <w:rFonts w:eastAsia="Times New Roman" w:cs="Times New Roman"/>
          <w:bCs/>
          <w:sz w:val="18"/>
          <w:szCs w:val="18"/>
          <w:lang w:eastAsia="sk-SK"/>
        </w:rPr>
        <w:t>eur.</w:t>
      </w:r>
    </w:p>
    <w:p w14:paraId="46230052" w14:textId="77777777" w:rsidR="009A05C7" w:rsidRDefault="009A05C7" w:rsidP="009A05C7">
      <w:pPr>
        <w:spacing w:after="0" w:line="240" w:lineRule="auto"/>
        <w:rPr>
          <w:rFonts w:eastAsia="Times New Roman" w:cs="Times New Roman"/>
          <w:sz w:val="18"/>
          <w:szCs w:val="18"/>
          <w:lang w:eastAsia="sk-SK"/>
        </w:rPr>
      </w:pPr>
      <w:r w:rsidRPr="00A34CC8">
        <w:rPr>
          <w:rFonts w:eastAsia="Times New Roman" w:cs="Times New Roman"/>
          <w:sz w:val="18"/>
          <w:szCs w:val="18"/>
          <w:vertAlign w:val="superscript"/>
          <w:lang w:eastAsia="sk-SK"/>
        </w:rPr>
        <w:t>2)</w:t>
      </w:r>
      <w:r w:rsidRPr="00A34CC8">
        <w:rPr>
          <w:rFonts w:eastAsia="Times New Roman" w:cs="Times New Roman"/>
          <w:sz w:val="18"/>
          <w:szCs w:val="18"/>
          <w:lang w:eastAsia="sk-SK"/>
        </w:rPr>
        <w:t>Pohľadávka MDV SR voči 365.bank, a. s. zo schválenej dividendy v roku 2022 s termínom úhrady v</w:t>
      </w:r>
      <w:r>
        <w:rPr>
          <w:rFonts w:eastAsia="Times New Roman" w:cs="Times New Roman"/>
          <w:sz w:val="18"/>
          <w:szCs w:val="18"/>
          <w:lang w:eastAsia="sk-SK"/>
        </w:rPr>
        <w:t> </w:t>
      </w:r>
      <w:r w:rsidRPr="00A34CC8">
        <w:rPr>
          <w:rFonts w:eastAsia="Times New Roman" w:cs="Times New Roman"/>
          <w:sz w:val="18"/>
          <w:szCs w:val="18"/>
          <w:lang w:eastAsia="sk-SK"/>
        </w:rPr>
        <w:t>roku 2023, splatená v januári 2023.</w:t>
      </w:r>
    </w:p>
    <w:p w14:paraId="47D02A85" w14:textId="77777777" w:rsidR="009A05C7" w:rsidRDefault="009A05C7" w:rsidP="009A05C7">
      <w:pPr>
        <w:spacing w:line="240" w:lineRule="auto"/>
        <w:rPr>
          <w:rFonts w:eastAsia="Times New Roman" w:cs="Times New Roman"/>
          <w:bCs/>
          <w:sz w:val="18"/>
          <w:szCs w:val="18"/>
          <w:lang w:eastAsia="sk-SK"/>
        </w:rPr>
      </w:pPr>
      <w:r w:rsidRPr="003E61C1">
        <w:rPr>
          <w:rFonts w:eastAsia="Times New Roman" w:cs="Times New Roman"/>
          <w:sz w:val="18"/>
          <w:szCs w:val="18"/>
          <w:vertAlign w:val="superscript"/>
          <w:lang w:eastAsia="sk-SK"/>
        </w:rPr>
        <w:t>3)</w:t>
      </w:r>
      <w:r w:rsidRPr="003E61C1">
        <w:rPr>
          <w:rFonts w:eastAsia="Times New Roman" w:cs="Times New Roman"/>
          <w:bCs/>
          <w:sz w:val="18"/>
          <w:szCs w:val="18"/>
          <w:lang w:eastAsia="sk-SK"/>
        </w:rPr>
        <w:t>S platnosťou od 23.11.2023 bola právne zavŕšená realizácia integrácia skupiny VSE Holding do skupiny ZSE, pričom materskou spoločnosťou novovzniknutého podnikového zoskupenia sa stala spoločnosť ZSE.</w:t>
      </w:r>
    </w:p>
    <w:p w14:paraId="17FC1D44" w14:textId="73462AE3" w:rsidR="009A05C7" w:rsidRPr="00AF2CB0" w:rsidRDefault="009A05C7" w:rsidP="009A05C7">
      <w:pPr>
        <w:spacing w:line="240" w:lineRule="auto"/>
        <w:rPr>
          <w:b/>
          <w:color w:val="5B9BD5" w:themeColor="accent1"/>
          <w:sz w:val="24"/>
          <w:szCs w:val="24"/>
        </w:rPr>
      </w:pPr>
      <w:r w:rsidRPr="00AF2CB0">
        <w:rPr>
          <w:b/>
          <w:color w:val="5B9BD5" w:themeColor="accent1"/>
          <w:sz w:val="24"/>
          <w:szCs w:val="24"/>
        </w:rPr>
        <w:t>Prenesené výdavky štátneho rozpočtu</w:t>
      </w:r>
    </w:p>
    <w:p w14:paraId="3DFB713A" w14:textId="1ABADDDF" w:rsidR="009A05C7" w:rsidRPr="00AF2CB0" w:rsidRDefault="009A05C7" w:rsidP="009A05C7">
      <w:pPr>
        <w:spacing w:line="240" w:lineRule="auto"/>
        <w:rPr>
          <w:sz w:val="24"/>
          <w:szCs w:val="24"/>
        </w:rPr>
      </w:pPr>
      <w:r>
        <w:rPr>
          <w:sz w:val="24"/>
          <w:szCs w:val="24"/>
        </w:rPr>
        <w:t>Podľa § </w:t>
      </w:r>
      <w:r w:rsidRPr="00AF2CB0">
        <w:rPr>
          <w:sz w:val="24"/>
          <w:szCs w:val="24"/>
        </w:rPr>
        <w:t>8 ods.</w:t>
      </w:r>
      <w:r>
        <w:rPr>
          <w:sz w:val="24"/>
          <w:szCs w:val="24"/>
        </w:rPr>
        <w:t xml:space="preserve"> 4 zákona </w:t>
      </w:r>
      <w:r w:rsidR="008E1B82">
        <w:rPr>
          <w:sz w:val="24"/>
          <w:szCs w:val="24"/>
        </w:rPr>
        <w:t>o rozpočtových pravidlách</w:t>
      </w:r>
      <w:r w:rsidRPr="00AF2CB0">
        <w:rPr>
          <w:sz w:val="24"/>
          <w:szCs w:val="24"/>
        </w:rPr>
        <w:t xml:space="preserve"> platného do 31.</w:t>
      </w:r>
      <w:r>
        <w:rPr>
          <w:sz w:val="24"/>
          <w:szCs w:val="24"/>
        </w:rPr>
        <w:t> </w:t>
      </w:r>
      <w:r w:rsidR="00166452">
        <w:rPr>
          <w:sz w:val="24"/>
          <w:szCs w:val="24"/>
        </w:rPr>
        <w:t>júla </w:t>
      </w:r>
      <w:r w:rsidRPr="00AF2CB0">
        <w:rPr>
          <w:sz w:val="24"/>
          <w:szCs w:val="24"/>
        </w:rPr>
        <w:t>2024 bolo možné výdavky štátneho rozpočtu poskytované formou kapitálových výdavkov</w:t>
      </w:r>
      <w:r>
        <w:rPr>
          <w:sz w:val="24"/>
          <w:szCs w:val="24"/>
        </w:rPr>
        <w:t xml:space="preserve"> a </w:t>
      </w:r>
      <w:r w:rsidRPr="00AF2CB0">
        <w:rPr>
          <w:sz w:val="24"/>
          <w:szCs w:val="24"/>
        </w:rPr>
        <w:t>formou bežných výdavkov na úhradu dane z pridanej hodno</w:t>
      </w:r>
      <w:r>
        <w:rPr>
          <w:sz w:val="24"/>
          <w:szCs w:val="24"/>
        </w:rPr>
        <w:t>ty podľa osobitného zákona a na </w:t>
      </w:r>
      <w:r w:rsidRPr="00AF2CB0">
        <w:rPr>
          <w:sz w:val="24"/>
          <w:szCs w:val="24"/>
        </w:rPr>
        <w:t>program rozvojovej spolupráce použiť na určený účel aj v nasledujúcich dvoch rozpočtových rokoch po rozpočtovom roku, na ktorý boli rozpočtované. Kapitálové výdavky p</w:t>
      </w:r>
      <w:r>
        <w:rPr>
          <w:sz w:val="24"/>
          <w:szCs w:val="24"/>
        </w:rPr>
        <w:t>oskytnuté na </w:t>
      </w:r>
      <w:r w:rsidRPr="00AF2CB0">
        <w:rPr>
          <w:sz w:val="24"/>
          <w:szCs w:val="24"/>
        </w:rPr>
        <w:t>účel ustanovený osobitným pr</w:t>
      </w:r>
      <w:r>
        <w:rPr>
          <w:sz w:val="24"/>
          <w:szCs w:val="24"/>
        </w:rPr>
        <w:t>edpisom (§ 2 písm. c) zákona č. </w:t>
      </w:r>
      <w:r w:rsidRPr="00AF2CB0">
        <w:rPr>
          <w:sz w:val="24"/>
          <w:szCs w:val="24"/>
        </w:rPr>
        <w:t>526/2010</w:t>
      </w:r>
      <w:r>
        <w:rPr>
          <w:sz w:val="24"/>
          <w:szCs w:val="24"/>
        </w:rPr>
        <w:t> Z. </w:t>
      </w:r>
      <w:r w:rsidRPr="00AF2CB0">
        <w:rPr>
          <w:sz w:val="24"/>
          <w:szCs w:val="24"/>
        </w:rPr>
        <w:t>z. o</w:t>
      </w:r>
      <w:r w:rsidR="002D4A5D">
        <w:rPr>
          <w:sz w:val="24"/>
          <w:szCs w:val="24"/>
        </w:rPr>
        <w:t> </w:t>
      </w:r>
      <w:r w:rsidRPr="00AF2CB0">
        <w:rPr>
          <w:sz w:val="24"/>
          <w:szCs w:val="24"/>
        </w:rPr>
        <w:t>poskytovaní dotácií v</w:t>
      </w:r>
      <w:r>
        <w:rPr>
          <w:sz w:val="24"/>
          <w:szCs w:val="24"/>
        </w:rPr>
        <w:t> </w:t>
      </w:r>
      <w:r w:rsidRPr="00AF2CB0">
        <w:rPr>
          <w:sz w:val="24"/>
          <w:szCs w:val="24"/>
        </w:rPr>
        <w:t>pôsobnosti Ministerstva vnútra Slovens</w:t>
      </w:r>
      <w:r w:rsidR="002D4A5D">
        <w:rPr>
          <w:sz w:val="24"/>
          <w:szCs w:val="24"/>
        </w:rPr>
        <w:t>kej republiky v </w:t>
      </w:r>
      <w:r>
        <w:rPr>
          <w:sz w:val="24"/>
          <w:szCs w:val="24"/>
        </w:rPr>
        <w:t>znení zákona č. </w:t>
      </w:r>
      <w:r w:rsidRPr="00AF2CB0">
        <w:rPr>
          <w:sz w:val="24"/>
          <w:szCs w:val="24"/>
        </w:rPr>
        <w:t>146/2017</w:t>
      </w:r>
      <w:r>
        <w:rPr>
          <w:sz w:val="24"/>
          <w:szCs w:val="24"/>
        </w:rPr>
        <w:t> </w:t>
      </w:r>
      <w:r w:rsidRPr="00AF2CB0">
        <w:rPr>
          <w:sz w:val="24"/>
          <w:szCs w:val="24"/>
        </w:rPr>
        <w:t>Z.</w:t>
      </w:r>
      <w:r>
        <w:rPr>
          <w:sz w:val="24"/>
          <w:szCs w:val="24"/>
        </w:rPr>
        <w:t> </w:t>
      </w:r>
      <w:r w:rsidRPr="00AF2CB0">
        <w:rPr>
          <w:sz w:val="24"/>
          <w:szCs w:val="24"/>
        </w:rPr>
        <w:t xml:space="preserve">z.) bolo možné použiť aj v nasledujúcich piatich rozpočtových </w:t>
      </w:r>
      <w:r>
        <w:rPr>
          <w:sz w:val="24"/>
          <w:szCs w:val="24"/>
        </w:rPr>
        <w:t>rokoch po</w:t>
      </w:r>
      <w:r w:rsidR="00091E03">
        <w:rPr>
          <w:sz w:val="24"/>
          <w:szCs w:val="24"/>
        </w:rPr>
        <w:t> </w:t>
      </w:r>
      <w:r>
        <w:rPr>
          <w:sz w:val="24"/>
          <w:szCs w:val="24"/>
        </w:rPr>
        <w:t>rozpočtovom roku, na ktorý boli rozpočtované.</w:t>
      </w:r>
    </w:p>
    <w:p w14:paraId="72338865" w14:textId="1D7942E2" w:rsidR="009A05C7" w:rsidRPr="00AF2CB0" w:rsidRDefault="009A05C7" w:rsidP="009A05C7">
      <w:pPr>
        <w:spacing w:line="240" w:lineRule="auto"/>
        <w:rPr>
          <w:sz w:val="24"/>
          <w:szCs w:val="24"/>
        </w:rPr>
      </w:pPr>
      <w:r w:rsidRPr="00AF2CB0">
        <w:rPr>
          <w:sz w:val="24"/>
          <w:szCs w:val="24"/>
        </w:rPr>
        <w:t>Národná rada Sl</w:t>
      </w:r>
      <w:r>
        <w:rPr>
          <w:sz w:val="24"/>
          <w:szCs w:val="24"/>
        </w:rPr>
        <w:t>ovenskej republiky schválila 9. mája 2024 zákon č. </w:t>
      </w:r>
      <w:r w:rsidRPr="00AF2CB0">
        <w:rPr>
          <w:sz w:val="24"/>
          <w:szCs w:val="24"/>
        </w:rPr>
        <w:t>118/2024</w:t>
      </w:r>
      <w:r>
        <w:rPr>
          <w:sz w:val="24"/>
          <w:szCs w:val="24"/>
        </w:rPr>
        <w:t> </w:t>
      </w:r>
      <w:r w:rsidRPr="00AF2CB0">
        <w:rPr>
          <w:sz w:val="24"/>
          <w:szCs w:val="24"/>
        </w:rPr>
        <w:t>Z.</w:t>
      </w:r>
      <w:r>
        <w:rPr>
          <w:sz w:val="24"/>
          <w:szCs w:val="24"/>
        </w:rPr>
        <w:t> </w:t>
      </w:r>
      <w:r w:rsidRPr="00AF2CB0">
        <w:rPr>
          <w:sz w:val="24"/>
          <w:szCs w:val="24"/>
        </w:rPr>
        <w:t>z., k</w:t>
      </w:r>
      <w:r>
        <w:rPr>
          <w:sz w:val="24"/>
          <w:szCs w:val="24"/>
        </w:rPr>
        <w:t xml:space="preserve">torým sa mení a dopĺňa </w:t>
      </w:r>
      <w:r w:rsidR="008E1B82">
        <w:rPr>
          <w:sz w:val="24"/>
          <w:szCs w:val="24"/>
        </w:rPr>
        <w:t>zákon o rozpočtových pravidlách</w:t>
      </w:r>
      <w:r w:rsidRPr="00AF2CB0">
        <w:rPr>
          <w:sz w:val="24"/>
          <w:szCs w:val="24"/>
        </w:rPr>
        <w:t>. Predmetno</w:t>
      </w:r>
      <w:r w:rsidR="002D4A5D">
        <w:rPr>
          <w:sz w:val="24"/>
          <w:szCs w:val="24"/>
        </w:rPr>
        <w:t>u novelou sa s </w:t>
      </w:r>
      <w:r>
        <w:rPr>
          <w:sz w:val="24"/>
          <w:szCs w:val="24"/>
        </w:rPr>
        <w:t>účinnosťou od</w:t>
      </w:r>
      <w:r w:rsidR="00091E03">
        <w:rPr>
          <w:sz w:val="24"/>
          <w:szCs w:val="24"/>
        </w:rPr>
        <w:t> </w:t>
      </w:r>
      <w:r>
        <w:rPr>
          <w:sz w:val="24"/>
          <w:szCs w:val="24"/>
        </w:rPr>
        <w:t>1. </w:t>
      </w:r>
      <w:r w:rsidRPr="00AF2CB0">
        <w:rPr>
          <w:sz w:val="24"/>
          <w:szCs w:val="24"/>
        </w:rPr>
        <w:t>augusta 2024 zmenila lehota použitia prostriedkov štátneho rozpočtu rozpočtovaných formou bež</w:t>
      </w:r>
      <w:r>
        <w:rPr>
          <w:sz w:val="24"/>
          <w:szCs w:val="24"/>
        </w:rPr>
        <w:t>ných a kapitálových výdavkov, a </w:t>
      </w:r>
      <w:r w:rsidRPr="00AF2CB0">
        <w:rPr>
          <w:sz w:val="24"/>
          <w:szCs w:val="24"/>
        </w:rPr>
        <w:t>to len do konca rozpočtového roka, na</w:t>
      </w:r>
      <w:r w:rsidR="002D4A5D">
        <w:rPr>
          <w:sz w:val="24"/>
          <w:szCs w:val="24"/>
        </w:rPr>
        <w:t> </w:t>
      </w:r>
      <w:r w:rsidRPr="00AF2CB0">
        <w:rPr>
          <w:sz w:val="24"/>
          <w:szCs w:val="24"/>
        </w:rPr>
        <w:t>ktorý boli rozpočtované. Z uvedenej úpravy vyplýva, že</w:t>
      </w:r>
      <w:r>
        <w:rPr>
          <w:sz w:val="24"/>
          <w:szCs w:val="24"/>
        </w:rPr>
        <w:t> </w:t>
      </w:r>
      <w:r w:rsidRPr="00AF2CB0">
        <w:rPr>
          <w:sz w:val="24"/>
          <w:szCs w:val="24"/>
        </w:rPr>
        <w:t xml:space="preserve">počnúc rokom 2024 sú predmetom viazania prostriedkov s cieľom ich použitia v nasledujúcom rozpočtovom </w:t>
      </w:r>
      <w:r>
        <w:rPr>
          <w:sz w:val="24"/>
          <w:szCs w:val="24"/>
        </w:rPr>
        <w:t xml:space="preserve">roku podľa § 8 ods. 6 zákona </w:t>
      </w:r>
      <w:r w:rsidR="008E1B82">
        <w:rPr>
          <w:sz w:val="24"/>
          <w:szCs w:val="24"/>
        </w:rPr>
        <w:t>o rozpočtových pravidlách</w:t>
      </w:r>
      <w:r w:rsidR="008E1B82" w:rsidRPr="00AF2CB0">
        <w:rPr>
          <w:sz w:val="24"/>
          <w:szCs w:val="24"/>
        </w:rPr>
        <w:t xml:space="preserve"> </w:t>
      </w:r>
      <w:r w:rsidRPr="00AF2CB0">
        <w:rPr>
          <w:sz w:val="24"/>
          <w:szCs w:val="24"/>
        </w:rPr>
        <w:t>len prostriedky Európskej únie, prostriedky štátneho rozpočtu určených na financovanie spoločných programov Slovensk</w:t>
      </w:r>
      <w:r w:rsidR="00091E03">
        <w:rPr>
          <w:sz w:val="24"/>
          <w:szCs w:val="24"/>
        </w:rPr>
        <w:t>ej republiky a Európskej únie a </w:t>
      </w:r>
      <w:r w:rsidRPr="00AF2CB0">
        <w:rPr>
          <w:sz w:val="24"/>
          <w:szCs w:val="24"/>
        </w:rPr>
        <w:t>prostriedky štátneho rozpočtu určených na financovanie účelov vyplývajúcich z</w:t>
      </w:r>
      <w:r w:rsidR="00091E03">
        <w:rPr>
          <w:sz w:val="24"/>
          <w:szCs w:val="24"/>
        </w:rPr>
        <w:t> </w:t>
      </w:r>
      <w:r w:rsidRPr="00AF2CB0">
        <w:rPr>
          <w:sz w:val="24"/>
          <w:szCs w:val="24"/>
        </w:rPr>
        <w:t>medzinárodných zmlúv o poskytnutí grantu uzatvorenýc</w:t>
      </w:r>
      <w:r w:rsidR="00091E03">
        <w:rPr>
          <w:sz w:val="24"/>
          <w:szCs w:val="24"/>
        </w:rPr>
        <w:t>h medzi Slovenskou republikou a </w:t>
      </w:r>
      <w:r w:rsidRPr="00AF2CB0">
        <w:rPr>
          <w:sz w:val="24"/>
          <w:szCs w:val="24"/>
        </w:rPr>
        <w:t>inými štátmi. Uveden</w:t>
      </w:r>
      <w:r>
        <w:rPr>
          <w:sz w:val="24"/>
          <w:szCs w:val="24"/>
        </w:rPr>
        <w:t xml:space="preserve">é sa v kontexte § 20b zákona </w:t>
      </w:r>
      <w:r w:rsidR="008E1B82">
        <w:rPr>
          <w:sz w:val="24"/>
          <w:szCs w:val="24"/>
        </w:rPr>
        <w:t>o rozpočtových pravidlách</w:t>
      </w:r>
      <w:r w:rsidR="008E1B82" w:rsidRPr="00AF2CB0">
        <w:rPr>
          <w:sz w:val="24"/>
          <w:szCs w:val="24"/>
        </w:rPr>
        <w:t xml:space="preserve"> </w:t>
      </w:r>
      <w:r w:rsidRPr="00AF2CB0">
        <w:rPr>
          <w:sz w:val="24"/>
          <w:szCs w:val="24"/>
        </w:rPr>
        <w:t>aplikuje aj na</w:t>
      </w:r>
      <w:r>
        <w:rPr>
          <w:sz w:val="24"/>
          <w:szCs w:val="24"/>
        </w:rPr>
        <w:t> </w:t>
      </w:r>
      <w:r w:rsidRPr="00AF2CB0">
        <w:rPr>
          <w:sz w:val="24"/>
          <w:szCs w:val="24"/>
        </w:rPr>
        <w:t>prostriedky mechanizmu na podporu a obnovy a odolnosti.</w:t>
      </w:r>
    </w:p>
    <w:p w14:paraId="3E049216" w14:textId="5F8CFA9C" w:rsidR="009A05C7" w:rsidRPr="00AF2CB0" w:rsidRDefault="009A05C7" w:rsidP="009A05C7">
      <w:pPr>
        <w:spacing w:line="240" w:lineRule="auto"/>
        <w:rPr>
          <w:sz w:val="24"/>
          <w:szCs w:val="24"/>
        </w:rPr>
      </w:pPr>
      <w:r w:rsidRPr="00AF2CB0">
        <w:rPr>
          <w:sz w:val="24"/>
          <w:szCs w:val="24"/>
        </w:rPr>
        <w:t>Viazané a prenesené výdavky do ďalši</w:t>
      </w:r>
      <w:r>
        <w:rPr>
          <w:sz w:val="24"/>
          <w:szCs w:val="24"/>
        </w:rPr>
        <w:t>eho rozpočtového roka pôsobia v </w:t>
      </w:r>
      <w:r w:rsidRPr="00AF2CB0">
        <w:rPr>
          <w:sz w:val="24"/>
          <w:szCs w:val="24"/>
        </w:rPr>
        <w:t>smere zníženia skutočného salda oproti schválenému rozpočtu v danom rozpočtovom roku, prenesené a zároveň použité výdavky z predchádzajúceho rozpočtového roka naopak saldo v danom rozpočtovom roku zvyšujú. Čistý vplyv na saldo verejnej správy závisí od výsledného efektu presunov. Ak sú prenesené výdavky do ďalšieho rozpočtového roka vyššie ako použité z predchádzajúceho rozpočtového roka, saldo sa oproti schválenému rozpočtu zníži, v</w:t>
      </w:r>
      <w:r w:rsidR="00091E03">
        <w:rPr>
          <w:sz w:val="24"/>
          <w:szCs w:val="24"/>
        </w:rPr>
        <w:t> </w:t>
      </w:r>
      <w:r w:rsidRPr="00AF2CB0">
        <w:rPr>
          <w:sz w:val="24"/>
          <w:szCs w:val="24"/>
        </w:rPr>
        <w:t>opačnom prípade sa zvýši.</w:t>
      </w:r>
    </w:p>
    <w:p w14:paraId="29BFAB4F" w14:textId="77777777" w:rsidR="00A65B08" w:rsidRDefault="00A65B08">
      <w:pPr>
        <w:spacing w:after="160" w:line="259" w:lineRule="auto"/>
        <w:jc w:val="left"/>
        <w:rPr>
          <w:sz w:val="24"/>
          <w:szCs w:val="24"/>
        </w:rPr>
      </w:pPr>
      <w:r>
        <w:rPr>
          <w:sz w:val="24"/>
          <w:szCs w:val="24"/>
        </w:rPr>
        <w:br w:type="page"/>
      </w:r>
    </w:p>
    <w:p w14:paraId="50653886" w14:textId="6E17FFDD" w:rsidR="009A05C7" w:rsidRPr="00AD12E2" w:rsidRDefault="009A05C7" w:rsidP="009A05C7">
      <w:pPr>
        <w:spacing w:line="240" w:lineRule="auto"/>
        <w:rPr>
          <w:sz w:val="24"/>
          <w:szCs w:val="24"/>
          <w:highlight w:val="yellow"/>
        </w:rPr>
      </w:pPr>
      <w:r>
        <w:rPr>
          <w:sz w:val="24"/>
          <w:szCs w:val="24"/>
        </w:rPr>
        <w:lastRenderedPageBreak/>
        <w:t xml:space="preserve">V súlade s § 37o zákona </w:t>
      </w:r>
      <w:r w:rsidR="008E1B82">
        <w:rPr>
          <w:sz w:val="24"/>
          <w:szCs w:val="24"/>
        </w:rPr>
        <w:t>o rozpočtových pravidlách</w:t>
      </w:r>
      <w:r w:rsidR="008E1B82" w:rsidRPr="00AF2CB0">
        <w:rPr>
          <w:sz w:val="24"/>
          <w:szCs w:val="24"/>
        </w:rPr>
        <w:t xml:space="preserve"> </w:t>
      </w:r>
      <w:r w:rsidRPr="00AF2CB0">
        <w:rPr>
          <w:sz w:val="24"/>
          <w:szCs w:val="24"/>
        </w:rPr>
        <w:t>bolo možné bežné výdavky rozpočtované v</w:t>
      </w:r>
      <w:r>
        <w:rPr>
          <w:sz w:val="24"/>
          <w:szCs w:val="24"/>
        </w:rPr>
        <w:t> </w:t>
      </w:r>
      <w:r w:rsidRPr="00AF2CB0">
        <w:rPr>
          <w:sz w:val="24"/>
          <w:szCs w:val="24"/>
        </w:rPr>
        <w:t>rozpočtovom roku 2022 na podporu poskytovanú z výdavkov štátneho rozpočtu z</w:t>
      </w:r>
      <w:r>
        <w:rPr>
          <w:sz w:val="24"/>
          <w:szCs w:val="24"/>
        </w:rPr>
        <w:t> </w:t>
      </w:r>
      <w:r w:rsidRPr="00AF2CB0">
        <w:rPr>
          <w:sz w:val="24"/>
          <w:szCs w:val="24"/>
        </w:rPr>
        <w:t>dôvodu kompenzácie zvýšenia cien plynu a elektriny, ktoré neboli z výdavkov štátneho rozpočtu poskytnuté do 31. decembra 2022 a bežné výdavky rozpočtované v rozpočtovom roku 2023 na</w:t>
      </w:r>
      <w:r>
        <w:rPr>
          <w:sz w:val="24"/>
          <w:szCs w:val="24"/>
        </w:rPr>
        <w:t> </w:t>
      </w:r>
      <w:r w:rsidRPr="00AF2CB0">
        <w:rPr>
          <w:sz w:val="24"/>
          <w:szCs w:val="24"/>
        </w:rPr>
        <w:t>podporu poskytovanú z výdavkov štátneho rozpočtu z dôvodu kompenzácie zvýšenia cien plynu a elektriny, ktoré neboli z výdavkov štátneho rozpočtu poskytnuté do 31.</w:t>
      </w:r>
      <w:r>
        <w:rPr>
          <w:sz w:val="24"/>
          <w:szCs w:val="24"/>
        </w:rPr>
        <w:t> decembra 2023, použiť až do 31. </w:t>
      </w:r>
      <w:r w:rsidRPr="00AF2CB0">
        <w:rPr>
          <w:sz w:val="24"/>
          <w:szCs w:val="24"/>
        </w:rPr>
        <w:t>decembra 2024.</w:t>
      </w:r>
    </w:p>
    <w:p w14:paraId="5636410C" w14:textId="07312A57" w:rsidR="009A05C7" w:rsidRPr="00AF2CB0" w:rsidRDefault="009A05C7" w:rsidP="009A05C7">
      <w:pPr>
        <w:spacing w:line="240" w:lineRule="auto"/>
        <w:contextualSpacing/>
        <w:rPr>
          <w:rFonts w:cs="Times New Roman"/>
          <w:sz w:val="24"/>
          <w:szCs w:val="24"/>
        </w:rPr>
      </w:pPr>
      <w:r w:rsidRPr="00AF2CB0">
        <w:rPr>
          <w:rFonts w:cs="Times New Roman"/>
          <w:sz w:val="24"/>
          <w:szCs w:val="24"/>
        </w:rPr>
        <w:t>V roku 2023 sa podľa §</w:t>
      </w:r>
      <w:r>
        <w:rPr>
          <w:rFonts w:cs="Times New Roman"/>
          <w:sz w:val="24"/>
          <w:szCs w:val="24"/>
        </w:rPr>
        <w:t> </w:t>
      </w:r>
      <w:r w:rsidRPr="00AF2CB0">
        <w:rPr>
          <w:rFonts w:cs="Times New Roman"/>
          <w:sz w:val="24"/>
          <w:szCs w:val="24"/>
        </w:rPr>
        <w:t>8 a §</w:t>
      </w:r>
      <w:r>
        <w:rPr>
          <w:rFonts w:cs="Times New Roman"/>
          <w:sz w:val="24"/>
          <w:szCs w:val="24"/>
        </w:rPr>
        <w:t> </w:t>
      </w:r>
      <w:r w:rsidRPr="00AF2CB0">
        <w:rPr>
          <w:rFonts w:cs="Times New Roman"/>
          <w:sz w:val="24"/>
          <w:szCs w:val="24"/>
        </w:rPr>
        <w:t xml:space="preserve">37o zákona </w:t>
      </w:r>
      <w:r w:rsidR="008E1B82">
        <w:rPr>
          <w:sz w:val="24"/>
          <w:szCs w:val="24"/>
        </w:rPr>
        <w:t>o rozpočtových pravidlách</w:t>
      </w:r>
      <w:r w:rsidR="008E1B82" w:rsidRPr="00AF2CB0">
        <w:rPr>
          <w:rFonts w:cs="Times New Roman"/>
          <w:sz w:val="24"/>
          <w:szCs w:val="24"/>
        </w:rPr>
        <w:t xml:space="preserve"> </w:t>
      </w:r>
      <w:r w:rsidRPr="00AF2CB0">
        <w:rPr>
          <w:rFonts w:cs="Times New Roman"/>
          <w:sz w:val="24"/>
          <w:szCs w:val="24"/>
        </w:rPr>
        <w:t>viazali prostriedky na</w:t>
      </w:r>
      <w:r>
        <w:rPr>
          <w:rFonts w:cs="Times New Roman"/>
          <w:sz w:val="24"/>
          <w:szCs w:val="24"/>
        </w:rPr>
        <w:t> </w:t>
      </w:r>
      <w:r w:rsidRPr="00AF2CB0">
        <w:rPr>
          <w:rFonts w:cs="Times New Roman"/>
          <w:sz w:val="24"/>
          <w:szCs w:val="24"/>
        </w:rPr>
        <w:t>použitie v nasledu</w:t>
      </w:r>
      <w:r>
        <w:rPr>
          <w:rFonts w:cs="Times New Roman"/>
          <w:sz w:val="24"/>
          <w:szCs w:val="24"/>
        </w:rPr>
        <w:t>júcom rozpočtovom roku v sume 1 </w:t>
      </w:r>
      <w:r w:rsidRPr="00AF2CB0">
        <w:rPr>
          <w:rFonts w:cs="Times New Roman"/>
          <w:sz w:val="24"/>
          <w:szCs w:val="24"/>
        </w:rPr>
        <w:t>290</w:t>
      </w:r>
      <w:r>
        <w:rPr>
          <w:rFonts w:cs="Times New Roman"/>
          <w:sz w:val="24"/>
          <w:szCs w:val="24"/>
        </w:rPr>
        <w:t> </w:t>
      </w:r>
      <w:r w:rsidRPr="00AF2CB0">
        <w:rPr>
          <w:rFonts w:cs="Times New Roman"/>
          <w:sz w:val="24"/>
          <w:szCs w:val="24"/>
        </w:rPr>
        <w:t>597 tis.</w:t>
      </w:r>
      <w:r>
        <w:rPr>
          <w:rFonts w:cs="Times New Roman"/>
          <w:sz w:val="24"/>
          <w:szCs w:val="24"/>
        </w:rPr>
        <w:t> </w:t>
      </w:r>
      <w:r w:rsidRPr="00AF2CB0">
        <w:rPr>
          <w:rFonts w:cs="Times New Roman"/>
          <w:sz w:val="24"/>
          <w:szCs w:val="24"/>
        </w:rPr>
        <w:t>eur (v tom kapitálové výdavky v sume 704</w:t>
      </w:r>
      <w:r>
        <w:rPr>
          <w:rFonts w:cs="Times New Roman"/>
          <w:sz w:val="24"/>
          <w:szCs w:val="24"/>
        </w:rPr>
        <w:t> </w:t>
      </w:r>
      <w:r w:rsidRPr="00AF2CB0">
        <w:rPr>
          <w:rFonts w:cs="Times New Roman"/>
          <w:sz w:val="24"/>
          <w:szCs w:val="24"/>
        </w:rPr>
        <w:t>640</w:t>
      </w:r>
      <w:r>
        <w:rPr>
          <w:rFonts w:cs="Times New Roman"/>
          <w:sz w:val="24"/>
          <w:szCs w:val="24"/>
        </w:rPr>
        <w:t> </w:t>
      </w:r>
      <w:r w:rsidRPr="00AF2CB0">
        <w:rPr>
          <w:rFonts w:cs="Times New Roman"/>
          <w:sz w:val="24"/>
          <w:szCs w:val="24"/>
        </w:rPr>
        <w:t>tis.</w:t>
      </w:r>
      <w:r>
        <w:rPr>
          <w:rFonts w:cs="Times New Roman"/>
          <w:sz w:val="24"/>
          <w:szCs w:val="24"/>
        </w:rPr>
        <w:t> </w:t>
      </w:r>
      <w:r w:rsidRPr="00AF2CB0">
        <w:rPr>
          <w:rFonts w:cs="Times New Roman"/>
          <w:sz w:val="24"/>
          <w:szCs w:val="24"/>
        </w:rPr>
        <w:t>eur a bežné výdavky v sume 585</w:t>
      </w:r>
      <w:r>
        <w:rPr>
          <w:rFonts w:cs="Times New Roman"/>
          <w:sz w:val="24"/>
          <w:szCs w:val="24"/>
        </w:rPr>
        <w:t> </w:t>
      </w:r>
      <w:r w:rsidRPr="00AF2CB0">
        <w:rPr>
          <w:rFonts w:cs="Times New Roman"/>
          <w:sz w:val="24"/>
          <w:szCs w:val="24"/>
        </w:rPr>
        <w:t>956</w:t>
      </w:r>
      <w:r>
        <w:rPr>
          <w:rFonts w:cs="Times New Roman"/>
          <w:sz w:val="24"/>
          <w:szCs w:val="24"/>
        </w:rPr>
        <w:t> </w:t>
      </w:r>
      <w:r w:rsidRPr="00AF2CB0">
        <w:rPr>
          <w:rFonts w:cs="Times New Roman"/>
          <w:sz w:val="24"/>
          <w:szCs w:val="24"/>
        </w:rPr>
        <w:t>tis.</w:t>
      </w:r>
      <w:r>
        <w:rPr>
          <w:rFonts w:cs="Times New Roman"/>
          <w:sz w:val="24"/>
          <w:szCs w:val="24"/>
        </w:rPr>
        <w:t> </w:t>
      </w:r>
      <w:r w:rsidR="002D4A5D">
        <w:rPr>
          <w:rFonts w:cs="Times New Roman"/>
          <w:sz w:val="24"/>
          <w:szCs w:val="24"/>
        </w:rPr>
        <w:t>eur, z </w:t>
      </w:r>
      <w:r w:rsidRPr="00AF2CB0">
        <w:rPr>
          <w:rFonts w:cs="Times New Roman"/>
          <w:sz w:val="24"/>
          <w:szCs w:val="24"/>
        </w:rPr>
        <w:t>toho bežné výdavky podľa §</w:t>
      </w:r>
      <w:r>
        <w:rPr>
          <w:rFonts w:cs="Times New Roman"/>
          <w:sz w:val="24"/>
          <w:szCs w:val="24"/>
        </w:rPr>
        <w:t> </w:t>
      </w:r>
      <w:r w:rsidRPr="00AF2CB0">
        <w:rPr>
          <w:rFonts w:cs="Times New Roman"/>
          <w:sz w:val="24"/>
          <w:szCs w:val="24"/>
        </w:rPr>
        <w:t>37o zákon</w:t>
      </w:r>
      <w:r>
        <w:rPr>
          <w:rFonts w:cs="Times New Roman"/>
          <w:sz w:val="24"/>
          <w:szCs w:val="24"/>
        </w:rPr>
        <w:t xml:space="preserve">a </w:t>
      </w:r>
      <w:r w:rsidR="008E1B82">
        <w:rPr>
          <w:sz w:val="24"/>
          <w:szCs w:val="24"/>
        </w:rPr>
        <w:t>o rozpočtových pravidlách</w:t>
      </w:r>
      <w:r w:rsidR="008E1B82">
        <w:rPr>
          <w:rFonts w:cs="Times New Roman"/>
          <w:sz w:val="24"/>
          <w:szCs w:val="24"/>
        </w:rPr>
        <w:t xml:space="preserve"> </w:t>
      </w:r>
      <w:r>
        <w:rPr>
          <w:rFonts w:cs="Times New Roman"/>
          <w:sz w:val="24"/>
          <w:szCs w:val="24"/>
        </w:rPr>
        <w:t>v sume 558 337 </w:t>
      </w:r>
      <w:r w:rsidRPr="00AF2CB0">
        <w:rPr>
          <w:rFonts w:cs="Times New Roman"/>
          <w:sz w:val="24"/>
          <w:szCs w:val="24"/>
        </w:rPr>
        <w:t>tis.</w:t>
      </w:r>
      <w:r>
        <w:rPr>
          <w:rFonts w:cs="Times New Roman"/>
          <w:sz w:val="24"/>
          <w:szCs w:val="24"/>
        </w:rPr>
        <w:t> </w:t>
      </w:r>
      <w:r w:rsidRPr="00AF2CB0">
        <w:rPr>
          <w:rFonts w:cs="Times New Roman"/>
          <w:sz w:val="24"/>
          <w:szCs w:val="24"/>
        </w:rPr>
        <w:t>eur),  podľa kódov zdroja nasledovne:</w:t>
      </w:r>
    </w:p>
    <w:p w14:paraId="7A6A576D" w14:textId="77777777" w:rsidR="009A05C7" w:rsidRPr="00AF2CB0" w:rsidRDefault="009A05C7" w:rsidP="009A05C7">
      <w:pPr>
        <w:numPr>
          <w:ilvl w:val="1"/>
          <w:numId w:val="16"/>
        </w:numPr>
        <w:spacing w:line="240" w:lineRule="auto"/>
        <w:ind w:left="851"/>
        <w:contextualSpacing/>
        <w:rPr>
          <w:rFonts w:cs="Times New Roman"/>
          <w:sz w:val="24"/>
          <w:szCs w:val="24"/>
        </w:rPr>
      </w:pPr>
      <w:r w:rsidRPr="00AF2CB0">
        <w:rPr>
          <w:rFonts w:cs="Times New Roman"/>
          <w:sz w:val="24"/>
          <w:szCs w:val="24"/>
        </w:rPr>
        <w:t>zdroj 131M (nevyčerpané pr</w:t>
      </w:r>
      <w:r>
        <w:rPr>
          <w:rFonts w:cs="Times New Roman"/>
          <w:sz w:val="24"/>
          <w:szCs w:val="24"/>
        </w:rPr>
        <w:t>ostriedky z r. 2022) v sume 255 </w:t>
      </w:r>
      <w:r w:rsidRPr="00AF2CB0">
        <w:rPr>
          <w:rFonts w:cs="Times New Roman"/>
          <w:sz w:val="24"/>
          <w:szCs w:val="24"/>
        </w:rPr>
        <w:t>951 tis.</w:t>
      </w:r>
      <w:r>
        <w:rPr>
          <w:rFonts w:cs="Times New Roman"/>
          <w:sz w:val="24"/>
          <w:szCs w:val="24"/>
        </w:rPr>
        <w:t> </w:t>
      </w:r>
      <w:r w:rsidRPr="00AF2CB0">
        <w:rPr>
          <w:rFonts w:cs="Times New Roman"/>
          <w:sz w:val="24"/>
          <w:szCs w:val="24"/>
        </w:rPr>
        <w:t>eur (v</w:t>
      </w:r>
      <w:r>
        <w:rPr>
          <w:rFonts w:cs="Times New Roman"/>
          <w:sz w:val="24"/>
          <w:szCs w:val="24"/>
        </w:rPr>
        <w:t> </w:t>
      </w:r>
      <w:r w:rsidRPr="00AF2CB0">
        <w:rPr>
          <w:rFonts w:cs="Times New Roman"/>
          <w:sz w:val="24"/>
          <w:szCs w:val="24"/>
        </w:rPr>
        <w:t>tom bežné výdavky v sume 186</w:t>
      </w:r>
      <w:r>
        <w:rPr>
          <w:rFonts w:cs="Times New Roman"/>
          <w:sz w:val="24"/>
          <w:szCs w:val="24"/>
        </w:rPr>
        <w:t> </w:t>
      </w:r>
      <w:r w:rsidRPr="00AF2CB0">
        <w:rPr>
          <w:rFonts w:cs="Times New Roman"/>
          <w:sz w:val="24"/>
          <w:szCs w:val="24"/>
        </w:rPr>
        <w:t>053 tis.</w:t>
      </w:r>
      <w:r>
        <w:rPr>
          <w:rFonts w:cs="Times New Roman"/>
          <w:sz w:val="24"/>
          <w:szCs w:val="24"/>
        </w:rPr>
        <w:t> </w:t>
      </w:r>
      <w:r w:rsidRPr="00AF2CB0">
        <w:rPr>
          <w:rFonts w:cs="Times New Roman"/>
          <w:sz w:val="24"/>
          <w:szCs w:val="24"/>
        </w:rPr>
        <w:t>eur),</w:t>
      </w:r>
    </w:p>
    <w:p w14:paraId="5CA8EA48" w14:textId="77777777" w:rsidR="009A05C7" w:rsidRPr="00AF2CB0" w:rsidRDefault="009A05C7" w:rsidP="009A05C7">
      <w:pPr>
        <w:numPr>
          <w:ilvl w:val="1"/>
          <w:numId w:val="16"/>
        </w:numPr>
        <w:spacing w:line="240" w:lineRule="auto"/>
        <w:ind w:left="851"/>
        <w:contextualSpacing/>
        <w:rPr>
          <w:rFonts w:cs="Times New Roman"/>
          <w:sz w:val="24"/>
          <w:szCs w:val="24"/>
        </w:rPr>
      </w:pPr>
      <w:r w:rsidRPr="00AF2CB0">
        <w:rPr>
          <w:rFonts w:cs="Times New Roman"/>
          <w:sz w:val="24"/>
          <w:szCs w:val="24"/>
        </w:rPr>
        <w:t>zdroj 3UAM (nevyčerpané prostriedky z r. 2022) v sume 22</w:t>
      </w:r>
      <w:r>
        <w:rPr>
          <w:rFonts w:cs="Times New Roman"/>
          <w:sz w:val="24"/>
          <w:szCs w:val="24"/>
        </w:rPr>
        <w:t> </w:t>
      </w:r>
      <w:r w:rsidRPr="00AF2CB0">
        <w:rPr>
          <w:rFonts w:cs="Times New Roman"/>
          <w:sz w:val="24"/>
          <w:szCs w:val="24"/>
        </w:rPr>
        <w:t>871</w:t>
      </w:r>
      <w:r>
        <w:rPr>
          <w:rFonts w:cs="Times New Roman"/>
          <w:sz w:val="24"/>
          <w:szCs w:val="24"/>
        </w:rPr>
        <w:t> </w:t>
      </w:r>
      <w:r w:rsidRPr="00AF2CB0">
        <w:rPr>
          <w:rFonts w:cs="Times New Roman"/>
          <w:sz w:val="24"/>
          <w:szCs w:val="24"/>
        </w:rPr>
        <w:t>tis.</w:t>
      </w:r>
      <w:r>
        <w:rPr>
          <w:rFonts w:cs="Times New Roman"/>
          <w:sz w:val="24"/>
          <w:szCs w:val="24"/>
        </w:rPr>
        <w:t> </w:t>
      </w:r>
      <w:r w:rsidRPr="00AF2CB0">
        <w:rPr>
          <w:rFonts w:cs="Times New Roman"/>
          <w:sz w:val="24"/>
          <w:szCs w:val="24"/>
        </w:rPr>
        <w:t>eur</w:t>
      </w:r>
    </w:p>
    <w:p w14:paraId="5730A565" w14:textId="532231C4" w:rsidR="009A05C7" w:rsidRPr="00AF2CB0" w:rsidRDefault="009A05C7" w:rsidP="009A05C7">
      <w:pPr>
        <w:numPr>
          <w:ilvl w:val="1"/>
          <w:numId w:val="16"/>
        </w:numPr>
        <w:spacing w:line="240" w:lineRule="auto"/>
        <w:ind w:left="851"/>
        <w:contextualSpacing/>
        <w:rPr>
          <w:rFonts w:cs="Times New Roman"/>
          <w:sz w:val="24"/>
          <w:szCs w:val="24"/>
        </w:rPr>
      </w:pPr>
      <w:r w:rsidRPr="00AF2CB0">
        <w:rPr>
          <w:rFonts w:cs="Times New Roman"/>
          <w:sz w:val="24"/>
          <w:szCs w:val="24"/>
        </w:rPr>
        <w:t xml:space="preserve">zdroj 111 (nevyčerpané </w:t>
      </w:r>
      <w:r>
        <w:rPr>
          <w:rFonts w:cs="Times New Roman"/>
          <w:sz w:val="24"/>
          <w:szCs w:val="24"/>
        </w:rPr>
        <w:t>prostriedky z r. 2023) v sume 1 </w:t>
      </w:r>
      <w:r w:rsidRPr="00AF2CB0">
        <w:rPr>
          <w:rFonts w:cs="Times New Roman"/>
          <w:sz w:val="24"/>
          <w:szCs w:val="24"/>
        </w:rPr>
        <w:t>000</w:t>
      </w:r>
      <w:r>
        <w:rPr>
          <w:rFonts w:cs="Times New Roman"/>
          <w:sz w:val="24"/>
          <w:szCs w:val="24"/>
        </w:rPr>
        <w:t> 447 </w:t>
      </w:r>
      <w:r w:rsidRPr="00AF2CB0">
        <w:rPr>
          <w:rFonts w:cs="Times New Roman"/>
          <w:sz w:val="24"/>
          <w:szCs w:val="24"/>
        </w:rPr>
        <w:t>tis.</w:t>
      </w:r>
      <w:r>
        <w:rPr>
          <w:rFonts w:cs="Times New Roman"/>
          <w:sz w:val="24"/>
          <w:szCs w:val="24"/>
        </w:rPr>
        <w:t> </w:t>
      </w:r>
      <w:r w:rsidRPr="00AF2CB0">
        <w:rPr>
          <w:rFonts w:cs="Times New Roman"/>
          <w:sz w:val="24"/>
          <w:szCs w:val="24"/>
        </w:rPr>
        <w:t>eur (v</w:t>
      </w:r>
      <w:r>
        <w:rPr>
          <w:rFonts w:cs="Times New Roman"/>
          <w:sz w:val="24"/>
          <w:szCs w:val="24"/>
        </w:rPr>
        <w:t> </w:t>
      </w:r>
      <w:r w:rsidRPr="00AF2CB0">
        <w:rPr>
          <w:rFonts w:cs="Times New Roman"/>
          <w:sz w:val="24"/>
          <w:szCs w:val="24"/>
        </w:rPr>
        <w:t>tom bežné výdavky spolu v sume 392</w:t>
      </w:r>
      <w:r>
        <w:rPr>
          <w:rFonts w:cs="Times New Roman"/>
          <w:sz w:val="24"/>
          <w:szCs w:val="24"/>
        </w:rPr>
        <w:t> </w:t>
      </w:r>
      <w:r w:rsidRPr="00AF2CB0">
        <w:rPr>
          <w:rFonts w:cs="Times New Roman"/>
          <w:sz w:val="24"/>
          <w:szCs w:val="24"/>
        </w:rPr>
        <w:t>647</w:t>
      </w:r>
      <w:r>
        <w:rPr>
          <w:rFonts w:cs="Times New Roman"/>
          <w:sz w:val="24"/>
          <w:szCs w:val="24"/>
        </w:rPr>
        <w:t> </w:t>
      </w:r>
      <w:r w:rsidRPr="00AF2CB0">
        <w:rPr>
          <w:rFonts w:cs="Times New Roman"/>
          <w:sz w:val="24"/>
          <w:szCs w:val="24"/>
        </w:rPr>
        <w:t>tis.</w:t>
      </w:r>
      <w:r>
        <w:rPr>
          <w:rFonts w:cs="Times New Roman"/>
          <w:sz w:val="24"/>
          <w:szCs w:val="24"/>
        </w:rPr>
        <w:t> </w:t>
      </w:r>
      <w:r w:rsidRPr="00AF2CB0">
        <w:rPr>
          <w:rFonts w:cs="Times New Roman"/>
          <w:sz w:val="24"/>
          <w:szCs w:val="24"/>
        </w:rPr>
        <w:t xml:space="preserve">eur, z toho bežné výdavky podľa §37o zákona </w:t>
      </w:r>
      <w:r w:rsidR="008E1B82">
        <w:rPr>
          <w:sz w:val="24"/>
          <w:szCs w:val="24"/>
        </w:rPr>
        <w:t>o rozpočtových pravidlách</w:t>
      </w:r>
      <w:r w:rsidR="008E1B82" w:rsidRPr="00AF2CB0">
        <w:rPr>
          <w:rFonts w:cs="Times New Roman"/>
          <w:sz w:val="24"/>
          <w:szCs w:val="24"/>
        </w:rPr>
        <w:t xml:space="preserve"> </w:t>
      </w:r>
      <w:r w:rsidRPr="00AF2CB0">
        <w:rPr>
          <w:rFonts w:cs="Times New Roman"/>
          <w:sz w:val="24"/>
          <w:szCs w:val="24"/>
        </w:rPr>
        <w:t>v sume 373</w:t>
      </w:r>
      <w:r>
        <w:rPr>
          <w:rFonts w:cs="Times New Roman"/>
          <w:sz w:val="24"/>
          <w:szCs w:val="24"/>
        </w:rPr>
        <w:t> </w:t>
      </w:r>
      <w:r w:rsidRPr="00AF2CB0">
        <w:rPr>
          <w:rFonts w:cs="Times New Roman"/>
          <w:sz w:val="24"/>
          <w:szCs w:val="24"/>
        </w:rPr>
        <w:t>556 tis eur),</w:t>
      </w:r>
    </w:p>
    <w:p w14:paraId="0045FA59" w14:textId="77777777" w:rsidR="009A05C7" w:rsidRPr="00AF2CB0" w:rsidRDefault="009A05C7" w:rsidP="009A05C7">
      <w:pPr>
        <w:numPr>
          <w:ilvl w:val="1"/>
          <w:numId w:val="16"/>
        </w:numPr>
        <w:spacing w:line="240" w:lineRule="auto"/>
        <w:ind w:left="851"/>
        <w:contextualSpacing/>
        <w:rPr>
          <w:rFonts w:cs="Times New Roman"/>
          <w:sz w:val="24"/>
          <w:szCs w:val="24"/>
        </w:rPr>
      </w:pPr>
      <w:r w:rsidRPr="00AF2CB0">
        <w:rPr>
          <w:rFonts w:cs="Times New Roman"/>
          <w:sz w:val="24"/>
          <w:szCs w:val="24"/>
        </w:rPr>
        <w:t>zdroj 11UA (nevyčerpané prostriedky z r. 2023) v sume 358</w:t>
      </w:r>
      <w:r>
        <w:rPr>
          <w:rFonts w:cs="Times New Roman"/>
          <w:sz w:val="24"/>
          <w:szCs w:val="24"/>
        </w:rPr>
        <w:t> </w:t>
      </w:r>
      <w:r w:rsidRPr="00AF2CB0">
        <w:rPr>
          <w:rFonts w:cs="Times New Roman"/>
          <w:sz w:val="24"/>
          <w:szCs w:val="24"/>
        </w:rPr>
        <w:t>tis.</w:t>
      </w:r>
      <w:r>
        <w:rPr>
          <w:rFonts w:cs="Times New Roman"/>
          <w:sz w:val="24"/>
          <w:szCs w:val="24"/>
        </w:rPr>
        <w:t> eur (v </w:t>
      </w:r>
      <w:r w:rsidRPr="00AF2CB0">
        <w:rPr>
          <w:rFonts w:cs="Times New Roman"/>
          <w:sz w:val="24"/>
          <w:szCs w:val="24"/>
        </w:rPr>
        <w:t>tom bežné výdavky v sume 40 tis. eur),</w:t>
      </w:r>
    </w:p>
    <w:p w14:paraId="17A1D5F7" w14:textId="77777777" w:rsidR="009A05C7" w:rsidRPr="00AF2CB0" w:rsidRDefault="009A05C7" w:rsidP="009A05C7">
      <w:pPr>
        <w:numPr>
          <w:ilvl w:val="1"/>
          <w:numId w:val="17"/>
        </w:numPr>
        <w:spacing w:line="240" w:lineRule="auto"/>
        <w:ind w:left="851"/>
        <w:rPr>
          <w:rFonts w:cs="Times New Roman"/>
          <w:sz w:val="24"/>
          <w:szCs w:val="24"/>
        </w:rPr>
      </w:pPr>
      <w:r w:rsidRPr="00AF2CB0">
        <w:rPr>
          <w:rFonts w:cs="Times New Roman"/>
          <w:sz w:val="24"/>
          <w:szCs w:val="24"/>
        </w:rPr>
        <w:t>zdroj 131Z v sume 10</w:t>
      </w:r>
      <w:r>
        <w:rPr>
          <w:rFonts w:cs="Times New Roman"/>
          <w:sz w:val="24"/>
          <w:szCs w:val="24"/>
        </w:rPr>
        <w:t> </w:t>
      </w:r>
      <w:r w:rsidRPr="00AF2CB0">
        <w:rPr>
          <w:rFonts w:cs="Times New Roman"/>
          <w:sz w:val="24"/>
          <w:szCs w:val="24"/>
        </w:rPr>
        <w:t>967</w:t>
      </w:r>
      <w:r>
        <w:rPr>
          <w:rFonts w:cs="Times New Roman"/>
          <w:sz w:val="24"/>
          <w:szCs w:val="24"/>
        </w:rPr>
        <w:t> </w:t>
      </w:r>
      <w:r w:rsidRPr="00AF2CB0">
        <w:rPr>
          <w:rFonts w:cs="Times New Roman"/>
          <w:sz w:val="24"/>
          <w:szCs w:val="24"/>
        </w:rPr>
        <w:t>tis.</w:t>
      </w:r>
      <w:r>
        <w:rPr>
          <w:rFonts w:cs="Times New Roman"/>
          <w:sz w:val="24"/>
          <w:szCs w:val="24"/>
        </w:rPr>
        <w:t> </w:t>
      </w:r>
      <w:r w:rsidRPr="00AF2CB0">
        <w:rPr>
          <w:rFonts w:cs="Times New Roman"/>
          <w:sz w:val="24"/>
          <w:szCs w:val="24"/>
        </w:rPr>
        <w:t>eu</w:t>
      </w:r>
      <w:r>
        <w:rPr>
          <w:rFonts w:cs="Times New Roman"/>
          <w:sz w:val="24"/>
          <w:szCs w:val="24"/>
        </w:rPr>
        <w:t>r (v tom bežné výdavky v sume 6 </w:t>
      </w:r>
      <w:r w:rsidRPr="00AF2CB0">
        <w:rPr>
          <w:rFonts w:cs="Times New Roman"/>
          <w:sz w:val="24"/>
          <w:szCs w:val="24"/>
        </w:rPr>
        <w:t>967 tis. eur).</w:t>
      </w:r>
    </w:p>
    <w:p w14:paraId="369A2FF6" w14:textId="2CBB79BD" w:rsidR="009A05C7" w:rsidRPr="00AF2CB0" w:rsidRDefault="009A05C7" w:rsidP="009A05C7">
      <w:pPr>
        <w:spacing w:line="240" w:lineRule="auto"/>
        <w:contextualSpacing/>
        <w:rPr>
          <w:rFonts w:cs="Times New Roman"/>
          <w:sz w:val="24"/>
          <w:szCs w:val="24"/>
        </w:rPr>
      </w:pPr>
      <w:r w:rsidRPr="00AF2CB0">
        <w:rPr>
          <w:rFonts w:cs="Times New Roman"/>
          <w:sz w:val="24"/>
          <w:szCs w:val="24"/>
        </w:rPr>
        <w:t>V roku 2024 sa z uvedených prostriedkov použilo 252</w:t>
      </w:r>
      <w:r>
        <w:rPr>
          <w:rFonts w:cs="Times New Roman"/>
          <w:sz w:val="24"/>
          <w:szCs w:val="24"/>
        </w:rPr>
        <w:t> </w:t>
      </w:r>
      <w:r w:rsidRPr="00AF2CB0">
        <w:rPr>
          <w:rFonts w:cs="Times New Roman"/>
          <w:sz w:val="24"/>
          <w:szCs w:val="24"/>
        </w:rPr>
        <w:t>698</w:t>
      </w:r>
      <w:r>
        <w:rPr>
          <w:rFonts w:cs="Times New Roman"/>
          <w:sz w:val="24"/>
          <w:szCs w:val="24"/>
        </w:rPr>
        <w:t> </w:t>
      </w:r>
      <w:r w:rsidRPr="00AF2CB0">
        <w:rPr>
          <w:rFonts w:cs="Times New Roman"/>
          <w:sz w:val="24"/>
          <w:szCs w:val="24"/>
        </w:rPr>
        <w:t>tis.</w:t>
      </w:r>
      <w:r>
        <w:rPr>
          <w:rFonts w:cs="Times New Roman"/>
          <w:sz w:val="24"/>
          <w:szCs w:val="24"/>
        </w:rPr>
        <w:t> </w:t>
      </w:r>
      <w:r w:rsidRPr="00AF2CB0">
        <w:rPr>
          <w:rFonts w:cs="Times New Roman"/>
          <w:sz w:val="24"/>
          <w:szCs w:val="24"/>
        </w:rPr>
        <w:t>eur (v tom kapitálové výdavky v</w:t>
      </w:r>
      <w:r>
        <w:rPr>
          <w:rFonts w:cs="Times New Roman"/>
          <w:sz w:val="24"/>
          <w:szCs w:val="24"/>
        </w:rPr>
        <w:t> </w:t>
      </w:r>
      <w:r w:rsidRPr="00AF2CB0">
        <w:rPr>
          <w:rFonts w:cs="Times New Roman"/>
          <w:sz w:val="24"/>
          <w:szCs w:val="24"/>
        </w:rPr>
        <w:t>sume 188</w:t>
      </w:r>
      <w:r>
        <w:rPr>
          <w:rFonts w:cs="Times New Roman"/>
          <w:sz w:val="24"/>
          <w:szCs w:val="24"/>
        </w:rPr>
        <w:t> 202 </w:t>
      </w:r>
      <w:r w:rsidRPr="00AF2CB0">
        <w:rPr>
          <w:rFonts w:cs="Times New Roman"/>
          <w:sz w:val="24"/>
          <w:szCs w:val="24"/>
        </w:rPr>
        <w:t>t</w:t>
      </w:r>
      <w:r>
        <w:rPr>
          <w:rFonts w:cs="Times New Roman"/>
          <w:sz w:val="24"/>
          <w:szCs w:val="24"/>
        </w:rPr>
        <w:t>is. </w:t>
      </w:r>
      <w:r w:rsidRPr="00AF2CB0">
        <w:rPr>
          <w:rFonts w:cs="Times New Roman"/>
          <w:sz w:val="24"/>
          <w:szCs w:val="24"/>
        </w:rPr>
        <w:t>eur a bežné výdavky v sume 64</w:t>
      </w:r>
      <w:r>
        <w:rPr>
          <w:rFonts w:cs="Times New Roman"/>
          <w:sz w:val="24"/>
          <w:szCs w:val="24"/>
        </w:rPr>
        <w:t> </w:t>
      </w:r>
      <w:r w:rsidRPr="00AF2CB0">
        <w:rPr>
          <w:rFonts w:cs="Times New Roman"/>
          <w:sz w:val="24"/>
          <w:szCs w:val="24"/>
        </w:rPr>
        <w:t>496</w:t>
      </w:r>
      <w:r>
        <w:rPr>
          <w:rFonts w:cs="Times New Roman"/>
          <w:sz w:val="24"/>
          <w:szCs w:val="24"/>
        </w:rPr>
        <w:t> </w:t>
      </w:r>
      <w:r w:rsidRPr="00AF2CB0">
        <w:rPr>
          <w:rFonts w:cs="Times New Roman"/>
          <w:sz w:val="24"/>
          <w:szCs w:val="24"/>
        </w:rPr>
        <w:t>tis.</w:t>
      </w:r>
      <w:r>
        <w:rPr>
          <w:rFonts w:cs="Times New Roman"/>
          <w:sz w:val="24"/>
          <w:szCs w:val="24"/>
        </w:rPr>
        <w:t> </w:t>
      </w:r>
      <w:r w:rsidRPr="00AF2CB0">
        <w:rPr>
          <w:rFonts w:cs="Times New Roman"/>
          <w:sz w:val="24"/>
          <w:szCs w:val="24"/>
        </w:rPr>
        <w:t>eur, z toho bežné výdavky podľa §</w:t>
      </w:r>
      <w:r>
        <w:rPr>
          <w:rFonts w:cs="Times New Roman"/>
          <w:sz w:val="24"/>
          <w:szCs w:val="24"/>
        </w:rPr>
        <w:t> </w:t>
      </w:r>
      <w:r w:rsidRPr="00AF2CB0">
        <w:rPr>
          <w:rFonts w:cs="Times New Roman"/>
          <w:sz w:val="24"/>
          <w:szCs w:val="24"/>
        </w:rPr>
        <w:t xml:space="preserve">37o zákona </w:t>
      </w:r>
      <w:r w:rsidR="008E1B82">
        <w:rPr>
          <w:sz w:val="24"/>
          <w:szCs w:val="24"/>
        </w:rPr>
        <w:t>o rozpočtových pravidlách</w:t>
      </w:r>
      <w:r w:rsidR="008E1B82" w:rsidRPr="00AF2CB0">
        <w:rPr>
          <w:rFonts w:cs="Times New Roman"/>
          <w:sz w:val="24"/>
          <w:szCs w:val="24"/>
        </w:rPr>
        <w:t xml:space="preserve"> </w:t>
      </w:r>
      <w:r w:rsidRPr="00AF2CB0">
        <w:rPr>
          <w:rFonts w:cs="Times New Roman"/>
          <w:sz w:val="24"/>
          <w:szCs w:val="24"/>
        </w:rPr>
        <w:t>v sume 35</w:t>
      </w:r>
      <w:r>
        <w:rPr>
          <w:rFonts w:cs="Times New Roman"/>
          <w:sz w:val="24"/>
          <w:szCs w:val="24"/>
        </w:rPr>
        <w:t> </w:t>
      </w:r>
      <w:r w:rsidRPr="00AF2CB0">
        <w:rPr>
          <w:rFonts w:cs="Times New Roman"/>
          <w:sz w:val="24"/>
          <w:szCs w:val="24"/>
        </w:rPr>
        <w:t>235 tis. eur),</w:t>
      </w:r>
      <w:r>
        <w:rPr>
          <w:rFonts w:cs="Times New Roman"/>
          <w:sz w:val="24"/>
          <w:szCs w:val="24"/>
        </w:rPr>
        <w:t xml:space="preserve"> podľa kódov zdroja nasledovne:</w:t>
      </w:r>
    </w:p>
    <w:p w14:paraId="542EC04C" w14:textId="03883F9B" w:rsidR="009A05C7" w:rsidRPr="00AF2CB0" w:rsidRDefault="009A05C7" w:rsidP="009A05C7">
      <w:pPr>
        <w:numPr>
          <w:ilvl w:val="0"/>
          <w:numId w:val="19"/>
        </w:numPr>
        <w:spacing w:line="240" w:lineRule="auto"/>
        <w:ind w:left="851"/>
        <w:contextualSpacing/>
        <w:rPr>
          <w:rFonts w:cs="Times New Roman"/>
          <w:sz w:val="24"/>
          <w:szCs w:val="24"/>
        </w:rPr>
      </w:pPr>
      <w:r w:rsidRPr="00AF2CB0">
        <w:rPr>
          <w:rFonts w:cs="Times New Roman"/>
          <w:sz w:val="24"/>
          <w:szCs w:val="24"/>
        </w:rPr>
        <w:t>zdroj 131M (nevyčerpané prostriedky z r. 2022) v sume 55</w:t>
      </w:r>
      <w:r>
        <w:rPr>
          <w:rFonts w:cs="Times New Roman"/>
          <w:sz w:val="24"/>
          <w:szCs w:val="24"/>
        </w:rPr>
        <w:t> </w:t>
      </w:r>
      <w:r w:rsidRPr="00AF2CB0">
        <w:rPr>
          <w:rFonts w:cs="Times New Roman"/>
          <w:sz w:val="24"/>
          <w:szCs w:val="24"/>
        </w:rPr>
        <w:t>269</w:t>
      </w:r>
      <w:r>
        <w:rPr>
          <w:rFonts w:cs="Times New Roman"/>
          <w:sz w:val="24"/>
          <w:szCs w:val="24"/>
        </w:rPr>
        <w:t> </w:t>
      </w:r>
      <w:r w:rsidRPr="00AF2CB0">
        <w:rPr>
          <w:rFonts w:cs="Times New Roman"/>
          <w:sz w:val="24"/>
          <w:szCs w:val="24"/>
        </w:rPr>
        <w:t>tis.</w:t>
      </w:r>
      <w:r>
        <w:rPr>
          <w:rFonts w:cs="Times New Roman"/>
          <w:sz w:val="24"/>
          <w:szCs w:val="24"/>
        </w:rPr>
        <w:t> </w:t>
      </w:r>
      <w:r w:rsidRPr="00AF2CB0">
        <w:rPr>
          <w:rFonts w:cs="Times New Roman"/>
          <w:sz w:val="24"/>
          <w:szCs w:val="24"/>
        </w:rPr>
        <w:t>eur (v</w:t>
      </w:r>
      <w:r>
        <w:rPr>
          <w:rFonts w:cs="Times New Roman"/>
          <w:sz w:val="24"/>
          <w:szCs w:val="24"/>
        </w:rPr>
        <w:t> </w:t>
      </w:r>
      <w:r w:rsidRPr="00AF2CB0">
        <w:rPr>
          <w:rFonts w:cs="Times New Roman"/>
          <w:sz w:val="24"/>
          <w:szCs w:val="24"/>
        </w:rPr>
        <w:t>tom bežné výdavky v </w:t>
      </w:r>
      <w:r>
        <w:rPr>
          <w:rFonts w:cs="Times New Roman"/>
          <w:sz w:val="24"/>
          <w:szCs w:val="24"/>
        </w:rPr>
        <w:t>sume 22 </w:t>
      </w:r>
      <w:r w:rsidRPr="00AF2CB0">
        <w:rPr>
          <w:rFonts w:cs="Times New Roman"/>
          <w:sz w:val="24"/>
          <w:szCs w:val="24"/>
        </w:rPr>
        <w:t>816 tis. eu</w:t>
      </w:r>
      <w:r>
        <w:rPr>
          <w:rFonts w:cs="Times New Roman"/>
          <w:sz w:val="24"/>
          <w:szCs w:val="24"/>
        </w:rPr>
        <w:t>r, z toho bežné výdavky podľa § </w:t>
      </w:r>
      <w:r w:rsidRPr="00AF2CB0">
        <w:rPr>
          <w:rFonts w:cs="Times New Roman"/>
          <w:sz w:val="24"/>
          <w:szCs w:val="24"/>
        </w:rPr>
        <w:t>37o zák</w:t>
      </w:r>
      <w:r>
        <w:rPr>
          <w:rFonts w:cs="Times New Roman"/>
          <w:sz w:val="24"/>
          <w:szCs w:val="24"/>
        </w:rPr>
        <w:t xml:space="preserve">ona </w:t>
      </w:r>
      <w:r w:rsidR="008E1B82">
        <w:rPr>
          <w:sz w:val="24"/>
          <w:szCs w:val="24"/>
        </w:rPr>
        <w:t>o rozpočtových pravidlách</w:t>
      </w:r>
      <w:r w:rsidR="008E1B82">
        <w:rPr>
          <w:rFonts w:cs="Times New Roman"/>
          <w:sz w:val="24"/>
          <w:szCs w:val="24"/>
        </w:rPr>
        <w:t xml:space="preserve"> </w:t>
      </w:r>
      <w:r>
        <w:rPr>
          <w:rFonts w:cs="Times New Roman"/>
          <w:sz w:val="24"/>
          <w:szCs w:val="24"/>
        </w:rPr>
        <w:t>v sume 21 </w:t>
      </w:r>
      <w:r w:rsidRPr="00AF2CB0">
        <w:rPr>
          <w:rFonts w:cs="Times New Roman"/>
          <w:sz w:val="24"/>
          <w:szCs w:val="24"/>
        </w:rPr>
        <w:t>000 tis. eur),</w:t>
      </w:r>
    </w:p>
    <w:p w14:paraId="2093FE0D" w14:textId="4C433545" w:rsidR="009A05C7" w:rsidRPr="00AF2CB0" w:rsidRDefault="009A05C7" w:rsidP="009A05C7">
      <w:pPr>
        <w:numPr>
          <w:ilvl w:val="0"/>
          <w:numId w:val="19"/>
        </w:numPr>
        <w:spacing w:line="240" w:lineRule="auto"/>
        <w:ind w:left="851"/>
        <w:contextualSpacing/>
        <w:rPr>
          <w:rFonts w:cs="Times New Roman"/>
          <w:sz w:val="24"/>
          <w:szCs w:val="24"/>
        </w:rPr>
      </w:pPr>
      <w:r w:rsidRPr="00AF2CB0">
        <w:rPr>
          <w:rFonts w:cs="Times New Roman"/>
          <w:sz w:val="24"/>
          <w:szCs w:val="24"/>
        </w:rPr>
        <w:t>zdroj 131N (nevyčerpané prostriedky z r. 2023) v sume 183</w:t>
      </w:r>
      <w:r>
        <w:rPr>
          <w:rFonts w:cs="Times New Roman"/>
          <w:sz w:val="24"/>
          <w:szCs w:val="24"/>
        </w:rPr>
        <w:t> 640 </w:t>
      </w:r>
      <w:r w:rsidRPr="00AF2CB0">
        <w:rPr>
          <w:rFonts w:cs="Times New Roman"/>
          <w:sz w:val="24"/>
          <w:szCs w:val="24"/>
        </w:rPr>
        <w:t>tis.</w:t>
      </w:r>
      <w:r>
        <w:rPr>
          <w:rFonts w:cs="Times New Roman"/>
          <w:sz w:val="24"/>
          <w:szCs w:val="24"/>
        </w:rPr>
        <w:t> </w:t>
      </w:r>
      <w:r w:rsidRPr="00AF2CB0">
        <w:rPr>
          <w:rFonts w:cs="Times New Roman"/>
          <w:sz w:val="24"/>
          <w:szCs w:val="24"/>
        </w:rPr>
        <w:t>eur (v</w:t>
      </w:r>
      <w:r>
        <w:rPr>
          <w:rFonts w:cs="Times New Roman"/>
          <w:sz w:val="24"/>
          <w:szCs w:val="24"/>
        </w:rPr>
        <w:t> tom bežné výdavky v sume 28 394 tis. </w:t>
      </w:r>
      <w:r w:rsidRPr="00AF2CB0">
        <w:rPr>
          <w:rFonts w:cs="Times New Roman"/>
          <w:sz w:val="24"/>
          <w:szCs w:val="24"/>
        </w:rPr>
        <w:t>eu</w:t>
      </w:r>
      <w:r>
        <w:rPr>
          <w:rFonts w:cs="Times New Roman"/>
          <w:sz w:val="24"/>
          <w:szCs w:val="24"/>
        </w:rPr>
        <w:t>r, z toho bežné výdavky podľa § </w:t>
      </w:r>
      <w:r w:rsidRPr="00AF2CB0">
        <w:rPr>
          <w:rFonts w:cs="Times New Roman"/>
          <w:sz w:val="24"/>
          <w:szCs w:val="24"/>
        </w:rPr>
        <w:t xml:space="preserve">37o zákona </w:t>
      </w:r>
      <w:r w:rsidR="008E1B82">
        <w:rPr>
          <w:sz w:val="24"/>
          <w:szCs w:val="24"/>
        </w:rPr>
        <w:t>o rozpočtových pravidlách</w:t>
      </w:r>
      <w:r w:rsidR="008E1B82" w:rsidRPr="00AF2CB0">
        <w:rPr>
          <w:rFonts w:cs="Times New Roman"/>
          <w:sz w:val="24"/>
          <w:szCs w:val="24"/>
        </w:rPr>
        <w:t xml:space="preserve"> </w:t>
      </w:r>
      <w:r w:rsidRPr="00AF2CB0">
        <w:rPr>
          <w:rFonts w:cs="Times New Roman"/>
          <w:sz w:val="24"/>
          <w:szCs w:val="24"/>
        </w:rPr>
        <w:t>v sume 14</w:t>
      </w:r>
      <w:r>
        <w:rPr>
          <w:rFonts w:cs="Times New Roman"/>
          <w:sz w:val="24"/>
          <w:szCs w:val="24"/>
        </w:rPr>
        <w:t> </w:t>
      </w:r>
      <w:r w:rsidRPr="00AF2CB0">
        <w:rPr>
          <w:rFonts w:cs="Times New Roman"/>
          <w:sz w:val="24"/>
          <w:szCs w:val="24"/>
        </w:rPr>
        <w:t>235 tis. eur),</w:t>
      </w:r>
    </w:p>
    <w:p w14:paraId="6885F56A" w14:textId="77777777" w:rsidR="009A05C7" w:rsidRPr="00AF2CB0" w:rsidRDefault="009A05C7" w:rsidP="009A05C7">
      <w:pPr>
        <w:numPr>
          <w:ilvl w:val="0"/>
          <w:numId w:val="19"/>
        </w:numPr>
        <w:spacing w:line="240" w:lineRule="auto"/>
        <w:ind w:left="851"/>
        <w:contextualSpacing/>
        <w:rPr>
          <w:rFonts w:cs="Times New Roman"/>
          <w:sz w:val="24"/>
          <w:szCs w:val="24"/>
        </w:rPr>
      </w:pPr>
      <w:r w:rsidRPr="00AF2CB0">
        <w:rPr>
          <w:rFonts w:cs="Times New Roman"/>
          <w:sz w:val="24"/>
          <w:szCs w:val="24"/>
        </w:rPr>
        <w:t>zdroj 3UAM (nevyčerpané prostriedky z r. 2022) v sume 13</w:t>
      </w:r>
      <w:r>
        <w:rPr>
          <w:rFonts w:cs="Times New Roman"/>
          <w:sz w:val="24"/>
          <w:szCs w:val="24"/>
        </w:rPr>
        <w:t> </w:t>
      </w:r>
      <w:r w:rsidRPr="00AF2CB0">
        <w:rPr>
          <w:rFonts w:cs="Times New Roman"/>
          <w:sz w:val="24"/>
          <w:szCs w:val="24"/>
        </w:rPr>
        <w:t>431</w:t>
      </w:r>
      <w:r>
        <w:rPr>
          <w:rFonts w:cs="Times New Roman"/>
          <w:sz w:val="24"/>
          <w:szCs w:val="24"/>
        </w:rPr>
        <w:t> </w:t>
      </w:r>
      <w:r w:rsidRPr="00AF2CB0">
        <w:rPr>
          <w:rFonts w:cs="Times New Roman"/>
          <w:sz w:val="24"/>
          <w:szCs w:val="24"/>
        </w:rPr>
        <w:t>tis.</w:t>
      </w:r>
      <w:r>
        <w:rPr>
          <w:rFonts w:cs="Times New Roman"/>
          <w:sz w:val="24"/>
          <w:szCs w:val="24"/>
        </w:rPr>
        <w:t> eur (v tom bežné výdavky v sume 13 </w:t>
      </w:r>
      <w:r w:rsidRPr="00AF2CB0">
        <w:rPr>
          <w:rFonts w:cs="Times New Roman"/>
          <w:sz w:val="24"/>
          <w:szCs w:val="24"/>
        </w:rPr>
        <w:t>247 tis. eur),</w:t>
      </w:r>
    </w:p>
    <w:p w14:paraId="7624C24A" w14:textId="77777777" w:rsidR="009A05C7" w:rsidRPr="00AF2CB0" w:rsidRDefault="009A05C7" w:rsidP="009A05C7">
      <w:pPr>
        <w:spacing w:line="240" w:lineRule="auto"/>
        <w:rPr>
          <w:rFonts w:cs="Times New Roman"/>
        </w:rPr>
      </w:pPr>
      <w:r w:rsidRPr="00AF2CB0">
        <w:rPr>
          <w:rFonts w:cs="Times New Roman"/>
          <w:sz w:val="24"/>
          <w:szCs w:val="24"/>
        </w:rPr>
        <w:t>zdroj 3UAN (nevyčerpané pr</w:t>
      </w:r>
      <w:r>
        <w:rPr>
          <w:rFonts w:cs="Times New Roman"/>
          <w:sz w:val="24"/>
          <w:szCs w:val="24"/>
        </w:rPr>
        <w:t>ostriedky z r. 2023) v sume 358 tis. eur (v </w:t>
      </w:r>
      <w:r w:rsidRPr="00AF2CB0">
        <w:rPr>
          <w:rFonts w:cs="Times New Roman"/>
          <w:sz w:val="24"/>
          <w:szCs w:val="24"/>
        </w:rPr>
        <w:t>tom bežné výdavky v sume 40 tis. eur).</w:t>
      </w:r>
    </w:p>
    <w:p w14:paraId="7B3E8877" w14:textId="77777777" w:rsidR="009A05C7" w:rsidRPr="00AF2CB0" w:rsidRDefault="009A05C7" w:rsidP="009A05C7">
      <w:pPr>
        <w:spacing w:before="120" w:line="240" w:lineRule="auto"/>
        <w:rPr>
          <w:rFonts w:cs="Times New Roman"/>
          <w:b/>
          <w:sz w:val="24"/>
          <w:szCs w:val="24"/>
        </w:rPr>
      </w:pPr>
      <w:r w:rsidRPr="00AF2CB0">
        <w:rPr>
          <w:rFonts w:cs="Times New Roman"/>
          <w:b/>
          <w:sz w:val="24"/>
          <w:szCs w:val="24"/>
        </w:rPr>
        <w:t>Prostriedky z rozpočtu Európskej únie a prostriedky na spolufinancovanie</w:t>
      </w:r>
    </w:p>
    <w:p w14:paraId="2906398A" w14:textId="71B2DF03" w:rsidR="009A05C7" w:rsidRPr="00AF2CB0" w:rsidRDefault="009A05C7" w:rsidP="009A05C7">
      <w:pPr>
        <w:spacing w:line="240" w:lineRule="auto"/>
        <w:contextualSpacing/>
        <w:rPr>
          <w:rFonts w:cs="Times New Roman"/>
          <w:sz w:val="24"/>
          <w:szCs w:val="24"/>
        </w:rPr>
      </w:pPr>
      <w:r>
        <w:rPr>
          <w:rFonts w:cs="Times New Roman"/>
          <w:sz w:val="24"/>
          <w:szCs w:val="24"/>
        </w:rPr>
        <w:t>V roku 2023 sa podľa § </w:t>
      </w:r>
      <w:r w:rsidRPr="00AF2CB0">
        <w:rPr>
          <w:rFonts w:cs="Times New Roman"/>
          <w:sz w:val="24"/>
          <w:szCs w:val="24"/>
        </w:rPr>
        <w:t xml:space="preserve">8 zákona </w:t>
      </w:r>
      <w:r w:rsidR="008E1B82">
        <w:rPr>
          <w:sz w:val="24"/>
          <w:szCs w:val="24"/>
        </w:rPr>
        <w:t>o rozpočtových pravidlách</w:t>
      </w:r>
      <w:r w:rsidR="008E1B82" w:rsidRPr="00AF2CB0">
        <w:rPr>
          <w:rFonts w:cs="Times New Roman"/>
          <w:sz w:val="24"/>
          <w:szCs w:val="24"/>
        </w:rPr>
        <w:t xml:space="preserve"> </w:t>
      </w:r>
      <w:r w:rsidRPr="00AF2CB0">
        <w:rPr>
          <w:rFonts w:cs="Times New Roman"/>
          <w:sz w:val="24"/>
          <w:szCs w:val="24"/>
        </w:rPr>
        <w:t>viazali prostriedky z</w:t>
      </w:r>
      <w:r w:rsidR="002D4A5D">
        <w:rPr>
          <w:rFonts w:cs="Times New Roman"/>
          <w:sz w:val="24"/>
          <w:szCs w:val="24"/>
        </w:rPr>
        <w:t> </w:t>
      </w:r>
      <w:r w:rsidRPr="00AF2CB0">
        <w:rPr>
          <w:rFonts w:cs="Times New Roman"/>
          <w:sz w:val="24"/>
          <w:szCs w:val="24"/>
        </w:rPr>
        <w:t>rozpočtu Európskej únie a prostriedk</w:t>
      </w:r>
      <w:r>
        <w:rPr>
          <w:rFonts w:cs="Times New Roman"/>
          <w:sz w:val="24"/>
          <w:szCs w:val="24"/>
        </w:rPr>
        <w:t>y na spolufinancovanie v sume 5 727 </w:t>
      </w:r>
      <w:r w:rsidRPr="00AF2CB0">
        <w:rPr>
          <w:rFonts w:cs="Times New Roman"/>
          <w:sz w:val="24"/>
          <w:szCs w:val="24"/>
        </w:rPr>
        <w:t>695</w:t>
      </w:r>
      <w:r>
        <w:rPr>
          <w:rFonts w:cs="Times New Roman"/>
          <w:sz w:val="24"/>
          <w:szCs w:val="24"/>
        </w:rPr>
        <w:t> </w:t>
      </w:r>
      <w:r w:rsidRPr="00AF2CB0">
        <w:rPr>
          <w:rFonts w:cs="Times New Roman"/>
          <w:sz w:val="24"/>
          <w:szCs w:val="24"/>
        </w:rPr>
        <w:t>tis.</w:t>
      </w:r>
      <w:r>
        <w:rPr>
          <w:rFonts w:cs="Times New Roman"/>
          <w:sz w:val="24"/>
          <w:szCs w:val="24"/>
        </w:rPr>
        <w:t> </w:t>
      </w:r>
      <w:r w:rsidRPr="00AF2CB0">
        <w:rPr>
          <w:rFonts w:cs="Times New Roman"/>
          <w:sz w:val="24"/>
          <w:szCs w:val="24"/>
        </w:rPr>
        <w:t>eur, z toho:</w:t>
      </w:r>
    </w:p>
    <w:p w14:paraId="6EDA23CB" w14:textId="77777777" w:rsidR="009A05C7" w:rsidRPr="00AF2CB0" w:rsidRDefault="009A05C7" w:rsidP="009A05C7">
      <w:pPr>
        <w:numPr>
          <w:ilvl w:val="0"/>
          <w:numId w:val="21"/>
        </w:numPr>
        <w:spacing w:line="240" w:lineRule="auto"/>
        <w:ind w:left="851"/>
        <w:contextualSpacing/>
        <w:rPr>
          <w:rFonts w:cs="Times New Roman"/>
          <w:sz w:val="24"/>
          <w:szCs w:val="24"/>
        </w:rPr>
      </w:pPr>
      <w:r w:rsidRPr="00AF2CB0">
        <w:rPr>
          <w:rFonts w:cs="Times New Roman"/>
          <w:sz w:val="24"/>
          <w:szCs w:val="24"/>
        </w:rPr>
        <w:t>prostriedky z r</w:t>
      </w:r>
      <w:r>
        <w:rPr>
          <w:rFonts w:cs="Times New Roman"/>
          <w:sz w:val="24"/>
          <w:szCs w:val="24"/>
        </w:rPr>
        <w:t>ozpočtu Európskej únie v sume 4 586 </w:t>
      </w:r>
      <w:r w:rsidRPr="00AF2CB0">
        <w:rPr>
          <w:rFonts w:cs="Times New Roman"/>
          <w:sz w:val="24"/>
          <w:szCs w:val="24"/>
        </w:rPr>
        <w:t>039</w:t>
      </w:r>
      <w:r>
        <w:rPr>
          <w:rFonts w:cs="Times New Roman"/>
          <w:sz w:val="24"/>
          <w:szCs w:val="24"/>
        </w:rPr>
        <w:t> </w:t>
      </w:r>
      <w:r w:rsidRPr="00AF2CB0">
        <w:rPr>
          <w:rFonts w:cs="Times New Roman"/>
          <w:sz w:val="24"/>
          <w:szCs w:val="24"/>
        </w:rPr>
        <w:t>tis.</w:t>
      </w:r>
      <w:r>
        <w:rPr>
          <w:rFonts w:cs="Times New Roman"/>
          <w:sz w:val="24"/>
          <w:szCs w:val="24"/>
        </w:rPr>
        <w:t> </w:t>
      </w:r>
      <w:r w:rsidRPr="00AF2CB0">
        <w:rPr>
          <w:rFonts w:cs="Times New Roman"/>
          <w:sz w:val="24"/>
          <w:szCs w:val="24"/>
        </w:rPr>
        <w:t>eur,</w:t>
      </w:r>
    </w:p>
    <w:p w14:paraId="419C1995" w14:textId="77777777" w:rsidR="009A05C7" w:rsidRPr="00AF2CB0" w:rsidRDefault="009A05C7" w:rsidP="009A05C7">
      <w:pPr>
        <w:numPr>
          <w:ilvl w:val="0"/>
          <w:numId w:val="21"/>
        </w:numPr>
        <w:spacing w:line="240" w:lineRule="auto"/>
        <w:ind w:left="851"/>
        <w:contextualSpacing/>
        <w:rPr>
          <w:rFonts w:cs="Times New Roman"/>
          <w:sz w:val="24"/>
          <w:szCs w:val="24"/>
        </w:rPr>
      </w:pPr>
      <w:r w:rsidRPr="00AF2CB0">
        <w:rPr>
          <w:rFonts w:cs="Times New Roman"/>
          <w:sz w:val="24"/>
          <w:szCs w:val="24"/>
        </w:rPr>
        <w:t>prostriedk</w:t>
      </w:r>
      <w:r>
        <w:rPr>
          <w:rFonts w:cs="Times New Roman"/>
          <w:sz w:val="24"/>
          <w:szCs w:val="24"/>
        </w:rPr>
        <w:t>y na spolufinancovanie v sume 1 141 656 </w:t>
      </w:r>
      <w:r w:rsidRPr="00AF2CB0">
        <w:rPr>
          <w:rFonts w:cs="Times New Roman"/>
          <w:sz w:val="24"/>
          <w:szCs w:val="24"/>
        </w:rPr>
        <w:t>tis.</w:t>
      </w:r>
      <w:r>
        <w:rPr>
          <w:rFonts w:cs="Times New Roman"/>
          <w:sz w:val="24"/>
          <w:szCs w:val="24"/>
        </w:rPr>
        <w:t> </w:t>
      </w:r>
      <w:r w:rsidRPr="00AF2CB0">
        <w:rPr>
          <w:rFonts w:cs="Times New Roman"/>
          <w:sz w:val="24"/>
          <w:szCs w:val="24"/>
        </w:rPr>
        <w:t>eur,</w:t>
      </w:r>
    </w:p>
    <w:p w14:paraId="1C8E4644" w14:textId="77777777" w:rsidR="009A05C7" w:rsidRPr="00AF2CB0" w:rsidRDefault="009A05C7" w:rsidP="009A05C7">
      <w:pPr>
        <w:spacing w:line="240" w:lineRule="auto"/>
        <w:contextualSpacing/>
        <w:rPr>
          <w:rFonts w:cs="Times New Roman"/>
          <w:sz w:val="24"/>
          <w:szCs w:val="24"/>
        </w:rPr>
      </w:pPr>
      <w:r w:rsidRPr="00AF2CB0">
        <w:rPr>
          <w:rFonts w:cs="Times New Roman"/>
          <w:sz w:val="24"/>
          <w:szCs w:val="24"/>
        </w:rPr>
        <w:t>z k</w:t>
      </w:r>
      <w:r>
        <w:rPr>
          <w:rFonts w:cs="Times New Roman"/>
          <w:sz w:val="24"/>
          <w:szCs w:val="24"/>
        </w:rPr>
        <w:t>torých sa v roku 2024 použilo 2 897 002 tis. eur, z toho:</w:t>
      </w:r>
    </w:p>
    <w:p w14:paraId="192A7014" w14:textId="77777777" w:rsidR="009A05C7" w:rsidRPr="00AF2CB0" w:rsidRDefault="009A05C7" w:rsidP="009A05C7">
      <w:pPr>
        <w:numPr>
          <w:ilvl w:val="0"/>
          <w:numId w:val="21"/>
        </w:numPr>
        <w:spacing w:line="240" w:lineRule="auto"/>
        <w:ind w:left="851"/>
        <w:contextualSpacing/>
        <w:rPr>
          <w:rFonts w:cs="Times New Roman"/>
          <w:sz w:val="24"/>
          <w:szCs w:val="24"/>
        </w:rPr>
      </w:pPr>
      <w:r w:rsidRPr="00AF2CB0">
        <w:rPr>
          <w:rFonts w:cs="Times New Roman"/>
          <w:sz w:val="24"/>
          <w:szCs w:val="24"/>
        </w:rPr>
        <w:t>prostriedky z rozpočtu Európskej únie v sume 2</w:t>
      </w:r>
      <w:r>
        <w:rPr>
          <w:rFonts w:cs="Times New Roman"/>
          <w:sz w:val="24"/>
          <w:szCs w:val="24"/>
        </w:rPr>
        <w:t> 434 313 </w:t>
      </w:r>
      <w:r w:rsidRPr="00AF2CB0">
        <w:rPr>
          <w:rFonts w:cs="Times New Roman"/>
          <w:sz w:val="24"/>
          <w:szCs w:val="24"/>
        </w:rPr>
        <w:t>tis.</w:t>
      </w:r>
      <w:r>
        <w:rPr>
          <w:rFonts w:cs="Times New Roman"/>
          <w:sz w:val="24"/>
          <w:szCs w:val="24"/>
        </w:rPr>
        <w:t> </w:t>
      </w:r>
      <w:r w:rsidRPr="00AF2CB0">
        <w:rPr>
          <w:rFonts w:cs="Times New Roman"/>
          <w:sz w:val="24"/>
          <w:szCs w:val="24"/>
        </w:rPr>
        <w:t>eur,</w:t>
      </w:r>
    </w:p>
    <w:p w14:paraId="0C1A6CC9" w14:textId="77777777" w:rsidR="009A05C7" w:rsidRPr="00AF2CB0" w:rsidRDefault="009A05C7" w:rsidP="009A05C7">
      <w:pPr>
        <w:numPr>
          <w:ilvl w:val="0"/>
          <w:numId w:val="21"/>
        </w:numPr>
        <w:spacing w:line="240" w:lineRule="auto"/>
        <w:ind w:left="851"/>
        <w:rPr>
          <w:rFonts w:cs="Times New Roman"/>
          <w:sz w:val="24"/>
          <w:szCs w:val="24"/>
        </w:rPr>
      </w:pPr>
      <w:r w:rsidRPr="00AF2CB0">
        <w:rPr>
          <w:rFonts w:cs="Times New Roman"/>
          <w:sz w:val="24"/>
          <w:szCs w:val="24"/>
        </w:rPr>
        <w:t xml:space="preserve">prostriedky </w:t>
      </w:r>
      <w:r>
        <w:rPr>
          <w:rFonts w:cs="Times New Roman"/>
          <w:sz w:val="24"/>
          <w:szCs w:val="24"/>
        </w:rPr>
        <w:t>na spolufinancovanie v sume 462 689 </w:t>
      </w:r>
      <w:r w:rsidRPr="00AF2CB0">
        <w:rPr>
          <w:rFonts w:cs="Times New Roman"/>
          <w:sz w:val="24"/>
          <w:szCs w:val="24"/>
        </w:rPr>
        <w:t>tis.</w:t>
      </w:r>
      <w:r>
        <w:rPr>
          <w:rFonts w:cs="Times New Roman"/>
          <w:sz w:val="24"/>
          <w:szCs w:val="24"/>
        </w:rPr>
        <w:t> </w:t>
      </w:r>
      <w:r w:rsidRPr="00AF2CB0">
        <w:rPr>
          <w:rFonts w:cs="Times New Roman"/>
          <w:sz w:val="24"/>
          <w:szCs w:val="24"/>
        </w:rPr>
        <w:t>eur.</w:t>
      </w:r>
    </w:p>
    <w:p w14:paraId="6CCC135D" w14:textId="30AB5973" w:rsidR="009A05C7" w:rsidRPr="00AF2CB0" w:rsidRDefault="009A05C7" w:rsidP="009A05C7">
      <w:pPr>
        <w:spacing w:line="240" w:lineRule="auto"/>
        <w:contextualSpacing/>
        <w:rPr>
          <w:rFonts w:cs="Times New Roman"/>
          <w:sz w:val="24"/>
          <w:szCs w:val="24"/>
        </w:rPr>
      </w:pPr>
      <w:r w:rsidRPr="00AF2CB0">
        <w:rPr>
          <w:rFonts w:cs="Times New Roman"/>
          <w:sz w:val="24"/>
          <w:szCs w:val="24"/>
        </w:rPr>
        <w:t>V roku 2024 sa podľa §</w:t>
      </w:r>
      <w:r>
        <w:rPr>
          <w:rFonts w:cs="Times New Roman"/>
          <w:sz w:val="24"/>
          <w:szCs w:val="24"/>
        </w:rPr>
        <w:t> </w:t>
      </w:r>
      <w:r w:rsidRPr="00AF2CB0">
        <w:rPr>
          <w:rFonts w:cs="Times New Roman"/>
          <w:sz w:val="24"/>
          <w:szCs w:val="24"/>
        </w:rPr>
        <w:t xml:space="preserve">8 zákona </w:t>
      </w:r>
      <w:r w:rsidR="008E1B82">
        <w:rPr>
          <w:sz w:val="24"/>
          <w:szCs w:val="24"/>
        </w:rPr>
        <w:t>o rozpočtových pravidlách</w:t>
      </w:r>
      <w:r w:rsidR="008E1B82" w:rsidRPr="00AF2CB0">
        <w:rPr>
          <w:rFonts w:cs="Times New Roman"/>
          <w:sz w:val="24"/>
          <w:szCs w:val="24"/>
        </w:rPr>
        <w:t xml:space="preserve"> </w:t>
      </w:r>
      <w:r w:rsidR="002D4A5D">
        <w:rPr>
          <w:rFonts w:cs="Times New Roman"/>
          <w:sz w:val="24"/>
          <w:szCs w:val="24"/>
        </w:rPr>
        <w:t>viazali výdavky v </w:t>
      </w:r>
      <w:r w:rsidRPr="00AF2CB0">
        <w:rPr>
          <w:rFonts w:cs="Times New Roman"/>
          <w:sz w:val="24"/>
          <w:szCs w:val="24"/>
        </w:rPr>
        <w:t>sume 3</w:t>
      </w:r>
      <w:r>
        <w:rPr>
          <w:rFonts w:cs="Times New Roman"/>
          <w:sz w:val="24"/>
          <w:szCs w:val="24"/>
        </w:rPr>
        <w:t> </w:t>
      </w:r>
      <w:r w:rsidRPr="00AF2CB0">
        <w:rPr>
          <w:rFonts w:cs="Times New Roman"/>
          <w:sz w:val="24"/>
          <w:szCs w:val="24"/>
        </w:rPr>
        <w:t>217</w:t>
      </w:r>
      <w:r>
        <w:rPr>
          <w:rFonts w:cs="Times New Roman"/>
          <w:sz w:val="24"/>
          <w:szCs w:val="24"/>
        </w:rPr>
        <w:t> </w:t>
      </w:r>
      <w:r w:rsidRPr="00AF2CB0">
        <w:rPr>
          <w:rFonts w:cs="Times New Roman"/>
          <w:sz w:val="24"/>
          <w:szCs w:val="24"/>
        </w:rPr>
        <w:t>950</w:t>
      </w:r>
      <w:r>
        <w:rPr>
          <w:rFonts w:cs="Times New Roman"/>
          <w:sz w:val="24"/>
          <w:szCs w:val="24"/>
        </w:rPr>
        <w:t> </w:t>
      </w:r>
      <w:r w:rsidRPr="00AF2CB0">
        <w:rPr>
          <w:rFonts w:cs="Times New Roman"/>
          <w:sz w:val="24"/>
          <w:szCs w:val="24"/>
        </w:rPr>
        <w:t>tis. eur, z toho:</w:t>
      </w:r>
    </w:p>
    <w:p w14:paraId="6C0FC766" w14:textId="77777777" w:rsidR="009A05C7" w:rsidRPr="00AF2CB0" w:rsidRDefault="009A05C7" w:rsidP="009A05C7">
      <w:pPr>
        <w:numPr>
          <w:ilvl w:val="0"/>
          <w:numId w:val="21"/>
        </w:numPr>
        <w:spacing w:line="240" w:lineRule="auto"/>
        <w:ind w:left="851"/>
        <w:contextualSpacing/>
        <w:rPr>
          <w:rFonts w:cs="Times New Roman"/>
          <w:sz w:val="24"/>
          <w:szCs w:val="24"/>
        </w:rPr>
      </w:pPr>
      <w:r w:rsidRPr="00AF2CB0">
        <w:rPr>
          <w:rFonts w:cs="Times New Roman"/>
          <w:sz w:val="24"/>
          <w:szCs w:val="24"/>
        </w:rPr>
        <w:t>prostriedky z rozpo</w:t>
      </w:r>
      <w:r>
        <w:rPr>
          <w:rFonts w:cs="Times New Roman"/>
          <w:sz w:val="24"/>
          <w:szCs w:val="24"/>
        </w:rPr>
        <w:t>čtu Európskej únie v sume 2 428 691 </w:t>
      </w:r>
      <w:r w:rsidRPr="00AF2CB0">
        <w:rPr>
          <w:rFonts w:cs="Times New Roman"/>
          <w:sz w:val="24"/>
          <w:szCs w:val="24"/>
        </w:rPr>
        <w:t>tis.</w:t>
      </w:r>
      <w:r>
        <w:rPr>
          <w:rFonts w:cs="Times New Roman"/>
          <w:sz w:val="24"/>
          <w:szCs w:val="24"/>
        </w:rPr>
        <w:t> </w:t>
      </w:r>
      <w:r w:rsidRPr="00AF2CB0">
        <w:rPr>
          <w:rFonts w:cs="Times New Roman"/>
          <w:sz w:val="24"/>
          <w:szCs w:val="24"/>
        </w:rPr>
        <w:t>eur (v</w:t>
      </w:r>
      <w:r>
        <w:rPr>
          <w:rFonts w:cs="Times New Roman"/>
          <w:sz w:val="24"/>
          <w:szCs w:val="24"/>
        </w:rPr>
        <w:t> </w:t>
      </w:r>
      <w:r w:rsidRPr="00AF2CB0">
        <w:rPr>
          <w:rFonts w:cs="Times New Roman"/>
          <w:sz w:val="24"/>
          <w:szCs w:val="24"/>
        </w:rPr>
        <w:t xml:space="preserve">tom kód zdroja 13 v sume </w:t>
      </w:r>
      <w:r>
        <w:rPr>
          <w:rFonts w:cs="Times New Roman"/>
          <w:sz w:val="24"/>
          <w:szCs w:val="24"/>
        </w:rPr>
        <w:t>1 724 </w:t>
      </w:r>
      <w:r w:rsidRPr="00AF2CB0">
        <w:rPr>
          <w:rFonts w:cs="Times New Roman"/>
          <w:sz w:val="24"/>
          <w:szCs w:val="24"/>
        </w:rPr>
        <w:t>459 tis.</w:t>
      </w:r>
      <w:r>
        <w:rPr>
          <w:rFonts w:cs="Times New Roman"/>
          <w:sz w:val="24"/>
          <w:szCs w:val="24"/>
        </w:rPr>
        <w:t> </w:t>
      </w:r>
      <w:r w:rsidRPr="00AF2CB0">
        <w:rPr>
          <w:rFonts w:cs="Times New Roman"/>
          <w:sz w:val="24"/>
          <w:szCs w:val="24"/>
        </w:rPr>
        <w:t>eur a kód zdroja 11 v sume 704</w:t>
      </w:r>
      <w:r>
        <w:rPr>
          <w:rFonts w:cs="Times New Roman"/>
          <w:sz w:val="24"/>
          <w:szCs w:val="24"/>
        </w:rPr>
        <w:t> </w:t>
      </w:r>
      <w:r w:rsidRPr="00AF2CB0">
        <w:rPr>
          <w:rFonts w:cs="Times New Roman"/>
          <w:sz w:val="24"/>
          <w:szCs w:val="24"/>
        </w:rPr>
        <w:t>232</w:t>
      </w:r>
      <w:r>
        <w:rPr>
          <w:rFonts w:cs="Times New Roman"/>
          <w:sz w:val="24"/>
          <w:szCs w:val="24"/>
        </w:rPr>
        <w:t> </w:t>
      </w:r>
      <w:r w:rsidRPr="00AF2CB0">
        <w:rPr>
          <w:rFonts w:cs="Times New Roman"/>
          <w:sz w:val="24"/>
          <w:szCs w:val="24"/>
        </w:rPr>
        <w:t>tis.</w:t>
      </w:r>
      <w:r>
        <w:rPr>
          <w:rFonts w:cs="Times New Roman"/>
          <w:sz w:val="24"/>
          <w:szCs w:val="24"/>
        </w:rPr>
        <w:t> </w:t>
      </w:r>
      <w:r w:rsidRPr="00AF2CB0">
        <w:rPr>
          <w:rFonts w:cs="Times New Roman"/>
          <w:sz w:val="24"/>
          <w:szCs w:val="24"/>
        </w:rPr>
        <w:t>eur),</w:t>
      </w:r>
    </w:p>
    <w:p w14:paraId="3461948F" w14:textId="1DD40503" w:rsidR="009A05C7" w:rsidRDefault="009A05C7" w:rsidP="009A05C7">
      <w:pPr>
        <w:spacing w:line="240" w:lineRule="auto"/>
        <w:rPr>
          <w:rFonts w:cs="Times New Roman"/>
          <w:sz w:val="24"/>
          <w:szCs w:val="24"/>
        </w:rPr>
      </w:pPr>
      <w:r w:rsidRPr="00AF2CB0">
        <w:rPr>
          <w:rFonts w:cs="Times New Roman"/>
          <w:sz w:val="24"/>
          <w:szCs w:val="24"/>
        </w:rPr>
        <w:lastRenderedPageBreak/>
        <w:t xml:space="preserve">prostriedky </w:t>
      </w:r>
      <w:r>
        <w:rPr>
          <w:rFonts w:cs="Times New Roman"/>
          <w:sz w:val="24"/>
          <w:szCs w:val="24"/>
        </w:rPr>
        <w:t>na spolufinancovanie v sume 789 </w:t>
      </w:r>
      <w:r w:rsidRPr="00AF2CB0">
        <w:rPr>
          <w:rFonts w:cs="Times New Roman"/>
          <w:sz w:val="24"/>
          <w:szCs w:val="24"/>
        </w:rPr>
        <w:t>259</w:t>
      </w:r>
      <w:r>
        <w:rPr>
          <w:rFonts w:cs="Times New Roman"/>
          <w:sz w:val="24"/>
          <w:szCs w:val="24"/>
        </w:rPr>
        <w:t> </w:t>
      </w:r>
      <w:r w:rsidRPr="00AF2CB0">
        <w:rPr>
          <w:rFonts w:cs="Times New Roman"/>
          <w:sz w:val="24"/>
          <w:szCs w:val="24"/>
        </w:rPr>
        <w:t>tis.</w:t>
      </w:r>
      <w:r>
        <w:rPr>
          <w:rFonts w:cs="Times New Roman"/>
          <w:sz w:val="24"/>
          <w:szCs w:val="24"/>
        </w:rPr>
        <w:t> </w:t>
      </w:r>
      <w:r w:rsidRPr="00AF2CB0">
        <w:rPr>
          <w:rFonts w:cs="Times New Roman"/>
          <w:sz w:val="24"/>
          <w:szCs w:val="24"/>
        </w:rPr>
        <w:t xml:space="preserve">eur </w:t>
      </w:r>
      <w:r>
        <w:rPr>
          <w:rFonts w:cs="Times New Roman"/>
          <w:sz w:val="24"/>
          <w:szCs w:val="24"/>
        </w:rPr>
        <w:t>(v tom kód zdroja 13 v sume 551 </w:t>
      </w:r>
      <w:r w:rsidRPr="00AF2CB0">
        <w:rPr>
          <w:rFonts w:cs="Times New Roman"/>
          <w:sz w:val="24"/>
          <w:szCs w:val="24"/>
        </w:rPr>
        <w:t>834 tis.</w:t>
      </w:r>
      <w:r>
        <w:rPr>
          <w:rFonts w:cs="Times New Roman"/>
          <w:sz w:val="24"/>
          <w:szCs w:val="24"/>
        </w:rPr>
        <w:t> eur a kód zdroja 11 v sume 237 </w:t>
      </w:r>
      <w:r w:rsidRPr="00AF2CB0">
        <w:rPr>
          <w:rFonts w:cs="Times New Roman"/>
          <w:sz w:val="24"/>
          <w:szCs w:val="24"/>
        </w:rPr>
        <w:t>425</w:t>
      </w:r>
      <w:r>
        <w:rPr>
          <w:rFonts w:cs="Times New Roman"/>
          <w:sz w:val="24"/>
          <w:szCs w:val="24"/>
        </w:rPr>
        <w:t> </w:t>
      </w:r>
      <w:r w:rsidRPr="00AF2CB0">
        <w:rPr>
          <w:rFonts w:cs="Times New Roman"/>
          <w:sz w:val="24"/>
          <w:szCs w:val="24"/>
        </w:rPr>
        <w:t>tis.</w:t>
      </w:r>
      <w:r>
        <w:rPr>
          <w:rFonts w:cs="Times New Roman"/>
          <w:sz w:val="24"/>
          <w:szCs w:val="24"/>
        </w:rPr>
        <w:t> </w:t>
      </w:r>
      <w:r w:rsidRPr="00AF2CB0">
        <w:rPr>
          <w:rFonts w:cs="Times New Roman"/>
          <w:sz w:val="24"/>
          <w:szCs w:val="24"/>
        </w:rPr>
        <w:t>eur).</w:t>
      </w:r>
    </w:p>
    <w:p w14:paraId="1E8CF935" w14:textId="77777777" w:rsidR="009A05C7" w:rsidRPr="00AF2CB0" w:rsidRDefault="009A05C7" w:rsidP="009A05C7">
      <w:pPr>
        <w:spacing w:before="120" w:line="240" w:lineRule="auto"/>
        <w:rPr>
          <w:rFonts w:cs="Times New Roman"/>
          <w:b/>
          <w:sz w:val="24"/>
          <w:szCs w:val="24"/>
        </w:rPr>
      </w:pPr>
      <w:r w:rsidRPr="00AF2CB0">
        <w:rPr>
          <w:rFonts w:cs="Times New Roman"/>
          <w:b/>
          <w:sz w:val="24"/>
          <w:szCs w:val="24"/>
        </w:rPr>
        <w:t>Prostriedky z Plánu obnovy a odolnosti a prostriedky na úhradu DPH</w:t>
      </w:r>
    </w:p>
    <w:p w14:paraId="21413621" w14:textId="1BDD6EF8" w:rsidR="009A05C7" w:rsidRPr="00AF2CB0" w:rsidRDefault="009A05C7" w:rsidP="009A05C7">
      <w:pPr>
        <w:spacing w:line="240" w:lineRule="auto"/>
        <w:contextualSpacing/>
        <w:rPr>
          <w:rFonts w:cs="Times New Roman"/>
          <w:sz w:val="24"/>
          <w:szCs w:val="24"/>
        </w:rPr>
      </w:pPr>
      <w:r>
        <w:rPr>
          <w:rFonts w:cs="Times New Roman"/>
          <w:sz w:val="24"/>
          <w:szCs w:val="24"/>
        </w:rPr>
        <w:t>V roku 2023 sa podľa § </w:t>
      </w:r>
      <w:r w:rsidRPr="00AF2CB0">
        <w:rPr>
          <w:rFonts w:cs="Times New Roman"/>
          <w:sz w:val="24"/>
          <w:szCs w:val="24"/>
        </w:rPr>
        <w:t xml:space="preserve">8 zákona </w:t>
      </w:r>
      <w:r w:rsidR="008E1B82">
        <w:rPr>
          <w:sz w:val="24"/>
          <w:szCs w:val="24"/>
        </w:rPr>
        <w:t>o rozpočtových pravidlách</w:t>
      </w:r>
      <w:r w:rsidR="008E1B82" w:rsidRPr="00AF2CB0">
        <w:rPr>
          <w:rFonts w:cs="Times New Roman"/>
          <w:sz w:val="24"/>
          <w:szCs w:val="24"/>
        </w:rPr>
        <w:t xml:space="preserve"> </w:t>
      </w:r>
      <w:r w:rsidRPr="00AF2CB0">
        <w:rPr>
          <w:rFonts w:cs="Times New Roman"/>
          <w:sz w:val="24"/>
          <w:szCs w:val="24"/>
        </w:rPr>
        <w:t>viazali prostriedky z</w:t>
      </w:r>
      <w:r w:rsidR="002D4A5D">
        <w:rPr>
          <w:rFonts w:cs="Times New Roman"/>
          <w:sz w:val="24"/>
          <w:szCs w:val="24"/>
        </w:rPr>
        <w:t> </w:t>
      </w:r>
      <w:r w:rsidRPr="00AF2CB0">
        <w:rPr>
          <w:rFonts w:cs="Times New Roman"/>
          <w:sz w:val="24"/>
          <w:szCs w:val="24"/>
        </w:rPr>
        <w:t>Plánu obnovy a odolnosti a pro</w:t>
      </w:r>
      <w:r>
        <w:rPr>
          <w:rFonts w:cs="Times New Roman"/>
          <w:sz w:val="24"/>
          <w:szCs w:val="24"/>
        </w:rPr>
        <w:t>striedky na úhradu DPH v sume 3 </w:t>
      </w:r>
      <w:r w:rsidRPr="00AF2CB0">
        <w:rPr>
          <w:rFonts w:cs="Times New Roman"/>
          <w:sz w:val="24"/>
          <w:szCs w:val="24"/>
        </w:rPr>
        <w:t>542</w:t>
      </w:r>
      <w:r>
        <w:rPr>
          <w:rFonts w:cs="Times New Roman"/>
          <w:sz w:val="24"/>
          <w:szCs w:val="24"/>
        </w:rPr>
        <w:t> 707 </w:t>
      </w:r>
      <w:r w:rsidRPr="00AF2CB0">
        <w:rPr>
          <w:rFonts w:cs="Times New Roman"/>
          <w:sz w:val="24"/>
          <w:szCs w:val="24"/>
        </w:rPr>
        <w:t>tis.</w:t>
      </w:r>
      <w:r>
        <w:rPr>
          <w:rFonts w:cs="Times New Roman"/>
          <w:sz w:val="24"/>
          <w:szCs w:val="24"/>
        </w:rPr>
        <w:t> </w:t>
      </w:r>
      <w:r w:rsidRPr="00AF2CB0">
        <w:rPr>
          <w:rFonts w:cs="Times New Roman"/>
          <w:sz w:val="24"/>
          <w:szCs w:val="24"/>
        </w:rPr>
        <w:t>eur, z toho:</w:t>
      </w:r>
    </w:p>
    <w:p w14:paraId="5DC65B97" w14:textId="77777777" w:rsidR="009A05C7" w:rsidRPr="00AF2CB0" w:rsidRDefault="009A05C7" w:rsidP="009A05C7">
      <w:pPr>
        <w:numPr>
          <w:ilvl w:val="0"/>
          <w:numId w:val="24"/>
        </w:numPr>
        <w:spacing w:line="240" w:lineRule="auto"/>
        <w:ind w:left="851"/>
        <w:contextualSpacing/>
        <w:rPr>
          <w:rFonts w:cs="Times New Roman"/>
          <w:sz w:val="24"/>
          <w:szCs w:val="24"/>
        </w:rPr>
      </w:pPr>
      <w:r w:rsidRPr="00AF2CB0">
        <w:rPr>
          <w:rFonts w:cs="Times New Roman"/>
          <w:sz w:val="24"/>
          <w:szCs w:val="24"/>
        </w:rPr>
        <w:t>prostriedky z Pl</w:t>
      </w:r>
      <w:r>
        <w:rPr>
          <w:rFonts w:cs="Times New Roman"/>
          <w:sz w:val="24"/>
          <w:szCs w:val="24"/>
        </w:rPr>
        <w:t>ánu obnovy a odolnosti v sume 3 015 013 </w:t>
      </w:r>
      <w:r w:rsidRPr="00AF2CB0">
        <w:rPr>
          <w:rFonts w:cs="Times New Roman"/>
          <w:sz w:val="24"/>
          <w:szCs w:val="24"/>
        </w:rPr>
        <w:t>tis.</w:t>
      </w:r>
      <w:r>
        <w:rPr>
          <w:rFonts w:cs="Times New Roman"/>
          <w:sz w:val="24"/>
          <w:szCs w:val="24"/>
        </w:rPr>
        <w:t> </w:t>
      </w:r>
      <w:r w:rsidRPr="00AF2CB0">
        <w:rPr>
          <w:rFonts w:cs="Times New Roman"/>
          <w:sz w:val="24"/>
          <w:szCs w:val="24"/>
        </w:rPr>
        <w:t>eur,</w:t>
      </w:r>
    </w:p>
    <w:p w14:paraId="1DB49443" w14:textId="77777777" w:rsidR="009A05C7" w:rsidRPr="00AF2CB0" w:rsidRDefault="009A05C7" w:rsidP="009A05C7">
      <w:pPr>
        <w:numPr>
          <w:ilvl w:val="0"/>
          <w:numId w:val="24"/>
        </w:numPr>
        <w:spacing w:line="240" w:lineRule="auto"/>
        <w:ind w:left="851"/>
        <w:contextualSpacing/>
        <w:rPr>
          <w:rFonts w:cs="Times New Roman"/>
          <w:sz w:val="24"/>
          <w:szCs w:val="24"/>
        </w:rPr>
      </w:pPr>
      <w:r w:rsidRPr="00AF2CB0">
        <w:rPr>
          <w:rFonts w:cs="Times New Roman"/>
          <w:sz w:val="24"/>
          <w:szCs w:val="24"/>
        </w:rPr>
        <w:t>prostriedky Plánu obnovy a odolnosti – prostriedky na úhradu DPH v</w:t>
      </w:r>
      <w:r>
        <w:rPr>
          <w:rFonts w:cs="Times New Roman"/>
          <w:sz w:val="24"/>
          <w:szCs w:val="24"/>
        </w:rPr>
        <w:t> </w:t>
      </w:r>
      <w:r w:rsidRPr="00AF2CB0">
        <w:rPr>
          <w:rFonts w:cs="Times New Roman"/>
          <w:sz w:val="24"/>
          <w:szCs w:val="24"/>
        </w:rPr>
        <w:t>sume 527</w:t>
      </w:r>
      <w:r>
        <w:rPr>
          <w:rFonts w:cs="Times New Roman"/>
          <w:sz w:val="24"/>
          <w:szCs w:val="24"/>
        </w:rPr>
        <w:t> 695 tis. eur,</w:t>
      </w:r>
    </w:p>
    <w:p w14:paraId="33A8911A" w14:textId="77777777" w:rsidR="009A05C7" w:rsidRPr="00AF2CB0" w:rsidRDefault="009A05C7" w:rsidP="009A05C7">
      <w:pPr>
        <w:spacing w:line="240" w:lineRule="auto"/>
        <w:contextualSpacing/>
        <w:rPr>
          <w:rFonts w:cs="Times New Roman"/>
          <w:sz w:val="24"/>
          <w:szCs w:val="24"/>
        </w:rPr>
      </w:pPr>
      <w:r w:rsidRPr="00AF2CB0">
        <w:rPr>
          <w:rFonts w:cs="Times New Roman"/>
          <w:sz w:val="24"/>
          <w:szCs w:val="24"/>
        </w:rPr>
        <w:t>z ktorých sa v roku 2024 použilo 943</w:t>
      </w:r>
      <w:r>
        <w:rPr>
          <w:rFonts w:cs="Times New Roman"/>
          <w:sz w:val="24"/>
          <w:szCs w:val="24"/>
        </w:rPr>
        <w:t> </w:t>
      </w:r>
      <w:r w:rsidRPr="00AF2CB0">
        <w:rPr>
          <w:rFonts w:cs="Times New Roman"/>
          <w:sz w:val="24"/>
          <w:szCs w:val="24"/>
        </w:rPr>
        <w:t>044</w:t>
      </w:r>
      <w:r>
        <w:rPr>
          <w:rFonts w:cs="Times New Roman"/>
          <w:sz w:val="24"/>
          <w:szCs w:val="24"/>
        </w:rPr>
        <w:t> </w:t>
      </w:r>
      <w:r w:rsidRPr="00AF2CB0">
        <w:rPr>
          <w:rFonts w:cs="Times New Roman"/>
          <w:sz w:val="24"/>
          <w:szCs w:val="24"/>
        </w:rPr>
        <w:t>tis.</w:t>
      </w:r>
      <w:r>
        <w:rPr>
          <w:rFonts w:cs="Times New Roman"/>
          <w:sz w:val="24"/>
          <w:szCs w:val="24"/>
        </w:rPr>
        <w:t> </w:t>
      </w:r>
      <w:r w:rsidRPr="00AF2CB0">
        <w:rPr>
          <w:rFonts w:cs="Times New Roman"/>
          <w:sz w:val="24"/>
          <w:szCs w:val="24"/>
        </w:rPr>
        <w:t>eur, z toho:</w:t>
      </w:r>
    </w:p>
    <w:p w14:paraId="64D36637" w14:textId="77777777" w:rsidR="009A05C7" w:rsidRPr="00AF2CB0" w:rsidRDefault="009A05C7" w:rsidP="009A05C7">
      <w:pPr>
        <w:numPr>
          <w:ilvl w:val="0"/>
          <w:numId w:val="24"/>
        </w:numPr>
        <w:spacing w:line="240" w:lineRule="auto"/>
        <w:ind w:left="851"/>
        <w:contextualSpacing/>
        <w:rPr>
          <w:rFonts w:cs="Times New Roman"/>
          <w:sz w:val="24"/>
          <w:szCs w:val="24"/>
        </w:rPr>
      </w:pPr>
      <w:r w:rsidRPr="00AF2CB0">
        <w:rPr>
          <w:rFonts w:cs="Times New Roman"/>
          <w:sz w:val="24"/>
          <w:szCs w:val="24"/>
        </w:rPr>
        <w:t>prostriedky z Plánu obnovy a odolnosti v sume 818</w:t>
      </w:r>
      <w:r>
        <w:rPr>
          <w:rFonts w:cs="Times New Roman"/>
          <w:sz w:val="24"/>
          <w:szCs w:val="24"/>
        </w:rPr>
        <w:t> 471 tis. </w:t>
      </w:r>
      <w:r w:rsidRPr="00AF2CB0">
        <w:rPr>
          <w:rFonts w:cs="Times New Roman"/>
          <w:sz w:val="24"/>
          <w:szCs w:val="24"/>
        </w:rPr>
        <w:t>eur,</w:t>
      </w:r>
    </w:p>
    <w:p w14:paraId="1D0528AB" w14:textId="77777777" w:rsidR="009A05C7" w:rsidRPr="00AF2CB0" w:rsidRDefault="009A05C7" w:rsidP="009A05C7">
      <w:pPr>
        <w:numPr>
          <w:ilvl w:val="0"/>
          <w:numId w:val="24"/>
        </w:numPr>
        <w:spacing w:line="240" w:lineRule="auto"/>
        <w:ind w:left="851"/>
        <w:rPr>
          <w:rFonts w:cs="Times New Roman"/>
          <w:sz w:val="24"/>
          <w:szCs w:val="24"/>
        </w:rPr>
      </w:pPr>
      <w:r w:rsidRPr="00AF2CB0">
        <w:rPr>
          <w:rFonts w:cs="Times New Roman"/>
          <w:sz w:val="24"/>
          <w:szCs w:val="24"/>
        </w:rPr>
        <w:t>prostriedky Plánu obnovy a odolnosti – p</w:t>
      </w:r>
      <w:r>
        <w:rPr>
          <w:rFonts w:cs="Times New Roman"/>
          <w:sz w:val="24"/>
          <w:szCs w:val="24"/>
        </w:rPr>
        <w:t>rostriedky na úhradu DPH v </w:t>
      </w:r>
      <w:r w:rsidRPr="00AF2CB0">
        <w:rPr>
          <w:rFonts w:cs="Times New Roman"/>
          <w:sz w:val="24"/>
          <w:szCs w:val="24"/>
        </w:rPr>
        <w:t>sume 124</w:t>
      </w:r>
      <w:r>
        <w:rPr>
          <w:rFonts w:cs="Times New Roman"/>
          <w:sz w:val="24"/>
          <w:szCs w:val="24"/>
        </w:rPr>
        <w:t> </w:t>
      </w:r>
      <w:r w:rsidRPr="00AF2CB0">
        <w:rPr>
          <w:rFonts w:cs="Times New Roman"/>
          <w:sz w:val="24"/>
          <w:szCs w:val="24"/>
        </w:rPr>
        <w:t>573 tis.</w:t>
      </w:r>
      <w:r>
        <w:rPr>
          <w:rFonts w:cs="Times New Roman"/>
          <w:sz w:val="24"/>
          <w:szCs w:val="24"/>
        </w:rPr>
        <w:t> </w:t>
      </w:r>
      <w:r w:rsidRPr="00AF2CB0">
        <w:rPr>
          <w:rFonts w:cs="Times New Roman"/>
          <w:sz w:val="24"/>
          <w:szCs w:val="24"/>
        </w:rPr>
        <w:t>eur.</w:t>
      </w:r>
    </w:p>
    <w:p w14:paraId="69F5F60B" w14:textId="56F3A02A" w:rsidR="009A05C7" w:rsidRPr="00AF2CB0" w:rsidRDefault="009A05C7" w:rsidP="009A05C7">
      <w:pPr>
        <w:spacing w:line="240" w:lineRule="auto"/>
        <w:contextualSpacing/>
        <w:rPr>
          <w:rFonts w:cs="Times New Roman"/>
          <w:sz w:val="24"/>
          <w:szCs w:val="24"/>
        </w:rPr>
      </w:pPr>
      <w:r>
        <w:rPr>
          <w:rFonts w:cs="Times New Roman"/>
          <w:sz w:val="24"/>
          <w:szCs w:val="24"/>
        </w:rPr>
        <w:t xml:space="preserve">V roku 2024 sa podľa § 8 zákona </w:t>
      </w:r>
      <w:r w:rsidR="008E1B82">
        <w:rPr>
          <w:sz w:val="24"/>
          <w:szCs w:val="24"/>
        </w:rPr>
        <w:t>o rozpočtových pravidlách</w:t>
      </w:r>
      <w:r w:rsidR="008E1B82">
        <w:rPr>
          <w:rFonts w:cs="Times New Roman"/>
          <w:sz w:val="24"/>
          <w:szCs w:val="24"/>
        </w:rPr>
        <w:t xml:space="preserve"> </w:t>
      </w:r>
      <w:r w:rsidR="002D4A5D">
        <w:rPr>
          <w:rFonts w:cs="Times New Roman"/>
          <w:sz w:val="24"/>
          <w:szCs w:val="24"/>
        </w:rPr>
        <w:t>viazali výdavky v </w:t>
      </w:r>
      <w:r>
        <w:rPr>
          <w:rFonts w:cs="Times New Roman"/>
          <w:sz w:val="24"/>
          <w:szCs w:val="24"/>
        </w:rPr>
        <w:t>sume 3 </w:t>
      </w:r>
      <w:r w:rsidRPr="00AF2CB0">
        <w:rPr>
          <w:rFonts w:cs="Times New Roman"/>
          <w:sz w:val="24"/>
          <w:szCs w:val="24"/>
        </w:rPr>
        <w:t>835</w:t>
      </w:r>
      <w:r>
        <w:rPr>
          <w:rFonts w:cs="Times New Roman"/>
          <w:sz w:val="24"/>
          <w:szCs w:val="24"/>
        </w:rPr>
        <w:t> </w:t>
      </w:r>
      <w:r w:rsidRPr="00AF2CB0">
        <w:rPr>
          <w:rFonts w:cs="Times New Roman"/>
          <w:sz w:val="24"/>
          <w:szCs w:val="24"/>
        </w:rPr>
        <w:t>953</w:t>
      </w:r>
      <w:r>
        <w:rPr>
          <w:rFonts w:cs="Times New Roman"/>
          <w:sz w:val="24"/>
          <w:szCs w:val="24"/>
        </w:rPr>
        <w:t> tis. eur, z toho:</w:t>
      </w:r>
    </w:p>
    <w:p w14:paraId="1BED009B" w14:textId="77777777" w:rsidR="009A05C7" w:rsidRPr="00AF2CB0" w:rsidRDefault="009A05C7" w:rsidP="009A05C7">
      <w:pPr>
        <w:numPr>
          <w:ilvl w:val="0"/>
          <w:numId w:val="24"/>
        </w:numPr>
        <w:spacing w:line="240" w:lineRule="auto"/>
        <w:ind w:left="851"/>
        <w:contextualSpacing/>
        <w:rPr>
          <w:rFonts w:cs="Times New Roman"/>
          <w:sz w:val="24"/>
          <w:szCs w:val="24"/>
        </w:rPr>
      </w:pPr>
      <w:r w:rsidRPr="00AF2CB0">
        <w:rPr>
          <w:rFonts w:cs="Times New Roman"/>
          <w:sz w:val="24"/>
          <w:szCs w:val="24"/>
        </w:rPr>
        <w:t>prostriedky z Plánu obnovy a odolnosti v sume 3</w:t>
      </w:r>
      <w:r>
        <w:rPr>
          <w:rFonts w:cs="Times New Roman"/>
          <w:sz w:val="24"/>
          <w:szCs w:val="24"/>
        </w:rPr>
        <w:t> 294 </w:t>
      </w:r>
      <w:r w:rsidRPr="00AF2CB0">
        <w:rPr>
          <w:rFonts w:cs="Times New Roman"/>
          <w:sz w:val="24"/>
          <w:szCs w:val="24"/>
        </w:rPr>
        <w:t>317</w:t>
      </w:r>
      <w:r>
        <w:rPr>
          <w:rFonts w:cs="Times New Roman"/>
          <w:sz w:val="24"/>
          <w:szCs w:val="24"/>
        </w:rPr>
        <w:t> </w:t>
      </w:r>
      <w:r w:rsidRPr="00AF2CB0">
        <w:rPr>
          <w:rFonts w:cs="Times New Roman"/>
          <w:sz w:val="24"/>
          <w:szCs w:val="24"/>
        </w:rPr>
        <w:t>tis.</w:t>
      </w:r>
      <w:r>
        <w:rPr>
          <w:rFonts w:cs="Times New Roman"/>
          <w:sz w:val="24"/>
          <w:szCs w:val="24"/>
        </w:rPr>
        <w:t> eur (v tom kód zdroja 13 v sume 2 </w:t>
      </w:r>
      <w:r w:rsidRPr="00AF2CB0">
        <w:rPr>
          <w:rFonts w:cs="Times New Roman"/>
          <w:sz w:val="24"/>
          <w:szCs w:val="24"/>
        </w:rPr>
        <w:t>196</w:t>
      </w:r>
      <w:r>
        <w:rPr>
          <w:rFonts w:cs="Times New Roman"/>
          <w:sz w:val="24"/>
          <w:szCs w:val="24"/>
        </w:rPr>
        <w:t> </w:t>
      </w:r>
      <w:r w:rsidRPr="00AF2CB0">
        <w:rPr>
          <w:rFonts w:cs="Times New Roman"/>
          <w:sz w:val="24"/>
          <w:szCs w:val="24"/>
        </w:rPr>
        <w:t>734 tis.</w:t>
      </w:r>
      <w:r>
        <w:rPr>
          <w:rFonts w:cs="Times New Roman"/>
          <w:sz w:val="24"/>
          <w:szCs w:val="24"/>
        </w:rPr>
        <w:t> eur a kód zdroja 11 v sume 1 097 583 </w:t>
      </w:r>
      <w:r w:rsidRPr="00AF2CB0">
        <w:rPr>
          <w:rFonts w:cs="Times New Roman"/>
          <w:sz w:val="24"/>
          <w:szCs w:val="24"/>
        </w:rPr>
        <w:t>tis. eur),</w:t>
      </w:r>
    </w:p>
    <w:p w14:paraId="6E3CF068" w14:textId="77777777" w:rsidR="009A05C7" w:rsidRDefault="009A05C7" w:rsidP="009A05C7">
      <w:pPr>
        <w:pStyle w:val="Odsekzoznamu"/>
        <w:numPr>
          <w:ilvl w:val="0"/>
          <w:numId w:val="24"/>
        </w:numPr>
        <w:spacing w:after="120"/>
        <w:ind w:left="851" w:hanging="425"/>
        <w:jc w:val="both"/>
        <w:rPr>
          <w:rFonts w:ascii="Times New Roman" w:hAnsi="Times New Roman"/>
          <w:sz w:val="24"/>
          <w:szCs w:val="24"/>
        </w:rPr>
      </w:pPr>
      <w:r w:rsidRPr="00AF2CB0">
        <w:rPr>
          <w:rFonts w:ascii="Times New Roman" w:hAnsi="Times New Roman"/>
          <w:sz w:val="24"/>
          <w:szCs w:val="24"/>
        </w:rPr>
        <w:t>prostriedky Plánu obnovy a</w:t>
      </w:r>
      <w:r>
        <w:rPr>
          <w:rFonts w:ascii="Times New Roman" w:hAnsi="Times New Roman"/>
          <w:sz w:val="24"/>
          <w:szCs w:val="24"/>
        </w:rPr>
        <w:t> </w:t>
      </w:r>
      <w:r w:rsidRPr="00AF2CB0">
        <w:rPr>
          <w:rFonts w:ascii="Times New Roman" w:hAnsi="Times New Roman"/>
          <w:sz w:val="24"/>
          <w:szCs w:val="24"/>
        </w:rPr>
        <w:t>odolnost</w:t>
      </w:r>
      <w:r>
        <w:rPr>
          <w:rFonts w:ascii="Times New Roman" w:hAnsi="Times New Roman"/>
          <w:sz w:val="24"/>
          <w:szCs w:val="24"/>
        </w:rPr>
        <w:t>i – prostriedky na úhradu DPH v </w:t>
      </w:r>
      <w:r w:rsidRPr="00AF2CB0">
        <w:rPr>
          <w:rFonts w:ascii="Times New Roman" w:hAnsi="Times New Roman"/>
          <w:sz w:val="24"/>
          <w:szCs w:val="24"/>
        </w:rPr>
        <w:t>sume 541 635 tis.</w:t>
      </w:r>
      <w:r>
        <w:rPr>
          <w:rFonts w:ascii="Times New Roman" w:hAnsi="Times New Roman"/>
          <w:sz w:val="24"/>
          <w:szCs w:val="24"/>
        </w:rPr>
        <w:t> </w:t>
      </w:r>
      <w:r w:rsidRPr="00AF2CB0">
        <w:rPr>
          <w:rFonts w:ascii="Times New Roman" w:hAnsi="Times New Roman"/>
          <w:sz w:val="24"/>
          <w:szCs w:val="24"/>
        </w:rPr>
        <w:t xml:space="preserve">eur </w:t>
      </w:r>
      <w:r>
        <w:rPr>
          <w:rFonts w:ascii="Times New Roman" w:hAnsi="Times New Roman"/>
          <w:sz w:val="24"/>
          <w:szCs w:val="24"/>
        </w:rPr>
        <w:t>(v tom kód zdroja 13 v sume 402 967 </w:t>
      </w:r>
      <w:r w:rsidRPr="00AF2CB0">
        <w:rPr>
          <w:rFonts w:ascii="Times New Roman" w:hAnsi="Times New Roman"/>
          <w:sz w:val="24"/>
          <w:szCs w:val="24"/>
        </w:rPr>
        <w:t>tis.</w:t>
      </w:r>
      <w:r>
        <w:rPr>
          <w:rFonts w:ascii="Times New Roman" w:hAnsi="Times New Roman"/>
          <w:sz w:val="24"/>
          <w:szCs w:val="24"/>
        </w:rPr>
        <w:t> eur a kód zdroja 11 v sume 138 668 </w:t>
      </w:r>
      <w:r w:rsidRPr="00AF2CB0">
        <w:rPr>
          <w:rFonts w:ascii="Times New Roman" w:hAnsi="Times New Roman"/>
          <w:sz w:val="24"/>
          <w:szCs w:val="24"/>
        </w:rPr>
        <w:t>tis.</w:t>
      </w:r>
      <w:r>
        <w:rPr>
          <w:rFonts w:ascii="Times New Roman" w:hAnsi="Times New Roman"/>
          <w:sz w:val="24"/>
          <w:szCs w:val="24"/>
        </w:rPr>
        <w:t> </w:t>
      </w:r>
      <w:r w:rsidRPr="00AF2CB0">
        <w:rPr>
          <w:rFonts w:ascii="Times New Roman" w:hAnsi="Times New Roman"/>
          <w:sz w:val="24"/>
          <w:szCs w:val="24"/>
        </w:rPr>
        <w:t>eur).</w:t>
      </w:r>
    </w:p>
    <w:p w14:paraId="32DFA52B" w14:textId="75696346" w:rsidR="009A05C7" w:rsidRPr="00E43F69" w:rsidRDefault="009A05C7" w:rsidP="009A05C7">
      <w:pPr>
        <w:spacing w:before="120" w:line="240" w:lineRule="auto"/>
        <w:rPr>
          <w:b/>
          <w:color w:val="5B9BD5" w:themeColor="accent1"/>
          <w:sz w:val="24"/>
          <w:szCs w:val="24"/>
        </w:rPr>
      </w:pPr>
      <w:r>
        <w:rPr>
          <w:b/>
          <w:color w:val="5B9BD5" w:themeColor="accent1"/>
          <w:sz w:val="24"/>
          <w:szCs w:val="24"/>
        </w:rPr>
        <w:t>Vzťahy s EÚ</w:t>
      </w:r>
    </w:p>
    <w:p w14:paraId="48D01EF0" w14:textId="0F317BBB" w:rsidR="009A05C7" w:rsidRPr="00277CF7" w:rsidRDefault="009A05C7" w:rsidP="009A05C7">
      <w:pPr>
        <w:spacing w:line="240" w:lineRule="auto"/>
        <w:rPr>
          <w:sz w:val="24"/>
          <w:szCs w:val="24"/>
        </w:rPr>
      </w:pPr>
      <w:r w:rsidRPr="00277CF7">
        <w:rPr>
          <w:b/>
          <w:sz w:val="24"/>
          <w:szCs w:val="24"/>
        </w:rPr>
        <w:t>Odvody do rozpočtu EÚ</w:t>
      </w:r>
      <w:r w:rsidRPr="00277CF7">
        <w:rPr>
          <w:sz w:val="24"/>
          <w:szCs w:val="24"/>
        </w:rPr>
        <w:t xml:space="preserve"> (spolu s odvodom </w:t>
      </w:r>
      <w:r>
        <w:rPr>
          <w:sz w:val="24"/>
          <w:szCs w:val="24"/>
        </w:rPr>
        <w:t>z</w:t>
      </w:r>
      <w:r w:rsidRPr="00277CF7">
        <w:rPr>
          <w:sz w:val="24"/>
          <w:szCs w:val="24"/>
        </w:rPr>
        <w:t> tradičných vlastných zdrojov) predstavovali v roku 202</w:t>
      </w:r>
      <w:r>
        <w:rPr>
          <w:sz w:val="24"/>
          <w:szCs w:val="24"/>
        </w:rPr>
        <w:t>4 na akruálnej báze 954 </w:t>
      </w:r>
      <w:r w:rsidRPr="00277CF7">
        <w:rPr>
          <w:sz w:val="24"/>
          <w:szCs w:val="24"/>
        </w:rPr>
        <w:t>993 tis. eur a bo</w:t>
      </w:r>
      <w:r>
        <w:rPr>
          <w:sz w:val="24"/>
          <w:szCs w:val="24"/>
        </w:rPr>
        <w:t>li nižšie oproti rozpočtu o 250 </w:t>
      </w:r>
      <w:r w:rsidRPr="00277CF7">
        <w:rPr>
          <w:sz w:val="24"/>
          <w:szCs w:val="24"/>
        </w:rPr>
        <w:t>217 tis. eur.</w:t>
      </w:r>
      <w:r>
        <w:rPr>
          <w:sz w:val="24"/>
          <w:szCs w:val="24"/>
        </w:rPr>
        <w:t xml:space="preserve"> Rozdiel bol spôsobený nižšími výdavkami zo zdroja založenom na </w:t>
      </w:r>
      <w:r w:rsidR="00D50C11">
        <w:rPr>
          <w:sz w:val="24"/>
          <w:szCs w:val="24"/>
        </w:rPr>
        <w:t>hrubom národnom dôchodku (</w:t>
      </w:r>
      <w:r>
        <w:rPr>
          <w:sz w:val="24"/>
          <w:szCs w:val="24"/>
        </w:rPr>
        <w:t>HND</w:t>
      </w:r>
      <w:r w:rsidR="00D50C11">
        <w:rPr>
          <w:sz w:val="24"/>
          <w:szCs w:val="24"/>
        </w:rPr>
        <w:t>)</w:t>
      </w:r>
      <w:r>
        <w:rPr>
          <w:sz w:val="24"/>
          <w:szCs w:val="24"/>
        </w:rPr>
        <w:t xml:space="preserve"> (o 137 597 tis. eur), aj vysporiadaním sa so stratou na tradičných vlastných zdrojoch z podhodnoteného vývozu čínskeho textilu (46 919 tis. eur), o túto vratku z vysporiadania sa znížili platby odvodov SR.</w:t>
      </w:r>
    </w:p>
    <w:p w14:paraId="733FBF7E" w14:textId="2A2AEC30" w:rsidR="009A05C7" w:rsidRDefault="009A05C7" w:rsidP="009A05C7">
      <w:pPr>
        <w:spacing w:before="120" w:after="0" w:line="240" w:lineRule="auto"/>
        <w:rPr>
          <w:sz w:val="24"/>
          <w:szCs w:val="24"/>
        </w:rPr>
      </w:pPr>
      <w:r w:rsidRPr="00904202">
        <w:rPr>
          <w:sz w:val="24"/>
          <w:szCs w:val="24"/>
        </w:rPr>
        <w:t xml:space="preserve">Podľa Rozhodnutia Eurostatu č. 22/2005 o zaznamenávaní transferov z EÚ do členských krajín má byť celkový vplyv EÚ tokov podľa metodiky ESA 2010 na schodok verejnej správy neutrálny. </w:t>
      </w:r>
      <w:r w:rsidRPr="00904202">
        <w:rPr>
          <w:b/>
          <w:sz w:val="24"/>
          <w:szCs w:val="24"/>
        </w:rPr>
        <w:t>Upravujúca položka, ktorou sa eliminuje vplyv EÚ fondov</w:t>
      </w:r>
      <w:r w:rsidRPr="00904202">
        <w:rPr>
          <w:sz w:val="24"/>
          <w:szCs w:val="24"/>
        </w:rPr>
        <w:t xml:space="preserve"> na saldo verejnej správy v skutočnosti</w:t>
      </w:r>
      <w:r>
        <w:rPr>
          <w:sz w:val="24"/>
          <w:szCs w:val="24"/>
        </w:rPr>
        <w:t xml:space="preserve"> dosiahla negatívnu hodnotu 695 </w:t>
      </w:r>
      <w:r w:rsidRPr="00904202">
        <w:rPr>
          <w:sz w:val="24"/>
          <w:szCs w:val="24"/>
        </w:rPr>
        <w:t>708 tis. eur</w:t>
      </w:r>
      <w:r>
        <w:rPr>
          <w:sz w:val="24"/>
          <w:szCs w:val="24"/>
        </w:rPr>
        <w:t xml:space="preserve">, pričom samotný pozitívny rozdiel medzi príjmami a výdavkami z EU bol eliminovaný negatívnou </w:t>
      </w:r>
      <w:r w:rsidR="00091E03">
        <w:rPr>
          <w:sz w:val="24"/>
          <w:szCs w:val="24"/>
        </w:rPr>
        <w:t>úpravou na </w:t>
      </w:r>
      <w:r>
        <w:rPr>
          <w:sz w:val="24"/>
          <w:szCs w:val="24"/>
        </w:rPr>
        <w:t>ESA schodok vo výške</w:t>
      </w:r>
      <w:r w:rsidRPr="00904202">
        <w:rPr>
          <w:sz w:val="24"/>
          <w:szCs w:val="24"/>
        </w:rPr>
        <w:t xml:space="preserve"> </w:t>
      </w:r>
      <w:r>
        <w:rPr>
          <w:sz w:val="24"/>
          <w:szCs w:val="24"/>
        </w:rPr>
        <w:t>258 708 tis. eur. Upravujúca položka</w:t>
      </w:r>
      <w:r w:rsidRPr="00904202">
        <w:rPr>
          <w:sz w:val="24"/>
          <w:szCs w:val="24"/>
        </w:rPr>
        <w:t xml:space="preserve"> </w:t>
      </w:r>
      <w:r>
        <w:rPr>
          <w:sz w:val="24"/>
          <w:szCs w:val="24"/>
        </w:rPr>
        <w:t>sa rozpočtuje</w:t>
      </w:r>
      <w:r w:rsidRPr="00904202">
        <w:rPr>
          <w:sz w:val="24"/>
          <w:szCs w:val="24"/>
        </w:rPr>
        <w:t xml:space="preserve"> v nulovej hodnote, preto jej vplyv mal negatívny dopad na</w:t>
      </w:r>
      <w:r>
        <w:rPr>
          <w:sz w:val="24"/>
          <w:szCs w:val="24"/>
        </w:rPr>
        <w:t> </w:t>
      </w:r>
      <w:r w:rsidRPr="00904202">
        <w:rPr>
          <w:sz w:val="24"/>
          <w:szCs w:val="24"/>
        </w:rPr>
        <w:t>rozdiel medzi rozpočtom a skutočným plnením rozpočtu.</w:t>
      </w:r>
    </w:p>
    <w:p w14:paraId="6FA22A99" w14:textId="639E0C2A" w:rsidR="009A05C7" w:rsidRDefault="009A05C7" w:rsidP="009A05C7">
      <w:pPr>
        <w:spacing w:before="120" w:after="0" w:line="240" w:lineRule="auto"/>
        <w:rPr>
          <w:sz w:val="24"/>
          <w:szCs w:val="24"/>
        </w:rPr>
      </w:pPr>
      <w:r w:rsidRPr="00904202">
        <w:rPr>
          <w:sz w:val="24"/>
          <w:szCs w:val="24"/>
        </w:rPr>
        <w:t xml:space="preserve">V roku 2024 rovnako ako v roku 2023 bola táto položka ovplyvnená </w:t>
      </w:r>
      <w:r>
        <w:rPr>
          <w:sz w:val="24"/>
          <w:szCs w:val="24"/>
        </w:rPr>
        <w:t xml:space="preserve">okrem údajov o príjmoch a výdavkoch z finančných výkazov aj </w:t>
      </w:r>
      <w:r w:rsidRPr="00904202">
        <w:rPr>
          <w:sz w:val="24"/>
          <w:szCs w:val="24"/>
        </w:rPr>
        <w:t>jednorazovou úpravou nad rámec uplatňovanej štandardnej metodiky</w:t>
      </w:r>
      <w:r>
        <w:rPr>
          <w:sz w:val="24"/>
          <w:szCs w:val="24"/>
        </w:rPr>
        <w:t xml:space="preserve"> vo výške 437 000 tis. eur</w:t>
      </w:r>
      <w:r w:rsidRPr="00904202">
        <w:rPr>
          <w:sz w:val="24"/>
          <w:szCs w:val="24"/>
        </w:rPr>
        <w:t>. Ide o posun príjmov z refundácií EÚ, ktorú re</w:t>
      </w:r>
      <w:r>
        <w:rPr>
          <w:sz w:val="24"/>
          <w:szCs w:val="24"/>
        </w:rPr>
        <w:t>alizoval Štatistický úrad SR na </w:t>
      </w:r>
      <w:r w:rsidRPr="00904202">
        <w:rPr>
          <w:sz w:val="24"/>
          <w:szCs w:val="24"/>
        </w:rPr>
        <w:t>základe odporúčania Eurostatu, podľa ktorého energopomoc</w:t>
      </w:r>
      <w:r w:rsidRPr="00904202">
        <w:rPr>
          <w:rStyle w:val="Odkaznapoznmkupodiarou"/>
          <w:sz w:val="24"/>
          <w:szCs w:val="24"/>
        </w:rPr>
        <w:footnoteReference w:id="13"/>
      </w:r>
      <w:r w:rsidRPr="00904202">
        <w:rPr>
          <w:sz w:val="24"/>
          <w:szCs w:val="24"/>
        </w:rPr>
        <w:t xml:space="preserve"> financovaná z prostriedkov EÚ by m</w:t>
      </w:r>
      <w:r w:rsidR="00091E03">
        <w:rPr>
          <w:sz w:val="24"/>
          <w:szCs w:val="24"/>
        </w:rPr>
        <w:t>ala byť akruálne zaznamenaná do </w:t>
      </w:r>
      <w:r w:rsidRPr="00904202">
        <w:rPr>
          <w:sz w:val="24"/>
          <w:szCs w:val="24"/>
        </w:rPr>
        <w:t>roku 2023, aj keď hotovostná platba z EK sa realizovala v roku 2024.</w:t>
      </w:r>
    </w:p>
    <w:p w14:paraId="3B492A17" w14:textId="77777777" w:rsidR="009A05C7" w:rsidRPr="007C2EFF" w:rsidRDefault="009A05C7" w:rsidP="009A05C7">
      <w:pPr>
        <w:spacing w:before="120" w:after="0" w:line="240" w:lineRule="auto"/>
        <w:rPr>
          <w:sz w:val="24"/>
          <w:szCs w:val="24"/>
        </w:rPr>
      </w:pPr>
      <w:r>
        <w:rPr>
          <w:sz w:val="24"/>
          <w:szCs w:val="24"/>
        </w:rPr>
        <w:t>V u</w:t>
      </w:r>
      <w:r w:rsidRPr="007C2EFF">
        <w:rPr>
          <w:sz w:val="24"/>
          <w:szCs w:val="24"/>
        </w:rPr>
        <w:t>pravujúc</w:t>
      </w:r>
      <w:r>
        <w:rPr>
          <w:sz w:val="24"/>
          <w:szCs w:val="24"/>
        </w:rPr>
        <w:t>ej</w:t>
      </w:r>
      <w:r w:rsidRPr="007C2EFF">
        <w:rPr>
          <w:sz w:val="24"/>
          <w:szCs w:val="24"/>
        </w:rPr>
        <w:t xml:space="preserve"> položk</w:t>
      </w:r>
      <w:r>
        <w:rPr>
          <w:sz w:val="24"/>
          <w:szCs w:val="24"/>
        </w:rPr>
        <w:t>e</w:t>
      </w:r>
      <w:r w:rsidRPr="007C2EFF">
        <w:rPr>
          <w:sz w:val="24"/>
          <w:szCs w:val="24"/>
        </w:rPr>
        <w:t xml:space="preserve"> je následne potrebné ešte </w:t>
      </w:r>
      <w:r>
        <w:rPr>
          <w:sz w:val="24"/>
          <w:szCs w:val="24"/>
        </w:rPr>
        <w:t>zohľadniť</w:t>
      </w:r>
      <w:r w:rsidRPr="007C2EFF">
        <w:rPr>
          <w:sz w:val="24"/>
          <w:szCs w:val="24"/>
        </w:rPr>
        <w:t> hodnoty, ktoré ju ovplyvňujú, ak existujú informácie, že niektoré výdavky v mene EU Komisia nepreplatí (korekcie, nadčerpanie).</w:t>
      </w:r>
    </w:p>
    <w:p w14:paraId="00E08D99" w14:textId="6A838F48" w:rsidR="009A05C7" w:rsidRPr="00FB04BA" w:rsidRDefault="009A05C7" w:rsidP="009A05C7">
      <w:pPr>
        <w:spacing w:before="120" w:after="0" w:line="240" w:lineRule="auto"/>
        <w:rPr>
          <w:sz w:val="24"/>
          <w:szCs w:val="24"/>
        </w:rPr>
      </w:pPr>
      <w:r w:rsidRPr="00FB04BA">
        <w:rPr>
          <w:sz w:val="24"/>
          <w:szCs w:val="24"/>
        </w:rPr>
        <w:lastRenderedPageBreak/>
        <w:t>Negatívny vplyv na saldo verejnej správy v roku 2024 mal</w:t>
      </w:r>
      <w:r>
        <w:rPr>
          <w:sz w:val="24"/>
          <w:szCs w:val="24"/>
        </w:rPr>
        <w:t>i finančné korekcie vo výške 59 </w:t>
      </w:r>
      <w:r w:rsidRPr="00FB04BA">
        <w:rPr>
          <w:sz w:val="24"/>
          <w:szCs w:val="24"/>
        </w:rPr>
        <w:t>775 tis. eur, z dôvodu systémových korekcií</w:t>
      </w:r>
      <w:r w:rsidRPr="00FB04BA">
        <w:rPr>
          <w:sz w:val="24"/>
          <w:szCs w:val="24"/>
          <w:vertAlign w:val="superscript"/>
        </w:rPr>
        <w:footnoteReference w:id="14"/>
      </w:r>
      <w:r w:rsidRPr="00FB04BA">
        <w:rPr>
          <w:sz w:val="24"/>
          <w:szCs w:val="24"/>
        </w:rPr>
        <w:t xml:space="preserve"> v sume 37 078 tis. eur a individuálnych korekcií</w:t>
      </w:r>
      <w:r w:rsidRPr="00FB04BA">
        <w:rPr>
          <w:sz w:val="24"/>
          <w:szCs w:val="24"/>
          <w:vertAlign w:val="superscript"/>
        </w:rPr>
        <w:footnoteReference w:id="15"/>
      </w:r>
      <w:r>
        <w:rPr>
          <w:sz w:val="24"/>
          <w:szCs w:val="24"/>
        </w:rPr>
        <w:t xml:space="preserve"> v sume 22 </w:t>
      </w:r>
      <w:r w:rsidRPr="00FB04BA">
        <w:rPr>
          <w:sz w:val="24"/>
          <w:szCs w:val="24"/>
        </w:rPr>
        <w:t>697 tis. eur.</w:t>
      </w:r>
      <w:r>
        <w:rPr>
          <w:sz w:val="24"/>
          <w:szCs w:val="24"/>
        </w:rPr>
        <w:t xml:space="preserve"> Negatívny vplyv korekcií bol eliminovaný očistením vplyvu príjmov za prostriedky EÚ </w:t>
      </w:r>
      <w:r w:rsidRPr="00FB04BA">
        <w:rPr>
          <w:sz w:val="24"/>
          <w:szCs w:val="24"/>
        </w:rPr>
        <w:t>z dôvodu úhrady korekcií na náklady štátu vo výške 54</w:t>
      </w:r>
      <w:r>
        <w:rPr>
          <w:sz w:val="24"/>
          <w:szCs w:val="24"/>
        </w:rPr>
        <w:t> </w:t>
      </w:r>
      <w:r w:rsidRPr="00FB04BA">
        <w:rPr>
          <w:sz w:val="24"/>
          <w:szCs w:val="24"/>
        </w:rPr>
        <w:t>029 tis. eur (v rozpočte sa táto upravujúca položka rozpočtovala vo</w:t>
      </w:r>
      <w:r>
        <w:rPr>
          <w:sz w:val="24"/>
          <w:szCs w:val="24"/>
        </w:rPr>
        <w:t> </w:t>
      </w:r>
      <w:r w:rsidRPr="00FB04BA">
        <w:rPr>
          <w:sz w:val="24"/>
          <w:szCs w:val="24"/>
        </w:rPr>
        <w:t>výške 50</w:t>
      </w:r>
      <w:r>
        <w:rPr>
          <w:sz w:val="24"/>
          <w:szCs w:val="24"/>
        </w:rPr>
        <w:t> </w:t>
      </w:r>
      <w:r w:rsidRPr="00FB04BA">
        <w:rPr>
          <w:sz w:val="24"/>
          <w:szCs w:val="24"/>
        </w:rPr>
        <w:t>000 tis. eur a rozdiel oproti skutočnosti predstavuje 4 029 tis. eur).</w:t>
      </w:r>
    </w:p>
    <w:p w14:paraId="41A4E6DF" w14:textId="522BFA17" w:rsidR="009A05C7" w:rsidRDefault="009A05C7" w:rsidP="009A05C7">
      <w:pPr>
        <w:spacing w:before="120" w:after="0" w:line="240" w:lineRule="auto"/>
        <w:rPr>
          <w:sz w:val="24"/>
          <w:szCs w:val="24"/>
        </w:rPr>
      </w:pPr>
      <w:r>
        <w:rPr>
          <w:sz w:val="24"/>
          <w:szCs w:val="24"/>
        </w:rPr>
        <w:t>V</w:t>
      </w:r>
      <w:r w:rsidRPr="00FB04BA">
        <w:rPr>
          <w:sz w:val="24"/>
          <w:szCs w:val="24"/>
        </w:rPr>
        <w:t>ýšk</w:t>
      </w:r>
      <w:r>
        <w:rPr>
          <w:sz w:val="24"/>
          <w:szCs w:val="24"/>
        </w:rPr>
        <w:t>a</w:t>
      </w:r>
      <w:r w:rsidRPr="00FB04BA">
        <w:rPr>
          <w:sz w:val="24"/>
          <w:szCs w:val="24"/>
        </w:rPr>
        <w:t xml:space="preserve"> poskytnutého nadčerpania (za výdavky po</w:t>
      </w:r>
      <w:r w:rsidR="00091E03">
        <w:rPr>
          <w:sz w:val="24"/>
          <w:szCs w:val="24"/>
        </w:rPr>
        <w:t>skytnuté platobnej jednotke nad </w:t>
      </w:r>
      <w:r w:rsidRPr="00FB04BA">
        <w:rPr>
          <w:sz w:val="24"/>
          <w:szCs w:val="24"/>
        </w:rPr>
        <w:t>rámec 100</w:t>
      </w:r>
      <w:r>
        <w:rPr>
          <w:sz w:val="24"/>
          <w:szCs w:val="24"/>
        </w:rPr>
        <w:t> </w:t>
      </w:r>
      <w:r w:rsidRPr="00FB04BA">
        <w:rPr>
          <w:sz w:val="24"/>
          <w:szCs w:val="24"/>
        </w:rPr>
        <w:t xml:space="preserve">% alokácie programu), ktoré EK nepreplatí z dôvodu prekročenia alokácie </w:t>
      </w:r>
      <w:r>
        <w:rPr>
          <w:sz w:val="24"/>
          <w:szCs w:val="24"/>
        </w:rPr>
        <w:t xml:space="preserve">bola </w:t>
      </w:r>
      <w:r w:rsidRPr="00FB04BA">
        <w:rPr>
          <w:sz w:val="24"/>
          <w:szCs w:val="24"/>
        </w:rPr>
        <w:t>vo</w:t>
      </w:r>
      <w:r>
        <w:rPr>
          <w:sz w:val="24"/>
          <w:szCs w:val="24"/>
        </w:rPr>
        <w:t> </w:t>
      </w:r>
      <w:r w:rsidRPr="00FB04BA">
        <w:rPr>
          <w:sz w:val="24"/>
          <w:szCs w:val="24"/>
        </w:rPr>
        <w:t>výške 31</w:t>
      </w:r>
      <w:r>
        <w:rPr>
          <w:sz w:val="24"/>
          <w:szCs w:val="24"/>
        </w:rPr>
        <w:t> 201 tis. eur.</w:t>
      </w:r>
    </w:p>
    <w:p w14:paraId="6E39CD01" w14:textId="178797E5" w:rsidR="009A05C7" w:rsidRPr="001B22B0" w:rsidRDefault="009A05C7" w:rsidP="009A05C7">
      <w:pPr>
        <w:spacing w:before="120" w:line="240" w:lineRule="auto"/>
        <w:rPr>
          <w:sz w:val="24"/>
          <w:szCs w:val="24"/>
        </w:rPr>
      </w:pPr>
      <w:r w:rsidRPr="001B22B0">
        <w:rPr>
          <w:sz w:val="24"/>
          <w:szCs w:val="24"/>
        </w:rPr>
        <w:t xml:space="preserve">Pre zaznamenávanie výdavkov z Plánu Obnovy a odolnosti hradených z EÚ platia rovnaké pravidlá ako pre zaznamenávanie prostriedkov z klasických </w:t>
      </w:r>
      <w:r w:rsidR="001B2E8F" w:rsidRPr="007506C3">
        <w:rPr>
          <w:sz w:val="24"/>
          <w:szCs w:val="24"/>
        </w:rPr>
        <w:t>Európsk</w:t>
      </w:r>
      <w:r w:rsidR="00E8050E">
        <w:rPr>
          <w:sz w:val="24"/>
          <w:szCs w:val="24"/>
        </w:rPr>
        <w:t>ych štrukturálnych</w:t>
      </w:r>
      <w:r w:rsidR="001B2E8F" w:rsidRPr="007506C3">
        <w:rPr>
          <w:sz w:val="24"/>
          <w:szCs w:val="24"/>
        </w:rPr>
        <w:t xml:space="preserve"> a</w:t>
      </w:r>
      <w:r w:rsidR="00D259E2">
        <w:rPr>
          <w:sz w:val="24"/>
          <w:szCs w:val="24"/>
        </w:rPr>
        <w:t> </w:t>
      </w:r>
      <w:r w:rsidR="001B2E8F" w:rsidRPr="007506C3">
        <w:rPr>
          <w:sz w:val="24"/>
          <w:szCs w:val="24"/>
        </w:rPr>
        <w:t>investičn</w:t>
      </w:r>
      <w:r w:rsidR="00E8050E">
        <w:rPr>
          <w:sz w:val="24"/>
          <w:szCs w:val="24"/>
        </w:rPr>
        <w:t>ých</w:t>
      </w:r>
      <w:r w:rsidR="001B2E8F" w:rsidRPr="007506C3">
        <w:rPr>
          <w:sz w:val="24"/>
          <w:szCs w:val="24"/>
        </w:rPr>
        <w:t xml:space="preserve"> fond</w:t>
      </w:r>
      <w:r w:rsidR="00E8050E">
        <w:rPr>
          <w:sz w:val="24"/>
          <w:szCs w:val="24"/>
        </w:rPr>
        <w:t>ov</w:t>
      </w:r>
      <w:r w:rsidRPr="001B22B0">
        <w:rPr>
          <w:sz w:val="24"/>
          <w:szCs w:val="24"/>
        </w:rPr>
        <w:t xml:space="preserve">, teda </w:t>
      </w:r>
      <w:r>
        <w:rPr>
          <w:sz w:val="24"/>
          <w:szCs w:val="24"/>
        </w:rPr>
        <w:t xml:space="preserve">sa eliminuje </w:t>
      </w:r>
      <w:r w:rsidRPr="001B22B0">
        <w:rPr>
          <w:sz w:val="24"/>
          <w:szCs w:val="24"/>
        </w:rPr>
        <w:t>ich vplyv na</w:t>
      </w:r>
      <w:r>
        <w:rPr>
          <w:sz w:val="24"/>
          <w:szCs w:val="24"/>
        </w:rPr>
        <w:t> </w:t>
      </w:r>
      <w:r w:rsidRPr="001B22B0">
        <w:rPr>
          <w:sz w:val="24"/>
          <w:szCs w:val="24"/>
        </w:rPr>
        <w:t>schodok verejnej správy. Hodnota tejto upravujúcej položky na schodok predstavovala v roku 2024 pozitívnu hodnotu 29</w:t>
      </w:r>
      <w:r>
        <w:rPr>
          <w:sz w:val="24"/>
          <w:szCs w:val="24"/>
        </w:rPr>
        <w:t> </w:t>
      </w:r>
      <w:r w:rsidRPr="001B22B0">
        <w:rPr>
          <w:sz w:val="24"/>
          <w:szCs w:val="24"/>
        </w:rPr>
        <w:t>266 tis. eur</w:t>
      </w:r>
      <w:r>
        <w:rPr>
          <w:sz w:val="24"/>
          <w:szCs w:val="24"/>
        </w:rPr>
        <w:t xml:space="preserve"> (hodnota výdavkov z POO bo</w:t>
      </w:r>
      <w:r w:rsidR="00166452">
        <w:rPr>
          <w:sz w:val="24"/>
          <w:szCs w:val="24"/>
        </w:rPr>
        <w:t>la vyššia ako hodnota príjmov).</w:t>
      </w:r>
    </w:p>
    <w:p w14:paraId="3A7A9C6B" w14:textId="2FEF2CEE" w:rsidR="009A05C7" w:rsidRPr="00E43F69" w:rsidRDefault="009A05C7" w:rsidP="009A05C7">
      <w:pPr>
        <w:spacing w:before="120" w:line="240" w:lineRule="auto"/>
        <w:rPr>
          <w:b/>
          <w:color w:val="5B9BD5" w:themeColor="accent1"/>
          <w:sz w:val="24"/>
          <w:szCs w:val="24"/>
        </w:rPr>
      </w:pPr>
      <w:r w:rsidRPr="00E43F69">
        <w:rPr>
          <w:b/>
          <w:color w:val="5B9BD5" w:themeColor="accent1"/>
          <w:sz w:val="24"/>
          <w:szCs w:val="24"/>
        </w:rPr>
        <w:t>Zelená energia</w:t>
      </w:r>
    </w:p>
    <w:p w14:paraId="0CCF94DC" w14:textId="17D6EE8C" w:rsidR="009A05C7" w:rsidRPr="003B1583" w:rsidRDefault="009A05C7" w:rsidP="009A05C7">
      <w:pPr>
        <w:spacing w:line="240" w:lineRule="auto"/>
        <w:rPr>
          <w:sz w:val="24"/>
          <w:szCs w:val="24"/>
        </w:rPr>
      </w:pPr>
      <w:r w:rsidRPr="003B1583">
        <w:rPr>
          <w:sz w:val="24"/>
          <w:szCs w:val="24"/>
        </w:rPr>
        <w:t>Podpora obnoviteľných zdrojov energie (OZE) sa realizuje prostredníctvom politiky štátu, ktorou chce podporiť OZE pomocou povinného výkupu energie za vyššiu cenu. Od roku 2020 už túto povinnosť výkupu nemajú distribučné spoločnosti, ale spoločnosť SPP resp.</w:t>
      </w:r>
      <w:r>
        <w:rPr>
          <w:sz w:val="24"/>
          <w:szCs w:val="24"/>
        </w:rPr>
        <w:t xml:space="preserve"> </w:t>
      </w:r>
      <w:r w:rsidRPr="003B1583">
        <w:rPr>
          <w:sz w:val="24"/>
          <w:szCs w:val="24"/>
        </w:rPr>
        <w:t>OKTE (Organizátor krátkodobého trhu s elektrinou). Pri podpore výroby ide o nekomerčnú aktivitu vykonávanú jednotkami nepatriacimi do sektora verejnej správy, ktoré vykupujú za</w:t>
      </w:r>
      <w:r>
        <w:rPr>
          <w:sz w:val="24"/>
          <w:szCs w:val="24"/>
        </w:rPr>
        <w:t> </w:t>
      </w:r>
      <w:r w:rsidRPr="003B1583">
        <w:rPr>
          <w:sz w:val="24"/>
          <w:szCs w:val="24"/>
        </w:rPr>
        <w:t>vyššie ceny elektrinu vyrobenú z OZE, pretože im to ukladá zákon, teda reálne vykonávajú vládnu politiku v oblasti podpory OZE.</w:t>
      </w:r>
      <w:r>
        <w:rPr>
          <w:sz w:val="24"/>
          <w:szCs w:val="24"/>
        </w:rPr>
        <w:t xml:space="preserve"> </w:t>
      </w:r>
      <w:r w:rsidRPr="003B1583">
        <w:rPr>
          <w:sz w:val="24"/>
          <w:szCs w:val="24"/>
        </w:rPr>
        <w:t>Z tohto dôvodu sa predmetné transakcie presmerovávajú cez</w:t>
      </w:r>
      <w:r w:rsidR="00B75AEE">
        <w:rPr>
          <w:sz w:val="24"/>
          <w:szCs w:val="24"/>
        </w:rPr>
        <w:t> </w:t>
      </w:r>
      <w:r w:rsidRPr="003B1583">
        <w:rPr>
          <w:sz w:val="24"/>
          <w:szCs w:val="24"/>
        </w:rPr>
        <w:t>sektor verejnej správy, kde neverejné jednotky vyberajú dane a zároveň poskytujú subvencie výrobcom energie. Dane platí obyvateľstvo v cenách energie v rámci tarify za</w:t>
      </w:r>
      <w:r w:rsidR="00B75AEE">
        <w:rPr>
          <w:sz w:val="24"/>
          <w:szCs w:val="24"/>
        </w:rPr>
        <w:t> </w:t>
      </w:r>
      <w:r w:rsidRPr="003B1583">
        <w:rPr>
          <w:sz w:val="24"/>
          <w:szCs w:val="24"/>
        </w:rPr>
        <w:t>prevádzku systému (TPS) a podpora OZE sa realizuje výkupom elektriny za zvýšenú cenu v podobe subvencie.</w:t>
      </w:r>
    </w:p>
    <w:p w14:paraId="128E6330" w14:textId="27E4B4D5" w:rsidR="009A05C7" w:rsidRPr="003B1583" w:rsidRDefault="009A05C7" w:rsidP="009A05C7">
      <w:pPr>
        <w:spacing w:line="240" w:lineRule="auto"/>
        <w:rPr>
          <w:sz w:val="24"/>
          <w:szCs w:val="24"/>
        </w:rPr>
      </w:pPr>
      <w:r w:rsidRPr="003B1583">
        <w:rPr>
          <w:sz w:val="24"/>
          <w:szCs w:val="24"/>
        </w:rPr>
        <w:t>V roku 2024 boli inkasované daňové príjmy p</w:t>
      </w:r>
      <w:r>
        <w:rPr>
          <w:sz w:val="24"/>
          <w:szCs w:val="24"/>
        </w:rPr>
        <w:t>rostredníctvom TPS vo výške 245 736 tis. eur a n</w:t>
      </w:r>
      <w:r w:rsidRPr="003B1583">
        <w:rPr>
          <w:sz w:val="24"/>
          <w:szCs w:val="24"/>
        </w:rPr>
        <w:t>a</w:t>
      </w:r>
      <w:r>
        <w:rPr>
          <w:sz w:val="24"/>
          <w:szCs w:val="24"/>
        </w:rPr>
        <w:t> </w:t>
      </w:r>
      <w:r w:rsidRPr="003B1583">
        <w:rPr>
          <w:sz w:val="24"/>
          <w:szCs w:val="24"/>
        </w:rPr>
        <w:t>strane výdavkov na podporu obnoviteľných zdrojov energie a vysoko účinnej kombinovanej výroby elektriny a tepla b</w:t>
      </w:r>
      <w:r w:rsidR="000D5DA5">
        <w:rPr>
          <w:sz w:val="24"/>
          <w:szCs w:val="24"/>
        </w:rPr>
        <w:t>ol vyplatený objem subvencií vo </w:t>
      </w:r>
      <w:r w:rsidRPr="003B1583">
        <w:rPr>
          <w:sz w:val="24"/>
          <w:szCs w:val="24"/>
        </w:rPr>
        <w:t>výške 282</w:t>
      </w:r>
      <w:r>
        <w:rPr>
          <w:sz w:val="24"/>
          <w:szCs w:val="24"/>
        </w:rPr>
        <w:t> </w:t>
      </w:r>
      <w:r w:rsidRPr="003B1583">
        <w:rPr>
          <w:sz w:val="24"/>
          <w:szCs w:val="24"/>
        </w:rPr>
        <w:t>758 tis. eur</w:t>
      </w:r>
      <w:r>
        <w:rPr>
          <w:sz w:val="24"/>
          <w:szCs w:val="24"/>
        </w:rPr>
        <w:t>.</w:t>
      </w:r>
      <w:r w:rsidRPr="003B1583">
        <w:rPr>
          <w:sz w:val="24"/>
          <w:szCs w:val="24"/>
        </w:rPr>
        <w:t xml:space="preserve"> Výsledné </w:t>
      </w:r>
      <w:r w:rsidRPr="003B1583">
        <w:rPr>
          <w:b/>
          <w:sz w:val="24"/>
          <w:szCs w:val="24"/>
        </w:rPr>
        <w:t xml:space="preserve">saldo </w:t>
      </w:r>
      <w:r w:rsidRPr="00182B66">
        <w:rPr>
          <w:bCs/>
          <w:sz w:val="24"/>
          <w:szCs w:val="24"/>
        </w:rPr>
        <w:t>schémy</w:t>
      </w:r>
      <w:r w:rsidRPr="003B1583">
        <w:rPr>
          <w:b/>
          <w:sz w:val="24"/>
          <w:szCs w:val="24"/>
        </w:rPr>
        <w:t xml:space="preserve"> podpory zelenej energie v roku </w:t>
      </w:r>
      <w:r>
        <w:rPr>
          <w:b/>
          <w:sz w:val="24"/>
          <w:szCs w:val="24"/>
        </w:rPr>
        <w:t xml:space="preserve">2024 </w:t>
      </w:r>
      <w:r w:rsidRPr="00182B66">
        <w:rPr>
          <w:bCs/>
          <w:sz w:val="24"/>
          <w:szCs w:val="24"/>
        </w:rPr>
        <w:t>bolo schodkové vo výške 37 022 tis. eur,</w:t>
      </w:r>
      <w:r w:rsidRPr="003B1583">
        <w:rPr>
          <w:b/>
          <w:sz w:val="24"/>
          <w:szCs w:val="24"/>
        </w:rPr>
        <w:t xml:space="preserve"> </w:t>
      </w:r>
      <w:r>
        <w:rPr>
          <w:bCs/>
          <w:sz w:val="24"/>
          <w:szCs w:val="24"/>
        </w:rPr>
        <w:t>čo predstavuje negatívnu odchýlku oproti rozpočtu 149 772 tis. eur.</w:t>
      </w:r>
    </w:p>
    <w:p w14:paraId="7B7FE2CE" w14:textId="77777777" w:rsidR="009A05C7" w:rsidRPr="00CA6577" w:rsidRDefault="009A05C7" w:rsidP="009A05C7">
      <w:pPr>
        <w:spacing w:before="120" w:line="240" w:lineRule="auto"/>
        <w:rPr>
          <w:b/>
          <w:color w:val="5B9BD5" w:themeColor="accent1"/>
          <w:sz w:val="24"/>
          <w:szCs w:val="24"/>
        </w:rPr>
      </w:pPr>
      <w:r w:rsidRPr="00CA6577">
        <w:rPr>
          <w:b/>
          <w:color w:val="5B9BD5" w:themeColor="accent1"/>
          <w:sz w:val="24"/>
          <w:szCs w:val="24"/>
        </w:rPr>
        <w:t>Výdavky na obstarávanie kapitálových aktív štátneho rozpočtu</w:t>
      </w:r>
    </w:p>
    <w:p w14:paraId="742CE5C7" w14:textId="1785720B" w:rsidR="009A05C7" w:rsidRPr="00CA6577" w:rsidRDefault="009A05C7" w:rsidP="009A05C7">
      <w:pPr>
        <w:keepNext/>
        <w:spacing w:line="240" w:lineRule="auto"/>
        <w:rPr>
          <w:b/>
          <w:color w:val="5B9BD5" w:themeColor="accent1"/>
          <w:sz w:val="24"/>
          <w:szCs w:val="24"/>
        </w:rPr>
      </w:pPr>
      <w:r w:rsidRPr="00CA6577">
        <w:rPr>
          <w:rFonts w:cs="Times New Roman"/>
          <w:sz w:val="24"/>
          <w:szCs w:val="24"/>
        </w:rPr>
        <w:t xml:space="preserve">Celková suma </w:t>
      </w:r>
      <w:r>
        <w:rPr>
          <w:rFonts w:cs="Times New Roman"/>
          <w:sz w:val="24"/>
          <w:szCs w:val="24"/>
        </w:rPr>
        <w:t xml:space="preserve">hotovostných </w:t>
      </w:r>
      <w:r w:rsidRPr="00CA6577">
        <w:rPr>
          <w:rFonts w:cs="Times New Roman"/>
          <w:sz w:val="24"/>
          <w:szCs w:val="24"/>
        </w:rPr>
        <w:t>rozpočtovaných výdavkov štátneho rozpočtu bo</w:t>
      </w:r>
      <w:r>
        <w:rPr>
          <w:rFonts w:cs="Times New Roman"/>
          <w:sz w:val="24"/>
          <w:szCs w:val="24"/>
        </w:rPr>
        <w:t>la 2 086 203</w:t>
      </w:r>
      <w:r w:rsidRPr="00CA6577">
        <w:rPr>
          <w:rFonts w:cs="Times New Roman"/>
          <w:sz w:val="24"/>
          <w:szCs w:val="24"/>
        </w:rPr>
        <w:t> tis. eur. Skutočné plnenie bolo nižšie o 650 644 tis. eur a výdavky za realizované projekty a dosiahli hodnotu 1 435</w:t>
      </w:r>
      <w:r>
        <w:rPr>
          <w:rFonts w:cs="Times New Roman"/>
          <w:sz w:val="24"/>
          <w:szCs w:val="24"/>
        </w:rPr>
        <w:t> </w:t>
      </w:r>
      <w:r w:rsidRPr="00CA6577">
        <w:rPr>
          <w:rFonts w:cs="Times New Roman"/>
          <w:sz w:val="24"/>
          <w:szCs w:val="24"/>
        </w:rPr>
        <w:t>559</w:t>
      </w:r>
      <w:r>
        <w:rPr>
          <w:rFonts w:cs="Times New Roman"/>
          <w:sz w:val="24"/>
          <w:szCs w:val="24"/>
        </w:rPr>
        <w:t> </w:t>
      </w:r>
      <w:r w:rsidRPr="00CA6577">
        <w:rPr>
          <w:rFonts w:cs="Times New Roman"/>
          <w:sz w:val="24"/>
          <w:szCs w:val="24"/>
        </w:rPr>
        <w:t>tis.</w:t>
      </w:r>
      <w:r>
        <w:rPr>
          <w:rFonts w:cs="Times New Roman"/>
          <w:sz w:val="24"/>
          <w:szCs w:val="24"/>
        </w:rPr>
        <w:t> </w:t>
      </w:r>
      <w:r w:rsidRPr="00CA6577">
        <w:rPr>
          <w:rFonts w:cs="Times New Roman"/>
          <w:sz w:val="24"/>
          <w:szCs w:val="24"/>
        </w:rPr>
        <w:t>eur. Najvýraznejšie rozdiely boli v kapitole Ministerstva zdravotníctva (o</w:t>
      </w:r>
      <w:r>
        <w:rPr>
          <w:rFonts w:cs="Times New Roman"/>
          <w:sz w:val="24"/>
          <w:szCs w:val="24"/>
        </w:rPr>
        <w:t> </w:t>
      </w:r>
      <w:r w:rsidRPr="00CA6577">
        <w:rPr>
          <w:rFonts w:cs="Times New Roman"/>
          <w:sz w:val="24"/>
          <w:szCs w:val="24"/>
        </w:rPr>
        <w:t>319 672 tis.</w:t>
      </w:r>
      <w:r w:rsidR="005277CB">
        <w:rPr>
          <w:rFonts w:cs="Times New Roman"/>
          <w:sz w:val="24"/>
          <w:szCs w:val="24"/>
        </w:rPr>
        <w:t> eur</w:t>
      </w:r>
      <w:r>
        <w:rPr>
          <w:rFonts w:cs="Times New Roman"/>
          <w:sz w:val="24"/>
          <w:szCs w:val="24"/>
        </w:rPr>
        <w:t>), Ministerstva dopravy (o </w:t>
      </w:r>
      <w:r w:rsidR="005277CB">
        <w:rPr>
          <w:rFonts w:cs="Times New Roman"/>
          <w:sz w:val="24"/>
          <w:szCs w:val="24"/>
        </w:rPr>
        <w:t>255 365 tis. eur</w:t>
      </w:r>
      <w:r w:rsidRPr="00CA6577">
        <w:rPr>
          <w:rFonts w:cs="Times New Roman"/>
          <w:sz w:val="24"/>
          <w:szCs w:val="24"/>
        </w:rPr>
        <w:t>) a Ministerstva obrany (o</w:t>
      </w:r>
      <w:r>
        <w:rPr>
          <w:rFonts w:cs="Times New Roman"/>
          <w:sz w:val="24"/>
          <w:szCs w:val="24"/>
        </w:rPr>
        <w:t> </w:t>
      </w:r>
      <w:r w:rsidRPr="00CA6577">
        <w:rPr>
          <w:rFonts w:cs="Times New Roman"/>
          <w:sz w:val="24"/>
          <w:szCs w:val="24"/>
        </w:rPr>
        <w:t>130 344 tis. eur).</w:t>
      </w:r>
    </w:p>
    <w:p w14:paraId="797807B0" w14:textId="77777777" w:rsidR="009A05C7" w:rsidRPr="00D557E7" w:rsidRDefault="009A05C7" w:rsidP="009A05C7">
      <w:pPr>
        <w:spacing w:line="240" w:lineRule="auto"/>
        <w:rPr>
          <w:b/>
          <w:bCs/>
          <w:color w:val="5B9BD5" w:themeColor="accent1"/>
          <w:sz w:val="24"/>
          <w:szCs w:val="24"/>
        </w:rPr>
      </w:pPr>
      <w:r w:rsidRPr="00D557E7">
        <w:rPr>
          <w:b/>
          <w:color w:val="5B9BD5" w:themeColor="accent1"/>
          <w:sz w:val="24"/>
          <w:szCs w:val="24"/>
        </w:rPr>
        <w:t xml:space="preserve">Vplyv </w:t>
      </w:r>
      <w:r w:rsidRPr="00D557E7">
        <w:rPr>
          <w:b/>
          <w:bCs/>
          <w:color w:val="5B9BD5" w:themeColor="accent1"/>
          <w:sz w:val="24"/>
          <w:szCs w:val="24"/>
        </w:rPr>
        <w:t>akruálnych príjmov a výdavkov na obsluhu štátneho dlhu</w:t>
      </w:r>
    </w:p>
    <w:p w14:paraId="0CCBE9A5" w14:textId="287EC562" w:rsidR="009A05C7" w:rsidRDefault="009A05C7" w:rsidP="009A05C7">
      <w:pPr>
        <w:spacing w:line="240" w:lineRule="auto"/>
        <w:rPr>
          <w:rFonts w:eastAsia="Calibri" w:cs="Times New Roman"/>
          <w:sz w:val="24"/>
          <w:szCs w:val="24"/>
        </w:rPr>
      </w:pPr>
      <w:r w:rsidRPr="00D557E7">
        <w:rPr>
          <w:rFonts w:eastAsia="Calibri" w:cs="Times New Roman"/>
          <w:sz w:val="24"/>
          <w:szCs w:val="24"/>
        </w:rPr>
        <w:t xml:space="preserve">Bilancia príjmov a výdavkov na obsluhu štátneho dlhu v akruálnom vyjadrení zvýšila saldo verejnej správy o 272 742 tis. eur. Oproti rozpočtovanej úrovni 221 024 tis. eur sa deficit zvýšil o 51 718 tis. eur. Negatívny vplyv na bilanciu príjmov a výdavkov mal pokles </w:t>
      </w:r>
      <w:r w:rsidRPr="00D557E7">
        <w:rPr>
          <w:rFonts w:eastAsia="Calibri" w:cs="Times New Roman"/>
          <w:sz w:val="24"/>
          <w:szCs w:val="24"/>
        </w:rPr>
        <w:lastRenderedPageBreak/>
        <w:t>v príjmoch oproti rozpočtu, keďže trhové úrokové sadzby bol</w:t>
      </w:r>
      <w:r w:rsidR="000D5DA5">
        <w:rPr>
          <w:rFonts w:eastAsia="Calibri" w:cs="Times New Roman"/>
          <w:sz w:val="24"/>
          <w:szCs w:val="24"/>
        </w:rPr>
        <w:t>i vyššie ako sa plánovalo a pri </w:t>
      </w:r>
      <w:r w:rsidRPr="00D557E7">
        <w:rPr>
          <w:rFonts w:eastAsia="Calibri" w:cs="Times New Roman"/>
          <w:sz w:val="24"/>
          <w:szCs w:val="24"/>
        </w:rPr>
        <w:t>emisiách štát inkasoval nižšie ážio. Negatívny vplyv na rozpočet sa prejavil aj vo</w:t>
      </w:r>
      <w:r w:rsidR="000D5DA5">
        <w:rPr>
          <w:rFonts w:eastAsia="Calibri" w:cs="Times New Roman"/>
          <w:sz w:val="24"/>
          <w:szCs w:val="24"/>
        </w:rPr>
        <w:t> </w:t>
      </w:r>
      <w:r w:rsidRPr="00D557E7">
        <w:rPr>
          <w:rFonts w:eastAsia="Calibri" w:cs="Times New Roman"/>
          <w:sz w:val="24"/>
          <w:szCs w:val="24"/>
        </w:rPr>
        <w:t>výdavkoch, ktoré narástli oproti rozpočtu, keďže bol emitovaný väčší objem štátnych dlhopisov ako sa plánovalo.</w:t>
      </w:r>
    </w:p>
    <w:p w14:paraId="05CF186A" w14:textId="77777777" w:rsidR="009A05C7" w:rsidRPr="00D557E7" w:rsidRDefault="009A05C7" w:rsidP="009A05C7">
      <w:pPr>
        <w:spacing w:line="240" w:lineRule="auto"/>
        <w:rPr>
          <w:b/>
          <w:bCs/>
          <w:color w:val="5B9BD5" w:themeColor="accent1"/>
          <w:sz w:val="24"/>
          <w:szCs w:val="24"/>
        </w:rPr>
      </w:pPr>
      <w:r w:rsidRPr="00D557E7">
        <w:rPr>
          <w:b/>
          <w:color w:val="5B9BD5" w:themeColor="accent1"/>
          <w:sz w:val="24"/>
          <w:szCs w:val="24"/>
        </w:rPr>
        <w:t xml:space="preserve">Vplyv </w:t>
      </w:r>
      <w:r>
        <w:rPr>
          <w:b/>
          <w:bCs/>
          <w:color w:val="5B9BD5" w:themeColor="accent1"/>
          <w:sz w:val="24"/>
          <w:szCs w:val="24"/>
        </w:rPr>
        <w:t>akruálneho zaznamenania výdavkov</w:t>
      </w:r>
      <w:r w:rsidRPr="00D557E7">
        <w:rPr>
          <w:b/>
          <w:bCs/>
          <w:color w:val="5B9BD5" w:themeColor="accent1"/>
          <w:sz w:val="24"/>
          <w:szCs w:val="24"/>
        </w:rPr>
        <w:t xml:space="preserve"> </w:t>
      </w:r>
      <w:r>
        <w:rPr>
          <w:b/>
          <w:bCs/>
          <w:color w:val="5B9BD5" w:themeColor="accent1"/>
          <w:sz w:val="24"/>
          <w:szCs w:val="24"/>
        </w:rPr>
        <w:t>na energopomoc</w:t>
      </w:r>
    </w:p>
    <w:p w14:paraId="74E85A32" w14:textId="06349291" w:rsidR="009A05C7" w:rsidRDefault="009A05C7" w:rsidP="009A05C7">
      <w:pPr>
        <w:pStyle w:val="Odsekzoznamu"/>
        <w:spacing w:after="120"/>
        <w:ind w:left="0"/>
        <w:contextualSpacing w:val="0"/>
        <w:jc w:val="both"/>
        <w:rPr>
          <w:rFonts w:ascii="Times New Roman" w:eastAsia="Calibri" w:hAnsi="Times New Roman"/>
          <w:sz w:val="24"/>
          <w:szCs w:val="24"/>
        </w:rPr>
      </w:pPr>
      <w:r w:rsidRPr="005620CD">
        <w:rPr>
          <w:rFonts w:ascii="Times New Roman" w:eastAsia="Calibri" w:hAnsi="Times New Roman"/>
          <w:sz w:val="24"/>
          <w:szCs w:val="24"/>
        </w:rPr>
        <w:t>Oproti rozpočtu bol v skutočnosti zaznamenaný pozitívny vplyv akrualizácie výdavkov na</w:t>
      </w:r>
      <w:r>
        <w:rPr>
          <w:rFonts w:ascii="Times New Roman" w:eastAsia="Calibri" w:hAnsi="Times New Roman"/>
          <w:sz w:val="24"/>
          <w:szCs w:val="24"/>
        </w:rPr>
        <w:t> </w:t>
      </w:r>
      <w:r w:rsidRPr="005620CD">
        <w:rPr>
          <w:rFonts w:ascii="Times New Roman" w:eastAsia="Calibri" w:hAnsi="Times New Roman"/>
          <w:sz w:val="24"/>
          <w:szCs w:val="24"/>
        </w:rPr>
        <w:t>energopomoc vo výške</w:t>
      </w:r>
      <w:r>
        <w:rPr>
          <w:rFonts w:ascii="Times New Roman" w:eastAsia="Calibri" w:hAnsi="Times New Roman"/>
          <w:sz w:val="24"/>
          <w:szCs w:val="24"/>
        </w:rPr>
        <w:t> 95,7 mil. </w:t>
      </w:r>
      <w:r w:rsidRPr="005620CD">
        <w:rPr>
          <w:rFonts w:ascii="Times New Roman" w:eastAsia="Calibri" w:hAnsi="Times New Roman"/>
          <w:sz w:val="24"/>
          <w:szCs w:val="24"/>
        </w:rPr>
        <w:t>eur z dô</w:t>
      </w:r>
      <w:r w:rsidR="000D5DA5">
        <w:rPr>
          <w:rFonts w:ascii="Times New Roman" w:eastAsia="Calibri" w:hAnsi="Times New Roman"/>
          <w:sz w:val="24"/>
          <w:szCs w:val="24"/>
        </w:rPr>
        <w:t>vodu časového posunu platieb do </w:t>
      </w:r>
      <w:r w:rsidRPr="005620CD">
        <w:rPr>
          <w:rFonts w:ascii="Times New Roman" w:eastAsia="Calibri" w:hAnsi="Times New Roman"/>
          <w:sz w:val="24"/>
          <w:szCs w:val="24"/>
        </w:rPr>
        <w:t>rokov, s ktorými vecne súvisia (</w:t>
      </w:r>
      <w:r>
        <w:rPr>
          <w:rFonts w:ascii="Times New Roman" w:eastAsia="Calibri" w:hAnsi="Times New Roman"/>
          <w:sz w:val="24"/>
          <w:szCs w:val="24"/>
        </w:rPr>
        <w:t>e</w:t>
      </w:r>
      <w:r w:rsidRPr="005620CD">
        <w:rPr>
          <w:rFonts w:ascii="Times New Roman" w:eastAsia="Calibri" w:hAnsi="Times New Roman"/>
          <w:sz w:val="24"/>
          <w:szCs w:val="24"/>
        </w:rPr>
        <w:t>liminácia výdavku o</w:t>
      </w:r>
      <w:r>
        <w:rPr>
          <w:rFonts w:ascii="Times New Roman" w:eastAsia="Calibri" w:hAnsi="Times New Roman"/>
          <w:sz w:val="24"/>
          <w:szCs w:val="24"/>
        </w:rPr>
        <w:t> </w:t>
      </w:r>
      <w:r w:rsidRPr="005620CD">
        <w:rPr>
          <w:rFonts w:ascii="Times New Roman" w:eastAsia="Calibri" w:hAnsi="Times New Roman"/>
          <w:sz w:val="24"/>
          <w:szCs w:val="24"/>
        </w:rPr>
        <w:t>190</w:t>
      </w:r>
      <w:r>
        <w:rPr>
          <w:rFonts w:ascii="Times New Roman" w:eastAsia="Calibri" w:hAnsi="Times New Roman"/>
          <w:sz w:val="24"/>
          <w:szCs w:val="24"/>
        </w:rPr>
        <w:t>,1</w:t>
      </w:r>
      <w:r w:rsidRPr="005620CD">
        <w:rPr>
          <w:rFonts w:ascii="Times New Roman" w:eastAsia="Calibri" w:hAnsi="Times New Roman"/>
          <w:sz w:val="24"/>
          <w:szCs w:val="24"/>
        </w:rPr>
        <w:t> mil.</w:t>
      </w:r>
      <w:r>
        <w:rPr>
          <w:rFonts w:ascii="Times New Roman" w:eastAsia="Calibri" w:hAnsi="Times New Roman"/>
          <w:sz w:val="24"/>
          <w:szCs w:val="24"/>
        </w:rPr>
        <w:t> </w:t>
      </w:r>
      <w:r w:rsidRPr="005620CD">
        <w:rPr>
          <w:rFonts w:ascii="Times New Roman" w:eastAsia="Calibri" w:hAnsi="Times New Roman"/>
          <w:sz w:val="24"/>
          <w:szCs w:val="24"/>
        </w:rPr>
        <w:t>eur, kt</w:t>
      </w:r>
      <w:r>
        <w:rPr>
          <w:rFonts w:ascii="Times New Roman" w:eastAsia="Calibri" w:hAnsi="Times New Roman"/>
          <w:sz w:val="24"/>
          <w:szCs w:val="24"/>
        </w:rPr>
        <w:t>orý</w:t>
      </w:r>
      <w:r w:rsidRPr="005620CD">
        <w:rPr>
          <w:rFonts w:ascii="Times New Roman" w:eastAsia="Calibri" w:hAnsi="Times New Roman"/>
          <w:sz w:val="24"/>
          <w:szCs w:val="24"/>
        </w:rPr>
        <w:t xml:space="preserve"> patrí do roku 2023 a nárast výdavk</w:t>
      </w:r>
      <w:r>
        <w:rPr>
          <w:rFonts w:ascii="Times New Roman" w:eastAsia="Calibri" w:hAnsi="Times New Roman"/>
          <w:sz w:val="24"/>
          <w:szCs w:val="24"/>
        </w:rPr>
        <w:t xml:space="preserve">ov roku 2024 </w:t>
      </w:r>
      <w:r w:rsidRPr="005620CD">
        <w:rPr>
          <w:rFonts w:ascii="Times New Roman" w:eastAsia="Calibri" w:hAnsi="Times New Roman"/>
          <w:sz w:val="24"/>
          <w:szCs w:val="24"/>
        </w:rPr>
        <w:t>o</w:t>
      </w:r>
      <w:r>
        <w:rPr>
          <w:rFonts w:ascii="Times New Roman" w:eastAsia="Calibri" w:hAnsi="Times New Roman"/>
          <w:sz w:val="24"/>
          <w:szCs w:val="24"/>
        </w:rPr>
        <w:t> </w:t>
      </w:r>
      <w:r w:rsidRPr="005620CD">
        <w:rPr>
          <w:rFonts w:ascii="Times New Roman" w:eastAsia="Calibri" w:hAnsi="Times New Roman"/>
          <w:sz w:val="24"/>
          <w:szCs w:val="24"/>
        </w:rPr>
        <w:t>94</w:t>
      </w:r>
      <w:r>
        <w:rPr>
          <w:rFonts w:ascii="Times New Roman" w:eastAsia="Calibri" w:hAnsi="Times New Roman"/>
          <w:sz w:val="24"/>
          <w:szCs w:val="24"/>
        </w:rPr>
        <w:t>,4 mil. </w:t>
      </w:r>
      <w:r w:rsidRPr="005620CD">
        <w:rPr>
          <w:rFonts w:ascii="Times New Roman" w:eastAsia="Calibri" w:hAnsi="Times New Roman"/>
          <w:sz w:val="24"/>
          <w:szCs w:val="24"/>
        </w:rPr>
        <w:t xml:space="preserve">eur, </w:t>
      </w:r>
      <w:r>
        <w:rPr>
          <w:rFonts w:ascii="Times New Roman" w:eastAsia="Calibri" w:hAnsi="Times New Roman"/>
          <w:sz w:val="24"/>
          <w:szCs w:val="24"/>
        </w:rPr>
        <w:t>na základe úhrad vyplatených</w:t>
      </w:r>
      <w:r w:rsidRPr="005620CD">
        <w:rPr>
          <w:rFonts w:ascii="Times New Roman" w:eastAsia="Calibri" w:hAnsi="Times New Roman"/>
          <w:sz w:val="24"/>
          <w:szCs w:val="24"/>
        </w:rPr>
        <w:t xml:space="preserve"> v roku 2025)</w:t>
      </w:r>
      <w:r>
        <w:rPr>
          <w:rFonts w:ascii="Times New Roman" w:eastAsia="Calibri" w:hAnsi="Times New Roman"/>
          <w:sz w:val="24"/>
          <w:szCs w:val="24"/>
        </w:rPr>
        <w:t>. Keďže rezerva na </w:t>
      </w:r>
      <w:r w:rsidRPr="005E5BE4">
        <w:rPr>
          <w:rFonts w:ascii="Times New Roman" w:eastAsia="Calibri" w:hAnsi="Times New Roman"/>
          <w:sz w:val="24"/>
          <w:szCs w:val="24"/>
        </w:rPr>
        <w:t>kompenzačné opatrenia súvisiace s rastom cien energií bola rozpočtovaná vo</w:t>
      </w:r>
      <w:r>
        <w:rPr>
          <w:rFonts w:ascii="Times New Roman" w:eastAsia="Calibri" w:hAnsi="Times New Roman"/>
          <w:sz w:val="24"/>
          <w:szCs w:val="24"/>
        </w:rPr>
        <w:t> </w:t>
      </w:r>
      <w:r w:rsidRPr="005E5BE4">
        <w:rPr>
          <w:rFonts w:ascii="Times New Roman" w:eastAsia="Calibri" w:hAnsi="Times New Roman"/>
          <w:sz w:val="24"/>
          <w:szCs w:val="24"/>
        </w:rPr>
        <w:t>výške</w:t>
      </w:r>
      <w:r>
        <w:rPr>
          <w:rFonts w:ascii="Times New Roman" w:eastAsia="Calibri" w:hAnsi="Times New Roman"/>
          <w:sz w:val="24"/>
          <w:szCs w:val="24"/>
        </w:rPr>
        <w:t xml:space="preserve"> </w:t>
      </w:r>
      <w:r w:rsidRPr="005E5BE4">
        <w:rPr>
          <w:rFonts w:ascii="Times New Roman" w:eastAsia="Calibri" w:hAnsi="Times New Roman"/>
          <w:sz w:val="24"/>
          <w:szCs w:val="24"/>
        </w:rPr>
        <w:t>800</w:t>
      </w:r>
      <w:r>
        <w:rPr>
          <w:rFonts w:ascii="Times New Roman" w:eastAsia="Calibri" w:hAnsi="Times New Roman"/>
          <w:sz w:val="24"/>
          <w:szCs w:val="24"/>
        </w:rPr>
        <w:t> 000 tis. eur, p</w:t>
      </w:r>
      <w:r w:rsidRPr="005E5BE4">
        <w:rPr>
          <w:rFonts w:ascii="Times New Roman" w:eastAsia="Calibri" w:hAnsi="Times New Roman"/>
          <w:sz w:val="24"/>
          <w:szCs w:val="24"/>
        </w:rPr>
        <w:t xml:space="preserve">o zohľadnení časového posunu úhrad do vecne príslušného obdobia boli </w:t>
      </w:r>
      <w:r>
        <w:rPr>
          <w:rFonts w:ascii="Times New Roman" w:eastAsia="Calibri" w:hAnsi="Times New Roman"/>
          <w:sz w:val="24"/>
          <w:szCs w:val="24"/>
        </w:rPr>
        <w:t xml:space="preserve">celkové </w:t>
      </w:r>
      <w:r w:rsidRPr="005E5BE4">
        <w:rPr>
          <w:rFonts w:ascii="Times New Roman" w:eastAsia="Calibri" w:hAnsi="Times New Roman"/>
          <w:sz w:val="24"/>
          <w:szCs w:val="24"/>
        </w:rPr>
        <w:t>výdavky na energopomoc v roku 20</w:t>
      </w:r>
      <w:r>
        <w:rPr>
          <w:rFonts w:ascii="Times New Roman" w:eastAsia="Calibri" w:hAnsi="Times New Roman"/>
          <w:sz w:val="24"/>
          <w:szCs w:val="24"/>
        </w:rPr>
        <w:t>24 oproti rozpočtu vyššie o 326 </w:t>
      </w:r>
      <w:r w:rsidRPr="005E5BE4">
        <w:rPr>
          <w:rFonts w:ascii="Times New Roman" w:eastAsia="Calibri" w:hAnsi="Times New Roman"/>
          <w:sz w:val="24"/>
          <w:szCs w:val="24"/>
        </w:rPr>
        <w:t>mil.</w:t>
      </w:r>
      <w:r>
        <w:rPr>
          <w:rFonts w:ascii="Times New Roman" w:eastAsia="Calibri" w:hAnsi="Times New Roman"/>
          <w:sz w:val="24"/>
          <w:szCs w:val="24"/>
        </w:rPr>
        <w:t> </w:t>
      </w:r>
      <w:r w:rsidRPr="005E5BE4">
        <w:rPr>
          <w:rFonts w:ascii="Times New Roman" w:eastAsia="Calibri" w:hAnsi="Times New Roman"/>
          <w:sz w:val="24"/>
          <w:szCs w:val="24"/>
        </w:rPr>
        <w:t>eur.</w:t>
      </w:r>
    </w:p>
    <w:p w14:paraId="7D159597" w14:textId="7CF22839" w:rsidR="00D96E6C" w:rsidRPr="00D96E6C" w:rsidRDefault="00D96E6C" w:rsidP="00D96E6C">
      <w:pPr>
        <w:pStyle w:val="Popis"/>
        <w:keepNext/>
        <w:spacing w:after="120"/>
        <w:rPr>
          <w:b/>
          <w:i w:val="0"/>
          <w:color w:val="5B9BD5" w:themeColor="accent1"/>
          <w:sz w:val="20"/>
          <w:szCs w:val="20"/>
        </w:rPr>
      </w:pPr>
      <w:bookmarkStart w:id="47" w:name="_Toc196313637"/>
      <w:bookmarkStart w:id="48" w:name="_Toc196389258"/>
      <w:r w:rsidRPr="00D96E6C">
        <w:rPr>
          <w:b/>
          <w:i w:val="0"/>
          <w:color w:val="5B9BD5" w:themeColor="accent1"/>
          <w:sz w:val="20"/>
          <w:szCs w:val="20"/>
        </w:rPr>
        <w:t xml:space="preserve">Tabuľka </w:t>
      </w:r>
      <w:r w:rsidR="003B7AF0">
        <w:rPr>
          <w:b/>
          <w:i w:val="0"/>
          <w:color w:val="5B9BD5" w:themeColor="accent1"/>
          <w:sz w:val="20"/>
          <w:szCs w:val="20"/>
        </w:rPr>
        <w:fldChar w:fldCharType="begin"/>
      </w:r>
      <w:r w:rsidR="003B7AF0">
        <w:rPr>
          <w:b/>
          <w:i w:val="0"/>
          <w:color w:val="5B9BD5" w:themeColor="accent1"/>
          <w:sz w:val="20"/>
          <w:szCs w:val="20"/>
        </w:rPr>
        <w:instrText xml:space="preserve"> SEQ Tabuľka \* ARABIC </w:instrText>
      </w:r>
      <w:r w:rsidR="003B7AF0">
        <w:rPr>
          <w:b/>
          <w:i w:val="0"/>
          <w:color w:val="5B9BD5" w:themeColor="accent1"/>
          <w:sz w:val="20"/>
          <w:szCs w:val="20"/>
        </w:rPr>
        <w:fldChar w:fldCharType="separate"/>
      </w:r>
      <w:r w:rsidR="00C64CBA">
        <w:rPr>
          <w:b/>
          <w:i w:val="0"/>
          <w:noProof/>
          <w:color w:val="5B9BD5" w:themeColor="accent1"/>
          <w:sz w:val="20"/>
          <w:szCs w:val="20"/>
        </w:rPr>
        <w:t>11</w:t>
      </w:r>
      <w:r w:rsidR="003B7AF0">
        <w:rPr>
          <w:b/>
          <w:i w:val="0"/>
          <w:color w:val="5B9BD5" w:themeColor="accent1"/>
          <w:sz w:val="20"/>
          <w:szCs w:val="20"/>
        </w:rPr>
        <w:fldChar w:fldCharType="end"/>
      </w:r>
      <w:r w:rsidRPr="00D96E6C">
        <w:rPr>
          <w:b/>
          <w:i w:val="0"/>
          <w:color w:val="5B9BD5" w:themeColor="accent1"/>
          <w:sz w:val="20"/>
          <w:szCs w:val="20"/>
        </w:rPr>
        <w:t xml:space="preserve"> - Akruálne výdavky na energopomoc 2024</w:t>
      </w:r>
      <w:bookmarkEnd w:id="47"/>
      <w:bookmarkEnd w:id="48"/>
    </w:p>
    <w:tbl>
      <w:tblPr>
        <w:tblW w:w="5000" w:type="pct"/>
        <w:tblCellMar>
          <w:left w:w="70" w:type="dxa"/>
          <w:right w:w="70" w:type="dxa"/>
        </w:tblCellMar>
        <w:tblLook w:val="04A0" w:firstRow="1" w:lastRow="0" w:firstColumn="1" w:lastColumn="0" w:noHBand="0" w:noVBand="1"/>
      </w:tblPr>
      <w:tblGrid>
        <w:gridCol w:w="3009"/>
        <w:gridCol w:w="1450"/>
        <w:gridCol w:w="1454"/>
        <w:gridCol w:w="1529"/>
        <w:gridCol w:w="1488"/>
      </w:tblGrid>
      <w:tr w:rsidR="009A05C7" w:rsidRPr="00852C46" w14:paraId="0EA29667" w14:textId="77777777" w:rsidTr="000240DA">
        <w:trPr>
          <w:trHeight w:val="840"/>
          <w:tblHeader/>
        </w:trPr>
        <w:tc>
          <w:tcPr>
            <w:tcW w:w="1633" w:type="pct"/>
            <w:vMerge w:val="restart"/>
            <w:tcBorders>
              <w:top w:val="single" w:sz="4" w:space="0" w:color="auto"/>
              <w:left w:val="nil"/>
              <w:bottom w:val="single" w:sz="4" w:space="0" w:color="auto"/>
              <w:right w:val="single" w:sz="4" w:space="0" w:color="auto"/>
            </w:tcBorders>
            <w:shd w:val="clear" w:color="auto" w:fill="auto"/>
            <w:vAlign w:val="center"/>
            <w:hideMark/>
          </w:tcPr>
          <w:p w14:paraId="73A63FFC" w14:textId="77777777" w:rsidR="009A05C7" w:rsidRPr="00852C46" w:rsidRDefault="009A05C7" w:rsidP="000240DA">
            <w:pPr>
              <w:spacing w:after="0" w:line="240" w:lineRule="auto"/>
              <w:jc w:val="left"/>
              <w:rPr>
                <w:rFonts w:eastAsia="Times New Roman" w:cs="Times New Roman"/>
                <w:b/>
                <w:bCs/>
                <w:sz w:val="18"/>
                <w:szCs w:val="18"/>
                <w:lang w:eastAsia="sk-SK"/>
              </w:rPr>
            </w:pPr>
            <w:r w:rsidRPr="00852C46">
              <w:rPr>
                <w:rFonts w:eastAsia="Times New Roman" w:cs="Times New Roman"/>
                <w:b/>
                <w:bCs/>
                <w:sz w:val="18"/>
                <w:szCs w:val="18"/>
                <w:lang w:eastAsia="sk-SK"/>
              </w:rPr>
              <w:t>Názov opatrenia</w:t>
            </w:r>
          </w:p>
        </w:tc>
        <w:tc>
          <w:tcPr>
            <w:tcW w:w="165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F19271" w14:textId="77777777" w:rsidR="009A05C7" w:rsidRPr="00852C46" w:rsidRDefault="009A05C7" w:rsidP="000240DA">
            <w:pPr>
              <w:spacing w:after="0" w:line="240" w:lineRule="auto"/>
              <w:jc w:val="center"/>
              <w:rPr>
                <w:rFonts w:eastAsia="Times New Roman" w:cs="Times New Roman"/>
                <w:b/>
                <w:bCs/>
                <w:sz w:val="18"/>
                <w:szCs w:val="18"/>
                <w:lang w:eastAsia="sk-SK"/>
              </w:rPr>
            </w:pPr>
            <w:r w:rsidRPr="00852C46">
              <w:rPr>
                <w:rFonts w:eastAsia="Times New Roman" w:cs="Times New Roman"/>
                <w:b/>
                <w:bCs/>
                <w:sz w:val="18"/>
                <w:szCs w:val="18"/>
                <w:lang w:eastAsia="sk-SK"/>
              </w:rPr>
              <w:t>Vyplatené dotácie a kompenzácie v roku 2024 v mil. eur *</w:t>
            </w:r>
          </w:p>
        </w:tc>
        <w:tc>
          <w:tcPr>
            <w:tcW w:w="8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8BE879" w14:textId="77777777" w:rsidR="009A05C7" w:rsidRPr="00852C46" w:rsidRDefault="009A05C7" w:rsidP="000240DA">
            <w:pPr>
              <w:spacing w:after="0" w:line="240" w:lineRule="auto"/>
              <w:jc w:val="center"/>
              <w:rPr>
                <w:rFonts w:eastAsia="Times New Roman" w:cs="Times New Roman"/>
                <w:b/>
                <w:bCs/>
                <w:sz w:val="18"/>
                <w:szCs w:val="18"/>
                <w:lang w:eastAsia="sk-SK"/>
              </w:rPr>
            </w:pPr>
            <w:r w:rsidRPr="00852C46">
              <w:rPr>
                <w:rFonts w:eastAsia="Times New Roman" w:cs="Times New Roman"/>
                <w:b/>
                <w:bCs/>
                <w:sz w:val="18"/>
                <w:szCs w:val="18"/>
                <w:lang w:eastAsia="sk-SK"/>
              </w:rPr>
              <w:t>Reálne vyplatené hotovostné platby v roku 2025 za rok 2024 v mil. eur</w:t>
            </w:r>
          </w:p>
        </w:tc>
        <w:tc>
          <w:tcPr>
            <w:tcW w:w="846" w:type="pct"/>
            <w:vMerge w:val="restart"/>
            <w:tcBorders>
              <w:top w:val="single" w:sz="4" w:space="0" w:color="auto"/>
              <w:left w:val="single" w:sz="4" w:space="0" w:color="auto"/>
              <w:bottom w:val="single" w:sz="4" w:space="0" w:color="auto"/>
              <w:right w:val="nil"/>
            </w:tcBorders>
            <w:shd w:val="clear" w:color="auto" w:fill="auto"/>
            <w:vAlign w:val="center"/>
            <w:hideMark/>
          </w:tcPr>
          <w:p w14:paraId="4B622141" w14:textId="77777777" w:rsidR="009A05C7" w:rsidRPr="00852C46" w:rsidRDefault="009A05C7" w:rsidP="000240DA">
            <w:pPr>
              <w:spacing w:after="0" w:line="240" w:lineRule="auto"/>
              <w:jc w:val="center"/>
              <w:rPr>
                <w:rFonts w:eastAsia="Times New Roman" w:cs="Times New Roman"/>
                <w:b/>
                <w:bCs/>
                <w:sz w:val="18"/>
                <w:szCs w:val="18"/>
                <w:lang w:eastAsia="sk-SK"/>
              </w:rPr>
            </w:pPr>
            <w:r w:rsidRPr="00852C46">
              <w:rPr>
                <w:rFonts w:eastAsia="Times New Roman" w:cs="Times New Roman"/>
                <w:b/>
                <w:bCs/>
                <w:sz w:val="18"/>
                <w:szCs w:val="18"/>
                <w:lang w:eastAsia="sk-SK"/>
              </w:rPr>
              <w:t xml:space="preserve">Akruálne výdavky na </w:t>
            </w:r>
            <w:r>
              <w:rPr>
                <w:rFonts w:eastAsia="Times New Roman" w:cs="Times New Roman"/>
                <w:b/>
                <w:bCs/>
                <w:sz w:val="18"/>
                <w:szCs w:val="18"/>
                <w:lang w:eastAsia="sk-SK"/>
              </w:rPr>
              <w:t>energo</w:t>
            </w:r>
            <w:r w:rsidRPr="00852C46">
              <w:rPr>
                <w:rFonts w:eastAsia="Times New Roman" w:cs="Times New Roman"/>
                <w:b/>
                <w:bCs/>
                <w:sz w:val="18"/>
                <w:szCs w:val="18"/>
                <w:lang w:eastAsia="sk-SK"/>
              </w:rPr>
              <w:t>pomoc</w:t>
            </w:r>
          </w:p>
        </w:tc>
      </w:tr>
      <w:tr w:rsidR="009A05C7" w:rsidRPr="00852C46" w14:paraId="42B14B97" w14:textId="77777777" w:rsidTr="00D96E6C">
        <w:trPr>
          <w:trHeight w:val="470"/>
          <w:tblHeader/>
        </w:trPr>
        <w:tc>
          <w:tcPr>
            <w:tcW w:w="1633" w:type="pct"/>
            <w:vMerge/>
            <w:tcBorders>
              <w:top w:val="single" w:sz="4" w:space="0" w:color="auto"/>
              <w:left w:val="nil"/>
              <w:bottom w:val="single" w:sz="4" w:space="0" w:color="auto"/>
              <w:right w:val="single" w:sz="4" w:space="0" w:color="auto"/>
            </w:tcBorders>
            <w:vAlign w:val="center"/>
            <w:hideMark/>
          </w:tcPr>
          <w:p w14:paraId="0E70B474" w14:textId="77777777" w:rsidR="009A05C7" w:rsidRPr="00852C46" w:rsidRDefault="009A05C7" w:rsidP="000240DA">
            <w:pPr>
              <w:spacing w:after="0" w:line="240" w:lineRule="auto"/>
              <w:jc w:val="left"/>
              <w:rPr>
                <w:rFonts w:eastAsia="Times New Roman" w:cs="Times New Roman"/>
                <w:b/>
                <w:bCs/>
                <w:sz w:val="18"/>
                <w:szCs w:val="18"/>
                <w:lang w:eastAsia="sk-SK"/>
              </w:rPr>
            </w:pP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C7811D" w14:textId="77777777" w:rsidR="009A05C7" w:rsidRPr="00852C46" w:rsidRDefault="009A05C7" w:rsidP="000240DA">
            <w:pPr>
              <w:spacing w:after="0" w:line="240" w:lineRule="auto"/>
              <w:jc w:val="center"/>
              <w:rPr>
                <w:rFonts w:eastAsia="Times New Roman" w:cs="Times New Roman"/>
                <w:b/>
                <w:bCs/>
                <w:sz w:val="18"/>
                <w:szCs w:val="18"/>
                <w:lang w:eastAsia="sk-SK"/>
              </w:rPr>
            </w:pPr>
            <w:r w:rsidRPr="00852C46">
              <w:rPr>
                <w:rFonts w:eastAsia="Times New Roman" w:cs="Times New Roman"/>
                <w:b/>
                <w:bCs/>
                <w:sz w:val="18"/>
                <w:szCs w:val="18"/>
                <w:lang w:eastAsia="sk-SK"/>
              </w:rPr>
              <w:t>za oprávnené obdobie 2023</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B0E723" w14:textId="77777777" w:rsidR="009A05C7" w:rsidRPr="00852C46" w:rsidRDefault="009A05C7" w:rsidP="000240DA">
            <w:pPr>
              <w:spacing w:after="0" w:line="240" w:lineRule="auto"/>
              <w:jc w:val="center"/>
              <w:rPr>
                <w:rFonts w:eastAsia="Times New Roman" w:cs="Times New Roman"/>
                <w:b/>
                <w:bCs/>
                <w:sz w:val="18"/>
                <w:szCs w:val="18"/>
                <w:lang w:eastAsia="sk-SK"/>
              </w:rPr>
            </w:pPr>
            <w:r w:rsidRPr="00852C46">
              <w:rPr>
                <w:rFonts w:eastAsia="Times New Roman" w:cs="Times New Roman"/>
                <w:b/>
                <w:bCs/>
                <w:sz w:val="18"/>
                <w:szCs w:val="18"/>
                <w:lang w:eastAsia="sk-SK"/>
              </w:rPr>
              <w:t>za oprávnené obdobie 2024</w:t>
            </w:r>
          </w:p>
        </w:tc>
        <w:tc>
          <w:tcPr>
            <w:tcW w:w="869" w:type="pct"/>
            <w:vMerge/>
            <w:tcBorders>
              <w:top w:val="single" w:sz="4" w:space="0" w:color="auto"/>
              <w:left w:val="single" w:sz="4" w:space="0" w:color="auto"/>
              <w:bottom w:val="single" w:sz="4" w:space="0" w:color="auto"/>
              <w:right w:val="single" w:sz="4" w:space="0" w:color="auto"/>
            </w:tcBorders>
            <w:vAlign w:val="center"/>
            <w:hideMark/>
          </w:tcPr>
          <w:p w14:paraId="51A00CFE" w14:textId="77777777" w:rsidR="009A05C7" w:rsidRPr="00852C46" w:rsidRDefault="009A05C7" w:rsidP="000240DA">
            <w:pPr>
              <w:spacing w:after="0" w:line="240" w:lineRule="auto"/>
              <w:jc w:val="left"/>
              <w:rPr>
                <w:rFonts w:eastAsia="Times New Roman" w:cs="Times New Roman"/>
                <w:b/>
                <w:bCs/>
                <w:sz w:val="18"/>
                <w:szCs w:val="18"/>
                <w:lang w:eastAsia="sk-SK"/>
              </w:rPr>
            </w:pPr>
          </w:p>
        </w:tc>
        <w:tc>
          <w:tcPr>
            <w:tcW w:w="846" w:type="pct"/>
            <w:vMerge/>
            <w:tcBorders>
              <w:top w:val="single" w:sz="4" w:space="0" w:color="auto"/>
              <w:left w:val="single" w:sz="4" w:space="0" w:color="auto"/>
              <w:bottom w:val="single" w:sz="4" w:space="0" w:color="auto"/>
              <w:right w:val="nil"/>
            </w:tcBorders>
            <w:vAlign w:val="center"/>
            <w:hideMark/>
          </w:tcPr>
          <w:p w14:paraId="041F5FF7" w14:textId="77777777" w:rsidR="009A05C7" w:rsidRPr="00852C46" w:rsidRDefault="009A05C7" w:rsidP="000240DA">
            <w:pPr>
              <w:spacing w:after="0" w:line="240" w:lineRule="auto"/>
              <w:jc w:val="left"/>
              <w:rPr>
                <w:rFonts w:eastAsia="Times New Roman" w:cs="Times New Roman"/>
                <w:b/>
                <w:bCs/>
                <w:sz w:val="18"/>
                <w:szCs w:val="18"/>
                <w:lang w:eastAsia="sk-SK"/>
              </w:rPr>
            </w:pPr>
          </w:p>
        </w:tc>
      </w:tr>
      <w:tr w:rsidR="009A05C7" w:rsidRPr="00852C46" w14:paraId="32C3EB42" w14:textId="77777777" w:rsidTr="00D96E6C">
        <w:trPr>
          <w:trHeight w:val="460"/>
        </w:trPr>
        <w:tc>
          <w:tcPr>
            <w:tcW w:w="1633" w:type="pct"/>
            <w:tcBorders>
              <w:top w:val="single" w:sz="4" w:space="0" w:color="auto"/>
              <w:left w:val="nil"/>
              <w:bottom w:val="nil"/>
              <w:right w:val="single" w:sz="4" w:space="0" w:color="auto"/>
            </w:tcBorders>
            <w:shd w:val="clear" w:color="auto" w:fill="auto"/>
            <w:vAlign w:val="center"/>
            <w:hideMark/>
          </w:tcPr>
          <w:p w14:paraId="26ADB6ED" w14:textId="77777777" w:rsidR="009A05C7" w:rsidRPr="00852C46" w:rsidRDefault="009A05C7" w:rsidP="000240DA">
            <w:pPr>
              <w:spacing w:after="0" w:line="240" w:lineRule="auto"/>
              <w:jc w:val="left"/>
              <w:rPr>
                <w:rFonts w:eastAsia="Times New Roman" w:cs="Times New Roman"/>
                <w:color w:val="000000"/>
                <w:sz w:val="18"/>
                <w:szCs w:val="18"/>
                <w:lang w:eastAsia="sk-SK"/>
              </w:rPr>
            </w:pPr>
            <w:r w:rsidRPr="00852C46">
              <w:rPr>
                <w:rFonts w:eastAsia="Times New Roman" w:cs="Times New Roman"/>
                <w:color w:val="000000"/>
                <w:sz w:val="18"/>
                <w:szCs w:val="18"/>
                <w:lang w:eastAsia="sk-SK"/>
              </w:rPr>
              <w:t>Výzva pre subjekty vykonávajúce hospodársku činnosť (2.1)</w:t>
            </w:r>
            <w:r w:rsidRPr="00A748B2">
              <w:rPr>
                <w:rFonts w:eastAsia="Times New Roman" w:cs="Times New Roman"/>
                <w:color w:val="000000"/>
                <w:sz w:val="18"/>
                <w:szCs w:val="18"/>
                <w:vertAlign w:val="superscript"/>
                <w:lang w:eastAsia="sk-SK"/>
              </w:rPr>
              <w:t>1)</w:t>
            </w:r>
          </w:p>
        </w:tc>
        <w:tc>
          <w:tcPr>
            <w:tcW w:w="825" w:type="pct"/>
            <w:vMerge w:val="restart"/>
            <w:tcBorders>
              <w:top w:val="single" w:sz="4" w:space="0" w:color="auto"/>
              <w:left w:val="single" w:sz="4" w:space="0" w:color="auto"/>
              <w:bottom w:val="nil"/>
              <w:right w:val="single" w:sz="4" w:space="0" w:color="auto"/>
            </w:tcBorders>
            <w:shd w:val="clear" w:color="000000" w:fill="FFFFFF"/>
            <w:vAlign w:val="center"/>
            <w:hideMark/>
          </w:tcPr>
          <w:p w14:paraId="714F581E" w14:textId="77777777" w:rsidR="009A05C7" w:rsidRPr="00852C46" w:rsidRDefault="009A05C7" w:rsidP="000240DA">
            <w:pPr>
              <w:spacing w:after="0" w:line="240" w:lineRule="auto"/>
              <w:jc w:val="right"/>
              <w:rPr>
                <w:rFonts w:eastAsia="Times New Roman" w:cs="Times New Roman"/>
                <w:color w:val="000000"/>
                <w:sz w:val="18"/>
                <w:szCs w:val="18"/>
                <w:lang w:eastAsia="sk-SK"/>
              </w:rPr>
            </w:pPr>
            <w:r w:rsidRPr="00852C46">
              <w:rPr>
                <w:rFonts w:eastAsia="Times New Roman" w:cs="Times New Roman"/>
                <w:color w:val="000000"/>
                <w:sz w:val="18"/>
                <w:szCs w:val="18"/>
                <w:lang w:eastAsia="sk-SK"/>
              </w:rPr>
              <w:t>62,6</w:t>
            </w:r>
          </w:p>
        </w:tc>
        <w:tc>
          <w:tcPr>
            <w:tcW w:w="827" w:type="pct"/>
            <w:vMerge w:val="restart"/>
            <w:tcBorders>
              <w:top w:val="single" w:sz="4" w:space="0" w:color="auto"/>
              <w:left w:val="single" w:sz="4" w:space="0" w:color="auto"/>
              <w:bottom w:val="nil"/>
              <w:right w:val="single" w:sz="4" w:space="0" w:color="auto"/>
            </w:tcBorders>
            <w:shd w:val="clear" w:color="000000" w:fill="FFFFFF"/>
            <w:vAlign w:val="center"/>
            <w:hideMark/>
          </w:tcPr>
          <w:p w14:paraId="0BF475AE" w14:textId="77777777" w:rsidR="009A05C7" w:rsidRPr="00852C46" w:rsidRDefault="009A05C7" w:rsidP="000240DA">
            <w:pPr>
              <w:spacing w:after="0" w:line="240" w:lineRule="auto"/>
              <w:jc w:val="right"/>
              <w:rPr>
                <w:rFonts w:eastAsia="Times New Roman" w:cs="Times New Roman"/>
                <w:color w:val="000000"/>
                <w:sz w:val="18"/>
                <w:szCs w:val="18"/>
                <w:lang w:eastAsia="sk-SK"/>
              </w:rPr>
            </w:pPr>
            <w:r w:rsidRPr="00852C46">
              <w:rPr>
                <w:rFonts w:eastAsia="Times New Roman" w:cs="Times New Roman"/>
                <w:color w:val="000000"/>
                <w:sz w:val="18"/>
                <w:szCs w:val="18"/>
                <w:lang w:eastAsia="sk-SK"/>
              </w:rPr>
              <w:t>6,2</w:t>
            </w:r>
          </w:p>
        </w:tc>
        <w:tc>
          <w:tcPr>
            <w:tcW w:w="869" w:type="pct"/>
            <w:vMerge w:val="restart"/>
            <w:tcBorders>
              <w:top w:val="single" w:sz="4" w:space="0" w:color="auto"/>
              <w:left w:val="single" w:sz="4" w:space="0" w:color="auto"/>
              <w:bottom w:val="nil"/>
              <w:right w:val="nil"/>
            </w:tcBorders>
            <w:shd w:val="clear" w:color="auto" w:fill="auto"/>
            <w:vAlign w:val="center"/>
            <w:hideMark/>
          </w:tcPr>
          <w:p w14:paraId="3C535493" w14:textId="77777777" w:rsidR="009A05C7" w:rsidRPr="00852C46" w:rsidRDefault="009A05C7" w:rsidP="000240DA">
            <w:pPr>
              <w:spacing w:after="0" w:line="240" w:lineRule="auto"/>
              <w:jc w:val="right"/>
              <w:rPr>
                <w:rFonts w:eastAsia="Times New Roman" w:cs="Times New Roman"/>
                <w:color w:val="000000"/>
                <w:sz w:val="18"/>
                <w:szCs w:val="18"/>
                <w:lang w:eastAsia="sk-SK"/>
              </w:rPr>
            </w:pPr>
            <w:r w:rsidRPr="00852C46">
              <w:rPr>
                <w:rFonts w:eastAsia="Times New Roman" w:cs="Times New Roman"/>
                <w:color w:val="000000"/>
                <w:sz w:val="18"/>
                <w:szCs w:val="18"/>
                <w:lang w:eastAsia="sk-SK"/>
              </w:rPr>
              <w:t>0,0</w:t>
            </w:r>
          </w:p>
        </w:tc>
        <w:tc>
          <w:tcPr>
            <w:tcW w:w="846" w:type="pct"/>
            <w:vMerge w:val="restart"/>
            <w:tcBorders>
              <w:top w:val="single" w:sz="4" w:space="0" w:color="auto"/>
              <w:left w:val="single" w:sz="4" w:space="0" w:color="auto"/>
              <w:bottom w:val="nil"/>
              <w:right w:val="nil"/>
            </w:tcBorders>
            <w:shd w:val="clear" w:color="auto" w:fill="auto"/>
            <w:vAlign w:val="center"/>
            <w:hideMark/>
          </w:tcPr>
          <w:p w14:paraId="63E0665D" w14:textId="77777777" w:rsidR="009A05C7" w:rsidRPr="00852C46" w:rsidRDefault="009A05C7" w:rsidP="000240DA">
            <w:pPr>
              <w:spacing w:after="0" w:line="240" w:lineRule="auto"/>
              <w:jc w:val="right"/>
              <w:rPr>
                <w:rFonts w:eastAsia="Times New Roman" w:cs="Times New Roman"/>
                <w:color w:val="000000"/>
                <w:sz w:val="18"/>
                <w:szCs w:val="18"/>
                <w:lang w:eastAsia="sk-SK"/>
              </w:rPr>
            </w:pPr>
            <w:r w:rsidRPr="00852C46">
              <w:rPr>
                <w:rFonts w:eastAsia="Times New Roman" w:cs="Times New Roman"/>
                <w:color w:val="000000"/>
                <w:sz w:val="18"/>
                <w:szCs w:val="18"/>
                <w:lang w:eastAsia="sk-SK"/>
              </w:rPr>
              <w:t>6,2</w:t>
            </w:r>
          </w:p>
        </w:tc>
      </w:tr>
      <w:tr w:rsidR="009A05C7" w:rsidRPr="00852C46" w14:paraId="3D849F36" w14:textId="77777777" w:rsidTr="00D96E6C">
        <w:trPr>
          <w:trHeight w:val="460"/>
        </w:trPr>
        <w:tc>
          <w:tcPr>
            <w:tcW w:w="1633" w:type="pct"/>
            <w:tcBorders>
              <w:top w:val="nil"/>
              <w:left w:val="nil"/>
              <w:bottom w:val="nil"/>
              <w:right w:val="single" w:sz="4" w:space="0" w:color="auto"/>
            </w:tcBorders>
            <w:shd w:val="clear" w:color="auto" w:fill="auto"/>
            <w:vAlign w:val="center"/>
            <w:hideMark/>
          </w:tcPr>
          <w:p w14:paraId="212504EA" w14:textId="77777777" w:rsidR="009A05C7" w:rsidRPr="00852C46" w:rsidRDefault="009A05C7" w:rsidP="000240DA">
            <w:pPr>
              <w:spacing w:after="0" w:line="240" w:lineRule="auto"/>
              <w:jc w:val="left"/>
              <w:rPr>
                <w:rFonts w:eastAsia="Times New Roman" w:cs="Times New Roman"/>
                <w:color w:val="000000"/>
                <w:sz w:val="18"/>
                <w:szCs w:val="18"/>
                <w:lang w:eastAsia="sk-SK"/>
              </w:rPr>
            </w:pPr>
            <w:r w:rsidRPr="00852C46">
              <w:rPr>
                <w:rFonts w:eastAsia="Times New Roman" w:cs="Times New Roman"/>
                <w:color w:val="000000"/>
                <w:sz w:val="18"/>
                <w:szCs w:val="18"/>
                <w:lang w:eastAsia="sk-SK"/>
              </w:rPr>
              <w:t>Výzva pre vybrané subjekty verejnej správy a cirkvi</w:t>
            </w:r>
          </w:p>
        </w:tc>
        <w:tc>
          <w:tcPr>
            <w:tcW w:w="825" w:type="pct"/>
            <w:vMerge/>
            <w:tcBorders>
              <w:top w:val="nil"/>
              <w:left w:val="single" w:sz="4" w:space="0" w:color="auto"/>
              <w:bottom w:val="nil"/>
              <w:right w:val="single" w:sz="4" w:space="0" w:color="auto"/>
            </w:tcBorders>
            <w:vAlign w:val="center"/>
            <w:hideMark/>
          </w:tcPr>
          <w:p w14:paraId="243A58DB" w14:textId="77777777" w:rsidR="009A05C7" w:rsidRPr="00852C46" w:rsidRDefault="009A05C7" w:rsidP="000240DA">
            <w:pPr>
              <w:spacing w:after="0" w:line="240" w:lineRule="auto"/>
              <w:jc w:val="left"/>
              <w:rPr>
                <w:rFonts w:eastAsia="Times New Roman" w:cs="Times New Roman"/>
                <w:color w:val="000000"/>
                <w:sz w:val="18"/>
                <w:szCs w:val="18"/>
                <w:lang w:eastAsia="sk-SK"/>
              </w:rPr>
            </w:pPr>
          </w:p>
        </w:tc>
        <w:tc>
          <w:tcPr>
            <w:tcW w:w="827" w:type="pct"/>
            <w:vMerge/>
            <w:tcBorders>
              <w:top w:val="nil"/>
              <w:left w:val="single" w:sz="4" w:space="0" w:color="auto"/>
              <w:bottom w:val="nil"/>
              <w:right w:val="single" w:sz="4" w:space="0" w:color="auto"/>
            </w:tcBorders>
            <w:vAlign w:val="center"/>
            <w:hideMark/>
          </w:tcPr>
          <w:p w14:paraId="6D6F86D9" w14:textId="77777777" w:rsidR="009A05C7" w:rsidRPr="00852C46" w:rsidRDefault="009A05C7" w:rsidP="000240DA">
            <w:pPr>
              <w:spacing w:after="0" w:line="240" w:lineRule="auto"/>
              <w:jc w:val="left"/>
              <w:rPr>
                <w:rFonts w:eastAsia="Times New Roman" w:cs="Times New Roman"/>
                <w:color w:val="000000"/>
                <w:sz w:val="18"/>
                <w:szCs w:val="18"/>
                <w:lang w:eastAsia="sk-SK"/>
              </w:rPr>
            </w:pPr>
          </w:p>
        </w:tc>
        <w:tc>
          <w:tcPr>
            <w:tcW w:w="869" w:type="pct"/>
            <w:vMerge/>
            <w:tcBorders>
              <w:top w:val="nil"/>
              <w:left w:val="single" w:sz="4" w:space="0" w:color="auto"/>
              <w:bottom w:val="nil"/>
              <w:right w:val="nil"/>
            </w:tcBorders>
            <w:vAlign w:val="center"/>
            <w:hideMark/>
          </w:tcPr>
          <w:p w14:paraId="6A9522FF" w14:textId="77777777" w:rsidR="009A05C7" w:rsidRPr="00852C46" w:rsidRDefault="009A05C7" w:rsidP="000240DA">
            <w:pPr>
              <w:spacing w:after="0" w:line="240" w:lineRule="auto"/>
              <w:jc w:val="left"/>
              <w:rPr>
                <w:rFonts w:eastAsia="Times New Roman" w:cs="Times New Roman"/>
                <w:color w:val="000000"/>
                <w:sz w:val="18"/>
                <w:szCs w:val="18"/>
                <w:lang w:eastAsia="sk-SK"/>
              </w:rPr>
            </w:pPr>
          </w:p>
        </w:tc>
        <w:tc>
          <w:tcPr>
            <w:tcW w:w="846" w:type="pct"/>
            <w:vMerge/>
            <w:tcBorders>
              <w:top w:val="nil"/>
              <w:left w:val="single" w:sz="4" w:space="0" w:color="auto"/>
              <w:bottom w:val="nil"/>
              <w:right w:val="nil"/>
            </w:tcBorders>
            <w:vAlign w:val="center"/>
            <w:hideMark/>
          </w:tcPr>
          <w:p w14:paraId="766C8DB0" w14:textId="77777777" w:rsidR="009A05C7" w:rsidRPr="00852C46" w:rsidRDefault="009A05C7" w:rsidP="000240DA">
            <w:pPr>
              <w:spacing w:after="0" w:line="240" w:lineRule="auto"/>
              <w:jc w:val="left"/>
              <w:rPr>
                <w:rFonts w:eastAsia="Times New Roman" w:cs="Times New Roman"/>
                <w:color w:val="000000"/>
                <w:sz w:val="18"/>
                <w:szCs w:val="18"/>
                <w:lang w:eastAsia="sk-SK"/>
              </w:rPr>
            </w:pPr>
          </w:p>
        </w:tc>
      </w:tr>
      <w:tr w:rsidR="009A05C7" w:rsidRPr="00852C46" w14:paraId="1B780946" w14:textId="77777777" w:rsidTr="00D96E6C">
        <w:trPr>
          <w:trHeight w:val="290"/>
        </w:trPr>
        <w:tc>
          <w:tcPr>
            <w:tcW w:w="1633" w:type="pct"/>
            <w:tcBorders>
              <w:top w:val="nil"/>
              <w:left w:val="nil"/>
              <w:bottom w:val="nil"/>
              <w:right w:val="single" w:sz="4" w:space="0" w:color="auto"/>
            </w:tcBorders>
            <w:shd w:val="clear" w:color="auto" w:fill="auto"/>
            <w:noWrap/>
            <w:vAlign w:val="center"/>
            <w:hideMark/>
          </w:tcPr>
          <w:p w14:paraId="23DCA147" w14:textId="77777777" w:rsidR="009A05C7" w:rsidRPr="00852C46" w:rsidRDefault="009A05C7" w:rsidP="000240DA">
            <w:pPr>
              <w:spacing w:after="0" w:line="240" w:lineRule="auto"/>
              <w:jc w:val="left"/>
              <w:rPr>
                <w:rFonts w:eastAsia="Times New Roman" w:cs="Times New Roman"/>
                <w:color w:val="000000"/>
                <w:sz w:val="18"/>
                <w:szCs w:val="18"/>
                <w:lang w:eastAsia="sk-SK"/>
              </w:rPr>
            </w:pPr>
            <w:r w:rsidRPr="00852C46">
              <w:rPr>
                <w:rFonts w:eastAsia="Times New Roman" w:cs="Times New Roman"/>
                <w:color w:val="000000"/>
                <w:sz w:val="18"/>
                <w:szCs w:val="18"/>
                <w:lang w:eastAsia="sk-SK"/>
              </w:rPr>
              <w:t>Kompenzácia cien plynu za domácnosti</w:t>
            </w:r>
          </w:p>
        </w:tc>
        <w:tc>
          <w:tcPr>
            <w:tcW w:w="825" w:type="pct"/>
            <w:tcBorders>
              <w:top w:val="nil"/>
              <w:left w:val="single" w:sz="4" w:space="0" w:color="auto"/>
              <w:bottom w:val="nil"/>
              <w:right w:val="single" w:sz="4" w:space="0" w:color="auto"/>
            </w:tcBorders>
            <w:shd w:val="clear" w:color="000000" w:fill="FFFFFF"/>
            <w:noWrap/>
            <w:vAlign w:val="center"/>
            <w:hideMark/>
          </w:tcPr>
          <w:p w14:paraId="6223DF48" w14:textId="77777777" w:rsidR="009A05C7" w:rsidRPr="00852C46" w:rsidRDefault="009A05C7" w:rsidP="000240DA">
            <w:pPr>
              <w:spacing w:after="0" w:line="240" w:lineRule="auto"/>
              <w:jc w:val="right"/>
              <w:rPr>
                <w:rFonts w:eastAsia="Times New Roman" w:cs="Times New Roman"/>
                <w:color w:val="000000"/>
                <w:sz w:val="18"/>
                <w:szCs w:val="18"/>
                <w:lang w:eastAsia="sk-SK"/>
              </w:rPr>
            </w:pPr>
            <w:r w:rsidRPr="00852C46">
              <w:rPr>
                <w:rFonts w:eastAsia="Times New Roman" w:cs="Times New Roman"/>
                <w:color w:val="000000"/>
                <w:sz w:val="18"/>
                <w:szCs w:val="18"/>
                <w:lang w:eastAsia="sk-SK"/>
              </w:rPr>
              <w:t>49,9</w:t>
            </w:r>
          </w:p>
        </w:tc>
        <w:tc>
          <w:tcPr>
            <w:tcW w:w="827" w:type="pct"/>
            <w:tcBorders>
              <w:top w:val="nil"/>
              <w:left w:val="nil"/>
              <w:bottom w:val="nil"/>
              <w:right w:val="single" w:sz="4" w:space="0" w:color="auto"/>
            </w:tcBorders>
            <w:shd w:val="clear" w:color="000000" w:fill="FFFFFF"/>
            <w:noWrap/>
            <w:vAlign w:val="center"/>
            <w:hideMark/>
          </w:tcPr>
          <w:p w14:paraId="1539B9BB" w14:textId="77777777" w:rsidR="009A05C7" w:rsidRPr="00852C46" w:rsidRDefault="009A05C7" w:rsidP="000240DA">
            <w:pPr>
              <w:spacing w:after="0" w:line="240" w:lineRule="auto"/>
              <w:jc w:val="right"/>
              <w:rPr>
                <w:rFonts w:eastAsia="Times New Roman" w:cs="Times New Roman"/>
                <w:color w:val="000000"/>
                <w:sz w:val="18"/>
                <w:szCs w:val="18"/>
                <w:lang w:eastAsia="sk-SK"/>
              </w:rPr>
            </w:pPr>
            <w:r w:rsidRPr="00852C46">
              <w:rPr>
                <w:rFonts w:eastAsia="Times New Roman" w:cs="Times New Roman"/>
                <w:color w:val="000000"/>
                <w:sz w:val="18"/>
                <w:szCs w:val="18"/>
                <w:lang w:eastAsia="sk-SK"/>
              </w:rPr>
              <w:t>644,6</w:t>
            </w:r>
          </w:p>
        </w:tc>
        <w:tc>
          <w:tcPr>
            <w:tcW w:w="869" w:type="pct"/>
            <w:tcBorders>
              <w:top w:val="nil"/>
              <w:left w:val="single" w:sz="4" w:space="0" w:color="auto"/>
              <w:bottom w:val="nil"/>
              <w:right w:val="nil"/>
            </w:tcBorders>
            <w:shd w:val="clear" w:color="auto" w:fill="auto"/>
            <w:noWrap/>
            <w:vAlign w:val="center"/>
            <w:hideMark/>
          </w:tcPr>
          <w:p w14:paraId="6296F5FA" w14:textId="77777777" w:rsidR="009A05C7" w:rsidRPr="00852C46" w:rsidRDefault="009A05C7" w:rsidP="000240DA">
            <w:pPr>
              <w:spacing w:after="0" w:line="240" w:lineRule="auto"/>
              <w:jc w:val="right"/>
              <w:rPr>
                <w:rFonts w:eastAsia="Times New Roman" w:cs="Times New Roman"/>
                <w:color w:val="000000"/>
                <w:sz w:val="18"/>
                <w:szCs w:val="18"/>
                <w:lang w:eastAsia="sk-SK"/>
              </w:rPr>
            </w:pPr>
            <w:r w:rsidRPr="00852C46">
              <w:rPr>
                <w:rFonts w:eastAsia="Times New Roman" w:cs="Times New Roman"/>
                <w:color w:val="000000"/>
                <w:sz w:val="18"/>
                <w:szCs w:val="18"/>
                <w:lang w:eastAsia="sk-SK"/>
              </w:rPr>
              <w:t>59,3</w:t>
            </w:r>
          </w:p>
        </w:tc>
        <w:tc>
          <w:tcPr>
            <w:tcW w:w="846" w:type="pct"/>
            <w:tcBorders>
              <w:top w:val="nil"/>
              <w:left w:val="single" w:sz="4" w:space="0" w:color="auto"/>
              <w:bottom w:val="nil"/>
              <w:right w:val="nil"/>
            </w:tcBorders>
            <w:shd w:val="clear" w:color="auto" w:fill="auto"/>
            <w:noWrap/>
            <w:vAlign w:val="center"/>
            <w:hideMark/>
          </w:tcPr>
          <w:p w14:paraId="546756C1" w14:textId="77777777" w:rsidR="009A05C7" w:rsidRPr="00852C46" w:rsidRDefault="009A05C7" w:rsidP="000240DA">
            <w:pPr>
              <w:spacing w:after="0" w:line="240" w:lineRule="auto"/>
              <w:jc w:val="right"/>
              <w:rPr>
                <w:rFonts w:eastAsia="Times New Roman" w:cs="Times New Roman"/>
                <w:color w:val="000000"/>
                <w:sz w:val="18"/>
                <w:szCs w:val="18"/>
                <w:lang w:eastAsia="sk-SK"/>
              </w:rPr>
            </w:pPr>
            <w:r w:rsidRPr="00852C46">
              <w:rPr>
                <w:rFonts w:eastAsia="Times New Roman" w:cs="Times New Roman"/>
                <w:color w:val="000000"/>
                <w:sz w:val="18"/>
                <w:szCs w:val="18"/>
                <w:lang w:eastAsia="sk-SK"/>
              </w:rPr>
              <w:t>703,9</w:t>
            </w:r>
          </w:p>
        </w:tc>
      </w:tr>
      <w:tr w:rsidR="009A05C7" w:rsidRPr="00852C46" w14:paraId="7E46F609" w14:textId="77777777" w:rsidTr="00D96E6C">
        <w:trPr>
          <w:trHeight w:val="690"/>
        </w:trPr>
        <w:tc>
          <w:tcPr>
            <w:tcW w:w="1633" w:type="pct"/>
            <w:tcBorders>
              <w:top w:val="nil"/>
              <w:left w:val="nil"/>
              <w:bottom w:val="nil"/>
              <w:right w:val="single" w:sz="4" w:space="0" w:color="auto"/>
            </w:tcBorders>
            <w:shd w:val="clear" w:color="auto" w:fill="auto"/>
            <w:vAlign w:val="center"/>
            <w:hideMark/>
          </w:tcPr>
          <w:p w14:paraId="67089021" w14:textId="77777777" w:rsidR="009A05C7" w:rsidRPr="00852C46" w:rsidRDefault="009A05C7" w:rsidP="000240DA">
            <w:pPr>
              <w:spacing w:after="0" w:line="240" w:lineRule="auto"/>
              <w:jc w:val="left"/>
              <w:rPr>
                <w:rFonts w:eastAsia="Times New Roman" w:cs="Times New Roman"/>
                <w:color w:val="000000"/>
                <w:sz w:val="18"/>
                <w:szCs w:val="18"/>
                <w:lang w:eastAsia="sk-SK"/>
              </w:rPr>
            </w:pPr>
            <w:r w:rsidRPr="00852C46">
              <w:rPr>
                <w:rFonts w:eastAsia="Times New Roman" w:cs="Times New Roman"/>
                <w:color w:val="000000"/>
                <w:sz w:val="18"/>
                <w:szCs w:val="18"/>
                <w:lang w:eastAsia="sk-SK"/>
              </w:rPr>
              <w:t>Kompenzácia cien tepla za domácnosti v bytoch a ostatných vybraných odberateľov</w:t>
            </w:r>
          </w:p>
        </w:tc>
        <w:tc>
          <w:tcPr>
            <w:tcW w:w="825" w:type="pct"/>
            <w:tcBorders>
              <w:top w:val="nil"/>
              <w:left w:val="single" w:sz="4" w:space="0" w:color="auto"/>
              <w:bottom w:val="nil"/>
              <w:right w:val="single" w:sz="4" w:space="0" w:color="auto"/>
            </w:tcBorders>
            <w:shd w:val="clear" w:color="000000" w:fill="FFFFFF"/>
            <w:vAlign w:val="center"/>
            <w:hideMark/>
          </w:tcPr>
          <w:p w14:paraId="4E8E29B0" w14:textId="77777777" w:rsidR="009A05C7" w:rsidRPr="00852C46" w:rsidRDefault="009A05C7" w:rsidP="000240DA">
            <w:pPr>
              <w:spacing w:after="0" w:line="240" w:lineRule="auto"/>
              <w:jc w:val="right"/>
              <w:rPr>
                <w:rFonts w:eastAsia="Times New Roman" w:cs="Times New Roman"/>
                <w:color w:val="000000"/>
                <w:sz w:val="18"/>
                <w:szCs w:val="18"/>
                <w:lang w:eastAsia="sk-SK"/>
              </w:rPr>
            </w:pPr>
            <w:r w:rsidRPr="00852C46">
              <w:rPr>
                <w:rFonts w:eastAsia="Times New Roman" w:cs="Times New Roman"/>
                <w:color w:val="000000"/>
                <w:sz w:val="18"/>
                <w:szCs w:val="18"/>
                <w:lang w:eastAsia="sk-SK"/>
              </w:rPr>
              <w:t>0,3</w:t>
            </w:r>
          </w:p>
        </w:tc>
        <w:tc>
          <w:tcPr>
            <w:tcW w:w="827" w:type="pct"/>
            <w:tcBorders>
              <w:top w:val="nil"/>
              <w:left w:val="nil"/>
              <w:bottom w:val="nil"/>
              <w:right w:val="single" w:sz="4" w:space="0" w:color="auto"/>
            </w:tcBorders>
            <w:shd w:val="clear" w:color="000000" w:fill="FFFFFF"/>
            <w:noWrap/>
            <w:vAlign w:val="center"/>
            <w:hideMark/>
          </w:tcPr>
          <w:p w14:paraId="3EE22DC3" w14:textId="77777777" w:rsidR="009A05C7" w:rsidRPr="00852C46" w:rsidRDefault="009A05C7" w:rsidP="000240DA">
            <w:pPr>
              <w:spacing w:after="0" w:line="240" w:lineRule="auto"/>
              <w:jc w:val="right"/>
              <w:rPr>
                <w:rFonts w:eastAsia="Times New Roman" w:cs="Times New Roman"/>
                <w:color w:val="000000"/>
                <w:sz w:val="18"/>
                <w:szCs w:val="18"/>
                <w:lang w:eastAsia="sk-SK"/>
              </w:rPr>
            </w:pPr>
            <w:r w:rsidRPr="00852C46">
              <w:rPr>
                <w:rFonts w:eastAsia="Times New Roman" w:cs="Times New Roman"/>
                <w:color w:val="000000"/>
                <w:sz w:val="18"/>
                <w:szCs w:val="18"/>
                <w:lang w:eastAsia="sk-SK"/>
              </w:rPr>
              <w:t>243,2</w:t>
            </w:r>
          </w:p>
        </w:tc>
        <w:tc>
          <w:tcPr>
            <w:tcW w:w="869" w:type="pct"/>
            <w:tcBorders>
              <w:top w:val="nil"/>
              <w:left w:val="single" w:sz="4" w:space="0" w:color="auto"/>
              <w:bottom w:val="nil"/>
              <w:right w:val="nil"/>
            </w:tcBorders>
            <w:shd w:val="clear" w:color="auto" w:fill="auto"/>
            <w:noWrap/>
            <w:vAlign w:val="center"/>
            <w:hideMark/>
          </w:tcPr>
          <w:p w14:paraId="0602701A" w14:textId="77777777" w:rsidR="009A05C7" w:rsidRPr="00852C46" w:rsidRDefault="009A05C7" w:rsidP="000240DA">
            <w:pPr>
              <w:spacing w:after="0" w:line="240" w:lineRule="auto"/>
              <w:jc w:val="right"/>
              <w:rPr>
                <w:rFonts w:eastAsia="Times New Roman" w:cs="Times New Roman"/>
                <w:color w:val="000000"/>
                <w:sz w:val="18"/>
                <w:szCs w:val="18"/>
                <w:lang w:eastAsia="sk-SK"/>
              </w:rPr>
            </w:pPr>
            <w:r w:rsidRPr="00852C46">
              <w:rPr>
                <w:rFonts w:eastAsia="Times New Roman" w:cs="Times New Roman"/>
                <w:color w:val="000000"/>
                <w:sz w:val="18"/>
                <w:szCs w:val="18"/>
                <w:lang w:eastAsia="sk-SK"/>
              </w:rPr>
              <w:t>0,0</w:t>
            </w:r>
          </w:p>
        </w:tc>
        <w:tc>
          <w:tcPr>
            <w:tcW w:w="846" w:type="pct"/>
            <w:tcBorders>
              <w:top w:val="nil"/>
              <w:left w:val="single" w:sz="4" w:space="0" w:color="auto"/>
              <w:bottom w:val="nil"/>
              <w:right w:val="nil"/>
            </w:tcBorders>
            <w:shd w:val="clear" w:color="auto" w:fill="auto"/>
            <w:noWrap/>
            <w:vAlign w:val="center"/>
            <w:hideMark/>
          </w:tcPr>
          <w:p w14:paraId="26935C41" w14:textId="77777777" w:rsidR="009A05C7" w:rsidRPr="00852C46" w:rsidRDefault="009A05C7" w:rsidP="000240DA">
            <w:pPr>
              <w:spacing w:after="0" w:line="240" w:lineRule="auto"/>
              <w:jc w:val="right"/>
              <w:rPr>
                <w:rFonts w:eastAsia="Times New Roman" w:cs="Times New Roman"/>
                <w:color w:val="000000"/>
                <w:sz w:val="18"/>
                <w:szCs w:val="18"/>
                <w:lang w:eastAsia="sk-SK"/>
              </w:rPr>
            </w:pPr>
            <w:r w:rsidRPr="00852C46">
              <w:rPr>
                <w:rFonts w:eastAsia="Times New Roman" w:cs="Times New Roman"/>
                <w:color w:val="000000"/>
                <w:sz w:val="18"/>
                <w:szCs w:val="18"/>
                <w:lang w:eastAsia="sk-SK"/>
              </w:rPr>
              <w:t>243,2</w:t>
            </w:r>
          </w:p>
        </w:tc>
      </w:tr>
      <w:tr w:rsidR="009A05C7" w:rsidRPr="00852C46" w14:paraId="65F31A4B" w14:textId="77777777" w:rsidTr="00D96E6C">
        <w:trPr>
          <w:trHeight w:val="690"/>
        </w:trPr>
        <w:tc>
          <w:tcPr>
            <w:tcW w:w="1633" w:type="pct"/>
            <w:tcBorders>
              <w:top w:val="nil"/>
              <w:left w:val="nil"/>
              <w:bottom w:val="nil"/>
              <w:right w:val="single" w:sz="4" w:space="0" w:color="auto"/>
            </w:tcBorders>
            <w:shd w:val="clear" w:color="auto" w:fill="auto"/>
            <w:vAlign w:val="center"/>
            <w:hideMark/>
          </w:tcPr>
          <w:p w14:paraId="0359C1F7" w14:textId="77777777" w:rsidR="009A05C7" w:rsidRPr="00852C46" w:rsidRDefault="009A05C7" w:rsidP="000240DA">
            <w:pPr>
              <w:spacing w:after="0" w:line="240" w:lineRule="auto"/>
              <w:jc w:val="left"/>
              <w:rPr>
                <w:rFonts w:eastAsia="Times New Roman" w:cs="Times New Roman"/>
                <w:color w:val="000000"/>
                <w:sz w:val="18"/>
                <w:szCs w:val="18"/>
                <w:lang w:eastAsia="sk-SK"/>
              </w:rPr>
            </w:pPr>
            <w:r w:rsidRPr="00852C46">
              <w:rPr>
                <w:rFonts w:eastAsia="Times New Roman" w:cs="Times New Roman"/>
                <w:color w:val="000000"/>
                <w:sz w:val="18"/>
                <w:szCs w:val="18"/>
                <w:lang w:eastAsia="sk-SK"/>
              </w:rPr>
              <w:t>Kompenzácia cien elektriny a plynu za vybraných zraniteľných odberateľov</w:t>
            </w:r>
          </w:p>
        </w:tc>
        <w:tc>
          <w:tcPr>
            <w:tcW w:w="825" w:type="pct"/>
            <w:tcBorders>
              <w:top w:val="nil"/>
              <w:left w:val="single" w:sz="4" w:space="0" w:color="auto"/>
              <w:bottom w:val="nil"/>
              <w:right w:val="single" w:sz="4" w:space="0" w:color="auto"/>
            </w:tcBorders>
            <w:shd w:val="clear" w:color="000000" w:fill="FFFFFF"/>
            <w:vAlign w:val="center"/>
            <w:hideMark/>
          </w:tcPr>
          <w:p w14:paraId="2572DC9A" w14:textId="77777777" w:rsidR="009A05C7" w:rsidRPr="00852C46" w:rsidRDefault="009A05C7" w:rsidP="000240DA">
            <w:pPr>
              <w:spacing w:after="0" w:line="240" w:lineRule="auto"/>
              <w:jc w:val="right"/>
              <w:rPr>
                <w:rFonts w:eastAsia="Times New Roman" w:cs="Times New Roman"/>
                <w:color w:val="000000"/>
                <w:sz w:val="18"/>
                <w:szCs w:val="18"/>
                <w:lang w:eastAsia="sk-SK"/>
              </w:rPr>
            </w:pPr>
            <w:r w:rsidRPr="00852C46">
              <w:rPr>
                <w:rFonts w:eastAsia="Times New Roman" w:cs="Times New Roman"/>
                <w:color w:val="000000"/>
                <w:sz w:val="18"/>
                <w:szCs w:val="18"/>
                <w:lang w:eastAsia="sk-SK"/>
              </w:rPr>
              <w:t>21,9</w:t>
            </w:r>
          </w:p>
        </w:tc>
        <w:tc>
          <w:tcPr>
            <w:tcW w:w="827" w:type="pct"/>
            <w:tcBorders>
              <w:top w:val="nil"/>
              <w:left w:val="nil"/>
              <w:bottom w:val="nil"/>
              <w:right w:val="single" w:sz="4" w:space="0" w:color="auto"/>
            </w:tcBorders>
            <w:shd w:val="clear" w:color="000000" w:fill="FFFFFF"/>
            <w:noWrap/>
            <w:vAlign w:val="center"/>
            <w:hideMark/>
          </w:tcPr>
          <w:p w14:paraId="4285B871" w14:textId="77777777" w:rsidR="009A05C7" w:rsidRPr="00852C46" w:rsidRDefault="009A05C7" w:rsidP="000240DA">
            <w:pPr>
              <w:spacing w:after="0" w:line="240" w:lineRule="auto"/>
              <w:jc w:val="right"/>
              <w:rPr>
                <w:rFonts w:eastAsia="Times New Roman" w:cs="Times New Roman"/>
                <w:color w:val="000000"/>
                <w:sz w:val="18"/>
                <w:szCs w:val="18"/>
                <w:lang w:eastAsia="sk-SK"/>
              </w:rPr>
            </w:pPr>
            <w:r w:rsidRPr="00852C46">
              <w:rPr>
                <w:rFonts w:eastAsia="Times New Roman" w:cs="Times New Roman"/>
                <w:color w:val="000000"/>
                <w:sz w:val="18"/>
                <w:szCs w:val="18"/>
                <w:lang w:eastAsia="sk-SK"/>
              </w:rPr>
              <w:t>18,2</w:t>
            </w:r>
          </w:p>
        </w:tc>
        <w:tc>
          <w:tcPr>
            <w:tcW w:w="869" w:type="pct"/>
            <w:tcBorders>
              <w:top w:val="nil"/>
              <w:left w:val="single" w:sz="4" w:space="0" w:color="auto"/>
              <w:bottom w:val="nil"/>
              <w:right w:val="nil"/>
            </w:tcBorders>
            <w:shd w:val="clear" w:color="auto" w:fill="auto"/>
            <w:vAlign w:val="center"/>
            <w:hideMark/>
          </w:tcPr>
          <w:p w14:paraId="1F019F3E" w14:textId="77777777" w:rsidR="009A05C7" w:rsidRPr="00852C46" w:rsidRDefault="009A05C7" w:rsidP="000240DA">
            <w:pPr>
              <w:spacing w:after="0" w:line="240" w:lineRule="auto"/>
              <w:jc w:val="right"/>
              <w:rPr>
                <w:rFonts w:eastAsia="Times New Roman" w:cs="Times New Roman"/>
                <w:color w:val="000000"/>
                <w:sz w:val="18"/>
                <w:szCs w:val="18"/>
                <w:lang w:eastAsia="sk-SK"/>
              </w:rPr>
            </w:pPr>
            <w:r w:rsidRPr="00852C46">
              <w:rPr>
                <w:rFonts w:eastAsia="Times New Roman" w:cs="Times New Roman"/>
                <w:color w:val="000000"/>
                <w:sz w:val="18"/>
                <w:szCs w:val="18"/>
                <w:lang w:eastAsia="sk-SK"/>
              </w:rPr>
              <w:t>6,3</w:t>
            </w:r>
          </w:p>
        </w:tc>
        <w:tc>
          <w:tcPr>
            <w:tcW w:w="846" w:type="pct"/>
            <w:tcBorders>
              <w:top w:val="nil"/>
              <w:left w:val="single" w:sz="4" w:space="0" w:color="auto"/>
              <w:bottom w:val="nil"/>
              <w:right w:val="nil"/>
            </w:tcBorders>
            <w:shd w:val="clear" w:color="auto" w:fill="auto"/>
            <w:noWrap/>
            <w:vAlign w:val="center"/>
            <w:hideMark/>
          </w:tcPr>
          <w:p w14:paraId="1C46DF59" w14:textId="77777777" w:rsidR="009A05C7" w:rsidRPr="00852C46" w:rsidRDefault="009A05C7" w:rsidP="000240DA">
            <w:pPr>
              <w:spacing w:after="0" w:line="240" w:lineRule="auto"/>
              <w:jc w:val="right"/>
              <w:rPr>
                <w:rFonts w:eastAsia="Times New Roman" w:cs="Times New Roman"/>
                <w:color w:val="000000"/>
                <w:sz w:val="18"/>
                <w:szCs w:val="18"/>
                <w:lang w:eastAsia="sk-SK"/>
              </w:rPr>
            </w:pPr>
            <w:r w:rsidRPr="00852C46">
              <w:rPr>
                <w:rFonts w:eastAsia="Times New Roman" w:cs="Times New Roman"/>
                <w:color w:val="000000"/>
                <w:sz w:val="18"/>
                <w:szCs w:val="18"/>
                <w:lang w:eastAsia="sk-SK"/>
              </w:rPr>
              <w:t>24,5</w:t>
            </w:r>
          </w:p>
        </w:tc>
      </w:tr>
      <w:tr w:rsidR="009A05C7" w:rsidRPr="00852C46" w14:paraId="41199443" w14:textId="77777777" w:rsidTr="00D96E6C">
        <w:trPr>
          <w:trHeight w:val="460"/>
        </w:trPr>
        <w:tc>
          <w:tcPr>
            <w:tcW w:w="1633" w:type="pct"/>
            <w:tcBorders>
              <w:top w:val="nil"/>
              <w:left w:val="nil"/>
              <w:bottom w:val="nil"/>
              <w:right w:val="single" w:sz="4" w:space="0" w:color="auto"/>
            </w:tcBorders>
            <w:shd w:val="clear" w:color="auto" w:fill="auto"/>
            <w:vAlign w:val="center"/>
            <w:hideMark/>
          </w:tcPr>
          <w:p w14:paraId="3A449B98" w14:textId="77777777" w:rsidR="009A05C7" w:rsidRPr="00852C46" w:rsidRDefault="009A05C7" w:rsidP="000240DA">
            <w:pPr>
              <w:spacing w:after="0" w:line="240" w:lineRule="auto"/>
              <w:jc w:val="left"/>
              <w:rPr>
                <w:rFonts w:eastAsia="Times New Roman" w:cs="Times New Roman"/>
                <w:color w:val="000000"/>
                <w:sz w:val="18"/>
                <w:szCs w:val="18"/>
                <w:lang w:eastAsia="sk-SK"/>
              </w:rPr>
            </w:pPr>
            <w:r w:rsidRPr="00852C46">
              <w:rPr>
                <w:rFonts w:eastAsia="Times New Roman" w:cs="Times New Roman"/>
                <w:color w:val="000000"/>
                <w:sz w:val="18"/>
                <w:szCs w:val="18"/>
                <w:lang w:eastAsia="sk-SK"/>
              </w:rPr>
              <w:t>Kompenzácia cien elektriny a plynu za malých odberateľov</w:t>
            </w:r>
          </w:p>
        </w:tc>
        <w:tc>
          <w:tcPr>
            <w:tcW w:w="825" w:type="pct"/>
            <w:tcBorders>
              <w:top w:val="nil"/>
              <w:left w:val="single" w:sz="4" w:space="0" w:color="auto"/>
              <w:bottom w:val="nil"/>
              <w:right w:val="single" w:sz="4" w:space="0" w:color="auto"/>
            </w:tcBorders>
            <w:shd w:val="clear" w:color="000000" w:fill="FFFFFF"/>
            <w:vAlign w:val="center"/>
            <w:hideMark/>
          </w:tcPr>
          <w:p w14:paraId="7511E2B8" w14:textId="77777777" w:rsidR="009A05C7" w:rsidRPr="00852C46" w:rsidRDefault="009A05C7" w:rsidP="000240DA">
            <w:pPr>
              <w:spacing w:after="0" w:line="240" w:lineRule="auto"/>
              <w:jc w:val="right"/>
              <w:rPr>
                <w:rFonts w:eastAsia="Times New Roman" w:cs="Times New Roman"/>
                <w:color w:val="000000"/>
                <w:sz w:val="18"/>
                <w:szCs w:val="18"/>
                <w:lang w:eastAsia="sk-SK"/>
              </w:rPr>
            </w:pPr>
            <w:r w:rsidRPr="00852C46">
              <w:rPr>
                <w:rFonts w:eastAsia="Times New Roman" w:cs="Times New Roman"/>
                <w:color w:val="000000"/>
                <w:sz w:val="18"/>
                <w:szCs w:val="18"/>
                <w:lang w:eastAsia="sk-SK"/>
              </w:rPr>
              <w:t>42,8</w:t>
            </w:r>
          </w:p>
        </w:tc>
        <w:tc>
          <w:tcPr>
            <w:tcW w:w="827" w:type="pct"/>
            <w:tcBorders>
              <w:top w:val="nil"/>
              <w:left w:val="nil"/>
              <w:bottom w:val="nil"/>
              <w:right w:val="single" w:sz="4" w:space="0" w:color="auto"/>
            </w:tcBorders>
            <w:shd w:val="clear" w:color="000000" w:fill="FFFFFF"/>
            <w:vAlign w:val="center"/>
            <w:hideMark/>
          </w:tcPr>
          <w:p w14:paraId="4A339824" w14:textId="77777777" w:rsidR="009A05C7" w:rsidRPr="00852C46" w:rsidRDefault="009A05C7" w:rsidP="000240DA">
            <w:pPr>
              <w:spacing w:after="0" w:line="240" w:lineRule="auto"/>
              <w:jc w:val="right"/>
              <w:rPr>
                <w:rFonts w:eastAsia="Times New Roman" w:cs="Times New Roman"/>
                <w:color w:val="000000"/>
                <w:sz w:val="18"/>
                <w:szCs w:val="18"/>
                <w:lang w:eastAsia="sk-SK"/>
              </w:rPr>
            </w:pPr>
            <w:r w:rsidRPr="00852C46">
              <w:rPr>
                <w:rFonts w:eastAsia="Times New Roman" w:cs="Times New Roman"/>
                <w:color w:val="000000"/>
                <w:sz w:val="18"/>
                <w:szCs w:val="18"/>
                <w:lang w:eastAsia="sk-SK"/>
              </w:rPr>
              <w:t>0,0</w:t>
            </w:r>
          </w:p>
        </w:tc>
        <w:tc>
          <w:tcPr>
            <w:tcW w:w="869" w:type="pct"/>
            <w:tcBorders>
              <w:top w:val="nil"/>
              <w:left w:val="single" w:sz="4" w:space="0" w:color="auto"/>
              <w:bottom w:val="nil"/>
              <w:right w:val="nil"/>
            </w:tcBorders>
            <w:shd w:val="clear" w:color="auto" w:fill="auto"/>
            <w:noWrap/>
            <w:vAlign w:val="center"/>
            <w:hideMark/>
          </w:tcPr>
          <w:p w14:paraId="38607B1D" w14:textId="77777777" w:rsidR="009A05C7" w:rsidRPr="00852C46" w:rsidRDefault="009A05C7" w:rsidP="000240DA">
            <w:pPr>
              <w:spacing w:after="0" w:line="240" w:lineRule="auto"/>
              <w:jc w:val="right"/>
              <w:rPr>
                <w:rFonts w:eastAsia="Times New Roman" w:cs="Times New Roman"/>
                <w:color w:val="000000"/>
                <w:sz w:val="18"/>
                <w:szCs w:val="18"/>
                <w:lang w:eastAsia="sk-SK"/>
              </w:rPr>
            </w:pPr>
            <w:r w:rsidRPr="00852C46">
              <w:rPr>
                <w:rFonts w:eastAsia="Times New Roman" w:cs="Times New Roman"/>
                <w:color w:val="000000"/>
                <w:sz w:val="18"/>
                <w:szCs w:val="18"/>
                <w:lang w:eastAsia="sk-SK"/>
              </w:rPr>
              <w:t>0,0</w:t>
            </w:r>
          </w:p>
        </w:tc>
        <w:tc>
          <w:tcPr>
            <w:tcW w:w="846" w:type="pct"/>
            <w:tcBorders>
              <w:top w:val="nil"/>
              <w:left w:val="single" w:sz="4" w:space="0" w:color="auto"/>
              <w:bottom w:val="nil"/>
              <w:right w:val="nil"/>
            </w:tcBorders>
            <w:shd w:val="clear" w:color="auto" w:fill="auto"/>
            <w:noWrap/>
            <w:vAlign w:val="center"/>
            <w:hideMark/>
          </w:tcPr>
          <w:p w14:paraId="685FDFCC" w14:textId="77777777" w:rsidR="009A05C7" w:rsidRPr="00852C46" w:rsidRDefault="009A05C7" w:rsidP="000240DA">
            <w:pPr>
              <w:spacing w:after="0" w:line="240" w:lineRule="auto"/>
              <w:jc w:val="right"/>
              <w:rPr>
                <w:rFonts w:eastAsia="Times New Roman" w:cs="Times New Roman"/>
                <w:color w:val="000000"/>
                <w:sz w:val="18"/>
                <w:szCs w:val="18"/>
                <w:lang w:eastAsia="sk-SK"/>
              </w:rPr>
            </w:pPr>
            <w:r w:rsidRPr="00852C46">
              <w:rPr>
                <w:rFonts w:eastAsia="Times New Roman" w:cs="Times New Roman"/>
                <w:color w:val="000000"/>
                <w:sz w:val="18"/>
                <w:szCs w:val="18"/>
                <w:lang w:eastAsia="sk-SK"/>
              </w:rPr>
              <w:t>0,0</w:t>
            </w:r>
          </w:p>
        </w:tc>
      </w:tr>
      <w:tr w:rsidR="009A05C7" w:rsidRPr="00852C46" w14:paraId="68111AE5" w14:textId="77777777" w:rsidTr="00D96E6C">
        <w:trPr>
          <w:trHeight w:val="690"/>
        </w:trPr>
        <w:tc>
          <w:tcPr>
            <w:tcW w:w="1633" w:type="pct"/>
            <w:tcBorders>
              <w:top w:val="nil"/>
              <w:left w:val="nil"/>
              <w:bottom w:val="nil"/>
              <w:right w:val="single" w:sz="4" w:space="0" w:color="auto"/>
            </w:tcBorders>
            <w:shd w:val="clear" w:color="auto" w:fill="auto"/>
            <w:vAlign w:val="center"/>
            <w:hideMark/>
          </w:tcPr>
          <w:p w14:paraId="0D59B18C" w14:textId="77777777" w:rsidR="009A05C7" w:rsidRPr="00852C46" w:rsidRDefault="009A05C7" w:rsidP="000240DA">
            <w:pPr>
              <w:spacing w:after="0" w:line="240" w:lineRule="auto"/>
              <w:jc w:val="left"/>
              <w:rPr>
                <w:rFonts w:eastAsia="Times New Roman" w:cs="Times New Roman"/>
                <w:color w:val="000000"/>
                <w:sz w:val="18"/>
                <w:szCs w:val="18"/>
                <w:lang w:eastAsia="sk-SK"/>
              </w:rPr>
            </w:pPr>
            <w:r w:rsidRPr="00852C46">
              <w:rPr>
                <w:rFonts w:eastAsia="Times New Roman" w:cs="Times New Roman"/>
                <w:color w:val="000000"/>
                <w:sz w:val="18"/>
                <w:szCs w:val="18"/>
                <w:lang w:eastAsia="sk-SK"/>
              </w:rPr>
              <w:t xml:space="preserve">Kompenzácia cien vybraných druhov taríf za odberateľov elektriny </w:t>
            </w:r>
          </w:p>
        </w:tc>
        <w:tc>
          <w:tcPr>
            <w:tcW w:w="825" w:type="pct"/>
            <w:tcBorders>
              <w:top w:val="nil"/>
              <w:left w:val="single" w:sz="4" w:space="0" w:color="auto"/>
              <w:bottom w:val="nil"/>
              <w:right w:val="single" w:sz="4" w:space="0" w:color="auto"/>
            </w:tcBorders>
            <w:shd w:val="clear" w:color="000000" w:fill="FFFFFF"/>
            <w:vAlign w:val="center"/>
            <w:hideMark/>
          </w:tcPr>
          <w:p w14:paraId="44FD0E38" w14:textId="77777777" w:rsidR="009A05C7" w:rsidRPr="00852C46" w:rsidRDefault="009A05C7" w:rsidP="000240DA">
            <w:pPr>
              <w:spacing w:after="0" w:line="240" w:lineRule="auto"/>
              <w:jc w:val="right"/>
              <w:rPr>
                <w:rFonts w:eastAsia="Times New Roman" w:cs="Times New Roman"/>
                <w:color w:val="000000"/>
                <w:sz w:val="18"/>
                <w:szCs w:val="18"/>
                <w:lang w:eastAsia="sk-SK"/>
              </w:rPr>
            </w:pPr>
            <w:r w:rsidRPr="00852C46">
              <w:rPr>
                <w:rFonts w:eastAsia="Times New Roman" w:cs="Times New Roman"/>
                <w:color w:val="000000"/>
                <w:sz w:val="18"/>
                <w:szCs w:val="18"/>
                <w:lang w:eastAsia="sk-SK"/>
              </w:rPr>
              <w:t>12,7</w:t>
            </w:r>
          </w:p>
        </w:tc>
        <w:tc>
          <w:tcPr>
            <w:tcW w:w="827" w:type="pct"/>
            <w:tcBorders>
              <w:top w:val="nil"/>
              <w:left w:val="nil"/>
              <w:bottom w:val="nil"/>
              <w:right w:val="single" w:sz="4" w:space="0" w:color="auto"/>
            </w:tcBorders>
            <w:shd w:val="clear" w:color="000000" w:fill="FFFFFF"/>
            <w:noWrap/>
            <w:vAlign w:val="center"/>
            <w:hideMark/>
          </w:tcPr>
          <w:p w14:paraId="3B174353" w14:textId="77777777" w:rsidR="009A05C7" w:rsidRPr="00852C46" w:rsidRDefault="009A05C7" w:rsidP="000240DA">
            <w:pPr>
              <w:spacing w:after="0" w:line="240" w:lineRule="auto"/>
              <w:jc w:val="right"/>
              <w:rPr>
                <w:rFonts w:eastAsia="Times New Roman" w:cs="Times New Roman"/>
                <w:color w:val="000000"/>
                <w:sz w:val="18"/>
                <w:szCs w:val="18"/>
                <w:lang w:eastAsia="sk-SK"/>
              </w:rPr>
            </w:pPr>
            <w:r w:rsidRPr="00852C46">
              <w:rPr>
                <w:rFonts w:eastAsia="Times New Roman" w:cs="Times New Roman"/>
                <w:color w:val="000000"/>
                <w:sz w:val="18"/>
                <w:szCs w:val="18"/>
                <w:lang w:eastAsia="sk-SK"/>
              </w:rPr>
              <w:t>91,0</w:t>
            </w:r>
          </w:p>
        </w:tc>
        <w:tc>
          <w:tcPr>
            <w:tcW w:w="869" w:type="pct"/>
            <w:tcBorders>
              <w:top w:val="nil"/>
              <w:left w:val="single" w:sz="4" w:space="0" w:color="auto"/>
              <w:bottom w:val="nil"/>
              <w:right w:val="nil"/>
            </w:tcBorders>
            <w:shd w:val="clear" w:color="auto" w:fill="auto"/>
            <w:vAlign w:val="center"/>
            <w:hideMark/>
          </w:tcPr>
          <w:p w14:paraId="067E9DD9" w14:textId="77777777" w:rsidR="009A05C7" w:rsidRPr="00852C46" w:rsidRDefault="009A05C7" w:rsidP="000240DA">
            <w:pPr>
              <w:spacing w:after="0" w:line="240" w:lineRule="auto"/>
              <w:jc w:val="right"/>
              <w:rPr>
                <w:rFonts w:eastAsia="Times New Roman" w:cs="Times New Roman"/>
                <w:color w:val="000000"/>
                <w:sz w:val="18"/>
                <w:szCs w:val="18"/>
                <w:lang w:eastAsia="sk-SK"/>
              </w:rPr>
            </w:pPr>
            <w:r w:rsidRPr="00852C46">
              <w:rPr>
                <w:rFonts w:eastAsia="Times New Roman" w:cs="Times New Roman"/>
                <w:color w:val="000000"/>
                <w:sz w:val="18"/>
                <w:szCs w:val="18"/>
                <w:lang w:eastAsia="sk-SK"/>
              </w:rPr>
              <w:t>21,3</w:t>
            </w:r>
          </w:p>
        </w:tc>
        <w:tc>
          <w:tcPr>
            <w:tcW w:w="846" w:type="pct"/>
            <w:tcBorders>
              <w:top w:val="nil"/>
              <w:left w:val="single" w:sz="4" w:space="0" w:color="auto"/>
              <w:bottom w:val="nil"/>
              <w:right w:val="nil"/>
            </w:tcBorders>
            <w:shd w:val="clear" w:color="auto" w:fill="auto"/>
            <w:noWrap/>
            <w:vAlign w:val="center"/>
            <w:hideMark/>
          </w:tcPr>
          <w:p w14:paraId="427A4761" w14:textId="77777777" w:rsidR="009A05C7" w:rsidRPr="00852C46" w:rsidRDefault="009A05C7" w:rsidP="000240DA">
            <w:pPr>
              <w:spacing w:after="0" w:line="240" w:lineRule="auto"/>
              <w:jc w:val="right"/>
              <w:rPr>
                <w:rFonts w:eastAsia="Times New Roman" w:cs="Times New Roman"/>
                <w:color w:val="000000"/>
                <w:sz w:val="18"/>
                <w:szCs w:val="18"/>
                <w:lang w:eastAsia="sk-SK"/>
              </w:rPr>
            </w:pPr>
            <w:r w:rsidRPr="00852C46">
              <w:rPr>
                <w:rFonts w:eastAsia="Times New Roman" w:cs="Times New Roman"/>
                <w:color w:val="000000"/>
                <w:sz w:val="18"/>
                <w:szCs w:val="18"/>
                <w:lang w:eastAsia="sk-SK"/>
              </w:rPr>
              <w:t>112,3</w:t>
            </w:r>
          </w:p>
        </w:tc>
      </w:tr>
      <w:tr w:rsidR="009A05C7" w:rsidRPr="00852C46" w14:paraId="19E0F0DD" w14:textId="77777777" w:rsidTr="00D96E6C">
        <w:trPr>
          <w:trHeight w:val="470"/>
        </w:trPr>
        <w:tc>
          <w:tcPr>
            <w:tcW w:w="1633" w:type="pct"/>
            <w:tcBorders>
              <w:top w:val="nil"/>
              <w:left w:val="nil"/>
              <w:bottom w:val="single" w:sz="4" w:space="0" w:color="auto"/>
              <w:right w:val="single" w:sz="4" w:space="0" w:color="auto"/>
            </w:tcBorders>
            <w:shd w:val="clear" w:color="auto" w:fill="auto"/>
            <w:vAlign w:val="center"/>
            <w:hideMark/>
          </w:tcPr>
          <w:p w14:paraId="7341A80B" w14:textId="77777777" w:rsidR="009A05C7" w:rsidRPr="00852C46" w:rsidRDefault="009A05C7" w:rsidP="000240DA">
            <w:pPr>
              <w:spacing w:after="0" w:line="240" w:lineRule="auto"/>
              <w:jc w:val="left"/>
              <w:rPr>
                <w:rFonts w:eastAsia="Times New Roman" w:cs="Times New Roman"/>
                <w:color w:val="000000"/>
                <w:sz w:val="18"/>
                <w:szCs w:val="18"/>
                <w:lang w:eastAsia="sk-SK"/>
              </w:rPr>
            </w:pPr>
            <w:r w:rsidRPr="00852C46">
              <w:rPr>
                <w:rFonts w:eastAsia="Times New Roman" w:cs="Times New Roman"/>
                <w:color w:val="000000"/>
                <w:sz w:val="18"/>
                <w:szCs w:val="18"/>
                <w:lang w:eastAsia="sk-SK"/>
              </w:rPr>
              <w:t>Kompenzácia cien vybraných druhov taríf za odberateľov plynu</w:t>
            </w:r>
          </w:p>
        </w:tc>
        <w:tc>
          <w:tcPr>
            <w:tcW w:w="825" w:type="pct"/>
            <w:tcBorders>
              <w:top w:val="nil"/>
              <w:left w:val="nil"/>
              <w:bottom w:val="single" w:sz="4" w:space="0" w:color="auto"/>
              <w:right w:val="single" w:sz="4" w:space="0" w:color="auto"/>
            </w:tcBorders>
            <w:shd w:val="clear" w:color="000000" w:fill="FFFFFF"/>
            <w:vAlign w:val="center"/>
            <w:hideMark/>
          </w:tcPr>
          <w:p w14:paraId="38D89A91" w14:textId="77777777" w:rsidR="009A05C7" w:rsidRPr="00852C46" w:rsidRDefault="009A05C7" w:rsidP="000240DA">
            <w:pPr>
              <w:spacing w:after="0" w:line="240" w:lineRule="auto"/>
              <w:jc w:val="right"/>
              <w:rPr>
                <w:rFonts w:eastAsia="Times New Roman" w:cs="Times New Roman"/>
                <w:color w:val="000000"/>
                <w:sz w:val="18"/>
                <w:szCs w:val="18"/>
                <w:lang w:eastAsia="sk-SK"/>
              </w:rPr>
            </w:pPr>
            <w:r w:rsidRPr="00852C46">
              <w:rPr>
                <w:rFonts w:eastAsia="Times New Roman" w:cs="Times New Roman"/>
                <w:color w:val="000000"/>
                <w:sz w:val="18"/>
                <w:szCs w:val="18"/>
                <w:lang w:eastAsia="sk-SK"/>
              </w:rPr>
              <w:t>0,0</w:t>
            </w:r>
          </w:p>
        </w:tc>
        <w:tc>
          <w:tcPr>
            <w:tcW w:w="827" w:type="pct"/>
            <w:tcBorders>
              <w:top w:val="nil"/>
              <w:left w:val="nil"/>
              <w:bottom w:val="single" w:sz="4" w:space="0" w:color="auto"/>
              <w:right w:val="single" w:sz="4" w:space="0" w:color="auto"/>
            </w:tcBorders>
            <w:shd w:val="clear" w:color="000000" w:fill="FFFFFF"/>
            <w:noWrap/>
            <w:vAlign w:val="center"/>
            <w:hideMark/>
          </w:tcPr>
          <w:p w14:paraId="68AE8E28" w14:textId="77777777" w:rsidR="009A05C7" w:rsidRPr="00852C46" w:rsidRDefault="009A05C7" w:rsidP="000240DA">
            <w:pPr>
              <w:spacing w:after="0" w:line="240" w:lineRule="auto"/>
              <w:jc w:val="right"/>
              <w:rPr>
                <w:rFonts w:eastAsia="Times New Roman" w:cs="Times New Roman"/>
                <w:color w:val="000000"/>
                <w:sz w:val="18"/>
                <w:szCs w:val="18"/>
                <w:lang w:eastAsia="sk-SK"/>
              </w:rPr>
            </w:pPr>
            <w:r w:rsidRPr="00852C46">
              <w:rPr>
                <w:rFonts w:eastAsia="Times New Roman" w:cs="Times New Roman"/>
                <w:color w:val="000000"/>
                <w:sz w:val="18"/>
                <w:szCs w:val="18"/>
                <w:lang w:eastAsia="sk-SK"/>
              </w:rPr>
              <w:t>28,2</w:t>
            </w:r>
          </w:p>
        </w:tc>
        <w:tc>
          <w:tcPr>
            <w:tcW w:w="869" w:type="pct"/>
            <w:tcBorders>
              <w:top w:val="nil"/>
              <w:left w:val="nil"/>
              <w:bottom w:val="single" w:sz="4" w:space="0" w:color="auto"/>
              <w:right w:val="nil"/>
            </w:tcBorders>
            <w:shd w:val="clear" w:color="auto" w:fill="auto"/>
            <w:vAlign w:val="center"/>
            <w:hideMark/>
          </w:tcPr>
          <w:p w14:paraId="0B907A70" w14:textId="77777777" w:rsidR="009A05C7" w:rsidRPr="00852C46" w:rsidRDefault="009A05C7" w:rsidP="000240DA">
            <w:pPr>
              <w:spacing w:after="0" w:line="240" w:lineRule="auto"/>
              <w:jc w:val="right"/>
              <w:rPr>
                <w:rFonts w:eastAsia="Times New Roman" w:cs="Times New Roman"/>
                <w:color w:val="000000"/>
                <w:sz w:val="18"/>
                <w:szCs w:val="18"/>
                <w:lang w:eastAsia="sk-SK"/>
              </w:rPr>
            </w:pPr>
            <w:r w:rsidRPr="00852C46">
              <w:rPr>
                <w:rFonts w:eastAsia="Times New Roman" w:cs="Times New Roman"/>
                <w:color w:val="000000"/>
                <w:sz w:val="18"/>
                <w:szCs w:val="18"/>
                <w:lang w:eastAsia="sk-SK"/>
              </w:rPr>
              <w:t>7,6</w:t>
            </w:r>
          </w:p>
        </w:tc>
        <w:tc>
          <w:tcPr>
            <w:tcW w:w="846" w:type="pct"/>
            <w:tcBorders>
              <w:top w:val="nil"/>
              <w:left w:val="single" w:sz="4" w:space="0" w:color="auto"/>
              <w:bottom w:val="single" w:sz="4" w:space="0" w:color="auto"/>
              <w:right w:val="nil"/>
            </w:tcBorders>
            <w:shd w:val="clear" w:color="auto" w:fill="auto"/>
            <w:noWrap/>
            <w:vAlign w:val="center"/>
            <w:hideMark/>
          </w:tcPr>
          <w:p w14:paraId="40B5CF5D" w14:textId="77777777" w:rsidR="009A05C7" w:rsidRPr="00852C46" w:rsidRDefault="009A05C7" w:rsidP="000240DA">
            <w:pPr>
              <w:spacing w:after="0" w:line="240" w:lineRule="auto"/>
              <w:jc w:val="right"/>
              <w:rPr>
                <w:rFonts w:eastAsia="Times New Roman" w:cs="Times New Roman"/>
                <w:color w:val="000000"/>
                <w:sz w:val="18"/>
                <w:szCs w:val="18"/>
                <w:lang w:eastAsia="sk-SK"/>
              </w:rPr>
            </w:pPr>
            <w:r w:rsidRPr="00852C46">
              <w:rPr>
                <w:rFonts w:eastAsia="Times New Roman" w:cs="Times New Roman"/>
                <w:color w:val="000000"/>
                <w:sz w:val="18"/>
                <w:szCs w:val="18"/>
                <w:lang w:eastAsia="sk-SK"/>
              </w:rPr>
              <w:t>35,7</w:t>
            </w:r>
          </w:p>
        </w:tc>
      </w:tr>
      <w:tr w:rsidR="009A05C7" w:rsidRPr="00852C46" w14:paraId="4373DB9F" w14:textId="77777777" w:rsidTr="00D96E6C">
        <w:trPr>
          <w:trHeight w:val="300"/>
        </w:trPr>
        <w:tc>
          <w:tcPr>
            <w:tcW w:w="1633" w:type="pct"/>
            <w:tcBorders>
              <w:top w:val="single" w:sz="4" w:space="0" w:color="auto"/>
              <w:left w:val="nil"/>
              <w:bottom w:val="single" w:sz="4" w:space="0" w:color="auto"/>
              <w:right w:val="single" w:sz="4" w:space="0" w:color="auto"/>
            </w:tcBorders>
            <w:shd w:val="clear" w:color="auto" w:fill="auto"/>
            <w:vAlign w:val="center"/>
            <w:hideMark/>
          </w:tcPr>
          <w:p w14:paraId="65850C19" w14:textId="77777777" w:rsidR="009A05C7" w:rsidRPr="00852C46" w:rsidRDefault="009A05C7" w:rsidP="000240DA">
            <w:pPr>
              <w:spacing w:after="0" w:line="240" w:lineRule="auto"/>
              <w:jc w:val="left"/>
              <w:rPr>
                <w:rFonts w:eastAsia="Times New Roman" w:cs="Times New Roman"/>
                <w:b/>
                <w:bCs/>
                <w:color w:val="000000"/>
                <w:sz w:val="18"/>
                <w:szCs w:val="18"/>
                <w:lang w:eastAsia="sk-SK"/>
              </w:rPr>
            </w:pPr>
            <w:r w:rsidRPr="00852C46">
              <w:rPr>
                <w:rFonts w:eastAsia="Times New Roman" w:cs="Times New Roman"/>
                <w:b/>
                <w:bCs/>
                <w:color w:val="000000"/>
                <w:sz w:val="18"/>
                <w:szCs w:val="18"/>
                <w:lang w:eastAsia="sk-SK"/>
              </w:rPr>
              <w:t>Spolu</w:t>
            </w:r>
          </w:p>
        </w:tc>
        <w:tc>
          <w:tcPr>
            <w:tcW w:w="825" w:type="pct"/>
            <w:tcBorders>
              <w:top w:val="single" w:sz="4" w:space="0" w:color="auto"/>
              <w:left w:val="nil"/>
              <w:bottom w:val="single" w:sz="4" w:space="0" w:color="auto"/>
              <w:right w:val="single" w:sz="4" w:space="0" w:color="auto"/>
            </w:tcBorders>
            <w:shd w:val="clear" w:color="auto" w:fill="auto"/>
            <w:vAlign w:val="center"/>
            <w:hideMark/>
          </w:tcPr>
          <w:p w14:paraId="3C2E15AA" w14:textId="77777777" w:rsidR="009A05C7" w:rsidRPr="00852C46" w:rsidRDefault="009A05C7" w:rsidP="000240DA">
            <w:pPr>
              <w:spacing w:after="0" w:line="240" w:lineRule="auto"/>
              <w:jc w:val="right"/>
              <w:rPr>
                <w:rFonts w:eastAsia="Times New Roman" w:cs="Times New Roman"/>
                <w:b/>
                <w:bCs/>
                <w:color w:val="000000"/>
                <w:sz w:val="18"/>
                <w:szCs w:val="18"/>
                <w:lang w:eastAsia="sk-SK"/>
              </w:rPr>
            </w:pPr>
            <w:r w:rsidRPr="00852C46">
              <w:rPr>
                <w:rFonts w:eastAsia="Times New Roman" w:cs="Times New Roman"/>
                <w:b/>
                <w:bCs/>
                <w:color w:val="000000"/>
                <w:sz w:val="18"/>
                <w:szCs w:val="18"/>
                <w:lang w:eastAsia="sk-SK"/>
              </w:rPr>
              <w:t>190,1</w:t>
            </w:r>
          </w:p>
        </w:tc>
        <w:tc>
          <w:tcPr>
            <w:tcW w:w="827" w:type="pct"/>
            <w:tcBorders>
              <w:top w:val="single" w:sz="4" w:space="0" w:color="auto"/>
              <w:left w:val="nil"/>
              <w:bottom w:val="single" w:sz="4" w:space="0" w:color="auto"/>
              <w:right w:val="single" w:sz="4" w:space="0" w:color="auto"/>
            </w:tcBorders>
            <w:shd w:val="clear" w:color="auto" w:fill="auto"/>
            <w:vAlign w:val="center"/>
            <w:hideMark/>
          </w:tcPr>
          <w:p w14:paraId="4F01FAE4" w14:textId="77777777" w:rsidR="009A05C7" w:rsidRPr="00852C46" w:rsidRDefault="009A05C7" w:rsidP="000240DA">
            <w:pPr>
              <w:spacing w:after="0" w:line="240" w:lineRule="auto"/>
              <w:jc w:val="right"/>
              <w:rPr>
                <w:rFonts w:eastAsia="Times New Roman" w:cs="Times New Roman"/>
                <w:b/>
                <w:bCs/>
                <w:color w:val="000000"/>
                <w:sz w:val="18"/>
                <w:szCs w:val="18"/>
                <w:lang w:eastAsia="sk-SK"/>
              </w:rPr>
            </w:pPr>
            <w:r w:rsidRPr="00852C46">
              <w:rPr>
                <w:rFonts w:eastAsia="Times New Roman" w:cs="Times New Roman"/>
                <w:b/>
                <w:bCs/>
                <w:color w:val="000000"/>
                <w:sz w:val="18"/>
                <w:szCs w:val="18"/>
                <w:lang w:eastAsia="sk-SK"/>
              </w:rPr>
              <w:t>1 031,3</w:t>
            </w:r>
          </w:p>
        </w:tc>
        <w:tc>
          <w:tcPr>
            <w:tcW w:w="869" w:type="pct"/>
            <w:tcBorders>
              <w:top w:val="single" w:sz="4" w:space="0" w:color="auto"/>
              <w:left w:val="nil"/>
              <w:bottom w:val="single" w:sz="4" w:space="0" w:color="auto"/>
              <w:right w:val="nil"/>
            </w:tcBorders>
            <w:shd w:val="clear" w:color="auto" w:fill="auto"/>
            <w:vAlign w:val="center"/>
            <w:hideMark/>
          </w:tcPr>
          <w:p w14:paraId="1A02D865" w14:textId="77777777" w:rsidR="009A05C7" w:rsidRPr="00852C46" w:rsidRDefault="009A05C7" w:rsidP="000240DA">
            <w:pPr>
              <w:spacing w:after="0" w:line="240" w:lineRule="auto"/>
              <w:jc w:val="right"/>
              <w:rPr>
                <w:rFonts w:eastAsia="Times New Roman" w:cs="Times New Roman"/>
                <w:b/>
                <w:bCs/>
                <w:color w:val="000000"/>
                <w:sz w:val="18"/>
                <w:szCs w:val="18"/>
                <w:lang w:eastAsia="sk-SK"/>
              </w:rPr>
            </w:pPr>
            <w:r w:rsidRPr="00852C46">
              <w:rPr>
                <w:rFonts w:eastAsia="Times New Roman" w:cs="Times New Roman"/>
                <w:b/>
                <w:bCs/>
                <w:color w:val="000000"/>
                <w:sz w:val="18"/>
                <w:szCs w:val="18"/>
                <w:lang w:eastAsia="sk-SK"/>
              </w:rPr>
              <w:t>94,4</w:t>
            </w:r>
          </w:p>
        </w:tc>
        <w:tc>
          <w:tcPr>
            <w:tcW w:w="846" w:type="pct"/>
            <w:tcBorders>
              <w:top w:val="single" w:sz="4" w:space="0" w:color="auto"/>
              <w:left w:val="single" w:sz="4" w:space="0" w:color="auto"/>
              <w:bottom w:val="single" w:sz="4" w:space="0" w:color="auto"/>
              <w:right w:val="nil"/>
            </w:tcBorders>
            <w:shd w:val="clear" w:color="auto" w:fill="auto"/>
            <w:vAlign w:val="center"/>
            <w:hideMark/>
          </w:tcPr>
          <w:p w14:paraId="7A344CD1" w14:textId="77777777" w:rsidR="009A05C7" w:rsidRPr="00852C46" w:rsidRDefault="009A05C7" w:rsidP="000240DA">
            <w:pPr>
              <w:spacing w:after="0" w:line="240" w:lineRule="auto"/>
              <w:jc w:val="right"/>
              <w:rPr>
                <w:rFonts w:eastAsia="Times New Roman" w:cs="Times New Roman"/>
                <w:b/>
                <w:bCs/>
                <w:color w:val="000000"/>
                <w:sz w:val="18"/>
                <w:szCs w:val="18"/>
                <w:lang w:eastAsia="sk-SK"/>
              </w:rPr>
            </w:pPr>
            <w:r w:rsidRPr="00852C46">
              <w:rPr>
                <w:rFonts w:eastAsia="Times New Roman" w:cs="Times New Roman"/>
                <w:b/>
                <w:bCs/>
                <w:color w:val="000000"/>
                <w:sz w:val="18"/>
                <w:szCs w:val="18"/>
                <w:lang w:eastAsia="sk-SK"/>
              </w:rPr>
              <w:t>1 125,7</w:t>
            </w:r>
          </w:p>
        </w:tc>
      </w:tr>
    </w:tbl>
    <w:p w14:paraId="4EBD399A" w14:textId="4003FC9C" w:rsidR="009A05C7" w:rsidRPr="00F53B1C" w:rsidRDefault="009A05C7" w:rsidP="009A05C7">
      <w:pPr>
        <w:keepNext/>
        <w:spacing w:after="0" w:line="240" w:lineRule="auto"/>
        <w:ind w:right="142"/>
        <w:rPr>
          <w:sz w:val="16"/>
          <w:szCs w:val="16"/>
        </w:rPr>
      </w:pPr>
      <w:r w:rsidRPr="00EB2A4B">
        <w:rPr>
          <w:rFonts w:cs="Times New Roman"/>
          <w:sz w:val="18"/>
          <w:szCs w:val="18"/>
        </w:rPr>
        <w:t>* realizáciou vyúčtovania kompenzácii cien tepla za domácnosti v bytoch za rok 2023</w:t>
      </w:r>
      <w:r>
        <w:rPr>
          <w:rFonts w:cs="Times New Roman"/>
          <w:sz w:val="18"/>
          <w:szCs w:val="18"/>
        </w:rPr>
        <w:tab/>
        <w:t xml:space="preserve">      </w:t>
      </w:r>
      <w:r w:rsidR="000D5DA5">
        <w:rPr>
          <w:rFonts w:cs="Times New Roman"/>
          <w:sz w:val="18"/>
          <w:szCs w:val="18"/>
        </w:rPr>
        <w:t xml:space="preserve">     </w:t>
      </w:r>
      <w:r>
        <w:rPr>
          <w:rFonts w:cs="Times New Roman"/>
          <w:sz w:val="18"/>
          <w:szCs w:val="18"/>
        </w:rPr>
        <w:t>Zdroj: MH SR, MF SR</w:t>
      </w:r>
    </w:p>
    <w:p w14:paraId="4C57B6CA" w14:textId="77777777" w:rsidR="009A05C7" w:rsidRDefault="009A05C7" w:rsidP="009A05C7">
      <w:pPr>
        <w:pStyle w:val="Odsekzoznamu"/>
        <w:ind w:left="0"/>
        <w:contextualSpacing w:val="0"/>
        <w:jc w:val="both"/>
        <w:rPr>
          <w:rFonts w:ascii="Times New Roman" w:hAnsi="Times New Roman"/>
          <w:sz w:val="18"/>
          <w:szCs w:val="18"/>
        </w:rPr>
      </w:pPr>
      <w:r w:rsidRPr="00EB2A4B">
        <w:rPr>
          <w:rFonts w:ascii="Times New Roman" w:hAnsi="Times New Roman"/>
          <w:sz w:val="18"/>
          <w:szCs w:val="18"/>
        </w:rPr>
        <w:t>došlo k úspore finančných</w:t>
      </w:r>
      <w:r>
        <w:rPr>
          <w:rFonts w:ascii="Times New Roman" w:hAnsi="Times New Roman"/>
          <w:sz w:val="18"/>
          <w:szCs w:val="18"/>
        </w:rPr>
        <w:t xml:space="preserve"> prostriedkov vo výške 78,6</w:t>
      </w:r>
      <w:r w:rsidRPr="00EB2A4B">
        <w:rPr>
          <w:rFonts w:ascii="Times New Roman" w:hAnsi="Times New Roman"/>
          <w:sz w:val="18"/>
          <w:szCs w:val="18"/>
        </w:rPr>
        <w:t xml:space="preserve"> mil. eur</w:t>
      </w:r>
    </w:p>
    <w:p w14:paraId="5C0C4829" w14:textId="77777777" w:rsidR="009A05C7" w:rsidRPr="00EB2A4B" w:rsidRDefault="009A05C7" w:rsidP="009A05C7">
      <w:pPr>
        <w:pStyle w:val="Odsekzoznamu"/>
        <w:spacing w:after="120"/>
        <w:ind w:left="0"/>
        <w:contextualSpacing w:val="0"/>
        <w:jc w:val="both"/>
        <w:rPr>
          <w:rFonts w:ascii="Times New Roman" w:hAnsi="Times New Roman"/>
          <w:sz w:val="18"/>
          <w:szCs w:val="18"/>
        </w:rPr>
      </w:pPr>
      <w:r w:rsidRPr="00A748B2">
        <w:rPr>
          <w:rFonts w:ascii="Times New Roman" w:hAnsi="Times New Roman"/>
          <w:sz w:val="18"/>
          <w:szCs w:val="18"/>
          <w:vertAlign w:val="superscript"/>
        </w:rPr>
        <w:t>1)</w:t>
      </w:r>
      <w:r>
        <w:rPr>
          <w:rFonts w:ascii="Times New Roman" w:hAnsi="Times New Roman"/>
          <w:sz w:val="18"/>
          <w:szCs w:val="18"/>
          <w:vertAlign w:val="superscript"/>
        </w:rPr>
        <w:t xml:space="preserve"> </w:t>
      </w:r>
      <w:r w:rsidRPr="00A748B2">
        <w:rPr>
          <w:rFonts w:ascii="Times New Roman" w:hAnsi="Times New Roman"/>
          <w:sz w:val="18"/>
          <w:szCs w:val="18"/>
        </w:rPr>
        <w:t>V zmysle schémy pomoci 2.1. Dočasného krízov</w:t>
      </w:r>
      <w:r>
        <w:rPr>
          <w:rFonts w:ascii="Times New Roman" w:hAnsi="Times New Roman"/>
          <w:sz w:val="18"/>
          <w:szCs w:val="18"/>
        </w:rPr>
        <w:t xml:space="preserve">ého rámca Európskej Komisie </w:t>
      </w:r>
      <w:r w:rsidRPr="001C5664">
        <w:rPr>
          <w:rFonts w:ascii="Times New Roman" w:hAnsi="Times New Roman"/>
          <w:sz w:val="18"/>
          <w:szCs w:val="18"/>
        </w:rPr>
        <w:t>bola vyhlásená výzva pre všetky subjekty vykonávajúce hospodársku činnosť. O kompenzácie mohli požiadať podniky, ale i verejný sektor, ako sú samosprávy, domovy sociálnych služieb či občianske združenia</w:t>
      </w:r>
      <w:r>
        <w:rPr>
          <w:rFonts w:ascii="Times New Roman" w:hAnsi="Times New Roman"/>
          <w:sz w:val="18"/>
          <w:szCs w:val="18"/>
        </w:rPr>
        <w:t>.</w:t>
      </w:r>
    </w:p>
    <w:p w14:paraId="5E39327F" w14:textId="77777777" w:rsidR="009A05C7" w:rsidRPr="00D557E7" w:rsidRDefault="009A05C7" w:rsidP="009A05C7">
      <w:pPr>
        <w:spacing w:line="240" w:lineRule="auto"/>
        <w:rPr>
          <w:b/>
          <w:bCs/>
          <w:color w:val="5B9BD5" w:themeColor="accent1"/>
          <w:sz w:val="24"/>
          <w:szCs w:val="24"/>
        </w:rPr>
      </w:pPr>
      <w:r w:rsidRPr="00D557E7">
        <w:rPr>
          <w:b/>
          <w:color w:val="5B9BD5" w:themeColor="accent1"/>
          <w:sz w:val="24"/>
          <w:szCs w:val="24"/>
        </w:rPr>
        <w:t xml:space="preserve">Vplyv </w:t>
      </w:r>
      <w:r>
        <w:rPr>
          <w:b/>
          <w:bCs/>
          <w:color w:val="5B9BD5" w:themeColor="accent1"/>
          <w:sz w:val="24"/>
          <w:szCs w:val="24"/>
        </w:rPr>
        <w:t xml:space="preserve">akruálneho zaznamenania vojenských výdavkov </w:t>
      </w:r>
    </w:p>
    <w:p w14:paraId="535317AA" w14:textId="55473265" w:rsidR="009A05C7" w:rsidRDefault="009A05C7" w:rsidP="009A05C7">
      <w:pPr>
        <w:pStyle w:val="Odsekzoznamu"/>
        <w:spacing w:after="120"/>
        <w:ind w:left="0"/>
        <w:contextualSpacing w:val="0"/>
        <w:jc w:val="both"/>
        <w:rPr>
          <w:rFonts w:ascii="Times New Roman" w:hAnsi="Times New Roman"/>
          <w:sz w:val="24"/>
          <w:szCs w:val="24"/>
        </w:rPr>
      </w:pPr>
      <w:r>
        <w:rPr>
          <w:rFonts w:ascii="Times New Roman" w:hAnsi="Times New Roman"/>
          <w:sz w:val="24"/>
          <w:szCs w:val="24"/>
        </w:rPr>
        <w:t xml:space="preserve">Podľa metodiky ESA sa výdavky na obstaranie vojenských zariadení majú zaznamenávať na akruálnom princípe, teda v čase ich dodania, prípadne zaradenia do užívania, a nie v čase realizácie hotovostných platieb. </w:t>
      </w:r>
      <w:r w:rsidRPr="005620CD">
        <w:rPr>
          <w:rFonts w:ascii="Times New Roman" w:hAnsi="Times New Roman"/>
          <w:sz w:val="24"/>
          <w:szCs w:val="24"/>
        </w:rPr>
        <w:t>Vplyv akruálneho zaznamenania vojenských výdavkov mal pozitívny vplyv oproti rozpočtu 606</w:t>
      </w:r>
      <w:r>
        <w:rPr>
          <w:rFonts w:ascii="Times New Roman" w:hAnsi="Times New Roman"/>
          <w:sz w:val="24"/>
          <w:szCs w:val="24"/>
        </w:rPr>
        <w:t> </w:t>
      </w:r>
      <w:r w:rsidRPr="005620CD">
        <w:rPr>
          <w:rFonts w:ascii="Times New Roman" w:hAnsi="Times New Roman"/>
          <w:sz w:val="24"/>
          <w:szCs w:val="24"/>
        </w:rPr>
        <w:t>504</w:t>
      </w:r>
      <w:r>
        <w:rPr>
          <w:rFonts w:ascii="Times New Roman" w:hAnsi="Times New Roman"/>
          <w:sz w:val="24"/>
          <w:szCs w:val="24"/>
        </w:rPr>
        <w:t> </w:t>
      </w:r>
      <w:r w:rsidRPr="005620CD">
        <w:rPr>
          <w:rFonts w:ascii="Times New Roman" w:hAnsi="Times New Roman"/>
          <w:sz w:val="24"/>
          <w:szCs w:val="24"/>
        </w:rPr>
        <w:t>tis.</w:t>
      </w:r>
      <w:r>
        <w:rPr>
          <w:rFonts w:ascii="Times New Roman" w:hAnsi="Times New Roman"/>
          <w:sz w:val="24"/>
          <w:szCs w:val="24"/>
        </w:rPr>
        <w:t> </w:t>
      </w:r>
      <w:r w:rsidRPr="005620CD">
        <w:rPr>
          <w:rFonts w:ascii="Times New Roman" w:hAnsi="Times New Roman"/>
          <w:sz w:val="24"/>
          <w:szCs w:val="24"/>
        </w:rPr>
        <w:t>eur.</w:t>
      </w:r>
    </w:p>
    <w:p w14:paraId="276539F0" w14:textId="77777777" w:rsidR="002D4A5D" w:rsidRDefault="002D4A5D" w:rsidP="009A05C7">
      <w:pPr>
        <w:pStyle w:val="Odsekzoznamu"/>
        <w:spacing w:after="120"/>
        <w:ind w:left="0"/>
        <w:contextualSpacing w:val="0"/>
        <w:jc w:val="both"/>
        <w:rPr>
          <w:rFonts w:ascii="Times New Roman" w:hAnsi="Times New Roman"/>
          <w:sz w:val="24"/>
          <w:szCs w:val="24"/>
        </w:rPr>
      </w:pPr>
    </w:p>
    <w:p w14:paraId="47D90D44" w14:textId="77777777" w:rsidR="000B6BAD" w:rsidRDefault="000B6BAD">
      <w:pPr>
        <w:spacing w:after="160" w:line="259" w:lineRule="auto"/>
        <w:jc w:val="left"/>
        <w:rPr>
          <w:rFonts w:cs="Times New Roman"/>
          <w:b/>
          <w:color w:val="5B9BD5" w:themeColor="accent1"/>
          <w:sz w:val="24"/>
          <w:szCs w:val="24"/>
        </w:rPr>
      </w:pPr>
      <w:r>
        <w:rPr>
          <w:rFonts w:cs="Times New Roman"/>
          <w:b/>
          <w:color w:val="5B9BD5" w:themeColor="accent1"/>
          <w:sz w:val="24"/>
          <w:szCs w:val="24"/>
        </w:rPr>
        <w:br w:type="page"/>
      </w:r>
    </w:p>
    <w:p w14:paraId="35BFB351" w14:textId="35F6604C" w:rsidR="009A05C7" w:rsidRPr="00E61B0C" w:rsidRDefault="009A05C7" w:rsidP="009A05C7">
      <w:pPr>
        <w:spacing w:line="240" w:lineRule="auto"/>
        <w:rPr>
          <w:rFonts w:cs="Times New Roman"/>
          <w:b/>
          <w:color w:val="5B9BD5" w:themeColor="accent1"/>
          <w:sz w:val="24"/>
          <w:szCs w:val="24"/>
        </w:rPr>
      </w:pPr>
      <w:r w:rsidRPr="00E61B0C">
        <w:rPr>
          <w:rFonts w:cs="Times New Roman"/>
          <w:b/>
          <w:color w:val="5B9BD5" w:themeColor="accent1"/>
          <w:sz w:val="24"/>
          <w:szCs w:val="24"/>
        </w:rPr>
        <w:lastRenderedPageBreak/>
        <w:t>Hospodárenie vybraných subjektov verejnej správy (na nekonsolidovanej báze)</w:t>
      </w:r>
    </w:p>
    <w:p w14:paraId="164F0D1C" w14:textId="3CA41266" w:rsidR="009A05C7" w:rsidRDefault="009A05C7" w:rsidP="009A05C7">
      <w:pPr>
        <w:spacing w:line="240" w:lineRule="auto"/>
        <w:rPr>
          <w:sz w:val="24"/>
          <w:szCs w:val="24"/>
        </w:rPr>
      </w:pPr>
      <w:r w:rsidRPr="00340BB1">
        <w:rPr>
          <w:rFonts w:cs="Times New Roman"/>
          <w:b/>
          <w:sz w:val="24"/>
          <w:szCs w:val="24"/>
        </w:rPr>
        <w:t xml:space="preserve">Sociálna poisťovňa </w:t>
      </w:r>
      <w:r w:rsidRPr="00340BB1">
        <w:rPr>
          <w:rFonts w:cs="Times New Roman"/>
          <w:sz w:val="24"/>
          <w:szCs w:val="24"/>
        </w:rPr>
        <w:t xml:space="preserve"> </w:t>
      </w:r>
      <w:r w:rsidRPr="00073445">
        <w:rPr>
          <w:rFonts w:cs="Times New Roman"/>
          <w:sz w:val="24"/>
          <w:szCs w:val="24"/>
        </w:rPr>
        <w:t>dosiahla ESA prebytok vo výške 316 996 tis. eur (oproti rozpočtu je o 176 897 tis. eur vyšší).</w:t>
      </w:r>
      <w:r>
        <w:rPr>
          <w:rFonts w:cs="Times New Roman"/>
          <w:sz w:val="24"/>
          <w:szCs w:val="24"/>
        </w:rPr>
        <w:t xml:space="preserve"> Najvýznamnejší p</w:t>
      </w:r>
      <w:r w:rsidRPr="00340BB1">
        <w:rPr>
          <w:rFonts w:cs="Times New Roman"/>
          <w:sz w:val="24"/>
          <w:szCs w:val="24"/>
        </w:rPr>
        <w:t>ozitívny vplyv mal predovšetkým prijatý transfer zo</w:t>
      </w:r>
      <w:r>
        <w:rPr>
          <w:rFonts w:cs="Times New Roman"/>
          <w:sz w:val="24"/>
          <w:szCs w:val="24"/>
        </w:rPr>
        <w:t> </w:t>
      </w:r>
      <w:r w:rsidRPr="00340BB1">
        <w:rPr>
          <w:rFonts w:cs="Times New Roman"/>
          <w:sz w:val="24"/>
          <w:szCs w:val="24"/>
        </w:rPr>
        <w:t>ŠR vo výške 2 720</w:t>
      </w:r>
      <w:r>
        <w:rPr>
          <w:rFonts w:cs="Times New Roman"/>
          <w:sz w:val="24"/>
          <w:szCs w:val="24"/>
        </w:rPr>
        <w:t> </w:t>
      </w:r>
      <w:r w:rsidRPr="00340BB1">
        <w:rPr>
          <w:rFonts w:cs="Times New Roman"/>
          <w:sz w:val="24"/>
          <w:szCs w:val="24"/>
        </w:rPr>
        <w:t>000</w:t>
      </w:r>
      <w:r>
        <w:rPr>
          <w:rFonts w:cs="Times New Roman"/>
          <w:sz w:val="24"/>
          <w:szCs w:val="24"/>
        </w:rPr>
        <w:t> </w:t>
      </w:r>
      <w:r w:rsidRPr="00340BB1">
        <w:rPr>
          <w:rFonts w:cs="Times New Roman"/>
          <w:sz w:val="24"/>
          <w:szCs w:val="24"/>
        </w:rPr>
        <w:t>tis. </w:t>
      </w:r>
      <w:r>
        <w:rPr>
          <w:rFonts w:cs="Times New Roman"/>
          <w:sz w:val="24"/>
          <w:szCs w:val="24"/>
        </w:rPr>
        <w:t>e</w:t>
      </w:r>
      <w:r w:rsidRPr="00340BB1">
        <w:rPr>
          <w:rFonts w:cs="Times New Roman"/>
          <w:sz w:val="24"/>
          <w:szCs w:val="24"/>
        </w:rPr>
        <w:t>ur</w:t>
      </w:r>
      <w:r>
        <w:rPr>
          <w:rFonts w:cs="Times New Roman"/>
          <w:sz w:val="24"/>
          <w:szCs w:val="24"/>
        </w:rPr>
        <w:t xml:space="preserve"> (v porovnaní s rozpočtom bol o 1 120 000 tis. eur vyšší ako sa predpokladalo), ktorý súvisel so </w:t>
      </w:r>
      <w:r w:rsidRPr="00340BB1">
        <w:rPr>
          <w:rFonts w:cs="Times New Roman"/>
          <w:sz w:val="24"/>
          <w:szCs w:val="24"/>
        </w:rPr>
        <w:t>zvýšenými výdavkami niektorých druhov poistenia</w:t>
      </w:r>
      <w:r>
        <w:rPr>
          <w:rFonts w:cs="Times New Roman"/>
          <w:sz w:val="24"/>
          <w:szCs w:val="24"/>
        </w:rPr>
        <w:t>,</w:t>
      </w:r>
      <w:r w:rsidRPr="00340BB1">
        <w:rPr>
          <w:rFonts w:cs="Times New Roman"/>
          <w:sz w:val="24"/>
          <w:szCs w:val="24"/>
        </w:rPr>
        <w:t xml:space="preserve"> najmä výdavkov na dôchodkové dávky. </w:t>
      </w:r>
      <w:r>
        <w:rPr>
          <w:rFonts w:cs="Times New Roman"/>
          <w:sz w:val="24"/>
          <w:szCs w:val="24"/>
        </w:rPr>
        <w:t>V prípade hotovostných príjmov na poistnom sa však v</w:t>
      </w:r>
      <w:r w:rsidRPr="00073445">
        <w:rPr>
          <w:rFonts w:cs="Times New Roman"/>
          <w:sz w:val="24"/>
          <w:szCs w:val="24"/>
        </w:rPr>
        <w:t> rozpočte predpokladali vyššie príjmy ako</w:t>
      </w:r>
      <w:r>
        <w:rPr>
          <w:rFonts w:cs="Times New Roman"/>
          <w:sz w:val="24"/>
          <w:szCs w:val="24"/>
        </w:rPr>
        <w:t xml:space="preserve"> bola skutočnosť, t. j. došlo k </w:t>
      </w:r>
      <w:r w:rsidRPr="00073445">
        <w:rPr>
          <w:rFonts w:cs="Times New Roman"/>
          <w:sz w:val="24"/>
          <w:szCs w:val="24"/>
        </w:rPr>
        <w:t>poklesu o 57 048 tis. eur</w:t>
      </w:r>
      <w:r>
        <w:rPr>
          <w:rFonts w:cs="Times New Roman"/>
          <w:sz w:val="24"/>
          <w:szCs w:val="24"/>
        </w:rPr>
        <w:t>,</w:t>
      </w:r>
      <w:r w:rsidRPr="00073445">
        <w:rPr>
          <w:sz w:val="24"/>
          <w:szCs w:val="24"/>
        </w:rPr>
        <w:t xml:space="preserve"> </w:t>
      </w:r>
      <w:r>
        <w:rPr>
          <w:sz w:val="24"/>
          <w:szCs w:val="24"/>
        </w:rPr>
        <w:t>z</w:t>
      </w:r>
      <w:r w:rsidRPr="00011DE1">
        <w:rPr>
          <w:sz w:val="24"/>
          <w:szCs w:val="24"/>
        </w:rPr>
        <w:t xml:space="preserve"> toho </w:t>
      </w:r>
      <w:r>
        <w:rPr>
          <w:sz w:val="24"/>
          <w:szCs w:val="24"/>
        </w:rPr>
        <w:t xml:space="preserve">boli </w:t>
      </w:r>
      <w:r w:rsidRPr="00011DE1">
        <w:rPr>
          <w:sz w:val="24"/>
          <w:szCs w:val="24"/>
        </w:rPr>
        <w:t>príjmy z poistného od ekonomicky aktívnych osôb nižšie o</w:t>
      </w:r>
      <w:r>
        <w:rPr>
          <w:sz w:val="24"/>
          <w:szCs w:val="24"/>
        </w:rPr>
        <w:t> </w:t>
      </w:r>
      <w:r w:rsidRPr="00011DE1">
        <w:rPr>
          <w:sz w:val="24"/>
          <w:szCs w:val="24"/>
        </w:rPr>
        <w:t>255</w:t>
      </w:r>
      <w:r>
        <w:rPr>
          <w:sz w:val="24"/>
          <w:szCs w:val="24"/>
        </w:rPr>
        <w:t> 034 tis</w:t>
      </w:r>
      <w:r w:rsidRPr="00011DE1">
        <w:rPr>
          <w:sz w:val="24"/>
          <w:szCs w:val="24"/>
        </w:rPr>
        <w:t>.</w:t>
      </w:r>
      <w:r>
        <w:rPr>
          <w:sz w:val="24"/>
          <w:szCs w:val="24"/>
        </w:rPr>
        <w:t> </w:t>
      </w:r>
      <w:r w:rsidRPr="00011DE1">
        <w:rPr>
          <w:sz w:val="24"/>
          <w:szCs w:val="24"/>
        </w:rPr>
        <w:t>eur, dlžné poistné bolo vyššie o</w:t>
      </w:r>
      <w:r>
        <w:rPr>
          <w:sz w:val="24"/>
          <w:szCs w:val="24"/>
        </w:rPr>
        <w:t> </w:t>
      </w:r>
      <w:r w:rsidRPr="00011DE1">
        <w:rPr>
          <w:sz w:val="24"/>
          <w:szCs w:val="24"/>
        </w:rPr>
        <w:t>216</w:t>
      </w:r>
      <w:r>
        <w:rPr>
          <w:sz w:val="24"/>
          <w:szCs w:val="24"/>
        </w:rPr>
        <w:t> 353 tis</w:t>
      </w:r>
      <w:r w:rsidRPr="00011DE1">
        <w:rPr>
          <w:sz w:val="24"/>
          <w:szCs w:val="24"/>
        </w:rPr>
        <w:t>.</w:t>
      </w:r>
      <w:r>
        <w:rPr>
          <w:sz w:val="24"/>
          <w:szCs w:val="24"/>
        </w:rPr>
        <w:t> eur</w:t>
      </w:r>
      <w:r w:rsidRPr="00011DE1">
        <w:rPr>
          <w:sz w:val="24"/>
          <w:szCs w:val="24"/>
        </w:rPr>
        <w:t xml:space="preserve"> </w:t>
      </w:r>
      <w:r>
        <w:rPr>
          <w:sz w:val="24"/>
          <w:szCs w:val="24"/>
        </w:rPr>
        <w:t xml:space="preserve">a </w:t>
      </w:r>
      <w:r w:rsidRPr="00011DE1">
        <w:rPr>
          <w:sz w:val="24"/>
          <w:szCs w:val="24"/>
        </w:rPr>
        <w:t>poistné platené štátom bolo nižšie o</w:t>
      </w:r>
      <w:r>
        <w:rPr>
          <w:sz w:val="24"/>
          <w:szCs w:val="24"/>
        </w:rPr>
        <w:t> </w:t>
      </w:r>
      <w:r w:rsidRPr="00011DE1">
        <w:rPr>
          <w:sz w:val="24"/>
          <w:szCs w:val="24"/>
        </w:rPr>
        <w:t>18</w:t>
      </w:r>
      <w:r>
        <w:rPr>
          <w:sz w:val="24"/>
          <w:szCs w:val="24"/>
        </w:rPr>
        <w:t> 719 tis. e</w:t>
      </w:r>
      <w:r w:rsidRPr="00011DE1">
        <w:rPr>
          <w:sz w:val="24"/>
          <w:szCs w:val="24"/>
        </w:rPr>
        <w:t>ur</w:t>
      </w:r>
      <w:r>
        <w:rPr>
          <w:sz w:val="24"/>
          <w:szCs w:val="24"/>
        </w:rPr>
        <w:t>.</w:t>
      </w:r>
      <w:r w:rsidR="00517F4B">
        <w:rPr>
          <w:sz w:val="24"/>
          <w:szCs w:val="24"/>
        </w:rPr>
        <w:t xml:space="preserve"> N</w:t>
      </w:r>
      <w:r w:rsidR="00517F4B" w:rsidRPr="00B972B6">
        <w:rPr>
          <w:sz w:val="24"/>
          <w:szCs w:val="24"/>
        </w:rPr>
        <w:t>árast hotovostného príjmu z dlžného poistného</w:t>
      </w:r>
      <w:r w:rsidR="00517F4B">
        <w:rPr>
          <w:sz w:val="24"/>
          <w:szCs w:val="24"/>
        </w:rPr>
        <w:t xml:space="preserve">, ovplyvnilo hlavne použitie prostriedkov ŠFA uvoľnených na plnenie finančnej stabilizácie zdravotníckych zariadení </w:t>
      </w:r>
      <w:r w:rsidR="00517F4B" w:rsidRPr="00B972B6">
        <w:rPr>
          <w:sz w:val="24"/>
          <w:szCs w:val="24"/>
        </w:rPr>
        <w:t>vo výške 166 845 tis. eur</w:t>
      </w:r>
      <w:r w:rsidR="00517F4B">
        <w:rPr>
          <w:sz w:val="24"/>
          <w:szCs w:val="24"/>
        </w:rPr>
        <w:t>.</w:t>
      </w:r>
    </w:p>
    <w:p w14:paraId="0735E95E" w14:textId="06496390" w:rsidR="009A05C7" w:rsidRDefault="002B6C92" w:rsidP="00282713">
      <w:pPr>
        <w:spacing w:line="240" w:lineRule="auto"/>
        <w:rPr>
          <w:sz w:val="24"/>
          <w:szCs w:val="24"/>
        </w:rPr>
      </w:pPr>
      <w:r>
        <w:rPr>
          <w:sz w:val="24"/>
          <w:szCs w:val="24"/>
        </w:rPr>
        <w:t>O</w:t>
      </w:r>
      <w:r w:rsidR="009A05C7" w:rsidRPr="00B972B6">
        <w:rPr>
          <w:sz w:val="24"/>
          <w:szCs w:val="24"/>
        </w:rPr>
        <w:t>ddlžovani</w:t>
      </w:r>
      <w:r>
        <w:rPr>
          <w:sz w:val="24"/>
          <w:szCs w:val="24"/>
        </w:rPr>
        <w:t>e zdravotníckych zariadení v roku 2024</w:t>
      </w:r>
      <w:r w:rsidR="009A05C7" w:rsidRPr="00B972B6">
        <w:rPr>
          <w:rStyle w:val="Odkaznapoznmkupodiarou"/>
          <w:sz w:val="24"/>
          <w:szCs w:val="24"/>
        </w:rPr>
        <w:footnoteReference w:id="16"/>
      </w:r>
      <w:r w:rsidR="009A05C7" w:rsidRPr="00B972B6">
        <w:rPr>
          <w:sz w:val="24"/>
          <w:szCs w:val="24"/>
        </w:rPr>
        <w:t xml:space="preserve"> </w:t>
      </w:r>
      <w:r w:rsidR="00F177E1">
        <w:rPr>
          <w:sz w:val="24"/>
          <w:szCs w:val="24"/>
        </w:rPr>
        <w:t xml:space="preserve">malo v metodike </w:t>
      </w:r>
      <w:r w:rsidR="00F177E1" w:rsidRPr="00B972B6">
        <w:rPr>
          <w:sz w:val="24"/>
          <w:szCs w:val="24"/>
        </w:rPr>
        <w:t xml:space="preserve">ESA </w:t>
      </w:r>
      <w:r w:rsidR="00F177E1">
        <w:rPr>
          <w:sz w:val="24"/>
          <w:szCs w:val="24"/>
        </w:rPr>
        <w:t xml:space="preserve">pozitívny vplyv na hospodárenie </w:t>
      </w:r>
      <w:r w:rsidR="009A05C7" w:rsidRPr="00B972B6">
        <w:rPr>
          <w:sz w:val="24"/>
          <w:szCs w:val="24"/>
        </w:rPr>
        <w:t>Sociálnej poisťovn</w:t>
      </w:r>
      <w:r w:rsidR="00F177E1">
        <w:rPr>
          <w:sz w:val="24"/>
          <w:szCs w:val="24"/>
        </w:rPr>
        <w:t>e</w:t>
      </w:r>
      <w:r w:rsidR="009A05C7" w:rsidRPr="00B972B6">
        <w:rPr>
          <w:sz w:val="24"/>
          <w:szCs w:val="24"/>
        </w:rPr>
        <w:t xml:space="preserve"> vo výške 92 547 tis. eur</w:t>
      </w:r>
      <w:r w:rsidR="00F177E1">
        <w:rPr>
          <w:sz w:val="24"/>
          <w:szCs w:val="24"/>
        </w:rPr>
        <w:t>, čo predstavuje hodnotu akrualizovaného penále na poistnom</w:t>
      </w:r>
      <w:r w:rsidR="00517F4B">
        <w:rPr>
          <w:sz w:val="24"/>
          <w:szCs w:val="24"/>
        </w:rPr>
        <w:t xml:space="preserve"> (predpísané v roku 2024)</w:t>
      </w:r>
      <w:r w:rsidR="00F177E1">
        <w:rPr>
          <w:sz w:val="24"/>
          <w:szCs w:val="24"/>
        </w:rPr>
        <w:t>, prislúchajúce k oddlžovanému poistnému (pohľadávky voči zdravotníckym zariadeniam za sociálne odvody)</w:t>
      </w:r>
      <w:r w:rsidR="00517F4B">
        <w:rPr>
          <w:rStyle w:val="Odkaznapoznmkupodiarou"/>
          <w:sz w:val="24"/>
          <w:szCs w:val="24"/>
        </w:rPr>
        <w:footnoteReference w:id="17"/>
      </w:r>
      <w:r w:rsidR="00D259E2">
        <w:rPr>
          <w:sz w:val="24"/>
          <w:szCs w:val="24"/>
        </w:rPr>
        <w:t>.</w:t>
      </w:r>
    </w:p>
    <w:p w14:paraId="3A4668EE" w14:textId="6A5915CF" w:rsidR="009A05C7" w:rsidRDefault="009A05C7" w:rsidP="009A05C7">
      <w:pPr>
        <w:spacing w:line="240" w:lineRule="auto"/>
        <w:rPr>
          <w:sz w:val="24"/>
          <w:szCs w:val="24"/>
        </w:rPr>
      </w:pPr>
      <w:r w:rsidRPr="00073445">
        <w:rPr>
          <w:rFonts w:cs="Times New Roman"/>
          <w:sz w:val="24"/>
          <w:szCs w:val="24"/>
        </w:rPr>
        <w:t>Na zlepšenie hospodárenia oproti hotovostnému saldu vplýval</w:t>
      </w:r>
      <w:r>
        <w:rPr>
          <w:rFonts w:cs="Times New Roman"/>
          <w:sz w:val="24"/>
          <w:szCs w:val="24"/>
        </w:rPr>
        <w:t>a najmä imputácia nových pohľadávok na </w:t>
      </w:r>
      <w:r w:rsidRPr="00073445">
        <w:rPr>
          <w:rFonts w:cs="Times New Roman"/>
          <w:sz w:val="24"/>
          <w:szCs w:val="24"/>
        </w:rPr>
        <w:t xml:space="preserve">poistnom voči zdravotníckym zariadeniam vo výške </w:t>
      </w:r>
      <w:r w:rsidRPr="00D03BE8">
        <w:rPr>
          <w:rFonts w:cs="Times New Roman"/>
          <w:sz w:val="24"/>
          <w:szCs w:val="24"/>
        </w:rPr>
        <w:t>217 976</w:t>
      </w:r>
      <w:r w:rsidRPr="00D03BE8">
        <w:rPr>
          <w:sz w:val="24"/>
          <w:szCs w:val="24"/>
        </w:rPr>
        <w:t> tis</w:t>
      </w:r>
      <w:r w:rsidRPr="00D03BE8">
        <w:rPr>
          <w:rFonts w:cs="Times New Roman"/>
          <w:sz w:val="24"/>
          <w:szCs w:val="24"/>
        </w:rPr>
        <w:t>. </w:t>
      </w:r>
      <w:r>
        <w:rPr>
          <w:rFonts w:cs="Times New Roman"/>
          <w:sz w:val="24"/>
          <w:szCs w:val="24"/>
        </w:rPr>
        <w:t>e</w:t>
      </w:r>
      <w:r w:rsidRPr="00D03BE8">
        <w:rPr>
          <w:rFonts w:cs="Times New Roman"/>
          <w:sz w:val="24"/>
          <w:szCs w:val="24"/>
        </w:rPr>
        <w:t>ur</w:t>
      </w:r>
      <w:r>
        <w:rPr>
          <w:rFonts w:cs="Times New Roman"/>
          <w:sz w:val="24"/>
          <w:szCs w:val="24"/>
        </w:rPr>
        <w:t>. Ďalší pozitívny vplyv m</w:t>
      </w:r>
      <w:r w:rsidRPr="00593F76">
        <w:rPr>
          <w:rFonts w:cs="Times New Roman"/>
          <w:sz w:val="24"/>
          <w:szCs w:val="24"/>
        </w:rPr>
        <w:t xml:space="preserve">ala akrualizácia poistného vo výške </w:t>
      </w:r>
      <w:r w:rsidR="00E81553">
        <w:rPr>
          <w:rFonts w:cs="Times New Roman"/>
          <w:sz w:val="24"/>
          <w:szCs w:val="24"/>
        </w:rPr>
        <w:t>110 537</w:t>
      </w:r>
      <w:r w:rsidRPr="00593F76">
        <w:rPr>
          <w:rFonts w:cs="Times New Roman"/>
          <w:sz w:val="24"/>
          <w:szCs w:val="24"/>
        </w:rPr>
        <w:t> tis. eur (o 65 205 tis. eur menej ako sa predpokladalo)</w:t>
      </w:r>
      <w:r w:rsidRPr="00593F76">
        <w:rPr>
          <w:rFonts w:cs="Times New Roman"/>
          <w:sz w:val="24"/>
          <w:szCs w:val="24"/>
          <w:vertAlign w:val="superscript"/>
        </w:rPr>
        <w:footnoteReference w:id="18"/>
      </w:r>
      <w:r w:rsidRPr="00D03BE8">
        <w:rPr>
          <w:rFonts w:cs="Times New Roman"/>
          <w:sz w:val="24"/>
          <w:szCs w:val="24"/>
        </w:rPr>
        <w:t xml:space="preserve"> a akrualizácia hotovostného výdavku z dôchodkových dávok</w:t>
      </w:r>
      <w:r w:rsidRPr="00D03BE8">
        <w:rPr>
          <w:rFonts w:cs="Times New Roman"/>
          <w:sz w:val="24"/>
          <w:szCs w:val="24"/>
          <w:vertAlign w:val="superscript"/>
        </w:rPr>
        <w:footnoteReference w:id="19"/>
      </w:r>
      <w:r w:rsidRPr="00D03BE8">
        <w:rPr>
          <w:rFonts w:cs="Times New Roman"/>
          <w:sz w:val="24"/>
          <w:szCs w:val="24"/>
        </w:rPr>
        <w:t xml:space="preserve"> o 11 441 tis. eur</w:t>
      </w:r>
      <w:r>
        <w:rPr>
          <w:sz w:val="24"/>
          <w:szCs w:val="24"/>
        </w:rPr>
        <w:t xml:space="preserve"> (o </w:t>
      </w:r>
      <w:r w:rsidRPr="00D03BE8">
        <w:rPr>
          <w:sz w:val="24"/>
          <w:szCs w:val="24"/>
        </w:rPr>
        <w:t>9 760 tis. eur menej ako sa predpokladalo)</w:t>
      </w:r>
      <w:r w:rsidRPr="00D03BE8">
        <w:rPr>
          <w:rFonts w:cs="Times New Roman"/>
          <w:sz w:val="24"/>
          <w:szCs w:val="24"/>
        </w:rPr>
        <w:t>.</w:t>
      </w:r>
    </w:p>
    <w:p w14:paraId="3A344BA0" w14:textId="5C934474" w:rsidR="009A05C7" w:rsidRPr="003F6D9F" w:rsidRDefault="009A05C7" w:rsidP="009A05C7">
      <w:pPr>
        <w:spacing w:line="240" w:lineRule="auto"/>
        <w:rPr>
          <w:rFonts w:cs="Times New Roman"/>
          <w:sz w:val="24"/>
          <w:szCs w:val="24"/>
          <w:highlight w:val="yellow"/>
        </w:rPr>
      </w:pPr>
      <w:r w:rsidRPr="00073445">
        <w:rPr>
          <w:rFonts w:cs="Times New Roman"/>
          <w:sz w:val="24"/>
          <w:szCs w:val="24"/>
        </w:rPr>
        <w:t>Výdavky poistenia v roku 2024 prestavovali sumu 14 </w:t>
      </w:r>
      <w:r w:rsidRPr="00905307">
        <w:rPr>
          <w:rFonts w:cs="Times New Roman"/>
          <w:sz w:val="24"/>
          <w:szCs w:val="24"/>
        </w:rPr>
        <w:t>067 542</w:t>
      </w:r>
      <w:r w:rsidRPr="00073445">
        <w:rPr>
          <w:rFonts w:cs="Times New Roman"/>
          <w:sz w:val="24"/>
          <w:szCs w:val="24"/>
        </w:rPr>
        <w:t> tis. eur a zároveň sa v roku 2024 v</w:t>
      </w:r>
      <w:r>
        <w:rPr>
          <w:rFonts w:cs="Times New Roman"/>
          <w:sz w:val="24"/>
          <w:szCs w:val="24"/>
        </w:rPr>
        <w:t> </w:t>
      </w:r>
      <w:r w:rsidRPr="00073445">
        <w:rPr>
          <w:rFonts w:cs="Times New Roman"/>
          <w:sz w:val="24"/>
          <w:szCs w:val="24"/>
        </w:rPr>
        <w:t>súvislosti s poskytovaním podpory a vrátením časti podpory/podpory v čase skrátenej práce (tzv. trvalý kurzarbeit</w:t>
      </w:r>
      <w:r w:rsidRPr="00073445">
        <w:rPr>
          <w:rStyle w:val="Odkaznapoznmkupodiarou"/>
          <w:rFonts w:cs="Times New Roman"/>
          <w:sz w:val="24"/>
          <w:szCs w:val="24"/>
        </w:rPr>
        <w:footnoteReference w:id="20"/>
      </w:r>
      <w:r w:rsidRPr="00073445">
        <w:rPr>
          <w:rFonts w:cs="Times New Roman"/>
          <w:sz w:val="24"/>
          <w:szCs w:val="24"/>
        </w:rPr>
        <w:t>) vyplatilo 2 728 tis. eur, t. j. celkovo sa na</w:t>
      </w:r>
      <w:r>
        <w:rPr>
          <w:rFonts w:cs="Times New Roman"/>
          <w:sz w:val="24"/>
          <w:szCs w:val="24"/>
        </w:rPr>
        <w:t> </w:t>
      </w:r>
      <w:r w:rsidRPr="00073445">
        <w:rPr>
          <w:rFonts w:cs="Times New Roman"/>
          <w:sz w:val="24"/>
          <w:szCs w:val="24"/>
        </w:rPr>
        <w:t>výdavky poistenia vrátane vyplateného kurzarbeitu vyplatilo o 1</w:t>
      </w:r>
      <w:r>
        <w:rPr>
          <w:rFonts w:cs="Times New Roman"/>
          <w:sz w:val="24"/>
          <w:szCs w:val="24"/>
        </w:rPr>
        <w:t> </w:t>
      </w:r>
      <w:r w:rsidRPr="00073445">
        <w:rPr>
          <w:rFonts w:cs="Times New Roman"/>
          <w:sz w:val="24"/>
          <w:szCs w:val="24"/>
        </w:rPr>
        <w:t>06</w:t>
      </w:r>
      <w:r>
        <w:rPr>
          <w:rFonts w:cs="Times New Roman"/>
          <w:sz w:val="24"/>
          <w:szCs w:val="24"/>
        </w:rPr>
        <w:t>7 475</w:t>
      </w:r>
      <w:r w:rsidRPr="00073445">
        <w:rPr>
          <w:rFonts w:cs="Times New Roman"/>
          <w:sz w:val="24"/>
          <w:szCs w:val="24"/>
        </w:rPr>
        <w:t> tis. eur viac ako sa predpokladalo v</w:t>
      </w:r>
      <w:r>
        <w:rPr>
          <w:rFonts w:cs="Times New Roman"/>
          <w:sz w:val="24"/>
          <w:szCs w:val="24"/>
        </w:rPr>
        <w:t> </w:t>
      </w:r>
      <w:r w:rsidRPr="00073445">
        <w:rPr>
          <w:rFonts w:cs="Times New Roman"/>
          <w:sz w:val="24"/>
          <w:szCs w:val="24"/>
        </w:rPr>
        <w:t>rozpočte</w:t>
      </w:r>
      <w:r w:rsidRPr="009772D2">
        <w:rPr>
          <w:rFonts w:cs="Times New Roman"/>
          <w:sz w:val="24"/>
          <w:szCs w:val="24"/>
        </w:rPr>
        <w:t>.</w:t>
      </w:r>
      <w:r w:rsidRPr="009772D2">
        <w:t xml:space="preserve"> </w:t>
      </w:r>
      <w:r w:rsidRPr="00284534">
        <w:rPr>
          <w:rFonts w:cs="Times New Roman"/>
          <w:sz w:val="24"/>
          <w:szCs w:val="24"/>
        </w:rPr>
        <w:t>Výdavky na dôchodkové dávky sú vyššie o 1 146 928 tis. eur, z dôvodu vyplatenia 13. dôchodku v sume 823 019 tis. eur z rozpočtu Sociálnej poisťovne, pričom v schválenom rozpočte boli výdavky alokované v rozpočte kapitoly Všeobecná pokladničná správa.</w:t>
      </w:r>
      <w:r w:rsidRPr="009772D2">
        <w:rPr>
          <w:rFonts w:cs="Times New Roman"/>
          <w:sz w:val="24"/>
          <w:szCs w:val="24"/>
        </w:rPr>
        <w:t xml:space="preserve"> </w:t>
      </w:r>
      <w:r w:rsidRPr="00DC2E22">
        <w:rPr>
          <w:rFonts w:cs="Times New Roman"/>
          <w:sz w:val="24"/>
          <w:szCs w:val="24"/>
        </w:rPr>
        <w:t xml:space="preserve">Ďalší významný faktor bol nárast </w:t>
      </w:r>
      <w:r w:rsidRPr="001D12DB">
        <w:rPr>
          <w:rFonts w:cs="Times New Roman"/>
          <w:sz w:val="24"/>
          <w:szCs w:val="24"/>
        </w:rPr>
        <w:t>počtu vyplácaných pre</w:t>
      </w:r>
      <w:r>
        <w:rPr>
          <w:rFonts w:cs="Times New Roman"/>
          <w:sz w:val="24"/>
          <w:szCs w:val="24"/>
        </w:rPr>
        <w:t>dčasných starobných dôchodkov z </w:t>
      </w:r>
      <w:r w:rsidRPr="001D12DB">
        <w:rPr>
          <w:rFonts w:cs="Times New Roman"/>
          <w:sz w:val="24"/>
          <w:szCs w:val="24"/>
        </w:rPr>
        <w:t xml:space="preserve">dôvodu zmeny podmienok, čo predstavovalo zvýšenie oproti rozpočtu </w:t>
      </w:r>
      <w:r w:rsidR="00B626CE">
        <w:rPr>
          <w:rFonts w:cs="Times New Roman"/>
          <w:sz w:val="24"/>
          <w:szCs w:val="24"/>
        </w:rPr>
        <w:t>o 184</w:t>
      </w:r>
      <w:r w:rsidRPr="00BA10A9">
        <w:rPr>
          <w:rFonts w:cs="Times New Roman"/>
          <w:sz w:val="24"/>
          <w:szCs w:val="24"/>
        </w:rPr>
        <w:t xml:space="preserve"> 548 tis. eur. </w:t>
      </w:r>
      <w:r w:rsidRPr="001D12DB">
        <w:rPr>
          <w:rFonts w:cs="Times New Roman"/>
          <w:sz w:val="24"/>
          <w:szCs w:val="24"/>
        </w:rPr>
        <w:t>Zároveň bolo na starobné dôchodky vyplatených o </w:t>
      </w:r>
      <w:r w:rsidRPr="00BA10A9">
        <w:rPr>
          <w:rFonts w:cs="Times New Roman"/>
          <w:sz w:val="24"/>
          <w:szCs w:val="24"/>
        </w:rPr>
        <w:t xml:space="preserve">130 045 tis. eur viac oproti </w:t>
      </w:r>
      <w:r w:rsidRPr="001D12DB">
        <w:rPr>
          <w:rFonts w:cs="Times New Roman"/>
          <w:sz w:val="24"/>
          <w:szCs w:val="24"/>
        </w:rPr>
        <w:t>predpokladom schváleného rozpočtu. V porovnaní s rozpočtom došlo k nižšiemu čerpaniu výdavkov základného fondu nemocenského poistenia o sumu 104</w:t>
      </w:r>
      <w:r>
        <w:rPr>
          <w:rFonts w:cs="Times New Roman"/>
          <w:sz w:val="24"/>
          <w:szCs w:val="24"/>
        </w:rPr>
        <w:t> </w:t>
      </w:r>
      <w:r w:rsidRPr="001D12DB">
        <w:rPr>
          <w:rFonts w:cs="Times New Roman"/>
          <w:sz w:val="24"/>
          <w:szCs w:val="24"/>
        </w:rPr>
        <w:t>498</w:t>
      </w:r>
      <w:r>
        <w:rPr>
          <w:rFonts w:cs="Times New Roman"/>
          <w:sz w:val="24"/>
          <w:szCs w:val="24"/>
        </w:rPr>
        <w:t> </w:t>
      </w:r>
      <w:r w:rsidRPr="001D12DB">
        <w:rPr>
          <w:rFonts w:cs="Times New Roman"/>
          <w:sz w:val="24"/>
          <w:szCs w:val="24"/>
        </w:rPr>
        <w:t>tis.</w:t>
      </w:r>
      <w:r>
        <w:rPr>
          <w:rFonts w:cs="Times New Roman"/>
          <w:sz w:val="24"/>
          <w:szCs w:val="24"/>
        </w:rPr>
        <w:t> </w:t>
      </w:r>
      <w:r w:rsidRPr="001D12DB">
        <w:rPr>
          <w:rFonts w:cs="Times New Roman"/>
          <w:sz w:val="24"/>
          <w:szCs w:val="24"/>
        </w:rPr>
        <w:t xml:space="preserve">eur. Pokles zaznamenávajú </w:t>
      </w:r>
      <w:r w:rsidRPr="001D12DB">
        <w:rPr>
          <w:rFonts w:cs="Times New Roman"/>
          <w:sz w:val="24"/>
          <w:szCs w:val="24"/>
        </w:rPr>
        <w:lastRenderedPageBreak/>
        <w:t>výdavky na dávku materského a tehotenského z dôvodu pokračujúceho trendu nižšej pôrodnosti oproti rozpočtu o </w:t>
      </w:r>
      <w:r w:rsidRPr="00182B66">
        <w:rPr>
          <w:rFonts w:cs="Times New Roman"/>
          <w:sz w:val="24"/>
          <w:szCs w:val="24"/>
        </w:rPr>
        <w:t>50 580 tis</w:t>
      </w:r>
      <w:r>
        <w:rPr>
          <w:rFonts w:cs="Times New Roman"/>
          <w:sz w:val="24"/>
          <w:szCs w:val="24"/>
        </w:rPr>
        <w:t>. </w:t>
      </w:r>
      <w:r w:rsidRPr="00182B66">
        <w:rPr>
          <w:rFonts w:cs="Times New Roman"/>
          <w:sz w:val="24"/>
          <w:szCs w:val="24"/>
        </w:rPr>
        <w:t>eur.</w:t>
      </w:r>
    </w:p>
    <w:p w14:paraId="034618D0" w14:textId="77777777" w:rsidR="009A05C7" w:rsidRPr="00AD12E2" w:rsidRDefault="009A05C7" w:rsidP="009A05C7">
      <w:pPr>
        <w:spacing w:before="120" w:after="0" w:line="240" w:lineRule="auto"/>
        <w:rPr>
          <w:rFonts w:cs="Times New Roman"/>
          <w:b/>
          <w:sz w:val="24"/>
          <w:szCs w:val="24"/>
          <w:highlight w:val="yellow"/>
        </w:rPr>
      </w:pPr>
      <w:r w:rsidRPr="00593F76">
        <w:rPr>
          <w:rFonts w:cs="Times New Roman"/>
          <w:sz w:val="24"/>
          <w:szCs w:val="24"/>
        </w:rPr>
        <w:t xml:space="preserve">Ďalším negatívnym vplyvom bola imputácia neklasifikovaných </w:t>
      </w:r>
      <w:r>
        <w:rPr>
          <w:rFonts w:cs="Times New Roman"/>
          <w:sz w:val="24"/>
          <w:szCs w:val="24"/>
        </w:rPr>
        <w:t>výdavkov</w:t>
      </w:r>
      <w:r w:rsidRPr="00593F76">
        <w:rPr>
          <w:rFonts w:cs="Times New Roman"/>
          <w:sz w:val="24"/>
          <w:szCs w:val="24"/>
        </w:rPr>
        <w:t xml:space="preserve"> vo</w:t>
      </w:r>
      <w:r>
        <w:rPr>
          <w:rFonts w:cs="Times New Roman"/>
          <w:sz w:val="24"/>
          <w:szCs w:val="24"/>
        </w:rPr>
        <w:t> </w:t>
      </w:r>
      <w:r w:rsidRPr="00593F76">
        <w:rPr>
          <w:rFonts w:cs="Times New Roman"/>
          <w:sz w:val="24"/>
          <w:szCs w:val="24"/>
        </w:rPr>
        <w:t>výške 49 148 tis. eur (išlo o predovšetkým o</w:t>
      </w:r>
      <w:r>
        <w:rPr>
          <w:rFonts w:cs="Times New Roman"/>
          <w:sz w:val="24"/>
          <w:szCs w:val="24"/>
        </w:rPr>
        <w:t> prostriedky určené na </w:t>
      </w:r>
      <w:r w:rsidRPr="00593F76">
        <w:rPr>
          <w:rFonts w:cs="Times New Roman"/>
          <w:sz w:val="24"/>
          <w:szCs w:val="24"/>
        </w:rPr>
        <w:t>doplatky k 13.</w:t>
      </w:r>
      <w:r>
        <w:rPr>
          <w:rFonts w:cs="Times New Roman"/>
          <w:sz w:val="24"/>
          <w:szCs w:val="24"/>
        </w:rPr>
        <w:t> </w:t>
      </w:r>
      <w:r w:rsidRPr="00593F76">
        <w:rPr>
          <w:rFonts w:cs="Times New Roman"/>
          <w:sz w:val="24"/>
          <w:szCs w:val="24"/>
        </w:rPr>
        <w:t>dôchodkom, t. j. z MPSVaR bola v roku 2023 zaslaná vyššia suma ako sa reálne vyplatila poberateľom dôchodkov a ktorá bola začiatkom roka 2024 s MPSVaR vysporiadaná)</w:t>
      </w:r>
      <w:r>
        <w:rPr>
          <w:rFonts w:cs="Times New Roman"/>
          <w:sz w:val="24"/>
          <w:szCs w:val="24"/>
        </w:rPr>
        <w:t xml:space="preserve"> a taktiež </w:t>
      </w:r>
      <w:r w:rsidRPr="00593F76">
        <w:rPr>
          <w:rFonts w:cs="Times New Roman"/>
          <w:sz w:val="24"/>
          <w:szCs w:val="24"/>
        </w:rPr>
        <w:t xml:space="preserve">aj </w:t>
      </w:r>
      <w:r>
        <w:rPr>
          <w:rFonts w:cs="Times New Roman"/>
          <w:sz w:val="24"/>
          <w:szCs w:val="24"/>
        </w:rPr>
        <w:t>záväzkov vo </w:t>
      </w:r>
      <w:r w:rsidRPr="00593F76">
        <w:rPr>
          <w:rFonts w:cs="Times New Roman"/>
          <w:sz w:val="24"/>
          <w:szCs w:val="24"/>
        </w:rPr>
        <w:t>výške 16 752 tis. eur (</w:t>
      </w:r>
      <w:r>
        <w:rPr>
          <w:rFonts w:cs="Times New Roman"/>
          <w:sz w:val="24"/>
          <w:szCs w:val="24"/>
        </w:rPr>
        <w:t xml:space="preserve">išlo </w:t>
      </w:r>
      <w:r w:rsidRPr="00593F76">
        <w:rPr>
          <w:rFonts w:cs="Times New Roman"/>
          <w:sz w:val="24"/>
          <w:szCs w:val="24"/>
        </w:rPr>
        <w:t xml:space="preserve">najmä </w:t>
      </w:r>
      <w:r>
        <w:rPr>
          <w:rFonts w:cs="Times New Roman"/>
          <w:sz w:val="24"/>
          <w:szCs w:val="24"/>
        </w:rPr>
        <w:t xml:space="preserve">o </w:t>
      </w:r>
      <w:r w:rsidRPr="00593F76">
        <w:rPr>
          <w:rFonts w:cs="Times New Roman"/>
          <w:sz w:val="24"/>
          <w:szCs w:val="24"/>
        </w:rPr>
        <w:t>záväzky voči dodávateľom, záväzky z poistných vzťahov a výdavky budúcich období).</w:t>
      </w:r>
    </w:p>
    <w:p w14:paraId="33329551" w14:textId="77777777" w:rsidR="009A05C7" w:rsidRPr="007C718C" w:rsidRDefault="009A05C7" w:rsidP="009A05C7">
      <w:pPr>
        <w:spacing w:before="120" w:after="0" w:line="240" w:lineRule="auto"/>
        <w:rPr>
          <w:rFonts w:cs="Times New Roman"/>
          <w:sz w:val="24"/>
          <w:szCs w:val="24"/>
        </w:rPr>
      </w:pPr>
      <w:r w:rsidRPr="007C718C">
        <w:rPr>
          <w:rFonts w:cs="Times New Roman"/>
          <w:b/>
          <w:sz w:val="24"/>
          <w:szCs w:val="24"/>
        </w:rPr>
        <w:t>Zdravotné poisťovne</w:t>
      </w:r>
      <w:r w:rsidRPr="007C718C">
        <w:rPr>
          <w:rFonts w:cs="Times New Roman"/>
          <w:sz w:val="24"/>
          <w:szCs w:val="24"/>
        </w:rPr>
        <w:t xml:space="preserve"> dosiahli celkovo prebytkové hospodárenie vo výške 53 103 tis. eur, čo je oproti rozpočtu o 125 907 tis. eur menej ako sa plánovalo. Podstatný vplyv mal nižší výber odvodových príjmov o 42 46</w:t>
      </w:r>
      <w:r>
        <w:rPr>
          <w:rFonts w:cs="Times New Roman"/>
          <w:sz w:val="24"/>
          <w:szCs w:val="24"/>
        </w:rPr>
        <w:t>4</w:t>
      </w:r>
      <w:r w:rsidRPr="007C718C">
        <w:rPr>
          <w:rFonts w:cs="Times New Roman"/>
          <w:sz w:val="24"/>
          <w:szCs w:val="24"/>
        </w:rPr>
        <w:t> tis. eur viac ako sa predpokladalo</w:t>
      </w:r>
      <w:r>
        <w:rPr>
          <w:rFonts w:cs="Times New Roman"/>
          <w:sz w:val="24"/>
          <w:szCs w:val="24"/>
        </w:rPr>
        <w:t xml:space="preserve"> (išlo predovšetkým o príjmy z </w:t>
      </w:r>
      <w:r w:rsidRPr="003F6D9F">
        <w:rPr>
          <w:rFonts w:cs="Times New Roman"/>
          <w:sz w:val="24"/>
          <w:szCs w:val="24"/>
        </w:rPr>
        <w:t>poistného od ekonomicky aktívnych osôb vrátane ročného zúčtovania</w:t>
      </w:r>
      <w:r>
        <w:rPr>
          <w:rFonts w:cs="Times New Roman"/>
          <w:sz w:val="24"/>
          <w:szCs w:val="24"/>
        </w:rPr>
        <w:t>)</w:t>
      </w:r>
      <w:r w:rsidRPr="007C718C">
        <w:rPr>
          <w:rFonts w:cs="Times New Roman"/>
          <w:sz w:val="24"/>
          <w:szCs w:val="24"/>
        </w:rPr>
        <w:t>.</w:t>
      </w:r>
    </w:p>
    <w:p w14:paraId="36970F48" w14:textId="77777777" w:rsidR="009A05C7" w:rsidRPr="00AD12E2" w:rsidRDefault="009A05C7" w:rsidP="009A05C7">
      <w:pPr>
        <w:spacing w:before="120" w:after="0" w:line="240" w:lineRule="auto"/>
        <w:rPr>
          <w:rFonts w:cs="Times New Roman"/>
          <w:sz w:val="24"/>
          <w:szCs w:val="24"/>
          <w:highlight w:val="yellow"/>
        </w:rPr>
      </w:pPr>
      <w:r w:rsidRPr="007C718C">
        <w:rPr>
          <w:rFonts w:cs="Times New Roman"/>
          <w:sz w:val="24"/>
          <w:szCs w:val="24"/>
        </w:rPr>
        <w:t xml:space="preserve">Pozitívny vplyv predstavoval aj medziročný nárast pohľadávok o 54 703 tis. eur </w:t>
      </w:r>
      <w:r w:rsidRPr="00B92D48">
        <w:rPr>
          <w:rFonts w:cs="Times New Roman"/>
          <w:sz w:val="24"/>
          <w:szCs w:val="24"/>
        </w:rPr>
        <w:t>(išlo najmä o pohľadávky voči poskytovateľom zdravotnej starostlivosti o 47 986 tis. </w:t>
      </w:r>
      <w:r>
        <w:rPr>
          <w:rFonts w:cs="Times New Roman"/>
          <w:sz w:val="24"/>
          <w:szCs w:val="24"/>
        </w:rPr>
        <w:t>e</w:t>
      </w:r>
      <w:r w:rsidRPr="00B92D48">
        <w:rPr>
          <w:rFonts w:cs="Times New Roman"/>
          <w:sz w:val="24"/>
          <w:szCs w:val="24"/>
        </w:rPr>
        <w:t>ur</w:t>
      </w:r>
      <w:r>
        <w:rPr>
          <w:rFonts w:cs="Times New Roman"/>
          <w:sz w:val="24"/>
          <w:szCs w:val="24"/>
        </w:rPr>
        <w:t>, pohľadávky z daní o </w:t>
      </w:r>
      <w:r w:rsidRPr="00B92D48">
        <w:rPr>
          <w:rFonts w:cs="Times New Roman"/>
          <w:sz w:val="24"/>
          <w:szCs w:val="24"/>
        </w:rPr>
        <w:t>15</w:t>
      </w:r>
      <w:r>
        <w:rPr>
          <w:rFonts w:cs="Times New Roman"/>
          <w:sz w:val="24"/>
          <w:szCs w:val="24"/>
        </w:rPr>
        <w:t> </w:t>
      </w:r>
      <w:r w:rsidRPr="00B92D48">
        <w:rPr>
          <w:rFonts w:cs="Times New Roman"/>
          <w:sz w:val="24"/>
          <w:szCs w:val="24"/>
        </w:rPr>
        <w:t>588</w:t>
      </w:r>
      <w:r>
        <w:rPr>
          <w:rFonts w:cs="Times New Roman"/>
          <w:sz w:val="24"/>
          <w:szCs w:val="24"/>
        </w:rPr>
        <w:t> </w:t>
      </w:r>
      <w:r w:rsidRPr="00B92D48">
        <w:rPr>
          <w:rFonts w:cs="Times New Roman"/>
          <w:sz w:val="24"/>
          <w:szCs w:val="24"/>
        </w:rPr>
        <w:t>tis.</w:t>
      </w:r>
      <w:r>
        <w:rPr>
          <w:rFonts w:cs="Times New Roman"/>
          <w:sz w:val="24"/>
          <w:szCs w:val="24"/>
        </w:rPr>
        <w:t> </w:t>
      </w:r>
      <w:r w:rsidRPr="00B92D48">
        <w:rPr>
          <w:rFonts w:cs="Times New Roman"/>
          <w:sz w:val="24"/>
          <w:szCs w:val="24"/>
        </w:rPr>
        <w:t>eur a pohľadávky voči Úradu pre dohľad nad zdravotnou starostlivosťou o 9 117 tis. eur. Naopak k poklesu došlo najmä pri pohľadávkach z prerozdelenia poistného o</w:t>
      </w:r>
      <w:r>
        <w:rPr>
          <w:rFonts w:cs="Times New Roman"/>
          <w:sz w:val="24"/>
          <w:szCs w:val="24"/>
        </w:rPr>
        <w:t> </w:t>
      </w:r>
      <w:r w:rsidRPr="00B92D48">
        <w:rPr>
          <w:rFonts w:cs="Times New Roman"/>
          <w:sz w:val="24"/>
          <w:szCs w:val="24"/>
        </w:rPr>
        <w:t>17 349 tis. eur.</w:t>
      </w:r>
      <w:r>
        <w:rPr>
          <w:rFonts w:cs="Times New Roman"/>
          <w:sz w:val="24"/>
          <w:szCs w:val="24"/>
        </w:rPr>
        <w:t xml:space="preserve"> </w:t>
      </w:r>
      <w:r w:rsidRPr="007C718C">
        <w:rPr>
          <w:rFonts w:cs="Times New Roman"/>
          <w:sz w:val="24"/>
          <w:szCs w:val="24"/>
        </w:rPr>
        <w:t xml:space="preserve">Medziročný pokles záväzkov zlepšil hospodárenie zdravotných poisťovní o 65 217 tis. eur. </w:t>
      </w:r>
      <w:r w:rsidRPr="00EA525D">
        <w:rPr>
          <w:rFonts w:cs="Times New Roman"/>
          <w:sz w:val="24"/>
          <w:szCs w:val="24"/>
        </w:rPr>
        <w:t>Išlo predovšetkým o pokles záväzkov z prerozdelenia poistného o 57</w:t>
      </w:r>
      <w:r>
        <w:rPr>
          <w:rFonts w:cs="Times New Roman"/>
          <w:sz w:val="24"/>
          <w:szCs w:val="24"/>
        </w:rPr>
        <w:t> </w:t>
      </w:r>
      <w:r w:rsidRPr="00EA525D">
        <w:rPr>
          <w:rFonts w:cs="Times New Roman"/>
          <w:sz w:val="24"/>
          <w:szCs w:val="24"/>
        </w:rPr>
        <w:t>260</w:t>
      </w:r>
      <w:r>
        <w:rPr>
          <w:rFonts w:cs="Times New Roman"/>
          <w:sz w:val="24"/>
          <w:szCs w:val="24"/>
        </w:rPr>
        <w:t> </w:t>
      </w:r>
      <w:r w:rsidRPr="00EA525D">
        <w:rPr>
          <w:rFonts w:cs="Times New Roman"/>
          <w:sz w:val="24"/>
          <w:szCs w:val="24"/>
        </w:rPr>
        <w:t>tis.</w:t>
      </w:r>
      <w:r>
        <w:rPr>
          <w:rFonts w:cs="Times New Roman"/>
          <w:sz w:val="24"/>
          <w:szCs w:val="24"/>
        </w:rPr>
        <w:t> e</w:t>
      </w:r>
      <w:r w:rsidRPr="00EA525D">
        <w:rPr>
          <w:rFonts w:cs="Times New Roman"/>
          <w:sz w:val="24"/>
          <w:szCs w:val="24"/>
        </w:rPr>
        <w:t>ur, voči poskytovateľom zdravotnej starostlivosti o 19 319 tis. eur a záväzkov z daní o 14 414</w:t>
      </w:r>
      <w:r>
        <w:rPr>
          <w:rFonts w:cs="Times New Roman"/>
          <w:sz w:val="24"/>
          <w:szCs w:val="24"/>
        </w:rPr>
        <w:t> tis. eur.</w:t>
      </w:r>
    </w:p>
    <w:p w14:paraId="5C32193E" w14:textId="591FAA73" w:rsidR="009A05C7" w:rsidRPr="00AD12E2" w:rsidRDefault="009A05C7" w:rsidP="009A05C7">
      <w:pPr>
        <w:spacing w:line="240" w:lineRule="auto"/>
        <w:rPr>
          <w:rFonts w:cs="Times New Roman"/>
          <w:sz w:val="24"/>
          <w:szCs w:val="24"/>
          <w:highlight w:val="yellow"/>
        </w:rPr>
      </w:pPr>
      <w:r w:rsidRPr="007C718C">
        <w:rPr>
          <w:rFonts w:cs="Times New Roman"/>
          <w:sz w:val="24"/>
          <w:szCs w:val="24"/>
        </w:rPr>
        <w:t>Akrualizácia poistného predstavovala pozitívny vplyv na hospodárenie vo výške 56 595</w:t>
      </w:r>
      <w:r>
        <w:rPr>
          <w:rFonts w:cs="Times New Roman"/>
          <w:sz w:val="24"/>
          <w:szCs w:val="24"/>
        </w:rPr>
        <w:t> tis. eur (o </w:t>
      </w:r>
      <w:r w:rsidRPr="007C718C">
        <w:rPr>
          <w:rFonts w:cs="Times New Roman"/>
          <w:sz w:val="24"/>
          <w:szCs w:val="24"/>
        </w:rPr>
        <w:t>21 465 tis. eur viac ako sa predpokladalo). Na hospodárenie negatívne vplýval výdavkový transfer z verejnej časti zdravotného poistenia do súkromnej časti zdravotných poisťovní vo výške 24 825 tis. eur (išlo o splátku istiny úveru zdravotnej poisťovne Dôvera, a.</w:t>
      </w:r>
      <w:r>
        <w:rPr>
          <w:rFonts w:cs="Times New Roman"/>
          <w:sz w:val="24"/>
          <w:szCs w:val="24"/>
        </w:rPr>
        <w:t> </w:t>
      </w:r>
      <w:r w:rsidRPr="007C718C">
        <w:rPr>
          <w:rFonts w:cs="Times New Roman"/>
          <w:sz w:val="24"/>
          <w:szCs w:val="24"/>
        </w:rPr>
        <w:t xml:space="preserve">s. v sume </w:t>
      </w:r>
      <w:r w:rsidR="00651CE7">
        <w:rPr>
          <w:rFonts w:cs="Times New Roman"/>
          <w:sz w:val="24"/>
          <w:szCs w:val="24"/>
        </w:rPr>
        <w:t>370</w:t>
      </w:r>
      <w:r w:rsidRPr="007C718C">
        <w:rPr>
          <w:rFonts w:cs="Times New Roman"/>
          <w:sz w:val="24"/>
          <w:szCs w:val="24"/>
        </w:rPr>
        <w:t> tis. eur a výplata dividend akcionárom Dôvery</w:t>
      </w:r>
      <w:r>
        <w:rPr>
          <w:rFonts w:cs="Times New Roman"/>
          <w:sz w:val="24"/>
          <w:szCs w:val="24"/>
        </w:rPr>
        <w:t>, </w:t>
      </w:r>
      <w:r w:rsidRPr="007C718C">
        <w:rPr>
          <w:rFonts w:cs="Times New Roman"/>
          <w:sz w:val="24"/>
          <w:szCs w:val="24"/>
        </w:rPr>
        <w:t>a.</w:t>
      </w:r>
      <w:r>
        <w:rPr>
          <w:rFonts w:cs="Times New Roman"/>
          <w:sz w:val="24"/>
          <w:szCs w:val="24"/>
        </w:rPr>
        <w:t> </w:t>
      </w:r>
      <w:r w:rsidRPr="007C718C">
        <w:rPr>
          <w:rFonts w:cs="Times New Roman"/>
          <w:sz w:val="24"/>
          <w:szCs w:val="24"/>
        </w:rPr>
        <w:t>s. v sume 19 955 tis. </w:t>
      </w:r>
      <w:r>
        <w:rPr>
          <w:rFonts w:cs="Times New Roman"/>
          <w:sz w:val="24"/>
          <w:szCs w:val="24"/>
        </w:rPr>
        <w:t>e</w:t>
      </w:r>
      <w:r w:rsidRPr="007C718C">
        <w:rPr>
          <w:rFonts w:cs="Times New Roman"/>
          <w:sz w:val="24"/>
          <w:szCs w:val="24"/>
        </w:rPr>
        <w:t>ur</w:t>
      </w:r>
      <w:r>
        <w:rPr>
          <w:rFonts w:cs="Times New Roman"/>
          <w:sz w:val="24"/>
          <w:szCs w:val="24"/>
        </w:rPr>
        <w:t xml:space="preserve"> a akcionárom Union, </w:t>
      </w:r>
      <w:r w:rsidRPr="007C718C">
        <w:rPr>
          <w:rFonts w:cs="Times New Roman"/>
          <w:sz w:val="24"/>
          <w:szCs w:val="24"/>
        </w:rPr>
        <w:t>a.</w:t>
      </w:r>
      <w:r>
        <w:rPr>
          <w:rFonts w:cs="Times New Roman"/>
          <w:sz w:val="24"/>
          <w:szCs w:val="24"/>
        </w:rPr>
        <w:t> </w:t>
      </w:r>
      <w:r w:rsidR="00651CE7">
        <w:rPr>
          <w:rFonts w:cs="Times New Roman"/>
          <w:sz w:val="24"/>
          <w:szCs w:val="24"/>
        </w:rPr>
        <w:t>s. v sume 4 5</w:t>
      </w:r>
      <w:r w:rsidRPr="007C718C">
        <w:rPr>
          <w:rFonts w:cs="Times New Roman"/>
          <w:sz w:val="24"/>
          <w:szCs w:val="24"/>
        </w:rPr>
        <w:t>00 tis. eur) a platba za správu verejného zdravotného poistenia spolu vo</w:t>
      </w:r>
      <w:r>
        <w:rPr>
          <w:rFonts w:cs="Times New Roman"/>
          <w:sz w:val="24"/>
          <w:szCs w:val="24"/>
        </w:rPr>
        <w:t> </w:t>
      </w:r>
      <w:r w:rsidRPr="007C718C">
        <w:rPr>
          <w:rFonts w:cs="Times New Roman"/>
          <w:sz w:val="24"/>
          <w:szCs w:val="24"/>
        </w:rPr>
        <w:t>výške 101 264 tis. eur (tieto výdavky nie sú rozpočtované).</w:t>
      </w:r>
    </w:p>
    <w:p w14:paraId="08FF426F" w14:textId="6D7DE9C1" w:rsidR="009A05C7" w:rsidRPr="00AD12E2" w:rsidRDefault="009A05C7" w:rsidP="009A05C7">
      <w:pPr>
        <w:spacing w:line="240" w:lineRule="auto"/>
        <w:rPr>
          <w:sz w:val="24"/>
          <w:szCs w:val="24"/>
          <w:highlight w:val="yellow"/>
        </w:rPr>
      </w:pPr>
      <w:bookmarkStart w:id="49" w:name="_Hlk195447350"/>
      <w:r w:rsidRPr="007C718C">
        <w:rPr>
          <w:rFonts w:eastAsia="Times New Roman" w:cs="Times New Roman"/>
          <w:color w:val="000000"/>
          <w:sz w:val="24"/>
          <w:szCs w:val="24"/>
          <w:lang w:eastAsia="sk-SK"/>
        </w:rPr>
        <w:t xml:space="preserve">Výdavky verejného zdravotného poistenia na zdravotnú starostlivosť poskytnutú zdravotníckym zariadeniam </w:t>
      </w:r>
      <w:r w:rsidRPr="007C718C">
        <w:rPr>
          <w:sz w:val="24"/>
          <w:szCs w:val="24"/>
        </w:rPr>
        <w:t>boli rozpočtované v sume 7 667 169 tis. eur, skutočnosť bola o 28</w:t>
      </w:r>
      <w:r>
        <w:rPr>
          <w:sz w:val="24"/>
          <w:szCs w:val="24"/>
        </w:rPr>
        <w:t>0</w:t>
      </w:r>
      <w:r w:rsidRPr="007C718C">
        <w:rPr>
          <w:sz w:val="24"/>
          <w:szCs w:val="24"/>
        </w:rPr>
        <w:t xml:space="preserve"> 544 tis. eur vyššia. </w:t>
      </w:r>
      <w:r w:rsidRPr="00DA4D22">
        <w:rPr>
          <w:sz w:val="24"/>
          <w:szCs w:val="24"/>
        </w:rPr>
        <w:t>Takmer polovica z prekročenej sumy schválen</w:t>
      </w:r>
      <w:r>
        <w:rPr>
          <w:sz w:val="24"/>
          <w:szCs w:val="24"/>
        </w:rPr>
        <w:t>ého rozpočtu bola zaznamenaná v </w:t>
      </w:r>
      <w:r w:rsidRPr="00DA4D22">
        <w:rPr>
          <w:sz w:val="24"/>
          <w:szCs w:val="24"/>
        </w:rPr>
        <w:t>dvoch segmentoch výdavkov zdravotnej starostlivosti, konkréte v</w:t>
      </w:r>
      <w:r w:rsidR="00850FAC">
        <w:rPr>
          <w:sz w:val="24"/>
          <w:szCs w:val="24"/>
        </w:rPr>
        <w:t> </w:t>
      </w:r>
      <w:r w:rsidRPr="00DA4D22">
        <w:rPr>
          <w:sz w:val="24"/>
          <w:szCs w:val="24"/>
        </w:rPr>
        <w:t>o</w:t>
      </w:r>
      <w:r>
        <w:rPr>
          <w:sz w:val="24"/>
          <w:szCs w:val="24"/>
        </w:rPr>
        <w:t>blasti liekov a </w:t>
      </w:r>
      <w:r w:rsidRPr="00DA4D22">
        <w:rPr>
          <w:sz w:val="24"/>
          <w:szCs w:val="24"/>
        </w:rPr>
        <w:t>spoločných vyšetrovacích a liečebných zložiek (SVLZ). Vyššie čerpanie výdavkov na lieky o</w:t>
      </w:r>
      <w:r>
        <w:rPr>
          <w:sz w:val="24"/>
          <w:szCs w:val="24"/>
        </w:rPr>
        <w:t> </w:t>
      </w:r>
      <w:r w:rsidRPr="00DA4D22">
        <w:rPr>
          <w:sz w:val="24"/>
          <w:szCs w:val="24"/>
        </w:rPr>
        <w:t>57</w:t>
      </w:r>
      <w:r>
        <w:rPr>
          <w:sz w:val="24"/>
          <w:szCs w:val="24"/>
        </w:rPr>
        <w:t> </w:t>
      </w:r>
      <w:r w:rsidRPr="00DA4D22">
        <w:rPr>
          <w:sz w:val="24"/>
          <w:szCs w:val="24"/>
        </w:rPr>
        <w:t>000</w:t>
      </w:r>
      <w:r>
        <w:rPr>
          <w:sz w:val="24"/>
          <w:szCs w:val="24"/>
        </w:rPr>
        <w:t> </w:t>
      </w:r>
      <w:r w:rsidRPr="00DA4D22">
        <w:rPr>
          <w:sz w:val="24"/>
          <w:szCs w:val="24"/>
        </w:rPr>
        <w:t>tis.</w:t>
      </w:r>
      <w:r>
        <w:rPr>
          <w:sz w:val="24"/>
          <w:szCs w:val="24"/>
        </w:rPr>
        <w:t> </w:t>
      </w:r>
      <w:r w:rsidRPr="00DA4D22">
        <w:rPr>
          <w:sz w:val="24"/>
          <w:szCs w:val="24"/>
        </w:rPr>
        <w:t>eur bolo v roku 2024 spôsobené kategorizáciou nových liekov nad rámec rozpočtu. V segmente SVLZ došlo k navýšeniu o 51</w:t>
      </w:r>
      <w:r>
        <w:rPr>
          <w:sz w:val="24"/>
          <w:szCs w:val="24"/>
        </w:rPr>
        <w:t> </w:t>
      </w:r>
      <w:r w:rsidRPr="00DA4D22">
        <w:rPr>
          <w:sz w:val="24"/>
          <w:szCs w:val="24"/>
        </w:rPr>
        <w:t>000</w:t>
      </w:r>
      <w:r>
        <w:rPr>
          <w:sz w:val="24"/>
          <w:szCs w:val="24"/>
        </w:rPr>
        <w:t> </w:t>
      </w:r>
      <w:r w:rsidRPr="00DA4D22">
        <w:rPr>
          <w:sz w:val="24"/>
          <w:szCs w:val="24"/>
        </w:rPr>
        <w:t>tis.</w:t>
      </w:r>
      <w:r>
        <w:rPr>
          <w:sz w:val="24"/>
          <w:szCs w:val="24"/>
        </w:rPr>
        <w:t> </w:t>
      </w:r>
      <w:r w:rsidRPr="00DA4D22">
        <w:rPr>
          <w:sz w:val="24"/>
          <w:szCs w:val="24"/>
        </w:rPr>
        <w:t>eur najmä z dôvodu nenaplnenia očakávaných úspor, ktoré rezort zdravotníctva pôvodne predpokladal vo výške 36</w:t>
      </w:r>
      <w:r>
        <w:rPr>
          <w:sz w:val="24"/>
          <w:szCs w:val="24"/>
        </w:rPr>
        <w:t> </w:t>
      </w:r>
      <w:r w:rsidRPr="00DA4D22">
        <w:rPr>
          <w:sz w:val="24"/>
          <w:szCs w:val="24"/>
        </w:rPr>
        <w:t>000</w:t>
      </w:r>
      <w:r>
        <w:rPr>
          <w:sz w:val="24"/>
          <w:szCs w:val="24"/>
        </w:rPr>
        <w:t> </w:t>
      </w:r>
      <w:r w:rsidRPr="00DA4D22">
        <w:rPr>
          <w:sz w:val="24"/>
          <w:szCs w:val="24"/>
        </w:rPr>
        <w:t>tis.</w:t>
      </w:r>
      <w:r>
        <w:rPr>
          <w:sz w:val="24"/>
          <w:szCs w:val="24"/>
        </w:rPr>
        <w:t> </w:t>
      </w:r>
      <w:r w:rsidRPr="00DA4D22">
        <w:rPr>
          <w:sz w:val="24"/>
          <w:szCs w:val="24"/>
        </w:rPr>
        <w:t>eur.</w:t>
      </w:r>
      <w:r>
        <w:rPr>
          <w:sz w:val="24"/>
          <w:szCs w:val="24"/>
        </w:rPr>
        <w:t xml:space="preserve"> </w:t>
      </w:r>
      <w:r w:rsidRPr="00DA4D22">
        <w:rPr>
          <w:sz w:val="24"/>
          <w:szCs w:val="24"/>
        </w:rPr>
        <w:t>Vysoký nárast o</w:t>
      </w:r>
      <w:r>
        <w:rPr>
          <w:sz w:val="24"/>
          <w:szCs w:val="24"/>
        </w:rPr>
        <w:t> </w:t>
      </w:r>
      <w:r w:rsidRPr="00DA4D22">
        <w:rPr>
          <w:sz w:val="24"/>
          <w:szCs w:val="24"/>
        </w:rPr>
        <w:t>45</w:t>
      </w:r>
      <w:r>
        <w:rPr>
          <w:sz w:val="24"/>
          <w:szCs w:val="24"/>
        </w:rPr>
        <w:t> </w:t>
      </w:r>
      <w:r w:rsidRPr="00DA4D22">
        <w:rPr>
          <w:sz w:val="24"/>
          <w:szCs w:val="24"/>
        </w:rPr>
        <w:t>000</w:t>
      </w:r>
      <w:r>
        <w:rPr>
          <w:sz w:val="24"/>
          <w:szCs w:val="24"/>
        </w:rPr>
        <w:t> </w:t>
      </w:r>
      <w:r w:rsidRPr="00DA4D22">
        <w:rPr>
          <w:sz w:val="24"/>
          <w:szCs w:val="24"/>
        </w:rPr>
        <w:t>tis.</w:t>
      </w:r>
      <w:r>
        <w:rPr>
          <w:sz w:val="24"/>
          <w:szCs w:val="24"/>
        </w:rPr>
        <w:t> </w:t>
      </w:r>
      <w:r w:rsidRPr="00DA4D22">
        <w:rPr>
          <w:sz w:val="24"/>
          <w:szCs w:val="24"/>
        </w:rPr>
        <w:t>eur bol aj v oblasti tzv. inej zdravotnej starostlivosti, do ktorej spadajú hlavne ošetrenia v zahraničí a poskytnutá starostlivosť ľudom bez zdravotného poistenia. V roku 2024 v ústavnej zdravotnej starostlivosti (UZS) nedošlo k významnému prekročeniu očakávaného rozpočtu a potrebe dofin</w:t>
      </w:r>
      <w:r w:rsidR="00D259E2">
        <w:rPr>
          <w:sz w:val="24"/>
          <w:szCs w:val="24"/>
        </w:rPr>
        <w:t>ancovania, avšak pri pohľade na </w:t>
      </w:r>
      <w:r w:rsidRPr="00DA4D22">
        <w:rPr>
          <w:sz w:val="24"/>
          <w:szCs w:val="24"/>
        </w:rPr>
        <w:t>plnenie minimálnych súm jednotlivých zdravotných poisťovní došlo k výraznému prekročeniu u</w:t>
      </w:r>
      <w:r w:rsidR="00D259E2">
        <w:rPr>
          <w:sz w:val="24"/>
          <w:szCs w:val="24"/>
        </w:rPr>
        <w:t> </w:t>
      </w:r>
      <w:r w:rsidRPr="00DA4D22">
        <w:rPr>
          <w:sz w:val="24"/>
          <w:szCs w:val="24"/>
        </w:rPr>
        <w:t>VšZP, ktorej príčinou sú neefektívne nastavené zmluvné podmienky s poskytovateľmi UZS.</w:t>
      </w:r>
    </w:p>
    <w:bookmarkEnd w:id="49"/>
    <w:p w14:paraId="43A446CF" w14:textId="77777777" w:rsidR="009A05C7" w:rsidRPr="00673E84" w:rsidRDefault="009A05C7" w:rsidP="009A05C7">
      <w:pPr>
        <w:spacing w:line="240" w:lineRule="auto"/>
        <w:rPr>
          <w:rFonts w:eastAsia="Times New Roman" w:cs="Times New Roman"/>
          <w:color w:val="000000"/>
          <w:sz w:val="24"/>
          <w:szCs w:val="24"/>
          <w:lang w:eastAsia="sk-SK"/>
        </w:rPr>
      </w:pPr>
      <w:r w:rsidRPr="00673E84">
        <w:rPr>
          <w:rFonts w:cs="Times New Roman"/>
          <w:b/>
          <w:sz w:val="24"/>
          <w:szCs w:val="24"/>
        </w:rPr>
        <w:t xml:space="preserve">Exportno – importná banka SR (EXIMBANKA) </w:t>
      </w:r>
      <w:r w:rsidRPr="00673E84">
        <w:rPr>
          <w:rFonts w:eastAsia="Times New Roman" w:cs="Times New Roman"/>
          <w:color w:val="000000"/>
          <w:sz w:val="24"/>
          <w:szCs w:val="24"/>
          <w:lang w:eastAsia="sk-SK"/>
        </w:rPr>
        <w:t>dosiahla v roku 2024 hotovostný prebytok vo výške 5 875 tis. eur, čo predstavovalo nárast oproti rozpočtu o 18 045 tis. eur. Rozpočet v príjmoch aj výdavkoch bol zostavovaný na základe odhadu vývoja v poskytovaní úverov v predchádzajúcich rokoch s predpokladom mierneho rastu.</w:t>
      </w:r>
    </w:p>
    <w:p w14:paraId="103D4CAB" w14:textId="77777777" w:rsidR="009A05C7" w:rsidRPr="00673E84" w:rsidRDefault="009A05C7" w:rsidP="009A05C7">
      <w:pPr>
        <w:spacing w:line="240" w:lineRule="auto"/>
        <w:rPr>
          <w:rFonts w:eastAsia="Times New Roman" w:cs="Times New Roman"/>
          <w:color w:val="000000"/>
          <w:sz w:val="24"/>
          <w:szCs w:val="24"/>
          <w:lang w:eastAsia="sk-SK"/>
        </w:rPr>
      </w:pPr>
      <w:r w:rsidRPr="00673E84">
        <w:rPr>
          <w:rFonts w:eastAsia="Times New Roman" w:cs="Times New Roman"/>
          <w:color w:val="000000"/>
          <w:sz w:val="24"/>
          <w:szCs w:val="24"/>
          <w:lang w:eastAsia="sk-SK"/>
        </w:rPr>
        <w:lastRenderedPageBreak/>
        <w:t>K vyšším nedaňovým príjmom oproti rozpočtu prispel nárast na príjmoch z úrokov z financovania vývozných a dovozných úverov, z postúpených pohľadávok a termínovaných vkladov o 5 358 tis. eur a nárast príjmov z poplatkov za poskytnuté úvery a vystavené záruky a prijatého poistného z poistenia obchodovateľných a neobchodovateľných rizík o 6 048 tis. eur.</w:t>
      </w:r>
    </w:p>
    <w:p w14:paraId="1AB2EAF4" w14:textId="77777777" w:rsidR="009A05C7" w:rsidRPr="00771159" w:rsidRDefault="009A05C7" w:rsidP="009A05C7">
      <w:pPr>
        <w:spacing w:line="240" w:lineRule="auto"/>
        <w:rPr>
          <w:rFonts w:eastAsia="Times New Roman" w:cs="Times New Roman"/>
          <w:color w:val="000000"/>
          <w:sz w:val="24"/>
          <w:szCs w:val="24"/>
          <w:lang w:eastAsia="sk-SK"/>
        </w:rPr>
      </w:pPr>
      <w:r w:rsidRPr="00771159">
        <w:rPr>
          <w:rFonts w:eastAsia="Times New Roman" w:cs="Times New Roman"/>
          <w:color w:val="000000"/>
          <w:sz w:val="24"/>
          <w:szCs w:val="24"/>
          <w:lang w:eastAsia="sk-SK"/>
        </w:rPr>
        <w:t>Tento pozitívny vplyv zlepšil pokles bežných výdavkov o 5</w:t>
      </w:r>
      <w:r>
        <w:rPr>
          <w:rFonts w:eastAsia="Times New Roman" w:cs="Times New Roman"/>
          <w:color w:val="000000"/>
          <w:sz w:val="24"/>
          <w:szCs w:val="24"/>
          <w:lang w:eastAsia="sk-SK"/>
        </w:rPr>
        <w:t> </w:t>
      </w:r>
      <w:r w:rsidRPr="00771159">
        <w:rPr>
          <w:rFonts w:eastAsia="Times New Roman" w:cs="Times New Roman"/>
          <w:color w:val="000000"/>
          <w:sz w:val="24"/>
          <w:szCs w:val="24"/>
          <w:lang w:eastAsia="sk-SK"/>
        </w:rPr>
        <w:t>214</w:t>
      </w:r>
      <w:r>
        <w:rPr>
          <w:rFonts w:eastAsia="Times New Roman" w:cs="Times New Roman"/>
          <w:color w:val="000000"/>
          <w:sz w:val="24"/>
          <w:szCs w:val="24"/>
          <w:lang w:eastAsia="sk-SK"/>
        </w:rPr>
        <w:t> </w:t>
      </w:r>
      <w:r w:rsidRPr="00771159">
        <w:rPr>
          <w:rFonts w:eastAsia="Times New Roman" w:cs="Times New Roman"/>
          <w:color w:val="000000"/>
          <w:sz w:val="24"/>
          <w:szCs w:val="24"/>
          <w:lang w:eastAsia="sk-SK"/>
        </w:rPr>
        <w:t>tis.</w:t>
      </w:r>
      <w:r>
        <w:rPr>
          <w:rFonts w:eastAsia="Times New Roman" w:cs="Times New Roman"/>
          <w:color w:val="000000"/>
          <w:sz w:val="24"/>
          <w:szCs w:val="24"/>
          <w:lang w:eastAsia="sk-SK"/>
        </w:rPr>
        <w:t> </w:t>
      </w:r>
      <w:r w:rsidRPr="00771159">
        <w:rPr>
          <w:rFonts w:eastAsia="Times New Roman" w:cs="Times New Roman"/>
          <w:color w:val="000000"/>
          <w:sz w:val="24"/>
          <w:szCs w:val="24"/>
          <w:lang w:eastAsia="sk-SK"/>
        </w:rPr>
        <w:t>eur na</w:t>
      </w:r>
      <w:r>
        <w:rPr>
          <w:rFonts w:eastAsia="Times New Roman" w:cs="Times New Roman"/>
          <w:color w:val="000000"/>
          <w:sz w:val="24"/>
          <w:szCs w:val="24"/>
          <w:lang w:eastAsia="sk-SK"/>
        </w:rPr>
        <w:t> </w:t>
      </w:r>
      <w:r w:rsidRPr="00771159">
        <w:rPr>
          <w:rFonts w:eastAsia="Times New Roman" w:cs="Times New Roman"/>
          <w:color w:val="000000"/>
          <w:sz w:val="24"/>
          <w:szCs w:val="24"/>
          <w:lang w:eastAsia="sk-SK"/>
        </w:rPr>
        <w:t>splácanie úrokov a ostatné platby s úvermi, na tovary a služby a pokles kapitálových výdavkov o 1</w:t>
      </w:r>
      <w:r>
        <w:rPr>
          <w:rFonts w:eastAsia="Times New Roman" w:cs="Times New Roman"/>
          <w:color w:val="000000"/>
          <w:sz w:val="24"/>
          <w:szCs w:val="24"/>
          <w:lang w:eastAsia="sk-SK"/>
        </w:rPr>
        <w:t> </w:t>
      </w:r>
      <w:r w:rsidRPr="00771159">
        <w:rPr>
          <w:rFonts w:eastAsia="Times New Roman" w:cs="Times New Roman"/>
          <w:color w:val="000000"/>
          <w:sz w:val="24"/>
          <w:szCs w:val="24"/>
          <w:lang w:eastAsia="sk-SK"/>
        </w:rPr>
        <w:t>425</w:t>
      </w:r>
      <w:r>
        <w:rPr>
          <w:rFonts w:eastAsia="Times New Roman" w:cs="Times New Roman"/>
          <w:color w:val="000000"/>
          <w:sz w:val="24"/>
          <w:szCs w:val="24"/>
          <w:lang w:eastAsia="sk-SK"/>
        </w:rPr>
        <w:t> </w:t>
      </w:r>
      <w:r w:rsidRPr="00771159">
        <w:rPr>
          <w:rFonts w:eastAsia="Times New Roman" w:cs="Times New Roman"/>
          <w:color w:val="000000"/>
          <w:sz w:val="24"/>
          <w:szCs w:val="24"/>
          <w:lang w:eastAsia="sk-SK"/>
        </w:rPr>
        <w:t>tis.</w:t>
      </w:r>
      <w:r>
        <w:rPr>
          <w:rFonts w:eastAsia="Times New Roman" w:cs="Times New Roman"/>
          <w:color w:val="000000"/>
          <w:sz w:val="24"/>
          <w:szCs w:val="24"/>
          <w:lang w:eastAsia="sk-SK"/>
        </w:rPr>
        <w:t> </w:t>
      </w:r>
      <w:r w:rsidRPr="00771159">
        <w:rPr>
          <w:rFonts w:eastAsia="Times New Roman" w:cs="Times New Roman"/>
          <w:color w:val="000000"/>
          <w:sz w:val="24"/>
          <w:szCs w:val="24"/>
          <w:lang w:eastAsia="sk-SK"/>
        </w:rPr>
        <w:t>eur.</w:t>
      </w:r>
    </w:p>
    <w:p w14:paraId="5CEC5A45" w14:textId="11605744" w:rsidR="009A05C7" w:rsidRDefault="009A05C7" w:rsidP="009A05C7">
      <w:pPr>
        <w:spacing w:line="240" w:lineRule="auto"/>
        <w:rPr>
          <w:rFonts w:eastAsia="Times New Roman" w:cs="Times New Roman"/>
          <w:color w:val="000000"/>
          <w:sz w:val="24"/>
          <w:szCs w:val="24"/>
          <w:lang w:eastAsia="sk-SK"/>
        </w:rPr>
      </w:pPr>
      <w:r w:rsidRPr="003B0BEF">
        <w:rPr>
          <w:rFonts w:eastAsia="Times New Roman" w:cs="Times New Roman"/>
          <w:color w:val="000000"/>
          <w:sz w:val="24"/>
          <w:szCs w:val="24"/>
          <w:lang w:eastAsia="sk-SK"/>
        </w:rPr>
        <w:t>Medziročný pokles pohľadávok o 7</w:t>
      </w:r>
      <w:r>
        <w:rPr>
          <w:rFonts w:eastAsia="Times New Roman" w:cs="Times New Roman"/>
          <w:color w:val="000000"/>
          <w:sz w:val="24"/>
          <w:szCs w:val="24"/>
          <w:lang w:eastAsia="sk-SK"/>
        </w:rPr>
        <w:t> </w:t>
      </w:r>
      <w:r w:rsidRPr="003B0BEF">
        <w:rPr>
          <w:rFonts w:eastAsia="Times New Roman" w:cs="Times New Roman"/>
          <w:color w:val="000000"/>
          <w:sz w:val="24"/>
          <w:szCs w:val="24"/>
          <w:lang w:eastAsia="sk-SK"/>
        </w:rPr>
        <w:t>169</w:t>
      </w:r>
      <w:r>
        <w:rPr>
          <w:rFonts w:eastAsia="Times New Roman" w:cs="Times New Roman"/>
          <w:color w:val="000000"/>
          <w:sz w:val="24"/>
          <w:szCs w:val="24"/>
          <w:lang w:eastAsia="sk-SK"/>
        </w:rPr>
        <w:t> </w:t>
      </w:r>
      <w:r w:rsidRPr="003B0BEF">
        <w:rPr>
          <w:rFonts w:eastAsia="Times New Roman" w:cs="Times New Roman"/>
          <w:color w:val="000000"/>
          <w:sz w:val="24"/>
          <w:szCs w:val="24"/>
          <w:lang w:eastAsia="sk-SK"/>
        </w:rPr>
        <w:t>tis. eur (zo zaistenia, poistenia a splatnej daňovej pohľadávky) a nárast záväzkov o 1</w:t>
      </w:r>
      <w:r>
        <w:rPr>
          <w:rFonts w:eastAsia="Times New Roman" w:cs="Times New Roman"/>
          <w:color w:val="000000"/>
          <w:sz w:val="24"/>
          <w:szCs w:val="24"/>
          <w:lang w:eastAsia="sk-SK"/>
        </w:rPr>
        <w:t> </w:t>
      </w:r>
      <w:r w:rsidRPr="003B0BEF">
        <w:rPr>
          <w:rFonts w:eastAsia="Times New Roman" w:cs="Times New Roman"/>
          <w:color w:val="000000"/>
          <w:sz w:val="24"/>
          <w:szCs w:val="24"/>
          <w:lang w:eastAsia="sk-SK"/>
        </w:rPr>
        <w:t>866</w:t>
      </w:r>
      <w:r>
        <w:rPr>
          <w:rFonts w:eastAsia="Times New Roman" w:cs="Times New Roman"/>
          <w:color w:val="000000"/>
          <w:sz w:val="24"/>
          <w:szCs w:val="24"/>
          <w:lang w:eastAsia="sk-SK"/>
        </w:rPr>
        <w:t> </w:t>
      </w:r>
      <w:r w:rsidRPr="003B0BEF">
        <w:rPr>
          <w:rFonts w:eastAsia="Times New Roman" w:cs="Times New Roman"/>
          <w:color w:val="000000"/>
          <w:sz w:val="24"/>
          <w:szCs w:val="24"/>
          <w:lang w:eastAsia="sk-SK"/>
        </w:rPr>
        <w:t>tis. eur zo splatného daňového záväzku eliminovaný poklesom záväzkov z technických rezerv v súvislosti s tvorbou škodových rezerv na</w:t>
      </w:r>
      <w:r>
        <w:rPr>
          <w:rFonts w:eastAsia="Times New Roman" w:cs="Times New Roman"/>
          <w:color w:val="000000"/>
          <w:sz w:val="24"/>
          <w:szCs w:val="24"/>
          <w:lang w:eastAsia="sk-SK"/>
        </w:rPr>
        <w:t> </w:t>
      </w:r>
      <w:r w:rsidRPr="003B0BEF">
        <w:rPr>
          <w:rFonts w:eastAsia="Times New Roman" w:cs="Times New Roman"/>
          <w:color w:val="000000"/>
          <w:sz w:val="24"/>
          <w:szCs w:val="24"/>
          <w:lang w:eastAsia="sk-SK"/>
        </w:rPr>
        <w:t>vyrovnávanie mimoriadnych rizík o </w:t>
      </w:r>
      <w:r>
        <w:rPr>
          <w:rFonts w:eastAsia="Times New Roman" w:cs="Times New Roman"/>
          <w:color w:val="000000"/>
          <w:sz w:val="24"/>
          <w:szCs w:val="24"/>
          <w:lang w:eastAsia="sk-SK"/>
        </w:rPr>
        <w:t>1</w:t>
      </w:r>
      <w:r w:rsidRPr="003B0BEF">
        <w:rPr>
          <w:rFonts w:eastAsia="Times New Roman" w:cs="Times New Roman"/>
          <w:color w:val="000000"/>
          <w:sz w:val="24"/>
          <w:szCs w:val="24"/>
          <w:lang w:eastAsia="sk-SK"/>
        </w:rPr>
        <w:t>6 </w:t>
      </w:r>
      <w:r>
        <w:rPr>
          <w:rFonts w:eastAsia="Times New Roman" w:cs="Times New Roman"/>
          <w:color w:val="000000"/>
          <w:sz w:val="24"/>
          <w:szCs w:val="24"/>
          <w:lang w:eastAsia="sk-SK"/>
        </w:rPr>
        <w:t>904</w:t>
      </w:r>
      <w:r w:rsidRPr="003B0BEF">
        <w:rPr>
          <w:rFonts w:eastAsia="Times New Roman" w:cs="Times New Roman"/>
          <w:color w:val="000000"/>
          <w:sz w:val="24"/>
          <w:szCs w:val="24"/>
          <w:lang w:eastAsia="sk-SK"/>
        </w:rPr>
        <w:t> tis. eur negatívne ovplyvnil hospodárenie</w:t>
      </w:r>
      <w:r>
        <w:rPr>
          <w:rFonts w:eastAsia="Times New Roman" w:cs="Times New Roman"/>
          <w:color w:val="000000"/>
          <w:sz w:val="24"/>
          <w:szCs w:val="24"/>
          <w:lang w:eastAsia="sk-SK"/>
        </w:rPr>
        <w:t>.</w:t>
      </w:r>
      <w:r w:rsidRPr="003B0BEF">
        <w:rPr>
          <w:rFonts w:eastAsia="Times New Roman" w:cs="Times New Roman"/>
          <w:color w:val="000000"/>
          <w:sz w:val="24"/>
          <w:szCs w:val="24"/>
          <w:lang w:eastAsia="sk-SK"/>
        </w:rPr>
        <w:t xml:space="preserve"> </w:t>
      </w:r>
      <w:r>
        <w:rPr>
          <w:rFonts w:eastAsia="Times New Roman" w:cs="Times New Roman"/>
          <w:color w:val="000000"/>
          <w:sz w:val="24"/>
          <w:szCs w:val="24"/>
          <w:lang w:eastAsia="sk-SK"/>
        </w:rPr>
        <w:t xml:space="preserve">Vplyvom vkladu do ZI preklasifikovaného na prijatý kapitálový transfer v sume 250 000 tis. eur a zaznamenaním prevzatia dlhu voči BNC (Kuba) s negatívnym vplyvom vo výške 47 284 tis. eur dosiahla </w:t>
      </w:r>
      <w:r w:rsidRPr="003B0BEF">
        <w:rPr>
          <w:rFonts w:eastAsia="Times New Roman" w:cs="Times New Roman"/>
          <w:color w:val="000000"/>
          <w:sz w:val="24"/>
          <w:szCs w:val="24"/>
          <w:lang w:eastAsia="sk-SK"/>
        </w:rPr>
        <w:t xml:space="preserve">EXIMBANKA prebytok </w:t>
      </w:r>
      <w:r>
        <w:rPr>
          <w:rFonts w:eastAsia="Times New Roman" w:cs="Times New Roman"/>
          <w:color w:val="000000"/>
          <w:sz w:val="24"/>
          <w:szCs w:val="24"/>
          <w:lang w:eastAsia="sk-SK"/>
        </w:rPr>
        <w:t xml:space="preserve">v ESA </w:t>
      </w:r>
      <w:r w:rsidR="00D259E2">
        <w:rPr>
          <w:rFonts w:eastAsia="Times New Roman" w:cs="Times New Roman"/>
          <w:color w:val="000000"/>
          <w:sz w:val="24"/>
          <w:szCs w:val="24"/>
          <w:lang w:eastAsia="sk-SK"/>
        </w:rPr>
        <w:t>vo </w:t>
      </w:r>
      <w:r w:rsidRPr="003B0BEF">
        <w:rPr>
          <w:rFonts w:eastAsia="Times New Roman" w:cs="Times New Roman"/>
          <w:color w:val="000000"/>
          <w:sz w:val="24"/>
          <w:szCs w:val="24"/>
          <w:lang w:eastAsia="sk-SK"/>
        </w:rPr>
        <w:t xml:space="preserve">výške </w:t>
      </w:r>
      <w:r>
        <w:rPr>
          <w:rFonts w:eastAsia="Times New Roman" w:cs="Times New Roman"/>
          <w:color w:val="000000"/>
          <w:sz w:val="24"/>
          <w:szCs w:val="24"/>
          <w:lang w:eastAsia="sk-SK"/>
        </w:rPr>
        <w:t>2</w:t>
      </w:r>
      <w:r w:rsidRPr="003B0BEF">
        <w:rPr>
          <w:rFonts w:eastAsia="Times New Roman" w:cs="Times New Roman"/>
          <w:color w:val="000000"/>
          <w:sz w:val="24"/>
          <w:szCs w:val="24"/>
          <w:lang w:eastAsia="sk-SK"/>
        </w:rPr>
        <w:t>1</w:t>
      </w:r>
      <w:r>
        <w:rPr>
          <w:rFonts w:eastAsia="Times New Roman" w:cs="Times New Roman"/>
          <w:color w:val="000000"/>
          <w:sz w:val="24"/>
          <w:szCs w:val="24"/>
          <w:lang w:eastAsia="sk-SK"/>
        </w:rPr>
        <w:t>6</w:t>
      </w:r>
      <w:r w:rsidRPr="003B0BEF">
        <w:rPr>
          <w:rFonts w:eastAsia="Times New Roman" w:cs="Times New Roman"/>
          <w:color w:val="000000"/>
          <w:sz w:val="24"/>
          <w:szCs w:val="24"/>
          <w:lang w:eastAsia="sk-SK"/>
        </w:rPr>
        <w:t> </w:t>
      </w:r>
      <w:r>
        <w:rPr>
          <w:rFonts w:eastAsia="Times New Roman" w:cs="Times New Roman"/>
          <w:color w:val="000000"/>
          <w:sz w:val="24"/>
          <w:szCs w:val="24"/>
          <w:lang w:eastAsia="sk-SK"/>
        </w:rPr>
        <w:t>460</w:t>
      </w:r>
      <w:r w:rsidRPr="003B0BEF">
        <w:rPr>
          <w:rFonts w:eastAsia="Times New Roman" w:cs="Times New Roman"/>
          <w:color w:val="000000"/>
          <w:sz w:val="24"/>
          <w:szCs w:val="24"/>
          <w:lang w:eastAsia="sk-SK"/>
        </w:rPr>
        <w:t> tis. eur.</w:t>
      </w:r>
    </w:p>
    <w:p w14:paraId="724FFBC7" w14:textId="77777777" w:rsidR="009A05C7" w:rsidRPr="00180E38" w:rsidRDefault="009A05C7" w:rsidP="009A05C7">
      <w:pPr>
        <w:spacing w:line="240" w:lineRule="auto"/>
        <w:rPr>
          <w:rFonts w:cs="Times New Roman"/>
          <w:sz w:val="24"/>
          <w:szCs w:val="24"/>
        </w:rPr>
      </w:pPr>
      <w:bookmarkStart w:id="50" w:name="_Hlk195626970"/>
      <w:r>
        <w:rPr>
          <w:rFonts w:cs="Times New Roman"/>
          <w:b/>
          <w:sz w:val="24"/>
          <w:szCs w:val="24"/>
        </w:rPr>
        <w:t>Národná diaľničná spoločnosť, </w:t>
      </w:r>
      <w:r w:rsidRPr="007428CB">
        <w:rPr>
          <w:rFonts w:cs="Times New Roman"/>
          <w:b/>
          <w:sz w:val="24"/>
          <w:szCs w:val="24"/>
        </w:rPr>
        <w:t>a.</w:t>
      </w:r>
      <w:r>
        <w:rPr>
          <w:rFonts w:cs="Times New Roman"/>
          <w:b/>
          <w:sz w:val="24"/>
          <w:szCs w:val="24"/>
        </w:rPr>
        <w:t> </w:t>
      </w:r>
      <w:r w:rsidRPr="007428CB">
        <w:rPr>
          <w:rFonts w:cs="Times New Roman"/>
          <w:b/>
          <w:sz w:val="24"/>
          <w:szCs w:val="24"/>
        </w:rPr>
        <w:t>s.</w:t>
      </w:r>
      <w:r w:rsidRPr="007428CB">
        <w:rPr>
          <w:rFonts w:cs="Times New Roman"/>
          <w:sz w:val="24"/>
          <w:szCs w:val="24"/>
        </w:rPr>
        <w:t xml:space="preserve"> dosiahla hotovostný schodok vo výške 12 718 tis. eur, čo</w:t>
      </w:r>
      <w:r>
        <w:rPr>
          <w:rFonts w:cs="Times New Roman"/>
          <w:sz w:val="24"/>
          <w:szCs w:val="24"/>
        </w:rPr>
        <w:t> </w:t>
      </w:r>
      <w:r w:rsidRPr="007428CB">
        <w:rPr>
          <w:rFonts w:cs="Times New Roman"/>
          <w:sz w:val="24"/>
          <w:szCs w:val="24"/>
        </w:rPr>
        <w:t>predstavuje zhoršenie</w:t>
      </w:r>
      <w:r>
        <w:rPr>
          <w:rFonts w:cs="Times New Roman"/>
          <w:sz w:val="24"/>
          <w:szCs w:val="24"/>
        </w:rPr>
        <w:t> o 40 676 tis. eur </w:t>
      </w:r>
      <w:r w:rsidRPr="007428CB">
        <w:rPr>
          <w:rFonts w:cs="Times New Roman"/>
          <w:sz w:val="24"/>
          <w:szCs w:val="24"/>
        </w:rPr>
        <w:t xml:space="preserve"> oproti </w:t>
      </w:r>
      <w:r>
        <w:rPr>
          <w:rFonts w:cs="Times New Roman"/>
          <w:sz w:val="24"/>
          <w:szCs w:val="24"/>
        </w:rPr>
        <w:t>plánovanému prebytku</w:t>
      </w:r>
      <w:r w:rsidRPr="007428CB">
        <w:rPr>
          <w:rFonts w:cs="Times New Roman"/>
          <w:sz w:val="24"/>
          <w:szCs w:val="24"/>
        </w:rPr>
        <w:t xml:space="preserve">. </w:t>
      </w:r>
      <w:r w:rsidRPr="00180E38">
        <w:rPr>
          <w:rFonts w:cs="Times New Roman"/>
          <w:sz w:val="24"/>
          <w:szCs w:val="24"/>
        </w:rPr>
        <w:t xml:space="preserve">Zhoršenie hospodárenia bolo </w:t>
      </w:r>
      <w:r>
        <w:rPr>
          <w:rFonts w:cs="Times New Roman"/>
          <w:sz w:val="24"/>
          <w:szCs w:val="24"/>
        </w:rPr>
        <w:t>zapríčinen</w:t>
      </w:r>
      <w:r w:rsidRPr="00180E38">
        <w:rPr>
          <w:rFonts w:cs="Times New Roman"/>
          <w:sz w:val="24"/>
          <w:szCs w:val="24"/>
        </w:rPr>
        <w:t>é nárastom výdavkov, ktorý prevýšil nárast príjmov.</w:t>
      </w:r>
    </w:p>
    <w:p w14:paraId="017B0505" w14:textId="77777777" w:rsidR="009A05C7" w:rsidRDefault="009A05C7" w:rsidP="009A05C7">
      <w:pPr>
        <w:spacing w:line="240" w:lineRule="auto"/>
        <w:rPr>
          <w:rFonts w:cs="Times New Roman"/>
          <w:sz w:val="24"/>
          <w:szCs w:val="24"/>
        </w:rPr>
      </w:pPr>
      <w:r w:rsidRPr="00180E38">
        <w:rPr>
          <w:rFonts w:cs="Times New Roman"/>
          <w:sz w:val="24"/>
          <w:szCs w:val="24"/>
        </w:rPr>
        <w:t>Celkové príjmy vzrástli o</w:t>
      </w:r>
      <w:r>
        <w:rPr>
          <w:rFonts w:cs="Times New Roman"/>
          <w:sz w:val="24"/>
          <w:szCs w:val="24"/>
        </w:rPr>
        <w:t> </w:t>
      </w:r>
      <w:r w:rsidRPr="00180E38">
        <w:rPr>
          <w:rFonts w:cs="Times New Roman"/>
          <w:sz w:val="24"/>
          <w:szCs w:val="24"/>
        </w:rPr>
        <w:t>488</w:t>
      </w:r>
      <w:r>
        <w:rPr>
          <w:rFonts w:cs="Times New Roman"/>
          <w:sz w:val="24"/>
          <w:szCs w:val="24"/>
        </w:rPr>
        <w:t> </w:t>
      </w:r>
      <w:r w:rsidRPr="00180E38">
        <w:rPr>
          <w:rFonts w:cs="Times New Roman"/>
          <w:sz w:val="24"/>
          <w:szCs w:val="24"/>
        </w:rPr>
        <w:t>425</w:t>
      </w:r>
      <w:r>
        <w:rPr>
          <w:rFonts w:cs="Times New Roman"/>
          <w:sz w:val="24"/>
          <w:szCs w:val="24"/>
        </w:rPr>
        <w:t> </w:t>
      </w:r>
      <w:r w:rsidRPr="00180E38">
        <w:rPr>
          <w:rFonts w:cs="Times New Roman"/>
          <w:sz w:val="24"/>
          <w:szCs w:val="24"/>
        </w:rPr>
        <w:t>tis.</w:t>
      </w:r>
      <w:r>
        <w:rPr>
          <w:rFonts w:cs="Times New Roman"/>
          <w:sz w:val="24"/>
          <w:szCs w:val="24"/>
        </w:rPr>
        <w:t> </w:t>
      </w:r>
      <w:r w:rsidRPr="00180E38">
        <w:rPr>
          <w:rFonts w:cs="Times New Roman"/>
          <w:sz w:val="24"/>
          <w:szCs w:val="24"/>
        </w:rPr>
        <w:t xml:space="preserve">eur, </w:t>
      </w:r>
      <w:r>
        <w:rPr>
          <w:rFonts w:cs="Times New Roman"/>
          <w:sz w:val="24"/>
          <w:szCs w:val="24"/>
        </w:rPr>
        <w:t>z čoho</w:t>
      </w:r>
      <w:r w:rsidRPr="00180E38">
        <w:rPr>
          <w:rFonts w:cs="Times New Roman"/>
          <w:sz w:val="24"/>
          <w:szCs w:val="24"/>
        </w:rPr>
        <w:t xml:space="preserve"> nedaňové príjmy sa zvýšili o</w:t>
      </w:r>
      <w:r>
        <w:rPr>
          <w:rFonts w:cs="Times New Roman"/>
          <w:sz w:val="24"/>
          <w:szCs w:val="24"/>
        </w:rPr>
        <w:t> </w:t>
      </w:r>
      <w:r w:rsidRPr="00180E38">
        <w:rPr>
          <w:rFonts w:cs="Times New Roman"/>
          <w:sz w:val="24"/>
          <w:szCs w:val="24"/>
        </w:rPr>
        <w:t>11</w:t>
      </w:r>
      <w:r>
        <w:rPr>
          <w:rFonts w:cs="Times New Roman"/>
          <w:sz w:val="24"/>
          <w:szCs w:val="24"/>
        </w:rPr>
        <w:t> </w:t>
      </w:r>
      <w:r w:rsidRPr="00180E38">
        <w:rPr>
          <w:rFonts w:cs="Times New Roman"/>
          <w:sz w:val="24"/>
          <w:szCs w:val="24"/>
        </w:rPr>
        <w:t>171</w:t>
      </w:r>
      <w:r>
        <w:rPr>
          <w:rFonts w:cs="Times New Roman"/>
          <w:sz w:val="24"/>
          <w:szCs w:val="24"/>
        </w:rPr>
        <w:t> </w:t>
      </w:r>
      <w:r w:rsidRPr="00180E38">
        <w:rPr>
          <w:rFonts w:cs="Times New Roman"/>
          <w:sz w:val="24"/>
          <w:szCs w:val="24"/>
        </w:rPr>
        <w:t>tis.</w:t>
      </w:r>
      <w:r>
        <w:rPr>
          <w:rFonts w:cs="Times New Roman"/>
          <w:sz w:val="24"/>
          <w:szCs w:val="24"/>
        </w:rPr>
        <w:t> </w:t>
      </w:r>
      <w:r w:rsidRPr="00180E38">
        <w:rPr>
          <w:rFonts w:cs="Times New Roman"/>
          <w:sz w:val="24"/>
          <w:szCs w:val="24"/>
        </w:rPr>
        <w:t>eur</w:t>
      </w:r>
      <w:r>
        <w:rPr>
          <w:rFonts w:cs="Times New Roman"/>
          <w:sz w:val="24"/>
          <w:szCs w:val="24"/>
        </w:rPr>
        <w:t xml:space="preserve"> a to najmä</w:t>
      </w:r>
      <w:r w:rsidRPr="00180E38">
        <w:rPr>
          <w:rFonts w:cs="Times New Roman"/>
          <w:sz w:val="24"/>
          <w:szCs w:val="24"/>
        </w:rPr>
        <w:t xml:space="preserve"> </w:t>
      </w:r>
      <w:r>
        <w:rPr>
          <w:rFonts w:cs="Times New Roman"/>
          <w:sz w:val="24"/>
          <w:szCs w:val="24"/>
        </w:rPr>
        <w:t>vplyvom</w:t>
      </w:r>
      <w:r w:rsidRPr="00180E38">
        <w:rPr>
          <w:rFonts w:cs="Times New Roman"/>
          <w:sz w:val="24"/>
          <w:szCs w:val="24"/>
        </w:rPr>
        <w:t xml:space="preserve"> nárast</w:t>
      </w:r>
      <w:r>
        <w:rPr>
          <w:rFonts w:cs="Times New Roman"/>
          <w:sz w:val="24"/>
          <w:szCs w:val="24"/>
        </w:rPr>
        <w:t>u</w:t>
      </w:r>
      <w:r w:rsidRPr="00180E38">
        <w:rPr>
          <w:rFonts w:cs="Times New Roman"/>
          <w:sz w:val="24"/>
          <w:szCs w:val="24"/>
        </w:rPr>
        <w:t xml:space="preserve"> predaja diaľničných známok </w:t>
      </w:r>
      <w:r>
        <w:rPr>
          <w:rFonts w:cs="Times New Roman"/>
          <w:sz w:val="24"/>
          <w:szCs w:val="24"/>
        </w:rPr>
        <w:t>o</w:t>
      </w:r>
      <w:r w:rsidRPr="00180E38">
        <w:rPr>
          <w:rFonts w:cs="Times New Roman"/>
          <w:sz w:val="24"/>
          <w:szCs w:val="24"/>
        </w:rPr>
        <w:t xml:space="preserve"> 8</w:t>
      </w:r>
      <w:r>
        <w:rPr>
          <w:rFonts w:cs="Times New Roman"/>
          <w:sz w:val="24"/>
          <w:szCs w:val="24"/>
        </w:rPr>
        <w:t> </w:t>
      </w:r>
      <w:r w:rsidRPr="00180E38">
        <w:rPr>
          <w:rFonts w:cs="Times New Roman"/>
          <w:sz w:val="24"/>
          <w:szCs w:val="24"/>
        </w:rPr>
        <w:t>731</w:t>
      </w:r>
      <w:r>
        <w:rPr>
          <w:rFonts w:cs="Times New Roman"/>
          <w:sz w:val="24"/>
          <w:szCs w:val="24"/>
        </w:rPr>
        <w:t> </w:t>
      </w:r>
      <w:r w:rsidRPr="00180E38">
        <w:rPr>
          <w:rFonts w:cs="Times New Roman"/>
          <w:sz w:val="24"/>
          <w:szCs w:val="24"/>
        </w:rPr>
        <w:t>tis.</w:t>
      </w:r>
      <w:r>
        <w:rPr>
          <w:rFonts w:cs="Times New Roman"/>
          <w:sz w:val="24"/>
          <w:szCs w:val="24"/>
        </w:rPr>
        <w:t> </w:t>
      </w:r>
      <w:r w:rsidRPr="00180E38">
        <w:rPr>
          <w:rFonts w:cs="Times New Roman"/>
          <w:sz w:val="24"/>
          <w:szCs w:val="24"/>
        </w:rPr>
        <w:t xml:space="preserve">eur, </w:t>
      </w:r>
      <w:r>
        <w:rPr>
          <w:rFonts w:cs="Times New Roman"/>
          <w:sz w:val="24"/>
          <w:szCs w:val="24"/>
        </w:rPr>
        <w:t>nárastom p</w:t>
      </w:r>
      <w:r w:rsidRPr="00180E38">
        <w:rPr>
          <w:rFonts w:cs="Times New Roman"/>
          <w:sz w:val="24"/>
          <w:szCs w:val="24"/>
        </w:rPr>
        <w:t>ríjm</w:t>
      </w:r>
      <w:r>
        <w:rPr>
          <w:rFonts w:cs="Times New Roman"/>
          <w:sz w:val="24"/>
          <w:szCs w:val="24"/>
        </w:rPr>
        <w:t>ov</w:t>
      </w:r>
      <w:r w:rsidRPr="00180E38">
        <w:rPr>
          <w:rFonts w:cs="Times New Roman"/>
          <w:sz w:val="24"/>
          <w:szCs w:val="24"/>
        </w:rPr>
        <w:t xml:space="preserve"> z</w:t>
      </w:r>
      <w:r>
        <w:rPr>
          <w:rFonts w:cs="Times New Roman"/>
          <w:sz w:val="24"/>
          <w:szCs w:val="24"/>
        </w:rPr>
        <w:t> </w:t>
      </w:r>
      <w:r w:rsidRPr="00180E38">
        <w:rPr>
          <w:rFonts w:cs="Times New Roman"/>
          <w:sz w:val="24"/>
          <w:szCs w:val="24"/>
        </w:rPr>
        <w:t>elektronického výberu mýta o</w:t>
      </w:r>
      <w:r>
        <w:rPr>
          <w:rFonts w:cs="Times New Roman"/>
          <w:sz w:val="24"/>
          <w:szCs w:val="24"/>
        </w:rPr>
        <w:t> </w:t>
      </w:r>
      <w:r w:rsidRPr="00180E38">
        <w:rPr>
          <w:rFonts w:cs="Times New Roman"/>
          <w:sz w:val="24"/>
          <w:szCs w:val="24"/>
        </w:rPr>
        <w:t>5</w:t>
      </w:r>
      <w:r>
        <w:rPr>
          <w:rFonts w:cs="Times New Roman"/>
          <w:sz w:val="24"/>
          <w:szCs w:val="24"/>
        </w:rPr>
        <w:t> </w:t>
      </w:r>
      <w:r w:rsidRPr="00180E38">
        <w:rPr>
          <w:rFonts w:cs="Times New Roman"/>
          <w:sz w:val="24"/>
          <w:szCs w:val="24"/>
        </w:rPr>
        <w:t>355</w:t>
      </w:r>
      <w:r>
        <w:rPr>
          <w:rFonts w:cs="Times New Roman"/>
          <w:sz w:val="24"/>
          <w:szCs w:val="24"/>
        </w:rPr>
        <w:t> </w:t>
      </w:r>
      <w:r w:rsidRPr="00180E38">
        <w:rPr>
          <w:rFonts w:cs="Times New Roman"/>
          <w:sz w:val="24"/>
          <w:szCs w:val="24"/>
        </w:rPr>
        <w:t>tis.</w:t>
      </w:r>
      <w:r>
        <w:rPr>
          <w:rFonts w:cs="Times New Roman"/>
          <w:sz w:val="24"/>
          <w:szCs w:val="24"/>
        </w:rPr>
        <w:t> </w:t>
      </w:r>
      <w:r w:rsidRPr="00180E38">
        <w:rPr>
          <w:rFonts w:cs="Times New Roman"/>
          <w:sz w:val="24"/>
          <w:szCs w:val="24"/>
        </w:rPr>
        <w:t>eur.</w:t>
      </w:r>
      <w:r>
        <w:rPr>
          <w:rFonts w:cs="Times New Roman"/>
          <w:sz w:val="24"/>
          <w:szCs w:val="24"/>
        </w:rPr>
        <w:t xml:space="preserve"> Ďalším pozitívnym faktorom bol aj nárast </w:t>
      </w:r>
      <w:r w:rsidRPr="00180E38">
        <w:rPr>
          <w:rFonts w:cs="Times New Roman"/>
          <w:sz w:val="24"/>
          <w:szCs w:val="24"/>
        </w:rPr>
        <w:t>grantov a transferov o</w:t>
      </w:r>
      <w:r>
        <w:rPr>
          <w:rFonts w:cs="Times New Roman"/>
          <w:sz w:val="24"/>
          <w:szCs w:val="24"/>
        </w:rPr>
        <w:t> </w:t>
      </w:r>
      <w:r w:rsidRPr="00180E38">
        <w:rPr>
          <w:rFonts w:cs="Times New Roman"/>
          <w:sz w:val="24"/>
          <w:szCs w:val="24"/>
        </w:rPr>
        <w:t>477</w:t>
      </w:r>
      <w:r>
        <w:rPr>
          <w:rFonts w:cs="Times New Roman"/>
          <w:sz w:val="24"/>
          <w:szCs w:val="24"/>
        </w:rPr>
        <w:t> </w:t>
      </w:r>
      <w:r w:rsidRPr="00180E38">
        <w:rPr>
          <w:rFonts w:cs="Times New Roman"/>
          <w:sz w:val="24"/>
          <w:szCs w:val="24"/>
        </w:rPr>
        <w:t>254</w:t>
      </w:r>
      <w:r>
        <w:rPr>
          <w:rFonts w:cs="Times New Roman"/>
          <w:sz w:val="24"/>
          <w:szCs w:val="24"/>
        </w:rPr>
        <w:t> </w:t>
      </w:r>
      <w:r w:rsidRPr="00180E38">
        <w:rPr>
          <w:rFonts w:cs="Times New Roman"/>
          <w:sz w:val="24"/>
          <w:szCs w:val="24"/>
        </w:rPr>
        <w:t>tis.</w:t>
      </w:r>
      <w:r>
        <w:rPr>
          <w:rFonts w:cs="Times New Roman"/>
          <w:sz w:val="24"/>
          <w:szCs w:val="24"/>
        </w:rPr>
        <w:t> </w:t>
      </w:r>
      <w:r w:rsidRPr="00180E38">
        <w:rPr>
          <w:rFonts w:cs="Times New Roman"/>
          <w:sz w:val="24"/>
          <w:szCs w:val="24"/>
        </w:rPr>
        <w:t>eur</w:t>
      </w:r>
      <w:r>
        <w:rPr>
          <w:rFonts w:cs="Times New Roman"/>
          <w:sz w:val="24"/>
          <w:szCs w:val="24"/>
        </w:rPr>
        <w:t>.</w:t>
      </w:r>
    </w:p>
    <w:p w14:paraId="677C50E1" w14:textId="727E3A99" w:rsidR="009A05C7" w:rsidRPr="00AD4BD7" w:rsidRDefault="009A05C7" w:rsidP="009A05C7">
      <w:pPr>
        <w:spacing w:line="240" w:lineRule="auto"/>
        <w:rPr>
          <w:rFonts w:eastAsia="Times New Roman" w:cs="Times New Roman"/>
          <w:sz w:val="24"/>
          <w:szCs w:val="24"/>
          <w:lang w:eastAsia="sk-SK"/>
        </w:rPr>
      </w:pPr>
      <w:r w:rsidRPr="00AC7602">
        <w:rPr>
          <w:rFonts w:eastAsia="Times New Roman" w:cs="Times New Roman"/>
          <w:sz w:val="24"/>
          <w:szCs w:val="24"/>
          <w:lang w:eastAsia="sk-SK"/>
        </w:rPr>
        <w:t xml:space="preserve">Celkové výdavky spoločnosti vzrástli </w:t>
      </w:r>
      <w:r w:rsidRPr="00AC7602">
        <w:rPr>
          <w:rFonts w:cs="Times New Roman"/>
          <w:sz w:val="24"/>
          <w:szCs w:val="24"/>
        </w:rPr>
        <w:t>o 5</w:t>
      </w:r>
      <w:r>
        <w:rPr>
          <w:rFonts w:cs="Times New Roman"/>
          <w:sz w:val="24"/>
          <w:szCs w:val="24"/>
        </w:rPr>
        <w:t>29</w:t>
      </w:r>
      <w:r w:rsidRPr="00AC7602">
        <w:rPr>
          <w:rFonts w:cs="Times New Roman"/>
          <w:sz w:val="24"/>
          <w:szCs w:val="24"/>
        </w:rPr>
        <w:t> </w:t>
      </w:r>
      <w:r>
        <w:rPr>
          <w:rFonts w:cs="Times New Roman"/>
          <w:sz w:val="24"/>
          <w:szCs w:val="24"/>
        </w:rPr>
        <w:t>101</w:t>
      </w:r>
      <w:r w:rsidRPr="00AC7602">
        <w:rPr>
          <w:rFonts w:cs="Times New Roman"/>
          <w:sz w:val="24"/>
          <w:szCs w:val="24"/>
        </w:rPr>
        <w:t> tis. eur</w:t>
      </w:r>
      <w:r w:rsidRPr="00AD4BD7">
        <w:rPr>
          <w:rFonts w:eastAsia="Times New Roman" w:cs="Times New Roman"/>
          <w:sz w:val="24"/>
          <w:szCs w:val="24"/>
          <w:lang w:eastAsia="sk-SK"/>
        </w:rPr>
        <w:t>, z toho bežné výdavky sa zvýšili o</w:t>
      </w:r>
      <w:r>
        <w:rPr>
          <w:rFonts w:eastAsia="Times New Roman" w:cs="Times New Roman"/>
          <w:sz w:val="24"/>
          <w:szCs w:val="24"/>
          <w:lang w:eastAsia="sk-SK"/>
        </w:rPr>
        <w:t> </w:t>
      </w:r>
      <w:r w:rsidRPr="00AD4BD7">
        <w:rPr>
          <w:rFonts w:eastAsia="Times New Roman" w:cs="Times New Roman"/>
          <w:sz w:val="24"/>
          <w:szCs w:val="24"/>
          <w:lang w:eastAsia="sk-SK"/>
        </w:rPr>
        <w:t>35</w:t>
      </w:r>
      <w:r>
        <w:rPr>
          <w:rFonts w:eastAsia="Times New Roman" w:cs="Times New Roman"/>
          <w:sz w:val="24"/>
          <w:szCs w:val="24"/>
          <w:lang w:eastAsia="sk-SK"/>
        </w:rPr>
        <w:t> </w:t>
      </w:r>
      <w:r w:rsidRPr="00AD4BD7">
        <w:rPr>
          <w:rFonts w:eastAsia="Times New Roman" w:cs="Times New Roman"/>
          <w:sz w:val="24"/>
          <w:szCs w:val="24"/>
          <w:lang w:eastAsia="sk-SK"/>
        </w:rPr>
        <w:t>785</w:t>
      </w:r>
      <w:r>
        <w:rPr>
          <w:rFonts w:eastAsia="Times New Roman" w:cs="Times New Roman"/>
          <w:sz w:val="24"/>
          <w:szCs w:val="24"/>
          <w:lang w:eastAsia="sk-SK"/>
        </w:rPr>
        <w:t> </w:t>
      </w:r>
      <w:r w:rsidRPr="00AD4BD7">
        <w:rPr>
          <w:rFonts w:eastAsia="Times New Roman" w:cs="Times New Roman"/>
          <w:sz w:val="24"/>
          <w:szCs w:val="24"/>
          <w:lang w:eastAsia="sk-SK"/>
        </w:rPr>
        <w:t>tis.</w:t>
      </w:r>
      <w:r>
        <w:rPr>
          <w:rFonts w:eastAsia="Times New Roman" w:cs="Times New Roman"/>
          <w:sz w:val="24"/>
          <w:szCs w:val="24"/>
          <w:lang w:eastAsia="sk-SK"/>
        </w:rPr>
        <w:t> </w:t>
      </w:r>
      <w:r w:rsidRPr="00AD4BD7">
        <w:rPr>
          <w:rFonts w:eastAsia="Times New Roman" w:cs="Times New Roman"/>
          <w:sz w:val="24"/>
          <w:szCs w:val="24"/>
          <w:lang w:eastAsia="sk-SK"/>
        </w:rPr>
        <w:t>eur. Výdavky na údržbu ciest, najmä opravy vozoviek a mostov, vzrástli o</w:t>
      </w:r>
      <w:r>
        <w:rPr>
          <w:rFonts w:eastAsia="Times New Roman" w:cs="Times New Roman"/>
          <w:sz w:val="24"/>
          <w:szCs w:val="24"/>
          <w:lang w:eastAsia="sk-SK"/>
        </w:rPr>
        <w:t> </w:t>
      </w:r>
      <w:r w:rsidRPr="00AD4BD7">
        <w:rPr>
          <w:rFonts w:eastAsia="Times New Roman" w:cs="Times New Roman"/>
          <w:sz w:val="24"/>
          <w:szCs w:val="24"/>
          <w:lang w:eastAsia="sk-SK"/>
        </w:rPr>
        <w:t>42</w:t>
      </w:r>
      <w:r>
        <w:rPr>
          <w:rFonts w:eastAsia="Times New Roman" w:cs="Times New Roman"/>
          <w:sz w:val="24"/>
          <w:szCs w:val="24"/>
          <w:lang w:eastAsia="sk-SK"/>
        </w:rPr>
        <w:t> </w:t>
      </w:r>
      <w:r w:rsidRPr="00AD4BD7">
        <w:rPr>
          <w:rFonts w:eastAsia="Times New Roman" w:cs="Times New Roman"/>
          <w:sz w:val="24"/>
          <w:szCs w:val="24"/>
          <w:lang w:eastAsia="sk-SK"/>
        </w:rPr>
        <w:t>456</w:t>
      </w:r>
      <w:r>
        <w:rPr>
          <w:rFonts w:eastAsia="Times New Roman" w:cs="Times New Roman"/>
          <w:sz w:val="24"/>
          <w:szCs w:val="24"/>
          <w:lang w:eastAsia="sk-SK"/>
        </w:rPr>
        <w:t> </w:t>
      </w:r>
      <w:r w:rsidRPr="00AD4BD7">
        <w:rPr>
          <w:rFonts w:eastAsia="Times New Roman" w:cs="Times New Roman"/>
          <w:sz w:val="24"/>
          <w:szCs w:val="24"/>
          <w:lang w:eastAsia="sk-SK"/>
        </w:rPr>
        <w:t>tis.</w:t>
      </w:r>
      <w:r>
        <w:rPr>
          <w:rFonts w:eastAsia="Times New Roman" w:cs="Times New Roman"/>
          <w:sz w:val="24"/>
          <w:szCs w:val="24"/>
          <w:lang w:eastAsia="sk-SK"/>
        </w:rPr>
        <w:t> </w:t>
      </w:r>
      <w:r w:rsidRPr="00AD4BD7">
        <w:rPr>
          <w:rFonts w:eastAsia="Times New Roman" w:cs="Times New Roman"/>
          <w:sz w:val="24"/>
          <w:szCs w:val="24"/>
          <w:lang w:eastAsia="sk-SK"/>
        </w:rPr>
        <w:t>eur</w:t>
      </w:r>
      <w:r>
        <w:rPr>
          <w:rFonts w:eastAsia="Times New Roman" w:cs="Times New Roman"/>
          <w:sz w:val="24"/>
          <w:szCs w:val="24"/>
          <w:lang w:eastAsia="sk-SK"/>
        </w:rPr>
        <w:t>, v</w:t>
      </w:r>
      <w:r w:rsidRPr="00AD4BD7">
        <w:rPr>
          <w:rFonts w:eastAsia="Times New Roman" w:cs="Times New Roman"/>
          <w:sz w:val="24"/>
          <w:szCs w:val="24"/>
          <w:lang w:eastAsia="sk-SK"/>
        </w:rPr>
        <w:t>ýdavky za špeciálne služby, vrátane prevádzky elektronického mýta, sa zvýšili o</w:t>
      </w:r>
      <w:r>
        <w:rPr>
          <w:rFonts w:eastAsia="Times New Roman" w:cs="Times New Roman"/>
          <w:sz w:val="24"/>
          <w:szCs w:val="24"/>
          <w:lang w:eastAsia="sk-SK"/>
        </w:rPr>
        <w:t> </w:t>
      </w:r>
      <w:r w:rsidRPr="00AD4BD7">
        <w:rPr>
          <w:rFonts w:eastAsia="Times New Roman" w:cs="Times New Roman"/>
          <w:sz w:val="24"/>
          <w:szCs w:val="24"/>
          <w:lang w:eastAsia="sk-SK"/>
        </w:rPr>
        <w:t>40</w:t>
      </w:r>
      <w:r>
        <w:rPr>
          <w:rFonts w:eastAsia="Times New Roman" w:cs="Times New Roman"/>
          <w:sz w:val="24"/>
          <w:szCs w:val="24"/>
          <w:lang w:eastAsia="sk-SK"/>
        </w:rPr>
        <w:t> </w:t>
      </w:r>
      <w:r w:rsidRPr="00AD4BD7">
        <w:rPr>
          <w:rFonts w:eastAsia="Times New Roman" w:cs="Times New Roman"/>
          <w:sz w:val="24"/>
          <w:szCs w:val="24"/>
          <w:lang w:eastAsia="sk-SK"/>
        </w:rPr>
        <w:t>501</w:t>
      </w:r>
      <w:r>
        <w:rPr>
          <w:rFonts w:eastAsia="Times New Roman" w:cs="Times New Roman"/>
          <w:sz w:val="24"/>
          <w:szCs w:val="24"/>
          <w:lang w:eastAsia="sk-SK"/>
        </w:rPr>
        <w:t> </w:t>
      </w:r>
      <w:r w:rsidRPr="00AD4BD7">
        <w:rPr>
          <w:rFonts w:eastAsia="Times New Roman" w:cs="Times New Roman"/>
          <w:sz w:val="24"/>
          <w:szCs w:val="24"/>
          <w:lang w:eastAsia="sk-SK"/>
        </w:rPr>
        <w:t>tis.</w:t>
      </w:r>
      <w:r>
        <w:rPr>
          <w:rFonts w:eastAsia="Times New Roman" w:cs="Times New Roman"/>
          <w:sz w:val="24"/>
          <w:szCs w:val="24"/>
          <w:lang w:eastAsia="sk-SK"/>
        </w:rPr>
        <w:t> </w:t>
      </w:r>
      <w:r w:rsidRPr="00AD4BD7">
        <w:rPr>
          <w:rFonts w:eastAsia="Times New Roman" w:cs="Times New Roman"/>
          <w:sz w:val="24"/>
          <w:szCs w:val="24"/>
          <w:lang w:eastAsia="sk-SK"/>
        </w:rPr>
        <w:t>eur. Tento nárast bol čiastočne kompenzovaný poklesom výdavkov na</w:t>
      </w:r>
      <w:r w:rsidR="00D259E2">
        <w:rPr>
          <w:rFonts w:eastAsia="Times New Roman" w:cs="Times New Roman"/>
          <w:sz w:val="24"/>
          <w:szCs w:val="24"/>
          <w:lang w:eastAsia="sk-SK"/>
        </w:rPr>
        <w:t> </w:t>
      </w:r>
      <w:r w:rsidRPr="00AD4BD7">
        <w:rPr>
          <w:rFonts w:eastAsia="Times New Roman" w:cs="Times New Roman"/>
          <w:sz w:val="24"/>
          <w:szCs w:val="24"/>
          <w:lang w:eastAsia="sk-SK"/>
        </w:rPr>
        <w:t>nájom budov a nižšími nákladmi na elektrickú energiu.</w:t>
      </w:r>
    </w:p>
    <w:p w14:paraId="2737AD32" w14:textId="77777777" w:rsidR="009A05C7" w:rsidRPr="00AD4BD7" w:rsidRDefault="009A05C7" w:rsidP="009A05C7">
      <w:pPr>
        <w:spacing w:line="240" w:lineRule="auto"/>
        <w:rPr>
          <w:rFonts w:eastAsia="Times New Roman" w:cs="Times New Roman"/>
          <w:sz w:val="24"/>
          <w:szCs w:val="24"/>
          <w:lang w:eastAsia="sk-SK"/>
        </w:rPr>
      </w:pPr>
      <w:r w:rsidRPr="00AD4BD7">
        <w:rPr>
          <w:rFonts w:eastAsia="Times New Roman" w:cs="Times New Roman"/>
          <w:sz w:val="24"/>
          <w:szCs w:val="24"/>
          <w:lang w:eastAsia="sk-SK"/>
        </w:rPr>
        <w:t xml:space="preserve">Kapitálové výdavky </w:t>
      </w:r>
      <w:r>
        <w:rPr>
          <w:rFonts w:eastAsia="Times New Roman" w:cs="Times New Roman"/>
          <w:sz w:val="24"/>
          <w:szCs w:val="24"/>
          <w:lang w:eastAsia="sk-SK"/>
        </w:rPr>
        <w:t xml:space="preserve">v objeme </w:t>
      </w:r>
      <w:r w:rsidRPr="00AD4BD7">
        <w:rPr>
          <w:rFonts w:eastAsia="Times New Roman" w:cs="Times New Roman"/>
          <w:sz w:val="24"/>
          <w:szCs w:val="24"/>
          <w:lang w:eastAsia="sk-SK"/>
        </w:rPr>
        <w:t>572</w:t>
      </w:r>
      <w:r>
        <w:rPr>
          <w:rFonts w:eastAsia="Times New Roman" w:cs="Times New Roman"/>
          <w:sz w:val="24"/>
          <w:szCs w:val="24"/>
          <w:lang w:eastAsia="sk-SK"/>
        </w:rPr>
        <w:t> </w:t>
      </w:r>
      <w:r w:rsidRPr="00AD4BD7">
        <w:rPr>
          <w:rFonts w:eastAsia="Times New Roman" w:cs="Times New Roman"/>
          <w:sz w:val="24"/>
          <w:szCs w:val="24"/>
          <w:lang w:eastAsia="sk-SK"/>
        </w:rPr>
        <w:t>380</w:t>
      </w:r>
      <w:r>
        <w:rPr>
          <w:rFonts w:eastAsia="Times New Roman" w:cs="Times New Roman"/>
          <w:sz w:val="24"/>
          <w:szCs w:val="24"/>
          <w:lang w:eastAsia="sk-SK"/>
        </w:rPr>
        <w:t> </w:t>
      </w:r>
      <w:r w:rsidRPr="00AD4BD7">
        <w:rPr>
          <w:rFonts w:eastAsia="Times New Roman" w:cs="Times New Roman"/>
          <w:sz w:val="24"/>
          <w:szCs w:val="24"/>
          <w:lang w:eastAsia="sk-SK"/>
        </w:rPr>
        <w:t>tis.</w:t>
      </w:r>
      <w:r>
        <w:rPr>
          <w:rFonts w:eastAsia="Times New Roman" w:cs="Times New Roman"/>
          <w:sz w:val="24"/>
          <w:szCs w:val="24"/>
          <w:lang w:eastAsia="sk-SK"/>
        </w:rPr>
        <w:t> </w:t>
      </w:r>
      <w:r w:rsidRPr="00AD4BD7">
        <w:rPr>
          <w:rFonts w:eastAsia="Times New Roman" w:cs="Times New Roman"/>
          <w:sz w:val="24"/>
          <w:szCs w:val="24"/>
          <w:lang w:eastAsia="sk-SK"/>
        </w:rPr>
        <w:t xml:space="preserve">eur, </w:t>
      </w:r>
      <w:r>
        <w:rPr>
          <w:rFonts w:eastAsia="Times New Roman" w:cs="Times New Roman"/>
          <w:sz w:val="24"/>
          <w:szCs w:val="24"/>
          <w:lang w:eastAsia="sk-SK"/>
        </w:rPr>
        <w:t>zaznamenali</w:t>
      </w:r>
      <w:r w:rsidRPr="00AD4BD7">
        <w:rPr>
          <w:rFonts w:eastAsia="Times New Roman" w:cs="Times New Roman"/>
          <w:sz w:val="24"/>
          <w:szCs w:val="24"/>
          <w:lang w:eastAsia="sk-SK"/>
        </w:rPr>
        <w:t xml:space="preserve"> nárast o</w:t>
      </w:r>
      <w:r>
        <w:rPr>
          <w:rFonts w:eastAsia="Times New Roman" w:cs="Times New Roman"/>
          <w:sz w:val="24"/>
          <w:szCs w:val="24"/>
          <w:lang w:eastAsia="sk-SK"/>
        </w:rPr>
        <w:t> </w:t>
      </w:r>
      <w:r w:rsidRPr="00AD4BD7">
        <w:rPr>
          <w:rFonts w:eastAsia="Times New Roman" w:cs="Times New Roman"/>
          <w:sz w:val="24"/>
          <w:szCs w:val="24"/>
          <w:lang w:eastAsia="sk-SK"/>
        </w:rPr>
        <w:t>493</w:t>
      </w:r>
      <w:r>
        <w:rPr>
          <w:rFonts w:eastAsia="Times New Roman" w:cs="Times New Roman"/>
          <w:sz w:val="24"/>
          <w:szCs w:val="24"/>
          <w:lang w:eastAsia="sk-SK"/>
        </w:rPr>
        <w:t> </w:t>
      </w:r>
      <w:r w:rsidRPr="00AD4BD7">
        <w:rPr>
          <w:rFonts w:eastAsia="Times New Roman" w:cs="Times New Roman"/>
          <w:sz w:val="24"/>
          <w:szCs w:val="24"/>
          <w:lang w:eastAsia="sk-SK"/>
        </w:rPr>
        <w:t>316</w:t>
      </w:r>
      <w:r>
        <w:rPr>
          <w:rFonts w:eastAsia="Times New Roman" w:cs="Times New Roman"/>
          <w:sz w:val="24"/>
          <w:szCs w:val="24"/>
          <w:lang w:eastAsia="sk-SK"/>
        </w:rPr>
        <w:t> </w:t>
      </w:r>
      <w:r w:rsidRPr="00AD4BD7">
        <w:rPr>
          <w:rFonts w:eastAsia="Times New Roman" w:cs="Times New Roman"/>
          <w:sz w:val="24"/>
          <w:szCs w:val="24"/>
          <w:lang w:eastAsia="sk-SK"/>
        </w:rPr>
        <w:t>tis.</w:t>
      </w:r>
      <w:r>
        <w:rPr>
          <w:rFonts w:eastAsia="Times New Roman" w:cs="Times New Roman"/>
          <w:sz w:val="24"/>
          <w:szCs w:val="24"/>
          <w:lang w:eastAsia="sk-SK"/>
        </w:rPr>
        <w:t> </w:t>
      </w:r>
      <w:r w:rsidRPr="00AD4BD7">
        <w:rPr>
          <w:rFonts w:eastAsia="Times New Roman" w:cs="Times New Roman"/>
          <w:sz w:val="24"/>
          <w:szCs w:val="24"/>
          <w:lang w:eastAsia="sk-SK"/>
        </w:rPr>
        <w:t>eur</w:t>
      </w:r>
      <w:r>
        <w:rPr>
          <w:rFonts w:eastAsia="Times New Roman" w:cs="Times New Roman"/>
          <w:sz w:val="24"/>
          <w:szCs w:val="24"/>
          <w:lang w:eastAsia="sk-SK"/>
        </w:rPr>
        <w:t>.</w:t>
      </w:r>
      <w:r w:rsidRPr="00AD4BD7">
        <w:rPr>
          <w:rFonts w:eastAsia="Times New Roman" w:cs="Times New Roman"/>
          <w:sz w:val="24"/>
          <w:szCs w:val="24"/>
          <w:lang w:eastAsia="sk-SK"/>
        </w:rPr>
        <w:t xml:space="preserve"> Medzi najvýznamnejšie investície patrili</w:t>
      </w:r>
      <w:r>
        <w:rPr>
          <w:rFonts w:eastAsia="Times New Roman" w:cs="Times New Roman"/>
          <w:sz w:val="24"/>
          <w:szCs w:val="24"/>
          <w:lang w:eastAsia="sk-SK"/>
        </w:rPr>
        <w:t xml:space="preserve"> s</w:t>
      </w:r>
      <w:r w:rsidRPr="00AD4BD7">
        <w:rPr>
          <w:rFonts w:eastAsia="Times New Roman" w:cs="Times New Roman"/>
          <w:sz w:val="24"/>
          <w:szCs w:val="24"/>
          <w:lang w:eastAsia="sk-SK"/>
        </w:rPr>
        <w:t>tavby diaľnic a rýchlostných ciest D1/2037 Lietavská Lúčka - Dubná Skala vrátane tunela Višňové (63 379 tis. eur), D1 Hubová –Ivachnová (121 202 tis. eur), R2/1979 Kriváň - Mýtna (78 358 tis. eur), R2/1665 Šaca – Košické Olšany, II. úsek (53</w:t>
      </w:r>
      <w:r>
        <w:rPr>
          <w:rFonts w:eastAsia="Times New Roman" w:cs="Times New Roman"/>
          <w:sz w:val="24"/>
          <w:szCs w:val="24"/>
          <w:lang w:eastAsia="sk-SK"/>
        </w:rPr>
        <w:t> </w:t>
      </w:r>
      <w:r w:rsidRPr="00AD4BD7">
        <w:rPr>
          <w:rFonts w:eastAsia="Times New Roman" w:cs="Times New Roman"/>
          <w:sz w:val="24"/>
          <w:szCs w:val="24"/>
          <w:lang w:eastAsia="sk-SK"/>
        </w:rPr>
        <w:t>017</w:t>
      </w:r>
      <w:r>
        <w:rPr>
          <w:rFonts w:eastAsia="Times New Roman" w:cs="Times New Roman"/>
          <w:sz w:val="24"/>
          <w:szCs w:val="24"/>
          <w:lang w:eastAsia="sk-SK"/>
        </w:rPr>
        <w:t> </w:t>
      </w:r>
      <w:r w:rsidRPr="00AD4BD7">
        <w:rPr>
          <w:rFonts w:eastAsia="Times New Roman" w:cs="Times New Roman"/>
          <w:sz w:val="24"/>
          <w:szCs w:val="24"/>
          <w:lang w:eastAsia="sk-SK"/>
        </w:rPr>
        <w:t>tis. eur) a R4 Prešov – severný obchvat II. etapa (69 509 tis. eur</w:t>
      </w:r>
      <w:r w:rsidRPr="0000360E">
        <w:rPr>
          <w:rFonts w:eastAsia="Times New Roman" w:cs="Times New Roman"/>
          <w:sz w:val="24"/>
          <w:szCs w:val="24"/>
          <w:lang w:eastAsia="sk-SK"/>
        </w:rPr>
        <w:t>)</w:t>
      </w:r>
      <w:r>
        <w:rPr>
          <w:rFonts w:eastAsia="Times New Roman" w:cs="Times New Roman"/>
          <w:sz w:val="24"/>
          <w:szCs w:val="24"/>
          <w:lang w:eastAsia="sk-SK"/>
        </w:rPr>
        <w:t>.</w:t>
      </w:r>
    </w:p>
    <w:p w14:paraId="1DFC13DC" w14:textId="77777777" w:rsidR="009A05C7" w:rsidRPr="00FD0CE4" w:rsidRDefault="009A05C7" w:rsidP="009A05C7">
      <w:pPr>
        <w:spacing w:line="240" w:lineRule="auto"/>
        <w:rPr>
          <w:rFonts w:eastAsia="Times New Roman" w:cs="Times New Roman"/>
          <w:sz w:val="24"/>
          <w:szCs w:val="24"/>
          <w:lang w:eastAsia="sk-SK"/>
        </w:rPr>
      </w:pPr>
      <w:r w:rsidRPr="00087266">
        <w:rPr>
          <w:rFonts w:eastAsia="Times New Roman" w:cs="Times New Roman"/>
          <w:sz w:val="24"/>
          <w:szCs w:val="24"/>
          <w:lang w:eastAsia="sk-SK"/>
        </w:rPr>
        <w:t xml:space="preserve">Na </w:t>
      </w:r>
      <w:r>
        <w:rPr>
          <w:rFonts w:eastAsia="Times New Roman" w:cs="Times New Roman"/>
          <w:sz w:val="24"/>
          <w:szCs w:val="24"/>
          <w:lang w:eastAsia="sk-SK"/>
        </w:rPr>
        <w:t xml:space="preserve">dosiahnutý </w:t>
      </w:r>
      <w:r w:rsidRPr="00087266">
        <w:rPr>
          <w:rFonts w:eastAsia="Times New Roman" w:cs="Times New Roman"/>
          <w:sz w:val="24"/>
          <w:szCs w:val="24"/>
          <w:lang w:eastAsia="sk-SK"/>
        </w:rPr>
        <w:t>ESA schodok vo výške 29 014 tis. eur negatívne vplýval medziročný pokles pohľadávok o 7 725 tis. eur a nárast záväzkov o 8</w:t>
      </w:r>
      <w:r>
        <w:rPr>
          <w:rFonts w:eastAsia="Times New Roman" w:cs="Times New Roman"/>
          <w:sz w:val="24"/>
          <w:szCs w:val="24"/>
          <w:lang w:eastAsia="sk-SK"/>
        </w:rPr>
        <w:t> </w:t>
      </w:r>
      <w:r w:rsidRPr="00087266">
        <w:rPr>
          <w:rFonts w:eastAsia="Times New Roman" w:cs="Times New Roman"/>
          <w:sz w:val="24"/>
          <w:szCs w:val="24"/>
          <w:lang w:eastAsia="sk-SK"/>
        </w:rPr>
        <w:t>571</w:t>
      </w:r>
      <w:r>
        <w:rPr>
          <w:rFonts w:eastAsia="Times New Roman" w:cs="Times New Roman"/>
          <w:sz w:val="24"/>
          <w:szCs w:val="24"/>
          <w:lang w:eastAsia="sk-SK"/>
        </w:rPr>
        <w:t> </w:t>
      </w:r>
      <w:r w:rsidRPr="00087266">
        <w:rPr>
          <w:rFonts w:eastAsia="Times New Roman" w:cs="Times New Roman"/>
          <w:sz w:val="24"/>
          <w:szCs w:val="24"/>
          <w:lang w:eastAsia="sk-SK"/>
        </w:rPr>
        <w:t>tis. eur.</w:t>
      </w:r>
      <w:r>
        <w:rPr>
          <w:rFonts w:eastAsia="Times New Roman" w:cs="Times New Roman"/>
          <w:sz w:val="24"/>
          <w:szCs w:val="24"/>
          <w:lang w:eastAsia="sk-SK"/>
        </w:rPr>
        <w:t xml:space="preserve"> </w:t>
      </w:r>
      <w:r w:rsidRPr="00087266">
        <w:rPr>
          <w:rFonts w:eastAsia="Times New Roman" w:cs="Times New Roman"/>
          <w:sz w:val="24"/>
          <w:szCs w:val="24"/>
          <w:lang w:eastAsia="sk-SK"/>
        </w:rPr>
        <w:t>Pohľadávky súvisiace s realizáciou elektronického mýta sa znížili o 3 963 tis. eur, poklesli poskytnuté preddavky o 1 705</w:t>
      </w:r>
      <w:r w:rsidRPr="00087266">
        <w:t xml:space="preserve">tis. eur </w:t>
      </w:r>
      <w:r w:rsidRPr="00087266">
        <w:rPr>
          <w:rFonts w:eastAsia="Times New Roman" w:cs="Times New Roman"/>
          <w:sz w:val="24"/>
          <w:szCs w:val="24"/>
          <w:lang w:eastAsia="sk-SK"/>
        </w:rPr>
        <w:t>z dôvodu zúčtovania a vyrovnanie zálohovej faktúry za výkup pozemkov z roku 2023.</w:t>
      </w:r>
      <w:r>
        <w:rPr>
          <w:rFonts w:eastAsia="Times New Roman" w:cs="Times New Roman"/>
          <w:sz w:val="24"/>
          <w:szCs w:val="24"/>
          <w:lang w:eastAsia="sk-SK"/>
        </w:rPr>
        <w:t xml:space="preserve"> </w:t>
      </w:r>
      <w:r w:rsidRPr="00FD0CE4">
        <w:rPr>
          <w:rFonts w:eastAsia="Times New Roman" w:cs="Times New Roman"/>
          <w:sz w:val="24"/>
          <w:szCs w:val="24"/>
          <w:lang w:eastAsia="sk-SK"/>
        </w:rPr>
        <w:t>Medziročný nárast záväzkov voči dodávateľom o 4 069 tis. eur bol spôsobený nárastom dlhodobého zádržného pri investičných faktúrach, nárastom zaúčtovania nevyfakturovaných dodávok (najmä investičných) a zvýšením záväzkov z titulu nespotrebovaného mýta zakúpeného v hotovosti. Negatívny vplyv mal aj ná</w:t>
      </w:r>
      <w:r>
        <w:rPr>
          <w:rFonts w:eastAsia="Times New Roman" w:cs="Times New Roman"/>
          <w:sz w:val="24"/>
          <w:szCs w:val="24"/>
          <w:lang w:eastAsia="sk-SK"/>
        </w:rPr>
        <w:t>rast ostatných záväzkov o 3 021 </w:t>
      </w:r>
      <w:r w:rsidRPr="00FD0CE4">
        <w:rPr>
          <w:rFonts w:eastAsia="Times New Roman" w:cs="Times New Roman"/>
          <w:sz w:val="24"/>
          <w:szCs w:val="24"/>
          <w:lang w:eastAsia="sk-SK"/>
        </w:rPr>
        <w:t>tis. eur (odložený daňový záväzok).</w:t>
      </w:r>
    </w:p>
    <w:bookmarkEnd w:id="50"/>
    <w:p w14:paraId="195FC2C5" w14:textId="77777777" w:rsidR="00616B20" w:rsidRDefault="00616B20">
      <w:pPr>
        <w:spacing w:after="160" w:line="259" w:lineRule="auto"/>
        <w:jc w:val="left"/>
        <w:rPr>
          <w:rFonts w:cs="Times New Roman"/>
          <w:sz w:val="24"/>
          <w:szCs w:val="24"/>
        </w:rPr>
      </w:pPr>
      <w:r>
        <w:rPr>
          <w:rFonts w:cs="Times New Roman"/>
          <w:sz w:val="24"/>
          <w:szCs w:val="24"/>
        </w:rPr>
        <w:br w:type="page"/>
      </w:r>
    </w:p>
    <w:p w14:paraId="6A929757" w14:textId="08A0BC2D" w:rsidR="009A05C7" w:rsidRDefault="009A05C7" w:rsidP="009A05C7">
      <w:pPr>
        <w:spacing w:line="240" w:lineRule="auto"/>
        <w:rPr>
          <w:rFonts w:eastAsia="Times New Roman" w:cs="Times New Roman"/>
          <w:sz w:val="24"/>
          <w:szCs w:val="24"/>
          <w:lang w:eastAsia="sk-SK"/>
        </w:rPr>
      </w:pPr>
      <w:r w:rsidRPr="001E16AC">
        <w:rPr>
          <w:rFonts w:cs="Times New Roman"/>
          <w:sz w:val="24"/>
          <w:szCs w:val="24"/>
        </w:rPr>
        <w:lastRenderedPageBreak/>
        <w:t xml:space="preserve">Výsledok hospodárenia </w:t>
      </w:r>
      <w:r w:rsidRPr="001E16AC">
        <w:rPr>
          <w:rFonts w:cs="Times New Roman"/>
          <w:b/>
          <w:sz w:val="24"/>
          <w:szCs w:val="24"/>
        </w:rPr>
        <w:t>Železníc Slovenskej republiky (ŽSR)</w:t>
      </w:r>
      <w:r w:rsidRPr="001E16AC">
        <w:rPr>
          <w:rFonts w:cs="Times New Roman"/>
          <w:sz w:val="24"/>
          <w:szCs w:val="24"/>
        </w:rPr>
        <w:t xml:space="preserve"> </w:t>
      </w:r>
      <w:r>
        <w:rPr>
          <w:rFonts w:cs="Times New Roman"/>
          <w:sz w:val="24"/>
          <w:szCs w:val="24"/>
        </w:rPr>
        <w:t>vykázal h</w:t>
      </w:r>
      <w:r w:rsidRPr="001E16AC">
        <w:rPr>
          <w:rFonts w:cs="Times New Roman"/>
          <w:sz w:val="24"/>
          <w:szCs w:val="24"/>
        </w:rPr>
        <w:t>otovostný prebytok</w:t>
      </w:r>
      <w:r>
        <w:rPr>
          <w:rFonts w:cs="Times New Roman"/>
          <w:sz w:val="24"/>
          <w:szCs w:val="24"/>
        </w:rPr>
        <w:t> </w:t>
      </w:r>
      <w:r w:rsidRPr="001E16AC">
        <w:rPr>
          <w:rFonts w:cs="Times New Roman"/>
          <w:sz w:val="24"/>
          <w:szCs w:val="24"/>
        </w:rPr>
        <w:t>4 150 tis. eur</w:t>
      </w:r>
      <w:r>
        <w:rPr>
          <w:rFonts w:cs="Times New Roman"/>
          <w:sz w:val="24"/>
          <w:szCs w:val="24"/>
        </w:rPr>
        <w:t>, čo</w:t>
      </w:r>
      <w:r w:rsidRPr="001E16AC">
        <w:rPr>
          <w:rFonts w:cs="Times New Roman"/>
          <w:sz w:val="24"/>
          <w:szCs w:val="24"/>
        </w:rPr>
        <w:t xml:space="preserve"> pre</w:t>
      </w:r>
      <w:r>
        <w:rPr>
          <w:rFonts w:cs="Times New Roman"/>
          <w:sz w:val="24"/>
          <w:szCs w:val="24"/>
        </w:rPr>
        <w:t>d</w:t>
      </w:r>
      <w:r w:rsidRPr="001E16AC">
        <w:rPr>
          <w:rFonts w:cs="Times New Roman"/>
          <w:sz w:val="24"/>
          <w:szCs w:val="24"/>
        </w:rPr>
        <w:t>stavuje zhoršenie o 22 472 tis. eur oproti rozpočtu.</w:t>
      </w:r>
    </w:p>
    <w:p w14:paraId="14C4DC32" w14:textId="77777777" w:rsidR="009A05C7" w:rsidRPr="00AD4BD7" w:rsidRDefault="009A05C7" w:rsidP="009A05C7">
      <w:pPr>
        <w:spacing w:line="240" w:lineRule="auto"/>
        <w:rPr>
          <w:rFonts w:cs="Times New Roman"/>
          <w:sz w:val="24"/>
          <w:szCs w:val="24"/>
        </w:rPr>
      </w:pPr>
      <w:r w:rsidRPr="00AD4BD7">
        <w:rPr>
          <w:rFonts w:cs="Times New Roman"/>
          <w:sz w:val="24"/>
          <w:szCs w:val="24"/>
        </w:rPr>
        <w:t xml:space="preserve">Nedaňové príjmy </w:t>
      </w:r>
      <w:r>
        <w:rPr>
          <w:rFonts w:cs="Times New Roman"/>
          <w:sz w:val="24"/>
          <w:szCs w:val="24"/>
        </w:rPr>
        <w:t>klesli</w:t>
      </w:r>
      <w:r w:rsidRPr="00AD4BD7">
        <w:rPr>
          <w:rFonts w:cs="Times New Roman"/>
          <w:sz w:val="24"/>
          <w:szCs w:val="24"/>
        </w:rPr>
        <w:t xml:space="preserve"> o</w:t>
      </w:r>
      <w:r>
        <w:rPr>
          <w:rFonts w:cs="Times New Roman"/>
          <w:sz w:val="24"/>
          <w:szCs w:val="24"/>
        </w:rPr>
        <w:t> </w:t>
      </w:r>
      <w:r w:rsidRPr="00AD4BD7">
        <w:rPr>
          <w:rFonts w:cs="Times New Roman"/>
          <w:sz w:val="24"/>
          <w:szCs w:val="24"/>
        </w:rPr>
        <w:t>80</w:t>
      </w:r>
      <w:r>
        <w:rPr>
          <w:rFonts w:cs="Times New Roman"/>
          <w:sz w:val="24"/>
          <w:szCs w:val="24"/>
        </w:rPr>
        <w:t> </w:t>
      </w:r>
      <w:r w:rsidRPr="00AD4BD7">
        <w:rPr>
          <w:rFonts w:cs="Times New Roman"/>
          <w:sz w:val="24"/>
          <w:szCs w:val="24"/>
        </w:rPr>
        <w:t>608</w:t>
      </w:r>
      <w:r>
        <w:rPr>
          <w:rFonts w:cs="Times New Roman"/>
          <w:sz w:val="24"/>
          <w:szCs w:val="24"/>
        </w:rPr>
        <w:t> </w:t>
      </w:r>
      <w:r w:rsidRPr="00AD4BD7">
        <w:rPr>
          <w:rFonts w:cs="Times New Roman"/>
          <w:sz w:val="24"/>
          <w:szCs w:val="24"/>
        </w:rPr>
        <w:t>tis.</w:t>
      </w:r>
      <w:r>
        <w:rPr>
          <w:rFonts w:cs="Times New Roman"/>
          <w:sz w:val="24"/>
          <w:szCs w:val="24"/>
        </w:rPr>
        <w:t> </w:t>
      </w:r>
      <w:r w:rsidRPr="00AD4BD7">
        <w:rPr>
          <w:rFonts w:cs="Times New Roman"/>
          <w:sz w:val="24"/>
          <w:szCs w:val="24"/>
        </w:rPr>
        <w:t>eur, najmä z dôvodu nižších príjmov za predaj výrobkov a</w:t>
      </w:r>
      <w:r>
        <w:rPr>
          <w:rFonts w:cs="Times New Roman"/>
          <w:sz w:val="24"/>
          <w:szCs w:val="24"/>
        </w:rPr>
        <w:t> </w:t>
      </w:r>
      <w:r w:rsidRPr="00AD4BD7">
        <w:rPr>
          <w:rFonts w:cs="Times New Roman"/>
          <w:sz w:val="24"/>
          <w:szCs w:val="24"/>
        </w:rPr>
        <w:t>služieb o</w:t>
      </w:r>
      <w:r>
        <w:rPr>
          <w:rFonts w:cs="Times New Roman"/>
          <w:sz w:val="24"/>
          <w:szCs w:val="24"/>
        </w:rPr>
        <w:t> </w:t>
      </w:r>
      <w:r w:rsidRPr="00AD4BD7">
        <w:rPr>
          <w:rFonts w:cs="Times New Roman"/>
          <w:sz w:val="24"/>
          <w:szCs w:val="24"/>
        </w:rPr>
        <w:t>81</w:t>
      </w:r>
      <w:r>
        <w:rPr>
          <w:rFonts w:cs="Times New Roman"/>
          <w:sz w:val="24"/>
          <w:szCs w:val="24"/>
        </w:rPr>
        <w:t> </w:t>
      </w:r>
      <w:r w:rsidRPr="00AD4BD7">
        <w:rPr>
          <w:rFonts w:cs="Times New Roman"/>
          <w:sz w:val="24"/>
          <w:szCs w:val="24"/>
        </w:rPr>
        <w:t>519</w:t>
      </w:r>
      <w:r>
        <w:rPr>
          <w:rFonts w:cs="Times New Roman"/>
          <w:sz w:val="24"/>
          <w:szCs w:val="24"/>
        </w:rPr>
        <w:t> </w:t>
      </w:r>
      <w:r w:rsidRPr="00AD4BD7">
        <w:rPr>
          <w:rFonts w:cs="Times New Roman"/>
          <w:sz w:val="24"/>
          <w:szCs w:val="24"/>
        </w:rPr>
        <w:t>tis.</w:t>
      </w:r>
      <w:r>
        <w:rPr>
          <w:rFonts w:cs="Times New Roman"/>
          <w:sz w:val="24"/>
          <w:szCs w:val="24"/>
        </w:rPr>
        <w:t> </w:t>
      </w:r>
      <w:r w:rsidRPr="00AD4BD7">
        <w:rPr>
          <w:rFonts w:cs="Times New Roman"/>
          <w:sz w:val="24"/>
          <w:szCs w:val="24"/>
        </w:rPr>
        <w:t>eur</w:t>
      </w:r>
      <w:r>
        <w:rPr>
          <w:rFonts w:cs="Times New Roman"/>
          <w:sz w:val="24"/>
          <w:szCs w:val="24"/>
        </w:rPr>
        <w:t xml:space="preserve"> kvôli nižšej</w:t>
      </w:r>
      <w:r w:rsidRPr="00AD4BD7">
        <w:rPr>
          <w:rFonts w:cs="Times New Roman"/>
          <w:sz w:val="24"/>
          <w:szCs w:val="24"/>
        </w:rPr>
        <w:t xml:space="preserve"> cen</w:t>
      </w:r>
      <w:r>
        <w:rPr>
          <w:rFonts w:cs="Times New Roman"/>
          <w:sz w:val="24"/>
          <w:szCs w:val="24"/>
        </w:rPr>
        <w:t>e</w:t>
      </w:r>
      <w:r w:rsidRPr="00AD4BD7">
        <w:rPr>
          <w:rFonts w:cs="Times New Roman"/>
          <w:sz w:val="24"/>
          <w:szCs w:val="24"/>
        </w:rPr>
        <w:t xml:space="preserve"> trakčnej elektriny. Kapitálové príjmy </w:t>
      </w:r>
      <w:r>
        <w:rPr>
          <w:rFonts w:cs="Times New Roman"/>
          <w:sz w:val="24"/>
          <w:szCs w:val="24"/>
        </w:rPr>
        <w:t xml:space="preserve">sa znížili </w:t>
      </w:r>
      <w:r w:rsidRPr="00AD4BD7">
        <w:rPr>
          <w:rFonts w:cs="Times New Roman"/>
          <w:sz w:val="24"/>
          <w:szCs w:val="24"/>
        </w:rPr>
        <w:t>o</w:t>
      </w:r>
      <w:r>
        <w:rPr>
          <w:rFonts w:cs="Times New Roman"/>
          <w:sz w:val="24"/>
          <w:szCs w:val="24"/>
        </w:rPr>
        <w:t> </w:t>
      </w:r>
      <w:r w:rsidRPr="00AD4BD7">
        <w:rPr>
          <w:rFonts w:cs="Times New Roman"/>
          <w:sz w:val="24"/>
          <w:szCs w:val="24"/>
        </w:rPr>
        <w:t>5</w:t>
      </w:r>
      <w:r>
        <w:rPr>
          <w:rFonts w:cs="Times New Roman"/>
          <w:sz w:val="24"/>
          <w:szCs w:val="24"/>
        </w:rPr>
        <w:t> </w:t>
      </w:r>
      <w:r w:rsidRPr="00AD4BD7">
        <w:rPr>
          <w:rFonts w:cs="Times New Roman"/>
          <w:sz w:val="24"/>
          <w:szCs w:val="24"/>
        </w:rPr>
        <w:t>076</w:t>
      </w:r>
      <w:r>
        <w:rPr>
          <w:rFonts w:cs="Times New Roman"/>
          <w:sz w:val="24"/>
          <w:szCs w:val="24"/>
        </w:rPr>
        <w:t> </w:t>
      </w:r>
      <w:r w:rsidRPr="00AD4BD7">
        <w:rPr>
          <w:rFonts w:cs="Times New Roman"/>
          <w:sz w:val="24"/>
          <w:szCs w:val="24"/>
        </w:rPr>
        <w:t>tis.</w:t>
      </w:r>
      <w:r>
        <w:rPr>
          <w:rFonts w:cs="Times New Roman"/>
          <w:sz w:val="24"/>
          <w:szCs w:val="24"/>
        </w:rPr>
        <w:t> </w:t>
      </w:r>
      <w:r w:rsidRPr="00AD4BD7">
        <w:rPr>
          <w:rFonts w:cs="Times New Roman"/>
          <w:sz w:val="24"/>
          <w:szCs w:val="24"/>
        </w:rPr>
        <w:t>eur z dôvodu nerealizovaného predaja polikliniky</w:t>
      </w:r>
      <w:r>
        <w:rPr>
          <w:rFonts w:cs="Times New Roman"/>
          <w:sz w:val="24"/>
          <w:szCs w:val="24"/>
        </w:rPr>
        <w:t xml:space="preserve"> ŽNsP Košice a Žilina.</w:t>
      </w:r>
    </w:p>
    <w:p w14:paraId="5F4019BE" w14:textId="584B5139" w:rsidR="009A05C7" w:rsidRPr="009131BB" w:rsidRDefault="009A05C7" w:rsidP="009A05C7">
      <w:pPr>
        <w:spacing w:line="240" w:lineRule="auto"/>
        <w:rPr>
          <w:rFonts w:eastAsia="Times New Roman" w:cs="Times New Roman"/>
          <w:sz w:val="24"/>
          <w:szCs w:val="24"/>
          <w:lang w:eastAsia="sk-SK"/>
        </w:rPr>
      </w:pPr>
      <w:r>
        <w:rPr>
          <w:rFonts w:eastAsia="Times New Roman" w:cs="Times New Roman"/>
          <w:sz w:val="24"/>
          <w:szCs w:val="24"/>
          <w:lang w:eastAsia="sk-SK"/>
        </w:rPr>
        <w:t>P</w:t>
      </w:r>
      <w:r w:rsidRPr="004F493A">
        <w:rPr>
          <w:rFonts w:eastAsia="Times New Roman" w:cs="Times New Roman"/>
          <w:sz w:val="24"/>
          <w:szCs w:val="24"/>
          <w:lang w:eastAsia="sk-SK"/>
        </w:rPr>
        <w:t xml:space="preserve">okles nedaňových príjmov bol kompenzovaný nárastom grantov a transferov, ktoré </w:t>
      </w:r>
      <w:r w:rsidRPr="0080484D">
        <w:rPr>
          <w:rFonts w:eastAsia="Times New Roman" w:cs="Times New Roman"/>
          <w:sz w:val="24"/>
          <w:szCs w:val="24"/>
          <w:lang w:eastAsia="sk-SK"/>
        </w:rPr>
        <w:t>n</w:t>
      </w:r>
      <w:r>
        <w:rPr>
          <w:rFonts w:eastAsia="Times New Roman" w:cs="Times New Roman"/>
          <w:sz w:val="24"/>
          <w:szCs w:val="24"/>
          <w:lang w:eastAsia="sk-SK"/>
        </w:rPr>
        <w:t>a</w:t>
      </w:r>
      <w:r w:rsidRPr="0080484D">
        <w:rPr>
          <w:rFonts w:eastAsia="Times New Roman" w:cs="Times New Roman"/>
          <w:sz w:val="24"/>
          <w:szCs w:val="24"/>
          <w:lang w:eastAsia="sk-SK"/>
        </w:rPr>
        <w:t>r</w:t>
      </w:r>
      <w:r>
        <w:rPr>
          <w:rFonts w:eastAsia="Times New Roman" w:cs="Times New Roman"/>
          <w:sz w:val="24"/>
          <w:szCs w:val="24"/>
          <w:lang w:eastAsia="sk-SK"/>
        </w:rPr>
        <w:t>á</w:t>
      </w:r>
      <w:r w:rsidRPr="0080484D">
        <w:rPr>
          <w:rFonts w:eastAsia="Times New Roman" w:cs="Times New Roman"/>
          <w:sz w:val="24"/>
          <w:szCs w:val="24"/>
          <w:lang w:eastAsia="sk-SK"/>
        </w:rPr>
        <w:t>st</w:t>
      </w:r>
      <w:r>
        <w:rPr>
          <w:rFonts w:eastAsia="Times New Roman" w:cs="Times New Roman"/>
          <w:sz w:val="24"/>
          <w:szCs w:val="24"/>
          <w:lang w:eastAsia="sk-SK"/>
        </w:rPr>
        <w:t>li</w:t>
      </w:r>
      <w:r w:rsidRPr="0080484D">
        <w:rPr>
          <w:rFonts w:eastAsia="Times New Roman" w:cs="Times New Roman"/>
          <w:sz w:val="24"/>
          <w:szCs w:val="24"/>
          <w:lang w:eastAsia="sk-SK"/>
        </w:rPr>
        <w:t xml:space="preserve"> o 66 000 tis. eur</w:t>
      </w:r>
      <w:r>
        <w:rPr>
          <w:rFonts w:eastAsia="Times New Roman" w:cs="Times New Roman"/>
          <w:sz w:val="24"/>
          <w:szCs w:val="24"/>
          <w:lang w:eastAsia="sk-SK"/>
        </w:rPr>
        <w:t xml:space="preserve">, z toho kapitálové transfery určené na projekty výstavby železničnej infraštruktúry </w:t>
      </w:r>
      <w:r w:rsidRPr="00074914">
        <w:rPr>
          <w:rFonts w:eastAsia="Times New Roman" w:cs="Times New Roman"/>
          <w:sz w:val="24"/>
          <w:szCs w:val="24"/>
          <w:lang w:eastAsia="sk-SK"/>
        </w:rPr>
        <w:t>sa zvýšili o 186</w:t>
      </w:r>
      <w:r>
        <w:rPr>
          <w:rFonts w:eastAsia="Times New Roman" w:cs="Times New Roman"/>
          <w:sz w:val="24"/>
          <w:szCs w:val="24"/>
          <w:lang w:eastAsia="sk-SK"/>
        </w:rPr>
        <w:t> </w:t>
      </w:r>
      <w:r w:rsidRPr="00074914">
        <w:rPr>
          <w:rFonts w:eastAsia="Times New Roman" w:cs="Times New Roman"/>
          <w:sz w:val="24"/>
          <w:szCs w:val="24"/>
          <w:lang w:eastAsia="sk-SK"/>
        </w:rPr>
        <w:t>44</w:t>
      </w:r>
      <w:r>
        <w:rPr>
          <w:rFonts w:eastAsia="Times New Roman" w:cs="Times New Roman"/>
          <w:sz w:val="24"/>
          <w:szCs w:val="24"/>
          <w:lang w:eastAsia="sk-SK"/>
        </w:rPr>
        <w:t>4 </w:t>
      </w:r>
      <w:r w:rsidRPr="00074914">
        <w:rPr>
          <w:rFonts w:eastAsia="Times New Roman" w:cs="Times New Roman"/>
          <w:sz w:val="24"/>
          <w:szCs w:val="24"/>
          <w:lang w:eastAsia="sk-SK"/>
        </w:rPr>
        <w:t>tis. eur</w:t>
      </w:r>
      <w:r>
        <w:rPr>
          <w:rFonts w:eastAsia="Times New Roman" w:cs="Times New Roman"/>
          <w:sz w:val="24"/>
          <w:szCs w:val="24"/>
          <w:lang w:eastAsia="sk-SK"/>
        </w:rPr>
        <w:t xml:space="preserve"> a</w:t>
      </w:r>
      <w:r w:rsidRPr="00074914">
        <w:rPr>
          <w:rFonts w:eastAsia="Times New Roman" w:cs="Times New Roman"/>
          <w:sz w:val="24"/>
          <w:szCs w:val="24"/>
          <w:lang w:eastAsia="sk-SK"/>
        </w:rPr>
        <w:t xml:space="preserve"> </w:t>
      </w:r>
      <w:r>
        <w:rPr>
          <w:rFonts w:eastAsia="Times New Roman" w:cs="Times New Roman"/>
          <w:sz w:val="24"/>
          <w:szCs w:val="24"/>
          <w:lang w:eastAsia="sk-SK"/>
        </w:rPr>
        <w:t>p</w:t>
      </w:r>
      <w:r w:rsidRPr="00074914">
        <w:rPr>
          <w:rFonts w:eastAsia="Times New Roman" w:cs="Times New Roman"/>
          <w:sz w:val="24"/>
          <w:szCs w:val="24"/>
          <w:lang w:eastAsia="sk-SK"/>
        </w:rPr>
        <w:t>rijaté zahraničné granty z nástroja EÚ na</w:t>
      </w:r>
      <w:r>
        <w:rPr>
          <w:rFonts w:eastAsia="Times New Roman" w:cs="Times New Roman"/>
          <w:sz w:val="24"/>
          <w:szCs w:val="24"/>
          <w:lang w:eastAsia="sk-SK"/>
        </w:rPr>
        <w:t> </w:t>
      </w:r>
      <w:r w:rsidRPr="00074914">
        <w:rPr>
          <w:rFonts w:eastAsia="Times New Roman" w:cs="Times New Roman"/>
          <w:sz w:val="24"/>
          <w:szCs w:val="24"/>
          <w:lang w:eastAsia="sk-SK"/>
        </w:rPr>
        <w:t xml:space="preserve">prepájanie Európy (CEF) </w:t>
      </w:r>
      <w:r>
        <w:rPr>
          <w:rFonts w:cs="Times New Roman"/>
          <w:sz w:val="24"/>
          <w:szCs w:val="24"/>
        </w:rPr>
        <w:t>poklesli</w:t>
      </w:r>
      <w:r w:rsidRPr="00074914">
        <w:rPr>
          <w:rFonts w:cs="Times New Roman"/>
          <w:sz w:val="24"/>
          <w:szCs w:val="24"/>
        </w:rPr>
        <w:t xml:space="preserve"> o</w:t>
      </w:r>
      <w:r>
        <w:rPr>
          <w:rFonts w:cs="Times New Roman"/>
          <w:sz w:val="24"/>
          <w:szCs w:val="24"/>
        </w:rPr>
        <w:t> </w:t>
      </w:r>
      <w:r w:rsidRPr="00074914">
        <w:rPr>
          <w:rFonts w:cs="Times New Roman"/>
          <w:sz w:val="24"/>
          <w:szCs w:val="24"/>
        </w:rPr>
        <w:t>121</w:t>
      </w:r>
      <w:r>
        <w:rPr>
          <w:rFonts w:cs="Times New Roman"/>
          <w:sz w:val="24"/>
          <w:szCs w:val="24"/>
        </w:rPr>
        <w:t> 252</w:t>
      </w:r>
      <w:r w:rsidRPr="00074914">
        <w:rPr>
          <w:rFonts w:cs="Times New Roman"/>
          <w:sz w:val="24"/>
          <w:szCs w:val="24"/>
        </w:rPr>
        <w:t> tis. eu</w:t>
      </w:r>
      <w:r>
        <w:rPr>
          <w:rFonts w:cs="Times New Roman"/>
          <w:sz w:val="24"/>
          <w:szCs w:val="24"/>
        </w:rPr>
        <w:t>r z dôvodu nezrealizovanej platby od</w:t>
      </w:r>
      <w:r w:rsidR="00D259E2">
        <w:rPr>
          <w:rFonts w:cs="Times New Roman"/>
          <w:sz w:val="24"/>
          <w:szCs w:val="24"/>
        </w:rPr>
        <w:t> </w:t>
      </w:r>
      <w:r>
        <w:rPr>
          <w:rFonts w:cs="Times New Roman"/>
          <w:sz w:val="24"/>
          <w:szCs w:val="24"/>
        </w:rPr>
        <w:t xml:space="preserve">medzinárodnej organizácie CINEA </w:t>
      </w:r>
      <w:r w:rsidRPr="009131BB">
        <w:rPr>
          <w:rFonts w:cs="Times New Roman"/>
          <w:sz w:val="24"/>
          <w:szCs w:val="24"/>
        </w:rPr>
        <w:t>(The European Climate, Environment and Infrastructure Executive Agency</w:t>
      </w:r>
      <w:r>
        <w:rPr>
          <w:rFonts w:cs="Times New Roman"/>
          <w:sz w:val="24"/>
          <w:szCs w:val="24"/>
        </w:rPr>
        <w:t>).</w:t>
      </w:r>
    </w:p>
    <w:p w14:paraId="392874FA" w14:textId="77777777" w:rsidR="009A05C7" w:rsidRDefault="009A05C7" w:rsidP="009A05C7">
      <w:pPr>
        <w:spacing w:line="240" w:lineRule="auto"/>
      </w:pPr>
      <w:r w:rsidRPr="004F493A">
        <w:rPr>
          <w:rFonts w:eastAsia="Times New Roman" w:cs="Times New Roman"/>
          <w:sz w:val="24"/>
          <w:szCs w:val="24"/>
          <w:lang w:eastAsia="sk-SK"/>
        </w:rPr>
        <w:t>V oblasti výdavkov došlo k poklesu bežných výdavkov o</w:t>
      </w:r>
      <w:r>
        <w:rPr>
          <w:rFonts w:eastAsia="Times New Roman" w:cs="Times New Roman"/>
          <w:sz w:val="24"/>
          <w:szCs w:val="24"/>
          <w:lang w:eastAsia="sk-SK"/>
        </w:rPr>
        <w:t> </w:t>
      </w:r>
      <w:r w:rsidRPr="004F493A">
        <w:rPr>
          <w:rFonts w:eastAsia="Times New Roman" w:cs="Times New Roman"/>
          <w:sz w:val="24"/>
          <w:szCs w:val="24"/>
          <w:lang w:eastAsia="sk-SK"/>
        </w:rPr>
        <w:t>84</w:t>
      </w:r>
      <w:r>
        <w:rPr>
          <w:rFonts w:eastAsia="Times New Roman" w:cs="Times New Roman"/>
          <w:sz w:val="24"/>
          <w:szCs w:val="24"/>
          <w:lang w:eastAsia="sk-SK"/>
        </w:rPr>
        <w:t> </w:t>
      </w:r>
      <w:r w:rsidRPr="004F493A">
        <w:rPr>
          <w:rFonts w:eastAsia="Times New Roman" w:cs="Times New Roman"/>
          <w:sz w:val="24"/>
          <w:szCs w:val="24"/>
          <w:lang w:eastAsia="sk-SK"/>
        </w:rPr>
        <w:t>108</w:t>
      </w:r>
      <w:r>
        <w:rPr>
          <w:rFonts w:eastAsia="Times New Roman" w:cs="Times New Roman"/>
          <w:sz w:val="24"/>
          <w:szCs w:val="24"/>
          <w:lang w:eastAsia="sk-SK"/>
        </w:rPr>
        <w:t> </w:t>
      </w:r>
      <w:r w:rsidRPr="004F493A">
        <w:rPr>
          <w:rFonts w:eastAsia="Times New Roman" w:cs="Times New Roman"/>
          <w:sz w:val="24"/>
          <w:szCs w:val="24"/>
          <w:lang w:eastAsia="sk-SK"/>
        </w:rPr>
        <w:t>tis.</w:t>
      </w:r>
      <w:r>
        <w:rPr>
          <w:rFonts w:eastAsia="Times New Roman" w:cs="Times New Roman"/>
          <w:sz w:val="24"/>
          <w:szCs w:val="24"/>
          <w:lang w:eastAsia="sk-SK"/>
        </w:rPr>
        <w:t> </w:t>
      </w:r>
      <w:r w:rsidRPr="004F493A">
        <w:rPr>
          <w:rFonts w:eastAsia="Times New Roman" w:cs="Times New Roman"/>
          <w:sz w:val="24"/>
          <w:szCs w:val="24"/>
          <w:lang w:eastAsia="sk-SK"/>
        </w:rPr>
        <w:t>eur, predovšetkým v</w:t>
      </w:r>
      <w:r>
        <w:rPr>
          <w:rFonts w:eastAsia="Times New Roman" w:cs="Times New Roman"/>
          <w:sz w:val="24"/>
          <w:szCs w:val="24"/>
          <w:lang w:eastAsia="sk-SK"/>
        </w:rPr>
        <w:t> </w:t>
      </w:r>
      <w:r w:rsidRPr="004F493A">
        <w:rPr>
          <w:rFonts w:eastAsia="Times New Roman" w:cs="Times New Roman"/>
          <w:sz w:val="24"/>
          <w:szCs w:val="24"/>
          <w:lang w:eastAsia="sk-SK"/>
        </w:rPr>
        <w:t>dôsledku nižších nákladov na nákup elektrickej energie</w:t>
      </w:r>
      <w:r>
        <w:rPr>
          <w:rFonts w:eastAsia="Times New Roman" w:cs="Times New Roman"/>
          <w:sz w:val="24"/>
          <w:szCs w:val="24"/>
          <w:lang w:eastAsia="sk-SK"/>
        </w:rPr>
        <w:t xml:space="preserve"> </w:t>
      </w:r>
      <w:r w:rsidRPr="00BC2B20">
        <w:rPr>
          <w:rFonts w:eastAsia="Times New Roman" w:cs="Times New Roman"/>
          <w:sz w:val="24"/>
          <w:szCs w:val="24"/>
          <w:lang w:eastAsia="sk-SK"/>
        </w:rPr>
        <w:t>a presunu časti rozpočtovaných výdavkov na osobné náklady</w:t>
      </w:r>
      <w:r w:rsidRPr="004F493A">
        <w:rPr>
          <w:rFonts w:eastAsia="Times New Roman" w:cs="Times New Roman"/>
          <w:sz w:val="24"/>
          <w:szCs w:val="24"/>
          <w:lang w:eastAsia="sk-SK"/>
        </w:rPr>
        <w:t xml:space="preserve">. </w:t>
      </w:r>
      <w:r>
        <w:rPr>
          <w:rFonts w:eastAsia="Times New Roman" w:cs="Times New Roman"/>
          <w:sz w:val="24"/>
          <w:szCs w:val="24"/>
          <w:lang w:eastAsia="sk-SK"/>
        </w:rPr>
        <w:t xml:space="preserve">Naopak, </w:t>
      </w:r>
      <w:r w:rsidRPr="004F493A">
        <w:rPr>
          <w:rFonts w:eastAsia="Times New Roman" w:cs="Times New Roman"/>
          <w:sz w:val="24"/>
          <w:szCs w:val="24"/>
          <w:lang w:eastAsia="sk-SK"/>
        </w:rPr>
        <w:t xml:space="preserve">výdavky na osobné náklady </w:t>
      </w:r>
      <w:r>
        <w:rPr>
          <w:rFonts w:eastAsia="Times New Roman" w:cs="Times New Roman"/>
          <w:sz w:val="24"/>
          <w:szCs w:val="24"/>
          <w:lang w:eastAsia="sk-SK"/>
        </w:rPr>
        <w:t xml:space="preserve">vzrástli </w:t>
      </w:r>
      <w:r w:rsidRPr="004F493A">
        <w:rPr>
          <w:rFonts w:eastAsia="Times New Roman" w:cs="Times New Roman"/>
          <w:sz w:val="24"/>
          <w:szCs w:val="24"/>
          <w:lang w:eastAsia="sk-SK"/>
        </w:rPr>
        <w:t>o</w:t>
      </w:r>
      <w:r>
        <w:rPr>
          <w:rFonts w:eastAsia="Times New Roman" w:cs="Times New Roman"/>
          <w:sz w:val="24"/>
          <w:szCs w:val="24"/>
          <w:lang w:eastAsia="sk-SK"/>
        </w:rPr>
        <w:t> </w:t>
      </w:r>
      <w:r w:rsidRPr="004F493A">
        <w:rPr>
          <w:rFonts w:eastAsia="Times New Roman" w:cs="Times New Roman"/>
          <w:sz w:val="24"/>
          <w:szCs w:val="24"/>
          <w:lang w:eastAsia="sk-SK"/>
        </w:rPr>
        <w:t>23</w:t>
      </w:r>
      <w:r>
        <w:rPr>
          <w:rFonts w:eastAsia="Times New Roman" w:cs="Times New Roman"/>
          <w:sz w:val="24"/>
          <w:szCs w:val="24"/>
          <w:lang w:eastAsia="sk-SK"/>
        </w:rPr>
        <w:t> </w:t>
      </w:r>
      <w:r w:rsidRPr="004F493A">
        <w:rPr>
          <w:rFonts w:eastAsia="Times New Roman" w:cs="Times New Roman"/>
          <w:sz w:val="24"/>
          <w:szCs w:val="24"/>
          <w:lang w:eastAsia="sk-SK"/>
        </w:rPr>
        <w:t>605</w:t>
      </w:r>
      <w:r>
        <w:rPr>
          <w:rFonts w:eastAsia="Times New Roman" w:cs="Times New Roman"/>
          <w:sz w:val="24"/>
          <w:szCs w:val="24"/>
          <w:lang w:eastAsia="sk-SK"/>
        </w:rPr>
        <w:t> </w:t>
      </w:r>
      <w:r w:rsidRPr="004F493A">
        <w:rPr>
          <w:rFonts w:eastAsia="Times New Roman" w:cs="Times New Roman"/>
          <w:sz w:val="24"/>
          <w:szCs w:val="24"/>
          <w:lang w:eastAsia="sk-SK"/>
        </w:rPr>
        <w:t>tis.</w:t>
      </w:r>
      <w:r>
        <w:rPr>
          <w:rFonts w:eastAsia="Times New Roman" w:cs="Times New Roman"/>
          <w:sz w:val="24"/>
          <w:szCs w:val="24"/>
          <w:lang w:eastAsia="sk-SK"/>
        </w:rPr>
        <w:t> </w:t>
      </w:r>
      <w:r w:rsidRPr="004F493A">
        <w:rPr>
          <w:rFonts w:eastAsia="Times New Roman" w:cs="Times New Roman"/>
          <w:sz w:val="24"/>
          <w:szCs w:val="24"/>
          <w:lang w:eastAsia="sk-SK"/>
        </w:rPr>
        <w:t>eur v</w:t>
      </w:r>
      <w:r>
        <w:rPr>
          <w:rFonts w:eastAsia="Times New Roman" w:cs="Times New Roman"/>
          <w:sz w:val="24"/>
          <w:szCs w:val="24"/>
          <w:lang w:eastAsia="sk-SK"/>
        </w:rPr>
        <w:t> </w:t>
      </w:r>
      <w:r w:rsidRPr="004F493A">
        <w:rPr>
          <w:rFonts w:eastAsia="Times New Roman" w:cs="Times New Roman"/>
          <w:sz w:val="24"/>
          <w:szCs w:val="24"/>
          <w:lang w:eastAsia="sk-SK"/>
        </w:rPr>
        <w:t xml:space="preserve">súvislosti s valorizáciou platov. </w:t>
      </w:r>
      <w:r>
        <w:rPr>
          <w:rFonts w:eastAsia="Times New Roman" w:cs="Times New Roman"/>
          <w:sz w:val="24"/>
          <w:szCs w:val="24"/>
          <w:lang w:eastAsia="sk-SK"/>
        </w:rPr>
        <w:t>Investície do</w:t>
      </w:r>
      <w:r w:rsidRPr="004F493A">
        <w:rPr>
          <w:rFonts w:eastAsia="Times New Roman" w:cs="Times New Roman"/>
          <w:sz w:val="24"/>
          <w:szCs w:val="24"/>
          <w:lang w:eastAsia="sk-SK"/>
        </w:rPr>
        <w:t xml:space="preserve"> kapitálových aktív dosiahli výšku </w:t>
      </w:r>
      <w:r>
        <w:rPr>
          <w:rFonts w:eastAsia="Times New Roman" w:cs="Times New Roman"/>
          <w:sz w:val="24"/>
          <w:szCs w:val="24"/>
          <w:lang w:eastAsia="sk-SK"/>
        </w:rPr>
        <w:t> 3</w:t>
      </w:r>
      <w:r w:rsidRPr="004F493A">
        <w:rPr>
          <w:rFonts w:eastAsia="Times New Roman" w:cs="Times New Roman"/>
          <w:sz w:val="24"/>
          <w:szCs w:val="24"/>
          <w:lang w:eastAsia="sk-SK"/>
        </w:rPr>
        <w:t>66</w:t>
      </w:r>
      <w:r>
        <w:rPr>
          <w:rFonts w:eastAsia="Times New Roman" w:cs="Times New Roman"/>
          <w:sz w:val="24"/>
          <w:szCs w:val="24"/>
          <w:lang w:eastAsia="sk-SK"/>
        </w:rPr>
        <w:t> </w:t>
      </w:r>
      <w:r w:rsidRPr="004F493A">
        <w:rPr>
          <w:rFonts w:eastAsia="Times New Roman" w:cs="Times New Roman"/>
          <w:sz w:val="24"/>
          <w:szCs w:val="24"/>
          <w:lang w:eastAsia="sk-SK"/>
        </w:rPr>
        <w:t>726</w:t>
      </w:r>
      <w:r>
        <w:rPr>
          <w:rFonts w:eastAsia="Times New Roman" w:cs="Times New Roman"/>
          <w:sz w:val="24"/>
          <w:szCs w:val="24"/>
          <w:lang w:eastAsia="sk-SK"/>
        </w:rPr>
        <w:t> </w:t>
      </w:r>
      <w:r w:rsidRPr="004F493A">
        <w:rPr>
          <w:rFonts w:eastAsia="Times New Roman" w:cs="Times New Roman"/>
          <w:sz w:val="24"/>
          <w:szCs w:val="24"/>
          <w:lang w:eastAsia="sk-SK"/>
        </w:rPr>
        <w:t>tis.</w:t>
      </w:r>
      <w:r>
        <w:rPr>
          <w:rFonts w:eastAsia="Times New Roman" w:cs="Times New Roman"/>
          <w:sz w:val="24"/>
          <w:szCs w:val="24"/>
          <w:lang w:eastAsia="sk-SK"/>
        </w:rPr>
        <w:t> e</w:t>
      </w:r>
      <w:r w:rsidRPr="004F493A">
        <w:rPr>
          <w:rFonts w:eastAsia="Times New Roman" w:cs="Times New Roman"/>
          <w:sz w:val="24"/>
          <w:szCs w:val="24"/>
          <w:lang w:eastAsia="sk-SK"/>
        </w:rPr>
        <w:t>ur, čo predstavovalo nárast o</w:t>
      </w:r>
      <w:r>
        <w:rPr>
          <w:rFonts w:eastAsia="Times New Roman" w:cs="Times New Roman"/>
          <w:sz w:val="24"/>
          <w:szCs w:val="24"/>
          <w:lang w:eastAsia="sk-SK"/>
        </w:rPr>
        <w:t> </w:t>
      </w:r>
      <w:r w:rsidRPr="004F493A">
        <w:rPr>
          <w:rFonts w:eastAsia="Times New Roman" w:cs="Times New Roman"/>
          <w:sz w:val="24"/>
          <w:szCs w:val="24"/>
          <w:lang w:eastAsia="sk-SK"/>
        </w:rPr>
        <w:t>91</w:t>
      </w:r>
      <w:r>
        <w:rPr>
          <w:rFonts w:eastAsia="Times New Roman" w:cs="Times New Roman"/>
          <w:sz w:val="24"/>
          <w:szCs w:val="24"/>
          <w:lang w:eastAsia="sk-SK"/>
        </w:rPr>
        <w:t> </w:t>
      </w:r>
      <w:r w:rsidRPr="004F493A">
        <w:rPr>
          <w:rFonts w:eastAsia="Times New Roman" w:cs="Times New Roman"/>
          <w:sz w:val="24"/>
          <w:szCs w:val="24"/>
          <w:lang w:eastAsia="sk-SK"/>
        </w:rPr>
        <w:t>972</w:t>
      </w:r>
      <w:r>
        <w:rPr>
          <w:rFonts w:eastAsia="Times New Roman" w:cs="Times New Roman"/>
          <w:sz w:val="24"/>
          <w:szCs w:val="24"/>
          <w:lang w:eastAsia="sk-SK"/>
        </w:rPr>
        <w:t> </w:t>
      </w:r>
      <w:r w:rsidRPr="004F493A">
        <w:rPr>
          <w:rFonts w:eastAsia="Times New Roman" w:cs="Times New Roman"/>
          <w:sz w:val="24"/>
          <w:szCs w:val="24"/>
          <w:lang w:eastAsia="sk-SK"/>
        </w:rPr>
        <w:t>tis.</w:t>
      </w:r>
      <w:r>
        <w:rPr>
          <w:rFonts w:eastAsia="Times New Roman" w:cs="Times New Roman"/>
          <w:sz w:val="24"/>
          <w:szCs w:val="24"/>
          <w:lang w:eastAsia="sk-SK"/>
        </w:rPr>
        <w:t> </w:t>
      </w:r>
      <w:r w:rsidRPr="004F493A">
        <w:rPr>
          <w:rFonts w:eastAsia="Times New Roman" w:cs="Times New Roman"/>
          <w:sz w:val="24"/>
          <w:szCs w:val="24"/>
          <w:lang w:eastAsia="sk-SK"/>
        </w:rPr>
        <w:t>eur oproti rozpočtu</w:t>
      </w:r>
      <w:r w:rsidRPr="003B5949">
        <w:t>.</w:t>
      </w:r>
    </w:p>
    <w:p w14:paraId="601C6453" w14:textId="41DCFADE" w:rsidR="009A05C7" w:rsidRPr="004F493A" w:rsidRDefault="009A05C7" w:rsidP="009A05C7">
      <w:pPr>
        <w:spacing w:line="240" w:lineRule="auto"/>
        <w:rPr>
          <w:rFonts w:eastAsia="Times New Roman" w:cs="Times New Roman"/>
          <w:sz w:val="24"/>
          <w:szCs w:val="24"/>
          <w:lang w:eastAsia="sk-SK"/>
        </w:rPr>
      </w:pPr>
      <w:r w:rsidRPr="004F493A">
        <w:rPr>
          <w:rFonts w:eastAsia="Times New Roman" w:cs="Times New Roman"/>
          <w:sz w:val="24"/>
          <w:szCs w:val="24"/>
          <w:lang w:eastAsia="sk-SK"/>
        </w:rPr>
        <w:t xml:space="preserve">V roku 2024 boli realizované významné investičné akcie v celkovej </w:t>
      </w:r>
      <w:r w:rsidRPr="00C41813">
        <w:rPr>
          <w:rFonts w:eastAsia="Times New Roman" w:cs="Times New Roman"/>
          <w:sz w:val="24"/>
          <w:szCs w:val="24"/>
          <w:lang w:eastAsia="sk-SK"/>
        </w:rPr>
        <w:t>výške 406</w:t>
      </w:r>
      <w:r>
        <w:rPr>
          <w:rFonts w:eastAsia="Times New Roman" w:cs="Times New Roman"/>
          <w:sz w:val="24"/>
          <w:szCs w:val="24"/>
          <w:lang w:eastAsia="sk-SK"/>
        </w:rPr>
        <w:t> </w:t>
      </w:r>
      <w:r w:rsidRPr="00C41813">
        <w:rPr>
          <w:rFonts w:eastAsia="Times New Roman" w:cs="Times New Roman"/>
          <w:sz w:val="24"/>
          <w:szCs w:val="24"/>
          <w:lang w:eastAsia="sk-SK"/>
        </w:rPr>
        <w:t>020</w:t>
      </w:r>
      <w:r>
        <w:rPr>
          <w:rFonts w:eastAsia="Times New Roman" w:cs="Times New Roman"/>
          <w:sz w:val="24"/>
          <w:szCs w:val="24"/>
          <w:lang w:eastAsia="sk-SK"/>
        </w:rPr>
        <w:t> </w:t>
      </w:r>
      <w:r w:rsidRPr="00C41813">
        <w:rPr>
          <w:rFonts w:eastAsia="Times New Roman" w:cs="Times New Roman"/>
          <w:sz w:val="24"/>
          <w:szCs w:val="24"/>
          <w:lang w:eastAsia="sk-SK"/>
        </w:rPr>
        <w:t>tis.</w:t>
      </w:r>
      <w:r>
        <w:rPr>
          <w:rFonts w:eastAsia="Times New Roman" w:cs="Times New Roman"/>
          <w:sz w:val="24"/>
          <w:szCs w:val="24"/>
          <w:lang w:eastAsia="sk-SK"/>
        </w:rPr>
        <w:t> </w:t>
      </w:r>
      <w:r w:rsidRPr="00C41813">
        <w:rPr>
          <w:rFonts w:eastAsia="Times New Roman" w:cs="Times New Roman"/>
          <w:sz w:val="24"/>
          <w:szCs w:val="24"/>
          <w:lang w:eastAsia="sk-SK"/>
        </w:rPr>
        <w:t>eur</w:t>
      </w:r>
      <w:r>
        <w:rPr>
          <w:rFonts w:eastAsia="Times New Roman" w:cs="Times New Roman"/>
          <w:sz w:val="24"/>
          <w:szCs w:val="24"/>
          <w:lang w:eastAsia="sk-SK"/>
        </w:rPr>
        <w:t>, m</w:t>
      </w:r>
      <w:r w:rsidRPr="004F493A">
        <w:rPr>
          <w:rFonts w:eastAsia="Times New Roman" w:cs="Times New Roman"/>
          <w:sz w:val="24"/>
          <w:szCs w:val="24"/>
          <w:lang w:eastAsia="sk-SK"/>
        </w:rPr>
        <w:t xml:space="preserve">edzi </w:t>
      </w:r>
      <w:r>
        <w:rPr>
          <w:rFonts w:eastAsia="Times New Roman" w:cs="Times New Roman"/>
          <w:sz w:val="24"/>
          <w:szCs w:val="24"/>
          <w:lang w:eastAsia="sk-SK"/>
        </w:rPr>
        <w:t xml:space="preserve">ktoré patrili projekty ako </w:t>
      </w:r>
      <w:r w:rsidRPr="004F493A">
        <w:rPr>
          <w:rFonts w:eastAsia="Times New Roman" w:cs="Times New Roman"/>
          <w:sz w:val="24"/>
          <w:szCs w:val="24"/>
          <w:lang w:eastAsia="sk-SK"/>
        </w:rPr>
        <w:t xml:space="preserve">"Dostavba zriaďovacej stanice </w:t>
      </w:r>
      <w:r>
        <w:rPr>
          <w:rFonts w:eastAsia="Times New Roman" w:cs="Times New Roman"/>
          <w:sz w:val="24"/>
          <w:szCs w:val="24"/>
          <w:lang w:eastAsia="sk-SK"/>
        </w:rPr>
        <w:t>Ž</w:t>
      </w:r>
      <w:r w:rsidRPr="004F493A">
        <w:rPr>
          <w:rFonts w:eastAsia="Times New Roman" w:cs="Times New Roman"/>
          <w:sz w:val="24"/>
          <w:szCs w:val="24"/>
          <w:lang w:eastAsia="sk-SK"/>
        </w:rPr>
        <w:t>ilina – Teplička</w:t>
      </w:r>
      <w:r w:rsidRPr="004F493A">
        <w:rPr>
          <w:sz w:val="24"/>
          <w:szCs w:val="24"/>
        </w:rPr>
        <w:t xml:space="preserve"> </w:t>
      </w:r>
      <w:r w:rsidRPr="00050217">
        <w:rPr>
          <w:sz w:val="24"/>
          <w:szCs w:val="24"/>
        </w:rPr>
        <w:t>a</w:t>
      </w:r>
      <w:r w:rsidR="00D259E2">
        <w:rPr>
          <w:sz w:val="24"/>
          <w:szCs w:val="24"/>
        </w:rPr>
        <w:t> </w:t>
      </w:r>
      <w:r w:rsidRPr="00050217">
        <w:rPr>
          <w:sz w:val="24"/>
          <w:szCs w:val="24"/>
        </w:rPr>
        <w:t>nadväzujúcej železničnej infraštruktúry v uzle Žilina</w:t>
      </w:r>
      <w:r w:rsidRPr="004F493A">
        <w:rPr>
          <w:rFonts w:eastAsia="Times New Roman" w:cs="Times New Roman"/>
          <w:sz w:val="24"/>
          <w:szCs w:val="24"/>
          <w:lang w:eastAsia="sk-SK"/>
        </w:rPr>
        <w:t xml:space="preserve"> (102</w:t>
      </w:r>
      <w:r>
        <w:rPr>
          <w:rFonts w:eastAsia="Times New Roman" w:cs="Times New Roman"/>
          <w:sz w:val="24"/>
          <w:szCs w:val="24"/>
          <w:lang w:eastAsia="sk-SK"/>
        </w:rPr>
        <w:t> </w:t>
      </w:r>
      <w:r w:rsidRPr="004F493A">
        <w:rPr>
          <w:rFonts w:eastAsia="Times New Roman" w:cs="Times New Roman"/>
          <w:sz w:val="24"/>
          <w:szCs w:val="24"/>
          <w:lang w:eastAsia="sk-SK"/>
        </w:rPr>
        <w:t>263</w:t>
      </w:r>
      <w:r>
        <w:rPr>
          <w:rFonts w:eastAsia="Times New Roman" w:cs="Times New Roman"/>
          <w:sz w:val="24"/>
          <w:szCs w:val="24"/>
          <w:lang w:eastAsia="sk-SK"/>
        </w:rPr>
        <w:t> </w:t>
      </w:r>
      <w:r w:rsidRPr="004F493A">
        <w:rPr>
          <w:rFonts w:eastAsia="Times New Roman" w:cs="Times New Roman"/>
          <w:sz w:val="24"/>
          <w:szCs w:val="24"/>
          <w:lang w:eastAsia="sk-SK"/>
        </w:rPr>
        <w:t>tis.</w:t>
      </w:r>
      <w:r>
        <w:rPr>
          <w:rFonts w:eastAsia="Times New Roman" w:cs="Times New Roman"/>
          <w:sz w:val="24"/>
          <w:szCs w:val="24"/>
          <w:lang w:eastAsia="sk-SK"/>
        </w:rPr>
        <w:t> </w:t>
      </w:r>
      <w:r w:rsidRPr="004F493A">
        <w:rPr>
          <w:rFonts w:eastAsia="Times New Roman" w:cs="Times New Roman"/>
          <w:sz w:val="24"/>
          <w:szCs w:val="24"/>
          <w:lang w:eastAsia="sk-SK"/>
        </w:rPr>
        <w:t xml:space="preserve">eur), </w:t>
      </w:r>
      <w:r w:rsidRPr="00F35333">
        <w:rPr>
          <w:sz w:val="24"/>
          <w:szCs w:val="24"/>
        </w:rPr>
        <w:t>Elektrifikácia trate Bánovce nad</w:t>
      </w:r>
      <w:r>
        <w:rPr>
          <w:sz w:val="24"/>
          <w:szCs w:val="24"/>
        </w:rPr>
        <w:t> </w:t>
      </w:r>
      <w:r w:rsidRPr="00F35333">
        <w:rPr>
          <w:sz w:val="24"/>
          <w:szCs w:val="24"/>
        </w:rPr>
        <w:t>Ondavou – Humenné</w:t>
      </w:r>
      <w:r>
        <w:rPr>
          <w:sz w:val="24"/>
          <w:szCs w:val="24"/>
        </w:rPr>
        <w:t xml:space="preserve"> </w:t>
      </w:r>
      <w:r w:rsidRPr="004F493A">
        <w:rPr>
          <w:rFonts w:eastAsia="Times New Roman" w:cs="Times New Roman"/>
          <w:sz w:val="24"/>
          <w:szCs w:val="24"/>
          <w:lang w:eastAsia="sk-SK"/>
        </w:rPr>
        <w:t>(87</w:t>
      </w:r>
      <w:r>
        <w:rPr>
          <w:rFonts w:eastAsia="Times New Roman" w:cs="Times New Roman"/>
          <w:sz w:val="24"/>
          <w:szCs w:val="24"/>
          <w:lang w:eastAsia="sk-SK"/>
        </w:rPr>
        <w:t> </w:t>
      </w:r>
      <w:r w:rsidRPr="004F493A">
        <w:rPr>
          <w:rFonts w:eastAsia="Times New Roman" w:cs="Times New Roman"/>
          <w:sz w:val="24"/>
          <w:szCs w:val="24"/>
          <w:lang w:eastAsia="sk-SK"/>
        </w:rPr>
        <w:t>410</w:t>
      </w:r>
      <w:r>
        <w:rPr>
          <w:rFonts w:eastAsia="Times New Roman" w:cs="Times New Roman"/>
          <w:sz w:val="24"/>
          <w:szCs w:val="24"/>
          <w:lang w:eastAsia="sk-SK"/>
        </w:rPr>
        <w:t> </w:t>
      </w:r>
      <w:r w:rsidRPr="004F493A">
        <w:rPr>
          <w:rFonts w:eastAsia="Times New Roman" w:cs="Times New Roman"/>
          <w:sz w:val="24"/>
          <w:szCs w:val="24"/>
          <w:lang w:eastAsia="sk-SK"/>
        </w:rPr>
        <w:t>tis.</w:t>
      </w:r>
      <w:r>
        <w:rPr>
          <w:rFonts w:eastAsia="Times New Roman" w:cs="Times New Roman"/>
          <w:sz w:val="24"/>
          <w:szCs w:val="24"/>
          <w:lang w:eastAsia="sk-SK"/>
        </w:rPr>
        <w:t> </w:t>
      </w:r>
      <w:r w:rsidRPr="004F493A">
        <w:rPr>
          <w:rFonts w:eastAsia="Times New Roman" w:cs="Times New Roman"/>
          <w:sz w:val="24"/>
          <w:szCs w:val="24"/>
          <w:lang w:eastAsia="sk-SK"/>
        </w:rPr>
        <w:t>eur) a Modernizácia koridoru, štátna hranica SR/ČR – Čadca – Krásno nad Kysucou (42</w:t>
      </w:r>
      <w:r>
        <w:rPr>
          <w:rFonts w:eastAsia="Times New Roman" w:cs="Times New Roman"/>
          <w:sz w:val="24"/>
          <w:szCs w:val="24"/>
          <w:lang w:eastAsia="sk-SK"/>
        </w:rPr>
        <w:t> </w:t>
      </w:r>
      <w:r w:rsidRPr="004F493A">
        <w:rPr>
          <w:rFonts w:eastAsia="Times New Roman" w:cs="Times New Roman"/>
          <w:sz w:val="24"/>
          <w:szCs w:val="24"/>
          <w:lang w:eastAsia="sk-SK"/>
        </w:rPr>
        <w:t>492</w:t>
      </w:r>
      <w:r>
        <w:rPr>
          <w:rFonts w:eastAsia="Times New Roman" w:cs="Times New Roman"/>
          <w:sz w:val="24"/>
          <w:szCs w:val="24"/>
          <w:lang w:eastAsia="sk-SK"/>
        </w:rPr>
        <w:t> </w:t>
      </w:r>
      <w:r w:rsidRPr="004F493A">
        <w:rPr>
          <w:rFonts w:eastAsia="Times New Roman" w:cs="Times New Roman"/>
          <w:sz w:val="24"/>
          <w:szCs w:val="24"/>
          <w:lang w:eastAsia="sk-SK"/>
        </w:rPr>
        <w:t>tis.</w:t>
      </w:r>
      <w:r>
        <w:rPr>
          <w:rFonts w:eastAsia="Times New Roman" w:cs="Times New Roman"/>
          <w:sz w:val="24"/>
          <w:szCs w:val="24"/>
          <w:lang w:eastAsia="sk-SK"/>
        </w:rPr>
        <w:t> </w:t>
      </w:r>
      <w:r w:rsidRPr="004F493A">
        <w:rPr>
          <w:rFonts w:eastAsia="Times New Roman" w:cs="Times New Roman"/>
          <w:sz w:val="24"/>
          <w:szCs w:val="24"/>
          <w:lang w:eastAsia="sk-SK"/>
        </w:rPr>
        <w:t>eur).</w:t>
      </w:r>
    </w:p>
    <w:p w14:paraId="3C41A543" w14:textId="77777777" w:rsidR="009A05C7" w:rsidRPr="00745605" w:rsidRDefault="009A05C7" w:rsidP="009A05C7">
      <w:pPr>
        <w:spacing w:before="120" w:after="0" w:line="240" w:lineRule="auto"/>
        <w:rPr>
          <w:rFonts w:cs="Times New Roman"/>
          <w:sz w:val="24"/>
          <w:szCs w:val="24"/>
          <w:highlight w:val="green"/>
        </w:rPr>
      </w:pPr>
      <w:r w:rsidRPr="00BE51F0">
        <w:rPr>
          <w:rFonts w:cs="Times New Roman"/>
          <w:sz w:val="24"/>
          <w:szCs w:val="24"/>
        </w:rPr>
        <w:t xml:space="preserve">Na dosiahnutý ESA schodok vo výške 14 031 tis. eur </w:t>
      </w:r>
      <w:r>
        <w:rPr>
          <w:rFonts w:cs="Times New Roman"/>
          <w:sz w:val="24"/>
          <w:szCs w:val="24"/>
        </w:rPr>
        <w:t>n</w:t>
      </w:r>
      <w:r w:rsidRPr="00BE51F0">
        <w:rPr>
          <w:rFonts w:cs="Times New Roman"/>
          <w:sz w:val="24"/>
          <w:szCs w:val="24"/>
        </w:rPr>
        <w:t>egatívn</w:t>
      </w:r>
      <w:r>
        <w:rPr>
          <w:rFonts w:cs="Times New Roman"/>
          <w:sz w:val="24"/>
          <w:szCs w:val="24"/>
        </w:rPr>
        <w:t>e</w:t>
      </w:r>
      <w:r w:rsidRPr="00BE51F0">
        <w:rPr>
          <w:rFonts w:cs="Times New Roman"/>
          <w:sz w:val="24"/>
          <w:szCs w:val="24"/>
        </w:rPr>
        <w:t xml:space="preserve"> vpl</w:t>
      </w:r>
      <w:r>
        <w:rPr>
          <w:rFonts w:cs="Times New Roman"/>
          <w:sz w:val="24"/>
          <w:szCs w:val="24"/>
        </w:rPr>
        <w:t>ýval</w:t>
      </w:r>
      <w:r w:rsidRPr="00BE51F0">
        <w:rPr>
          <w:rFonts w:cs="Times New Roman"/>
          <w:sz w:val="24"/>
          <w:szCs w:val="24"/>
        </w:rPr>
        <w:t xml:space="preserve"> medziročný pokles pohľadávok o 1 126 </w:t>
      </w:r>
      <w:r>
        <w:rPr>
          <w:rFonts w:cs="Times New Roman"/>
          <w:sz w:val="24"/>
          <w:szCs w:val="24"/>
        </w:rPr>
        <w:t>tis. eur a nárast záväzkov o </w:t>
      </w:r>
      <w:r w:rsidRPr="00251132">
        <w:t>17</w:t>
      </w:r>
      <w:r>
        <w:t> </w:t>
      </w:r>
      <w:r w:rsidRPr="00251132">
        <w:t>055</w:t>
      </w:r>
      <w:r w:rsidRPr="00BE51F0">
        <w:rPr>
          <w:rFonts w:cs="Times New Roman"/>
          <w:sz w:val="24"/>
          <w:szCs w:val="24"/>
        </w:rPr>
        <w:t> tis. eur.</w:t>
      </w:r>
      <w:r>
        <w:rPr>
          <w:rFonts w:cs="Times New Roman"/>
          <w:sz w:val="24"/>
          <w:szCs w:val="24"/>
        </w:rPr>
        <w:t xml:space="preserve"> Poskytnuté preddavky na dlhodobý hmotný majetok poklesli z dôvodu vyúčtovania preddavkov za pripojovacie poplatky na realizovaných investíciách.</w:t>
      </w:r>
    </w:p>
    <w:p w14:paraId="3D6DBE67" w14:textId="77777777" w:rsidR="009A05C7" w:rsidRPr="0062098C" w:rsidRDefault="009A05C7" w:rsidP="009A05C7">
      <w:pPr>
        <w:spacing w:before="120" w:after="0" w:line="240" w:lineRule="auto"/>
        <w:rPr>
          <w:rFonts w:cs="Times New Roman"/>
          <w:sz w:val="24"/>
          <w:szCs w:val="24"/>
        </w:rPr>
      </w:pPr>
      <w:r w:rsidRPr="0062098C">
        <w:rPr>
          <w:rFonts w:cs="Times New Roman"/>
          <w:sz w:val="24"/>
          <w:szCs w:val="24"/>
        </w:rPr>
        <w:t>Významný vplyv na medziročné zvýšenie záväzkov o sumu 11</w:t>
      </w:r>
      <w:r>
        <w:rPr>
          <w:rFonts w:cs="Times New Roman"/>
          <w:sz w:val="24"/>
          <w:szCs w:val="24"/>
        </w:rPr>
        <w:t> </w:t>
      </w:r>
      <w:r w:rsidRPr="0062098C">
        <w:rPr>
          <w:rFonts w:cs="Times New Roman"/>
          <w:sz w:val="24"/>
          <w:szCs w:val="24"/>
        </w:rPr>
        <w:t>334</w:t>
      </w:r>
      <w:r>
        <w:rPr>
          <w:rFonts w:cs="Times New Roman"/>
          <w:sz w:val="24"/>
          <w:szCs w:val="24"/>
        </w:rPr>
        <w:t> </w:t>
      </w:r>
      <w:r w:rsidRPr="0062098C">
        <w:rPr>
          <w:rFonts w:cs="Times New Roman"/>
          <w:sz w:val="24"/>
          <w:szCs w:val="24"/>
        </w:rPr>
        <w:t>tis.</w:t>
      </w:r>
      <w:r>
        <w:rPr>
          <w:rFonts w:cs="Times New Roman"/>
          <w:sz w:val="24"/>
          <w:szCs w:val="24"/>
        </w:rPr>
        <w:t> </w:t>
      </w:r>
      <w:r w:rsidRPr="0062098C">
        <w:rPr>
          <w:rFonts w:cs="Times New Roman"/>
          <w:sz w:val="24"/>
          <w:szCs w:val="24"/>
        </w:rPr>
        <w:t xml:space="preserve">eur mali neuhradené </w:t>
      </w:r>
      <w:r w:rsidRPr="0062098C">
        <w:rPr>
          <w:rFonts w:eastAsia="Times New Roman" w:cs="Times New Roman"/>
          <w:sz w:val="24"/>
          <w:szCs w:val="24"/>
          <w:lang w:eastAsia="sk-SK"/>
        </w:rPr>
        <w:t xml:space="preserve">investičné faktúry a zaúčtovanie nevyfakturovaných dodávok. O sumu 2 205 tis. eur sa zvýšili </w:t>
      </w:r>
      <w:r w:rsidRPr="0062098C">
        <w:rPr>
          <w:rFonts w:cs="Times New Roman"/>
          <w:sz w:val="24"/>
          <w:szCs w:val="24"/>
        </w:rPr>
        <w:t>prijaté preddavky za predaj majet</w:t>
      </w:r>
      <w:r>
        <w:rPr>
          <w:rFonts w:cs="Times New Roman"/>
          <w:sz w:val="24"/>
          <w:szCs w:val="24"/>
        </w:rPr>
        <w:t xml:space="preserve">ku (pozemky a stavby). Celkovú </w:t>
      </w:r>
      <w:r w:rsidRPr="0062098C">
        <w:rPr>
          <w:rFonts w:cs="Times New Roman"/>
          <w:sz w:val="24"/>
          <w:szCs w:val="24"/>
        </w:rPr>
        <w:t>medziročnú zmenu záväzkov spoločnosti negatívne ovplyvnil aj nárast záväzkov voči zamestnancom o sumu 1 834 tis. eur z titulu valorizácie miezd.</w:t>
      </w:r>
    </w:p>
    <w:p w14:paraId="362E3EB3" w14:textId="77777777" w:rsidR="009A05C7" w:rsidRPr="00702357" w:rsidRDefault="009A05C7" w:rsidP="009A05C7">
      <w:pPr>
        <w:spacing w:before="120" w:line="240" w:lineRule="auto"/>
        <w:rPr>
          <w:rFonts w:cs="Times New Roman"/>
          <w:sz w:val="24"/>
          <w:szCs w:val="24"/>
        </w:rPr>
      </w:pPr>
      <w:r w:rsidRPr="00AE283E">
        <w:rPr>
          <w:rFonts w:cs="Times New Roman"/>
          <w:b/>
          <w:sz w:val="24"/>
          <w:szCs w:val="24"/>
        </w:rPr>
        <w:t>Železničná spoločnosť Slovensko, a.</w:t>
      </w:r>
      <w:r>
        <w:rPr>
          <w:rFonts w:cs="Times New Roman"/>
          <w:b/>
          <w:sz w:val="24"/>
          <w:szCs w:val="24"/>
        </w:rPr>
        <w:t> </w:t>
      </w:r>
      <w:r w:rsidRPr="00AE283E">
        <w:rPr>
          <w:rFonts w:cs="Times New Roman"/>
          <w:b/>
          <w:sz w:val="24"/>
          <w:szCs w:val="24"/>
        </w:rPr>
        <w:t>s. (ZSSK)</w:t>
      </w:r>
      <w:r w:rsidRPr="00AE283E">
        <w:rPr>
          <w:rFonts w:cs="Times New Roman"/>
          <w:sz w:val="24"/>
          <w:szCs w:val="24"/>
        </w:rPr>
        <w:t xml:space="preserve"> v roku 2024 dosiahla hotovostný prebytok vo výške 45 240 tis. eur, čo predstavuje zlepšenie o 125 087 tis. eur oproti rozpočtovanému schodku.</w:t>
      </w:r>
      <w:r>
        <w:rPr>
          <w:rFonts w:cs="Times New Roman"/>
          <w:sz w:val="24"/>
          <w:szCs w:val="24"/>
        </w:rPr>
        <w:t xml:space="preserve"> Významný vplyv na hospodárenia mali nedočerpané rozpočtované bežné a kapitálové výdavky o 92 431 tis. eur a nárast  príjmov o 32 656 tis. eur. Výpadok tržieb z prepravy </w:t>
      </w:r>
      <w:r w:rsidRPr="00702357">
        <w:rPr>
          <w:rFonts w:cs="Times New Roman"/>
          <w:sz w:val="24"/>
          <w:szCs w:val="24"/>
        </w:rPr>
        <w:t>cestujúcich a tiež príjmov z aktivít do externého prostredia o 2</w:t>
      </w:r>
      <w:r>
        <w:rPr>
          <w:rFonts w:cs="Times New Roman"/>
          <w:sz w:val="24"/>
          <w:szCs w:val="24"/>
        </w:rPr>
        <w:t> </w:t>
      </w:r>
      <w:r w:rsidRPr="00702357">
        <w:rPr>
          <w:rFonts w:cs="Times New Roman"/>
          <w:sz w:val="24"/>
          <w:szCs w:val="24"/>
        </w:rPr>
        <w:t>705</w:t>
      </w:r>
      <w:r>
        <w:rPr>
          <w:rFonts w:cs="Times New Roman"/>
          <w:sz w:val="24"/>
          <w:szCs w:val="24"/>
        </w:rPr>
        <w:t> </w:t>
      </w:r>
      <w:r w:rsidRPr="00702357">
        <w:rPr>
          <w:rFonts w:cs="Times New Roman"/>
          <w:sz w:val="24"/>
          <w:szCs w:val="24"/>
        </w:rPr>
        <w:t>tis. eur bol čiastočne kompenzovaný nárastom príjmu z úrokov z termínovaných vkladov o 2 104 tis.</w:t>
      </w:r>
      <w:r>
        <w:rPr>
          <w:rFonts w:cs="Times New Roman"/>
          <w:sz w:val="24"/>
          <w:szCs w:val="24"/>
        </w:rPr>
        <w:t> </w:t>
      </w:r>
      <w:r w:rsidRPr="00702357">
        <w:rPr>
          <w:rFonts w:cs="Times New Roman"/>
          <w:sz w:val="24"/>
          <w:szCs w:val="24"/>
        </w:rPr>
        <w:t>eur a</w:t>
      </w:r>
      <w:r>
        <w:rPr>
          <w:rFonts w:cs="Times New Roman"/>
          <w:sz w:val="24"/>
          <w:szCs w:val="24"/>
        </w:rPr>
        <w:t> </w:t>
      </w:r>
      <w:r w:rsidRPr="00702357">
        <w:rPr>
          <w:rFonts w:cs="Times New Roman"/>
          <w:sz w:val="24"/>
          <w:szCs w:val="24"/>
        </w:rPr>
        <w:t>nárastom iných nedaňových príjmov o 7</w:t>
      </w:r>
      <w:r>
        <w:rPr>
          <w:rFonts w:cs="Times New Roman"/>
          <w:sz w:val="24"/>
          <w:szCs w:val="24"/>
        </w:rPr>
        <w:t> </w:t>
      </w:r>
      <w:r w:rsidRPr="00702357">
        <w:rPr>
          <w:rFonts w:cs="Times New Roman"/>
          <w:sz w:val="24"/>
          <w:szCs w:val="24"/>
        </w:rPr>
        <w:t>157</w:t>
      </w:r>
      <w:r>
        <w:rPr>
          <w:rFonts w:cs="Times New Roman"/>
          <w:sz w:val="24"/>
          <w:szCs w:val="24"/>
        </w:rPr>
        <w:t> </w:t>
      </w:r>
      <w:r w:rsidRPr="00702357">
        <w:rPr>
          <w:rFonts w:cs="Times New Roman"/>
          <w:sz w:val="24"/>
          <w:szCs w:val="24"/>
        </w:rPr>
        <w:t>tis.</w:t>
      </w:r>
      <w:r>
        <w:rPr>
          <w:rFonts w:cs="Times New Roman"/>
          <w:sz w:val="24"/>
          <w:szCs w:val="24"/>
        </w:rPr>
        <w:t> </w:t>
      </w:r>
      <w:r w:rsidRPr="00702357">
        <w:rPr>
          <w:rFonts w:cs="Times New Roman"/>
          <w:sz w:val="24"/>
          <w:szCs w:val="24"/>
        </w:rPr>
        <w:t xml:space="preserve">eur. Rozdiel je </w:t>
      </w:r>
      <w:r>
        <w:rPr>
          <w:rFonts w:cs="Times New Roman"/>
          <w:sz w:val="24"/>
          <w:szCs w:val="24"/>
        </w:rPr>
        <w:t>spôsobený vyššou vratkou DPH za predchádzajúci rok ako bol plánový limit rozpočtu</w:t>
      </w:r>
      <w:r w:rsidRPr="00702357">
        <w:rPr>
          <w:rFonts w:cs="Times New Roman"/>
          <w:sz w:val="24"/>
          <w:szCs w:val="24"/>
        </w:rPr>
        <w:t>.</w:t>
      </w:r>
    </w:p>
    <w:p w14:paraId="2728253B" w14:textId="789D5EEC" w:rsidR="009A05C7" w:rsidRPr="00CD4A55" w:rsidRDefault="009A05C7" w:rsidP="009A05C7">
      <w:pPr>
        <w:spacing w:line="240" w:lineRule="auto"/>
        <w:rPr>
          <w:rFonts w:cs="Times New Roman"/>
          <w:sz w:val="24"/>
          <w:szCs w:val="24"/>
        </w:rPr>
      </w:pPr>
      <w:r w:rsidRPr="00CD4A55">
        <w:rPr>
          <w:rFonts w:cs="Times New Roman"/>
          <w:sz w:val="24"/>
          <w:szCs w:val="24"/>
        </w:rPr>
        <w:t>ZSSK vzrástli celkové granty a transfery úhrnom o 26 100 tis. eur</w:t>
      </w:r>
      <w:r>
        <w:rPr>
          <w:rFonts w:cs="Times New Roman"/>
          <w:sz w:val="24"/>
          <w:szCs w:val="24"/>
        </w:rPr>
        <w:t>.</w:t>
      </w:r>
      <w:r w:rsidRPr="00CD4A55">
        <w:rPr>
          <w:rFonts w:cs="Times New Roman"/>
          <w:sz w:val="24"/>
          <w:szCs w:val="24"/>
        </w:rPr>
        <w:t xml:space="preserve"> V rámci bežných transferov vykazuje spoločnosť skutočné príjmy za doprav</w:t>
      </w:r>
      <w:r w:rsidR="00D259E2">
        <w:rPr>
          <w:rFonts w:cs="Times New Roman"/>
          <w:sz w:val="24"/>
          <w:szCs w:val="24"/>
        </w:rPr>
        <w:t>né služby vo verejnom záujme zo </w:t>
      </w:r>
      <w:r w:rsidRPr="00CD4A55">
        <w:rPr>
          <w:rFonts w:cs="Times New Roman"/>
          <w:sz w:val="24"/>
          <w:szCs w:val="24"/>
        </w:rPr>
        <w:t>ŠR, príjem dotácie v rámci energopomoci z MH SR a príjem prostriedkov na</w:t>
      </w:r>
      <w:r>
        <w:rPr>
          <w:rFonts w:cs="Times New Roman"/>
          <w:sz w:val="24"/>
          <w:szCs w:val="24"/>
        </w:rPr>
        <w:t> </w:t>
      </w:r>
      <w:r w:rsidRPr="00CD4A55">
        <w:rPr>
          <w:rFonts w:cs="Times New Roman"/>
          <w:sz w:val="24"/>
          <w:szCs w:val="24"/>
        </w:rPr>
        <w:t>hospodársku mobilizáciu z MD SR v celkovej sume 429 262 tis. eur</w:t>
      </w:r>
      <w:r>
        <w:rPr>
          <w:rFonts w:cs="Times New Roman"/>
          <w:sz w:val="24"/>
          <w:szCs w:val="24"/>
        </w:rPr>
        <w:t>.</w:t>
      </w:r>
      <w:r w:rsidRPr="00CD4A55">
        <w:rPr>
          <w:rFonts w:cs="Times New Roman"/>
          <w:sz w:val="24"/>
          <w:szCs w:val="24"/>
        </w:rPr>
        <w:t xml:space="preserve"> Nerozpočtované príjmy z kapitálových grantov a transferov vzrástli o 24</w:t>
      </w:r>
      <w:r>
        <w:rPr>
          <w:rFonts w:cs="Times New Roman"/>
          <w:sz w:val="24"/>
          <w:szCs w:val="24"/>
        </w:rPr>
        <w:t> </w:t>
      </w:r>
      <w:r w:rsidRPr="00CD4A55">
        <w:rPr>
          <w:rFonts w:cs="Times New Roman"/>
          <w:sz w:val="24"/>
          <w:szCs w:val="24"/>
        </w:rPr>
        <w:t>67</w:t>
      </w:r>
      <w:r>
        <w:rPr>
          <w:rFonts w:cs="Times New Roman"/>
          <w:sz w:val="24"/>
          <w:szCs w:val="24"/>
        </w:rPr>
        <w:t>8 </w:t>
      </w:r>
      <w:r w:rsidRPr="00CD4A55">
        <w:rPr>
          <w:rFonts w:cs="Times New Roman"/>
          <w:sz w:val="24"/>
          <w:szCs w:val="24"/>
        </w:rPr>
        <w:t>tis. eur, najmä z titulu refundácií NFP zo</w:t>
      </w:r>
      <w:r>
        <w:rPr>
          <w:rFonts w:cs="Times New Roman"/>
          <w:sz w:val="24"/>
          <w:szCs w:val="24"/>
        </w:rPr>
        <w:t> </w:t>
      </w:r>
      <w:r w:rsidRPr="00CD4A55">
        <w:rPr>
          <w:rFonts w:cs="Times New Roman"/>
          <w:sz w:val="24"/>
          <w:szCs w:val="24"/>
        </w:rPr>
        <w:t>štrukturálnych fondov a spolufinancovania ŠR na</w:t>
      </w:r>
      <w:r>
        <w:rPr>
          <w:rFonts w:cs="Times New Roman"/>
          <w:sz w:val="24"/>
          <w:szCs w:val="24"/>
        </w:rPr>
        <w:t> </w:t>
      </w:r>
      <w:r w:rsidRPr="00CD4A55">
        <w:rPr>
          <w:rFonts w:cs="Times New Roman"/>
          <w:sz w:val="24"/>
          <w:szCs w:val="24"/>
        </w:rPr>
        <w:t>projekty EU.</w:t>
      </w:r>
    </w:p>
    <w:p w14:paraId="4A2917DB" w14:textId="77777777" w:rsidR="009A05C7" w:rsidRPr="00EA3E30" w:rsidRDefault="009A05C7" w:rsidP="009A05C7">
      <w:pPr>
        <w:spacing w:line="240" w:lineRule="auto"/>
        <w:rPr>
          <w:rFonts w:cs="Times New Roman"/>
          <w:sz w:val="24"/>
          <w:szCs w:val="24"/>
        </w:rPr>
      </w:pPr>
      <w:r w:rsidRPr="00EA3E30">
        <w:rPr>
          <w:rFonts w:cs="Times New Roman"/>
          <w:sz w:val="24"/>
          <w:szCs w:val="24"/>
        </w:rPr>
        <w:lastRenderedPageBreak/>
        <w:t>Celkové skutočné výdavky boli o 92 431 tis. eur vyššie ako rozpočtované, z toho bežné výdavky poklesli o 22 750 tis. eur a</w:t>
      </w:r>
      <w:r>
        <w:rPr>
          <w:rFonts w:cs="Times New Roman"/>
          <w:sz w:val="24"/>
          <w:szCs w:val="24"/>
        </w:rPr>
        <w:t xml:space="preserve"> </w:t>
      </w:r>
      <w:r w:rsidRPr="00EA3E30">
        <w:rPr>
          <w:rFonts w:cs="Times New Roman"/>
          <w:sz w:val="24"/>
          <w:szCs w:val="24"/>
        </w:rPr>
        <w:t>výdavky na obstaranie kapitálových o 69</w:t>
      </w:r>
      <w:r>
        <w:rPr>
          <w:rFonts w:cs="Times New Roman"/>
          <w:sz w:val="24"/>
          <w:szCs w:val="24"/>
        </w:rPr>
        <w:t> </w:t>
      </w:r>
      <w:r w:rsidRPr="00EA3E30">
        <w:rPr>
          <w:rFonts w:cs="Times New Roman"/>
          <w:sz w:val="24"/>
          <w:szCs w:val="24"/>
        </w:rPr>
        <w:t>681</w:t>
      </w:r>
      <w:r>
        <w:rPr>
          <w:rFonts w:cs="Times New Roman"/>
          <w:sz w:val="24"/>
          <w:szCs w:val="24"/>
        </w:rPr>
        <w:t> </w:t>
      </w:r>
      <w:r w:rsidRPr="00EA3E30">
        <w:rPr>
          <w:rFonts w:cs="Times New Roman"/>
          <w:sz w:val="24"/>
          <w:szCs w:val="24"/>
        </w:rPr>
        <w:t>tis. eur.</w:t>
      </w:r>
    </w:p>
    <w:p w14:paraId="25851B14" w14:textId="77777777" w:rsidR="009A05C7" w:rsidRPr="00B0558B" w:rsidRDefault="009A05C7" w:rsidP="009A05C7">
      <w:pPr>
        <w:spacing w:line="240" w:lineRule="auto"/>
        <w:rPr>
          <w:rFonts w:cs="Times New Roman"/>
          <w:sz w:val="24"/>
          <w:szCs w:val="24"/>
        </w:rPr>
      </w:pPr>
      <w:r w:rsidRPr="0026604E">
        <w:rPr>
          <w:rFonts w:cs="Times New Roman"/>
          <w:sz w:val="24"/>
          <w:szCs w:val="24"/>
        </w:rPr>
        <w:t>Bežné výdavky na tovary a služby sa čerpali vo výške 336 804 tis. eur, čo je o 22 186 tis. eur menej ako bolo plánované. Úspory vygenerované optimalizačnými opatreniami a vzhľadom na</w:t>
      </w:r>
      <w:r>
        <w:rPr>
          <w:rFonts w:cs="Times New Roman"/>
          <w:sz w:val="24"/>
          <w:szCs w:val="24"/>
        </w:rPr>
        <w:t> </w:t>
      </w:r>
      <w:r w:rsidRPr="0026604E">
        <w:rPr>
          <w:rFonts w:cs="Times New Roman"/>
          <w:sz w:val="24"/>
          <w:szCs w:val="24"/>
        </w:rPr>
        <w:t>limity verejných výdavkov sa prejavili najviac pri čerpaní prostriedkov na</w:t>
      </w:r>
      <w:r>
        <w:rPr>
          <w:rFonts w:cs="Times New Roman"/>
          <w:sz w:val="24"/>
          <w:szCs w:val="24"/>
        </w:rPr>
        <w:t> </w:t>
      </w:r>
      <w:r w:rsidRPr="0026604E">
        <w:rPr>
          <w:rFonts w:cs="Times New Roman"/>
          <w:sz w:val="24"/>
          <w:szCs w:val="24"/>
        </w:rPr>
        <w:t xml:space="preserve">všeobecný materiál </w:t>
      </w:r>
      <w:r w:rsidRPr="00B0558B">
        <w:rPr>
          <w:rFonts w:cs="Times New Roman"/>
          <w:sz w:val="24"/>
          <w:szCs w:val="24"/>
        </w:rPr>
        <w:t>(palivá)</w:t>
      </w:r>
      <w:r>
        <w:rPr>
          <w:rFonts w:cs="Times New Roman"/>
          <w:sz w:val="24"/>
          <w:szCs w:val="24"/>
        </w:rPr>
        <w:t xml:space="preserve"> o 49 900 tis. </w:t>
      </w:r>
      <w:r w:rsidRPr="00B0558B">
        <w:rPr>
          <w:rFonts w:cs="Times New Roman"/>
          <w:sz w:val="24"/>
          <w:szCs w:val="24"/>
        </w:rPr>
        <w:t>eur a na trakčné zdroje (energie) o 7</w:t>
      </w:r>
      <w:r>
        <w:rPr>
          <w:rFonts w:cs="Times New Roman"/>
          <w:sz w:val="24"/>
          <w:szCs w:val="24"/>
        </w:rPr>
        <w:t> </w:t>
      </w:r>
      <w:r w:rsidRPr="00B0558B">
        <w:rPr>
          <w:rFonts w:cs="Times New Roman"/>
          <w:sz w:val="24"/>
          <w:szCs w:val="24"/>
        </w:rPr>
        <w:t>904</w:t>
      </w:r>
      <w:r>
        <w:rPr>
          <w:rFonts w:cs="Times New Roman"/>
          <w:sz w:val="24"/>
          <w:szCs w:val="24"/>
        </w:rPr>
        <w:t> </w:t>
      </w:r>
      <w:r w:rsidRPr="00B0558B">
        <w:rPr>
          <w:rFonts w:cs="Times New Roman"/>
          <w:sz w:val="24"/>
          <w:szCs w:val="24"/>
        </w:rPr>
        <w:t>tis.</w:t>
      </w:r>
      <w:r>
        <w:rPr>
          <w:rFonts w:cs="Times New Roman"/>
          <w:sz w:val="24"/>
          <w:szCs w:val="24"/>
        </w:rPr>
        <w:t> eur. Nárast výdavkov na </w:t>
      </w:r>
      <w:r w:rsidRPr="00B0558B">
        <w:rPr>
          <w:rFonts w:cs="Times New Roman"/>
          <w:sz w:val="24"/>
          <w:szCs w:val="24"/>
        </w:rPr>
        <w:t>opravy a údržbu ŽKV o 20 058 tis.</w:t>
      </w:r>
      <w:r>
        <w:rPr>
          <w:rFonts w:cs="Times New Roman"/>
          <w:sz w:val="24"/>
          <w:szCs w:val="24"/>
        </w:rPr>
        <w:t> </w:t>
      </w:r>
      <w:r w:rsidRPr="00B0558B">
        <w:rPr>
          <w:rFonts w:cs="Times New Roman"/>
          <w:sz w:val="24"/>
          <w:szCs w:val="24"/>
        </w:rPr>
        <w:t>eur, na služby (externé kapitalizačné opravy ŽKV) o 16 868 tis. eur eliminoval dosiahnuté úspory.</w:t>
      </w:r>
    </w:p>
    <w:p w14:paraId="7E6CA507" w14:textId="77777777" w:rsidR="009A05C7" w:rsidRPr="004307E4" w:rsidRDefault="009A05C7" w:rsidP="009A05C7">
      <w:pPr>
        <w:pStyle w:val="Default0"/>
        <w:spacing w:after="120"/>
        <w:jc w:val="both"/>
        <w:rPr>
          <w:rFonts w:eastAsia="Times New Roman" w:cs="Times New Roman"/>
          <w:lang w:eastAsia="sk-SK"/>
        </w:rPr>
      </w:pPr>
      <w:r w:rsidRPr="004307E4">
        <w:rPr>
          <w:rFonts w:eastAsia="Times New Roman" w:cs="Times New Roman"/>
          <w:lang w:eastAsia="sk-SK"/>
        </w:rPr>
        <w:t>Výdavky na obstaranie kapitálových aktív sa z</w:t>
      </w:r>
      <w:r>
        <w:rPr>
          <w:rFonts w:eastAsia="Times New Roman" w:cs="Times New Roman"/>
          <w:lang w:eastAsia="sk-SK"/>
        </w:rPr>
        <w:t>nížili oproti rozpočtu o 69 681 </w:t>
      </w:r>
      <w:r w:rsidRPr="004307E4">
        <w:rPr>
          <w:rFonts w:eastAsia="Times New Roman" w:cs="Times New Roman"/>
          <w:lang w:eastAsia="sk-SK"/>
        </w:rPr>
        <w:t>tis. eur v nadväznosti na disponibilné zdroje a posun príjmu z predaja pracovísk Technicko-hygienickej údržby železničných koľajových vozidiel (THU ŽKV).</w:t>
      </w:r>
    </w:p>
    <w:p w14:paraId="29040AC9" w14:textId="77777777" w:rsidR="009A05C7" w:rsidRPr="0003650E" w:rsidRDefault="009A05C7" w:rsidP="009A05C7">
      <w:pPr>
        <w:spacing w:before="120" w:line="240" w:lineRule="auto"/>
        <w:rPr>
          <w:rFonts w:eastAsia="Times New Roman" w:cs="Times New Roman"/>
          <w:sz w:val="24"/>
          <w:szCs w:val="24"/>
          <w:lang w:eastAsia="sk-SK"/>
        </w:rPr>
      </w:pPr>
      <w:r w:rsidRPr="0003650E">
        <w:rPr>
          <w:rFonts w:cs="Times New Roman"/>
          <w:sz w:val="24"/>
          <w:szCs w:val="24"/>
        </w:rPr>
        <w:t>Negatívny vplyv na hospodárenie podľa metodiky ESA 2010 výrazne ovplyvnil medziročný</w:t>
      </w:r>
      <w:r w:rsidRPr="0003650E">
        <w:rPr>
          <w:rFonts w:eastAsia="Times New Roman" w:cs="Times New Roman"/>
          <w:sz w:val="24"/>
          <w:szCs w:val="24"/>
          <w:lang w:eastAsia="sk-SK"/>
        </w:rPr>
        <w:t xml:space="preserve"> pokles pohľadávok o 24 381 tis. eur eliminovaný poklesom záväzkov o 1 747 tis. eur. </w:t>
      </w:r>
      <w:r w:rsidRPr="0003650E">
        <w:rPr>
          <w:rFonts w:cs="Times New Roman"/>
          <w:sz w:val="24"/>
          <w:szCs w:val="24"/>
        </w:rPr>
        <w:t>Medziročne došlo k poklesu na účtoch pohľadávok – čerpanie záloh z predchádzajúcich rokov a ukončenie niektorých projektov na modernizác</w:t>
      </w:r>
      <w:r>
        <w:rPr>
          <w:rFonts w:cs="Times New Roman"/>
          <w:sz w:val="24"/>
          <w:szCs w:val="24"/>
        </w:rPr>
        <w:t>iu vozového parku o 22 692 tis. </w:t>
      </w:r>
      <w:r w:rsidRPr="0003650E">
        <w:rPr>
          <w:rFonts w:cs="Times New Roman"/>
          <w:sz w:val="24"/>
          <w:szCs w:val="24"/>
        </w:rPr>
        <w:t>eur.</w:t>
      </w:r>
    </w:p>
    <w:p w14:paraId="1B1E83A2" w14:textId="6622502D" w:rsidR="009A05C7" w:rsidRPr="00161417" w:rsidRDefault="009A05C7" w:rsidP="009A05C7">
      <w:pPr>
        <w:spacing w:before="120" w:line="240" w:lineRule="auto"/>
        <w:rPr>
          <w:rFonts w:cs="Times New Roman"/>
          <w:sz w:val="24"/>
          <w:szCs w:val="24"/>
        </w:rPr>
      </w:pPr>
      <w:r w:rsidRPr="00161417">
        <w:rPr>
          <w:rFonts w:cs="Times New Roman"/>
          <w:b/>
          <w:sz w:val="24"/>
          <w:szCs w:val="24"/>
        </w:rPr>
        <w:t>Jadrová a vyraďovacia spoločnosť,</w:t>
      </w:r>
      <w:r>
        <w:rPr>
          <w:rFonts w:cs="Times New Roman"/>
          <w:b/>
          <w:sz w:val="24"/>
          <w:szCs w:val="24"/>
        </w:rPr>
        <w:t> </w:t>
      </w:r>
      <w:r w:rsidRPr="00161417">
        <w:rPr>
          <w:rFonts w:cs="Times New Roman"/>
          <w:b/>
          <w:sz w:val="24"/>
          <w:szCs w:val="24"/>
        </w:rPr>
        <w:t>a.</w:t>
      </w:r>
      <w:r>
        <w:rPr>
          <w:rFonts w:cs="Times New Roman"/>
          <w:b/>
          <w:sz w:val="24"/>
          <w:szCs w:val="24"/>
        </w:rPr>
        <w:t> </w:t>
      </w:r>
      <w:r w:rsidRPr="00161417">
        <w:rPr>
          <w:rFonts w:cs="Times New Roman"/>
          <w:b/>
          <w:sz w:val="24"/>
          <w:szCs w:val="24"/>
        </w:rPr>
        <w:t xml:space="preserve">s. </w:t>
      </w:r>
      <w:r w:rsidRPr="00161417">
        <w:rPr>
          <w:rFonts w:cs="Times New Roman"/>
          <w:sz w:val="24"/>
          <w:szCs w:val="24"/>
        </w:rPr>
        <w:t xml:space="preserve">(JAVYS) </w:t>
      </w:r>
      <w:r w:rsidRPr="00161417">
        <w:rPr>
          <w:rFonts w:eastAsia="Times New Roman" w:cs="Times New Roman"/>
          <w:sz w:val="24"/>
          <w:szCs w:val="24"/>
          <w:lang w:eastAsia="sk-SK"/>
        </w:rPr>
        <w:t>hospodárila v roku 2024 s prebytkom 12 086 </w:t>
      </w:r>
      <w:r>
        <w:rPr>
          <w:rFonts w:eastAsia="Times New Roman" w:cs="Times New Roman"/>
          <w:sz w:val="24"/>
          <w:szCs w:val="24"/>
          <w:lang w:eastAsia="sk-SK"/>
        </w:rPr>
        <w:t>tis. </w:t>
      </w:r>
      <w:r w:rsidRPr="00161417">
        <w:rPr>
          <w:rFonts w:eastAsia="Times New Roman" w:cs="Times New Roman"/>
          <w:sz w:val="24"/>
          <w:szCs w:val="24"/>
          <w:lang w:eastAsia="sk-SK"/>
        </w:rPr>
        <w:t>eur. Lepšie hospodárenie oproti rozpočtu o 71 705 </w:t>
      </w:r>
      <w:r>
        <w:rPr>
          <w:rFonts w:eastAsia="Times New Roman" w:cs="Times New Roman"/>
          <w:sz w:val="24"/>
          <w:szCs w:val="24"/>
          <w:lang w:eastAsia="sk-SK"/>
        </w:rPr>
        <w:t>tis. </w:t>
      </w:r>
      <w:r w:rsidRPr="00161417">
        <w:rPr>
          <w:rFonts w:eastAsia="Times New Roman" w:cs="Times New Roman"/>
          <w:sz w:val="24"/>
          <w:szCs w:val="24"/>
          <w:lang w:eastAsia="sk-SK"/>
        </w:rPr>
        <w:t>eur bolo spôsobené najmä tým, že rozpočet očakával ESA úpravu preklasifikovania prijatého transferu z</w:t>
      </w:r>
      <w:r w:rsidR="00D259E2">
        <w:rPr>
          <w:rFonts w:eastAsia="Times New Roman" w:cs="Times New Roman"/>
          <w:sz w:val="24"/>
          <w:szCs w:val="24"/>
          <w:lang w:eastAsia="sk-SK"/>
        </w:rPr>
        <w:t> </w:t>
      </w:r>
      <w:r w:rsidRPr="00161417">
        <w:rPr>
          <w:rFonts w:eastAsia="Times New Roman" w:cs="Times New Roman"/>
          <w:sz w:val="24"/>
          <w:szCs w:val="24"/>
          <w:lang w:eastAsia="sk-SK"/>
        </w:rPr>
        <w:t>Národného jadrového fondu na finančnú operáciu v sume 58 801 </w:t>
      </w:r>
      <w:r>
        <w:rPr>
          <w:rFonts w:eastAsia="Times New Roman" w:cs="Times New Roman"/>
          <w:sz w:val="24"/>
          <w:szCs w:val="24"/>
          <w:lang w:eastAsia="sk-SK"/>
        </w:rPr>
        <w:t>tis. </w:t>
      </w:r>
      <w:r w:rsidRPr="00161417">
        <w:rPr>
          <w:rFonts w:eastAsia="Times New Roman" w:cs="Times New Roman"/>
          <w:sz w:val="24"/>
          <w:szCs w:val="24"/>
          <w:lang w:eastAsia="sk-SK"/>
        </w:rPr>
        <w:t>eur. Táto úprava sa však napokon nerealizovala, keďže Štatistický úrad SR podľa metodiky ESA 2010 určil nový metodický postup pri</w:t>
      </w:r>
      <w:r>
        <w:rPr>
          <w:rFonts w:eastAsia="Times New Roman" w:cs="Times New Roman"/>
          <w:sz w:val="24"/>
          <w:szCs w:val="24"/>
          <w:lang w:eastAsia="sk-SK"/>
        </w:rPr>
        <w:t> </w:t>
      </w:r>
      <w:r w:rsidRPr="00161417">
        <w:rPr>
          <w:rFonts w:eastAsia="Times New Roman" w:cs="Times New Roman"/>
          <w:sz w:val="24"/>
          <w:szCs w:val="24"/>
          <w:lang w:eastAsia="sk-SK"/>
        </w:rPr>
        <w:t>vykazovaní týchto príjmov pre spoločnosť JAVYS. Pozitívny vplyv mali taktiež nižšie výdavky za energie o 18 218 tis. eur a takti</w:t>
      </w:r>
      <w:r w:rsidR="00D259E2">
        <w:rPr>
          <w:rFonts w:eastAsia="Times New Roman" w:cs="Times New Roman"/>
          <w:sz w:val="24"/>
          <w:szCs w:val="24"/>
          <w:lang w:eastAsia="sk-SK"/>
        </w:rPr>
        <w:t>ež nižšie výdavky súvisiace s </w:t>
      </w:r>
      <w:r w:rsidRPr="00161417">
        <w:rPr>
          <w:rFonts w:eastAsia="Times New Roman" w:cs="Times New Roman"/>
          <w:sz w:val="24"/>
          <w:szCs w:val="24"/>
          <w:lang w:eastAsia="sk-SK"/>
        </w:rPr>
        <w:t>nákupom kapitálových aktív (prevažne nákup a modernizácia strojov a realizácia</w:t>
      </w:r>
      <w:r>
        <w:rPr>
          <w:rFonts w:eastAsia="Times New Roman" w:cs="Times New Roman"/>
          <w:sz w:val="24"/>
          <w:szCs w:val="24"/>
          <w:lang w:eastAsia="sk-SK"/>
        </w:rPr>
        <w:t xml:space="preserve"> stavieb) o 21 388 tis. eur. Na </w:t>
      </w:r>
      <w:r w:rsidRPr="00161417">
        <w:rPr>
          <w:rFonts w:eastAsia="Times New Roman" w:cs="Times New Roman"/>
          <w:sz w:val="24"/>
          <w:szCs w:val="24"/>
          <w:lang w:eastAsia="sk-SK"/>
        </w:rPr>
        <w:t>druhej strane negatívny vplyv na hospodárenie oproti rozpočtu bol spôsobený nižšími príjmami z</w:t>
      </w:r>
      <w:r>
        <w:rPr>
          <w:rFonts w:eastAsia="Times New Roman" w:cs="Times New Roman"/>
          <w:sz w:val="24"/>
          <w:szCs w:val="24"/>
          <w:lang w:eastAsia="sk-SK"/>
        </w:rPr>
        <w:t> </w:t>
      </w:r>
      <w:r w:rsidRPr="00161417">
        <w:rPr>
          <w:rFonts w:eastAsia="Times New Roman" w:cs="Times New Roman"/>
          <w:sz w:val="24"/>
          <w:szCs w:val="24"/>
          <w:lang w:eastAsia="sk-SK"/>
        </w:rPr>
        <w:t>transferov od Národného jadrového fondu (NJF) o</w:t>
      </w:r>
      <w:r>
        <w:rPr>
          <w:rFonts w:eastAsia="Times New Roman" w:cs="Times New Roman"/>
          <w:sz w:val="24"/>
          <w:szCs w:val="24"/>
          <w:lang w:eastAsia="sk-SK"/>
        </w:rPr>
        <w:t> 35 165 tis. eur, čo súviselo s </w:t>
      </w:r>
      <w:r w:rsidRPr="00161417">
        <w:rPr>
          <w:rFonts w:eastAsia="Times New Roman" w:cs="Times New Roman"/>
          <w:sz w:val="24"/>
          <w:szCs w:val="24"/>
          <w:lang w:eastAsia="sk-SK"/>
        </w:rPr>
        <w:t>nižším objemom prác, ktoré boli realizované pre NJF. Tento negatívny vplyv na strane príjmov bol čiastočne kompenzov</w:t>
      </w:r>
      <w:r w:rsidR="00D259E2">
        <w:rPr>
          <w:rFonts w:eastAsia="Times New Roman" w:cs="Times New Roman"/>
          <w:sz w:val="24"/>
          <w:szCs w:val="24"/>
          <w:lang w:eastAsia="sk-SK"/>
        </w:rPr>
        <w:t>aný vyššími príjmami z úhrad za </w:t>
      </w:r>
      <w:r w:rsidRPr="00161417">
        <w:rPr>
          <w:rFonts w:eastAsia="Times New Roman" w:cs="Times New Roman"/>
          <w:sz w:val="24"/>
          <w:szCs w:val="24"/>
          <w:lang w:eastAsia="sk-SK"/>
        </w:rPr>
        <w:t>nakladanie so zdrojmi ionizujúceho žiarenia o 9 460 tis. eur.</w:t>
      </w:r>
    </w:p>
    <w:p w14:paraId="7CACA3AE" w14:textId="7FABCE52" w:rsidR="009A05C7" w:rsidRPr="00D557E7" w:rsidRDefault="009A05C7" w:rsidP="009A05C7">
      <w:pPr>
        <w:spacing w:before="120" w:line="240" w:lineRule="auto"/>
        <w:rPr>
          <w:rFonts w:cs="Times New Roman"/>
          <w:sz w:val="24"/>
          <w:szCs w:val="24"/>
        </w:rPr>
      </w:pPr>
      <w:r w:rsidRPr="00D557E7">
        <w:rPr>
          <w:rFonts w:cs="Times New Roman"/>
          <w:sz w:val="24"/>
          <w:szCs w:val="24"/>
        </w:rPr>
        <w:t xml:space="preserve">Hotovostný schodok </w:t>
      </w:r>
      <w:r>
        <w:rPr>
          <w:rFonts w:cs="Times New Roman"/>
          <w:b/>
          <w:sz w:val="24"/>
          <w:szCs w:val="24"/>
        </w:rPr>
        <w:t>MH Investu, </w:t>
      </w:r>
      <w:r w:rsidRPr="00D557E7">
        <w:rPr>
          <w:rFonts w:cs="Times New Roman"/>
          <w:b/>
          <w:sz w:val="24"/>
          <w:szCs w:val="24"/>
        </w:rPr>
        <w:t>s.</w:t>
      </w:r>
      <w:r>
        <w:rPr>
          <w:rFonts w:cs="Times New Roman"/>
          <w:b/>
          <w:sz w:val="24"/>
          <w:szCs w:val="24"/>
        </w:rPr>
        <w:t> </w:t>
      </w:r>
      <w:r w:rsidRPr="00D557E7">
        <w:rPr>
          <w:rFonts w:cs="Times New Roman"/>
          <w:b/>
          <w:sz w:val="24"/>
          <w:szCs w:val="24"/>
        </w:rPr>
        <w:t>r.</w:t>
      </w:r>
      <w:r>
        <w:rPr>
          <w:rFonts w:cs="Times New Roman"/>
          <w:b/>
          <w:sz w:val="24"/>
          <w:szCs w:val="24"/>
        </w:rPr>
        <w:t> </w:t>
      </w:r>
      <w:r w:rsidRPr="00D557E7">
        <w:rPr>
          <w:rFonts w:cs="Times New Roman"/>
          <w:b/>
          <w:sz w:val="24"/>
          <w:szCs w:val="24"/>
        </w:rPr>
        <w:t xml:space="preserve">o. </w:t>
      </w:r>
      <w:r>
        <w:rPr>
          <w:rFonts w:cs="Times New Roman"/>
          <w:sz w:val="24"/>
          <w:szCs w:val="24"/>
        </w:rPr>
        <w:t>bol rozpočtovaný vo výške 58 </w:t>
      </w:r>
      <w:r w:rsidRPr="00D557E7">
        <w:rPr>
          <w:rFonts w:cs="Times New Roman"/>
          <w:sz w:val="24"/>
          <w:szCs w:val="24"/>
        </w:rPr>
        <w:t>652 tis. eur, v skutočnosti spoločnosť dosiahla hotovostný schodok 46</w:t>
      </w:r>
      <w:r>
        <w:rPr>
          <w:rFonts w:cs="Times New Roman"/>
          <w:sz w:val="24"/>
          <w:szCs w:val="24"/>
        </w:rPr>
        <w:t> </w:t>
      </w:r>
      <w:r w:rsidRPr="00D557E7">
        <w:rPr>
          <w:rFonts w:cs="Times New Roman"/>
          <w:sz w:val="24"/>
          <w:szCs w:val="24"/>
        </w:rPr>
        <w:t>793 tis. eur. Na</w:t>
      </w:r>
      <w:r w:rsidR="00D259E2">
        <w:rPr>
          <w:rFonts w:cs="Times New Roman"/>
          <w:sz w:val="24"/>
          <w:szCs w:val="24"/>
        </w:rPr>
        <w:t> </w:t>
      </w:r>
      <w:r w:rsidRPr="00D557E7">
        <w:rPr>
          <w:rFonts w:cs="Times New Roman"/>
          <w:sz w:val="24"/>
          <w:szCs w:val="24"/>
        </w:rPr>
        <w:t>zlepšení hospodárenia o 11 859 tis. eur na hotovostnej báze oproti rozpočtu mal vplyv najmä po</w:t>
      </w:r>
      <w:r>
        <w:rPr>
          <w:rFonts w:cs="Times New Roman"/>
          <w:sz w:val="24"/>
          <w:szCs w:val="24"/>
        </w:rPr>
        <w:t>kles hotovostných výdavkov o 10 </w:t>
      </w:r>
      <w:r w:rsidRPr="00D557E7">
        <w:rPr>
          <w:rFonts w:cs="Times New Roman"/>
          <w:sz w:val="24"/>
          <w:szCs w:val="24"/>
        </w:rPr>
        <w:t>690 tis. eur.</w:t>
      </w:r>
    </w:p>
    <w:p w14:paraId="06105582" w14:textId="580318AC" w:rsidR="009A05C7" w:rsidRPr="00D557E7" w:rsidRDefault="009A05C7" w:rsidP="009A05C7">
      <w:pPr>
        <w:spacing w:before="120" w:line="240" w:lineRule="auto"/>
        <w:rPr>
          <w:rFonts w:cs="Times New Roman"/>
          <w:sz w:val="24"/>
          <w:szCs w:val="24"/>
        </w:rPr>
      </w:pPr>
      <w:r w:rsidRPr="00D557E7">
        <w:rPr>
          <w:rFonts w:cs="Times New Roman"/>
          <w:sz w:val="24"/>
          <w:szCs w:val="24"/>
        </w:rPr>
        <w:t>Hotovostné príjmy boli v porovnaní s rozpo</w:t>
      </w:r>
      <w:r w:rsidR="00D259E2">
        <w:rPr>
          <w:rFonts w:cs="Times New Roman"/>
          <w:sz w:val="24"/>
          <w:szCs w:val="24"/>
        </w:rPr>
        <w:t>čtom na rok 2024 vyššie najmä z </w:t>
      </w:r>
      <w:r w:rsidRPr="00D557E7">
        <w:rPr>
          <w:rFonts w:cs="Times New Roman"/>
          <w:sz w:val="24"/>
          <w:szCs w:val="24"/>
        </w:rPr>
        <w:t>dôvodu zvýšených úrokových príjmov o 1 154 tis. eur.</w:t>
      </w:r>
    </w:p>
    <w:p w14:paraId="3BAD031D" w14:textId="77777777" w:rsidR="009A05C7" w:rsidRPr="00D557E7" w:rsidRDefault="009A05C7" w:rsidP="009A05C7">
      <w:pPr>
        <w:spacing w:before="120" w:line="240" w:lineRule="auto"/>
        <w:rPr>
          <w:rFonts w:cs="Times New Roman"/>
          <w:sz w:val="24"/>
          <w:szCs w:val="24"/>
        </w:rPr>
      </w:pPr>
      <w:r w:rsidRPr="00D557E7">
        <w:rPr>
          <w:rFonts w:cs="Times New Roman"/>
          <w:sz w:val="24"/>
          <w:szCs w:val="24"/>
        </w:rPr>
        <w:t xml:space="preserve">Hotovostné výdavky boli v porovnaní s rozpočtom nižšie najmä z dôvodu nižšieho čerpania kapitálových </w:t>
      </w:r>
      <w:r w:rsidRPr="00C2750C">
        <w:rPr>
          <w:rFonts w:cs="Times New Roman"/>
          <w:sz w:val="24"/>
          <w:szCs w:val="24"/>
        </w:rPr>
        <w:t>výdavkov na obstarávanie kapitálových aktív o sumu 12 826 tis. eur vzhľadom na posun realizácie investičných akcií v priemyselnom parku Nitra, PP Sabinov, PP Horná Streda a pod.</w:t>
      </w:r>
    </w:p>
    <w:p w14:paraId="775D53C9" w14:textId="77777777" w:rsidR="009A05C7" w:rsidRDefault="009A05C7" w:rsidP="009A05C7">
      <w:pPr>
        <w:spacing w:before="120" w:line="240" w:lineRule="auto"/>
        <w:rPr>
          <w:rFonts w:cs="Times New Roman"/>
          <w:sz w:val="24"/>
          <w:szCs w:val="24"/>
        </w:rPr>
      </w:pPr>
      <w:r w:rsidRPr="00D557E7">
        <w:rPr>
          <w:rFonts w:cs="Times New Roman"/>
          <w:sz w:val="24"/>
          <w:szCs w:val="24"/>
        </w:rPr>
        <w:t>Oproti rozpočtovanému ESA schodku dosiahla spoločnosť zlepšenie o 69 293 tis. eur, keď hospodárila s ESA prebytkom vo výške 10 641 tis. eur. Na dosiahnuté zlepšenie pozitívne vplýval najmä vklad do základného imania v hodnote 54 531 tis. eur, ktorý má slúžiť na</w:t>
      </w:r>
      <w:r>
        <w:rPr>
          <w:rFonts w:cs="Times New Roman"/>
          <w:sz w:val="24"/>
          <w:szCs w:val="24"/>
        </w:rPr>
        <w:t> </w:t>
      </w:r>
      <w:r w:rsidRPr="00D557E7">
        <w:rPr>
          <w:rFonts w:cs="Times New Roman"/>
          <w:sz w:val="24"/>
          <w:szCs w:val="24"/>
        </w:rPr>
        <w:t xml:space="preserve">výkup pozemkov a prípravu </w:t>
      </w:r>
      <w:r w:rsidRPr="00D557E7">
        <w:rPr>
          <w:rFonts w:cs="Times New Roman"/>
          <w:bCs/>
          <w:sz w:val="24"/>
          <w:szCs w:val="24"/>
        </w:rPr>
        <w:t>Šurany Industrial Parku</w:t>
      </w:r>
      <w:r>
        <w:rPr>
          <w:rFonts w:cs="Times New Roman"/>
          <w:sz w:val="24"/>
          <w:szCs w:val="24"/>
        </w:rPr>
        <w:t xml:space="preserve"> pre investorov.</w:t>
      </w:r>
    </w:p>
    <w:p w14:paraId="1EB9AB54" w14:textId="77777777" w:rsidR="00616B20" w:rsidRDefault="00616B20">
      <w:pPr>
        <w:spacing w:after="160" w:line="259" w:lineRule="auto"/>
        <w:jc w:val="left"/>
        <w:rPr>
          <w:rFonts w:cs="Times New Roman"/>
          <w:b/>
          <w:bCs/>
          <w:sz w:val="24"/>
          <w:szCs w:val="24"/>
        </w:rPr>
      </w:pPr>
      <w:r>
        <w:rPr>
          <w:rFonts w:cs="Times New Roman"/>
          <w:b/>
          <w:bCs/>
          <w:sz w:val="24"/>
          <w:szCs w:val="24"/>
        </w:rPr>
        <w:br w:type="page"/>
      </w:r>
    </w:p>
    <w:p w14:paraId="52644792" w14:textId="09BFD0CB" w:rsidR="009A05C7" w:rsidRPr="00E419ED" w:rsidRDefault="009A05C7" w:rsidP="009A05C7">
      <w:pPr>
        <w:spacing w:before="120" w:line="240" w:lineRule="auto"/>
        <w:rPr>
          <w:sz w:val="24"/>
          <w:szCs w:val="24"/>
        </w:rPr>
      </w:pPr>
      <w:r w:rsidRPr="00E419ED">
        <w:rPr>
          <w:rFonts w:cs="Times New Roman"/>
          <w:b/>
          <w:bCs/>
          <w:sz w:val="24"/>
          <w:szCs w:val="24"/>
        </w:rPr>
        <w:lastRenderedPageBreak/>
        <w:t>Valaliky Industrial Park, s. r. o.</w:t>
      </w:r>
      <w:r w:rsidRPr="00182B66">
        <w:rPr>
          <w:rFonts w:cs="Times New Roman"/>
          <w:sz w:val="24"/>
          <w:szCs w:val="24"/>
        </w:rPr>
        <w:t xml:space="preserve"> zaznamenali zlepšenie hospodárenia </w:t>
      </w:r>
      <w:r w:rsidRPr="00E419ED">
        <w:rPr>
          <w:rFonts w:cs="Times New Roman"/>
          <w:sz w:val="24"/>
          <w:szCs w:val="24"/>
        </w:rPr>
        <w:t>v porovnaní s rozpočtom o 228 956 tis. eur. spôsobené</w:t>
      </w:r>
      <w:r w:rsidRPr="00182B66">
        <w:rPr>
          <w:rFonts w:cs="Times New Roman"/>
          <w:sz w:val="24"/>
          <w:szCs w:val="24"/>
        </w:rPr>
        <w:t xml:space="preserve"> </w:t>
      </w:r>
      <w:r w:rsidRPr="00E419ED">
        <w:rPr>
          <w:rFonts w:cs="Times New Roman"/>
          <w:sz w:val="24"/>
          <w:szCs w:val="24"/>
        </w:rPr>
        <w:t>predovšetkým nižším čerpaním kapitálových výdavkov o 162 974 tis. eur, ktoré bolo zapríčinené dlhším pr</w:t>
      </w:r>
      <w:r>
        <w:rPr>
          <w:rFonts w:cs="Times New Roman"/>
          <w:sz w:val="24"/>
          <w:szCs w:val="24"/>
        </w:rPr>
        <w:t>ocesom verejného obstarávania a </w:t>
      </w:r>
      <w:r w:rsidRPr="00E419ED">
        <w:rPr>
          <w:rFonts w:cs="Times New Roman"/>
          <w:sz w:val="24"/>
          <w:szCs w:val="24"/>
        </w:rPr>
        <w:t>dodatočnými prieskumami územia z dôvodu zvýšenej hladiny podzemných vôd.</w:t>
      </w:r>
    </w:p>
    <w:p w14:paraId="6C1A8820" w14:textId="77777777" w:rsidR="009A05C7" w:rsidRPr="00365536" w:rsidRDefault="009A05C7" w:rsidP="009A05C7">
      <w:pPr>
        <w:spacing w:line="240" w:lineRule="auto"/>
        <w:rPr>
          <w:rFonts w:eastAsia="Times New Roman" w:cs="Times New Roman"/>
          <w:b/>
          <w:sz w:val="24"/>
          <w:szCs w:val="24"/>
          <w:lang w:eastAsia="sk-SK"/>
        </w:rPr>
      </w:pPr>
      <w:bookmarkStart w:id="51" w:name="_Hlk195160458"/>
      <w:r w:rsidRPr="00365536">
        <w:rPr>
          <w:b/>
          <w:sz w:val="24"/>
          <w:szCs w:val="24"/>
        </w:rPr>
        <w:t>Územná samospráva dosiahla ESA schodok 129 585 tis. eur, čo je oproti rozpočtu menej o 284 933 tis. eur (plánovaný schodok bol vo výške 414 518 tis. eur).</w:t>
      </w:r>
    </w:p>
    <w:p w14:paraId="50E51688" w14:textId="7410883A" w:rsidR="009A05C7" w:rsidRPr="004B3574" w:rsidRDefault="009A05C7" w:rsidP="009A05C7">
      <w:pPr>
        <w:spacing w:line="240" w:lineRule="auto"/>
        <w:rPr>
          <w:sz w:val="24"/>
          <w:szCs w:val="24"/>
        </w:rPr>
      </w:pPr>
      <w:bookmarkStart w:id="52" w:name="_Hlk195629143"/>
      <w:bookmarkEnd w:id="51"/>
      <w:r w:rsidRPr="001578E7">
        <w:rPr>
          <w:sz w:val="24"/>
          <w:szCs w:val="24"/>
        </w:rPr>
        <w:t xml:space="preserve">Výšku prebytku ovplyvnilo </w:t>
      </w:r>
      <w:r w:rsidRPr="001578E7">
        <w:rPr>
          <w:b/>
          <w:sz w:val="24"/>
          <w:szCs w:val="24"/>
        </w:rPr>
        <w:t>hospodárenie obcí</w:t>
      </w:r>
      <w:r w:rsidRPr="001578E7">
        <w:rPr>
          <w:sz w:val="24"/>
          <w:szCs w:val="24"/>
        </w:rPr>
        <w:t xml:space="preserve">, ktoré </w:t>
      </w:r>
      <w:r w:rsidRPr="001578E7">
        <w:rPr>
          <w:rFonts w:cs="Times New Roman"/>
          <w:sz w:val="24"/>
          <w:szCs w:val="24"/>
        </w:rPr>
        <w:t xml:space="preserve">mali rozpočtovaný hotovostný schodok 283 250 tis. eur, v skutočnosti dosiahli prebytok vo výške 146 203 tis. eur, čo predstavuje zlepšenie o 439 453 tis. eur. Pozitívny vplyv mali zvýšené daňové príjmy o 84 412 tis. eur, najmä príjmy z podielových daní, vyplatený príjem </w:t>
      </w:r>
      <w:r w:rsidRPr="001A5E50">
        <w:rPr>
          <w:rFonts w:cs="Times New Roman"/>
          <w:sz w:val="24"/>
          <w:szCs w:val="24"/>
        </w:rPr>
        <w:t>DPPO</w:t>
      </w:r>
      <w:r>
        <w:rPr>
          <w:rFonts w:cs="Times New Roman"/>
          <w:sz w:val="24"/>
          <w:szCs w:val="24"/>
        </w:rPr>
        <w:t>, ktorý samosprávy dostali ako kompenzáciu za výpadok ich príjmov z titulu zavedenia zvýšeného daňového bonusu</w:t>
      </w:r>
      <w:r w:rsidR="00D259E2">
        <w:rPr>
          <w:rFonts w:cs="Times New Roman"/>
          <w:sz w:val="24"/>
          <w:szCs w:val="24"/>
        </w:rPr>
        <w:t>. V </w:t>
      </w:r>
      <w:r w:rsidRPr="001A5E50">
        <w:rPr>
          <w:rFonts w:cs="Times New Roman"/>
          <w:sz w:val="24"/>
          <w:szCs w:val="24"/>
        </w:rPr>
        <w:t>roku</w:t>
      </w:r>
      <w:r w:rsidRPr="001578E7">
        <w:rPr>
          <w:rFonts w:cs="Times New Roman"/>
          <w:sz w:val="24"/>
          <w:szCs w:val="24"/>
        </w:rPr>
        <w:t xml:space="preserve"> 2024 bol podiel na</w:t>
      </w:r>
      <w:r>
        <w:rPr>
          <w:rFonts w:cs="Times New Roman"/>
          <w:sz w:val="24"/>
          <w:szCs w:val="24"/>
        </w:rPr>
        <w:t> </w:t>
      </w:r>
      <w:r w:rsidRPr="001578E7">
        <w:rPr>
          <w:rFonts w:cs="Times New Roman"/>
          <w:sz w:val="24"/>
          <w:szCs w:val="24"/>
        </w:rPr>
        <w:t>výnose dane z príjmov fyzických osôb poukazovaný obciam zvý</w:t>
      </w:r>
      <w:r>
        <w:rPr>
          <w:rFonts w:cs="Times New Roman"/>
          <w:sz w:val="24"/>
          <w:szCs w:val="24"/>
        </w:rPr>
        <w:t>šený o sumu 236 546 tis. eur zo </w:t>
      </w:r>
      <w:r w:rsidRPr="001578E7">
        <w:rPr>
          <w:rFonts w:cs="Times New Roman"/>
          <w:sz w:val="24"/>
          <w:szCs w:val="24"/>
        </w:rPr>
        <w:t>zdrojov z DPPO. Skutočný hotovostný prevod dane z</w:t>
      </w:r>
      <w:r w:rsidR="00D259E2">
        <w:rPr>
          <w:rFonts w:cs="Times New Roman"/>
          <w:sz w:val="24"/>
          <w:szCs w:val="24"/>
        </w:rPr>
        <w:t> </w:t>
      </w:r>
      <w:r w:rsidRPr="001578E7">
        <w:rPr>
          <w:rFonts w:cs="Times New Roman"/>
          <w:sz w:val="24"/>
          <w:szCs w:val="24"/>
        </w:rPr>
        <w:t>príjmov fyzických osôb do rozpočtov obcí (vrátane DPPO) bol prevedený vo výške 2 655 412 tis. eur vrátane zúčtovania za predchádzajúci rok (zúčtovanie za rok 2023: 16 379 tis. eur). Prevod za</w:t>
      </w:r>
      <w:r w:rsidR="00D259E2">
        <w:rPr>
          <w:rFonts w:cs="Times New Roman"/>
          <w:sz w:val="24"/>
          <w:szCs w:val="24"/>
        </w:rPr>
        <w:t> </w:t>
      </w:r>
      <w:r w:rsidRPr="001578E7">
        <w:rPr>
          <w:rFonts w:cs="Times New Roman"/>
          <w:sz w:val="24"/>
          <w:szCs w:val="24"/>
        </w:rPr>
        <w:t>rok 2024 bez</w:t>
      </w:r>
      <w:r>
        <w:rPr>
          <w:rFonts w:cs="Times New Roman"/>
          <w:sz w:val="24"/>
          <w:szCs w:val="24"/>
        </w:rPr>
        <w:t> </w:t>
      </w:r>
      <w:r w:rsidRPr="001578E7">
        <w:rPr>
          <w:rFonts w:cs="Times New Roman"/>
          <w:sz w:val="24"/>
          <w:szCs w:val="24"/>
        </w:rPr>
        <w:t>zúčtovania bol vo</w:t>
      </w:r>
      <w:r>
        <w:rPr>
          <w:rFonts w:cs="Times New Roman"/>
          <w:sz w:val="24"/>
          <w:szCs w:val="24"/>
        </w:rPr>
        <w:t> </w:t>
      </w:r>
      <w:r w:rsidRPr="001578E7">
        <w:rPr>
          <w:rFonts w:cs="Times New Roman"/>
          <w:sz w:val="24"/>
          <w:szCs w:val="24"/>
        </w:rPr>
        <w:t>výške 2 639 033 tis. eur.</w:t>
      </w:r>
    </w:p>
    <w:p w14:paraId="7F9E3040" w14:textId="05F13C6D" w:rsidR="009A05C7" w:rsidRPr="00D44127" w:rsidRDefault="009A05C7" w:rsidP="009A05C7">
      <w:pPr>
        <w:spacing w:line="240" w:lineRule="auto"/>
      </w:pPr>
      <w:r>
        <w:rPr>
          <w:rFonts w:cs="Times New Roman"/>
          <w:sz w:val="24"/>
          <w:szCs w:val="24"/>
        </w:rPr>
        <w:t>Lepší výber zaznamenali p</w:t>
      </w:r>
      <w:r w:rsidRPr="00133376">
        <w:rPr>
          <w:rFonts w:cs="Times New Roman"/>
          <w:sz w:val="24"/>
          <w:szCs w:val="24"/>
        </w:rPr>
        <w:t>ríjmy</w:t>
      </w:r>
      <w:r>
        <w:rPr>
          <w:rFonts w:cs="Times New Roman"/>
          <w:sz w:val="24"/>
          <w:szCs w:val="24"/>
        </w:rPr>
        <w:t xml:space="preserve"> dane z nehnuteľnosti, najmä</w:t>
      </w:r>
      <w:r w:rsidRPr="00133376">
        <w:rPr>
          <w:rFonts w:cs="Times New Roman"/>
          <w:sz w:val="24"/>
          <w:szCs w:val="24"/>
        </w:rPr>
        <w:t xml:space="preserve">  da</w:t>
      </w:r>
      <w:r>
        <w:rPr>
          <w:rFonts w:cs="Times New Roman"/>
          <w:sz w:val="24"/>
          <w:szCs w:val="24"/>
        </w:rPr>
        <w:t>ň</w:t>
      </w:r>
      <w:r w:rsidRPr="00133376">
        <w:rPr>
          <w:rFonts w:cs="Times New Roman"/>
          <w:sz w:val="24"/>
          <w:szCs w:val="24"/>
        </w:rPr>
        <w:t xml:space="preserve"> zo stavieb, bytov a</w:t>
      </w:r>
      <w:r w:rsidR="00D259E2">
        <w:rPr>
          <w:rFonts w:cs="Times New Roman"/>
          <w:sz w:val="24"/>
          <w:szCs w:val="24"/>
        </w:rPr>
        <w:t> </w:t>
      </w:r>
      <w:r w:rsidRPr="00133376">
        <w:rPr>
          <w:rFonts w:cs="Times New Roman"/>
          <w:sz w:val="24"/>
          <w:szCs w:val="24"/>
        </w:rPr>
        <w:t>nebytových priestorov,</w:t>
      </w:r>
      <w:r>
        <w:rPr>
          <w:rFonts w:cs="Times New Roman"/>
          <w:sz w:val="24"/>
          <w:szCs w:val="24"/>
        </w:rPr>
        <w:t xml:space="preserve"> dane za špecifické služby. K lepšiemu plnenie daní napomohli aj</w:t>
      </w:r>
      <w:r w:rsidRPr="00133376">
        <w:rPr>
          <w:rFonts w:cs="Times New Roman"/>
          <w:sz w:val="24"/>
          <w:szCs w:val="24"/>
        </w:rPr>
        <w:t xml:space="preserve"> nedaňové príjmy, ktoré vzrástli </w:t>
      </w:r>
      <w:r w:rsidRPr="001A5E50">
        <w:rPr>
          <w:rFonts w:cs="Times New Roman"/>
          <w:sz w:val="24"/>
          <w:szCs w:val="24"/>
        </w:rPr>
        <w:t>o 1</w:t>
      </w:r>
      <w:r>
        <w:rPr>
          <w:rFonts w:cs="Times New Roman"/>
          <w:sz w:val="24"/>
          <w:szCs w:val="24"/>
        </w:rPr>
        <w:t>28</w:t>
      </w:r>
      <w:r w:rsidRPr="001A5E50">
        <w:rPr>
          <w:rFonts w:cs="Times New Roman"/>
          <w:sz w:val="24"/>
          <w:szCs w:val="24"/>
        </w:rPr>
        <w:t> </w:t>
      </w:r>
      <w:r>
        <w:rPr>
          <w:rFonts w:cs="Times New Roman"/>
          <w:sz w:val="24"/>
          <w:szCs w:val="24"/>
        </w:rPr>
        <w:t>769</w:t>
      </w:r>
      <w:r w:rsidRPr="001A5E50">
        <w:rPr>
          <w:rFonts w:cs="Times New Roman"/>
          <w:sz w:val="24"/>
          <w:szCs w:val="24"/>
        </w:rPr>
        <w:t> tis. eur</w:t>
      </w:r>
      <w:r>
        <w:rPr>
          <w:rFonts w:cs="Times New Roman"/>
          <w:sz w:val="24"/>
          <w:szCs w:val="24"/>
        </w:rPr>
        <w:t>.</w:t>
      </w:r>
      <w:r w:rsidRPr="00133376">
        <w:rPr>
          <w:rFonts w:cs="Times New Roman"/>
          <w:sz w:val="24"/>
          <w:szCs w:val="24"/>
        </w:rPr>
        <w:t xml:space="preserve"> Rozpočtové kapitoly na rok 2024 predbežne nerozpočtovali transfery na financovanie</w:t>
      </w:r>
      <w:r w:rsidR="00D259E2">
        <w:rPr>
          <w:rFonts w:cs="Times New Roman"/>
          <w:sz w:val="24"/>
          <w:szCs w:val="24"/>
        </w:rPr>
        <w:t xml:space="preserve"> projektov EÚ a SR, čo viedlo k </w:t>
      </w:r>
      <w:r w:rsidRPr="00133376">
        <w:rPr>
          <w:rFonts w:cs="Times New Roman"/>
          <w:sz w:val="24"/>
          <w:szCs w:val="24"/>
        </w:rPr>
        <w:t>ďalším nárastom prijatých grantov a</w:t>
      </w:r>
      <w:r>
        <w:rPr>
          <w:rFonts w:cs="Times New Roman"/>
          <w:sz w:val="24"/>
          <w:szCs w:val="24"/>
        </w:rPr>
        <w:t> </w:t>
      </w:r>
      <w:r w:rsidRPr="00133376">
        <w:rPr>
          <w:rFonts w:cs="Times New Roman"/>
          <w:sz w:val="24"/>
          <w:szCs w:val="24"/>
        </w:rPr>
        <w:t xml:space="preserve">transferov </w:t>
      </w:r>
      <w:r w:rsidRPr="00F16338">
        <w:rPr>
          <w:rFonts w:cs="Times New Roman"/>
          <w:sz w:val="24"/>
          <w:szCs w:val="24"/>
        </w:rPr>
        <w:t>o 906 054 tis. eur</w:t>
      </w:r>
      <w:r w:rsidRPr="00133376">
        <w:t>.</w:t>
      </w:r>
      <w:r>
        <w:t xml:space="preserve"> </w:t>
      </w:r>
      <w:r w:rsidRPr="0089361A">
        <w:rPr>
          <w:sz w:val="24"/>
          <w:szCs w:val="24"/>
        </w:rPr>
        <w:t xml:space="preserve">Tieto boli použité </w:t>
      </w:r>
      <w:r w:rsidR="00D259E2">
        <w:rPr>
          <w:rFonts w:cs="Times New Roman"/>
          <w:sz w:val="24"/>
          <w:szCs w:val="24"/>
        </w:rPr>
        <w:t>na </w:t>
      </w:r>
      <w:r w:rsidRPr="0089361A">
        <w:rPr>
          <w:rFonts w:cs="Times New Roman"/>
          <w:sz w:val="24"/>
          <w:szCs w:val="24"/>
        </w:rPr>
        <w:t>úhradu nákladov na prenesený výkon štátnej správy, na úhradu nákladov súvisiacich s ozbrojeným</w:t>
      </w:r>
      <w:r w:rsidRPr="00466E31">
        <w:rPr>
          <w:rFonts w:cs="Times New Roman"/>
          <w:sz w:val="24"/>
          <w:szCs w:val="24"/>
        </w:rPr>
        <w:t xml:space="preserve"> konfliktom na</w:t>
      </w:r>
      <w:r>
        <w:rPr>
          <w:rFonts w:cs="Times New Roman"/>
          <w:sz w:val="24"/>
          <w:szCs w:val="24"/>
        </w:rPr>
        <w:t> Ukrajine (na </w:t>
      </w:r>
      <w:r w:rsidRPr="00466E31">
        <w:rPr>
          <w:rFonts w:cs="Times New Roman"/>
          <w:sz w:val="24"/>
          <w:szCs w:val="24"/>
        </w:rPr>
        <w:t>ubytovanie odídencov), na ochranu životného prostredia, na</w:t>
      </w:r>
      <w:r w:rsidR="00D259E2">
        <w:rPr>
          <w:rFonts w:cs="Times New Roman"/>
          <w:sz w:val="24"/>
          <w:szCs w:val="24"/>
        </w:rPr>
        <w:t> </w:t>
      </w:r>
      <w:r w:rsidRPr="00466E31">
        <w:rPr>
          <w:rFonts w:cs="Times New Roman"/>
          <w:sz w:val="24"/>
          <w:szCs w:val="24"/>
        </w:rPr>
        <w:t>sociálne služby, na</w:t>
      </w:r>
      <w:r>
        <w:rPr>
          <w:rFonts w:cs="Times New Roman"/>
          <w:sz w:val="24"/>
          <w:szCs w:val="24"/>
        </w:rPr>
        <w:t> </w:t>
      </w:r>
      <w:r w:rsidRPr="00466E31">
        <w:rPr>
          <w:rFonts w:cs="Times New Roman"/>
          <w:sz w:val="24"/>
          <w:szCs w:val="24"/>
        </w:rPr>
        <w:t xml:space="preserve">rozvojové aktivity v obciach a mestách </w:t>
      </w:r>
      <w:r>
        <w:rPr>
          <w:rFonts w:cs="Times New Roman"/>
          <w:sz w:val="24"/>
          <w:szCs w:val="24"/>
        </w:rPr>
        <w:t xml:space="preserve">a </w:t>
      </w:r>
      <w:r w:rsidRPr="00466E31">
        <w:rPr>
          <w:rFonts w:cs="Times New Roman"/>
          <w:sz w:val="24"/>
          <w:szCs w:val="24"/>
        </w:rPr>
        <w:t>na realizáciu prebiehajúcich a plánovaných investičných akcií v rámci projektov odpadového hospodárstva, kvality zelene, sociálnych služieb, školstva a dopravy.</w:t>
      </w:r>
    </w:p>
    <w:p w14:paraId="72AE0713" w14:textId="7E370B21" w:rsidR="009A05C7" w:rsidRPr="0061466D" w:rsidRDefault="009A05C7" w:rsidP="009A05C7">
      <w:pPr>
        <w:spacing w:line="240" w:lineRule="auto"/>
        <w:rPr>
          <w:rFonts w:cs="Times New Roman"/>
          <w:sz w:val="24"/>
          <w:szCs w:val="24"/>
          <w:highlight w:val="yellow"/>
        </w:rPr>
      </w:pPr>
      <w:r w:rsidRPr="0067640F">
        <w:rPr>
          <w:rFonts w:cs="Times New Roman"/>
          <w:sz w:val="24"/>
          <w:szCs w:val="24"/>
        </w:rPr>
        <w:t xml:space="preserve">Z výdavkov sa oproti rozpočtu ušetrilo na kapitálových transferoch (o 12 981 tis. eur), </w:t>
      </w:r>
      <w:r>
        <w:rPr>
          <w:rFonts w:cs="Times New Roman"/>
          <w:sz w:val="24"/>
          <w:szCs w:val="24"/>
        </w:rPr>
        <w:t xml:space="preserve">avšak </w:t>
      </w:r>
      <w:r w:rsidRPr="0067640F">
        <w:rPr>
          <w:rFonts w:cs="Times New Roman"/>
          <w:sz w:val="24"/>
          <w:szCs w:val="24"/>
        </w:rPr>
        <w:t xml:space="preserve">ostatné výdavkové položky </w:t>
      </w:r>
      <w:r>
        <w:rPr>
          <w:rFonts w:cs="Times New Roman"/>
          <w:sz w:val="24"/>
          <w:szCs w:val="24"/>
        </w:rPr>
        <w:t>prekročili rozpočet</w:t>
      </w:r>
      <w:r w:rsidRPr="0067640F">
        <w:rPr>
          <w:rFonts w:cs="Times New Roman"/>
          <w:sz w:val="24"/>
          <w:szCs w:val="24"/>
        </w:rPr>
        <w:t xml:space="preserve">. </w:t>
      </w:r>
      <w:r>
        <w:rPr>
          <w:rFonts w:cs="Times New Roman"/>
          <w:sz w:val="24"/>
          <w:szCs w:val="24"/>
        </w:rPr>
        <w:t xml:space="preserve">Tak </w:t>
      </w:r>
      <w:r w:rsidRPr="0022434A">
        <w:rPr>
          <w:rFonts w:cs="Times New Roman"/>
          <w:sz w:val="24"/>
          <w:szCs w:val="24"/>
        </w:rPr>
        <w:t xml:space="preserve">ako v predchádzajúcom období aj v roku 2024 sa vyplatilo oproti rozpočtu menej kapitálových transferov dopravným podnikom. Naopak, viac kapitálových transferov smerovalo do ostatných obcí a príspevkových organizácií. </w:t>
      </w:r>
      <w:r>
        <w:rPr>
          <w:rFonts w:cs="Times New Roman"/>
          <w:sz w:val="24"/>
          <w:szCs w:val="24"/>
        </w:rPr>
        <w:t>B</w:t>
      </w:r>
      <w:r w:rsidRPr="00DC3F89">
        <w:rPr>
          <w:rFonts w:cs="Times New Roman"/>
          <w:sz w:val="24"/>
          <w:szCs w:val="24"/>
        </w:rPr>
        <w:t>ežné výdavky</w:t>
      </w:r>
      <w:r>
        <w:rPr>
          <w:rFonts w:cs="Times New Roman"/>
          <w:sz w:val="24"/>
          <w:szCs w:val="24"/>
        </w:rPr>
        <w:t xml:space="preserve"> vzrástli</w:t>
      </w:r>
      <w:r w:rsidRPr="00DC3F89">
        <w:rPr>
          <w:rFonts w:cs="Times New Roman"/>
          <w:sz w:val="24"/>
          <w:szCs w:val="24"/>
        </w:rPr>
        <w:t xml:space="preserve"> o 350 924 tis. eur. </w:t>
      </w:r>
      <w:r>
        <w:rPr>
          <w:rFonts w:cs="Times New Roman"/>
          <w:sz w:val="24"/>
          <w:szCs w:val="24"/>
        </w:rPr>
        <w:t xml:space="preserve">Rastom životných nákladov a následnou valorizáciou platov sa zvýšili výdavky na osobné náklady </w:t>
      </w:r>
      <w:r w:rsidRPr="00DC3F89">
        <w:rPr>
          <w:rFonts w:cs="Times New Roman"/>
          <w:sz w:val="24"/>
          <w:szCs w:val="24"/>
        </w:rPr>
        <w:t>o 105 450 tis. eur</w:t>
      </w:r>
      <w:r>
        <w:rPr>
          <w:rFonts w:cs="Times New Roman"/>
          <w:sz w:val="24"/>
          <w:szCs w:val="24"/>
        </w:rPr>
        <w:t>. Negatívny vplyv na hospodárenie zaznamenal aj n</w:t>
      </w:r>
      <w:r w:rsidRPr="00762401">
        <w:rPr>
          <w:rFonts w:cs="Times New Roman"/>
          <w:sz w:val="24"/>
          <w:szCs w:val="24"/>
        </w:rPr>
        <w:t>árast výdavkov na tovary a</w:t>
      </w:r>
      <w:r>
        <w:rPr>
          <w:rFonts w:cs="Times New Roman"/>
          <w:sz w:val="24"/>
          <w:szCs w:val="24"/>
        </w:rPr>
        <w:t> </w:t>
      </w:r>
      <w:r w:rsidRPr="00762401">
        <w:rPr>
          <w:rFonts w:cs="Times New Roman"/>
          <w:sz w:val="24"/>
          <w:szCs w:val="24"/>
        </w:rPr>
        <w:t>služby</w:t>
      </w:r>
      <w:r>
        <w:rPr>
          <w:rFonts w:cs="Times New Roman"/>
          <w:sz w:val="24"/>
          <w:szCs w:val="24"/>
        </w:rPr>
        <w:t xml:space="preserve"> </w:t>
      </w:r>
      <w:r w:rsidRPr="00DC3F89">
        <w:rPr>
          <w:rFonts w:cs="Times New Roman"/>
          <w:sz w:val="24"/>
          <w:szCs w:val="24"/>
        </w:rPr>
        <w:t>o 46 140 tis. eur</w:t>
      </w:r>
      <w:r w:rsidRPr="00762401">
        <w:rPr>
          <w:rFonts w:cs="Times New Roman"/>
          <w:sz w:val="24"/>
          <w:szCs w:val="24"/>
        </w:rPr>
        <w:t>, najmä v kontexte inflácie, rastúcich cien</w:t>
      </w:r>
      <w:r>
        <w:rPr>
          <w:rFonts w:cs="Times New Roman"/>
          <w:sz w:val="24"/>
          <w:szCs w:val="24"/>
        </w:rPr>
        <w:t xml:space="preserve"> </w:t>
      </w:r>
      <w:r w:rsidRPr="00EA1728">
        <w:rPr>
          <w:rFonts w:cs="Times New Roman"/>
          <w:sz w:val="24"/>
          <w:szCs w:val="24"/>
        </w:rPr>
        <w:t>základných tovarov a</w:t>
      </w:r>
      <w:r>
        <w:rPr>
          <w:rFonts w:cs="Times New Roman"/>
          <w:sz w:val="24"/>
          <w:szCs w:val="24"/>
        </w:rPr>
        <w:t> </w:t>
      </w:r>
      <w:r w:rsidRPr="00EA1728">
        <w:rPr>
          <w:rFonts w:cs="Times New Roman"/>
          <w:sz w:val="24"/>
          <w:szCs w:val="24"/>
        </w:rPr>
        <w:t>služieb</w:t>
      </w:r>
      <w:r>
        <w:rPr>
          <w:rFonts w:cs="Times New Roman"/>
          <w:sz w:val="24"/>
          <w:szCs w:val="24"/>
        </w:rPr>
        <w:t>.</w:t>
      </w:r>
      <w:r w:rsidRPr="00EA1728">
        <w:rPr>
          <w:rFonts w:cs="Times New Roman"/>
          <w:sz w:val="24"/>
          <w:szCs w:val="24"/>
        </w:rPr>
        <w:t xml:space="preserve"> </w:t>
      </w:r>
      <w:r>
        <w:rPr>
          <w:rFonts w:cs="Times New Roman"/>
          <w:sz w:val="24"/>
          <w:szCs w:val="24"/>
        </w:rPr>
        <w:t>Nad</w:t>
      </w:r>
      <w:r w:rsidR="00D259E2">
        <w:rPr>
          <w:rFonts w:cs="Times New Roman"/>
          <w:sz w:val="24"/>
          <w:szCs w:val="24"/>
        </w:rPr>
        <w:t> </w:t>
      </w:r>
      <w:r>
        <w:rPr>
          <w:rFonts w:cs="Times New Roman"/>
          <w:sz w:val="24"/>
          <w:szCs w:val="24"/>
        </w:rPr>
        <w:t xml:space="preserve">stanovený rozpočet sa čerpali </w:t>
      </w:r>
      <w:r w:rsidRPr="009E26CC">
        <w:rPr>
          <w:rFonts w:cs="Times New Roman"/>
          <w:sz w:val="24"/>
          <w:szCs w:val="24"/>
        </w:rPr>
        <w:t>bežn</w:t>
      </w:r>
      <w:r>
        <w:rPr>
          <w:rFonts w:cs="Times New Roman"/>
          <w:sz w:val="24"/>
          <w:szCs w:val="24"/>
        </w:rPr>
        <w:t>é</w:t>
      </w:r>
      <w:r w:rsidRPr="009E26CC">
        <w:rPr>
          <w:rFonts w:cs="Times New Roman"/>
          <w:sz w:val="24"/>
          <w:szCs w:val="24"/>
        </w:rPr>
        <w:t xml:space="preserve"> transfer</w:t>
      </w:r>
      <w:r>
        <w:rPr>
          <w:rFonts w:cs="Times New Roman"/>
          <w:sz w:val="24"/>
          <w:szCs w:val="24"/>
        </w:rPr>
        <w:t>y</w:t>
      </w:r>
      <w:r w:rsidRPr="009E26CC">
        <w:rPr>
          <w:rFonts w:cs="Times New Roman"/>
          <w:sz w:val="24"/>
          <w:szCs w:val="24"/>
        </w:rPr>
        <w:t xml:space="preserve"> o</w:t>
      </w:r>
      <w:r>
        <w:rPr>
          <w:rFonts w:cs="Times New Roman"/>
          <w:sz w:val="24"/>
          <w:szCs w:val="24"/>
        </w:rPr>
        <w:t> sumu </w:t>
      </w:r>
      <w:r w:rsidRPr="009E26CC">
        <w:rPr>
          <w:rFonts w:cs="Times New Roman"/>
          <w:sz w:val="24"/>
          <w:szCs w:val="24"/>
        </w:rPr>
        <w:t>177 802 tis. eur. Najväčší objem tvorili transf</w:t>
      </w:r>
      <w:r>
        <w:rPr>
          <w:rFonts w:cs="Times New Roman"/>
          <w:sz w:val="24"/>
          <w:szCs w:val="24"/>
        </w:rPr>
        <w:t>ery v rámci verejnej správy pre </w:t>
      </w:r>
      <w:r w:rsidRPr="009E26CC">
        <w:rPr>
          <w:rFonts w:cs="Times New Roman"/>
          <w:sz w:val="24"/>
          <w:szCs w:val="24"/>
        </w:rPr>
        <w:t>príspevkové organizácie (219</w:t>
      </w:r>
      <w:r>
        <w:rPr>
          <w:rFonts w:cs="Times New Roman"/>
          <w:sz w:val="24"/>
          <w:szCs w:val="24"/>
        </w:rPr>
        <w:t> </w:t>
      </w:r>
      <w:r w:rsidRPr="009E26CC">
        <w:rPr>
          <w:rFonts w:cs="Times New Roman"/>
          <w:sz w:val="24"/>
          <w:szCs w:val="24"/>
        </w:rPr>
        <w:t>352 tis.</w:t>
      </w:r>
      <w:r>
        <w:rPr>
          <w:rFonts w:cs="Times New Roman"/>
          <w:sz w:val="24"/>
          <w:szCs w:val="24"/>
        </w:rPr>
        <w:t> eur) a dopravným podnikom (159 </w:t>
      </w:r>
      <w:r w:rsidRPr="009E26CC">
        <w:rPr>
          <w:rFonts w:cs="Times New Roman"/>
          <w:sz w:val="24"/>
          <w:szCs w:val="24"/>
        </w:rPr>
        <w:t>372 tis. eur).</w:t>
      </w:r>
    </w:p>
    <w:p w14:paraId="19525F9D" w14:textId="77777777" w:rsidR="009A05C7" w:rsidRPr="00133376" w:rsidRDefault="009A05C7" w:rsidP="009A05C7">
      <w:pPr>
        <w:spacing w:after="160" w:line="240" w:lineRule="auto"/>
        <w:rPr>
          <w:rFonts w:cs="Times New Roman"/>
          <w:sz w:val="24"/>
          <w:szCs w:val="24"/>
        </w:rPr>
      </w:pPr>
      <w:r w:rsidRPr="006D72E6">
        <w:rPr>
          <w:rFonts w:cs="Times New Roman"/>
          <w:sz w:val="24"/>
          <w:szCs w:val="24"/>
        </w:rPr>
        <w:t>Výdavky na obstaranie kapitálových aktív vzrástli o 351 839 tis. eur</w:t>
      </w:r>
      <w:r>
        <w:rPr>
          <w:rFonts w:cs="Times New Roman"/>
          <w:sz w:val="24"/>
          <w:szCs w:val="24"/>
        </w:rPr>
        <w:t xml:space="preserve">, </w:t>
      </w:r>
      <w:r w:rsidRPr="00133376">
        <w:rPr>
          <w:rFonts w:cs="Times New Roman"/>
          <w:sz w:val="24"/>
          <w:szCs w:val="24"/>
        </w:rPr>
        <w:t>pričom najväčšie investície smerovali do vzdelávania, športu a zdravotnej infraštruktúry.</w:t>
      </w:r>
    </w:p>
    <w:p w14:paraId="082AB952" w14:textId="77777777" w:rsidR="009A05C7" w:rsidRPr="00431BEA" w:rsidRDefault="009A05C7" w:rsidP="009A05C7">
      <w:pPr>
        <w:spacing w:line="240" w:lineRule="auto"/>
        <w:rPr>
          <w:sz w:val="24"/>
          <w:szCs w:val="24"/>
        </w:rPr>
      </w:pPr>
      <w:r w:rsidRPr="00431BEA">
        <w:rPr>
          <w:rFonts w:cs="Times New Roman"/>
          <w:sz w:val="24"/>
          <w:szCs w:val="24"/>
        </w:rPr>
        <w:t>Hospodárenie podľa metodiky ESA 2010 skončilo</w:t>
      </w:r>
      <w:r>
        <w:rPr>
          <w:rFonts w:cs="Times New Roman"/>
          <w:sz w:val="24"/>
          <w:szCs w:val="24"/>
        </w:rPr>
        <w:t xml:space="preserve"> s prebytkom 35 270 tis. eur, z </w:t>
      </w:r>
      <w:r w:rsidRPr="00431BEA">
        <w:rPr>
          <w:rFonts w:cs="Times New Roman"/>
          <w:sz w:val="24"/>
          <w:szCs w:val="24"/>
        </w:rPr>
        <w:t xml:space="preserve">dôvodu negatívneho vplyvu časového rozlíšenia vo výške 108 225 tis. eur a </w:t>
      </w:r>
      <w:r>
        <w:rPr>
          <w:rFonts w:cs="Times New Roman"/>
          <w:sz w:val="24"/>
          <w:szCs w:val="24"/>
        </w:rPr>
        <w:t>ostatných úprav vo </w:t>
      </w:r>
      <w:r w:rsidRPr="00431BEA">
        <w:rPr>
          <w:rFonts w:cs="Times New Roman"/>
          <w:sz w:val="24"/>
          <w:szCs w:val="24"/>
        </w:rPr>
        <w:t xml:space="preserve">výške 2 708 tis. eur. Z časového rozlíšenia sa na nižšom ESA prebytku najviac podieľal medziročný nárast záväzkov o 112 431 tis. eur (z toho </w:t>
      </w:r>
      <w:r w:rsidRPr="00431BEA">
        <w:rPr>
          <w:sz w:val="24"/>
          <w:szCs w:val="24"/>
        </w:rPr>
        <w:t>záväzky voči dodávateľom o </w:t>
      </w:r>
      <w:r>
        <w:rPr>
          <w:sz w:val="24"/>
          <w:szCs w:val="24"/>
        </w:rPr>
        <w:t>69</w:t>
      </w:r>
      <w:r w:rsidRPr="00431BEA">
        <w:rPr>
          <w:sz w:val="24"/>
          <w:szCs w:val="24"/>
        </w:rPr>
        <w:t> </w:t>
      </w:r>
      <w:r>
        <w:rPr>
          <w:sz w:val="24"/>
          <w:szCs w:val="24"/>
        </w:rPr>
        <w:t>004</w:t>
      </w:r>
      <w:r w:rsidRPr="00431BEA">
        <w:rPr>
          <w:sz w:val="24"/>
          <w:szCs w:val="24"/>
        </w:rPr>
        <w:t> tis. eur)</w:t>
      </w:r>
      <w:r>
        <w:rPr>
          <w:sz w:val="24"/>
          <w:szCs w:val="24"/>
        </w:rPr>
        <w:t xml:space="preserve"> a ostatné záväzky o 39 996 tis. eur</w:t>
      </w:r>
      <w:r w:rsidRPr="00431BEA">
        <w:rPr>
          <w:sz w:val="24"/>
          <w:szCs w:val="24"/>
        </w:rPr>
        <w:t>.</w:t>
      </w:r>
    </w:p>
    <w:bookmarkEnd w:id="52"/>
    <w:p w14:paraId="7E35B34F" w14:textId="77777777" w:rsidR="00616B20" w:rsidRDefault="00616B20">
      <w:pPr>
        <w:spacing w:after="160" w:line="259" w:lineRule="auto"/>
        <w:jc w:val="left"/>
        <w:rPr>
          <w:rFonts w:cs="Times New Roman"/>
          <w:b/>
          <w:sz w:val="24"/>
          <w:szCs w:val="24"/>
        </w:rPr>
      </w:pPr>
      <w:r>
        <w:rPr>
          <w:rFonts w:cs="Times New Roman"/>
          <w:b/>
          <w:sz w:val="24"/>
          <w:szCs w:val="24"/>
        </w:rPr>
        <w:br w:type="page"/>
      </w:r>
    </w:p>
    <w:p w14:paraId="6A142380" w14:textId="53EE761A" w:rsidR="009A05C7" w:rsidRPr="001934E2" w:rsidRDefault="009A05C7" w:rsidP="009A05C7">
      <w:pPr>
        <w:spacing w:line="240" w:lineRule="auto"/>
        <w:rPr>
          <w:rFonts w:cs="Times New Roman"/>
          <w:sz w:val="24"/>
          <w:szCs w:val="24"/>
        </w:rPr>
      </w:pPr>
      <w:r w:rsidRPr="00B27213">
        <w:rPr>
          <w:rFonts w:cs="Times New Roman"/>
          <w:b/>
          <w:sz w:val="24"/>
          <w:szCs w:val="24"/>
        </w:rPr>
        <w:lastRenderedPageBreak/>
        <w:t>Vyššie územné celky</w:t>
      </w:r>
      <w:r w:rsidRPr="00B27213">
        <w:rPr>
          <w:rFonts w:cs="Times New Roman"/>
          <w:sz w:val="24"/>
          <w:szCs w:val="24"/>
        </w:rPr>
        <w:t xml:space="preserve"> v porovnaní s rozpoč</w:t>
      </w:r>
      <w:r>
        <w:rPr>
          <w:rFonts w:cs="Times New Roman"/>
          <w:sz w:val="24"/>
          <w:szCs w:val="24"/>
        </w:rPr>
        <w:t>tovaným hotovostným schodkom vo </w:t>
      </w:r>
      <w:r w:rsidRPr="00B27213">
        <w:rPr>
          <w:rFonts w:cs="Times New Roman"/>
          <w:sz w:val="24"/>
          <w:szCs w:val="24"/>
        </w:rPr>
        <w:t>výške 115 617 tis. eur hospodárili lepšie o sumu 73 974 tis. eur a </w:t>
      </w:r>
      <w:r>
        <w:rPr>
          <w:rFonts w:cs="Times New Roman"/>
          <w:sz w:val="24"/>
          <w:szCs w:val="24"/>
        </w:rPr>
        <w:t xml:space="preserve"> dosiahli hotovostný schodok vo </w:t>
      </w:r>
      <w:r w:rsidRPr="00B27213">
        <w:rPr>
          <w:rFonts w:cs="Times New Roman"/>
          <w:sz w:val="24"/>
          <w:szCs w:val="24"/>
        </w:rPr>
        <w:t>výške 41 </w:t>
      </w:r>
      <w:r>
        <w:rPr>
          <w:rFonts w:cs="Times New Roman"/>
          <w:sz w:val="24"/>
          <w:szCs w:val="24"/>
        </w:rPr>
        <w:t>643</w:t>
      </w:r>
      <w:r w:rsidRPr="00B27213">
        <w:rPr>
          <w:rFonts w:cs="Times New Roman"/>
          <w:sz w:val="24"/>
          <w:szCs w:val="24"/>
        </w:rPr>
        <w:t> tis. eur. V roku 2024 bol podiel na výnose dane z príjmov fyzických osôb</w:t>
      </w:r>
      <w:r w:rsidRPr="001934E2">
        <w:rPr>
          <w:rFonts w:cs="Times New Roman"/>
          <w:sz w:val="24"/>
          <w:szCs w:val="24"/>
        </w:rPr>
        <w:t xml:space="preserve"> poukazovaný VÚC zvýšený o sumu 101 377 tis. eur zo zdrojov z DPPO. Skutočný hotovostný prevod dane z príjmov fyzických osôb do rozpočtov VÚC (vrátane DPPO) bol prevedený vo</w:t>
      </w:r>
      <w:r>
        <w:rPr>
          <w:rFonts w:cs="Times New Roman"/>
          <w:sz w:val="24"/>
          <w:szCs w:val="24"/>
        </w:rPr>
        <w:t> </w:t>
      </w:r>
      <w:r w:rsidRPr="001934E2">
        <w:rPr>
          <w:rFonts w:cs="Times New Roman"/>
          <w:sz w:val="24"/>
          <w:szCs w:val="24"/>
        </w:rPr>
        <w:t>výške 1 138 034 tis. eur vrátane zúčtovania za predchádzajúci rok (zúčtovanie za rok 2023: 7 020 tis. eur). Prevod za rok 2024 bez zúčtovania bol vo výške 1 131 014 tis. eur.</w:t>
      </w:r>
    </w:p>
    <w:p w14:paraId="21A2E5DB" w14:textId="77777777" w:rsidR="009A05C7" w:rsidRPr="00BC6569" w:rsidRDefault="009A05C7" w:rsidP="009A05C7">
      <w:pPr>
        <w:spacing w:line="240" w:lineRule="auto"/>
        <w:rPr>
          <w:rFonts w:cs="Times New Roman"/>
          <w:sz w:val="24"/>
          <w:szCs w:val="24"/>
        </w:rPr>
      </w:pPr>
      <w:r>
        <w:rPr>
          <w:rFonts w:cs="Times New Roman"/>
          <w:sz w:val="24"/>
          <w:szCs w:val="24"/>
        </w:rPr>
        <w:t>Samosprávne kraje</w:t>
      </w:r>
      <w:r w:rsidRPr="00BC6569">
        <w:rPr>
          <w:rFonts w:cs="Times New Roman"/>
          <w:sz w:val="24"/>
          <w:szCs w:val="24"/>
        </w:rPr>
        <w:t xml:space="preserve"> mali celkové príjmy v sume 2 135 223 tis. eur, čo predstavuje nárast o 158 437 tis. eur oproti plánovaným. Z nedaňových</w:t>
      </w:r>
      <w:r>
        <w:rPr>
          <w:rFonts w:cs="Times New Roman"/>
          <w:sz w:val="24"/>
          <w:szCs w:val="24"/>
        </w:rPr>
        <w:t xml:space="preserve"> príjmov najvyšší nárast bol za </w:t>
      </w:r>
      <w:r w:rsidRPr="00BC6569">
        <w:rPr>
          <w:rFonts w:cs="Times New Roman"/>
          <w:sz w:val="24"/>
          <w:szCs w:val="24"/>
        </w:rPr>
        <w:t>príjmy z administratívnych poplatkov o 17 048 tis. eur najmä za predaj výrobkov, tovarov a služieb a stravné a kapitálové príjmy o 15</w:t>
      </w:r>
      <w:r>
        <w:rPr>
          <w:rFonts w:cs="Times New Roman"/>
          <w:sz w:val="24"/>
          <w:szCs w:val="24"/>
        </w:rPr>
        <w:t> </w:t>
      </w:r>
      <w:r w:rsidRPr="00BC6569">
        <w:rPr>
          <w:rFonts w:cs="Times New Roman"/>
          <w:sz w:val="24"/>
          <w:szCs w:val="24"/>
        </w:rPr>
        <w:t>361</w:t>
      </w:r>
      <w:r>
        <w:rPr>
          <w:rFonts w:cs="Times New Roman"/>
          <w:sz w:val="24"/>
          <w:szCs w:val="24"/>
        </w:rPr>
        <w:t> </w:t>
      </w:r>
      <w:r w:rsidRPr="00BC6569">
        <w:rPr>
          <w:rFonts w:cs="Times New Roman"/>
          <w:sz w:val="24"/>
          <w:szCs w:val="24"/>
        </w:rPr>
        <w:t>tis.</w:t>
      </w:r>
      <w:r>
        <w:rPr>
          <w:rFonts w:cs="Times New Roman"/>
          <w:sz w:val="24"/>
          <w:szCs w:val="24"/>
        </w:rPr>
        <w:t> </w:t>
      </w:r>
      <w:r w:rsidRPr="00BC6569">
        <w:rPr>
          <w:rFonts w:cs="Times New Roman"/>
          <w:sz w:val="24"/>
          <w:szCs w:val="24"/>
        </w:rPr>
        <w:t xml:space="preserve">eur. </w:t>
      </w:r>
      <w:r>
        <w:rPr>
          <w:rFonts w:cs="Times New Roman"/>
          <w:sz w:val="24"/>
          <w:szCs w:val="24"/>
        </w:rPr>
        <w:t>Nad rámec rozpočtu sa plnili príjmy z grantov a transferov</w:t>
      </w:r>
      <w:r w:rsidRPr="00BC6569">
        <w:rPr>
          <w:rFonts w:cs="Times New Roman"/>
          <w:sz w:val="24"/>
          <w:szCs w:val="24"/>
        </w:rPr>
        <w:t xml:space="preserve"> úhrnom o </w:t>
      </w:r>
      <w:r>
        <w:rPr>
          <w:rFonts w:cs="Times New Roman"/>
          <w:sz w:val="24"/>
          <w:szCs w:val="24"/>
        </w:rPr>
        <w:t>149</w:t>
      </w:r>
      <w:r w:rsidRPr="00BC6569">
        <w:rPr>
          <w:rFonts w:cs="Times New Roman"/>
          <w:sz w:val="24"/>
          <w:szCs w:val="24"/>
        </w:rPr>
        <w:t> </w:t>
      </w:r>
      <w:r>
        <w:rPr>
          <w:rFonts w:cs="Times New Roman"/>
          <w:sz w:val="24"/>
          <w:szCs w:val="24"/>
        </w:rPr>
        <w:t>181</w:t>
      </w:r>
      <w:r w:rsidRPr="00BC6569">
        <w:rPr>
          <w:rFonts w:cs="Times New Roman"/>
          <w:sz w:val="24"/>
          <w:szCs w:val="24"/>
        </w:rPr>
        <w:t> tis. eur</w:t>
      </w:r>
      <w:r>
        <w:rPr>
          <w:rFonts w:cs="Times New Roman"/>
          <w:sz w:val="24"/>
          <w:szCs w:val="24"/>
        </w:rPr>
        <w:t xml:space="preserve">, a to z dôvodu </w:t>
      </w:r>
      <w:r w:rsidRPr="002E6E5B">
        <w:rPr>
          <w:rFonts w:cs="Times New Roman"/>
          <w:sz w:val="24"/>
          <w:szCs w:val="24"/>
        </w:rPr>
        <w:t>nezapájania zdrojov kapitol štátneho rozpočtu počas príprav rozpočtu</w:t>
      </w:r>
      <w:r>
        <w:rPr>
          <w:rFonts w:cs="Times New Roman"/>
          <w:sz w:val="24"/>
          <w:szCs w:val="24"/>
        </w:rPr>
        <w:t>.</w:t>
      </w:r>
      <w:r w:rsidRPr="00BC6569">
        <w:rPr>
          <w:rFonts w:cs="Times New Roman"/>
          <w:sz w:val="24"/>
          <w:szCs w:val="24"/>
        </w:rPr>
        <w:t xml:space="preserve"> Boli určené najmä na financovanie preneseného výkonu štátnej správy na úseku školstva a na financovanie investičných projektov.</w:t>
      </w:r>
    </w:p>
    <w:p w14:paraId="0158BBCF" w14:textId="77777777" w:rsidR="009A05C7" w:rsidRPr="00AD12E2" w:rsidRDefault="009A05C7" w:rsidP="009A05C7">
      <w:pPr>
        <w:spacing w:line="240" w:lineRule="auto"/>
        <w:rPr>
          <w:rFonts w:cs="Times New Roman"/>
          <w:sz w:val="24"/>
          <w:szCs w:val="24"/>
          <w:highlight w:val="yellow"/>
        </w:rPr>
      </w:pPr>
      <w:r>
        <w:rPr>
          <w:rFonts w:cs="Times New Roman"/>
          <w:sz w:val="24"/>
          <w:szCs w:val="24"/>
        </w:rPr>
        <w:t xml:space="preserve">Celkové výdavky </w:t>
      </w:r>
      <w:r w:rsidRPr="009E7E3F">
        <w:rPr>
          <w:rFonts w:cs="Times New Roman"/>
          <w:sz w:val="24"/>
          <w:szCs w:val="24"/>
        </w:rPr>
        <w:t>n</w:t>
      </w:r>
      <w:r>
        <w:rPr>
          <w:rFonts w:cs="Times New Roman"/>
          <w:sz w:val="24"/>
          <w:szCs w:val="24"/>
        </w:rPr>
        <w:t>a</w:t>
      </w:r>
      <w:r w:rsidRPr="009E7E3F">
        <w:rPr>
          <w:rFonts w:cs="Times New Roman"/>
          <w:sz w:val="24"/>
          <w:szCs w:val="24"/>
        </w:rPr>
        <w:t>r</w:t>
      </w:r>
      <w:r>
        <w:rPr>
          <w:rFonts w:cs="Times New Roman"/>
          <w:sz w:val="24"/>
          <w:szCs w:val="24"/>
        </w:rPr>
        <w:t xml:space="preserve">ástli </w:t>
      </w:r>
      <w:r w:rsidRPr="009E7E3F">
        <w:rPr>
          <w:rFonts w:cs="Times New Roman"/>
          <w:sz w:val="24"/>
          <w:szCs w:val="24"/>
        </w:rPr>
        <w:t>o 84 463 tis. eur</w:t>
      </w:r>
      <w:r>
        <w:rPr>
          <w:rFonts w:cs="Times New Roman"/>
          <w:sz w:val="24"/>
          <w:szCs w:val="24"/>
        </w:rPr>
        <w:t>. Kým v bežných výdavkoch sa dosiahla úspora vo výške 10 058 </w:t>
      </w:r>
      <w:r w:rsidRPr="009E7E3F">
        <w:rPr>
          <w:rFonts w:cs="Times New Roman"/>
          <w:sz w:val="24"/>
          <w:szCs w:val="24"/>
        </w:rPr>
        <w:t>tis. eur</w:t>
      </w:r>
      <w:r>
        <w:rPr>
          <w:rFonts w:cs="Times New Roman"/>
          <w:sz w:val="24"/>
          <w:szCs w:val="24"/>
        </w:rPr>
        <w:t xml:space="preserve">, </w:t>
      </w:r>
      <w:r w:rsidRPr="009E7E3F">
        <w:rPr>
          <w:rFonts w:cs="Times New Roman"/>
          <w:sz w:val="24"/>
          <w:szCs w:val="24"/>
        </w:rPr>
        <w:t>kapitálové výdavky</w:t>
      </w:r>
      <w:r>
        <w:rPr>
          <w:rFonts w:cs="Times New Roman"/>
          <w:sz w:val="24"/>
          <w:szCs w:val="24"/>
        </w:rPr>
        <w:t xml:space="preserve"> narástli o 94 521 tis. eur.</w:t>
      </w:r>
      <w:r w:rsidRPr="009E7E3F">
        <w:rPr>
          <w:rFonts w:cs="Times New Roman"/>
          <w:sz w:val="24"/>
          <w:szCs w:val="24"/>
        </w:rPr>
        <w:t xml:space="preserve"> Tieto výdavky boli alokované na implementáciu projektov modernizácie stredných škôl, v </w:t>
      </w:r>
      <w:r w:rsidRPr="009E7E3F">
        <w:rPr>
          <w:sz w:val="24"/>
          <w:szCs w:val="24"/>
        </w:rPr>
        <w:t>oblasti zlepšovania bezpečnosti a ekológie dopravy v regiónoch vrátane rekonštrukcie ciest 1. a 2. triedy, obnovy mostných objektov a obnovy dopravných prostriedkov verejnej osobnej dopravy</w:t>
      </w:r>
      <w:r>
        <w:rPr>
          <w:sz w:val="24"/>
          <w:szCs w:val="24"/>
        </w:rPr>
        <w:t xml:space="preserve"> a </w:t>
      </w:r>
      <w:r w:rsidRPr="001C5806">
        <w:rPr>
          <w:sz w:val="24"/>
          <w:szCs w:val="24"/>
        </w:rPr>
        <w:t>na</w:t>
      </w:r>
      <w:r>
        <w:rPr>
          <w:sz w:val="24"/>
          <w:szCs w:val="24"/>
        </w:rPr>
        <w:t> </w:t>
      </w:r>
      <w:r w:rsidRPr="001C5806">
        <w:rPr>
          <w:sz w:val="24"/>
          <w:szCs w:val="24"/>
        </w:rPr>
        <w:t>implementáciu projektov v oblasti ochrany prírodného a kultúrneho dedičstva z programov INTERREG V-A SK-AT, INTERREG V-A SK-CZ INTERREG V-A PL-SK a INTERREG V-A HU-SK.</w:t>
      </w:r>
    </w:p>
    <w:p w14:paraId="44299EFC" w14:textId="77777777" w:rsidR="009A05C7" w:rsidRPr="00152609" w:rsidRDefault="009A05C7" w:rsidP="009A05C7">
      <w:pPr>
        <w:spacing w:line="240" w:lineRule="auto"/>
        <w:rPr>
          <w:rFonts w:cs="Times New Roman"/>
          <w:sz w:val="24"/>
          <w:szCs w:val="24"/>
        </w:rPr>
      </w:pPr>
      <w:r w:rsidRPr="00152609">
        <w:rPr>
          <w:rFonts w:cs="Times New Roman"/>
          <w:sz w:val="24"/>
          <w:szCs w:val="24"/>
        </w:rPr>
        <w:t>Oproti hotovostnému schodku sa ESA schodok zvýšil na sumu 59 167 tis. eur vplyvom medziročného poklesu pohľadávok o 7 689 tis. eur a medziročného nárastu záväzkov o 9 594 tis. eur, z toho najvyšší medziročný nárast mali záväzky voči dodávateľom (o 5 415 tis. eur).</w:t>
      </w:r>
    </w:p>
    <w:p w14:paraId="488F0B57" w14:textId="70F4C87D" w:rsidR="00BA3DAB" w:rsidRPr="00BA3DAB" w:rsidRDefault="00BA3DAB" w:rsidP="00BA3DAB">
      <w:pPr>
        <w:pStyle w:val="Popis"/>
        <w:keepNext/>
        <w:spacing w:after="120"/>
        <w:rPr>
          <w:rFonts w:eastAsia="Times New Roman" w:cs="Times New Roman"/>
          <w:b/>
          <w:bCs/>
          <w:i w:val="0"/>
          <w:iCs w:val="0"/>
          <w:color w:val="5B9BD5"/>
          <w:sz w:val="20"/>
          <w:szCs w:val="20"/>
          <w:lang w:eastAsia="sk-SK"/>
        </w:rPr>
      </w:pPr>
      <w:bookmarkStart w:id="53" w:name="_Toc196313638"/>
      <w:bookmarkStart w:id="54" w:name="_Toc196389259"/>
      <w:r w:rsidRPr="00BA3DAB">
        <w:rPr>
          <w:rFonts w:eastAsia="Times New Roman" w:cs="Times New Roman"/>
          <w:b/>
          <w:bCs/>
          <w:i w:val="0"/>
          <w:iCs w:val="0"/>
          <w:color w:val="5B9BD5"/>
          <w:sz w:val="20"/>
          <w:szCs w:val="20"/>
          <w:lang w:eastAsia="sk-SK"/>
        </w:rPr>
        <w:t xml:space="preserve">Tabuľka </w:t>
      </w:r>
      <w:r w:rsidR="003B7AF0">
        <w:rPr>
          <w:rFonts w:eastAsia="Times New Roman" w:cs="Times New Roman"/>
          <w:b/>
          <w:bCs/>
          <w:i w:val="0"/>
          <w:iCs w:val="0"/>
          <w:color w:val="5B9BD5"/>
          <w:sz w:val="20"/>
          <w:szCs w:val="20"/>
          <w:lang w:eastAsia="sk-SK"/>
        </w:rPr>
        <w:fldChar w:fldCharType="begin"/>
      </w:r>
      <w:r w:rsidR="003B7AF0">
        <w:rPr>
          <w:rFonts w:eastAsia="Times New Roman" w:cs="Times New Roman"/>
          <w:b/>
          <w:bCs/>
          <w:i w:val="0"/>
          <w:iCs w:val="0"/>
          <w:color w:val="5B9BD5"/>
          <w:sz w:val="20"/>
          <w:szCs w:val="20"/>
          <w:lang w:eastAsia="sk-SK"/>
        </w:rPr>
        <w:instrText xml:space="preserve"> SEQ Tabuľka \* ARABIC </w:instrText>
      </w:r>
      <w:r w:rsidR="003B7AF0">
        <w:rPr>
          <w:rFonts w:eastAsia="Times New Roman" w:cs="Times New Roman"/>
          <w:b/>
          <w:bCs/>
          <w:i w:val="0"/>
          <w:iCs w:val="0"/>
          <w:color w:val="5B9BD5"/>
          <w:sz w:val="20"/>
          <w:szCs w:val="20"/>
          <w:lang w:eastAsia="sk-SK"/>
        </w:rPr>
        <w:fldChar w:fldCharType="separate"/>
      </w:r>
      <w:r w:rsidR="00C64CBA">
        <w:rPr>
          <w:rFonts w:eastAsia="Times New Roman" w:cs="Times New Roman"/>
          <w:b/>
          <w:bCs/>
          <w:i w:val="0"/>
          <w:iCs w:val="0"/>
          <w:noProof/>
          <w:color w:val="5B9BD5"/>
          <w:sz w:val="20"/>
          <w:szCs w:val="20"/>
          <w:lang w:eastAsia="sk-SK"/>
        </w:rPr>
        <w:t>12</w:t>
      </w:r>
      <w:r w:rsidR="003B7AF0">
        <w:rPr>
          <w:rFonts w:eastAsia="Times New Roman" w:cs="Times New Roman"/>
          <w:b/>
          <w:bCs/>
          <w:i w:val="0"/>
          <w:iCs w:val="0"/>
          <w:color w:val="5B9BD5"/>
          <w:sz w:val="20"/>
          <w:szCs w:val="20"/>
          <w:lang w:eastAsia="sk-SK"/>
        </w:rPr>
        <w:fldChar w:fldCharType="end"/>
      </w:r>
      <w:r w:rsidRPr="00BA3DAB">
        <w:rPr>
          <w:rFonts w:eastAsia="Times New Roman" w:cs="Times New Roman"/>
          <w:b/>
          <w:bCs/>
          <w:i w:val="0"/>
          <w:iCs w:val="0"/>
          <w:color w:val="5B9BD5"/>
          <w:sz w:val="20"/>
          <w:szCs w:val="20"/>
          <w:lang w:eastAsia="sk-SK"/>
        </w:rPr>
        <w:t xml:space="preserve"> - Schodok verejnej správy podľa jednotlivých subjektov (zložiek)</w:t>
      </w:r>
      <w:bookmarkEnd w:id="53"/>
      <w:bookmarkEnd w:id="54"/>
    </w:p>
    <w:tbl>
      <w:tblPr>
        <w:tblW w:w="4827" w:type="pct"/>
        <w:tblCellMar>
          <w:left w:w="70" w:type="dxa"/>
          <w:right w:w="70" w:type="dxa"/>
        </w:tblCellMar>
        <w:tblLook w:val="04A0" w:firstRow="1" w:lastRow="0" w:firstColumn="1" w:lastColumn="0" w:noHBand="0" w:noVBand="1"/>
      </w:tblPr>
      <w:tblGrid>
        <w:gridCol w:w="3316"/>
        <w:gridCol w:w="1222"/>
        <w:gridCol w:w="1133"/>
        <w:gridCol w:w="979"/>
        <w:gridCol w:w="1012"/>
        <w:gridCol w:w="959"/>
      </w:tblGrid>
      <w:tr w:rsidR="009A05C7" w:rsidRPr="00DC5600" w14:paraId="23715134" w14:textId="77777777" w:rsidTr="00616B20">
        <w:trPr>
          <w:trHeight w:val="330"/>
          <w:tblHeader/>
        </w:trPr>
        <w:tc>
          <w:tcPr>
            <w:tcW w:w="1923" w:type="pct"/>
            <w:vMerge w:val="restart"/>
            <w:tcBorders>
              <w:top w:val="single" w:sz="4" w:space="0" w:color="auto"/>
              <w:left w:val="nil"/>
              <w:bottom w:val="single" w:sz="4" w:space="0" w:color="000000"/>
              <w:right w:val="nil"/>
            </w:tcBorders>
            <w:shd w:val="clear" w:color="auto" w:fill="auto"/>
            <w:noWrap/>
            <w:vAlign w:val="center"/>
            <w:hideMark/>
          </w:tcPr>
          <w:p w14:paraId="1E7EFCDB" w14:textId="77777777" w:rsidR="009A05C7" w:rsidRPr="00DC5600" w:rsidRDefault="009A05C7" w:rsidP="000240DA">
            <w:pPr>
              <w:spacing w:after="0" w:line="240" w:lineRule="auto"/>
              <w:jc w:val="left"/>
              <w:rPr>
                <w:rFonts w:eastAsia="Times New Roman" w:cs="Times New Roman"/>
                <w:b/>
                <w:bCs/>
                <w:sz w:val="18"/>
                <w:szCs w:val="18"/>
                <w:lang w:eastAsia="sk-SK"/>
              </w:rPr>
            </w:pPr>
            <w:bookmarkStart w:id="55" w:name="_Hlk196749324"/>
            <w:r w:rsidRPr="00DC5600">
              <w:rPr>
                <w:rFonts w:eastAsia="Times New Roman" w:cs="Times New Roman"/>
                <w:b/>
                <w:bCs/>
                <w:sz w:val="18"/>
                <w:szCs w:val="18"/>
                <w:lang w:eastAsia="sk-SK"/>
              </w:rPr>
              <w:t>v tis. eur</w:t>
            </w:r>
          </w:p>
        </w:tc>
        <w:tc>
          <w:tcPr>
            <w:tcW w:w="709" w:type="pct"/>
            <w:tcBorders>
              <w:top w:val="single" w:sz="4" w:space="0" w:color="auto"/>
              <w:left w:val="nil"/>
              <w:bottom w:val="nil"/>
              <w:right w:val="nil"/>
            </w:tcBorders>
            <w:shd w:val="clear" w:color="auto" w:fill="auto"/>
            <w:noWrap/>
            <w:vAlign w:val="center"/>
            <w:hideMark/>
          </w:tcPr>
          <w:p w14:paraId="08B71EAD" w14:textId="77777777" w:rsidR="009A05C7" w:rsidRPr="00DC5600" w:rsidRDefault="009A05C7" w:rsidP="000240DA">
            <w:pPr>
              <w:spacing w:after="0" w:line="240" w:lineRule="auto"/>
              <w:jc w:val="center"/>
              <w:rPr>
                <w:rFonts w:eastAsia="Times New Roman" w:cs="Times New Roman"/>
                <w:b/>
                <w:bCs/>
                <w:sz w:val="18"/>
                <w:szCs w:val="18"/>
                <w:lang w:eastAsia="sk-SK"/>
              </w:rPr>
            </w:pPr>
            <w:r w:rsidRPr="00DC5600">
              <w:rPr>
                <w:rFonts w:eastAsia="Times New Roman" w:cs="Times New Roman"/>
                <w:b/>
                <w:bCs/>
                <w:sz w:val="18"/>
                <w:szCs w:val="18"/>
                <w:lang w:eastAsia="sk-SK"/>
              </w:rPr>
              <w:t>2022 S</w:t>
            </w:r>
          </w:p>
        </w:tc>
        <w:tc>
          <w:tcPr>
            <w:tcW w:w="657" w:type="pct"/>
            <w:tcBorders>
              <w:top w:val="single" w:sz="4" w:space="0" w:color="auto"/>
              <w:left w:val="nil"/>
              <w:bottom w:val="nil"/>
              <w:right w:val="nil"/>
            </w:tcBorders>
            <w:shd w:val="clear" w:color="auto" w:fill="auto"/>
            <w:noWrap/>
            <w:vAlign w:val="center"/>
            <w:hideMark/>
          </w:tcPr>
          <w:p w14:paraId="74208067" w14:textId="77777777" w:rsidR="009A05C7" w:rsidRPr="00DC5600" w:rsidRDefault="009A05C7" w:rsidP="000240DA">
            <w:pPr>
              <w:spacing w:after="0" w:line="240" w:lineRule="auto"/>
              <w:jc w:val="center"/>
              <w:rPr>
                <w:rFonts w:eastAsia="Times New Roman" w:cs="Times New Roman"/>
                <w:b/>
                <w:bCs/>
                <w:sz w:val="18"/>
                <w:szCs w:val="18"/>
                <w:lang w:eastAsia="sk-SK"/>
              </w:rPr>
            </w:pPr>
            <w:r w:rsidRPr="00DC5600">
              <w:rPr>
                <w:rFonts w:eastAsia="Times New Roman" w:cs="Times New Roman"/>
                <w:b/>
                <w:bCs/>
                <w:sz w:val="18"/>
                <w:szCs w:val="18"/>
                <w:lang w:eastAsia="sk-SK"/>
              </w:rPr>
              <w:t>2023 S</w:t>
            </w:r>
          </w:p>
        </w:tc>
        <w:tc>
          <w:tcPr>
            <w:tcW w:w="568" w:type="pct"/>
            <w:tcBorders>
              <w:top w:val="single" w:sz="4" w:space="0" w:color="auto"/>
              <w:left w:val="nil"/>
              <w:bottom w:val="nil"/>
              <w:right w:val="nil"/>
            </w:tcBorders>
            <w:shd w:val="clear" w:color="auto" w:fill="auto"/>
            <w:noWrap/>
            <w:vAlign w:val="center"/>
            <w:hideMark/>
          </w:tcPr>
          <w:p w14:paraId="1DEADA0B" w14:textId="77777777" w:rsidR="009A05C7" w:rsidRPr="00DC5600" w:rsidRDefault="009A05C7" w:rsidP="000240DA">
            <w:pPr>
              <w:spacing w:after="0" w:line="240" w:lineRule="auto"/>
              <w:jc w:val="center"/>
              <w:rPr>
                <w:rFonts w:eastAsia="Times New Roman" w:cs="Times New Roman"/>
                <w:b/>
                <w:bCs/>
                <w:sz w:val="18"/>
                <w:szCs w:val="18"/>
                <w:lang w:eastAsia="sk-SK"/>
              </w:rPr>
            </w:pPr>
            <w:r w:rsidRPr="00DC5600">
              <w:rPr>
                <w:rFonts w:eastAsia="Times New Roman" w:cs="Times New Roman"/>
                <w:b/>
                <w:bCs/>
                <w:sz w:val="18"/>
                <w:szCs w:val="18"/>
                <w:lang w:eastAsia="sk-SK"/>
              </w:rPr>
              <w:t>2024 R</w:t>
            </w:r>
          </w:p>
        </w:tc>
        <w:tc>
          <w:tcPr>
            <w:tcW w:w="587" w:type="pct"/>
            <w:tcBorders>
              <w:top w:val="single" w:sz="4" w:space="0" w:color="auto"/>
              <w:left w:val="nil"/>
              <w:bottom w:val="nil"/>
              <w:right w:val="nil"/>
            </w:tcBorders>
            <w:shd w:val="clear" w:color="auto" w:fill="auto"/>
            <w:noWrap/>
            <w:vAlign w:val="center"/>
            <w:hideMark/>
          </w:tcPr>
          <w:p w14:paraId="55BB9DC1" w14:textId="77777777" w:rsidR="009A05C7" w:rsidRPr="00DC5600" w:rsidRDefault="009A05C7" w:rsidP="000240DA">
            <w:pPr>
              <w:spacing w:after="0" w:line="240" w:lineRule="auto"/>
              <w:jc w:val="center"/>
              <w:rPr>
                <w:rFonts w:eastAsia="Times New Roman" w:cs="Times New Roman"/>
                <w:b/>
                <w:bCs/>
                <w:sz w:val="18"/>
                <w:szCs w:val="18"/>
                <w:lang w:eastAsia="sk-SK"/>
              </w:rPr>
            </w:pPr>
            <w:r w:rsidRPr="00DC5600">
              <w:rPr>
                <w:rFonts w:eastAsia="Times New Roman" w:cs="Times New Roman"/>
                <w:b/>
                <w:bCs/>
                <w:sz w:val="18"/>
                <w:szCs w:val="18"/>
                <w:lang w:eastAsia="sk-SK"/>
              </w:rPr>
              <w:t>2024 S</w:t>
            </w:r>
          </w:p>
        </w:tc>
        <w:tc>
          <w:tcPr>
            <w:tcW w:w="556" w:type="pct"/>
            <w:tcBorders>
              <w:top w:val="single" w:sz="4" w:space="0" w:color="auto"/>
              <w:left w:val="nil"/>
              <w:bottom w:val="nil"/>
              <w:right w:val="nil"/>
            </w:tcBorders>
            <w:shd w:val="clear" w:color="auto" w:fill="auto"/>
            <w:noWrap/>
            <w:vAlign w:val="center"/>
            <w:hideMark/>
          </w:tcPr>
          <w:p w14:paraId="199FD313" w14:textId="77777777" w:rsidR="009A05C7" w:rsidRPr="00DC5600" w:rsidRDefault="009A05C7" w:rsidP="000240DA">
            <w:pPr>
              <w:spacing w:after="0" w:line="240" w:lineRule="auto"/>
              <w:jc w:val="center"/>
              <w:rPr>
                <w:rFonts w:eastAsia="Times New Roman" w:cs="Times New Roman"/>
                <w:b/>
                <w:bCs/>
                <w:sz w:val="18"/>
                <w:szCs w:val="18"/>
                <w:lang w:eastAsia="sk-SK"/>
              </w:rPr>
            </w:pPr>
            <w:r w:rsidRPr="00DC5600">
              <w:rPr>
                <w:rFonts w:eastAsia="Times New Roman" w:cs="Times New Roman"/>
                <w:b/>
                <w:bCs/>
                <w:sz w:val="18"/>
                <w:szCs w:val="18"/>
                <w:lang w:eastAsia="sk-SK"/>
              </w:rPr>
              <w:t xml:space="preserve"> Rozdiel </w:t>
            </w:r>
          </w:p>
        </w:tc>
      </w:tr>
      <w:tr w:rsidR="009A05C7" w:rsidRPr="00DC5600" w14:paraId="0B3994A7" w14:textId="77777777" w:rsidTr="00616B20">
        <w:trPr>
          <w:trHeight w:val="330"/>
          <w:tblHeader/>
        </w:trPr>
        <w:tc>
          <w:tcPr>
            <w:tcW w:w="1923" w:type="pct"/>
            <w:vMerge/>
            <w:tcBorders>
              <w:top w:val="single" w:sz="4" w:space="0" w:color="auto"/>
              <w:left w:val="nil"/>
              <w:bottom w:val="single" w:sz="4" w:space="0" w:color="000000"/>
              <w:right w:val="nil"/>
            </w:tcBorders>
            <w:vAlign w:val="center"/>
            <w:hideMark/>
          </w:tcPr>
          <w:p w14:paraId="4D44EE70" w14:textId="77777777" w:rsidR="009A05C7" w:rsidRPr="00DC5600" w:rsidRDefault="009A05C7" w:rsidP="000240DA">
            <w:pPr>
              <w:spacing w:after="0" w:line="240" w:lineRule="auto"/>
              <w:jc w:val="left"/>
              <w:rPr>
                <w:rFonts w:eastAsia="Times New Roman" w:cs="Times New Roman"/>
                <w:b/>
                <w:bCs/>
                <w:sz w:val="18"/>
                <w:szCs w:val="18"/>
                <w:lang w:eastAsia="sk-SK"/>
              </w:rPr>
            </w:pPr>
          </w:p>
        </w:tc>
        <w:tc>
          <w:tcPr>
            <w:tcW w:w="709" w:type="pct"/>
            <w:tcBorders>
              <w:top w:val="nil"/>
              <w:left w:val="nil"/>
              <w:bottom w:val="single" w:sz="4" w:space="0" w:color="auto"/>
              <w:right w:val="nil"/>
            </w:tcBorders>
            <w:shd w:val="clear" w:color="auto" w:fill="auto"/>
            <w:noWrap/>
            <w:vAlign w:val="center"/>
            <w:hideMark/>
          </w:tcPr>
          <w:p w14:paraId="687C2184" w14:textId="77777777" w:rsidR="009A05C7" w:rsidRPr="00DC5600" w:rsidRDefault="009A05C7" w:rsidP="000240DA">
            <w:pPr>
              <w:spacing w:after="0" w:line="240" w:lineRule="auto"/>
              <w:jc w:val="center"/>
              <w:rPr>
                <w:rFonts w:eastAsia="Times New Roman" w:cs="Times New Roman"/>
                <w:b/>
                <w:bCs/>
                <w:sz w:val="18"/>
                <w:szCs w:val="18"/>
                <w:lang w:eastAsia="sk-SK"/>
              </w:rPr>
            </w:pPr>
            <w:r w:rsidRPr="00DC5600">
              <w:rPr>
                <w:rFonts w:eastAsia="Times New Roman" w:cs="Times New Roman"/>
                <w:b/>
                <w:bCs/>
                <w:sz w:val="18"/>
                <w:szCs w:val="18"/>
                <w:lang w:eastAsia="sk-SK"/>
              </w:rPr>
              <w:t>1</w:t>
            </w:r>
          </w:p>
        </w:tc>
        <w:tc>
          <w:tcPr>
            <w:tcW w:w="657" w:type="pct"/>
            <w:tcBorders>
              <w:top w:val="nil"/>
              <w:left w:val="nil"/>
              <w:bottom w:val="single" w:sz="4" w:space="0" w:color="auto"/>
              <w:right w:val="nil"/>
            </w:tcBorders>
            <w:shd w:val="clear" w:color="auto" w:fill="auto"/>
            <w:noWrap/>
            <w:vAlign w:val="center"/>
            <w:hideMark/>
          </w:tcPr>
          <w:p w14:paraId="7D1EB531" w14:textId="77777777" w:rsidR="009A05C7" w:rsidRPr="00DC5600" w:rsidRDefault="009A05C7" w:rsidP="000240DA">
            <w:pPr>
              <w:spacing w:after="0" w:line="240" w:lineRule="auto"/>
              <w:jc w:val="center"/>
              <w:rPr>
                <w:rFonts w:eastAsia="Times New Roman" w:cs="Times New Roman"/>
                <w:b/>
                <w:bCs/>
                <w:sz w:val="18"/>
                <w:szCs w:val="18"/>
                <w:lang w:eastAsia="sk-SK"/>
              </w:rPr>
            </w:pPr>
            <w:r w:rsidRPr="00DC5600">
              <w:rPr>
                <w:rFonts w:eastAsia="Times New Roman" w:cs="Times New Roman"/>
                <w:b/>
                <w:bCs/>
                <w:sz w:val="18"/>
                <w:szCs w:val="18"/>
                <w:lang w:eastAsia="sk-SK"/>
              </w:rPr>
              <w:t>2</w:t>
            </w:r>
          </w:p>
        </w:tc>
        <w:tc>
          <w:tcPr>
            <w:tcW w:w="568" w:type="pct"/>
            <w:tcBorders>
              <w:top w:val="nil"/>
              <w:left w:val="nil"/>
              <w:bottom w:val="single" w:sz="4" w:space="0" w:color="auto"/>
              <w:right w:val="nil"/>
            </w:tcBorders>
            <w:shd w:val="clear" w:color="auto" w:fill="auto"/>
            <w:noWrap/>
            <w:vAlign w:val="center"/>
            <w:hideMark/>
          </w:tcPr>
          <w:p w14:paraId="1E1A1CC0" w14:textId="77777777" w:rsidR="009A05C7" w:rsidRPr="00DC5600" w:rsidRDefault="009A05C7" w:rsidP="000240DA">
            <w:pPr>
              <w:spacing w:after="0" w:line="240" w:lineRule="auto"/>
              <w:jc w:val="center"/>
              <w:rPr>
                <w:rFonts w:eastAsia="Times New Roman" w:cs="Times New Roman"/>
                <w:b/>
                <w:bCs/>
                <w:sz w:val="18"/>
                <w:szCs w:val="18"/>
                <w:lang w:eastAsia="sk-SK"/>
              </w:rPr>
            </w:pPr>
            <w:r w:rsidRPr="00DC5600">
              <w:rPr>
                <w:rFonts w:eastAsia="Times New Roman" w:cs="Times New Roman"/>
                <w:b/>
                <w:bCs/>
                <w:sz w:val="18"/>
                <w:szCs w:val="18"/>
                <w:lang w:eastAsia="sk-SK"/>
              </w:rPr>
              <w:t>3</w:t>
            </w:r>
          </w:p>
        </w:tc>
        <w:tc>
          <w:tcPr>
            <w:tcW w:w="587" w:type="pct"/>
            <w:tcBorders>
              <w:top w:val="nil"/>
              <w:left w:val="nil"/>
              <w:bottom w:val="single" w:sz="4" w:space="0" w:color="auto"/>
              <w:right w:val="nil"/>
            </w:tcBorders>
            <w:shd w:val="clear" w:color="auto" w:fill="auto"/>
            <w:noWrap/>
            <w:vAlign w:val="center"/>
            <w:hideMark/>
          </w:tcPr>
          <w:p w14:paraId="6ACDC6A4" w14:textId="77777777" w:rsidR="009A05C7" w:rsidRPr="00DC5600" w:rsidRDefault="009A05C7" w:rsidP="000240DA">
            <w:pPr>
              <w:spacing w:after="0" w:line="240" w:lineRule="auto"/>
              <w:jc w:val="center"/>
              <w:rPr>
                <w:rFonts w:eastAsia="Times New Roman" w:cs="Times New Roman"/>
                <w:b/>
                <w:bCs/>
                <w:sz w:val="18"/>
                <w:szCs w:val="18"/>
                <w:lang w:eastAsia="sk-SK"/>
              </w:rPr>
            </w:pPr>
            <w:r w:rsidRPr="00DC5600">
              <w:rPr>
                <w:rFonts w:eastAsia="Times New Roman" w:cs="Times New Roman"/>
                <w:b/>
                <w:bCs/>
                <w:sz w:val="18"/>
                <w:szCs w:val="18"/>
                <w:lang w:eastAsia="sk-SK"/>
              </w:rPr>
              <w:t>4</w:t>
            </w:r>
          </w:p>
        </w:tc>
        <w:tc>
          <w:tcPr>
            <w:tcW w:w="556" w:type="pct"/>
            <w:tcBorders>
              <w:top w:val="nil"/>
              <w:left w:val="nil"/>
              <w:bottom w:val="single" w:sz="4" w:space="0" w:color="auto"/>
              <w:right w:val="nil"/>
            </w:tcBorders>
            <w:shd w:val="clear" w:color="auto" w:fill="auto"/>
            <w:noWrap/>
            <w:vAlign w:val="center"/>
            <w:hideMark/>
          </w:tcPr>
          <w:p w14:paraId="734A7A0F" w14:textId="77777777" w:rsidR="009A05C7" w:rsidRPr="00DC5600" w:rsidRDefault="009A05C7" w:rsidP="000240DA">
            <w:pPr>
              <w:spacing w:after="0" w:line="240" w:lineRule="auto"/>
              <w:jc w:val="center"/>
              <w:rPr>
                <w:rFonts w:eastAsia="Times New Roman" w:cs="Times New Roman"/>
                <w:b/>
                <w:bCs/>
                <w:sz w:val="18"/>
                <w:szCs w:val="18"/>
                <w:lang w:eastAsia="sk-SK"/>
              </w:rPr>
            </w:pPr>
            <w:r w:rsidRPr="00DC5600">
              <w:rPr>
                <w:rFonts w:eastAsia="Times New Roman" w:cs="Times New Roman"/>
                <w:b/>
                <w:bCs/>
                <w:sz w:val="18"/>
                <w:szCs w:val="18"/>
                <w:lang w:eastAsia="sk-SK"/>
              </w:rPr>
              <w:t>5=4-3</w:t>
            </w:r>
          </w:p>
        </w:tc>
      </w:tr>
      <w:bookmarkEnd w:id="55"/>
      <w:tr w:rsidR="009A05C7" w:rsidRPr="00DC5600" w14:paraId="51A36E2F" w14:textId="77777777" w:rsidTr="00616B20">
        <w:trPr>
          <w:trHeight w:val="330"/>
        </w:trPr>
        <w:tc>
          <w:tcPr>
            <w:tcW w:w="1923" w:type="pct"/>
            <w:tcBorders>
              <w:top w:val="nil"/>
              <w:left w:val="nil"/>
              <w:bottom w:val="nil"/>
              <w:right w:val="nil"/>
            </w:tcBorders>
            <w:shd w:val="clear" w:color="auto" w:fill="auto"/>
            <w:noWrap/>
            <w:hideMark/>
          </w:tcPr>
          <w:p w14:paraId="3B08803E" w14:textId="77777777" w:rsidR="009A05C7" w:rsidRPr="00DC5600" w:rsidRDefault="009A05C7" w:rsidP="000240DA">
            <w:pPr>
              <w:spacing w:after="0" w:line="240" w:lineRule="auto"/>
              <w:jc w:val="left"/>
              <w:rPr>
                <w:rFonts w:eastAsia="Times New Roman" w:cs="Times New Roman"/>
                <w:b/>
                <w:bCs/>
                <w:color w:val="000000"/>
                <w:sz w:val="18"/>
                <w:szCs w:val="18"/>
                <w:lang w:eastAsia="sk-SK"/>
              </w:rPr>
            </w:pPr>
            <w:r w:rsidRPr="00DC5600">
              <w:rPr>
                <w:rFonts w:eastAsia="Times New Roman" w:cs="Times New Roman"/>
                <w:b/>
                <w:bCs/>
                <w:color w:val="000000"/>
                <w:sz w:val="18"/>
                <w:szCs w:val="18"/>
                <w:lang w:eastAsia="sk-SK"/>
              </w:rPr>
              <w:t>Ústredná správa, z toho</w:t>
            </w:r>
          </w:p>
        </w:tc>
        <w:tc>
          <w:tcPr>
            <w:tcW w:w="709" w:type="pct"/>
            <w:tcBorders>
              <w:top w:val="nil"/>
              <w:left w:val="nil"/>
              <w:bottom w:val="nil"/>
              <w:right w:val="nil"/>
            </w:tcBorders>
            <w:shd w:val="clear" w:color="auto" w:fill="auto"/>
            <w:noWrap/>
            <w:hideMark/>
          </w:tcPr>
          <w:p w14:paraId="502C9F7E" w14:textId="77777777" w:rsidR="009A05C7" w:rsidRPr="00DC5600" w:rsidRDefault="009A05C7" w:rsidP="000240DA">
            <w:pPr>
              <w:spacing w:after="0" w:line="240" w:lineRule="auto"/>
              <w:jc w:val="left"/>
              <w:rPr>
                <w:rFonts w:eastAsia="Times New Roman" w:cs="Times New Roman"/>
                <w:b/>
                <w:bCs/>
                <w:color w:val="000000"/>
                <w:sz w:val="18"/>
                <w:szCs w:val="18"/>
                <w:lang w:eastAsia="sk-SK"/>
              </w:rPr>
            </w:pPr>
          </w:p>
        </w:tc>
        <w:tc>
          <w:tcPr>
            <w:tcW w:w="657" w:type="pct"/>
            <w:tcBorders>
              <w:top w:val="nil"/>
              <w:left w:val="nil"/>
              <w:bottom w:val="nil"/>
              <w:right w:val="nil"/>
            </w:tcBorders>
            <w:shd w:val="clear" w:color="auto" w:fill="auto"/>
            <w:noWrap/>
            <w:vAlign w:val="bottom"/>
            <w:hideMark/>
          </w:tcPr>
          <w:p w14:paraId="5AEF7DDD" w14:textId="77777777" w:rsidR="009A05C7" w:rsidRPr="00DC5600" w:rsidRDefault="009A05C7" w:rsidP="000240DA">
            <w:pPr>
              <w:spacing w:after="0" w:line="240" w:lineRule="auto"/>
              <w:jc w:val="left"/>
              <w:rPr>
                <w:rFonts w:eastAsia="Times New Roman" w:cs="Times New Roman"/>
                <w:sz w:val="20"/>
                <w:szCs w:val="20"/>
                <w:lang w:eastAsia="sk-SK"/>
              </w:rPr>
            </w:pPr>
          </w:p>
        </w:tc>
        <w:tc>
          <w:tcPr>
            <w:tcW w:w="568" w:type="pct"/>
            <w:tcBorders>
              <w:top w:val="nil"/>
              <w:left w:val="nil"/>
              <w:bottom w:val="nil"/>
              <w:right w:val="nil"/>
            </w:tcBorders>
            <w:shd w:val="clear" w:color="auto" w:fill="auto"/>
            <w:noWrap/>
            <w:hideMark/>
          </w:tcPr>
          <w:p w14:paraId="30BC6000" w14:textId="77777777" w:rsidR="009A05C7" w:rsidRPr="00DC5600" w:rsidRDefault="009A05C7" w:rsidP="000240DA">
            <w:pPr>
              <w:spacing w:after="0" w:line="240" w:lineRule="auto"/>
              <w:jc w:val="left"/>
              <w:rPr>
                <w:rFonts w:eastAsia="Times New Roman" w:cs="Times New Roman"/>
                <w:sz w:val="20"/>
                <w:szCs w:val="20"/>
                <w:lang w:eastAsia="sk-SK"/>
              </w:rPr>
            </w:pPr>
          </w:p>
        </w:tc>
        <w:tc>
          <w:tcPr>
            <w:tcW w:w="587" w:type="pct"/>
            <w:tcBorders>
              <w:top w:val="nil"/>
              <w:left w:val="nil"/>
              <w:bottom w:val="nil"/>
              <w:right w:val="nil"/>
            </w:tcBorders>
            <w:shd w:val="clear" w:color="auto" w:fill="auto"/>
            <w:noWrap/>
            <w:hideMark/>
          </w:tcPr>
          <w:p w14:paraId="45BBBC3D" w14:textId="77777777" w:rsidR="009A05C7" w:rsidRPr="00DC5600" w:rsidRDefault="009A05C7" w:rsidP="000240DA">
            <w:pPr>
              <w:spacing w:after="0" w:line="240" w:lineRule="auto"/>
              <w:jc w:val="left"/>
              <w:rPr>
                <w:rFonts w:eastAsia="Times New Roman" w:cs="Times New Roman"/>
                <w:sz w:val="20"/>
                <w:szCs w:val="20"/>
                <w:lang w:eastAsia="sk-SK"/>
              </w:rPr>
            </w:pPr>
          </w:p>
        </w:tc>
        <w:tc>
          <w:tcPr>
            <w:tcW w:w="556" w:type="pct"/>
            <w:tcBorders>
              <w:top w:val="nil"/>
              <w:left w:val="nil"/>
              <w:bottom w:val="nil"/>
              <w:right w:val="nil"/>
            </w:tcBorders>
            <w:shd w:val="clear" w:color="auto" w:fill="auto"/>
            <w:noWrap/>
            <w:hideMark/>
          </w:tcPr>
          <w:p w14:paraId="4E313AA3" w14:textId="77777777" w:rsidR="009A05C7" w:rsidRPr="00DC5600" w:rsidRDefault="009A05C7" w:rsidP="000240DA">
            <w:pPr>
              <w:spacing w:after="0" w:line="240" w:lineRule="auto"/>
              <w:jc w:val="left"/>
              <w:rPr>
                <w:rFonts w:eastAsia="Times New Roman" w:cs="Times New Roman"/>
                <w:sz w:val="20"/>
                <w:szCs w:val="20"/>
                <w:lang w:eastAsia="sk-SK"/>
              </w:rPr>
            </w:pPr>
          </w:p>
        </w:tc>
      </w:tr>
      <w:tr w:rsidR="009A05C7" w:rsidRPr="00DC5600" w14:paraId="691649DE" w14:textId="77777777" w:rsidTr="00616B20">
        <w:trPr>
          <w:trHeight w:val="330"/>
        </w:trPr>
        <w:tc>
          <w:tcPr>
            <w:tcW w:w="1923" w:type="pct"/>
            <w:tcBorders>
              <w:top w:val="nil"/>
              <w:left w:val="nil"/>
              <w:bottom w:val="nil"/>
              <w:right w:val="nil"/>
            </w:tcBorders>
            <w:shd w:val="clear" w:color="auto" w:fill="auto"/>
            <w:noWrap/>
            <w:hideMark/>
          </w:tcPr>
          <w:p w14:paraId="05C6DB4B" w14:textId="77777777" w:rsidR="009A05C7" w:rsidRPr="00DC5600" w:rsidRDefault="009A05C7" w:rsidP="000240DA">
            <w:pPr>
              <w:spacing w:after="0" w:line="240" w:lineRule="auto"/>
              <w:jc w:val="left"/>
              <w:rPr>
                <w:rFonts w:eastAsia="Times New Roman" w:cs="Times New Roman"/>
                <w:sz w:val="18"/>
                <w:szCs w:val="18"/>
                <w:lang w:eastAsia="sk-SK"/>
              </w:rPr>
            </w:pPr>
            <w:r w:rsidRPr="00DC5600">
              <w:rPr>
                <w:rFonts w:eastAsia="Times New Roman" w:cs="Times New Roman"/>
                <w:sz w:val="18"/>
                <w:szCs w:val="18"/>
                <w:lang w:eastAsia="sk-SK"/>
              </w:rPr>
              <w:t xml:space="preserve">    Štátny rozpočet</w:t>
            </w:r>
            <w:r w:rsidRPr="00DC5600">
              <w:rPr>
                <w:rFonts w:eastAsia="Times New Roman" w:cs="Times New Roman"/>
                <w:sz w:val="18"/>
                <w:szCs w:val="18"/>
                <w:vertAlign w:val="superscript"/>
                <w:lang w:eastAsia="sk-SK"/>
              </w:rPr>
              <w:t>1</w:t>
            </w:r>
            <w:r w:rsidRPr="00DC5600">
              <w:rPr>
                <w:rFonts w:eastAsia="Times New Roman" w:cs="Times New Roman"/>
                <w:color w:val="000000"/>
                <w:sz w:val="18"/>
                <w:szCs w:val="18"/>
                <w:vertAlign w:val="superscript"/>
                <w:lang w:eastAsia="sk-SK"/>
              </w:rPr>
              <w:t>)</w:t>
            </w:r>
          </w:p>
        </w:tc>
        <w:tc>
          <w:tcPr>
            <w:tcW w:w="709" w:type="pct"/>
            <w:tcBorders>
              <w:top w:val="nil"/>
              <w:left w:val="nil"/>
              <w:bottom w:val="nil"/>
              <w:right w:val="nil"/>
            </w:tcBorders>
            <w:shd w:val="clear" w:color="auto" w:fill="auto"/>
            <w:noWrap/>
            <w:hideMark/>
          </w:tcPr>
          <w:p w14:paraId="38D77409"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-2 420 185</w:t>
            </w:r>
          </w:p>
        </w:tc>
        <w:tc>
          <w:tcPr>
            <w:tcW w:w="657" w:type="pct"/>
            <w:tcBorders>
              <w:top w:val="nil"/>
              <w:left w:val="nil"/>
              <w:bottom w:val="nil"/>
              <w:right w:val="nil"/>
            </w:tcBorders>
            <w:shd w:val="clear" w:color="auto" w:fill="auto"/>
            <w:noWrap/>
            <w:hideMark/>
          </w:tcPr>
          <w:p w14:paraId="3C8B420E" w14:textId="77777777" w:rsidR="009A05C7" w:rsidRPr="00DC5600" w:rsidRDefault="009A05C7" w:rsidP="000240DA">
            <w:pPr>
              <w:spacing w:after="0" w:line="240" w:lineRule="auto"/>
              <w:jc w:val="right"/>
              <w:rPr>
                <w:rFonts w:eastAsia="Times New Roman" w:cs="Times New Roman"/>
                <w:sz w:val="18"/>
                <w:szCs w:val="18"/>
                <w:lang w:eastAsia="sk-SK"/>
              </w:rPr>
            </w:pPr>
            <w:r>
              <w:rPr>
                <w:rFonts w:eastAsia="Times New Roman" w:cs="Times New Roman"/>
                <w:sz w:val="18"/>
                <w:szCs w:val="18"/>
                <w:lang w:eastAsia="sk-SK"/>
              </w:rPr>
              <w:t>-7 013 280</w:t>
            </w:r>
          </w:p>
        </w:tc>
        <w:tc>
          <w:tcPr>
            <w:tcW w:w="568" w:type="pct"/>
            <w:tcBorders>
              <w:top w:val="nil"/>
              <w:left w:val="nil"/>
              <w:bottom w:val="nil"/>
              <w:right w:val="nil"/>
            </w:tcBorders>
            <w:shd w:val="clear" w:color="auto" w:fill="auto"/>
            <w:noWrap/>
            <w:hideMark/>
          </w:tcPr>
          <w:p w14:paraId="4571E32F"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-7 749 488</w:t>
            </w:r>
          </w:p>
        </w:tc>
        <w:tc>
          <w:tcPr>
            <w:tcW w:w="587" w:type="pct"/>
            <w:tcBorders>
              <w:top w:val="nil"/>
              <w:left w:val="nil"/>
              <w:bottom w:val="nil"/>
              <w:right w:val="nil"/>
            </w:tcBorders>
            <w:shd w:val="clear" w:color="auto" w:fill="auto"/>
            <w:noWrap/>
            <w:hideMark/>
          </w:tcPr>
          <w:p w14:paraId="3D256295"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-7 844 757</w:t>
            </w:r>
          </w:p>
        </w:tc>
        <w:tc>
          <w:tcPr>
            <w:tcW w:w="556" w:type="pct"/>
            <w:tcBorders>
              <w:top w:val="nil"/>
              <w:left w:val="nil"/>
              <w:bottom w:val="nil"/>
              <w:right w:val="nil"/>
            </w:tcBorders>
            <w:shd w:val="clear" w:color="auto" w:fill="auto"/>
            <w:noWrap/>
            <w:hideMark/>
          </w:tcPr>
          <w:p w14:paraId="5E43C62B"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-95 269</w:t>
            </w:r>
          </w:p>
        </w:tc>
      </w:tr>
      <w:tr w:rsidR="009A05C7" w:rsidRPr="00DC5600" w14:paraId="0874271C" w14:textId="77777777" w:rsidTr="00616B20">
        <w:trPr>
          <w:trHeight w:val="330"/>
        </w:trPr>
        <w:tc>
          <w:tcPr>
            <w:tcW w:w="1923" w:type="pct"/>
            <w:tcBorders>
              <w:top w:val="nil"/>
              <w:left w:val="nil"/>
              <w:bottom w:val="nil"/>
              <w:right w:val="nil"/>
            </w:tcBorders>
            <w:shd w:val="clear" w:color="auto" w:fill="auto"/>
            <w:noWrap/>
            <w:hideMark/>
          </w:tcPr>
          <w:p w14:paraId="171CB938" w14:textId="77777777" w:rsidR="009A05C7" w:rsidRPr="00DC5600" w:rsidRDefault="009A05C7" w:rsidP="000240DA">
            <w:pPr>
              <w:spacing w:after="0" w:line="240" w:lineRule="auto"/>
              <w:jc w:val="left"/>
              <w:rPr>
                <w:rFonts w:eastAsia="Times New Roman" w:cs="Times New Roman"/>
                <w:sz w:val="18"/>
                <w:szCs w:val="18"/>
                <w:lang w:eastAsia="sk-SK"/>
              </w:rPr>
            </w:pPr>
            <w:r w:rsidRPr="00DC5600">
              <w:rPr>
                <w:rFonts w:eastAsia="Times New Roman" w:cs="Times New Roman"/>
                <w:sz w:val="18"/>
                <w:szCs w:val="18"/>
                <w:lang w:eastAsia="sk-SK"/>
              </w:rPr>
              <w:t xml:space="preserve">    Príspevkové organizácie ústrednej správy</w:t>
            </w:r>
          </w:p>
        </w:tc>
        <w:tc>
          <w:tcPr>
            <w:tcW w:w="709" w:type="pct"/>
            <w:tcBorders>
              <w:top w:val="nil"/>
              <w:left w:val="nil"/>
              <w:bottom w:val="nil"/>
              <w:right w:val="nil"/>
            </w:tcBorders>
            <w:shd w:val="clear" w:color="auto" w:fill="auto"/>
            <w:noWrap/>
            <w:hideMark/>
          </w:tcPr>
          <w:p w14:paraId="43FA5E94"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44 011</w:t>
            </w:r>
          </w:p>
        </w:tc>
        <w:tc>
          <w:tcPr>
            <w:tcW w:w="657" w:type="pct"/>
            <w:tcBorders>
              <w:top w:val="nil"/>
              <w:left w:val="nil"/>
              <w:bottom w:val="nil"/>
              <w:right w:val="nil"/>
            </w:tcBorders>
            <w:shd w:val="clear" w:color="auto" w:fill="auto"/>
            <w:noWrap/>
            <w:hideMark/>
          </w:tcPr>
          <w:p w14:paraId="770B274F"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-2 013</w:t>
            </w:r>
          </w:p>
        </w:tc>
        <w:tc>
          <w:tcPr>
            <w:tcW w:w="568" w:type="pct"/>
            <w:tcBorders>
              <w:top w:val="nil"/>
              <w:left w:val="nil"/>
              <w:bottom w:val="nil"/>
              <w:right w:val="nil"/>
            </w:tcBorders>
            <w:shd w:val="clear" w:color="auto" w:fill="auto"/>
            <w:noWrap/>
            <w:hideMark/>
          </w:tcPr>
          <w:p w14:paraId="01EFEFD9"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-4 567</w:t>
            </w:r>
          </w:p>
        </w:tc>
        <w:tc>
          <w:tcPr>
            <w:tcW w:w="587" w:type="pct"/>
            <w:tcBorders>
              <w:top w:val="nil"/>
              <w:left w:val="nil"/>
              <w:bottom w:val="nil"/>
              <w:right w:val="nil"/>
            </w:tcBorders>
            <w:shd w:val="clear" w:color="auto" w:fill="auto"/>
            <w:noWrap/>
            <w:hideMark/>
          </w:tcPr>
          <w:p w14:paraId="6CD10BE8"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17 988</w:t>
            </w:r>
          </w:p>
        </w:tc>
        <w:tc>
          <w:tcPr>
            <w:tcW w:w="556" w:type="pct"/>
            <w:tcBorders>
              <w:top w:val="nil"/>
              <w:left w:val="nil"/>
              <w:bottom w:val="nil"/>
              <w:right w:val="nil"/>
            </w:tcBorders>
            <w:shd w:val="clear" w:color="auto" w:fill="auto"/>
            <w:noWrap/>
            <w:hideMark/>
          </w:tcPr>
          <w:p w14:paraId="2AC2A657"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22 555</w:t>
            </w:r>
          </w:p>
        </w:tc>
      </w:tr>
      <w:tr w:rsidR="009A05C7" w:rsidRPr="00DC5600" w14:paraId="75345A03" w14:textId="77777777" w:rsidTr="00616B20">
        <w:trPr>
          <w:trHeight w:val="330"/>
        </w:trPr>
        <w:tc>
          <w:tcPr>
            <w:tcW w:w="1923" w:type="pct"/>
            <w:tcBorders>
              <w:top w:val="nil"/>
              <w:left w:val="nil"/>
              <w:bottom w:val="nil"/>
              <w:right w:val="nil"/>
            </w:tcBorders>
            <w:shd w:val="clear" w:color="auto" w:fill="auto"/>
            <w:noWrap/>
            <w:hideMark/>
          </w:tcPr>
          <w:p w14:paraId="6B0D05EE" w14:textId="77777777" w:rsidR="009A05C7" w:rsidRPr="00DC5600" w:rsidRDefault="009A05C7" w:rsidP="000240DA">
            <w:pPr>
              <w:spacing w:after="0" w:line="240" w:lineRule="auto"/>
              <w:jc w:val="left"/>
              <w:rPr>
                <w:rFonts w:eastAsia="Times New Roman" w:cs="Times New Roman"/>
                <w:sz w:val="18"/>
                <w:szCs w:val="18"/>
                <w:lang w:eastAsia="sk-SK"/>
              </w:rPr>
            </w:pPr>
            <w:r w:rsidRPr="00DC5600">
              <w:rPr>
                <w:rFonts w:eastAsia="Times New Roman" w:cs="Times New Roman"/>
                <w:sz w:val="18"/>
                <w:szCs w:val="18"/>
                <w:lang w:eastAsia="sk-SK"/>
              </w:rPr>
              <w:t xml:space="preserve">    Štátne fondy</w:t>
            </w:r>
          </w:p>
        </w:tc>
        <w:tc>
          <w:tcPr>
            <w:tcW w:w="709" w:type="pct"/>
            <w:tcBorders>
              <w:top w:val="nil"/>
              <w:left w:val="nil"/>
              <w:bottom w:val="nil"/>
              <w:right w:val="nil"/>
            </w:tcBorders>
            <w:shd w:val="clear" w:color="auto" w:fill="auto"/>
            <w:noWrap/>
            <w:hideMark/>
          </w:tcPr>
          <w:p w14:paraId="6DA97478"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239 386</w:t>
            </w:r>
          </w:p>
        </w:tc>
        <w:tc>
          <w:tcPr>
            <w:tcW w:w="657" w:type="pct"/>
            <w:tcBorders>
              <w:top w:val="nil"/>
              <w:left w:val="nil"/>
              <w:bottom w:val="nil"/>
              <w:right w:val="nil"/>
            </w:tcBorders>
            <w:shd w:val="clear" w:color="auto" w:fill="auto"/>
            <w:noWrap/>
            <w:hideMark/>
          </w:tcPr>
          <w:p w14:paraId="18E606EC"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263 121</w:t>
            </w:r>
          </w:p>
        </w:tc>
        <w:tc>
          <w:tcPr>
            <w:tcW w:w="568" w:type="pct"/>
            <w:tcBorders>
              <w:top w:val="nil"/>
              <w:left w:val="nil"/>
              <w:bottom w:val="nil"/>
              <w:right w:val="nil"/>
            </w:tcBorders>
            <w:shd w:val="clear" w:color="auto" w:fill="auto"/>
            <w:noWrap/>
            <w:hideMark/>
          </w:tcPr>
          <w:p w14:paraId="4BA451CB"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271 182</w:t>
            </w:r>
          </w:p>
        </w:tc>
        <w:tc>
          <w:tcPr>
            <w:tcW w:w="587" w:type="pct"/>
            <w:tcBorders>
              <w:top w:val="nil"/>
              <w:left w:val="nil"/>
              <w:bottom w:val="nil"/>
              <w:right w:val="nil"/>
            </w:tcBorders>
            <w:shd w:val="clear" w:color="auto" w:fill="auto"/>
            <w:noWrap/>
            <w:hideMark/>
          </w:tcPr>
          <w:p w14:paraId="79E2AC37"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255 244</w:t>
            </w:r>
          </w:p>
        </w:tc>
        <w:tc>
          <w:tcPr>
            <w:tcW w:w="556" w:type="pct"/>
            <w:tcBorders>
              <w:top w:val="nil"/>
              <w:left w:val="nil"/>
              <w:bottom w:val="nil"/>
              <w:right w:val="nil"/>
            </w:tcBorders>
            <w:shd w:val="clear" w:color="auto" w:fill="auto"/>
            <w:noWrap/>
            <w:hideMark/>
          </w:tcPr>
          <w:p w14:paraId="07F5A129"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-15 938</w:t>
            </w:r>
          </w:p>
        </w:tc>
      </w:tr>
      <w:tr w:rsidR="009A05C7" w:rsidRPr="00DC5600" w14:paraId="388037CD" w14:textId="77777777" w:rsidTr="00616B20">
        <w:trPr>
          <w:trHeight w:val="330"/>
        </w:trPr>
        <w:tc>
          <w:tcPr>
            <w:tcW w:w="1923" w:type="pct"/>
            <w:tcBorders>
              <w:top w:val="nil"/>
              <w:left w:val="nil"/>
              <w:bottom w:val="nil"/>
              <w:right w:val="nil"/>
            </w:tcBorders>
            <w:shd w:val="clear" w:color="auto" w:fill="auto"/>
            <w:noWrap/>
            <w:hideMark/>
          </w:tcPr>
          <w:p w14:paraId="746E272A" w14:textId="77777777" w:rsidR="009A05C7" w:rsidRPr="00DC5600" w:rsidRDefault="009A05C7" w:rsidP="000240DA">
            <w:pPr>
              <w:spacing w:after="0" w:line="240" w:lineRule="auto"/>
              <w:jc w:val="left"/>
              <w:rPr>
                <w:rFonts w:eastAsia="Times New Roman" w:cs="Times New Roman"/>
                <w:sz w:val="18"/>
                <w:szCs w:val="18"/>
                <w:lang w:eastAsia="sk-SK"/>
              </w:rPr>
            </w:pPr>
            <w:r w:rsidRPr="00DC5600">
              <w:rPr>
                <w:rFonts w:eastAsia="Times New Roman" w:cs="Times New Roman"/>
                <w:sz w:val="18"/>
                <w:szCs w:val="18"/>
                <w:lang w:eastAsia="sk-SK"/>
              </w:rPr>
              <w:t xml:space="preserve">    Eximbanka SR</w:t>
            </w:r>
          </w:p>
        </w:tc>
        <w:tc>
          <w:tcPr>
            <w:tcW w:w="709" w:type="pct"/>
            <w:tcBorders>
              <w:top w:val="nil"/>
              <w:left w:val="nil"/>
              <w:bottom w:val="nil"/>
              <w:right w:val="nil"/>
            </w:tcBorders>
            <w:shd w:val="clear" w:color="auto" w:fill="auto"/>
            <w:noWrap/>
            <w:hideMark/>
          </w:tcPr>
          <w:p w14:paraId="40E15CAF"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2 961</w:t>
            </w:r>
          </w:p>
        </w:tc>
        <w:tc>
          <w:tcPr>
            <w:tcW w:w="657" w:type="pct"/>
            <w:tcBorders>
              <w:top w:val="nil"/>
              <w:left w:val="nil"/>
              <w:bottom w:val="nil"/>
              <w:right w:val="nil"/>
            </w:tcBorders>
            <w:shd w:val="clear" w:color="auto" w:fill="auto"/>
            <w:noWrap/>
            <w:hideMark/>
          </w:tcPr>
          <w:p w14:paraId="20AD8B1B"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11 882</w:t>
            </w:r>
          </w:p>
        </w:tc>
        <w:tc>
          <w:tcPr>
            <w:tcW w:w="568" w:type="pct"/>
            <w:tcBorders>
              <w:top w:val="nil"/>
              <w:left w:val="nil"/>
              <w:bottom w:val="nil"/>
              <w:right w:val="nil"/>
            </w:tcBorders>
            <w:shd w:val="clear" w:color="auto" w:fill="auto"/>
            <w:noWrap/>
            <w:hideMark/>
          </w:tcPr>
          <w:p w14:paraId="3CBE4301"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-12 170</w:t>
            </w:r>
          </w:p>
        </w:tc>
        <w:tc>
          <w:tcPr>
            <w:tcW w:w="587" w:type="pct"/>
            <w:tcBorders>
              <w:top w:val="nil"/>
              <w:left w:val="nil"/>
              <w:bottom w:val="nil"/>
              <w:right w:val="nil"/>
            </w:tcBorders>
            <w:shd w:val="clear" w:color="auto" w:fill="auto"/>
            <w:noWrap/>
            <w:hideMark/>
          </w:tcPr>
          <w:p w14:paraId="6A1D600B"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216 460</w:t>
            </w:r>
          </w:p>
        </w:tc>
        <w:tc>
          <w:tcPr>
            <w:tcW w:w="556" w:type="pct"/>
            <w:tcBorders>
              <w:top w:val="nil"/>
              <w:left w:val="nil"/>
              <w:bottom w:val="nil"/>
              <w:right w:val="nil"/>
            </w:tcBorders>
            <w:shd w:val="clear" w:color="auto" w:fill="auto"/>
            <w:noWrap/>
            <w:hideMark/>
          </w:tcPr>
          <w:p w14:paraId="03FA684E"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228 630</w:t>
            </w:r>
          </w:p>
        </w:tc>
      </w:tr>
      <w:tr w:rsidR="009A05C7" w:rsidRPr="00DC5600" w14:paraId="1A0B730F" w14:textId="77777777" w:rsidTr="00616B20">
        <w:trPr>
          <w:trHeight w:val="330"/>
        </w:trPr>
        <w:tc>
          <w:tcPr>
            <w:tcW w:w="1923" w:type="pct"/>
            <w:tcBorders>
              <w:top w:val="nil"/>
              <w:left w:val="nil"/>
              <w:bottom w:val="nil"/>
              <w:right w:val="nil"/>
            </w:tcBorders>
            <w:shd w:val="clear" w:color="auto" w:fill="auto"/>
            <w:noWrap/>
            <w:hideMark/>
          </w:tcPr>
          <w:p w14:paraId="29E9878B" w14:textId="77777777" w:rsidR="009A05C7" w:rsidRPr="00DC5600" w:rsidRDefault="009A05C7" w:rsidP="000240DA">
            <w:pPr>
              <w:spacing w:after="0" w:line="240" w:lineRule="auto"/>
              <w:jc w:val="left"/>
              <w:rPr>
                <w:rFonts w:eastAsia="Times New Roman" w:cs="Times New Roman"/>
                <w:sz w:val="18"/>
                <w:szCs w:val="18"/>
                <w:lang w:eastAsia="sk-SK"/>
              </w:rPr>
            </w:pPr>
            <w:r w:rsidRPr="00DC5600">
              <w:rPr>
                <w:rFonts w:eastAsia="Times New Roman" w:cs="Times New Roman"/>
                <w:sz w:val="18"/>
                <w:szCs w:val="18"/>
                <w:lang w:eastAsia="sk-SK"/>
              </w:rPr>
              <w:t xml:space="preserve">    Slovenská záručná a rozvojová banka</w:t>
            </w:r>
          </w:p>
        </w:tc>
        <w:tc>
          <w:tcPr>
            <w:tcW w:w="709" w:type="pct"/>
            <w:tcBorders>
              <w:top w:val="nil"/>
              <w:left w:val="nil"/>
              <w:bottom w:val="nil"/>
              <w:right w:val="nil"/>
            </w:tcBorders>
            <w:shd w:val="clear" w:color="auto" w:fill="auto"/>
            <w:noWrap/>
            <w:hideMark/>
          </w:tcPr>
          <w:p w14:paraId="7F01B1B0"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w:t>
            </w:r>
          </w:p>
        </w:tc>
        <w:tc>
          <w:tcPr>
            <w:tcW w:w="657" w:type="pct"/>
            <w:tcBorders>
              <w:top w:val="nil"/>
              <w:left w:val="nil"/>
              <w:bottom w:val="nil"/>
              <w:right w:val="nil"/>
            </w:tcBorders>
            <w:shd w:val="clear" w:color="auto" w:fill="auto"/>
            <w:noWrap/>
            <w:hideMark/>
          </w:tcPr>
          <w:p w14:paraId="7F0AB71A"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8 541</w:t>
            </w:r>
          </w:p>
        </w:tc>
        <w:tc>
          <w:tcPr>
            <w:tcW w:w="568" w:type="pct"/>
            <w:tcBorders>
              <w:top w:val="nil"/>
              <w:left w:val="nil"/>
              <w:bottom w:val="nil"/>
              <w:right w:val="nil"/>
            </w:tcBorders>
            <w:shd w:val="clear" w:color="auto" w:fill="auto"/>
            <w:noWrap/>
            <w:hideMark/>
          </w:tcPr>
          <w:p w14:paraId="591F5E8C"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0</w:t>
            </w:r>
          </w:p>
        </w:tc>
        <w:tc>
          <w:tcPr>
            <w:tcW w:w="587" w:type="pct"/>
            <w:tcBorders>
              <w:top w:val="nil"/>
              <w:left w:val="nil"/>
              <w:bottom w:val="nil"/>
              <w:right w:val="nil"/>
            </w:tcBorders>
            <w:shd w:val="clear" w:color="auto" w:fill="auto"/>
            <w:noWrap/>
            <w:hideMark/>
          </w:tcPr>
          <w:p w14:paraId="237B15AD"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10 107</w:t>
            </w:r>
          </w:p>
        </w:tc>
        <w:tc>
          <w:tcPr>
            <w:tcW w:w="556" w:type="pct"/>
            <w:tcBorders>
              <w:top w:val="nil"/>
              <w:left w:val="nil"/>
              <w:bottom w:val="nil"/>
              <w:right w:val="nil"/>
            </w:tcBorders>
            <w:shd w:val="clear" w:color="auto" w:fill="auto"/>
            <w:noWrap/>
            <w:hideMark/>
          </w:tcPr>
          <w:p w14:paraId="43FB4824"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10 107</w:t>
            </w:r>
          </w:p>
        </w:tc>
      </w:tr>
      <w:tr w:rsidR="009A05C7" w:rsidRPr="00DC5600" w14:paraId="1A0D913B" w14:textId="77777777" w:rsidTr="00616B20">
        <w:trPr>
          <w:trHeight w:val="330"/>
        </w:trPr>
        <w:tc>
          <w:tcPr>
            <w:tcW w:w="1923" w:type="pct"/>
            <w:tcBorders>
              <w:top w:val="nil"/>
              <w:left w:val="nil"/>
              <w:bottom w:val="nil"/>
              <w:right w:val="nil"/>
            </w:tcBorders>
            <w:shd w:val="clear" w:color="auto" w:fill="auto"/>
            <w:noWrap/>
            <w:hideMark/>
          </w:tcPr>
          <w:p w14:paraId="4449C218" w14:textId="77777777" w:rsidR="009A05C7" w:rsidRPr="00DC5600" w:rsidRDefault="009A05C7" w:rsidP="000240DA">
            <w:pPr>
              <w:spacing w:after="0" w:line="240" w:lineRule="auto"/>
              <w:jc w:val="left"/>
              <w:rPr>
                <w:rFonts w:eastAsia="Times New Roman" w:cs="Times New Roman"/>
                <w:color w:val="000000"/>
                <w:sz w:val="18"/>
                <w:szCs w:val="18"/>
                <w:lang w:eastAsia="sk-SK"/>
              </w:rPr>
            </w:pPr>
            <w:r w:rsidRPr="00DC5600">
              <w:rPr>
                <w:rFonts w:eastAsia="Times New Roman" w:cs="Times New Roman"/>
                <w:color w:val="000000"/>
                <w:sz w:val="18"/>
                <w:szCs w:val="18"/>
                <w:lang w:eastAsia="sk-SK"/>
              </w:rPr>
              <w:t xml:space="preserve">    SIH a investičné fondy SIH-u </w:t>
            </w:r>
          </w:p>
        </w:tc>
        <w:tc>
          <w:tcPr>
            <w:tcW w:w="709" w:type="pct"/>
            <w:tcBorders>
              <w:top w:val="nil"/>
              <w:left w:val="nil"/>
              <w:bottom w:val="nil"/>
              <w:right w:val="nil"/>
            </w:tcBorders>
            <w:shd w:val="clear" w:color="auto" w:fill="auto"/>
            <w:noWrap/>
            <w:hideMark/>
          </w:tcPr>
          <w:p w14:paraId="5CA7DCAC"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40 982</w:t>
            </w:r>
          </w:p>
        </w:tc>
        <w:tc>
          <w:tcPr>
            <w:tcW w:w="657" w:type="pct"/>
            <w:tcBorders>
              <w:top w:val="nil"/>
              <w:left w:val="nil"/>
              <w:bottom w:val="nil"/>
              <w:right w:val="nil"/>
            </w:tcBorders>
            <w:shd w:val="clear" w:color="auto" w:fill="auto"/>
            <w:noWrap/>
            <w:hideMark/>
          </w:tcPr>
          <w:p w14:paraId="2EC9970A"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89 458</w:t>
            </w:r>
          </w:p>
        </w:tc>
        <w:tc>
          <w:tcPr>
            <w:tcW w:w="568" w:type="pct"/>
            <w:tcBorders>
              <w:top w:val="nil"/>
              <w:left w:val="nil"/>
              <w:bottom w:val="nil"/>
              <w:right w:val="nil"/>
            </w:tcBorders>
            <w:shd w:val="clear" w:color="auto" w:fill="auto"/>
            <w:noWrap/>
            <w:hideMark/>
          </w:tcPr>
          <w:p w14:paraId="06B42B56"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0</w:t>
            </w:r>
          </w:p>
        </w:tc>
        <w:tc>
          <w:tcPr>
            <w:tcW w:w="587" w:type="pct"/>
            <w:tcBorders>
              <w:top w:val="nil"/>
              <w:left w:val="nil"/>
              <w:bottom w:val="nil"/>
              <w:right w:val="nil"/>
            </w:tcBorders>
            <w:shd w:val="clear" w:color="auto" w:fill="auto"/>
            <w:noWrap/>
            <w:hideMark/>
          </w:tcPr>
          <w:p w14:paraId="48EF2768"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-15 220</w:t>
            </w:r>
          </w:p>
        </w:tc>
        <w:tc>
          <w:tcPr>
            <w:tcW w:w="556" w:type="pct"/>
            <w:tcBorders>
              <w:top w:val="nil"/>
              <w:left w:val="nil"/>
              <w:bottom w:val="nil"/>
              <w:right w:val="nil"/>
            </w:tcBorders>
            <w:shd w:val="clear" w:color="auto" w:fill="auto"/>
            <w:noWrap/>
            <w:hideMark/>
          </w:tcPr>
          <w:p w14:paraId="19C79E38"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-15 220</w:t>
            </w:r>
          </w:p>
        </w:tc>
      </w:tr>
      <w:tr w:rsidR="009A05C7" w:rsidRPr="00DC5600" w14:paraId="22BB40B8" w14:textId="77777777" w:rsidTr="00616B20">
        <w:trPr>
          <w:trHeight w:val="330"/>
        </w:trPr>
        <w:tc>
          <w:tcPr>
            <w:tcW w:w="1923" w:type="pct"/>
            <w:tcBorders>
              <w:top w:val="nil"/>
              <w:left w:val="nil"/>
              <w:bottom w:val="nil"/>
              <w:right w:val="nil"/>
            </w:tcBorders>
            <w:shd w:val="clear" w:color="auto" w:fill="auto"/>
            <w:noWrap/>
            <w:hideMark/>
          </w:tcPr>
          <w:p w14:paraId="15893178" w14:textId="77777777" w:rsidR="009A05C7" w:rsidRPr="00DC5600" w:rsidRDefault="009A05C7" w:rsidP="000240DA">
            <w:pPr>
              <w:spacing w:after="0" w:line="240" w:lineRule="auto"/>
              <w:jc w:val="left"/>
              <w:rPr>
                <w:rFonts w:eastAsia="Times New Roman" w:cs="Times New Roman"/>
                <w:sz w:val="18"/>
                <w:szCs w:val="18"/>
                <w:lang w:eastAsia="sk-SK"/>
              </w:rPr>
            </w:pPr>
            <w:r w:rsidRPr="00DC5600">
              <w:rPr>
                <w:rFonts w:eastAsia="Times New Roman" w:cs="Times New Roman"/>
                <w:sz w:val="18"/>
                <w:szCs w:val="18"/>
                <w:lang w:eastAsia="sk-SK"/>
              </w:rPr>
              <w:t xml:space="preserve">    Obchodné spoločnosti štátu, z toho:</w:t>
            </w:r>
          </w:p>
        </w:tc>
        <w:tc>
          <w:tcPr>
            <w:tcW w:w="709" w:type="pct"/>
            <w:tcBorders>
              <w:top w:val="nil"/>
              <w:left w:val="nil"/>
              <w:bottom w:val="nil"/>
              <w:right w:val="nil"/>
            </w:tcBorders>
            <w:shd w:val="clear" w:color="auto" w:fill="auto"/>
            <w:noWrap/>
            <w:hideMark/>
          </w:tcPr>
          <w:p w14:paraId="4B3B8270"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66 471</w:t>
            </w:r>
          </w:p>
        </w:tc>
        <w:tc>
          <w:tcPr>
            <w:tcW w:w="657" w:type="pct"/>
            <w:tcBorders>
              <w:top w:val="nil"/>
              <w:left w:val="nil"/>
              <w:bottom w:val="nil"/>
              <w:right w:val="nil"/>
            </w:tcBorders>
            <w:shd w:val="clear" w:color="auto" w:fill="auto"/>
            <w:noWrap/>
            <w:hideMark/>
          </w:tcPr>
          <w:p w14:paraId="4507E538"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4 626</w:t>
            </w:r>
          </w:p>
        </w:tc>
        <w:tc>
          <w:tcPr>
            <w:tcW w:w="568" w:type="pct"/>
            <w:tcBorders>
              <w:top w:val="nil"/>
              <w:left w:val="nil"/>
              <w:bottom w:val="nil"/>
              <w:right w:val="nil"/>
            </w:tcBorders>
            <w:shd w:val="clear" w:color="auto" w:fill="auto"/>
            <w:noWrap/>
            <w:hideMark/>
          </w:tcPr>
          <w:p w14:paraId="5AF169B6"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-149 971</w:t>
            </w:r>
          </w:p>
        </w:tc>
        <w:tc>
          <w:tcPr>
            <w:tcW w:w="587" w:type="pct"/>
            <w:tcBorders>
              <w:top w:val="nil"/>
              <w:left w:val="nil"/>
              <w:bottom w:val="nil"/>
              <w:right w:val="nil"/>
            </w:tcBorders>
            <w:shd w:val="clear" w:color="auto" w:fill="auto"/>
            <w:noWrap/>
            <w:hideMark/>
          </w:tcPr>
          <w:p w14:paraId="7A71592F"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1 570</w:t>
            </w:r>
          </w:p>
        </w:tc>
        <w:tc>
          <w:tcPr>
            <w:tcW w:w="556" w:type="pct"/>
            <w:tcBorders>
              <w:top w:val="nil"/>
              <w:left w:val="nil"/>
              <w:bottom w:val="nil"/>
              <w:right w:val="nil"/>
            </w:tcBorders>
            <w:shd w:val="clear" w:color="auto" w:fill="auto"/>
            <w:noWrap/>
            <w:hideMark/>
          </w:tcPr>
          <w:p w14:paraId="697759C1"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151 541</w:t>
            </w:r>
          </w:p>
        </w:tc>
      </w:tr>
      <w:tr w:rsidR="009A05C7" w:rsidRPr="00DC5600" w14:paraId="457720AA" w14:textId="77777777" w:rsidTr="00616B20">
        <w:trPr>
          <w:trHeight w:val="330"/>
        </w:trPr>
        <w:tc>
          <w:tcPr>
            <w:tcW w:w="1923" w:type="pct"/>
            <w:tcBorders>
              <w:top w:val="nil"/>
              <w:left w:val="nil"/>
              <w:bottom w:val="nil"/>
              <w:right w:val="nil"/>
            </w:tcBorders>
            <w:shd w:val="clear" w:color="auto" w:fill="auto"/>
            <w:noWrap/>
            <w:hideMark/>
          </w:tcPr>
          <w:p w14:paraId="04AE9323" w14:textId="77777777" w:rsidR="009A05C7" w:rsidRPr="00DC5600" w:rsidRDefault="009A05C7" w:rsidP="000240DA">
            <w:pPr>
              <w:spacing w:after="0" w:line="240" w:lineRule="auto"/>
              <w:jc w:val="left"/>
              <w:rPr>
                <w:rFonts w:eastAsia="Times New Roman" w:cs="Times New Roman"/>
                <w:sz w:val="18"/>
                <w:szCs w:val="18"/>
                <w:lang w:eastAsia="sk-SK"/>
              </w:rPr>
            </w:pPr>
            <w:r w:rsidRPr="00DC5600">
              <w:rPr>
                <w:rFonts w:eastAsia="Times New Roman" w:cs="Times New Roman"/>
                <w:sz w:val="18"/>
                <w:szCs w:val="18"/>
                <w:lang w:eastAsia="sk-SK"/>
              </w:rPr>
              <w:t xml:space="preserve">        MH Manažment, a. s.</w:t>
            </w:r>
          </w:p>
        </w:tc>
        <w:tc>
          <w:tcPr>
            <w:tcW w:w="709" w:type="pct"/>
            <w:tcBorders>
              <w:top w:val="nil"/>
              <w:left w:val="nil"/>
              <w:bottom w:val="nil"/>
              <w:right w:val="nil"/>
            </w:tcBorders>
            <w:shd w:val="clear" w:color="auto" w:fill="auto"/>
            <w:noWrap/>
            <w:hideMark/>
          </w:tcPr>
          <w:p w14:paraId="384F5359"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6 338</w:t>
            </w:r>
          </w:p>
        </w:tc>
        <w:tc>
          <w:tcPr>
            <w:tcW w:w="657" w:type="pct"/>
            <w:tcBorders>
              <w:top w:val="nil"/>
              <w:left w:val="nil"/>
              <w:bottom w:val="nil"/>
              <w:right w:val="nil"/>
            </w:tcBorders>
            <w:shd w:val="clear" w:color="auto" w:fill="auto"/>
            <w:noWrap/>
            <w:hideMark/>
          </w:tcPr>
          <w:p w14:paraId="563D488F"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-10 171</w:t>
            </w:r>
          </w:p>
        </w:tc>
        <w:tc>
          <w:tcPr>
            <w:tcW w:w="568" w:type="pct"/>
            <w:tcBorders>
              <w:top w:val="nil"/>
              <w:left w:val="nil"/>
              <w:bottom w:val="nil"/>
              <w:right w:val="nil"/>
            </w:tcBorders>
            <w:shd w:val="clear" w:color="auto" w:fill="auto"/>
            <w:noWrap/>
            <w:hideMark/>
          </w:tcPr>
          <w:p w14:paraId="08157DE1"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-2 047</w:t>
            </w:r>
          </w:p>
        </w:tc>
        <w:tc>
          <w:tcPr>
            <w:tcW w:w="587" w:type="pct"/>
            <w:tcBorders>
              <w:top w:val="nil"/>
              <w:left w:val="nil"/>
              <w:bottom w:val="nil"/>
              <w:right w:val="nil"/>
            </w:tcBorders>
            <w:shd w:val="clear" w:color="auto" w:fill="auto"/>
            <w:noWrap/>
            <w:hideMark/>
          </w:tcPr>
          <w:p w14:paraId="3B8AD1BE"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-2 071</w:t>
            </w:r>
          </w:p>
        </w:tc>
        <w:tc>
          <w:tcPr>
            <w:tcW w:w="556" w:type="pct"/>
            <w:tcBorders>
              <w:top w:val="nil"/>
              <w:left w:val="nil"/>
              <w:bottom w:val="nil"/>
              <w:right w:val="nil"/>
            </w:tcBorders>
            <w:shd w:val="clear" w:color="auto" w:fill="auto"/>
            <w:noWrap/>
            <w:hideMark/>
          </w:tcPr>
          <w:p w14:paraId="579D37EB"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-24</w:t>
            </w:r>
          </w:p>
        </w:tc>
      </w:tr>
      <w:tr w:rsidR="009A05C7" w:rsidRPr="00DC5600" w14:paraId="16331FB7" w14:textId="77777777" w:rsidTr="00616B20">
        <w:trPr>
          <w:trHeight w:val="330"/>
        </w:trPr>
        <w:tc>
          <w:tcPr>
            <w:tcW w:w="1923" w:type="pct"/>
            <w:tcBorders>
              <w:top w:val="nil"/>
              <w:left w:val="nil"/>
              <w:bottom w:val="nil"/>
              <w:right w:val="nil"/>
            </w:tcBorders>
            <w:shd w:val="clear" w:color="auto" w:fill="auto"/>
            <w:noWrap/>
            <w:hideMark/>
          </w:tcPr>
          <w:p w14:paraId="062D01FD" w14:textId="77777777" w:rsidR="009A05C7" w:rsidRPr="00DC5600" w:rsidRDefault="009A05C7" w:rsidP="000240DA">
            <w:pPr>
              <w:spacing w:after="0" w:line="240" w:lineRule="auto"/>
              <w:jc w:val="left"/>
              <w:rPr>
                <w:rFonts w:eastAsia="Times New Roman" w:cs="Times New Roman"/>
                <w:sz w:val="18"/>
                <w:szCs w:val="18"/>
                <w:lang w:eastAsia="sk-SK"/>
              </w:rPr>
            </w:pPr>
            <w:r w:rsidRPr="00DC5600">
              <w:rPr>
                <w:rFonts w:eastAsia="Times New Roman" w:cs="Times New Roman"/>
                <w:sz w:val="18"/>
                <w:szCs w:val="18"/>
                <w:lang w:eastAsia="sk-SK"/>
              </w:rPr>
              <w:t xml:space="preserve">        MH Invest, s. r. o.</w:t>
            </w:r>
          </w:p>
        </w:tc>
        <w:tc>
          <w:tcPr>
            <w:tcW w:w="709" w:type="pct"/>
            <w:tcBorders>
              <w:top w:val="nil"/>
              <w:left w:val="nil"/>
              <w:bottom w:val="nil"/>
              <w:right w:val="nil"/>
            </w:tcBorders>
            <w:shd w:val="clear" w:color="auto" w:fill="auto"/>
            <w:noWrap/>
            <w:hideMark/>
          </w:tcPr>
          <w:p w14:paraId="07B1ED6D"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-3 138</w:t>
            </w:r>
          </w:p>
        </w:tc>
        <w:tc>
          <w:tcPr>
            <w:tcW w:w="657" w:type="pct"/>
            <w:tcBorders>
              <w:top w:val="nil"/>
              <w:left w:val="nil"/>
              <w:bottom w:val="nil"/>
              <w:right w:val="nil"/>
            </w:tcBorders>
            <w:shd w:val="clear" w:color="auto" w:fill="auto"/>
            <w:noWrap/>
            <w:hideMark/>
          </w:tcPr>
          <w:p w14:paraId="4FEE3002"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-3 868</w:t>
            </w:r>
          </w:p>
        </w:tc>
        <w:tc>
          <w:tcPr>
            <w:tcW w:w="568" w:type="pct"/>
            <w:tcBorders>
              <w:top w:val="nil"/>
              <w:left w:val="nil"/>
              <w:bottom w:val="nil"/>
              <w:right w:val="nil"/>
            </w:tcBorders>
            <w:shd w:val="clear" w:color="auto" w:fill="auto"/>
            <w:noWrap/>
            <w:hideMark/>
          </w:tcPr>
          <w:p w14:paraId="7FB4AC84"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-58 652</w:t>
            </w:r>
          </w:p>
        </w:tc>
        <w:tc>
          <w:tcPr>
            <w:tcW w:w="587" w:type="pct"/>
            <w:tcBorders>
              <w:top w:val="nil"/>
              <w:left w:val="nil"/>
              <w:bottom w:val="nil"/>
              <w:right w:val="nil"/>
            </w:tcBorders>
            <w:shd w:val="clear" w:color="auto" w:fill="auto"/>
            <w:noWrap/>
            <w:hideMark/>
          </w:tcPr>
          <w:p w14:paraId="514B4474"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10 641</w:t>
            </w:r>
          </w:p>
        </w:tc>
        <w:tc>
          <w:tcPr>
            <w:tcW w:w="556" w:type="pct"/>
            <w:tcBorders>
              <w:top w:val="nil"/>
              <w:left w:val="nil"/>
              <w:bottom w:val="nil"/>
              <w:right w:val="nil"/>
            </w:tcBorders>
            <w:shd w:val="clear" w:color="auto" w:fill="auto"/>
            <w:noWrap/>
            <w:hideMark/>
          </w:tcPr>
          <w:p w14:paraId="4F8E03C3"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69 293</w:t>
            </w:r>
          </w:p>
        </w:tc>
      </w:tr>
      <w:tr w:rsidR="009A05C7" w:rsidRPr="00DC5600" w14:paraId="2BDA73E8" w14:textId="77777777" w:rsidTr="00616B20">
        <w:trPr>
          <w:trHeight w:val="330"/>
        </w:trPr>
        <w:tc>
          <w:tcPr>
            <w:tcW w:w="1923" w:type="pct"/>
            <w:tcBorders>
              <w:top w:val="nil"/>
              <w:left w:val="nil"/>
              <w:bottom w:val="nil"/>
              <w:right w:val="nil"/>
            </w:tcBorders>
            <w:shd w:val="clear" w:color="auto" w:fill="auto"/>
            <w:noWrap/>
            <w:hideMark/>
          </w:tcPr>
          <w:p w14:paraId="42547B15" w14:textId="77777777" w:rsidR="009A05C7" w:rsidRPr="00DC5600" w:rsidRDefault="009A05C7" w:rsidP="000240DA">
            <w:pPr>
              <w:spacing w:after="0" w:line="240" w:lineRule="auto"/>
              <w:jc w:val="left"/>
              <w:rPr>
                <w:rFonts w:eastAsia="Times New Roman" w:cs="Times New Roman"/>
                <w:sz w:val="18"/>
                <w:szCs w:val="18"/>
                <w:lang w:eastAsia="sk-SK"/>
              </w:rPr>
            </w:pPr>
            <w:r w:rsidRPr="00DC5600">
              <w:rPr>
                <w:rFonts w:eastAsia="Times New Roman" w:cs="Times New Roman"/>
                <w:sz w:val="18"/>
                <w:szCs w:val="18"/>
                <w:lang w:eastAsia="sk-SK"/>
              </w:rPr>
              <w:t xml:space="preserve">        MH Invest II, s. r. o.</w:t>
            </w:r>
          </w:p>
        </w:tc>
        <w:tc>
          <w:tcPr>
            <w:tcW w:w="709" w:type="pct"/>
            <w:tcBorders>
              <w:top w:val="nil"/>
              <w:left w:val="nil"/>
              <w:bottom w:val="nil"/>
              <w:right w:val="nil"/>
            </w:tcBorders>
            <w:shd w:val="clear" w:color="auto" w:fill="auto"/>
            <w:noWrap/>
            <w:hideMark/>
          </w:tcPr>
          <w:p w14:paraId="3E02B909"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838</w:t>
            </w:r>
          </w:p>
        </w:tc>
        <w:tc>
          <w:tcPr>
            <w:tcW w:w="657" w:type="pct"/>
            <w:tcBorders>
              <w:top w:val="nil"/>
              <w:left w:val="nil"/>
              <w:bottom w:val="nil"/>
              <w:right w:val="nil"/>
            </w:tcBorders>
            <w:shd w:val="clear" w:color="auto" w:fill="auto"/>
            <w:noWrap/>
            <w:hideMark/>
          </w:tcPr>
          <w:p w14:paraId="09815109"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-983</w:t>
            </w:r>
          </w:p>
        </w:tc>
        <w:tc>
          <w:tcPr>
            <w:tcW w:w="568" w:type="pct"/>
            <w:tcBorders>
              <w:top w:val="nil"/>
              <w:left w:val="nil"/>
              <w:bottom w:val="nil"/>
              <w:right w:val="nil"/>
            </w:tcBorders>
            <w:shd w:val="clear" w:color="auto" w:fill="auto"/>
            <w:noWrap/>
            <w:hideMark/>
          </w:tcPr>
          <w:p w14:paraId="410E73AD"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-309</w:t>
            </w:r>
          </w:p>
        </w:tc>
        <w:tc>
          <w:tcPr>
            <w:tcW w:w="587" w:type="pct"/>
            <w:tcBorders>
              <w:top w:val="nil"/>
              <w:left w:val="nil"/>
              <w:bottom w:val="nil"/>
              <w:right w:val="nil"/>
            </w:tcBorders>
            <w:shd w:val="clear" w:color="auto" w:fill="auto"/>
            <w:noWrap/>
            <w:hideMark/>
          </w:tcPr>
          <w:p w14:paraId="62789088"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1 725</w:t>
            </w:r>
          </w:p>
        </w:tc>
        <w:tc>
          <w:tcPr>
            <w:tcW w:w="556" w:type="pct"/>
            <w:tcBorders>
              <w:top w:val="nil"/>
              <w:left w:val="nil"/>
              <w:bottom w:val="nil"/>
              <w:right w:val="nil"/>
            </w:tcBorders>
            <w:shd w:val="clear" w:color="auto" w:fill="auto"/>
            <w:noWrap/>
            <w:hideMark/>
          </w:tcPr>
          <w:p w14:paraId="464DA5B2"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2 034</w:t>
            </w:r>
          </w:p>
        </w:tc>
      </w:tr>
      <w:tr w:rsidR="009A05C7" w:rsidRPr="00DC5600" w14:paraId="3AED350C" w14:textId="77777777" w:rsidTr="00616B20">
        <w:trPr>
          <w:trHeight w:val="330"/>
        </w:trPr>
        <w:tc>
          <w:tcPr>
            <w:tcW w:w="1923" w:type="pct"/>
            <w:tcBorders>
              <w:top w:val="nil"/>
              <w:left w:val="nil"/>
              <w:bottom w:val="nil"/>
              <w:right w:val="nil"/>
            </w:tcBorders>
            <w:shd w:val="clear" w:color="auto" w:fill="auto"/>
            <w:noWrap/>
            <w:hideMark/>
          </w:tcPr>
          <w:p w14:paraId="769D67BD" w14:textId="77777777" w:rsidR="009A05C7" w:rsidRPr="00DC5600" w:rsidRDefault="009A05C7" w:rsidP="000240DA">
            <w:pPr>
              <w:spacing w:after="0" w:line="240" w:lineRule="auto"/>
              <w:jc w:val="left"/>
              <w:rPr>
                <w:rFonts w:eastAsia="Times New Roman" w:cs="Times New Roman"/>
                <w:sz w:val="18"/>
                <w:szCs w:val="18"/>
                <w:lang w:eastAsia="sk-SK"/>
              </w:rPr>
            </w:pPr>
            <w:r w:rsidRPr="00DC5600">
              <w:rPr>
                <w:rFonts w:eastAsia="Times New Roman" w:cs="Times New Roman"/>
                <w:sz w:val="18"/>
                <w:szCs w:val="18"/>
                <w:lang w:eastAsia="sk-SK"/>
              </w:rPr>
              <w:t xml:space="preserve">        JAVYS, a. s.</w:t>
            </w:r>
          </w:p>
        </w:tc>
        <w:tc>
          <w:tcPr>
            <w:tcW w:w="709" w:type="pct"/>
            <w:tcBorders>
              <w:top w:val="nil"/>
              <w:left w:val="nil"/>
              <w:bottom w:val="nil"/>
              <w:right w:val="nil"/>
            </w:tcBorders>
            <w:shd w:val="clear" w:color="auto" w:fill="auto"/>
            <w:noWrap/>
            <w:hideMark/>
          </w:tcPr>
          <w:p w14:paraId="0FA1C369"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1 974</w:t>
            </w:r>
          </w:p>
        </w:tc>
        <w:tc>
          <w:tcPr>
            <w:tcW w:w="657" w:type="pct"/>
            <w:tcBorders>
              <w:top w:val="nil"/>
              <w:left w:val="nil"/>
              <w:bottom w:val="nil"/>
              <w:right w:val="nil"/>
            </w:tcBorders>
            <w:shd w:val="clear" w:color="auto" w:fill="auto"/>
            <w:noWrap/>
            <w:hideMark/>
          </w:tcPr>
          <w:p w14:paraId="4BD24F76"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8 694</w:t>
            </w:r>
          </w:p>
        </w:tc>
        <w:tc>
          <w:tcPr>
            <w:tcW w:w="568" w:type="pct"/>
            <w:tcBorders>
              <w:top w:val="nil"/>
              <w:left w:val="nil"/>
              <w:bottom w:val="nil"/>
              <w:right w:val="nil"/>
            </w:tcBorders>
            <w:shd w:val="clear" w:color="auto" w:fill="auto"/>
            <w:noWrap/>
            <w:hideMark/>
          </w:tcPr>
          <w:p w14:paraId="5E3F442C"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-59 619</w:t>
            </w:r>
          </w:p>
        </w:tc>
        <w:tc>
          <w:tcPr>
            <w:tcW w:w="587" w:type="pct"/>
            <w:tcBorders>
              <w:top w:val="nil"/>
              <w:left w:val="nil"/>
              <w:bottom w:val="nil"/>
              <w:right w:val="nil"/>
            </w:tcBorders>
            <w:shd w:val="clear" w:color="auto" w:fill="auto"/>
            <w:noWrap/>
            <w:hideMark/>
          </w:tcPr>
          <w:p w14:paraId="3C2731D0"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12 086</w:t>
            </w:r>
          </w:p>
        </w:tc>
        <w:tc>
          <w:tcPr>
            <w:tcW w:w="556" w:type="pct"/>
            <w:tcBorders>
              <w:top w:val="nil"/>
              <w:left w:val="nil"/>
              <w:bottom w:val="nil"/>
              <w:right w:val="nil"/>
            </w:tcBorders>
            <w:shd w:val="clear" w:color="auto" w:fill="auto"/>
            <w:noWrap/>
            <w:hideMark/>
          </w:tcPr>
          <w:p w14:paraId="46AECCA2"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71 705</w:t>
            </w:r>
          </w:p>
        </w:tc>
      </w:tr>
      <w:tr w:rsidR="009A05C7" w:rsidRPr="00DC5600" w14:paraId="2E61E0D8" w14:textId="77777777" w:rsidTr="00616B20">
        <w:trPr>
          <w:trHeight w:val="330"/>
        </w:trPr>
        <w:tc>
          <w:tcPr>
            <w:tcW w:w="1923" w:type="pct"/>
            <w:tcBorders>
              <w:top w:val="nil"/>
              <w:left w:val="nil"/>
              <w:bottom w:val="nil"/>
              <w:right w:val="nil"/>
            </w:tcBorders>
            <w:shd w:val="clear" w:color="auto" w:fill="auto"/>
            <w:noWrap/>
            <w:hideMark/>
          </w:tcPr>
          <w:p w14:paraId="3918F12A" w14:textId="77777777" w:rsidR="009A05C7" w:rsidRPr="00DC5600" w:rsidRDefault="009A05C7" w:rsidP="000240DA">
            <w:pPr>
              <w:spacing w:after="0" w:line="240" w:lineRule="auto"/>
              <w:jc w:val="left"/>
              <w:rPr>
                <w:rFonts w:eastAsia="Times New Roman" w:cs="Times New Roman"/>
                <w:sz w:val="18"/>
                <w:szCs w:val="18"/>
                <w:lang w:eastAsia="sk-SK"/>
              </w:rPr>
            </w:pPr>
            <w:r w:rsidRPr="00DC5600">
              <w:rPr>
                <w:rFonts w:eastAsia="Times New Roman" w:cs="Times New Roman"/>
                <w:sz w:val="18"/>
                <w:szCs w:val="18"/>
                <w:lang w:eastAsia="sk-SK"/>
              </w:rPr>
              <w:t xml:space="preserve">        Železnice Slovenskej republiky</w:t>
            </w:r>
          </w:p>
        </w:tc>
        <w:tc>
          <w:tcPr>
            <w:tcW w:w="709" w:type="pct"/>
            <w:tcBorders>
              <w:top w:val="nil"/>
              <w:left w:val="nil"/>
              <w:bottom w:val="nil"/>
              <w:right w:val="nil"/>
            </w:tcBorders>
            <w:shd w:val="clear" w:color="auto" w:fill="auto"/>
            <w:noWrap/>
            <w:hideMark/>
          </w:tcPr>
          <w:p w14:paraId="0CE8B001"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106 668</w:t>
            </w:r>
          </w:p>
        </w:tc>
        <w:tc>
          <w:tcPr>
            <w:tcW w:w="657" w:type="pct"/>
            <w:tcBorders>
              <w:top w:val="nil"/>
              <w:left w:val="nil"/>
              <w:bottom w:val="nil"/>
              <w:right w:val="nil"/>
            </w:tcBorders>
            <w:shd w:val="clear" w:color="auto" w:fill="auto"/>
            <w:noWrap/>
            <w:hideMark/>
          </w:tcPr>
          <w:p w14:paraId="55B4BE60"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-32 137</w:t>
            </w:r>
          </w:p>
        </w:tc>
        <w:tc>
          <w:tcPr>
            <w:tcW w:w="568" w:type="pct"/>
            <w:tcBorders>
              <w:top w:val="nil"/>
              <w:left w:val="nil"/>
              <w:bottom w:val="nil"/>
              <w:right w:val="nil"/>
            </w:tcBorders>
            <w:shd w:val="clear" w:color="auto" w:fill="auto"/>
            <w:noWrap/>
            <w:hideMark/>
          </w:tcPr>
          <w:p w14:paraId="11F84291"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26 622</w:t>
            </w:r>
          </w:p>
        </w:tc>
        <w:tc>
          <w:tcPr>
            <w:tcW w:w="587" w:type="pct"/>
            <w:tcBorders>
              <w:top w:val="nil"/>
              <w:left w:val="nil"/>
              <w:bottom w:val="nil"/>
              <w:right w:val="nil"/>
            </w:tcBorders>
            <w:shd w:val="clear" w:color="auto" w:fill="auto"/>
            <w:noWrap/>
            <w:hideMark/>
          </w:tcPr>
          <w:p w14:paraId="7C1E7868"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-14 031</w:t>
            </w:r>
          </w:p>
        </w:tc>
        <w:tc>
          <w:tcPr>
            <w:tcW w:w="556" w:type="pct"/>
            <w:tcBorders>
              <w:top w:val="nil"/>
              <w:left w:val="nil"/>
              <w:bottom w:val="nil"/>
              <w:right w:val="nil"/>
            </w:tcBorders>
            <w:shd w:val="clear" w:color="auto" w:fill="auto"/>
            <w:noWrap/>
            <w:hideMark/>
          </w:tcPr>
          <w:p w14:paraId="37FE35C7"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-40 653</w:t>
            </w:r>
          </w:p>
        </w:tc>
      </w:tr>
      <w:tr w:rsidR="009A05C7" w:rsidRPr="00DC5600" w14:paraId="57087F60" w14:textId="77777777" w:rsidTr="00616B20">
        <w:trPr>
          <w:trHeight w:val="330"/>
        </w:trPr>
        <w:tc>
          <w:tcPr>
            <w:tcW w:w="1923" w:type="pct"/>
            <w:tcBorders>
              <w:top w:val="nil"/>
              <w:left w:val="nil"/>
              <w:bottom w:val="nil"/>
              <w:right w:val="nil"/>
            </w:tcBorders>
            <w:shd w:val="clear" w:color="auto" w:fill="auto"/>
            <w:noWrap/>
            <w:hideMark/>
          </w:tcPr>
          <w:p w14:paraId="7BFB983B" w14:textId="77777777" w:rsidR="009A05C7" w:rsidRPr="00DC5600" w:rsidRDefault="009A05C7" w:rsidP="000240DA">
            <w:pPr>
              <w:spacing w:after="0" w:line="240" w:lineRule="auto"/>
              <w:jc w:val="left"/>
              <w:rPr>
                <w:rFonts w:eastAsia="Times New Roman" w:cs="Times New Roman"/>
                <w:sz w:val="18"/>
                <w:szCs w:val="18"/>
                <w:lang w:eastAsia="sk-SK"/>
              </w:rPr>
            </w:pPr>
            <w:r w:rsidRPr="00DC5600">
              <w:rPr>
                <w:rFonts w:eastAsia="Times New Roman" w:cs="Times New Roman"/>
                <w:sz w:val="18"/>
                <w:szCs w:val="18"/>
                <w:lang w:eastAsia="sk-SK"/>
              </w:rPr>
              <w:t xml:space="preserve">        Železničná spoločnosť Slovensko, a. s.</w:t>
            </w:r>
          </w:p>
        </w:tc>
        <w:tc>
          <w:tcPr>
            <w:tcW w:w="709" w:type="pct"/>
            <w:tcBorders>
              <w:top w:val="nil"/>
              <w:left w:val="nil"/>
              <w:bottom w:val="nil"/>
              <w:right w:val="nil"/>
            </w:tcBorders>
            <w:shd w:val="clear" w:color="auto" w:fill="auto"/>
            <w:noWrap/>
            <w:hideMark/>
          </w:tcPr>
          <w:p w14:paraId="7E0C007F"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-4 029</w:t>
            </w:r>
          </w:p>
        </w:tc>
        <w:tc>
          <w:tcPr>
            <w:tcW w:w="657" w:type="pct"/>
            <w:tcBorders>
              <w:top w:val="nil"/>
              <w:left w:val="nil"/>
              <w:bottom w:val="nil"/>
              <w:right w:val="nil"/>
            </w:tcBorders>
            <w:shd w:val="clear" w:color="auto" w:fill="auto"/>
            <w:noWrap/>
            <w:hideMark/>
          </w:tcPr>
          <w:p w14:paraId="2D7C0C16"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-10 787</w:t>
            </w:r>
          </w:p>
        </w:tc>
        <w:tc>
          <w:tcPr>
            <w:tcW w:w="568" w:type="pct"/>
            <w:tcBorders>
              <w:top w:val="nil"/>
              <w:left w:val="nil"/>
              <w:bottom w:val="nil"/>
              <w:right w:val="nil"/>
            </w:tcBorders>
            <w:shd w:val="clear" w:color="auto" w:fill="auto"/>
            <w:noWrap/>
            <w:hideMark/>
          </w:tcPr>
          <w:p w14:paraId="0AE87CE4"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-79 847</w:t>
            </w:r>
          </w:p>
        </w:tc>
        <w:tc>
          <w:tcPr>
            <w:tcW w:w="587" w:type="pct"/>
            <w:tcBorders>
              <w:top w:val="nil"/>
              <w:left w:val="nil"/>
              <w:bottom w:val="nil"/>
              <w:right w:val="nil"/>
            </w:tcBorders>
            <w:shd w:val="clear" w:color="auto" w:fill="auto"/>
            <w:noWrap/>
            <w:hideMark/>
          </w:tcPr>
          <w:p w14:paraId="140BE297"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22 606</w:t>
            </w:r>
          </w:p>
        </w:tc>
        <w:tc>
          <w:tcPr>
            <w:tcW w:w="556" w:type="pct"/>
            <w:tcBorders>
              <w:top w:val="nil"/>
              <w:left w:val="nil"/>
              <w:bottom w:val="nil"/>
              <w:right w:val="nil"/>
            </w:tcBorders>
            <w:shd w:val="clear" w:color="auto" w:fill="auto"/>
            <w:noWrap/>
            <w:hideMark/>
          </w:tcPr>
          <w:p w14:paraId="27007155"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102 453</w:t>
            </w:r>
          </w:p>
        </w:tc>
      </w:tr>
      <w:tr w:rsidR="009A05C7" w:rsidRPr="00DC5600" w14:paraId="4778C7CB" w14:textId="77777777" w:rsidTr="00616B20">
        <w:trPr>
          <w:trHeight w:val="330"/>
        </w:trPr>
        <w:tc>
          <w:tcPr>
            <w:tcW w:w="1923" w:type="pct"/>
            <w:tcBorders>
              <w:top w:val="nil"/>
              <w:left w:val="nil"/>
              <w:bottom w:val="nil"/>
              <w:right w:val="nil"/>
            </w:tcBorders>
            <w:shd w:val="clear" w:color="auto" w:fill="auto"/>
            <w:noWrap/>
            <w:hideMark/>
          </w:tcPr>
          <w:p w14:paraId="7C0B7A3C" w14:textId="77777777" w:rsidR="009A05C7" w:rsidRPr="00DC5600" w:rsidRDefault="009A05C7" w:rsidP="000240DA">
            <w:pPr>
              <w:spacing w:after="0" w:line="240" w:lineRule="auto"/>
              <w:jc w:val="left"/>
              <w:rPr>
                <w:rFonts w:eastAsia="Times New Roman" w:cs="Times New Roman"/>
                <w:sz w:val="18"/>
                <w:szCs w:val="18"/>
                <w:lang w:eastAsia="sk-SK"/>
              </w:rPr>
            </w:pPr>
            <w:r w:rsidRPr="00DC5600">
              <w:rPr>
                <w:rFonts w:eastAsia="Times New Roman" w:cs="Times New Roman"/>
                <w:sz w:val="18"/>
                <w:szCs w:val="18"/>
                <w:lang w:eastAsia="sk-SK"/>
              </w:rPr>
              <w:t xml:space="preserve">        Národná diaľničná spoločnosť, a. s.</w:t>
            </w:r>
          </w:p>
        </w:tc>
        <w:tc>
          <w:tcPr>
            <w:tcW w:w="709" w:type="pct"/>
            <w:tcBorders>
              <w:top w:val="nil"/>
              <w:left w:val="nil"/>
              <w:bottom w:val="nil"/>
              <w:right w:val="nil"/>
            </w:tcBorders>
            <w:shd w:val="clear" w:color="auto" w:fill="auto"/>
            <w:noWrap/>
            <w:hideMark/>
          </w:tcPr>
          <w:p w14:paraId="5F5D535F"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-45 578</w:t>
            </w:r>
          </w:p>
        </w:tc>
        <w:tc>
          <w:tcPr>
            <w:tcW w:w="657" w:type="pct"/>
            <w:tcBorders>
              <w:top w:val="nil"/>
              <w:left w:val="nil"/>
              <w:bottom w:val="nil"/>
              <w:right w:val="nil"/>
            </w:tcBorders>
            <w:shd w:val="clear" w:color="auto" w:fill="auto"/>
            <w:noWrap/>
            <w:hideMark/>
          </w:tcPr>
          <w:p w14:paraId="1A543BDB"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53 615</w:t>
            </w:r>
          </w:p>
        </w:tc>
        <w:tc>
          <w:tcPr>
            <w:tcW w:w="568" w:type="pct"/>
            <w:tcBorders>
              <w:top w:val="nil"/>
              <w:left w:val="nil"/>
              <w:bottom w:val="nil"/>
              <w:right w:val="nil"/>
            </w:tcBorders>
            <w:shd w:val="clear" w:color="auto" w:fill="auto"/>
            <w:noWrap/>
            <w:hideMark/>
          </w:tcPr>
          <w:p w14:paraId="2C88F9F5"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27 958</w:t>
            </w:r>
          </w:p>
        </w:tc>
        <w:tc>
          <w:tcPr>
            <w:tcW w:w="587" w:type="pct"/>
            <w:tcBorders>
              <w:top w:val="nil"/>
              <w:left w:val="nil"/>
              <w:bottom w:val="nil"/>
              <w:right w:val="nil"/>
            </w:tcBorders>
            <w:shd w:val="clear" w:color="auto" w:fill="auto"/>
            <w:noWrap/>
            <w:hideMark/>
          </w:tcPr>
          <w:p w14:paraId="1DE9E4BA"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-29 014</w:t>
            </w:r>
          </w:p>
        </w:tc>
        <w:tc>
          <w:tcPr>
            <w:tcW w:w="556" w:type="pct"/>
            <w:tcBorders>
              <w:top w:val="nil"/>
              <w:left w:val="nil"/>
              <w:bottom w:val="nil"/>
              <w:right w:val="nil"/>
            </w:tcBorders>
            <w:shd w:val="clear" w:color="auto" w:fill="auto"/>
            <w:noWrap/>
            <w:hideMark/>
          </w:tcPr>
          <w:p w14:paraId="30F87A4E"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-56 972</w:t>
            </w:r>
          </w:p>
        </w:tc>
      </w:tr>
      <w:tr w:rsidR="009A05C7" w:rsidRPr="00DC5600" w14:paraId="14453C63" w14:textId="77777777" w:rsidTr="00616B20">
        <w:trPr>
          <w:trHeight w:val="330"/>
        </w:trPr>
        <w:tc>
          <w:tcPr>
            <w:tcW w:w="1923" w:type="pct"/>
            <w:tcBorders>
              <w:top w:val="nil"/>
              <w:left w:val="nil"/>
              <w:bottom w:val="nil"/>
              <w:right w:val="nil"/>
            </w:tcBorders>
            <w:shd w:val="clear" w:color="auto" w:fill="auto"/>
            <w:noWrap/>
            <w:hideMark/>
          </w:tcPr>
          <w:p w14:paraId="7F959F31" w14:textId="77777777" w:rsidR="009A05C7" w:rsidRPr="00DC5600" w:rsidRDefault="009A05C7" w:rsidP="000240DA">
            <w:pPr>
              <w:spacing w:after="0" w:line="240" w:lineRule="auto"/>
              <w:jc w:val="left"/>
              <w:rPr>
                <w:rFonts w:eastAsia="Times New Roman" w:cs="Times New Roman"/>
                <w:sz w:val="18"/>
                <w:szCs w:val="18"/>
                <w:lang w:eastAsia="sk-SK"/>
              </w:rPr>
            </w:pPr>
            <w:r w:rsidRPr="00DC5600">
              <w:rPr>
                <w:rFonts w:eastAsia="Times New Roman" w:cs="Times New Roman"/>
                <w:sz w:val="18"/>
                <w:szCs w:val="18"/>
                <w:lang w:eastAsia="sk-SK"/>
              </w:rPr>
              <w:lastRenderedPageBreak/>
              <w:t xml:space="preserve">        Slovenská konsolidačná, a. s.</w:t>
            </w:r>
          </w:p>
        </w:tc>
        <w:tc>
          <w:tcPr>
            <w:tcW w:w="709" w:type="pct"/>
            <w:tcBorders>
              <w:top w:val="nil"/>
              <w:left w:val="nil"/>
              <w:bottom w:val="nil"/>
              <w:right w:val="nil"/>
            </w:tcBorders>
            <w:shd w:val="clear" w:color="auto" w:fill="auto"/>
            <w:noWrap/>
            <w:hideMark/>
          </w:tcPr>
          <w:p w14:paraId="2A0922F2"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3 495</w:t>
            </w:r>
          </w:p>
        </w:tc>
        <w:tc>
          <w:tcPr>
            <w:tcW w:w="657" w:type="pct"/>
            <w:tcBorders>
              <w:top w:val="nil"/>
              <w:left w:val="nil"/>
              <w:bottom w:val="nil"/>
              <w:right w:val="nil"/>
            </w:tcBorders>
            <w:shd w:val="clear" w:color="auto" w:fill="auto"/>
            <w:noWrap/>
            <w:hideMark/>
          </w:tcPr>
          <w:p w14:paraId="3B8E7967"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354</w:t>
            </w:r>
          </w:p>
        </w:tc>
        <w:tc>
          <w:tcPr>
            <w:tcW w:w="568" w:type="pct"/>
            <w:tcBorders>
              <w:top w:val="nil"/>
              <w:left w:val="nil"/>
              <w:bottom w:val="nil"/>
              <w:right w:val="nil"/>
            </w:tcBorders>
            <w:shd w:val="clear" w:color="auto" w:fill="auto"/>
            <w:noWrap/>
            <w:hideMark/>
          </w:tcPr>
          <w:p w14:paraId="63D435F0"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-4 077</w:t>
            </w:r>
          </w:p>
        </w:tc>
        <w:tc>
          <w:tcPr>
            <w:tcW w:w="587" w:type="pct"/>
            <w:tcBorders>
              <w:top w:val="nil"/>
              <w:left w:val="nil"/>
              <w:bottom w:val="nil"/>
              <w:right w:val="nil"/>
            </w:tcBorders>
            <w:shd w:val="clear" w:color="auto" w:fill="auto"/>
            <w:noWrap/>
            <w:hideMark/>
          </w:tcPr>
          <w:p w14:paraId="5F262A01"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-307</w:t>
            </w:r>
          </w:p>
        </w:tc>
        <w:tc>
          <w:tcPr>
            <w:tcW w:w="556" w:type="pct"/>
            <w:tcBorders>
              <w:top w:val="nil"/>
              <w:left w:val="nil"/>
              <w:bottom w:val="nil"/>
              <w:right w:val="nil"/>
            </w:tcBorders>
            <w:shd w:val="clear" w:color="auto" w:fill="auto"/>
            <w:noWrap/>
            <w:hideMark/>
          </w:tcPr>
          <w:p w14:paraId="56263ED4"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3 770</w:t>
            </w:r>
          </w:p>
        </w:tc>
      </w:tr>
      <w:tr w:rsidR="009A05C7" w:rsidRPr="00DC5600" w14:paraId="59FC4C1D" w14:textId="77777777" w:rsidTr="00616B20">
        <w:trPr>
          <w:trHeight w:val="330"/>
        </w:trPr>
        <w:tc>
          <w:tcPr>
            <w:tcW w:w="1923" w:type="pct"/>
            <w:tcBorders>
              <w:top w:val="nil"/>
              <w:left w:val="nil"/>
              <w:bottom w:val="nil"/>
              <w:right w:val="nil"/>
            </w:tcBorders>
            <w:shd w:val="clear" w:color="auto" w:fill="auto"/>
            <w:noWrap/>
            <w:hideMark/>
          </w:tcPr>
          <w:p w14:paraId="3F2A4E9F" w14:textId="77777777" w:rsidR="009A05C7" w:rsidRPr="00DC5600" w:rsidRDefault="009A05C7" w:rsidP="000240DA">
            <w:pPr>
              <w:spacing w:after="0" w:line="240" w:lineRule="auto"/>
              <w:jc w:val="left"/>
              <w:rPr>
                <w:rFonts w:eastAsia="Times New Roman" w:cs="Times New Roman"/>
                <w:sz w:val="18"/>
                <w:szCs w:val="18"/>
                <w:lang w:eastAsia="sk-SK"/>
              </w:rPr>
            </w:pPr>
            <w:r w:rsidRPr="00DC5600">
              <w:rPr>
                <w:rFonts w:eastAsia="Times New Roman" w:cs="Times New Roman"/>
                <w:sz w:val="18"/>
                <w:szCs w:val="18"/>
                <w:lang w:eastAsia="sk-SK"/>
              </w:rPr>
              <w:t xml:space="preserve">    Verejné vysoké školy</w:t>
            </w:r>
          </w:p>
        </w:tc>
        <w:tc>
          <w:tcPr>
            <w:tcW w:w="709" w:type="pct"/>
            <w:tcBorders>
              <w:top w:val="nil"/>
              <w:left w:val="nil"/>
              <w:bottom w:val="nil"/>
              <w:right w:val="nil"/>
            </w:tcBorders>
            <w:shd w:val="clear" w:color="auto" w:fill="auto"/>
            <w:noWrap/>
            <w:hideMark/>
          </w:tcPr>
          <w:p w14:paraId="55170D7E"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-1 806</w:t>
            </w:r>
          </w:p>
        </w:tc>
        <w:tc>
          <w:tcPr>
            <w:tcW w:w="657" w:type="pct"/>
            <w:tcBorders>
              <w:top w:val="nil"/>
              <w:left w:val="nil"/>
              <w:bottom w:val="nil"/>
              <w:right w:val="nil"/>
            </w:tcBorders>
            <w:shd w:val="clear" w:color="auto" w:fill="auto"/>
            <w:noWrap/>
            <w:hideMark/>
          </w:tcPr>
          <w:p w14:paraId="706D6B8B"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25 357</w:t>
            </w:r>
          </w:p>
        </w:tc>
        <w:tc>
          <w:tcPr>
            <w:tcW w:w="568" w:type="pct"/>
            <w:tcBorders>
              <w:top w:val="nil"/>
              <w:left w:val="nil"/>
              <w:bottom w:val="nil"/>
              <w:right w:val="nil"/>
            </w:tcBorders>
            <w:shd w:val="clear" w:color="auto" w:fill="auto"/>
            <w:noWrap/>
            <w:hideMark/>
          </w:tcPr>
          <w:p w14:paraId="30C3AC5B"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-2 225</w:t>
            </w:r>
          </w:p>
        </w:tc>
        <w:tc>
          <w:tcPr>
            <w:tcW w:w="587" w:type="pct"/>
            <w:tcBorders>
              <w:top w:val="nil"/>
              <w:left w:val="nil"/>
              <w:bottom w:val="nil"/>
              <w:right w:val="nil"/>
            </w:tcBorders>
            <w:shd w:val="clear" w:color="auto" w:fill="auto"/>
            <w:noWrap/>
            <w:hideMark/>
          </w:tcPr>
          <w:p w14:paraId="5DB7F872"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90 728</w:t>
            </w:r>
          </w:p>
        </w:tc>
        <w:tc>
          <w:tcPr>
            <w:tcW w:w="556" w:type="pct"/>
            <w:tcBorders>
              <w:top w:val="nil"/>
              <w:left w:val="nil"/>
              <w:bottom w:val="nil"/>
              <w:right w:val="nil"/>
            </w:tcBorders>
            <w:shd w:val="clear" w:color="auto" w:fill="auto"/>
            <w:noWrap/>
            <w:hideMark/>
          </w:tcPr>
          <w:p w14:paraId="75C32200"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92 953</w:t>
            </w:r>
          </w:p>
        </w:tc>
      </w:tr>
      <w:tr w:rsidR="009A05C7" w:rsidRPr="00DC5600" w14:paraId="650B6248" w14:textId="77777777" w:rsidTr="00616B20">
        <w:trPr>
          <w:trHeight w:val="330"/>
        </w:trPr>
        <w:tc>
          <w:tcPr>
            <w:tcW w:w="1923" w:type="pct"/>
            <w:tcBorders>
              <w:top w:val="nil"/>
              <w:left w:val="nil"/>
              <w:bottom w:val="nil"/>
              <w:right w:val="nil"/>
            </w:tcBorders>
            <w:shd w:val="clear" w:color="auto" w:fill="auto"/>
            <w:noWrap/>
            <w:hideMark/>
          </w:tcPr>
          <w:p w14:paraId="3F00E6F3" w14:textId="77777777" w:rsidR="009A05C7" w:rsidRPr="00DC5600" w:rsidRDefault="009A05C7" w:rsidP="000240DA">
            <w:pPr>
              <w:spacing w:after="0" w:line="240" w:lineRule="auto"/>
              <w:jc w:val="left"/>
              <w:rPr>
                <w:rFonts w:eastAsia="Times New Roman" w:cs="Times New Roman"/>
                <w:sz w:val="18"/>
                <w:szCs w:val="18"/>
                <w:lang w:eastAsia="sk-SK"/>
              </w:rPr>
            </w:pPr>
            <w:r w:rsidRPr="00DC5600">
              <w:rPr>
                <w:rFonts w:eastAsia="Times New Roman" w:cs="Times New Roman"/>
                <w:sz w:val="18"/>
                <w:szCs w:val="18"/>
                <w:lang w:eastAsia="sk-SK"/>
              </w:rPr>
              <w:t xml:space="preserve">    Verejné výskumné inštitúcie</w:t>
            </w:r>
          </w:p>
        </w:tc>
        <w:tc>
          <w:tcPr>
            <w:tcW w:w="709" w:type="pct"/>
            <w:tcBorders>
              <w:top w:val="nil"/>
              <w:left w:val="nil"/>
              <w:bottom w:val="nil"/>
              <w:right w:val="nil"/>
            </w:tcBorders>
            <w:shd w:val="clear" w:color="auto" w:fill="auto"/>
            <w:noWrap/>
            <w:hideMark/>
          </w:tcPr>
          <w:p w14:paraId="20A8E021"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2 314</w:t>
            </w:r>
          </w:p>
        </w:tc>
        <w:tc>
          <w:tcPr>
            <w:tcW w:w="657" w:type="pct"/>
            <w:tcBorders>
              <w:top w:val="nil"/>
              <w:left w:val="nil"/>
              <w:bottom w:val="nil"/>
              <w:right w:val="nil"/>
            </w:tcBorders>
            <w:shd w:val="clear" w:color="auto" w:fill="auto"/>
            <w:noWrap/>
            <w:hideMark/>
          </w:tcPr>
          <w:p w14:paraId="09AB2264"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3 281</w:t>
            </w:r>
          </w:p>
        </w:tc>
        <w:tc>
          <w:tcPr>
            <w:tcW w:w="568" w:type="pct"/>
            <w:tcBorders>
              <w:top w:val="nil"/>
              <w:left w:val="nil"/>
              <w:bottom w:val="nil"/>
              <w:right w:val="nil"/>
            </w:tcBorders>
            <w:shd w:val="clear" w:color="auto" w:fill="auto"/>
            <w:noWrap/>
            <w:hideMark/>
          </w:tcPr>
          <w:p w14:paraId="055305FD"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180</w:t>
            </w:r>
          </w:p>
        </w:tc>
        <w:tc>
          <w:tcPr>
            <w:tcW w:w="587" w:type="pct"/>
            <w:tcBorders>
              <w:top w:val="nil"/>
              <w:left w:val="nil"/>
              <w:bottom w:val="nil"/>
              <w:right w:val="nil"/>
            </w:tcBorders>
            <w:shd w:val="clear" w:color="auto" w:fill="auto"/>
            <w:noWrap/>
            <w:hideMark/>
          </w:tcPr>
          <w:p w14:paraId="5D195C1A"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13 670</w:t>
            </w:r>
          </w:p>
        </w:tc>
        <w:tc>
          <w:tcPr>
            <w:tcW w:w="556" w:type="pct"/>
            <w:tcBorders>
              <w:top w:val="nil"/>
              <w:left w:val="nil"/>
              <w:bottom w:val="nil"/>
              <w:right w:val="nil"/>
            </w:tcBorders>
            <w:shd w:val="clear" w:color="auto" w:fill="auto"/>
            <w:noWrap/>
            <w:hideMark/>
          </w:tcPr>
          <w:p w14:paraId="30EF3D32"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13 490</w:t>
            </w:r>
          </w:p>
        </w:tc>
      </w:tr>
      <w:tr w:rsidR="009A05C7" w:rsidRPr="00DC5600" w14:paraId="1BB20E0B" w14:textId="77777777" w:rsidTr="00616B20">
        <w:trPr>
          <w:trHeight w:val="330"/>
        </w:trPr>
        <w:tc>
          <w:tcPr>
            <w:tcW w:w="1923" w:type="pct"/>
            <w:tcBorders>
              <w:top w:val="nil"/>
              <w:left w:val="nil"/>
              <w:bottom w:val="nil"/>
              <w:right w:val="nil"/>
            </w:tcBorders>
            <w:shd w:val="clear" w:color="auto" w:fill="auto"/>
            <w:noWrap/>
            <w:hideMark/>
          </w:tcPr>
          <w:p w14:paraId="00C64A10" w14:textId="77777777" w:rsidR="009A05C7" w:rsidRPr="00DC5600" w:rsidRDefault="009A05C7" w:rsidP="000240DA">
            <w:pPr>
              <w:spacing w:after="0" w:line="240" w:lineRule="auto"/>
              <w:jc w:val="left"/>
              <w:rPr>
                <w:rFonts w:eastAsia="Times New Roman" w:cs="Times New Roman"/>
                <w:sz w:val="18"/>
                <w:szCs w:val="18"/>
                <w:lang w:eastAsia="sk-SK"/>
              </w:rPr>
            </w:pPr>
            <w:r w:rsidRPr="00DC5600">
              <w:rPr>
                <w:rFonts w:eastAsia="Times New Roman" w:cs="Times New Roman"/>
                <w:sz w:val="18"/>
                <w:szCs w:val="18"/>
                <w:lang w:eastAsia="sk-SK"/>
              </w:rPr>
              <w:t xml:space="preserve">    Zdravotnícke zariadenia ústrednej správy</w:t>
            </w:r>
          </w:p>
        </w:tc>
        <w:tc>
          <w:tcPr>
            <w:tcW w:w="709" w:type="pct"/>
            <w:tcBorders>
              <w:top w:val="nil"/>
              <w:left w:val="nil"/>
              <w:bottom w:val="nil"/>
              <w:right w:val="nil"/>
            </w:tcBorders>
            <w:shd w:val="clear" w:color="auto" w:fill="auto"/>
            <w:noWrap/>
            <w:hideMark/>
          </w:tcPr>
          <w:p w14:paraId="5213FC7C"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249 475</w:t>
            </w:r>
          </w:p>
        </w:tc>
        <w:tc>
          <w:tcPr>
            <w:tcW w:w="657" w:type="pct"/>
            <w:tcBorders>
              <w:top w:val="nil"/>
              <w:left w:val="nil"/>
              <w:bottom w:val="nil"/>
              <w:right w:val="nil"/>
            </w:tcBorders>
            <w:shd w:val="clear" w:color="auto" w:fill="auto"/>
            <w:noWrap/>
            <w:hideMark/>
          </w:tcPr>
          <w:p w14:paraId="63CA157C"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-277 147</w:t>
            </w:r>
          </w:p>
        </w:tc>
        <w:tc>
          <w:tcPr>
            <w:tcW w:w="568" w:type="pct"/>
            <w:tcBorders>
              <w:top w:val="nil"/>
              <w:left w:val="nil"/>
              <w:bottom w:val="nil"/>
              <w:right w:val="nil"/>
            </w:tcBorders>
            <w:shd w:val="clear" w:color="auto" w:fill="auto"/>
            <w:noWrap/>
            <w:hideMark/>
          </w:tcPr>
          <w:p w14:paraId="5AA725B0"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-46 687</w:t>
            </w:r>
          </w:p>
        </w:tc>
        <w:tc>
          <w:tcPr>
            <w:tcW w:w="587" w:type="pct"/>
            <w:tcBorders>
              <w:top w:val="nil"/>
              <w:left w:val="nil"/>
              <w:bottom w:val="nil"/>
              <w:right w:val="nil"/>
            </w:tcBorders>
            <w:shd w:val="clear" w:color="auto" w:fill="auto"/>
            <w:noWrap/>
            <w:hideMark/>
          </w:tcPr>
          <w:p w14:paraId="595DC380"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11 709</w:t>
            </w:r>
          </w:p>
        </w:tc>
        <w:tc>
          <w:tcPr>
            <w:tcW w:w="556" w:type="pct"/>
            <w:tcBorders>
              <w:top w:val="nil"/>
              <w:left w:val="nil"/>
              <w:bottom w:val="nil"/>
              <w:right w:val="nil"/>
            </w:tcBorders>
            <w:shd w:val="clear" w:color="auto" w:fill="auto"/>
            <w:noWrap/>
            <w:hideMark/>
          </w:tcPr>
          <w:p w14:paraId="7D21FB49"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58 396</w:t>
            </w:r>
          </w:p>
        </w:tc>
      </w:tr>
      <w:tr w:rsidR="009A05C7" w:rsidRPr="00DC5600" w14:paraId="5D7B14C1" w14:textId="77777777" w:rsidTr="00616B20">
        <w:trPr>
          <w:trHeight w:val="330"/>
        </w:trPr>
        <w:tc>
          <w:tcPr>
            <w:tcW w:w="1923" w:type="pct"/>
            <w:tcBorders>
              <w:top w:val="nil"/>
              <w:left w:val="nil"/>
              <w:bottom w:val="nil"/>
              <w:right w:val="nil"/>
            </w:tcBorders>
            <w:shd w:val="clear" w:color="auto" w:fill="auto"/>
            <w:noWrap/>
            <w:hideMark/>
          </w:tcPr>
          <w:p w14:paraId="18D16C7A" w14:textId="77777777" w:rsidR="009A05C7" w:rsidRPr="00DC5600" w:rsidRDefault="009A05C7" w:rsidP="000240DA">
            <w:pPr>
              <w:spacing w:after="0" w:line="240" w:lineRule="auto"/>
              <w:jc w:val="left"/>
              <w:rPr>
                <w:rFonts w:eastAsia="Times New Roman" w:cs="Times New Roman"/>
                <w:sz w:val="18"/>
                <w:szCs w:val="18"/>
                <w:lang w:eastAsia="sk-SK"/>
              </w:rPr>
            </w:pPr>
            <w:r w:rsidRPr="00DC5600">
              <w:rPr>
                <w:rFonts w:eastAsia="Times New Roman" w:cs="Times New Roman"/>
                <w:sz w:val="18"/>
                <w:szCs w:val="18"/>
                <w:lang w:eastAsia="sk-SK"/>
              </w:rPr>
              <w:t xml:space="preserve">    Ostatné subjekty ústrednej správy</w:t>
            </w:r>
          </w:p>
        </w:tc>
        <w:tc>
          <w:tcPr>
            <w:tcW w:w="709" w:type="pct"/>
            <w:tcBorders>
              <w:top w:val="nil"/>
              <w:left w:val="nil"/>
              <w:bottom w:val="nil"/>
              <w:right w:val="nil"/>
            </w:tcBorders>
            <w:shd w:val="clear" w:color="auto" w:fill="auto"/>
            <w:noWrap/>
            <w:hideMark/>
          </w:tcPr>
          <w:p w14:paraId="353B4BCE"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159 446</w:t>
            </w:r>
          </w:p>
        </w:tc>
        <w:tc>
          <w:tcPr>
            <w:tcW w:w="657" w:type="pct"/>
            <w:tcBorders>
              <w:top w:val="nil"/>
              <w:left w:val="nil"/>
              <w:bottom w:val="nil"/>
              <w:right w:val="nil"/>
            </w:tcBorders>
            <w:shd w:val="clear" w:color="auto" w:fill="auto"/>
            <w:noWrap/>
            <w:hideMark/>
          </w:tcPr>
          <w:p w14:paraId="3ED7DC40"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101 717</w:t>
            </w:r>
          </w:p>
        </w:tc>
        <w:tc>
          <w:tcPr>
            <w:tcW w:w="568" w:type="pct"/>
            <w:tcBorders>
              <w:top w:val="nil"/>
              <w:left w:val="nil"/>
              <w:bottom w:val="nil"/>
              <w:right w:val="nil"/>
            </w:tcBorders>
            <w:shd w:val="clear" w:color="auto" w:fill="auto"/>
            <w:noWrap/>
            <w:hideMark/>
          </w:tcPr>
          <w:p w14:paraId="7A2968D9"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-51 551</w:t>
            </w:r>
          </w:p>
        </w:tc>
        <w:tc>
          <w:tcPr>
            <w:tcW w:w="587" w:type="pct"/>
            <w:tcBorders>
              <w:top w:val="nil"/>
              <w:left w:val="nil"/>
              <w:bottom w:val="nil"/>
              <w:right w:val="nil"/>
            </w:tcBorders>
            <w:shd w:val="clear" w:color="auto" w:fill="auto"/>
            <w:noWrap/>
            <w:hideMark/>
          </w:tcPr>
          <w:p w14:paraId="21A858BA"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95 249</w:t>
            </w:r>
          </w:p>
        </w:tc>
        <w:tc>
          <w:tcPr>
            <w:tcW w:w="556" w:type="pct"/>
            <w:tcBorders>
              <w:top w:val="nil"/>
              <w:left w:val="nil"/>
              <w:bottom w:val="nil"/>
              <w:right w:val="nil"/>
            </w:tcBorders>
            <w:shd w:val="clear" w:color="auto" w:fill="auto"/>
            <w:noWrap/>
            <w:hideMark/>
          </w:tcPr>
          <w:p w14:paraId="52608FD7"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146 800</w:t>
            </w:r>
          </w:p>
        </w:tc>
      </w:tr>
      <w:tr w:rsidR="009A05C7" w:rsidRPr="00DC5600" w14:paraId="1479CA09" w14:textId="77777777" w:rsidTr="00BF49A8">
        <w:trPr>
          <w:trHeight w:val="330"/>
        </w:trPr>
        <w:tc>
          <w:tcPr>
            <w:tcW w:w="1923" w:type="pct"/>
            <w:tcBorders>
              <w:top w:val="nil"/>
              <w:left w:val="nil"/>
              <w:bottom w:val="nil"/>
              <w:right w:val="nil"/>
            </w:tcBorders>
            <w:shd w:val="clear" w:color="auto" w:fill="auto"/>
            <w:noWrap/>
            <w:hideMark/>
          </w:tcPr>
          <w:p w14:paraId="55D80E4C" w14:textId="5B180603" w:rsidR="009A05C7" w:rsidRPr="00DC5600" w:rsidRDefault="009A05C7" w:rsidP="000240DA">
            <w:pPr>
              <w:spacing w:after="0" w:line="240" w:lineRule="auto"/>
              <w:jc w:val="left"/>
              <w:rPr>
                <w:rFonts w:eastAsia="Times New Roman" w:cs="Times New Roman"/>
                <w:b/>
                <w:bCs/>
                <w:color w:val="000000"/>
                <w:sz w:val="18"/>
                <w:szCs w:val="18"/>
                <w:lang w:eastAsia="sk-SK"/>
              </w:rPr>
            </w:pPr>
            <w:r w:rsidRPr="00DC5600">
              <w:rPr>
                <w:rFonts w:eastAsia="Times New Roman" w:cs="Times New Roman"/>
                <w:b/>
                <w:bCs/>
                <w:color w:val="000000"/>
                <w:sz w:val="18"/>
                <w:szCs w:val="18"/>
                <w:lang w:eastAsia="sk-SK"/>
              </w:rPr>
              <w:t>Územná samospráva, z toho</w:t>
            </w:r>
          </w:p>
        </w:tc>
        <w:tc>
          <w:tcPr>
            <w:tcW w:w="709" w:type="pct"/>
            <w:tcBorders>
              <w:top w:val="nil"/>
              <w:left w:val="nil"/>
              <w:bottom w:val="nil"/>
              <w:right w:val="nil"/>
            </w:tcBorders>
            <w:shd w:val="clear" w:color="auto" w:fill="auto"/>
            <w:noWrap/>
            <w:hideMark/>
          </w:tcPr>
          <w:p w14:paraId="5CA95FCF" w14:textId="77777777" w:rsidR="009A05C7" w:rsidRPr="00DC5600" w:rsidRDefault="009A05C7" w:rsidP="000240DA">
            <w:pPr>
              <w:spacing w:after="0" w:line="240" w:lineRule="auto"/>
              <w:jc w:val="left"/>
              <w:rPr>
                <w:rFonts w:eastAsia="Times New Roman" w:cs="Times New Roman"/>
                <w:b/>
                <w:bCs/>
                <w:color w:val="000000"/>
                <w:sz w:val="18"/>
                <w:szCs w:val="18"/>
                <w:lang w:eastAsia="sk-SK"/>
              </w:rPr>
            </w:pPr>
          </w:p>
        </w:tc>
        <w:tc>
          <w:tcPr>
            <w:tcW w:w="657" w:type="pct"/>
            <w:tcBorders>
              <w:top w:val="nil"/>
              <w:left w:val="nil"/>
              <w:bottom w:val="nil"/>
              <w:right w:val="nil"/>
            </w:tcBorders>
            <w:shd w:val="clear" w:color="auto" w:fill="auto"/>
            <w:noWrap/>
            <w:hideMark/>
          </w:tcPr>
          <w:p w14:paraId="68CD7F1C" w14:textId="77777777" w:rsidR="009A05C7" w:rsidRPr="00DC5600" w:rsidRDefault="009A05C7" w:rsidP="000240DA">
            <w:pPr>
              <w:spacing w:after="0" w:line="240" w:lineRule="auto"/>
              <w:jc w:val="right"/>
              <w:rPr>
                <w:rFonts w:eastAsia="Times New Roman" w:cs="Times New Roman"/>
                <w:sz w:val="20"/>
                <w:szCs w:val="20"/>
                <w:lang w:eastAsia="sk-SK"/>
              </w:rPr>
            </w:pPr>
          </w:p>
        </w:tc>
        <w:tc>
          <w:tcPr>
            <w:tcW w:w="568" w:type="pct"/>
            <w:tcBorders>
              <w:top w:val="nil"/>
              <w:left w:val="nil"/>
              <w:bottom w:val="nil"/>
              <w:right w:val="nil"/>
            </w:tcBorders>
            <w:shd w:val="clear" w:color="auto" w:fill="auto"/>
            <w:noWrap/>
            <w:hideMark/>
          </w:tcPr>
          <w:p w14:paraId="2E923921" w14:textId="77777777" w:rsidR="009A05C7" w:rsidRPr="00DC5600" w:rsidRDefault="009A05C7" w:rsidP="000240DA">
            <w:pPr>
              <w:spacing w:after="0" w:line="240" w:lineRule="auto"/>
              <w:jc w:val="right"/>
              <w:rPr>
                <w:rFonts w:eastAsia="Times New Roman" w:cs="Times New Roman"/>
                <w:sz w:val="20"/>
                <w:szCs w:val="20"/>
                <w:lang w:eastAsia="sk-SK"/>
              </w:rPr>
            </w:pPr>
          </w:p>
        </w:tc>
        <w:tc>
          <w:tcPr>
            <w:tcW w:w="587" w:type="pct"/>
            <w:tcBorders>
              <w:top w:val="nil"/>
              <w:left w:val="nil"/>
              <w:bottom w:val="nil"/>
              <w:right w:val="nil"/>
            </w:tcBorders>
            <w:shd w:val="clear" w:color="auto" w:fill="auto"/>
            <w:noWrap/>
            <w:hideMark/>
          </w:tcPr>
          <w:p w14:paraId="3AA6664E" w14:textId="77777777" w:rsidR="009A05C7" w:rsidRPr="00DC5600" w:rsidRDefault="009A05C7" w:rsidP="000240DA">
            <w:pPr>
              <w:spacing w:after="0" w:line="240" w:lineRule="auto"/>
              <w:jc w:val="right"/>
              <w:rPr>
                <w:rFonts w:eastAsia="Times New Roman" w:cs="Times New Roman"/>
                <w:sz w:val="20"/>
                <w:szCs w:val="20"/>
                <w:lang w:eastAsia="sk-SK"/>
              </w:rPr>
            </w:pPr>
          </w:p>
        </w:tc>
        <w:tc>
          <w:tcPr>
            <w:tcW w:w="556" w:type="pct"/>
            <w:tcBorders>
              <w:top w:val="nil"/>
              <w:left w:val="nil"/>
              <w:bottom w:val="nil"/>
              <w:right w:val="nil"/>
            </w:tcBorders>
            <w:shd w:val="clear" w:color="auto" w:fill="auto"/>
            <w:noWrap/>
            <w:hideMark/>
          </w:tcPr>
          <w:p w14:paraId="1CAF8479" w14:textId="77777777" w:rsidR="009A05C7" w:rsidRPr="00DC5600" w:rsidRDefault="009A05C7" w:rsidP="000240DA">
            <w:pPr>
              <w:spacing w:after="0" w:line="240" w:lineRule="auto"/>
              <w:jc w:val="right"/>
              <w:rPr>
                <w:rFonts w:eastAsia="Times New Roman" w:cs="Times New Roman"/>
                <w:sz w:val="20"/>
                <w:szCs w:val="20"/>
                <w:lang w:eastAsia="sk-SK"/>
              </w:rPr>
            </w:pPr>
          </w:p>
        </w:tc>
      </w:tr>
      <w:tr w:rsidR="009A05C7" w:rsidRPr="00DC5600" w14:paraId="74145BE5" w14:textId="77777777" w:rsidTr="00BF49A8">
        <w:trPr>
          <w:trHeight w:val="330"/>
        </w:trPr>
        <w:tc>
          <w:tcPr>
            <w:tcW w:w="1923" w:type="pct"/>
            <w:tcBorders>
              <w:top w:val="nil"/>
              <w:left w:val="nil"/>
              <w:bottom w:val="nil"/>
              <w:right w:val="nil"/>
            </w:tcBorders>
            <w:shd w:val="clear" w:color="auto" w:fill="auto"/>
            <w:noWrap/>
            <w:hideMark/>
          </w:tcPr>
          <w:p w14:paraId="1F4877F7" w14:textId="77777777" w:rsidR="009A05C7" w:rsidRPr="00DC5600" w:rsidRDefault="009A05C7" w:rsidP="000240DA">
            <w:pPr>
              <w:spacing w:after="0" w:line="240" w:lineRule="auto"/>
              <w:jc w:val="left"/>
              <w:rPr>
                <w:rFonts w:eastAsia="Times New Roman" w:cs="Times New Roman"/>
                <w:sz w:val="18"/>
                <w:szCs w:val="18"/>
                <w:lang w:eastAsia="sk-SK"/>
              </w:rPr>
            </w:pPr>
            <w:r w:rsidRPr="00DC5600">
              <w:rPr>
                <w:rFonts w:eastAsia="Times New Roman" w:cs="Times New Roman"/>
                <w:sz w:val="18"/>
                <w:szCs w:val="18"/>
                <w:lang w:eastAsia="sk-SK"/>
              </w:rPr>
              <w:t xml:space="preserve">    Obce a ich rozpočtové organizácie</w:t>
            </w:r>
          </w:p>
        </w:tc>
        <w:tc>
          <w:tcPr>
            <w:tcW w:w="709" w:type="pct"/>
            <w:tcBorders>
              <w:top w:val="nil"/>
              <w:left w:val="nil"/>
              <w:bottom w:val="nil"/>
              <w:right w:val="nil"/>
            </w:tcBorders>
            <w:shd w:val="clear" w:color="auto" w:fill="auto"/>
            <w:noWrap/>
            <w:hideMark/>
          </w:tcPr>
          <w:p w14:paraId="3A2EF727"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-287 784</w:t>
            </w:r>
          </w:p>
        </w:tc>
        <w:tc>
          <w:tcPr>
            <w:tcW w:w="657" w:type="pct"/>
            <w:tcBorders>
              <w:top w:val="nil"/>
              <w:left w:val="nil"/>
              <w:bottom w:val="nil"/>
              <w:right w:val="nil"/>
            </w:tcBorders>
            <w:shd w:val="clear" w:color="auto" w:fill="auto"/>
            <w:noWrap/>
            <w:hideMark/>
          </w:tcPr>
          <w:p w14:paraId="36CC6464"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124 779</w:t>
            </w:r>
          </w:p>
        </w:tc>
        <w:tc>
          <w:tcPr>
            <w:tcW w:w="568" w:type="pct"/>
            <w:tcBorders>
              <w:top w:val="nil"/>
              <w:left w:val="nil"/>
              <w:bottom w:val="nil"/>
              <w:right w:val="nil"/>
            </w:tcBorders>
            <w:shd w:val="clear" w:color="auto" w:fill="auto"/>
            <w:noWrap/>
            <w:hideMark/>
          </w:tcPr>
          <w:p w14:paraId="5A342645"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-283 250</w:t>
            </w:r>
          </w:p>
        </w:tc>
        <w:tc>
          <w:tcPr>
            <w:tcW w:w="587" w:type="pct"/>
            <w:tcBorders>
              <w:top w:val="nil"/>
              <w:left w:val="nil"/>
              <w:bottom w:val="nil"/>
              <w:right w:val="nil"/>
            </w:tcBorders>
            <w:shd w:val="clear" w:color="auto" w:fill="auto"/>
            <w:noWrap/>
            <w:hideMark/>
          </w:tcPr>
          <w:p w14:paraId="1DAD0C05"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35 270</w:t>
            </w:r>
          </w:p>
        </w:tc>
        <w:tc>
          <w:tcPr>
            <w:tcW w:w="556" w:type="pct"/>
            <w:tcBorders>
              <w:top w:val="nil"/>
              <w:left w:val="nil"/>
              <w:bottom w:val="nil"/>
              <w:right w:val="nil"/>
            </w:tcBorders>
            <w:shd w:val="clear" w:color="auto" w:fill="auto"/>
            <w:noWrap/>
            <w:hideMark/>
          </w:tcPr>
          <w:p w14:paraId="12B2E553"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318 520</w:t>
            </w:r>
          </w:p>
        </w:tc>
      </w:tr>
      <w:tr w:rsidR="009A05C7" w:rsidRPr="00DC5600" w14:paraId="788FA18F" w14:textId="77777777" w:rsidTr="00BF49A8">
        <w:trPr>
          <w:trHeight w:val="330"/>
        </w:trPr>
        <w:tc>
          <w:tcPr>
            <w:tcW w:w="1923" w:type="pct"/>
            <w:tcBorders>
              <w:top w:val="nil"/>
              <w:left w:val="nil"/>
              <w:bottom w:val="nil"/>
              <w:right w:val="nil"/>
            </w:tcBorders>
            <w:shd w:val="clear" w:color="auto" w:fill="auto"/>
            <w:noWrap/>
            <w:hideMark/>
          </w:tcPr>
          <w:p w14:paraId="4C16499D" w14:textId="77777777" w:rsidR="009A05C7" w:rsidRPr="00DC5600" w:rsidRDefault="009A05C7" w:rsidP="000240DA">
            <w:pPr>
              <w:spacing w:after="0" w:line="240" w:lineRule="auto"/>
              <w:jc w:val="left"/>
              <w:rPr>
                <w:rFonts w:eastAsia="Times New Roman" w:cs="Times New Roman"/>
                <w:sz w:val="18"/>
                <w:szCs w:val="18"/>
                <w:lang w:eastAsia="sk-SK"/>
              </w:rPr>
            </w:pPr>
            <w:r w:rsidRPr="00DC5600">
              <w:rPr>
                <w:rFonts w:eastAsia="Times New Roman" w:cs="Times New Roman"/>
                <w:sz w:val="18"/>
                <w:szCs w:val="18"/>
                <w:lang w:eastAsia="sk-SK"/>
              </w:rPr>
              <w:t xml:space="preserve">    VÚC a ich rozpočtové organizácie</w:t>
            </w:r>
          </w:p>
        </w:tc>
        <w:tc>
          <w:tcPr>
            <w:tcW w:w="709" w:type="pct"/>
            <w:tcBorders>
              <w:top w:val="nil"/>
              <w:left w:val="nil"/>
              <w:bottom w:val="nil"/>
              <w:right w:val="nil"/>
            </w:tcBorders>
            <w:shd w:val="clear" w:color="auto" w:fill="auto"/>
            <w:noWrap/>
            <w:hideMark/>
          </w:tcPr>
          <w:p w14:paraId="0E12FBC2"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-141 839</w:t>
            </w:r>
          </w:p>
        </w:tc>
        <w:tc>
          <w:tcPr>
            <w:tcW w:w="657" w:type="pct"/>
            <w:tcBorders>
              <w:top w:val="nil"/>
              <w:left w:val="nil"/>
              <w:bottom w:val="nil"/>
              <w:right w:val="nil"/>
            </w:tcBorders>
            <w:shd w:val="clear" w:color="auto" w:fill="auto"/>
            <w:noWrap/>
            <w:hideMark/>
          </w:tcPr>
          <w:p w14:paraId="0950EE4A"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-89 995</w:t>
            </w:r>
          </w:p>
        </w:tc>
        <w:tc>
          <w:tcPr>
            <w:tcW w:w="568" w:type="pct"/>
            <w:tcBorders>
              <w:top w:val="nil"/>
              <w:left w:val="nil"/>
              <w:bottom w:val="nil"/>
              <w:right w:val="nil"/>
            </w:tcBorders>
            <w:shd w:val="clear" w:color="auto" w:fill="auto"/>
            <w:noWrap/>
            <w:hideMark/>
          </w:tcPr>
          <w:p w14:paraId="00D231D4"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-115 617</w:t>
            </w:r>
          </w:p>
        </w:tc>
        <w:tc>
          <w:tcPr>
            <w:tcW w:w="587" w:type="pct"/>
            <w:tcBorders>
              <w:top w:val="nil"/>
              <w:left w:val="nil"/>
              <w:bottom w:val="nil"/>
              <w:right w:val="nil"/>
            </w:tcBorders>
            <w:shd w:val="clear" w:color="auto" w:fill="auto"/>
            <w:noWrap/>
            <w:hideMark/>
          </w:tcPr>
          <w:p w14:paraId="1ACE342F"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-59 167</w:t>
            </w:r>
          </w:p>
        </w:tc>
        <w:tc>
          <w:tcPr>
            <w:tcW w:w="556" w:type="pct"/>
            <w:tcBorders>
              <w:top w:val="nil"/>
              <w:left w:val="nil"/>
              <w:bottom w:val="nil"/>
              <w:right w:val="nil"/>
            </w:tcBorders>
            <w:shd w:val="clear" w:color="auto" w:fill="auto"/>
            <w:noWrap/>
            <w:hideMark/>
          </w:tcPr>
          <w:p w14:paraId="73B4C251"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56 450</w:t>
            </w:r>
          </w:p>
        </w:tc>
      </w:tr>
      <w:tr w:rsidR="009A05C7" w:rsidRPr="00DC5600" w14:paraId="55AC4B3A" w14:textId="77777777" w:rsidTr="00BF49A8">
        <w:trPr>
          <w:trHeight w:val="330"/>
        </w:trPr>
        <w:tc>
          <w:tcPr>
            <w:tcW w:w="1923" w:type="pct"/>
            <w:tcBorders>
              <w:top w:val="nil"/>
              <w:left w:val="nil"/>
              <w:bottom w:val="nil"/>
              <w:right w:val="nil"/>
            </w:tcBorders>
            <w:shd w:val="clear" w:color="auto" w:fill="auto"/>
            <w:noWrap/>
            <w:hideMark/>
          </w:tcPr>
          <w:p w14:paraId="3935E469" w14:textId="77777777" w:rsidR="009A05C7" w:rsidRPr="00DC5600" w:rsidRDefault="009A05C7" w:rsidP="000240DA">
            <w:pPr>
              <w:spacing w:after="0" w:line="240" w:lineRule="auto"/>
              <w:jc w:val="left"/>
              <w:rPr>
                <w:rFonts w:eastAsia="Times New Roman" w:cs="Times New Roman"/>
                <w:sz w:val="18"/>
                <w:szCs w:val="18"/>
                <w:lang w:eastAsia="sk-SK"/>
              </w:rPr>
            </w:pPr>
            <w:r w:rsidRPr="00DC5600">
              <w:rPr>
                <w:rFonts w:eastAsia="Times New Roman" w:cs="Times New Roman"/>
                <w:sz w:val="18"/>
                <w:szCs w:val="18"/>
                <w:lang w:eastAsia="sk-SK"/>
              </w:rPr>
              <w:t xml:space="preserve">    Príspevkové organizácie obcí</w:t>
            </w:r>
          </w:p>
        </w:tc>
        <w:tc>
          <w:tcPr>
            <w:tcW w:w="709" w:type="pct"/>
            <w:tcBorders>
              <w:top w:val="nil"/>
              <w:left w:val="nil"/>
              <w:bottom w:val="nil"/>
              <w:right w:val="nil"/>
            </w:tcBorders>
            <w:shd w:val="clear" w:color="auto" w:fill="auto"/>
            <w:noWrap/>
            <w:hideMark/>
          </w:tcPr>
          <w:p w14:paraId="6388548D"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-1 694</w:t>
            </w:r>
          </w:p>
        </w:tc>
        <w:tc>
          <w:tcPr>
            <w:tcW w:w="657" w:type="pct"/>
            <w:tcBorders>
              <w:top w:val="nil"/>
              <w:left w:val="nil"/>
              <w:bottom w:val="nil"/>
              <w:right w:val="nil"/>
            </w:tcBorders>
            <w:shd w:val="clear" w:color="auto" w:fill="auto"/>
            <w:noWrap/>
            <w:hideMark/>
          </w:tcPr>
          <w:p w14:paraId="00209F36"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1 213</w:t>
            </w:r>
          </w:p>
        </w:tc>
        <w:tc>
          <w:tcPr>
            <w:tcW w:w="568" w:type="pct"/>
            <w:tcBorders>
              <w:top w:val="nil"/>
              <w:left w:val="nil"/>
              <w:bottom w:val="nil"/>
              <w:right w:val="nil"/>
            </w:tcBorders>
            <w:shd w:val="clear" w:color="auto" w:fill="auto"/>
            <w:noWrap/>
            <w:hideMark/>
          </w:tcPr>
          <w:p w14:paraId="7E888300"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-323</w:t>
            </w:r>
          </w:p>
        </w:tc>
        <w:tc>
          <w:tcPr>
            <w:tcW w:w="587" w:type="pct"/>
            <w:tcBorders>
              <w:top w:val="nil"/>
              <w:left w:val="nil"/>
              <w:bottom w:val="nil"/>
              <w:right w:val="nil"/>
            </w:tcBorders>
            <w:shd w:val="clear" w:color="auto" w:fill="auto"/>
            <w:noWrap/>
            <w:hideMark/>
          </w:tcPr>
          <w:p w14:paraId="56169388"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1 386</w:t>
            </w:r>
          </w:p>
        </w:tc>
        <w:tc>
          <w:tcPr>
            <w:tcW w:w="556" w:type="pct"/>
            <w:tcBorders>
              <w:top w:val="nil"/>
              <w:left w:val="nil"/>
              <w:bottom w:val="nil"/>
              <w:right w:val="nil"/>
            </w:tcBorders>
            <w:shd w:val="clear" w:color="auto" w:fill="auto"/>
            <w:noWrap/>
            <w:hideMark/>
          </w:tcPr>
          <w:p w14:paraId="3B26AC49"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1 709</w:t>
            </w:r>
          </w:p>
        </w:tc>
      </w:tr>
      <w:tr w:rsidR="009A05C7" w:rsidRPr="00DC5600" w14:paraId="03C33EF5" w14:textId="77777777" w:rsidTr="00BF49A8">
        <w:trPr>
          <w:trHeight w:val="330"/>
        </w:trPr>
        <w:tc>
          <w:tcPr>
            <w:tcW w:w="1923" w:type="pct"/>
            <w:tcBorders>
              <w:top w:val="nil"/>
              <w:left w:val="nil"/>
              <w:bottom w:val="nil"/>
              <w:right w:val="nil"/>
            </w:tcBorders>
            <w:shd w:val="clear" w:color="auto" w:fill="auto"/>
            <w:noWrap/>
            <w:hideMark/>
          </w:tcPr>
          <w:p w14:paraId="4DCEE0B0" w14:textId="77777777" w:rsidR="009A05C7" w:rsidRPr="00DC5600" w:rsidRDefault="009A05C7" w:rsidP="000240DA">
            <w:pPr>
              <w:spacing w:after="0" w:line="240" w:lineRule="auto"/>
              <w:jc w:val="left"/>
              <w:rPr>
                <w:rFonts w:eastAsia="Times New Roman" w:cs="Times New Roman"/>
                <w:sz w:val="18"/>
                <w:szCs w:val="18"/>
                <w:lang w:eastAsia="sk-SK"/>
              </w:rPr>
            </w:pPr>
            <w:r w:rsidRPr="00DC5600">
              <w:rPr>
                <w:rFonts w:eastAsia="Times New Roman" w:cs="Times New Roman"/>
                <w:sz w:val="18"/>
                <w:szCs w:val="18"/>
                <w:lang w:eastAsia="sk-SK"/>
              </w:rPr>
              <w:t xml:space="preserve">    Príspevkové organizácie VÚC</w:t>
            </w:r>
          </w:p>
        </w:tc>
        <w:tc>
          <w:tcPr>
            <w:tcW w:w="709" w:type="pct"/>
            <w:tcBorders>
              <w:top w:val="nil"/>
              <w:left w:val="nil"/>
              <w:bottom w:val="nil"/>
              <w:right w:val="nil"/>
            </w:tcBorders>
            <w:shd w:val="clear" w:color="auto" w:fill="auto"/>
            <w:noWrap/>
            <w:hideMark/>
          </w:tcPr>
          <w:p w14:paraId="148E9A01"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-1 050</w:t>
            </w:r>
          </w:p>
        </w:tc>
        <w:tc>
          <w:tcPr>
            <w:tcW w:w="657" w:type="pct"/>
            <w:tcBorders>
              <w:top w:val="nil"/>
              <w:left w:val="nil"/>
              <w:bottom w:val="nil"/>
              <w:right w:val="nil"/>
            </w:tcBorders>
            <w:shd w:val="clear" w:color="auto" w:fill="auto"/>
            <w:noWrap/>
            <w:hideMark/>
          </w:tcPr>
          <w:p w14:paraId="3DB6D894"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11 419</w:t>
            </w:r>
          </w:p>
        </w:tc>
        <w:tc>
          <w:tcPr>
            <w:tcW w:w="568" w:type="pct"/>
            <w:tcBorders>
              <w:top w:val="nil"/>
              <w:left w:val="nil"/>
              <w:bottom w:val="nil"/>
              <w:right w:val="nil"/>
            </w:tcBorders>
            <w:shd w:val="clear" w:color="auto" w:fill="auto"/>
            <w:noWrap/>
            <w:hideMark/>
          </w:tcPr>
          <w:p w14:paraId="2A9F72CB"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-175</w:t>
            </w:r>
          </w:p>
        </w:tc>
        <w:tc>
          <w:tcPr>
            <w:tcW w:w="587" w:type="pct"/>
            <w:tcBorders>
              <w:top w:val="nil"/>
              <w:left w:val="nil"/>
              <w:bottom w:val="nil"/>
              <w:right w:val="nil"/>
            </w:tcBorders>
            <w:shd w:val="clear" w:color="auto" w:fill="auto"/>
            <w:noWrap/>
            <w:hideMark/>
          </w:tcPr>
          <w:p w14:paraId="4203A518"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-7 623</w:t>
            </w:r>
          </w:p>
        </w:tc>
        <w:tc>
          <w:tcPr>
            <w:tcW w:w="556" w:type="pct"/>
            <w:tcBorders>
              <w:top w:val="nil"/>
              <w:left w:val="nil"/>
              <w:bottom w:val="nil"/>
              <w:right w:val="nil"/>
            </w:tcBorders>
            <w:shd w:val="clear" w:color="auto" w:fill="auto"/>
            <w:noWrap/>
            <w:hideMark/>
          </w:tcPr>
          <w:p w14:paraId="20E17146"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-7 448</w:t>
            </w:r>
          </w:p>
        </w:tc>
      </w:tr>
      <w:tr w:rsidR="009A05C7" w:rsidRPr="00DC5600" w14:paraId="268B25BB" w14:textId="77777777" w:rsidTr="00BF49A8">
        <w:trPr>
          <w:trHeight w:val="330"/>
        </w:trPr>
        <w:tc>
          <w:tcPr>
            <w:tcW w:w="1923" w:type="pct"/>
            <w:tcBorders>
              <w:top w:val="nil"/>
              <w:left w:val="nil"/>
              <w:bottom w:val="nil"/>
              <w:right w:val="nil"/>
            </w:tcBorders>
            <w:shd w:val="clear" w:color="auto" w:fill="auto"/>
            <w:noWrap/>
            <w:hideMark/>
          </w:tcPr>
          <w:p w14:paraId="7452FD24" w14:textId="77777777" w:rsidR="009A05C7" w:rsidRPr="00DC5600" w:rsidRDefault="009A05C7" w:rsidP="000240DA">
            <w:pPr>
              <w:spacing w:after="0" w:line="240" w:lineRule="auto"/>
              <w:jc w:val="left"/>
              <w:rPr>
                <w:rFonts w:eastAsia="Times New Roman" w:cs="Times New Roman"/>
                <w:sz w:val="18"/>
                <w:szCs w:val="18"/>
                <w:lang w:eastAsia="sk-SK"/>
              </w:rPr>
            </w:pPr>
            <w:r w:rsidRPr="00DC5600">
              <w:rPr>
                <w:rFonts w:eastAsia="Times New Roman" w:cs="Times New Roman"/>
                <w:sz w:val="18"/>
                <w:szCs w:val="18"/>
                <w:lang w:eastAsia="sk-SK"/>
              </w:rPr>
              <w:t xml:space="preserve">    Dopravné podniky</w:t>
            </w:r>
          </w:p>
        </w:tc>
        <w:tc>
          <w:tcPr>
            <w:tcW w:w="709" w:type="pct"/>
            <w:tcBorders>
              <w:top w:val="nil"/>
              <w:left w:val="nil"/>
              <w:bottom w:val="nil"/>
              <w:right w:val="nil"/>
            </w:tcBorders>
            <w:shd w:val="clear" w:color="auto" w:fill="auto"/>
            <w:noWrap/>
            <w:hideMark/>
          </w:tcPr>
          <w:p w14:paraId="2EC63A80"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-9 411</w:t>
            </w:r>
          </w:p>
        </w:tc>
        <w:tc>
          <w:tcPr>
            <w:tcW w:w="657" w:type="pct"/>
            <w:tcBorders>
              <w:top w:val="nil"/>
              <w:left w:val="nil"/>
              <w:bottom w:val="nil"/>
              <w:right w:val="nil"/>
            </w:tcBorders>
            <w:shd w:val="clear" w:color="auto" w:fill="auto"/>
            <w:noWrap/>
            <w:hideMark/>
          </w:tcPr>
          <w:p w14:paraId="05BF140D"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71 771</w:t>
            </w:r>
          </w:p>
        </w:tc>
        <w:tc>
          <w:tcPr>
            <w:tcW w:w="568" w:type="pct"/>
            <w:tcBorders>
              <w:top w:val="nil"/>
              <w:left w:val="nil"/>
              <w:bottom w:val="nil"/>
              <w:right w:val="nil"/>
            </w:tcBorders>
            <w:shd w:val="clear" w:color="auto" w:fill="auto"/>
            <w:noWrap/>
            <w:hideMark/>
          </w:tcPr>
          <w:p w14:paraId="0E70D825"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-13 136</w:t>
            </w:r>
          </w:p>
        </w:tc>
        <w:tc>
          <w:tcPr>
            <w:tcW w:w="587" w:type="pct"/>
            <w:tcBorders>
              <w:top w:val="nil"/>
              <w:left w:val="nil"/>
              <w:bottom w:val="nil"/>
              <w:right w:val="nil"/>
            </w:tcBorders>
            <w:shd w:val="clear" w:color="auto" w:fill="auto"/>
            <w:noWrap/>
            <w:hideMark/>
          </w:tcPr>
          <w:p w14:paraId="1A20B75F"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-74 632</w:t>
            </w:r>
          </w:p>
        </w:tc>
        <w:tc>
          <w:tcPr>
            <w:tcW w:w="556" w:type="pct"/>
            <w:tcBorders>
              <w:top w:val="nil"/>
              <w:left w:val="nil"/>
              <w:bottom w:val="nil"/>
              <w:right w:val="nil"/>
            </w:tcBorders>
            <w:shd w:val="clear" w:color="auto" w:fill="auto"/>
            <w:noWrap/>
            <w:hideMark/>
          </w:tcPr>
          <w:p w14:paraId="74276644"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-61 496</w:t>
            </w:r>
          </w:p>
        </w:tc>
      </w:tr>
      <w:tr w:rsidR="009A05C7" w:rsidRPr="00DC5600" w14:paraId="0E4A9861" w14:textId="77777777" w:rsidTr="00BF49A8">
        <w:trPr>
          <w:trHeight w:val="330"/>
        </w:trPr>
        <w:tc>
          <w:tcPr>
            <w:tcW w:w="1923" w:type="pct"/>
            <w:tcBorders>
              <w:top w:val="nil"/>
              <w:left w:val="nil"/>
              <w:bottom w:val="nil"/>
              <w:right w:val="nil"/>
            </w:tcBorders>
            <w:shd w:val="clear" w:color="auto" w:fill="auto"/>
            <w:hideMark/>
          </w:tcPr>
          <w:p w14:paraId="4333477B" w14:textId="6055F291" w:rsidR="009A05C7" w:rsidRPr="00DC5600" w:rsidRDefault="009A05C7" w:rsidP="000240DA">
            <w:pPr>
              <w:spacing w:after="0" w:line="240" w:lineRule="auto"/>
              <w:ind w:left="209" w:hanging="209"/>
              <w:jc w:val="left"/>
              <w:rPr>
                <w:rFonts w:eastAsia="Times New Roman" w:cs="Times New Roman"/>
                <w:sz w:val="18"/>
                <w:szCs w:val="18"/>
                <w:lang w:eastAsia="sk-SK"/>
              </w:rPr>
            </w:pPr>
            <w:r w:rsidRPr="00DC5600">
              <w:rPr>
                <w:rFonts w:eastAsia="Times New Roman" w:cs="Times New Roman"/>
                <w:sz w:val="18"/>
                <w:szCs w:val="18"/>
                <w:lang w:eastAsia="sk-SK"/>
              </w:rPr>
              <w:t xml:space="preserve">    Zdravotnícke zariadenia územnej</w:t>
            </w:r>
            <w:r w:rsidR="003B3096">
              <w:rPr>
                <w:rFonts w:eastAsia="Times New Roman" w:cs="Times New Roman"/>
                <w:sz w:val="18"/>
                <w:szCs w:val="18"/>
                <w:lang w:eastAsia="sk-SK"/>
              </w:rPr>
              <w:t xml:space="preserve"> </w:t>
            </w:r>
            <w:r w:rsidR="003B3096" w:rsidRPr="00DC5600">
              <w:rPr>
                <w:rFonts w:eastAsia="Times New Roman" w:cs="Times New Roman"/>
                <w:sz w:val="18"/>
                <w:szCs w:val="18"/>
                <w:lang w:eastAsia="sk-SK"/>
              </w:rPr>
              <w:t>samosprávy</w:t>
            </w:r>
            <w:r w:rsidR="003B3096">
              <w:rPr>
                <w:rFonts w:eastAsia="Times New Roman" w:cs="Times New Roman"/>
                <w:sz w:val="18"/>
                <w:szCs w:val="18"/>
                <w:lang w:eastAsia="sk-SK"/>
              </w:rPr>
              <w:t xml:space="preserve">   </w:t>
            </w:r>
          </w:p>
        </w:tc>
        <w:tc>
          <w:tcPr>
            <w:tcW w:w="709" w:type="pct"/>
            <w:tcBorders>
              <w:top w:val="nil"/>
              <w:left w:val="nil"/>
              <w:bottom w:val="nil"/>
              <w:right w:val="nil"/>
            </w:tcBorders>
            <w:shd w:val="clear" w:color="auto" w:fill="auto"/>
            <w:noWrap/>
            <w:hideMark/>
          </w:tcPr>
          <w:p w14:paraId="214A1DA4"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29 023</w:t>
            </w:r>
          </w:p>
        </w:tc>
        <w:tc>
          <w:tcPr>
            <w:tcW w:w="657" w:type="pct"/>
            <w:tcBorders>
              <w:top w:val="nil"/>
              <w:left w:val="nil"/>
              <w:bottom w:val="nil"/>
              <w:right w:val="nil"/>
            </w:tcBorders>
            <w:shd w:val="clear" w:color="auto" w:fill="auto"/>
            <w:noWrap/>
            <w:hideMark/>
          </w:tcPr>
          <w:p w14:paraId="335FDBE5"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-13 115</w:t>
            </w:r>
          </w:p>
        </w:tc>
        <w:tc>
          <w:tcPr>
            <w:tcW w:w="568" w:type="pct"/>
            <w:tcBorders>
              <w:top w:val="nil"/>
              <w:left w:val="nil"/>
              <w:bottom w:val="nil"/>
              <w:right w:val="nil"/>
            </w:tcBorders>
            <w:shd w:val="clear" w:color="auto" w:fill="auto"/>
            <w:noWrap/>
            <w:hideMark/>
          </w:tcPr>
          <w:p w14:paraId="7F83A652"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-2 017</w:t>
            </w:r>
          </w:p>
        </w:tc>
        <w:tc>
          <w:tcPr>
            <w:tcW w:w="587" w:type="pct"/>
            <w:tcBorders>
              <w:top w:val="nil"/>
              <w:left w:val="nil"/>
              <w:bottom w:val="nil"/>
              <w:right w:val="nil"/>
            </w:tcBorders>
            <w:shd w:val="clear" w:color="auto" w:fill="auto"/>
            <w:noWrap/>
            <w:hideMark/>
          </w:tcPr>
          <w:p w14:paraId="78909896"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-2</w:t>
            </w:r>
          </w:p>
        </w:tc>
        <w:tc>
          <w:tcPr>
            <w:tcW w:w="556" w:type="pct"/>
            <w:tcBorders>
              <w:top w:val="nil"/>
              <w:left w:val="nil"/>
              <w:bottom w:val="nil"/>
              <w:right w:val="nil"/>
            </w:tcBorders>
            <w:shd w:val="clear" w:color="auto" w:fill="auto"/>
            <w:noWrap/>
            <w:hideMark/>
          </w:tcPr>
          <w:p w14:paraId="5E3ABBFC"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2 015</w:t>
            </w:r>
          </w:p>
        </w:tc>
      </w:tr>
      <w:tr w:rsidR="009A05C7" w:rsidRPr="00DC5600" w14:paraId="7DB211F6" w14:textId="77777777" w:rsidTr="00BF49A8">
        <w:trPr>
          <w:trHeight w:val="330"/>
        </w:trPr>
        <w:tc>
          <w:tcPr>
            <w:tcW w:w="1923" w:type="pct"/>
            <w:tcBorders>
              <w:top w:val="nil"/>
              <w:left w:val="nil"/>
              <w:bottom w:val="nil"/>
              <w:right w:val="nil"/>
            </w:tcBorders>
            <w:shd w:val="clear" w:color="auto" w:fill="auto"/>
            <w:noWrap/>
            <w:hideMark/>
          </w:tcPr>
          <w:p w14:paraId="5EC46EF1" w14:textId="77777777" w:rsidR="009A05C7" w:rsidRPr="00DC5600" w:rsidRDefault="009A05C7" w:rsidP="000240DA">
            <w:pPr>
              <w:spacing w:after="0" w:line="240" w:lineRule="auto"/>
              <w:jc w:val="left"/>
              <w:rPr>
                <w:rFonts w:eastAsia="Times New Roman" w:cs="Times New Roman"/>
                <w:sz w:val="18"/>
                <w:szCs w:val="18"/>
                <w:lang w:eastAsia="sk-SK"/>
              </w:rPr>
            </w:pPr>
            <w:r w:rsidRPr="00DC5600">
              <w:rPr>
                <w:rFonts w:eastAsia="Times New Roman" w:cs="Times New Roman"/>
                <w:sz w:val="18"/>
                <w:szCs w:val="18"/>
                <w:lang w:eastAsia="sk-SK"/>
              </w:rPr>
              <w:t xml:space="preserve">    Ostatné subjekty územnej samosprávy</w:t>
            </w:r>
          </w:p>
        </w:tc>
        <w:tc>
          <w:tcPr>
            <w:tcW w:w="709" w:type="pct"/>
            <w:tcBorders>
              <w:top w:val="nil"/>
              <w:left w:val="nil"/>
              <w:bottom w:val="nil"/>
              <w:right w:val="nil"/>
            </w:tcBorders>
            <w:shd w:val="clear" w:color="auto" w:fill="auto"/>
            <w:noWrap/>
            <w:hideMark/>
          </w:tcPr>
          <w:p w14:paraId="30E10C1D"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2 091</w:t>
            </w:r>
          </w:p>
        </w:tc>
        <w:tc>
          <w:tcPr>
            <w:tcW w:w="657" w:type="pct"/>
            <w:tcBorders>
              <w:top w:val="nil"/>
              <w:left w:val="nil"/>
              <w:bottom w:val="nil"/>
              <w:right w:val="nil"/>
            </w:tcBorders>
            <w:shd w:val="clear" w:color="auto" w:fill="auto"/>
            <w:noWrap/>
            <w:hideMark/>
          </w:tcPr>
          <w:p w14:paraId="449A71FA"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-24 817</w:t>
            </w:r>
          </w:p>
        </w:tc>
        <w:tc>
          <w:tcPr>
            <w:tcW w:w="568" w:type="pct"/>
            <w:tcBorders>
              <w:top w:val="nil"/>
              <w:left w:val="nil"/>
              <w:bottom w:val="nil"/>
              <w:right w:val="nil"/>
            </w:tcBorders>
            <w:shd w:val="clear" w:color="auto" w:fill="auto"/>
            <w:noWrap/>
            <w:hideMark/>
          </w:tcPr>
          <w:p w14:paraId="74135B8F"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0</w:t>
            </w:r>
          </w:p>
        </w:tc>
        <w:tc>
          <w:tcPr>
            <w:tcW w:w="587" w:type="pct"/>
            <w:tcBorders>
              <w:top w:val="nil"/>
              <w:left w:val="nil"/>
              <w:bottom w:val="nil"/>
              <w:right w:val="nil"/>
            </w:tcBorders>
            <w:shd w:val="clear" w:color="auto" w:fill="auto"/>
            <w:noWrap/>
            <w:hideMark/>
          </w:tcPr>
          <w:p w14:paraId="25AC71B0"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-24 817</w:t>
            </w:r>
          </w:p>
        </w:tc>
        <w:tc>
          <w:tcPr>
            <w:tcW w:w="556" w:type="pct"/>
            <w:tcBorders>
              <w:top w:val="nil"/>
              <w:left w:val="nil"/>
              <w:bottom w:val="nil"/>
              <w:right w:val="nil"/>
            </w:tcBorders>
            <w:shd w:val="clear" w:color="auto" w:fill="auto"/>
            <w:noWrap/>
            <w:hideMark/>
          </w:tcPr>
          <w:p w14:paraId="639246C6"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-24 817</w:t>
            </w:r>
          </w:p>
        </w:tc>
      </w:tr>
      <w:tr w:rsidR="009A05C7" w:rsidRPr="00DC5600" w14:paraId="7556727B" w14:textId="77777777" w:rsidTr="00BF49A8">
        <w:trPr>
          <w:trHeight w:val="330"/>
        </w:trPr>
        <w:tc>
          <w:tcPr>
            <w:tcW w:w="1923" w:type="pct"/>
            <w:tcBorders>
              <w:top w:val="nil"/>
              <w:left w:val="nil"/>
              <w:bottom w:val="nil"/>
              <w:right w:val="nil"/>
            </w:tcBorders>
            <w:shd w:val="clear" w:color="auto" w:fill="auto"/>
            <w:noWrap/>
            <w:hideMark/>
          </w:tcPr>
          <w:p w14:paraId="33680A1F" w14:textId="77777777" w:rsidR="009A05C7" w:rsidRPr="00DC5600" w:rsidRDefault="009A05C7" w:rsidP="000240DA">
            <w:pPr>
              <w:spacing w:after="0" w:line="240" w:lineRule="auto"/>
              <w:jc w:val="left"/>
              <w:rPr>
                <w:rFonts w:eastAsia="Times New Roman" w:cs="Times New Roman"/>
                <w:b/>
                <w:bCs/>
                <w:color w:val="000000"/>
                <w:sz w:val="18"/>
                <w:szCs w:val="18"/>
                <w:lang w:eastAsia="sk-SK"/>
              </w:rPr>
            </w:pPr>
            <w:r w:rsidRPr="00DC5600">
              <w:rPr>
                <w:rFonts w:eastAsia="Times New Roman" w:cs="Times New Roman"/>
                <w:b/>
                <w:bCs/>
                <w:color w:val="000000"/>
                <w:sz w:val="18"/>
                <w:szCs w:val="18"/>
                <w:lang w:eastAsia="sk-SK"/>
              </w:rPr>
              <w:t>Fondy sociálneho zabezpečenia</w:t>
            </w:r>
          </w:p>
        </w:tc>
        <w:tc>
          <w:tcPr>
            <w:tcW w:w="709" w:type="pct"/>
            <w:tcBorders>
              <w:top w:val="nil"/>
              <w:left w:val="nil"/>
              <w:bottom w:val="nil"/>
              <w:right w:val="nil"/>
            </w:tcBorders>
            <w:shd w:val="clear" w:color="auto" w:fill="auto"/>
            <w:noWrap/>
            <w:hideMark/>
          </w:tcPr>
          <w:p w14:paraId="39591590" w14:textId="77777777" w:rsidR="009A05C7" w:rsidRPr="00DC5600" w:rsidRDefault="009A05C7" w:rsidP="000240DA">
            <w:pPr>
              <w:spacing w:after="0" w:line="240" w:lineRule="auto"/>
              <w:jc w:val="left"/>
              <w:rPr>
                <w:rFonts w:eastAsia="Times New Roman" w:cs="Times New Roman"/>
                <w:b/>
                <w:bCs/>
                <w:color w:val="000000"/>
                <w:sz w:val="18"/>
                <w:szCs w:val="18"/>
                <w:lang w:eastAsia="sk-SK"/>
              </w:rPr>
            </w:pPr>
          </w:p>
        </w:tc>
        <w:tc>
          <w:tcPr>
            <w:tcW w:w="657" w:type="pct"/>
            <w:tcBorders>
              <w:top w:val="nil"/>
              <w:left w:val="nil"/>
              <w:bottom w:val="nil"/>
              <w:right w:val="nil"/>
            </w:tcBorders>
            <w:shd w:val="clear" w:color="auto" w:fill="auto"/>
            <w:noWrap/>
            <w:hideMark/>
          </w:tcPr>
          <w:p w14:paraId="299D0809" w14:textId="77777777" w:rsidR="009A05C7" w:rsidRPr="00DC5600" w:rsidRDefault="009A05C7" w:rsidP="000240DA">
            <w:pPr>
              <w:spacing w:after="0" w:line="240" w:lineRule="auto"/>
              <w:jc w:val="right"/>
              <w:rPr>
                <w:rFonts w:eastAsia="Times New Roman" w:cs="Times New Roman"/>
                <w:sz w:val="20"/>
                <w:szCs w:val="20"/>
                <w:lang w:eastAsia="sk-SK"/>
              </w:rPr>
            </w:pPr>
          </w:p>
        </w:tc>
        <w:tc>
          <w:tcPr>
            <w:tcW w:w="568" w:type="pct"/>
            <w:tcBorders>
              <w:top w:val="nil"/>
              <w:left w:val="nil"/>
              <w:bottom w:val="nil"/>
              <w:right w:val="nil"/>
            </w:tcBorders>
            <w:shd w:val="clear" w:color="auto" w:fill="auto"/>
            <w:noWrap/>
            <w:hideMark/>
          </w:tcPr>
          <w:p w14:paraId="084A0921" w14:textId="77777777" w:rsidR="009A05C7" w:rsidRPr="00DC5600" w:rsidRDefault="009A05C7" w:rsidP="000240DA">
            <w:pPr>
              <w:spacing w:after="0" w:line="240" w:lineRule="auto"/>
              <w:jc w:val="right"/>
              <w:rPr>
                <w:rFonts w:eastAsia="Times New Roman" w:cs="Times New Roman"/>
                <w:sz w:val="20"/>
                <w:szCs w:val="20"/>
                <w:lang w:eastAsia="sk-SK"/>
              </w:rPr>
            </w:pPr>
          </w:p>
        </w:tc>
        <w:tc>
          <w:tcPr>
            <w:tcW w:w="587" w:type="pct"/>
            <w:tcBorders>
              <w:top w:val="nil"/>
              <w:left w:val="nil"/>
              <w:bottom w:val="nil"/>
              <w:right w:val="nil"/>
            </w:tcBorders>
            <w:shd w:val="clear" w:color="auto" w:fill="auto"/>
            <w:noWrap/>
            <w:hideMark/>
          </w:tcPr>
          <w:p w14:paraId="1B4CF1E2" w14:textId="77777777" w:rsidR="009A05C7" w:rsidRPr="00DC5600" w:rsidRDefault="009A05C7" w:rsidP="000240DA">
            <w:pPr>
              <w:spacing w:after="0" w:line="240" w:lineRule="auto"/>
              <w:jc w:val="right"/>
              <w:rPr>
                <w:rFonts w:eastAsia="Times New Roman" w:cs="Times New Roman"/>
                <w:sz w:val="20"/>
                <w:szCs w:val="20"/>
                <w:lang w:eastAsia="sk-SK"/>
              </w:rPr>
            </w:pPr>
          </w:p>
        </w:tc>
        <w:tc>
          <w:tcPr>
            <w:tcW w:w="556" w:type="pct"/>
            <w:tcBorders>
              <w:top w:val="nil"/>
              <w:left w:val="nil"/>
              <w:bottom w:val="nil"/>
              <w:right w:val="nil"/>
            </w:tcBorders>
            <w:shd w:val="clear" w:color="auto" w:fill="auto"/>
            <w:noWrap/>
            <w:hideMark/>
          </w:tcPr>
          <w:p w14:paraId="71E83C19" w14:textId="77777777" w:rsidR="009A05C7" w:rsidRPr="00DC5600" w:rsidRDefault="009A05C7" w:rsidP="000240DA">
            <w:pPr>
              <w:spacing w:after="0" w:line="240" w:lineRule="auto"/>
              <w:jc w:val="right"/>
              <w:rPr>
                <w:rFonts w:eastAsia="Times New Roman" w:cs="Times New Roman"/>
                <w:sz w:val="20"/>
                <w:szCs w:val="20"/>
                <w:lang w:eastAsia="sk-SK"/>
              </w:rPr>
            </w:pPr>
          </w:p>
        </w:tc>
      </w:tr>
      <w:tr w:rsidR="009A05C7" w:rsidRPr="00DC5600" w14:paraId="3FA6CEC1" w14:textId="77777777" w:rsidTr="00BF49A8">
        <w:trPr>
          <w:trHeight w:val="330"/>
        </w:trPr>
        <w:tc>
          <w:tcPr>
            <w:tcW w:w="1923" w:type="pct"/>
            <w:tcBorders>
              <w:top w:val="nil"/>
              <w:left w:val="nil"/>
              <w:bottom w:val="nil"/>
              <w:right w:val="nil"/>
            </w:tcBorders>
            <w:shd w:val="clear" w:color="auto" w:fill="auto"/>
            <w:noWrap/>
            <w:hideMark/>
          </w:tcPr>
          <w:p w14:paraId="1072CC00" w14:textId="77777777" w:rsidR="009A05C7" w:rsidRPr="00DC5600" w:rsidRDefault="009A05C7" w:rsidP="000240DA">
            <w:pPr>
              <w:spacing w:after="0" w:line="240" w:lineRule="auto"/>
              <w:jc w:val="left"/>
              <w:rPr>
                <w:rFonts w:eastAsia="Times New Roman" w:cs="Times New Roman"/>
                <w:sz w:val="18"/>
                <w:szCs w:val="18"/>
                <w:lang w:eastAsia="sk-SK"/>
              </w:rPr>
            </w:pPr>
            <w:r w:rsidRPr="00DC5600">
              <w:rPr>
                <w:rFonts w:eastAsia="Times New Roman" w:cs="Times New Roman"/>
                <w:sz w:val="18"/>
                <w:szCs w:val="18"/>
                <w:lang w:eastAsia="sk-SK"/>
              </w:rPr>
              <w:t xml:space="preserve">    Sociálna poisťovňa</w:t>
            </w:r>
          </w:p>
        </w:tc>
        <w:tc>
          <w:tcPr>
            <w:tcW w:w="709" w:type="pct"/>
            <w:tcBorders>
              <w:top w:val="nil"/>
              <w:left w:val="nil"/>
              <w:bottom w:val="nil"/>
              <w:right w:val="nil"/>
            </w:tcBorders>
            <w:shd w:val="clear" w:color="auto" w:fill="auto"/>
            <w:noWrap/>
            <w:hideMark/>
          </w:tcPr>
          <w:p w14:paraId="1F08E475"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191 323</w:t>
            </w:r>
          </w:p>
        </w:tc>
        <w:tc>
          <w:tcPr>
            <w:tcW w:w="657" w:type="pct"/>
            <w:tcBorders>
              <w:top w:val="nil"/>
              <w:left w:val="nil"/>
              <w:bottom w:val="nil"/>
              <w:right w:val="nil"/>
            </w:tcBorders>
            <w:shd w:val="clear" w:color="auto" w:fill="auto"/>
            <w:noWrap/>
            <w:hideMark/>
          </w:tcPr>
          <w:p w14:paraId="333128C8"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51 561</w:t>
            </w:r>
          </w:p>
        </w:tc>
        <w:tc>
          <w:tcPr>
            <w:tcW w:w="568" w:type="pct"/>
            <w:tcBorders>
              <w:top w:val="nil"/>
              <w:left w:val="nil"/>
              <w:bottom w:val="nil"/>
              <w:right w:val="nil"/>
            </w:tcBorders>
            <w:shd w:val="clear" w:color="auto" w:fill="auto"/>
            <w:noWrap/>
            <w:hideMark/>
          </w:tcPr>
          <w:p w14:paraId="7FF6570C"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140 099</w:t>
            </w:r>
          </w:p>
        </w:tc>
        <w:tc>
          <w:tcPr>
            <w:tcW w:w="587" w:type="pct"/>
            <w:tcBorders>
              <w:top w:val="nil"/>
              <w:left w:val="nil"/>
              <w:bottom w:val="nil"/>
              <w:right w:val="nil"/>
            </w:tcBorders>
            <w:shd w:val="clear" w:color="auto" w:fill="auto"/>
            <w:noWrap/>
            <w:hideMark/>
          </w:tcPr>
          <w:p w14:paraId="287651C2"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316 996</w:t>
            </w:r>
          </w:p>
        </w:tc>
        <w:tc>
          <w:tcPr>
            <w:tcW w:w="556" w:type="pct"/>
            <w:tcBorders>
              <w:top w:val="nil"/>
              <w:left w:val="nil"/>
              <w:bottom w:val="nil"/>
              <w:right w:val="nil"/>
            </w:tcBorders>
            <w:shd w:val="clear" w:color="auto" w:fill="auto"/>
            <w:noWrap/>
            <w:hideMark/>
          </w:tcPr>
          <w:p w14:paraId="5E2B569E"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176 897</w:t>
            </w:r>
          </w:p>
        </w:tc>
      </w:tr>
      <w:tr w:rsidR="009A05C7" w:rsidRPr="00DC5600" w14:paraId="1B58919C" w14:textId="77777777" w:rsidTr="00BF49A8">
        <w:trPr>
          <w:trHeight w:val="330"/>
        </w:trPr>
        <w:tc>
          <w:tcPr>
            <w:tcW w:w="1923" w:type="pct"/>
            <w:tcBorders>
              <w:top w:val="nil"/>
              <w:left w:val="nil"/>
              <w:bottom w:val="single" w:sz="4" w:space="0" w:color="auto"/>
              <w:right w:val="nil"/>
            </w:tcBorders>
            <w:shd w:val="clear" w:color="auto" w:fill="auto"/>
            <w:noWrap/>
            <w:hideMark/>
          </w:tcPr>
          <w:p w14:paraId="7D569667" w14:textId="77777777" w:rsidR="009A05C7" w:rsidRPr="00DC5600" w:rsidRDefault="009A05C7" w:rsidP="000240DA">
            <w:pPr>
              <w:spacing w:after="0" w:line="240" w:lineRule="auto"/>
              <w:jc w:val="left"/>
              <w:rPr>
                <w:rFonts w:eastAsia="Times New Roman" w:cs="Times New Roman"/>
                <w:sz w:val="18"/>
                <w:szCs w:val="18"/>
                <w:lang w:eastAsia="sk-SK"/>
              </w:rPr>
            </w:pPr>
            <w:r w:rsidRPr="00DC5600">
              <w:rPr>
                <w:rFonts w:eastAsia="Times New Roman" w:cs="Times New Roman"/>
                <w:sz w:val="18"/>
                <w:szCs w:val="18"/>
                <w:lang w:eastAsia="sk-SK"/>
              </w:rPr>
              <w:t xml:space="preserve">    Verejné zdravotné poistenie</w:t>
            </w:r>
          </w:p>
        </w:tc>
        <w:tc>
          <w:tcPr>
            <w:tcW w:w="709" w:type="pct"/>
            <w:tcBorders>
              <w:top w:val="nil"/>
              <w:left w:val="nil"/>
              <w:bottom w:val="single" w:sz="4" w:space="0" w:color="auto"/>
              <w:right w:val="nil"/>
            </w:tcBorders>
            <w:shd w:val="clear" w:color="auto" w:fill="auto"/>
            <w:noWrap/>
            <w:hideMark/>
          </w:tcPr>
          <w:p w14:paraId="7DD4FAE1"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552</w:t>
            </w:r>
          </w:p>
        </w:tc>
        <w:tc>
          <w:tcPr>
            <w:tcW w:w="657" w:type="pct"/>
            <w:tcBorders>
              <w:top w:val="nil"/>
              <w:left w:val="nil"/>
              <w:bottom w:val="single" w:sz="4" w:space="0" w:color="auto"/>
              <w:right w:val="nil"/>
            </w:tcBorders>
            <w:shd w:val="clear" w:color="auto" w:fill="auto"/>
            <w:noWrap/>
            <w:hideMark/>
          </w:tcPr>
          <w:p w14:paraId="6EA9878A"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224 675</w:t>
            </w:r>
          </w:p>
        </w:tc>
        <w:tc>
          <w:tcPr>
            <w:tcW w:w="568" w:type="pct"/>
            <w:tcBorders>
              <w:top w:val="nil"/>
              <w:left w:val="nil"/>
              <w:bottom w:val="single" w:sz="4" w:space="0" w:color="auto"/>
              <w:right w:val="nil"/>
            </w:tcBorders>
            <w:shd w:val="clear" w:color="auto" w:fill="auto"/>
            <w:noWrap/>
            <w:hideMark/>
          </w:tcPr>
          <w:p w14:paraId="78C1B86F"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179 010</w:t>
            </w:r>
          </w:p>
        </w:tc>
        <w:tc>
          <w:tcPr>
            <w:tcW w:w="587" w:type="pct"/>
            <w:tcBorders>
              <w:top w:val="nil"/>
              <w:left w:val="nil"/>
              <w:bottom w:val="single" w:sz="4" w:space="0" w:color="auto"/>
              <w:right w:val="nil"/>
            </w:tcBorders>
            <w:shd w:val="clear" w:color="auto" w:fill="auto"/>
            <w:noWrap/>
            <w:hideMark/>
          </w:tcPr>
          <w:p w14:paraId="3ACD6B8B"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53 103</w:t>
            </w:r>
          </w:p>
        </w:tc>
        <w:tc>
          <w:tcPr>
            <w:tcW w:w="556" w:type="pct"/>
            <w:tcBorders>
              <w:top w:val="nil"/>
              <w:left w:val="nil"/>
              <w:bottom w:val="single" w:sz="4" w:space="0" w:color="auto"/>
              <w:right w:val="nil"/>
            </w:tcBorders>
            <w:shd w:val="clear" w:color="auto" w:fill="auto"/>
            <w:noWrap/>
            <w:hideMark/>
          </w:tcPr>
          <w:p w14:paraId="75A378A7" w14:textId="77777777" w:rsidR="009A05C7" w:rsidRPr="00DC5600" w:rsidRDefault="009A05C7" w:rsidP="000240DA">
            <w:pPr>
              <w:spacing w:after="0" w:line="240" w:lineRule="auto"/>
              <w:jc w:val="right"/>
              <w:rPr>
                <w:rFonts w:eastAsia="Times New Roman" w:cs="Times New Roman"/>
                <w:sz w:val="18"/>
                <w:szCs w:val="18"/>
                <w:lang w:eastAsia="sk-SK"/>
              </w:rPr>
            </w:pPr>
            <w:r w:rsidRPr="00DC5600">
              <w:rPr>
                <w:rFonts w:eastAsia="Times New Roman" w:cs="Times New Roman"/>
                <w:sz w:val="18"/>
                <w:szCs w:val="18"/>
                <w:lang w:eastAsia="sk-SK"/>
              </w:rPr>
              <w:t>-125 907</w:t>
            </w:r>
          </w:p>
        </w:tc>
      </w:tr>
      <w:tr w:rsidR="009A05C7" w:rsidRPr="00DC5600" w14:paraId="280EF79F" w14:textId="77777777" w:rsidTr="00BF49A8">
        <w:trPr>
          <w:trHeight w:val="330"/>
        </w:trPr>
        <w:tc>
          <w:tcPr>
            <w:tcW w:w="1923" w:type="pct"/>
            <w:tcBorders>
              <w:top w:val="nil"/>
              <w:left w:val="nil"/>
              <w:bottom w:val="nil"/>
              <w:right w:val="nil"/>
            </w:tcBorders>
            <w:shd w:val="clear" w:color="auto" w:fill="auto"/>
            <w:noWrap/>
            <w:hideMark/>
          </w:tcPr>
          <w:p w14:paraId="2FD6D9BA" w14:textId="77777777" w:rsidR="009A05C7" w:rsidRPr="00DC5600" w:rsidRDefault="009A05C7" w:rsidP="000240DA">
            <w:pPr>
              <w:spacing w:after="0" w:line="240" w:lineRule="auto"/>
              <w:jc w:val="left"/>
              <w:rPr>
                <w:rFonts w:eastAsia="Times New Roman" w:cs="Times New Roman"/>
                <w:b/>
                <w:bCs/>
                <w:sz w:val="18"/>
                <w:szCs w:val="18"/>
                <w:lang w:eastAsia="sk-SK"/>
              </w:rPr>
            </w:pPr>
            <w:r w:rsidRPr="00DC5600">
              <w:rPr>
                <w:rFonts w:eastAsia="Times New Roman" w:cs="Times New Roman"/>
                <w:b/>
                <w:bCs/>
                <w:sz w:val="18"/>
                <w:szCs w:val="18"/>
                <w:lang w:eastAsia="sk-SK"/>
              </w:rPr>
              <w:t>Schodok verejnej správy spolu</w:t>
            </w:r>
          </w:p>
        </w:tc>
        <w:tc>
          <w:tcPr>
            <w:tcW w:w="709" w:type="pct"/>
            <w:tcBorders>
              <w:top w:val="nil"/>
              <w:left w:val="nil"/>
              <w:bottom w:val="nil"/>
              <w:right w:val="nil"/>
            </w:tcBorders>
            <w:shd w:val="clear" w:color="auto" w:fill="auto"/>
            <w:noWrap/>
            <w:hideMark/>
          </w:tcPr>
          <w:p w14:paraId="606B760E" w14:textId="77777777" w:rsidR="009A05C7" w:rsidRPr="00DC5600" w:rsidRDefault="009A05C7" w:rsidP="000240DA">
            <w:pPr>
              <w:spacing w:after="0" w:line="240" w:lineRule="auto"/>
              <w:jc w:val="right"/>
              <w:rPr>
                <w:rFonts w:eastAsia="Times New Roman" w:cs="Times New Roman"/>
                <w:b/>
                <w:bCs/>
                <w:sz w:val="18"/>
                <w:szCs w:val="18"/>
                <w:lang w:eastAsia="sk-SK"/>
              </w:rPr>
            </w:pPr>
            <w:r w:rsidRPr="00DC5600">
              <w:rPr>
                <w:rFonts w:eastAsia="Times New Roman" w:cs="Times New Roman"/>
                <w:b/>
                <w:bCs/>
                <w:sz w:val="18"/>
                <w:szCs w:val="18"/>
                <w:lang w:eastAsia="sk-SK"/>
              </w:rPr>
              <w:t>-1 835 734</w:t>
            </w:r>
          </w:p>
        </w:tc>
        <w:tc>
          <w:tcPr>
            <w:tcW w:w="657" w:type="pct"/>
            <w:tcBorders>
              <w:top w:val="nil"/>
              <w:left w:val="nil"/>
              <w:bottom w:val="nil"/>
              <w:right w:val="nil"/>
            </w:tcBorders>
            <w:shd w:val="clear" w:color="auto" w:fill="auto"/>
            <w:noWrap/>
            <w:hideMark/>
          </w:tcPr>
          <w:p w14:paraId="159CEDDA" w14:textId="77777777" w:rsidR="009A05C7" w:rsidRPr="00DC5600" w:rsidRDefault="009A05C7" w:rsidP="000240DA">
            <w:pPr>
              <w:spacing w:after="0" w:line="240" w:lineRule="auto"/>
              <w:jc w:val="right"/>
              <w:rPr>
                <w:rFonts w:eastAsia="Times New Roman" w:cs="Times New Roman"/>
                <w:b/>
                <w:bCs/>
                <w:sz w:val="18"/>
                <w:szCs w:val="18"/>
                <w:lang w:eastAsia="sk-SK"/>
              </w:rPr>
            </w:pPr>
            <w:r w:rsidRPr="00DC5600">
              <w:rPr>
                <w:rFonts w:eastAsia="Times New Roman" w:cs="Times New Roman"/>
                <w:b/>
                <w:bCs/>
                <w:sz w:val="18"/>
                <w:szCs w:val="18"/>
                <w:lang w:eastAsia="sk-SK"/>
              </w:rPr>
              <w:t xml:space="preserve">-6 </w:t>
            </w:r>
            <w:r>
              <w:rPr>
                <w:rFonts w:eastAsia="Times New Roman" w:cs="Times New Roman"/>
                <w:b/>
                <w:bCs/>
                <w:sz w:val="18"/>
                <w:szCs w:val="18"/>
                <w:lang w:eastAsia="sk-SK"/>
              </w:rPr>
              <w:t>426</w:t>
            </w:r>
            <w:r w:rsidRPr="00DC5600">
              <w:rPr>
                <w:rFonts w:eastAsia="Times New Roman" w:cs="Times New Roman"/>
                <w:b/>
                <w:bCs/>
                <w:sz w:val="18"/>
                <w:szCs w:val="18"/>
                <w:lang w:eastAsia="sk-SK"/>
              </w:rPr>
              <w:t xml:space="preserve"> </w:t>
            </w:r>
            <w:r>
              <w:rPr>
                <w:rFonts w:eastAsia="Times New Roman" w:cs="Times New Roman"/>
                <w:b/>
                <w:bCs/>
                <w:sz w:val="18"/>
                <w:szCs w:val="18"/>
                <w:lang w:eastAsia="sk-SK"/>
              </w:rPr>
              <w:t>966</w:t>
            </w:r>
          </w:p>
        </w:tc>
        <w:tc>
          <w:tcPr>
            <w:tcW w:w="568" w:type="pct"/>
            <w:tcBorders>
              <w:top w:val="nil"/>
              <w:left w:val="nil"/>
              <w:bottom w:val="nil"/>
              <w:right w:val="nil"/>
            </w:tcBorders>
            <w:shd w:val="clear" w:color="auto" w:fill="auto"/>
            <w:noWrap/>
            <w:hideMark/>
          </w:tcPr>
          <w:p w14:paraId="405D73DA" w14:textId="77777777" w:rsidR="009A05C7" w:rsidRPr="00DC5600" w:rsidRDefault="009A05C7" w:rsidP="000240DA">
            <w:pPr>
              <w:spacing w:after="0" w:line="240" w:lineRule="auto"/>
              <w:jc w:val="right"/>
              <w:rPr>
                <w:rFonts w:eastAsia="Times New Roman" w:cs="Times New Roman"/>
                <w:b/>
                <w:bCs/>
                <w:sz w:val="18"/>
                <w:szCs w:val="18"/>
                <w:lang w:eastAsia="sk-SK"/>
              </w:rPr>
            </w:pPr>
            <w:r w:rsidRPr="00DC5600">
              <w:rPr>
                <w:rFonts w:eastAsia="Times New Roman" w:cs="Times New Roman"/>
                <w:b/>
                <w:bCs/>
                <w:sz w:val="18"/>
                <w:szCs w:val="18"/>
                <w:lang w:eastAsia="sk-SK"/>
              </w:rPr>
              <w:t>-7 840 706</w:t>
            </w:r>
          </w:p>
        </w:tc>
        <w:tc>
          <w:tcPr>
            <w:tcW w:w="587" w:type="pct"/>
            <w:tcBorders>
              <w:top w:val="nil"/>
              <w:left w:val="nil"/>
              <w:bottom w:val="nil"/>
              <w:right w:val="nil"/>
            </w:tcBorders>
            <w:shd w:val="clear" w:color="auto" w:fill="auto"/>
            <w:noWrap/>
            <w:hideMark/>
          </w:tcPr>
          <w:p w14:paraId="5C3239C0" w14:textId="77777777" w:rsidR="009A05C7" w:rsidRPr="006F479C" w:rsidRDefault="009A05C7" w:rsidP="000240DA">
            <w:pPr>
              <w:spacing w:after="0" w:line="240" w:lineRule="auto"/>
              <w:jc w:val="right"/>
              <w:rPr>
                <w:rFonts w:eastAsia="Times New Roman" w:cs="Times New Roman"/>
                <w:b/>
                <w:bCs/>
                <w:sz w:val="18"/>
                <w:szCs w:val="18"/>
                <w:lang w:eastAsia="sk-SK"/>
              </w:rPr>
            </w:pPr>
            <w:r w:rsidRPr="006F479C">
              <w:rPr>
                <w:rFonts w:eastAsia="Times New Roman" w:cs="Times New Roman"/>
                <w:b/>
                <w:bCs/>
                <w:sz w:val="18"/>
                <w:szCs w:val="18"/>
                <w:lang w:eastAsia="sk-SK"/>
              </w:rPr>
              <w:t>-6 906 738</w:t>
            </w:r>
          </w:p>
        </w:tc>
        <w:tc>
          <w:tcPr>
            <w:tcW w:w="556" w:type="pct"/>
            <w:tcBorders>
              <w:top w:val="nil"/>
              <w:left w:val="nil"/>
              <w:bottom w:val="nil"/>
              <w:right w:val="nil"/>
            </w:tcBorders>
            <w:shd w:val="clear" w:color="auto" w:fill="auto"/>
            <w:noWrap/>
            <w:hideMark/>
          </w:tcPr>
          <w:p w14:paraId="0DDE6680" w14:textId="77777777" w:rsidR="009A05C7" w:rsidRPr="006F479C" w:rsidRDefault="009A05C7" w:rsidP="000240DA">
            <w:pPr>
              <w:spacing w:after="0" w:line="240" w:lineRule="auto"/>
              <w:jc w:val="right"/>
              <w:rPr>
                <w:rFonts w:eastAsia="Times New Roman" w:cs="Times New Roman"/>
                <w:b/>
                <w:bCs/>
                <w:sz w:val="18"/>
                <w:szCs w:val="18"/>
                <w:lang w:eastAsia="sk-SK"/>
              </w:rPr>
            </w:pPr>
            <w:r w:rsidRPr="006F479C">
              <w:rPr>
                <w:rFonts w:eastAsia="Times New Roman" w:cs="Times New Roman"/>
                <w:b/>
                <w:bCs/>
                <w:sz w:val="18"/>
                <w:szCs w:val="18"/>
                <w:lang w:eastAsia="sk-SK"/>
              </w:rPr>
              <w:t>933 968</w:t>
            </w:r>
          </w:p>
        </w:tc>
      </w:tr>
      <w:tr w:rsidR="009A05C7" w:rsidRPr="00DC5600" w14:paraId="2E76E912" w14:textId="77777777" w:rsidTr="00BF49A8">
        <w:trPr>
          <w:trHeight w:val="330"/>
        </w:trPr>
        <w:tc>
          <w:tcPr>
            <w:tcW w:w="1923" w:type="pct"/>
            <w:tcBorders>
              <w:top w:val="nil"/>
              <w:left w:val="nil"/>
              <w:bottom w:val="single" w:sz="4" w:space="0" w:color="auto"/>
              <w:right w:val="nil"/>
            </w:tcBorders>
            <w:shd w:val="clear" w:color="auto" w:fill="auto"/>
            <w:noWrap/>
            <w:hideMark/>
          </w:tcPr>
          <w:p w14:paraId="613E4E4D" w14:textId="77777777" w:rsidR="009A05C7" w:rsidRPr="00DC5600" w:rsidRDefault="009A05C7" w:rsidP="000240DA">
            <w:pPr>
              <w:spacing w:after="0" w:line="240" w:lineRule="auto"/>
              <w:jc w:val="left"/>
              <w:rPr>
                <w:rFonts w:eastAsia="Times New Roman" w:cs="Times New Roman"/>
                <w:b/>
                <w:bCs/>
                <w:sz w:val="18"/>
                <w:szCs w:val="18"/>
                <w:lang w:eastAsia="sk-SK"/>
              </w:rPr>
            </w:pPr>
            <w:r w:rsidRPr="00DC5600">
              <w:rPr>
                <w:rFonts w:eastAsia="Times New Roman" w:cs="Times New Roman"/>
                <w:b/>
                <w:bCs/>
                <w:sz w:val="18"/>
                <w:szCs w:val="18"/>
                <w:lang w:eastAsia="sk-SK"/>
              </w:rPr>
              <w:t xml:space="preserve"> % z HDP</w:t>
            </w:r>
          </w:p>
        </w:tc>
        <w:tc>
          <w:tcPr>
            <w:tcW w:w="709" w:type="pct"/>
            <w:tcBorders>
              <w:top w:val="nil"/>
              <w:left w:val="nil"/>
              <w:bottom w:val="single" w:sz="4" w:space="0" w:color="auto"/>
              <w:right w:val="nil"/>
            </w:tcBorders>
            <w:shd w:val="clear" w:color="auto" w:fill="auto"/>
            <w:noWrap/>
            <w:hideMark/>
          </w:tcPr>
          <w:p w14:paraId="2E4EBB03" w14:textId="77777777" w:rsidR="009A05C7" w:rsidRPr="00DC5600" w:rsidRDefault="009A05C7" w:rsidP="000240DA">
            <w:pPr>
              <w:spacing w:after="0" w:line="240" w:lineRule="auto"/>
              <w:jc w:val="right"/>
              <w:rPr>
                <w:rFonts w:eastAsia="Times New Roman" w:cs="Times New Roman"/>
                <w:b/>
                <w:bCs/>
                <w:sz w:val="18"/>
                <w:szCs w:val="18"/>
                <w:lang w:eastAsia="sk-SK"/>
              </w:rPr>
            </w:pPr>
            <w:r w:rsidRPr="00DC5600">
              <w:rPr>
                <w:rFonts w:eastAsia="Times New Roman" w:cs="Times New Roman"/>
                <w:b/>
                <w:bCs/>
                <w:sz w:val="18"/>
                <w:szCs w:val="18"/>
                <w:lang w:eastAsia="sk-SK"/>
              </w:rPr>
              <w:t>-1,7</w:t>
            </w:r>
          </w:p>
        </w:tc>
        <w:tc>
          <w:tcPr>
            <w:tcW w:w="657" w:type="pct"/>
            <w:tcBorders>
              <w:top w:val="nil"/>
              <w:left w:val="nil"/>
              <w:bottom w:val="single" w:sz="4" w:space="0" w:color="auto"/>
              <w:right w:val="nil"/>
            </w:tcBorders>
            <w:shd w:val="clear" w:color="auto" w:fill="auto"/>
            <w:noWrap/>
            <w:hideMark/>
          </w:tcPr>
          <w:p w14:paraId="1D69302B" w14:textId="77777777" w:rsidR="009A05C7" w:rsidRPr="00DC5600" w:rsidRDefault="009A05C7" w:rsidP="000240DA">
            <w:pPr>
              <w:spacing w:after="0" w:line="240" w:lineRule="auto"/>
              <w:jc w:val="right"/>
              <w:rPr>
                <w:rFonts w:eastAsia="Times New Roman" w:cs="Times New Roman"/>
                <w:b/>
                <w:bCs/>
                <w:sz w:val="18"/>
                <w:szCs w:val="18"/>
                <w:lang w:eastAsia="sk-SK"/>
              </w:rPr>
            </w:pPr>
            <w:r w:rsidRPr="00DC5600">
              <w:rPr>
                <w:rFonts w:eastAsia="Times New Roman" w:cs="Times New Roman"/>
                <w:b/>
                <w:bCs/>
                <w:sz w:val="18"/>
                <w:szCs w:val="18"/>
                <w:lang w:eastAsia="sk-SK"/>
              </w:rPr>
              <w:t>-5,</w:t>
            </w:r>
            <w:r>
              <w:rPr>
                <w:rFonts w:eastAsia="Times New Roman" w:cs="Times New Roman"/>
                <w:b/>
                <w:bCs/>
                <w:sz w:val="18"/>
                <w:szCs w:val="18"/>
                <w:lang w:eastAsia="sk-SK"/>
              </w:rPr>
              <w:t>2</w:t>
            </w:r>
          </w:p>
        </w:tc>
        <w:tc>
          <w:tcPr>
            <w:tcW w:w="568" w:type="pct"/>
            <w:tcBorders>
              <w:top w:val="nil"/>
              <w:left w:val="nil"/>
              <w:bottom w:val="single" w:sz="4" w:space="0" w:color="auto"/>
              <w:right w:val="nil"/>
            </w:tcBorders>
            <w:shd w:val="clear" w:color="auto" w:fill="auto"/>
            <w:noWrap/>
            <w:hideMark/>
          </w:tcPr>
          <w:p w14:paraId="67699F6F" w14:textId="77777777" w:rsidR="009A05C7" w:rsidRPr="00DC5600" w:rsidRDefault="009A05C7" w:rsidP="000240DA">
            <w:pPr>
              <w:spacing w:after="0" w:line="240" w:lineRule="auto"/>
              <w:jc w:val="right"/>
              <w:rPr>
                <w:rFonts w:eastAsia="Times New Roman" w:cs="Times New Roman"/>
                <w:b/>
                <w:bCs/>
                <w:sz w:val="18"/>
                <w:szCs w:val="18"/>
                <w:lang w:eastAsia="sk-SK"/>
              </w:rPr>
            </w:pPr>
            <w:r w:rsidRPr="00DC5600">
              <w:rPr>
                <w:rFonts w:eastAsia="Times New Roman" w:cs="Times New Roman"/>
                <w:b/>
                <w:bCs/>
                <w:sz w:val="18"/>
                <w:szCs w:val="18"/>
                <w:lang w:eastAsia="sk-SK"/>
              </w:rPr>
              <w:t>-6,0</w:t>
            </w:r>
          </w:p>
        </w:tc>
        <w:tc>
          <w:tcPr>
            <w:tcW w:w="587" w:type="pct"/>
            <w:tcBorders>
              <w:top w:val="nil"/>
              <w:left w:val="nil"/>
              <w:bottom w:val="single" w:sz="4" w:space="0" w:color="auto"/>
              <w:right w:val="nil"/>
            </w:tcBorders>
            <w:shd w:val="clear" w:color="auto" w:fill="auto"/>
            <w:noWrap/>
            <w:hideMark/>
          </w:tcPr>
          <w:p w14:paraId="5A165FE8" w14:textId="77777777" w:rsidR="009A05C7" w:rsidRPr="00DC5600" w:rsidRDefault="009A05C7" w:rsidP="000240DA">
            <w:pPr>
              <w:spacing w:after="0" w:line="240" w:lineRule="auto"/>
              <w:jc w:val="right"/>
              <w:rPr>
                <w:rFonts w:eastAsia="Times New Roman" w:cs="Times New Roman"/>
                <w:b/>
                <w:bCs/>
                <w:sz w:val="18"/>
                <w:szCs w:val="18"/>
                <w:lang w:eastAsia="sk-SK"/>
              </w:rPr>
            </w:pPr>
            <w:r w:rsidRPr="00DC5600">
              <w:rPr>
                <w:rFonts w:eastAsia="Times New Roman" w:cs="Times New Roman"/>
                <w:b/>
                <w:bCs/>
                <w:sz w:val="18"/>
                <w:szCs w:val="18"/>
                <w:lang w:eastAsia="sk-SK"/>
              </w:rPr>
              <w:t>-5,3</w:t>
            </w:r>
          </w:p>
        </w:tc>
        <w:tc>
          <w:tcPr>
            <w:tcW w:w="556" w:type="pct"/>
            <w:tcBorders>
              <w:top w:val="nil"/>
              <w:left w:val="nil"/>
              <w:bottom w:val="single" w:sz="4" w:space="0" w:color="auto"/>
              <w:right w:val="nil"/>
            </w:tcBorders>
            <w:shd w:val="clear" w:color="auto" w:fill="auto"/>
            <w:noWrap/>
            <w:hideMark/>
          </w:tcPr>
          <w:p w14:paraId="276A276B" w14:textId="77777777" w:rsidR="009A05C7" w:rsidRPr="00DC5600" w:rsidRDefault="009A05C7" w:rsidP="000240DA">
            <w:pPr>
              <w:spacing w:after="0" w:line="240" w:lineRule="auto"/>
              <w:jc w:val="right"/>
              <w:rPr>
                <w:rFonts w:eastAsia="Times New Roman" w:cs="Times New Roman"/>
                <w:b/>
                <w:bCs/>
                <w:sz w:val="18"/>
                <w:szCs w:val="18"/>
                <w:lang w:eastAsia="sk-SK"/>
              </w:rPr>
            </w:pPr>
            <w:r w:rsidRPr="00DC5600">
              <w:rPr>
                <w:rFonts w:eastAsia="Times New Roman" w:cs="Times New Roman"/>
                <w:b/>
                <w:bCs/>
                <w:sz w:val="18"/>
                <w:szCs w:val="18"/>
                <w:lang w:eastAsia="sk-SK"/>
              </w:rPr>
              <w:t>0,7</w:t>
            </w:r>
          </w:p>
        </w:tc>
      </w:tr>
    </w:tbl>
    <w:p w14:paraId="22D83008" w14:textId="5431DA0E" w:rsidR="009A05C7" w:rsidRDefault="009A05C7" w:rsidP="009A05C7">
      <w:pPr>
        <w:spacing w:after="0" w:line="240" w:lineRule="auto"/>
        <w:rPr>
          <w:rFonts w:eastAsia="Times New Roman" w:cs="Times New Roman"/>
          <w:color w:val="000000"/>
          <w:sz w:val="18"/>
          <w:szCs w:val="18"/>
          <w:lang w:eastAsia="sk-SK"/>
        </w:rPr>
      </w:pPr>
      <w:r w:rsidRPr="00DC5600">
        <w:rPr>
          <w:rFonts w:eastAsia="Times New Roman" w:cs="Times New Roman"/>
          <w:color w:val="000000"/>
          <w:sz w:val="18"/>
          <w:szCs w:val="18"/>
          <w:vertAlign w:val="superscript"/>
          <w:lang w:eastAsia="sk-SK"/>
        </w:rPr>
        <w:t>1</w:t>
      </w:r>
      <w:r w:rsidRPr="00C154E4">
        <w:rPr>
          <w:rFonts w:eastAsia="Times New Roman" w:cs="Times New Roman"/>
          <w:color w:val="000000"/>
          <w:sz w:val="18"/>
          <w:szCs w:val="18"/>
          <w:vertAlign w:val="superscript"/>
          <w:lang w:eastAsia="sk-SK"/>
        </w:rPr>
        <w:t>)</w:t>
      </w:r>
      <w:r w:rsidRPr="00DC5600">
        <w:rPr>
          <w:rFonts w:eastAsia="Times New Roman" w:cs="Times New Roman"/>
          <w:color w:val="000000"/>
          <w:sz w:val="18"/>
          <w:szCs w:val="18"/>
          <w:lang w:eastAsia="sk-SK"/>
        </w:rPr>
        <w:t xml:space="preserve">Vrátane štátnych finančných aktív, samostatných účtov a salda účtu štátneho dlhu </w:t>
      </w:r>
      <w:r>
        <w:rPr>
          <w:rFonts w:eastAsia="Times New Roman" w:cs="Times New Roman"/>
          <w:color w:val="000000"/>
          <w:sz w:val="18"/>
          <w:szCs w:val="18"/>
          <w:lang w:eastAsia="sk-SK"/>
        </w:rPr>
        <w:tab/>
      </w:r>
      <w:r>
        <w:rPr>
          <w:rFonts w:eastAsia="Times New Roman" w:cs="Times New Roman"/>
          <w:color w:val="000000"/>
          <w:sz w:val="18"/>
          <w:szCs w:val="18"/>
          <w:lang w:eastAsia="sk-SK"/>
        </w:rPr>
        <w:tab/>
      </w:r>
      <w:r>
        <w:rPr>
          <w:rFonts w:eastAsia="Times New Roman" w:cs="Times New Roman"/>
          <w:color w:val="000000"/>
          <w:sz w:val="18"/>
          <w:szCs w:val="18"/>
          <w:lang w:eastAsia="sk-SK"/>
        </w:rPr>
        <w:tab/>
      </w:r>
      <w:r>
        <w:rPr>
          <w:rFonts w:eastAsia="Times New Roman" w:cs="Times New Roman"/>
          <w:color w:val="000000"/>
          <w:sz w:val="18"/>
          <w:szCs w:val="18"/>
          <w:lang w:eastAsia="sk-SK"/>
        </w:rPr>
        <w:tab/>
      </w:r>
      <w:r w:rsidRPr="00DC5600">
        <w:rPr>
          <w:rFonts w:eastAsia="Times New Roman" w:cs="Times New Roman"/>
          <w:color w:val="000000"/>
          <w:sz w:val="18"/>
          <w:szCs w:val="18"/>
          <w:lang w:eastAsia="sk-SK"/>
        </w:rPr>
        <w:t>Zdroj: MF SR</w:t>
      </w:r>
    </w:p>
    <w:p w14:paraId="17871E42" w14:textId="77777777" w:rsidR="00850FAC" w:rsidRPr="00DC5600" w:rsidRDefault="00850FAC" w:rsidP="009A05C7">
      <w:pPr>
        <w:spacing w:after="0" w:line="240" w:lineRule="auto"/>
        <w:rPr>
          <w:rFonts w:eastAsia="Times New Roman" w:cs="Times New Roman"/>
          <w:color w:val="000000"/>
          <w:sz w:val="18"/>
          <w:szCs w:val="18"/>
          <w:lang w:eastAsia="sk-SK"/>
        </w:rPr>
      </w:pPr>
    </w:p>
    <w:p w14:paraId="5AB76A3D" w14:textId="49A6CBD4" w:rsidR="009A05C7" w:rsidRPr="00514676" w:rsidRDefault="009A05C7" w:rsidP="00922F60">
      <w:pPr>
        <w:pStyle w:val="Nadpis2"/>
        <w:spacing w:line="240" w:lineRule="auto"/>
        <w:ind w:left="567" w:hanging="567"/>
      </w:pPr>
      <w:bookmarkStart w:id="56" w:name="_Toc6415636"/>
      <w:bookmarkStart w:id="57" w:name="_Toc196314126"/>
      <w:r w:rsidRPr="00514676">
        <w:t>Dlh verejnej správy</w:t>
      </w:r>
      <w:bookmarkEnd w:id="56"/>
      <w:bookmarkEnd w:id="57"/>
    </w:p>
    <w:p w14:paraId="49737D00" w14:textId="642718C4" w:rsidR="009A05C7" w:rsidRDefault="009A05C7" w:rsidP="009A05C7">
      <w:pPr>
        <w:spacing w:line="240" w:lineRule="auto"/>
        <w:rPr>
          <w:sz w:val="24"/>
          <w:szCs w:val="24"/>
        </w:rPr>
      </w:pPr>
      <w:r w:rsidRPr="00514676">
        <w:rPr>
          <w:b/>
          <w:sz w:val="24"/>
          <w:szCs w:val="24"/>
        </w:rPr>
        <w:t xml:space="preserve">Maastrichtský </w:t>
      </w:r>
      <w:r w:rsidRPr="00061E16">
        <w:rPr>
          <w:bCs/>
          <w:sz w:val="24"/>
          <w:szCs w:val="24"/>
        </w:rPr>
        <w:t>(hrubý)</w:t>
      </w:r>
      <w:r w:rsidRPr="00514676">
        <w:rPr>
          <w:b/>
          <w:sz w:val="24"/>
          <w:szCs w:val="24"/>
        </w:rPr>
        <w:t xml:space="preserve"> dlh verejnej správy</w:t>
      </w:r>
      <w:r w:rsidRPr="00514676">
        <w:rPr>
          <w:sz w:val="24"/>
          <w:szCs w:val="24"/>
        </w:rPr>
        <w:t xml:space="preserve"> dosiahol k 31.12.2024 hodnotu 77 648 309 tis. eur, čo predstavuje </w:t>
      </w:r>
      <w:r w:rsidRPr="00514676">
        <w:rPr>
          <w:b/>
          <w:sz w:val="24"/>
          <w:szCs w:val="24"/>
        </w:rPr>
        <w:t>59,3 % HDP.</w:t>
      </w:r>
      <w:r w:rsidRPr="00514676">
        <w:rPr>
          <w:sz w:val="24"/>
          <w:szCs w:val="24"/>
        </w:rPr>
        <w:t xml:space="preserve"> </w:t>
      </w:r>
      <w:r w:rsidRPr="0019007C">
        <w:rPr>
          <w:b/>
          <w:sz w:val="24"/>
          <w:szCs w:val="24"/>
        </w:rPr>
        <w:t>V pomere k HDP d</w:t>
      </w:r>
      <w:r>
        <w:rPr>
          <w:b/>
          <w:sz w:val="24"/>
          <w:szCs w:val="24"/>
        </w:rPr>
        <w:t>lh medziročne vzrást</w:t>
      </w:r>
      <w:r w:rsidR="003B266A">
        <w:rPr>
          <w:b/>
          <w:sz w:val="24"/>
          <w:szCs w:val="24"/>
        </w:rPr>
        <w:t>ol o 3,</w:t>
      </w:r>
      <w:r w:rsidR="0090081E">
        <w:rPr>
          <w:b/>
          <w:sz w:val="24"/>
          <w:szCs w:val="24"/>
        </w:rPr>
        <w:t>7</w:t>
      </w:r>
      <w:r>
        <w:rPr>
          <w:b/>
          <w:sz w:val="24"/>
          <w:szCs w:val="24"/>
        </w:rPr>
        <w:t> p. </w:t>
      </w:r>
      <w:r w:rsidRPr="0019007C">
        <w:rPr>
          <w:b/>
          <w:sz w:val="24"/>
          <w:szCs w:val="24"/>
        </w:rPr>
        <w:t>b.</w:t>
      </w:r>
      <w:r w:rsidRPr="0019007C">
        <w:rPr>
          <w:sz w:val="24"/>
          <w:szCs w:val="24"/>
        </w:rPr>
        <w:t xml:space="preserve"> Východiská rozpočtu predpokl</w:t>
      </w:r>
      <w:r w:rsidR="00D259E2">
        <w:rPr>
          <w:sz w:val="24"/>
          <w:szCs w:val="24"/>
        </w:rPr>
        <w:t>adali dlh na konci roka 2024 na </w:t>
      </w:r>
      <w:r w:rsidRPr="0019007C">
        <w:rPr>
          <w:sz w:val="24"/>
          <w:szCs w:val="24"/>
        </w:rPr>
        <w:t xml:space="preserve">úrovni 58,3 % HDP, </w:t>
      </w:r>
      <w:r w:rsidRPr="00F87E7C">
        <w:rPr>
          <w:sz w:val="24"/>
          <w:szCs w:val="24"/>
        </w:rPr>
        <w:t>čo v absolútnom vyjadrení malo predstavovať 76 585 922 tis. eur. Skutočne dosiahnutý dlh je v pomere k HDP oproti rozpočtu vyšší o 1,0 p. b., v absolútnej hodnote je oproti rozpo</w:t>
      </w:r>
      <w:r w:rsidR="003B266A">
        <w:rPr>
          <w:sz w:val="24"/>
          <w:szCs w:val="24"/>
        </w:rPr>
        <w:t>čtu vyšší o 1 062 387 tis. eur.</w:t>
      </w:r>
    </w:p>
    <w:p w14:paraId="6E8F56D8" w14:textId="5E9EDB28" w:rsidR="009A05C7" w:rsidRDefault="009A05C7" w:rsidP="009A05C7">
      <w:pPr>
        <w:spacing w:line="240" w:lineRule="auto"/>
        <w:rPr>
          <w:sz w:val="24"/>
          <w:szCs w:val="24"/>
        </w:rPr>
      </w:pPr>
      <w:r w:rsidRPr="008665B0">
        <w:rPr>
          <w:b/>
          <w:sz w:val="24"/>
          <w:szCs w:val="24"/>
        </w:rPr>
        <w:t>V roku 2024 hrubý dlh oproti pre</w:t>
      </w:r>
      <w:r>
        <w:rPr>
          <w:b/>
          <w:sz w:val="24"/>
          <w:szCs w:val="24"/>
        </w:rPr>
        <w:t>dpokladom rozpočtu vzrástol o 1 </w:t>
      </w:r>
      <w:r w:rsidRPr="008665B0">
        <w:rPr>
          <w:b/>
          <w:sz w:val="24"/>
          <w:szCs w:val="24"/>
        </w:rPr>
        <w:t>p.</w:t>
      </w:r>
      <w:r>
        <w:rPr>
          <w:b/>
          <w:sz w:val="24"/>
          <w:szCs w:val="24"/>
        </w:rPr>
        <w:t> </w:t>
      </w:r>
      <w:r w:rsidRPr="008665B0">
        <w:rPr>
          <w:b/>
          <w:sz w:val="24"/>
          <w:szCs w:val="24"/>
        </w:rPr>
        <w:t>b.</w:t>
      </w:r>
      <w:r>
        <w:rPr>
          <w:b/>
          <w:sz w:val="24"/>
          <w:szCs w:val="24"/>
        </w:rPr>
        <w:t xml:space="preserve"> na 59,3 </w:t>
      </w:r>
      <w:r w:rsidRPr="008665B0">
        <w:rPr>
          <w:b/>
          <w:sz w:val="24"/>
          <w:szCs w:val="24"/>
        </w:rPr>
        <w:t>% HDP, za</w:t>
      </w:r>
      <w:r>
        <w:rPr>
          <w:b/>
          <w:sz w:val="24"/>
          <w:szCs w:val="24"/>
        </w:rPr>
        <w:t> </w:t>
      </w:r>
      <w:r w:rsidRPr="008665B0">
        <w:rPr>
          <w:b/>
          <w:sz w:val="24"/>
          <w:szCs w:val="24"/>
        </w:rPr>
        <w:t xml:space="preserve">čím stojí predovšetkým nárast emisií dlhopisov nad rámec potrieb krytia hotovostného schodku. </w:t>
      </w:r>
      <w:r w:rsidRPr="008665B0">
        <w:rPr>
          <w:sz w:val="24"/>
          <w:szCs w:val="24"/>
        </w:rPr>
        <w:t>Napriek tomu, že hotovostný deficit štátneho rozpočtu bol ku</w:t>
      </w:r>
      <w:r w:rsidR="00D259E2">
        <w:rPr>
          <w:sz w:val="24"/>
          <w:szCs w:val="24"/>
        </w:rPr>
        <w:t> </w:t>
      </w:r>
      <w:r w:rsidRPr="008665B0">
        <w:rPr>
          <w:sz w:val="24"/>
          <w:szCs w:val="24"/>
        </w:rPr>
        <w:t>koncu roka oproti</w:t>
      </w:r>
      <w:r>
        <w:rPr>
          <w:sz w:val="24"/>
          <w:szCs w:val="24"/>
        </w:rPr>
        <w:t> </w:t>
      </w:r>
      <w:r w:rsidRPr="008665B0">
        <w:rPr>
          <w:sz w:val="24"/>
          <w:szCs w:val="24"/>
        </w:rPr>
        <w:t xml:space="preserve">rozpočtu nižší o vyše </w:t>
      </w:r>
      <w:r>
        <w:rPr>
          <w:sz w:val="24"/>
          <w:szCs w:val="24"/>
        </w:rPr>
        <w:t>1 </w:t>
      </w:r>
      <w:r w:rsidRPr="008665B0">
        <w:rPr>
          <w:sz w:val="24"/>
          <w:szCs w:val="24"/>
        </w:rPr>
        <w:t>% HDP, do dlhu sa tento pozitívny vývoj nepremietol. Dôvodom je, že v priebehu roka sa už neupravovali objemy predaja dlhopisov priebežne s</w:t>
      </w:r>
      <w:r>
        <w:rPr>
          <w:sz w:val="24"/>
          <w:szCs w:val="24"/>
        </w:rPr>
        <w:t> </w:t>
      </w:r>
      <w:r w:rsidRPr="008665B0">
        <w:rPr>
          <w:sz w:val="24"/>
          <w:szCs w:val="24"/>
        </w:rPr>
        <w:t>nižším očakávaným deficitom.</w:t>
      </w:r>
    </w:p>
    <w:p w14:paraId="1044FAF4" w14:textId="77777777" w:rsidR="00C64CBA" w:rsidRDefault="009A05C7" w:rsidP="00F42A66">
      <w:pPr>
        <w:keepNext/>
        <w:spacing w:before="120" w:line="240" w:lineRule="auto"/>
        <w:rPr>
          <w:sz w:val="24"/>
          <w:szCs w:val="24"/>
        </w:rPr>
      </w:pPr>
      <w:r w:rsidRPr="008665B0">
        <w:rPr>
          <w:sz w:val="24"/>
          <w:szCs w:val="24"/>
        </w:rPr>
        <w:t xml:space="preserve">Naopak, oproti plánom v rozpočte sa predaj dlhopisov v priebehu roka ešte zvýšil. Pôvodne plánované väčšie využitie zdrojov Štátnej pokladnice sa tak neuskutočnilo </w:t>
      </w:r>
      <w:r>
        <w:rPr>
          <w:sz w:val="24"/>
          <w:szCs w:val="24"/>
        </w:rPr>
        <w:t>a</w:t>
      </w:r>
      <w:r w:rsidR="00D259E2">
        <w:rPr>
          <w:sz w:val="24"/>
          <w:szCs w:val="24"/>
        </w:rPr>
        <w:t> </w:t>
      </w:r>
      <w:r w:rsidRPr="008665B0">
        <w:rPr>
          <w:sz w:val="24"/>
          <w:szCs w:val="24"/>
        </w:rPr>
        <w:t>hotovostná rezerva oproti očakávaniam rozpočtu vzrástla. To sa prejavilo v náraste celkových likvidných finančných aktív, ale aj vo vyššom hrubom dlhu. Spomedzi ostatných vplyvov negatívne na</w:t>
      </w:r>
      <w:r w:rsidR="00D259E2">
        <w:rPr>
          <w:sz w:val="24"/>
          <w:szCs w:val="24"/>
        </w:rPr>
        <w:t> </w:t>
      </w:r>
      <w:r w:rsidRPr="008665B0">
        <w:rPr>
          <w:sz w:val="24"/>
          <w:szCs w:val="24"/>
        </w:rPr>
        <w:t xml:space="preserve">dlh pôsobili tiež transakcie ako spätné pripočítanie odložených úrokov v rámci Európskeho nástroja finančnej stability, imputovanie záväzku za nesplatený úver Kuby, či vyšší ako očakávaný emisný diskont pri predaji dlhopisov. </w:t>
      </w:r>
    </w:p>
    <w:p w14:paraId="03761DD6" w14:textId="77777777" w:rsidR="00C64CBA" w:rsidRDefault="00C64CBA">
      <w:pPr>
        <w:spacing w:after="160" w:line="259" w:lineRule="auto"/>
        <w:jc w:val="left"/>
        <w:rPr>
          <w:sz w:val="24"/>
          <w:szCs w:val="24"/>
        </w:rPr>
      </w:pPr>
      <w:r>
        <w:rPr>
          <w:sz w:val="24"/>
          <w:szCs w:val="24"/>
        </w:rPr>
        <w:br w:type="page"/>
      </w:r>
    </w:p>
    <w:p w14:paraId="0C038140" w14:textId="415C0D46" w:rsidR="009A05C7" w:rsidRDefault="009A05C7" w:rsidP="00F42A66">
      <w:pPr>
        <w:keepNext/>
        <w:spacing w:before="120" w:line="240" w:lineRule="auto"/>
        <w:rPr>
          <w:sz w:val="24"/>
          <w:szCs w:val="24"/>
        </w:rPr>
      </w:pPr>
      <w:r w:rsidRPr="008665B0">
        <w:rPr>
          <w:sz w:val="24"/>
          <w:szCs w:val="24"/>
        </w:rPr>
        <w:lastRenderedPageBreak/>
        <w:t>Na zvýšení dlhu sa negatívne prejavil aj</w:t>
      </w:r>
      <w:r w:rsidR="00C154E4">
        <w:rPr>
          <w:sz w:val="24"/>
          <w:szCs w:val="24"/>
        </w:rPr>
        <w:t xml:space="preserve"> </w:t>
      </w:r>
      <w:r w:rsidRPr="008665B0">
        <w:rPr>
          <w:sz w:val="24"/>
          <w:szCs w:val="24"/>
        </w:rPr>
        <w:t>mierne nižší nominálny HDP než očakával rozpočet, ktorý na dlh pôsobil cez</w:t>
      </w:r>
      <w:r w:rsidR="00D259E2">
        <w:rPr>
          <w:sz w:val="24"/>
          <w:szCs w:val="24"/>
        </w:rPr>
        <w:t> </w:t>
      </w:r>
      <w:r w:rsidRPr="008665B0">
        <w:rPr>
          <w:sz w:val="24"/>
          <w:szCs w:val="24"/>
        </w:rPr>
        <w:t>efekt menovateľa</w:t>
      </w:r>
      <w:r w:rsidR="00F42A66">
        <w:rPr>
          <w:rStyle w:val="Odkaznapoznmkupodiarou"/>
          <w:sz w:val="24"/>
          <w:szCs w:val="24"/>
        </w:rPr>
        <w:footnoteReference w:id="21"/>
      </w:r>
      <w:r w:rsidRPr="008665B0">
        <w:rPr>
          <w:sz w:val="24"/>
          <w:szCs w:val="24"/>
        </w:rPr>
        <w:t>.</w:t>
      </w:r>
      <w:r w:rsidR="001F4382">
        <w:rPr>
          <w:sz w:val="24"/>
          <w:szCs w:val="24"/>
        </w:rPr>
        <w:t xml:space="preserve"> </w:t>
      </w:r>
    </w:p>
    <w:p w14:paraId="72DFAA32" w14:textId="3AEC6ECD" w:rsidR="00F6250D" w:rsidRPr="00FE3B2B" w:rsidRDefault="00F6250D" w:rsidP="00F6250D">
      <w:pPr>
        <w:pStyle w:val="Popis"/>
        <w:keepNext/>
        <w:spacing w:after="120"/>
        <w:jc w:val="left"/>
        <w:rPr>
          <w:rFonts w:eastAsia="Arial Narrow" w:cs="Times New Roman"/>
          <w:b/>
          <w:bCs/>
          <w:i w:val="0"/>
          <w:iCs w:val="0"/>
          <w:noProof/>
          <w:color w:val="5B9BD5" w:themeColor="accent1"/>
          <w:sz w:val="20"/>
          <w:szCs w:val="36"/>
          <w:u w:color="2C9ADC"/>
          <w:lang w:eastAsia="sk-SK"/>
        </w:rPr>
      </w:pPr>
      <w:bookmarkStart w:id="58" w:name="_Toc196389298"/>
      <w:r w:rsidRPr="00FE3B2B">
        <w:rPr>
          <w:rFonts w:eastAsia="Arial Narrow" w:cs="Times New Roman"/>
          <w:b/>
          <w:bCs/>
          <w:i w:val="0"/>
          <w:iCs w:val="0"/>
          <w:noProof/>
          <w:color w:val="5B9BD5" w:themeColor="accent1"/>
          <w:sz w:val="20"/>
          <w:szCs w:val="36"/>
          <w:u w:color="2C9ADC"/>
          <w:lang w:eastAsia="sk-SK"/>
        </w:rPr>
        <w:t xml:space="preserve">Graf </w:t>
      </w:r>
      <w:r w:rsidRPr="00FE3B2B">
        <w:rPr>
          <w:rFonts w:eastAsia="Arial Narrow" w:cs="Times New Roman"/>
          <w:b/>
          <w:bCs/>
          <w:i w:val="0"/>
          <w:iCs w:val="0"/>
          <w:noProof/>
          <w:color w:val="5B9BD5" w:themeColor="accent1"/>
          <w:sz w:val="20"/>
          <w:szCs w:val="36"/>
          <w:u w:color="2C9ADC"/>
          <w:lang w:eastAsia="sk-SK"/>
        </w:rPr>
        <w:fldChar w:fldCharType="begin"/>
      </w:r>
      <w:r w:rsidRPr="00FE3B2B">
        <w:rPr>
          <w:rFonts w:eastAsia="Arial Narrow" w:cs="Times New Roman"/>
          <w:b/>
          <w:bCs/>
          <w:i w:val="0"/>
          <w:iCs w:val="0"/>
          <w:noProof/>
          <w:color w:val="5B9BD5" w:themeColor="accent1"/>
          <w:sz w:val="20"/>
          <w:szCs w:val="36"/>
          <w:u w:color="2C9ADC"/>
          <w:lang w:eastAsia="sk-SK"/>
        </w:rPr>
        <w:instrText xml:space="preserve"> SEQ Graf \* ARABIC </w:instrText>
      </w:r>
      <w:r w:rsidRPr="00FE3B2B">
        <w:rPr>
          <w:rFonts w:eastAsia="Arial Narrow" w:cs="Times New Roman"/>
          <w:b/>
          <w:bCs/>
          <w:i w:val="0"/>
          <w:iCs w:val="0"/>
          <w:noProof/>
          <w:color w:val="5B9BD5" w:themeColor="accent1"/>
          <w:sz w:val="20"/>
          <w:szCs w:val="36"/>
          <w:u w:color="2C9ADC"/>
          <w:lang w:eastAsia="sk-SK"/>
        </w:rPr>
        <w:fldChar w:fldCharType="separate"/>
      </w:r>
      <w:r w:rsidR="00C64CBA">
        <w:rPr>
          <w:rFonts w:eastAsia="Arial Narrow" w:cs="Times New Roman"/>
          <w:b/>
          <w:bCs/>
          <w:i w:val="0"/>
          <w:iCs w:val="0"/>
          <w:noProof/>
          <w:color w:val="5B9BD5" w:themeColor="accent1"/>
          <w:sz w:val="20"/>
          <w:szCs w:val="36"/>
          <w:u w:color="2C9ADC"/>
          <w:lang w:eastAsia="sk-SK"/>
        </w:rPr>
        <w:t>6</w:t>
      </w:r>
      <w:r w:rsidRPr="00FE3B2B">
        <w:rPr>
          <w:rFonts w:eastAsia="Arial Narrow" w:cs="Times New Roman"/>
          <w:b/>
          <w:bCs/>
          <w:i w:val="0"/>
          <w:iCs w:val="0"/>
          <w:noProof/>
          <w:color w:val="5B9BD5" w:themeColor="accent1"/>
          <w:sz w:val="20"/>
          <w:szCs w:val="36"/>
          <w:u w:color="2C9ADC"/>
          <w:lang w:eastAsia="sk-SK"/>
        </w:rPr>
        <w:fldChar w:fldCharType="end"/>
      </w:r>
      <w:r w:rsidRPr="00FE3B2B">
        <w:rPr>
          <w:rFonts w:eastAsia="Arial Narrow" w:cs="Times New Roman"/>
          <w:b/>
          <w:bCs/>
          <w:i w:val="0"/>
          <w:iCs w:val="0"/>
          <w:noProof/>
          <w:color w:val="5B9BD5" w:themeColor="accent1"/>
          <w:sz w:val="20"/>
          <w:szCs w:val="36"/>
          <w:u w:color="2C9ADC"/>
          <w:lang w:eastAsia="sk-SK"/>
        </w:rPr>
        <w:t xml:space="preserve"> - Rozdiely vysvetľujúce skutočnú a rozpočtovanú úroveň hrubého dlhu VS (% HDP)</w:t>
      </w:r>
      <w:bookmarkEnd w:id="58"/>
    </w:p>
    <w:p w14:paraId="09913954" w14:textId="77777777" w:rsidR="00F6250D" w:rsidRDefault="00F6250D" w:rsidP="00F6250D">
      <w:pPr>
        <w:pBdr>
          <w:top w:val="single" w:sz="4" w:space="1" w:color="auto"/>
          <w:bottom w:val="single" w:sz="4" w:space="1" w:color="auto"/>
        </w:pBdr>
        <w:spacing w:after="0" w:line="240" w:lineRule="auto"/>
        <w:rPr>
          <w:sz w:val="24"/>
          <w:szCs w:val="24"/>
        </w:rPr>
      </w:pPr>
      <w:r w:rsidRPr="003A4363">
        <w:rPr>
          <w:rFonts w:cs="Times New Roman"/>
          <w:noProof/>
          <w:lang w:eastAsia="sk-SK"/>
          <w14:ligatures w14:val="standardContextual"/>
        </w:rPr>
        <w:drawing>
          <wp:inline distT="0" distB="0" distL="0" distR="0" wp14:anchorId="73AF7AD3" wp14:editId="2E07E445">
            <wp:extent cx="5702300" cy="2368550"/>
            <wp:effectExtent l="0" t="0" r="0" b="0"/>
            <wp:docPr id="6" name="Graf 1">
              <a:extLst xmlns:a="http://schemas.openxmlformats.org/drawingml/2006/main">
                <a:ext uri="{FF2B5EF4-FFF2-40B4-BE49-F238E27FC236}">
                  <a16:creationId xmlns:a16="http://schemas.microsoft.com/office/drawing/2014/main" id="{00000000-0008-0000-08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350F40E" w14:textId="6BEEA939" w:rsidR="00F42A66" w:rsidRDefault="00F6250D" w:rsidP="00F6250D">
      <w:pPr>
        <w:spacing w:line="240" w:lineRule="auto"/>
        <w:rPr>
          <w:sz w:val="18"/>
          <w:szCs w:val="18"/>
        </w:rPr>
      </w:pPr>
      <w:r w:rsidRPr="00FE3B2B">
        <w:rPr>
          <w:sz w:val="18"/>
          <w:szCs w:val="18"/>
        </w:rPr>
        <w:t xml:space="preserve">Pozn.: Zmeny v dlhu zachytávajú kumulatívne vplyvy za roky 2023 a 2024. </w:t>
      </w:r>
      <w:r w:rsidR="00D259E2">
        <w:rPr>
          <w:sz w:val="18"/>
          <w:szCs w:val="18"/>
        </w:rPr>
        <w:tab/>
      </w:r>
      <w:r w:rsidR="00D259E2">
        <w:rPr>
          <w:sz w:val="18"/>
          <w:szCs w:val="18"/>
        </w:rPr>
        <w:tab/>
      </w:r>
      <w:r w:rsidR="00D259E2">
        <w:rPr>
          <w:sz w:val="18"/>
          <w:szCs w:val="18"/>
        </w:rPr>
        <w:tab/>
      </w:r>
      <w:r w:rsidR="00D259E2">
        <w:rPr>
          <w:sz w:val="18"/>
          <w:szCs w:val="18"/>
        </w:rPr>
        <w:tab/>
      </w:r>
      <w:r w:rsidR="00D259E2">
        <w:rPr>
          <w:sz w:val="18"/>
          <w:szCs w:val="18"/>
        </w:rPr>
        <w:tab/>
        <w:t xml:space="preserve">     </w:t>
      </w:r>
      <w:r w:rsidRPr="00FE3B2B">
        <w:rPr>
          <w:sz w:val="18"/>
          <w:szCs w:val="18"/>
        </w:rPr>
        <w:t>Zdroj: MF SR</w:t>
      </w:r>
    </w:p>
    <w:p w14:paraId="6F03C2B3" w14:textId="77777777" w:rsidR="00850FAC" w:rsidRDefault="00850FAC" w:rsidP="00BA3DAB">
      <w:pPr>
        <w:pStyle w:val="Popis"/>
        <w:keepNext/>
        <w:spacing w:after="120"/>
        <w:rPr>
          <w:rFonts w:cs="Times New Roman"/>
          <w:b/>
          <w:i w:val="0"/>
          <w:color w:val="5B9BD5" w:themeColor="accent1"/>
          <w:sz w:val="20"/>
          <w:szCs w:val="20"/>
        </w:rPr>
      </w:pPr>
      <w:bookmarkStart w:id="59" w:name="_Toc196313639"/>
      <w:bookmarkStart w:id="60" w:name="_Toc196389260"/>
    </w:p>
    <w:p w14:paraId="7ADDF0F1" w14:textId="25176BA7" w:rsidR="00BA3DAB" w:rsidRPr="00E575C6" w:rsidRDefault="00BA3DAB" w:rsidP="00BA3DAB">
      <w:pPr>
        <w:pStyle w:val="Popis"/>
        <w:keepNext/>
        <w:spacing w:after="120"/>
        <w:rPr>
          <w:i w:val="0"/>
        </w:rPr>
      </w:pPr>
      <w:r w:rsidRPr="00BA3DAB">
        <w:rPr>
          <w:rFonts w:cs="Times New Roman"/>
          <w:b/>
          <w:i w:val="0"/>
          <w:color w:val="5B9BD5" w:themeColor="accent1"/>
          <w:sz w:val="20"/>
          <w:szCs w:val="20"/>
        </w:rPr>
        <w:t xml:space="preserve">Tabuľka </w:t>
      </w:r>
      <w:r w:rsidR="003B7AF0">
        <w:rPr>
          <w:rFonts w:cs="Times New Roman"/>
          <w:b/>
          <w:i w:val="0"/>
          <w:color w:val="5B9BD5" w:themeColor="accent1"/>
          <w:sz w:val="20"/>
          <w:szCs w:val="20"/>
        </w:rPr>
        <w:fldChar w:fldCharType="begin"/>
      </w:r>
      <w:r w:rsidR="003B7AF0">
        <w:rPr>
          <w:rFonts w:cs="Times New Roman"/>
          <w:b/>
          <w:i w:val="0"/>
          <w:color w:val="5B9BD5" w:themeColor="accent1"/>
          <w:sz w:val="20"/>
          <w:szCs w:val="20"/>
        </w:rPr>
        <w:instrText xml:space="preserve"> SEQ Tabuľka \* ARABIC </w:instrText>
      </w:r>
      <w:r w:rsidR="003B7AF0">
        <w:rPr>
          <w:rFonts w:cs="Times New Roman"/>
          <w:b/>
          <w:i w:val="0"/>
          <w:color w:val="5B9BD5" w:themeColor="accent1"/>
          <w:sz w:val="20"/>
          <w:szCs w:val="20"/>
        </w:rPr>
        <w:fldChar w:fldCharType="separate"/>
      </w:r>
      <w:r w:rsidR="00C64CBA">
        <w:rPr>
          <w:rFonts w:cs="Times New Roman"/>
          <w:b/>
          <w:i w:val="0"/>
          <w:noProof/>
          <w:color w:val="5B9BD5" w:themeColor="accent1"/>
          <w:sz w:val="20"/>
          <w:szCs w:val="20"/>
        </w:rPr>
        <w:t>13</w:t>
      </w:r>
      <w:r w:rsidR="003B7AF0">
        <w:rPr>
          <w:rFonts w:cs="Times New Roman"/>
          <w:b/>
          <w:i w:val="0"/>
          <w:color w:val="5B9BD5" w:themeColor="accent1"/>
          <w:sz w:val="20"/>
          <w:szCs w:val="20"/>
        </w:rPr>
        <w:fldChar w:fldCharType="end"/>
      </w:r>
      <w:r w:rsidRPr="00BA3DAB">
        <w:rPr>
          <w:rFonts w:cs="Times New Roman"/>
          <w:b/>
          <w:i w:val="0"/>
          <w:color w:val="5B9BD5" w:themeColor="accent1"/>
          <w:sz w:val="20"/>
          <w:szCs w:val="20"/>
        </w:rPr>
        <w:t xml:space="preserve"> - Štruktúra hrubého dlhu verejnej správy (% v HDP</w:t>
      </w:r>
      <w:r w:rsidRPr="00EF7BDB">
        <w:t>)</w:t>
      </w:r>
      <w:bookmarkEnd w:id="59"/>
      <w:bookmarkEnd w:id="60"/>
    </w:p>
    <w:tbl>
      <w:tblPr>
        <w:tblW w:w="5000" w:type="pct"/>
        <w:tblCellMar>
          <w:left w:w="70" w:type="dxa"/>
          <w:right w:w="70" w:type="dxa"/>
        </w:tblCellMar>
        <w:tblLook w:val="04A0" w:firstRow="1" w:lastRow="0" w:firstColumn="1" w:lastColumn="0" w:noHBand="0" w:noVBand="1"/>
      </w:tblPr>
      <w:tblGrid>
        <w:gridCol w:w="5972"/>
        <w:gridCol w:w="986"/>
        <w:gridCol w:w="986"/>
        <w:gridCol w:w="986"/>
      </w:tblGrid>
      <w:tr w:rsidR="009A05C7" w:rsidRPr="00F357A0" w14:paraId="1C69E2EB" w14:textId="77777777" w:rsidTr="00D259E2">
        <w:trPr>
          <w:trHeight w:val="255"/>
          <w:tblHeader/>
        </w:trPr>
        <w:tc>
          <w:tcPr>
            <w:tcW w:w="3344" w:type="pct"/>
            <w:tcBorders>
              <w:top w:val="single" w:sz="4" w:space="0" w:color="auto"/>
              <w:left w:val="nil"/>
              <w:bottom w:val="single" w:sz="4" w:space="0" w:color="auto"/>
              <w:right w:val="nil"/>
            </w:tcBorders>
            <w:shd w:val="clear" w:color="auto" w:fill="auto"/>
            <w:noWrap/>
            <w:vAlign w:val="bottom"/>
            <w:hideMark/>
          </w:tcPr>
          <w:p w14:paraId="10B6D4AA" w14:textId="77777777" w:rsidR="009A05C7" w:rsidRPr="00F357A0" w:rsidRDefault="009A05C7" w:rsidP="000240DA">
            <w:pPr>
              <w:spacing w:after="0" w:line="240" w:lineRule="auto"/>
              <w:jc w:val="left"/>
              <w:rPr>
                <w:rFonts w:eastAsia="Times New Roman" w:cs="Times New Roman"/>
                <w:b/>
                <w:bCs/>
                <w:color w:val="000000"/>
                <w:sz w:val="18"/>
                <w:szCs w:val="18"/>
                <w:lang w:eastAsia="sk-SK"/>
              </w:rPr>
            </w:pPr>
            <w:r w:rsidRPr="00F357A0">
              <w:rPr>
                <w:rFonts w:eastAsia="Times New Roman" w:cs="Times New Roman"/>
                <w:b/>
                <w:bCs/>
                <w:color w:val="000000"/>
                <w:sz w:val="18"/>
                <w:szCs w:val="18"/>
                <w:lang w:eastAsia="sk-SK"/>
              </w:rPr>
              <w:t>v % HDP</w:t>
            </w:r>
          </w:p>
        </w:tc>
        <w:tc>
          <w:tcPr>
            <w:tcW w:w="552" w:type="pct"/>
            <w:tcBorders>
              <w:top w:val="single" w:sz="4" w:space="0" w:color="auto"/>
              <w:left w:val="nil"/>
              <w:bottom w:val="single" w:sz="4" w:space="0" w:color="auto"/>
              <w:right w:val="nil"/>
            </w:tcBorders>
            <w:shd w:val="clear" w:color="auto" w:fill="auto"/>
            <w:noWrap/>
            <w:vAlign w:val="bottom"/>
            <w:hideMark/>
          </w:tcPr>
          <w:p w14:paraId="5109435E" w14:textId="77777777" w:rsidR="009A05C7" w:rsidRPr="00F357A0" w:rsidRDefault="009A05C7" w:rsidP="000240DA">
            <w:pPr>
              <w:spacing w:after="0" w:line="240" w:lineRule="auto"/>
              <w:jc w:val="right"/>
              <w:rPr>
                <w:rFonts w:eastAsia="Times New Roman" w:cs="Times New Roman"/>
                <w:b/>
                <w:bCs/>
                <w:color w:val="000000"/>
                <w:sz w:val="18"/>
                <w:szCs w:val="18"/>
                <w:lang w:eastAsia="sk-SK"/>
              </w:rPr>
            </w:pPr>
            <w:r w:rsidRPr="00F357A0">
              <w:rPr>
                <w:b/>
                <w:bCs/>
                <w:color w:val="000000"/>
                <w:sz w:val="18"/>
                <w:szCs w:val="18"/>
              </w:rPr>
              <w:t>2022 S</w:t>
            </w:r>
          </w:p>
        </w:tc>
        <w:tc>
          <w:tcPr>
            <w:tcW w:w="552" w:type="pct"/>
            <w:tcBorders>
              <w:top w:val="single" w:sz="4" w:space="0" w:color="auto"/>
              <w:left w:val="nil"/>
              <w:bottom w:val="single" w:sz="4" w:space="0" w:color="auto"/>
              <w:right w:val="nil"/>
            </w:tcBorders>
            <w:shd w:val="clear" w:color="auto" w:fill="auto"/>
            <w:noWrap/>
            <w:vAlign w:val="bottom"/>
            <w:hideMark/>
          </w:tcPr>
          <w:p w14:paraId="6B6A3D2B" w14:textId="77777777" w:rsidR="009A05C7" w:rsidRPr="00F357A0" w:rsidRDefault="009A05C7" w:rsidP="000240DA">
            <w:pPr>
              <w:spacing w:after="0" w:line="240" w:lineRule="auto"/>
              <w:jc w:val="right"/>
              <w:rPr>
                <w:rFonts w:eastAsia="Times New Roman" w:cs="Times New Roman"/>
                <w:b/>
                <w:bCs/>
                <w:color w:val="000000"/>
                <w:sz w:val="18"/>
                <w:szCs w:val="18"/>
                <w:lang w:eastAsia="sk-SK"/>
              </w:rPr>
            </w:pPr>
            <w:r w:rsidRPr="00F357A0">
              <w:rPr>
                <w:b/>
                <w:bCs/>
                <w:color w:val="000000"/>
                <w:sz w:val="18"/>
                <w:szCs w:val="18"/>
              </w:rPr>
              <w:t>2023 S</w:t>
            </w:r>
          </w:p>
        </w:tc>
        <w:tc>
          <w:tcPr>
            <w:tcW w:w="552" w:type="pct"/>
            <w:tcBorders>
              <w:top w:val="single" w:sz="4" w:space="0" w:color="auto"/>
              <w:left w:val="nil"/>
              <w:bottom w:val="single" w:sz="4" w:space="0" w:color="auto"/>
              <w:right w:val="nil"/>
            </w:tcBorders>
            <w:shd w:val="clear" w:color="auto" w:fill="auto"/>
            <w:noWrap/>
            <w:vAlign w:val="bottom"/>
            <w:hideMark/>
          </w:tcPr>
          <w:p w14:paraId="65B99A86" w14:textId="77777777" w:rsidR="009A05C7" w:rsidRPr="00F357A0" w:rsidRDefault="009A05C7" w:rsidP="000240DA">
            <w:pPr>
              <w:spacing w:after="0" w:line="240" w:lineRule="auto"/>
              <w:jc w:val="right"/>
              <w:rPr>
                <w:rFonts w:eastAsia="Times New Roman" w:cs="Times New Roman"/>
                <w:b/>
                <w:bCs/>
                <w:color w:val="000000"/>
                <w:sz w:val="18"/>
                <w:szCs w:val="18"/>
                <w:lang w:eastAsia="sk-SK"/>
              </w:rPr>
            </w:pPr>
            <w:r w:rsidRPr="00F357A0">
              <w:rPr>
                <w:b/>
                <w:bCs/>
                <w:color w:val="000000"/>
                <w:sz w:val="18"/>
                <w:szCs w:val="18"/>
              </w:rPr>
              <w:t>2024 S</w:t>
            </w:r>
          </w:p>
        </w:tc>
      </w:tr>
      <w:tr w:rsidR="009A05C7" w:rsidRPr="00F357A0" w14:paraId="5870D923" w14:textId="77777777" w:rsidTr="000240DA">
        <w:trPr>
          <w:trHeight w:val="255"/>
        </w:trPr>
        <w:tc>
          <w:tcPr>
            <w:tcW w:w="3344" w:type="pct"/>
            <w:tcBorders>
              <w:top w:val="nil"/>
              <w:left w:val="nil"/>
              <w:bottom w:val="nil"/>
              <w:right w:val="nil"/>
            </w:tcBorders>
            <w:shd w:val="clear" w:color="auto" w:fill="auto"/>
            <w:noWrap/>
            <w:vAlign w:val="bottom"/>
            <w:hideMark/>
          </w:tcPr>
          <w:p w14:paraId="25331BDA" w14:textId="77777777" w:rsidR="009A05C7" w:rsidRPr="00F357A0" w:rsidRDefault="009A05C7" w:rsidP="000240DA">
            <w:pPr>
              <w:spacing w:after="0" w:line="240" w:lineRule="auto"/>
              <w:jc w:val="left"/>
              <w:rPr>
                <w:rFonts w:eastAsia="Times New Roman" w:cs="Times New Roman"/>
                <w:b/>
                <w:bCs/>
                <w:color w:val="000000"/>
                <w:sz w:val="18"/>
                <w:szCs w:val="18"/>
                <w:lang w:eastAsia="sk-SK"/>
              </w:rPr>
            </w:pPr>
            <w:r w:rsidRPr="00F357A0">
              <w:rPr>
                <w:rFonts w:eastAsia="Times New Roman" w:cs="Times New Roman"/>
                <w:b/>
                <w:bCs/>
                <w:color w:val="000000"/>
                <w:sz w:val="18"/>
                <w:szCs w:val="18"/>
                <w:lang w:eastAsia="sk-SK"/>
              </w:rPr>
              <w:t>Hrubý dlh verejnej správy</w:t>
            </w:r>
          </w:p>
        </w:tc>
        <w:tc>
          <w:tcPr>
            <w:tcW w:w="552" w:type="pct"/>
            <w:tcBorders>
              <w:top w:val="nil"/>
              <w:left w:val="nil"/>
              <w:bottom w:val="nil"/>
              <w:right w:val="nil"/>
            </w:tcBorders>
            <w:shd w:val="clear" w:color="auto" w:fill="auto"/>
            <w:noWrap/>
            <w:vAlign w:val="bottom"/>
            <w:hideMark/>
          </w:tcPr>
          <w:p w14:paraId="34C042CD" w14:textId="77777777" w:rsidR="009A05C7" w:rsidRPr="00F357A0" w:rsidRDefault="009A05C7" w:rsidP="000240DA">
            <w:pPr>
              <w:spacing w:after="0" w:line="240" w:lineRule="auto"/>
              <w:jc w:val="right"/>
              <w:rPr>
                <w:rFonts w:eastAsia="Times New Roman" w:cs="Times New Roman"/>
                <w:color w:val="000000"/>
                <w:sz w:val="18"/>
                <w:szCs w:val="18"/>
                <w:lang w:eastAsia="sk-SK"/>
              </w:rPr>
            </w:pPr>
            <w:r w:rsidRPr="00F357A0">
              <w:rPr>
                <w:color w:val="000000"/>
                <w:sz w:val="18"/>
                <w:szCs w:val="18"/>
              </w:rPr>
              <w:t>57,7</w:t>
            </w:r>
          </w:p>
        </w:tc>
        <w:tc>
          <w:tcPr>
            <w:tcW w:w="552" w:type="pct"/>
            <w:tcBorders>
              <w:top w:val="nil"/>
              <w:left w:val="nil"/>
              <w:bottom w:val="nil"/>
              <w:right w:val="nil"/>
            </w:tcBorders>
            <w:shd w:val="clear" w:color="auto" w:fill="auto"/>
            <w:noWrap/>
            <w:vAlign w:val="bottom"/>
            <w:hideMark/>
          </w:tcPr>
          <w:p w14:paraId="4ECF8CB0" w14:textId="77777777" w:rsidR="009A05C7" w:rsidRPr="00F357A0" w:rsidRDefault="009A05C7" w:rsidP="000240DA">
            <w:pPr>
              <w:spacing w:after="0" w:line="240" w:lineRule="auto"/>
              <w:jc w:val="right"/>
              <w:rPr>
                <w:rFonts w:eastAsia="Times New Roman" w:cs="Times New Roman"/>
                <w:color w:val="000000"/>
                <w:sz w:val="18"/>
                <w:szCs w:val="18"/>
                <w:lang w:eastAsia="sk-SK"/>
              </w:rPr>
            </w:pPr>
            <w:r w:rsidRPr="00F357A0">
              <w:rPr>
                <w:color w:val="000000"/>
                <w:sz w:val="18"/>
                <w:szCs w:val="18"/>
              </w:rPr>
              <w:t>55,6</w:t>
            </w:r>
          </w:p>
        </w:tc>
        <w:tc>
          <w:tcPr>
            <w:tcW w:w="552" w:type="pct"/>
            <w:tcBorders>
              <w:top w:val="nil"/>
              <w:left w:val="nil"/>
              <w:bottom w:val="nil"/>
              <w:right w:val="nil"/>
            </w:tcBorders>
            <w:shd w:val="clear" w:color="auto" w:fill="auto"/>
            <w:noWrap/>
            <w:vAlign w:val="bottom"/>
            <w:hideMark/>
          </w:tcPr>
          <w:p w14:paraId="0B550A17" w14:textId="77777777" w:rsidR="009A05C7" w:rsidRPr="00F357A0" w:rsidRDefault="009A05C7" w:rsidP="000240DA">
            <w:pPr>
              <w:spacing w:after="0" w:line="240" w:lineRule="auto"/>
              <w:jc w:val="right"/>
              <w:rPr>
                <w:rFonts w:eastAsia="Times New Roman" w:cs="Times New Roman"/>
                <w:color w:val="000000"/>
                <w:sz w:val="18"/>
                <w:szCs w:val="18"/>
                <w:lang w:eastAsia="sk-SK"/>
              </w:rPr>
            </w:pPr>
            <w:r w:rsidRPr="00F357A0">
              <w:rPr>
                <w:color w:val="000000"/>
                <w:sz w:val="18"/>
                <w:szCs w:val="18"/>
              </w:rPr>
              <w:t>59,3</w:t>
            </w:r>
          </w:p>
        </w:tc>
      </w:tr>
      <w:tr w:rsidR="009A05C7" w:rsidRPr="00F357A0" w14:paraId="4C91C095" w14:textId="77777777" w:rsidTr="000240DA">
        <w:trPr>
          <w:trHeight w:val="255"/>
        </w:trPr>
        <w:tc>
          <w:tcPr>
            <w:tcW w:w="3344" w:type="pct"/>
            <w:tcBorders>
              <w:top w:val="nil"/>
              <w:left w:val="nil"/>
              <w:bottom w:val="nil"/>
              <w:right w:val="nil"/>
            </w:tcBorders>
            <w:shd w:val="clear" w:color="auto" w:fill="auto"/>
            <w:noWrap/>
            <w:vAlign w:val="bottom"/>
            <w:hideMark/>
          </w:tcPr>
          <w:p w14:paraId="7C470A2C" w14:textId="77777777" w:rsidR="009A05C7" w:rsidRPr="00F357A0" w:rsidRDefault="009A05C7" w:rsidP="000240DA">
            <w:pPr>
              <w:spacing w:after="0" w:line="240" w:lineRule="auto"/>
              <w:jc w:val="left"/>
              <w:rPr>
                <w:rFonts w:eastAsia="Times New Roman" w:cs="Times New Roman"/>
                <w:color w:val="000000"/>
                <w:sz w:val="18"/>
                <w:szCs w:val="18"/>
                <w:lang w:eastAsia="sk-SK"/>
              </w:rPr>
            </w:pPr>
            <w:r w:rsidRPr="00F357A0">
              <w:rPr>
                <w:rFonts w:eastAsia="Times New Roman" w:cs="Times New Roman"/>
                <w:color w:val="000000"/>
                <w:sz w:val="18"/>
                <w:szCs w:val="18"/>
                <w:lang w:eastAsia="sk-SK"/>
              </w:rPr>
              <w:t xml:space="preserve"> - štátny dlh (bez vplyvu medzinár. záväzkov)</w:t>
            </w:r>
          </w:p>
        </w:tc>
        <w:tc>
          <w:tcPr>
            <w:tcW w:w="552" w:type="pct"/>
            <w:tcBorders>
              <w:top w:val="nil"/>
              <w:left w:val="nil"/>
              <w:bottom w:val="nil"/>
              <w:right w:val="nil"/>
            </w:tcBorders>
            <w:shd w:val="clear" w:color="auto" w:fill="auto"/>
            <w:noWrap/>
            <w:vAlign w:val="bottom"/>
            <w:hideMark/>
          </w:tcPr>
          <w:p w14:paraId="4C5E40DB" w14:textId="77777777" w:rsidR="009A05C7" w:rsidRPr="00F357A0" w:rsidRDefault="009A05C7" w:rsidP="000240DA">
            <w:pPr>
              <w:spacing w:after="0" w:line="240" w:lineRule="auto"/>
              <w:jc w:val="right"/>
              <w:rPr>
                <w:rFonts w:eastAsia="Times New Roman" w:cs="Times New Roman"/>
                <w:color w:val="000000"/>
                <w:sz w:val="18"/>
                <w:szCs w:val="18"/>
                <w:lang w:eastAsia="sk-SK"/>
              </w:rPr>
            </w:pPr>
            <w:r w:rsidRPr="00F357A0">
              <w:rPr>
                <w:color w:val="000000"/>
                <w:sz w:val="18"/>
                <w:szCs w:val="18"/>
              </w:rPr>
              <w:t>53,9</w:t>
            </w:r>
          </w:p>
        </w:tc>
        <w:tc>
          <w:tcPr>
            <w:tcW w:w="552" w:type="pct"/>
            <w:tcBorders>
              <w:top w:val="nil"/>
              <w:left w:val="nil"/>
              <w:bottom w:val="nil"/>
              <w:right w:val="nil"/>
            </w:tcBorders>
            <w:shd w:val="clear" w:color="auto" w:fill="auto"/>
            <w:noWrap/>
            <w:vAlign w:val="bottom"/>
            <w:hideMark/>
          </w:tcPr>
          <w:p w14:paraId="56EAE999" w14:textId="77777777" w:rsidR="009A05C7" w:rsidRPr="00F357A0" w:rsidRDefault="009A05C7" w:rsidP="000240DA">
            <w:pPr>
              <w:spacing w:after="0" w:line="240" w:lineRule="auto"/>
              <w:jc w:val="right"/>
              <w:rPr>
                <w:rFonts w:eastAsia="Times New Roman" w:cs="Times New Roman"/>
                <w:color w:val="000000"/>
                <w:sz w:val="18"/>
                <w:szCs w:val="18"/>
                <w:lang w:eastAsia="sk-SK"/>
              </w:rPr>
            </w:pPr>
            <w:r w:rsidRPr="00F357A0">
              <w:rPr>
                <w:color w:val="000000"/>
                <w:sz w:val="18"/>
                <w:szCs w:val="18"/>
              </w:rPr>
              <w:t>52,1</w:t>
            </w:r>
          </w:p>
        </w:tc>
        <w:tc>
          <w:tcPr>
            <w:tcW w:w="552" w:type="pct"/>
            <w:tcBorders>
              <w:top w:val="nil"/>
              <w:left w:val="nil"/>
              <w:bottom w:val="nil"/>
              <w:right w:val="nil"/>
            </w:tcBorders>
            <w:shd w:val="clear" w:color="auto" w:fill="auto"/>
            <w:noWrap/>
            <w:vAlign w:val="bottom"/>
            <w:hideMark/>
          </w:tcPr>
          <w:p w14:paraId="0D107CD5" w14:textId="77777777" w:rsidR="009A05C7" w:rsidRPr="00F357A0" w:rsidRDefault="009A05C7" w:rsidP="000240DA">
            <w:pPr>
              <w:spacing w:after="0" w:line="240" w:lineRule="auto"/>
              <w:jc w:val="right"/>
              <w:rPr>
                <w:rFonts w:eastAsia="Times New Roman" w:cs="Times New Roman"/>
                <w:color w:val="000000"/>
                <w:sz w:val="18"/>
                <w:szCs w:val="18"/>
                <w:lang w:eastAsia="sk-SK"/>
              </w:rPr>
            </w:pPr>
            <w:r w:rsidRPr="00F357A0">
              <w:rPr>
                <w:color w:val="000000"/>
                <w:sz w:val="18"/>
                <w:szCs w:val="18"/>
              </w:rPr>
              <w:t>59,2</w:t>
            </w:r>
          </w:p>
        </w:tc>
      </w:tr>
      <w:tr w:rsidR="009A05C7" w:rsidRPr="00F357A0" w14:paraId="7961C0B1" w14:textId="77777777" w:rsidTr="000240DA">
        <w:trPr>
          <w:trHeight w:val="255"/>
        </w:trPr>
        <w:tc>
          <w:tcPr>
            <w:tcW w:w="3344" w:type="pct"/>
            <w:tcBorders>
              <w:top w:val="nil"/>
              <w:left w:val="nil"/>
              <w:bottom w:val="nil"/>
              <w:right w:val="nil"/>
            </w:tcBorders>
            <w:shd w:val="clear" w:color="auto" w:fill="auto"/>
            <w:noWrap/>
            <w:vAlign w:val="bottom"/>
            <w:hideMark/>
          </w:tcPr>
          <w:p w14:paraId="0E95FFBB" w14:textId="77777777" w:rsidR="009A05C7" w:rsidRPr="00F357A0" w:rsidRDefault="009A05C7" w:rsidP="000240DA">
            <w:pPr>
              <w:spacing w:after="0" w:line="240" w:lineRule="auto"/>
              <w:jc w:val="left"/>
              <w:rPr>
                <w:rFonts w:eastAsia="Times New Roman" w:cs="Times New Roman"/>
                <w:color w:val="000000"/>
                <w:sz w:val="18"/>
                <w:szCs w:val="18"/>
                <w:lang w:eastAsia="sk-SK"/>
              </w:rPr>
            </w:pPr>
            <w:r w:rsidRPr="00F357A0">
              <w:rPr>
                <w:rFonts w:eastAsia="Times New Roman" w:cs="Times New Roman"/>
                <w:color w:val="000000"/>
                <w:sz w:val="18"/>
                <w:szCs w:val="18"/>
                <w:lang w:eastAsia="sk-SK"/>
              </w:rPr>
              <w:t xml:space="preserve"> - podiel SR na dlhu EFSF</w:t>
            </w:r>
          </w:p>
        </w:tc>
        <w:tc>
          <w:tcPr>
            <w:tcW w:w="552" w:type="pct"/>
            <w:tcBorders>
              <w:top w:val="nil"/>
              <w:left w:val="nil"/>
              <w:bottom w:val="nil"/>
              <w:right w:val="nil"/>
            </w:tcBorders>
            <w:shd w:val="clear" w:color="auto" w:fill="auto"/>
            <w:noWrap/>
            <w:vAlign w:val="bottom"/>
            <w:hideMark/>
          </w:tcPr>
          <w:p w14:paraId="2B80561E" w14:textId="77777777" w:rsidR="009A05C7" w:rsidRPr="00F357A0" w:rsidRDefault="009A05C7" w:rsidP="000240DA">
            <w:pPr>
              <w:spacing w:after="0" w:line="240" w:lineRule="auto"/>
              <w:jc w:val="right"/>
              <w:rPr>
                <w:rFonts w:eastAsia="Times New Roman" w:cs="Times New Roman"/>
                <w:color w:val="000000"/>
                <w:sz w:val="18"/>
                <w:szCs w:val="18"/>
                <w:lang w:eastAsia="sk-SK"/>
              </w:rPr>
            </w:pPr>
            <w:r w:rsidRPr="00F357A0">
              <w:rPr>
                <w:color w:val="000000"/>
                <w:sz w:val="18"/>
                <w:szCs w:val="18"/>
              </w:rPr>
              <w:t>1,8</w:t>
            </w:r>
          </w:p>
        </w:tc>
        <w:tc>
          <w:tcPr>
            <w:tcW w:w="552" w:type="pct"/>
            <w:tcBorders>
              <w:top w:val="nil"/>
              <w:left w:val="nil"/>
              <w:bottom w:val="nil"/>
              <w:right w:val="nil"/>
            </w:tcBorders>
            <w:shd w:val="clear" w:color="auto" w:fill="auto"/>
            <w:noWrap/>
            <w:vAlign w:val="bottom"/>
            <w:hideMark/>
          </w:tcPr>
          <w:p w14:paraId="757484AD" w14:textId="77777777" w:rsidR="009A05C7" w:rsidRPr="00F357A0" w:rsidRDefault="009A05C7" w:rsidP="000240DA">
            <w:pPr>
              <w:spacing w:after="0" w:line="240" w:lineRule="auto"/>
              <w:jc w:val="right"/>
              <w:rPr>
                <w:rFonts w:eastAsia="Times New Roman" w:cs="Times New Roman"/>
                <w:color w:val="000000"/>
                <w:sz w:val="18"/>
                <w:szCs w:val="18"/>
                <w:lang w:eastAsia="sk-SK"/>
              </w:rPr>
            </w:pPr>
            <w:r w:rsidRPr="00F357A0">
              <w:rPr>
                <w:color w:val="000000"/>
                <w:sz w:val="18"/>
                <w:szCs w:val="18"/>
              </w:rPr>
              <w:t>1,6</w:t>
            </w:r>
          </w:p>
        </w:tc>
        <w:tc>
          <w:tcPr>
            <w:tcW w:w="552" w:type="pct"/>
            <w:tcBorders>
              <w:top w:val="nil"/>
              <w:left w:val="nil"/>
              <w:bottom w:val="nil"/>
              <w:right w:val="nil"/>
            </w:tcBorders>
            <w:shd w:val="clear" w:color="auto" w:fill="auto"/>
            <w:noWrap/>
            <w:vAlign w:val="bottom"/>
            <w:hideMark/>
          </w:tcPr>
          <w:p w14:paraId="1212E181" w14:textId="77777777" w:rsidR="009A05C7" w:rsidRPr="00F357A0" w:rsidRDefault="009A05C7" w:rsidP="000240DA">
            <w:pPr>
              <w:spacing w:after="0" w:line="240" w:lineRule="auto"/>
              <w:jc w:val="right"/>
              <w:rPr>
                <w:rFonts w:eastAsia="Times New Roman" w:cs="Times New Roman"/>
                <w:color w:val="000000"/>
                <w:sz w:val="18"/>
                <w:szCs w:val="18"/>
                <w:lang w:eastAsia="sk-SK"/>
              </w:rPr>
            </w:pPr>
            <w:r w:rsidRPr="00F357A0">
              <w:rPr>
                <w:color w:val="000000"/>
                <w:sz w:val="18"/>
                <w:szCs w:val="18"/>
              </w:rPr>
              <w:t>1,6</w:t>
            </w:r>
          </w:p>
        </w:tc>
      </w:tr>
      <w:tr w:rsidR="009A05C7" w:rsidRPr="00F357A0" w14:paraId="39295659" w14:textId="77777777" w:rsidTr="000240DA">
        <w:trPr>
          <w:trHeight w:val="255"/>
        </w:trPr>
        <w:tc>
          <w:tcPr>
            <w:tcW w:w="3344" w:type="pct"/>
            <w:tcBorders>
              <w:top w:val="nil"/>
              <w:left w:val="nil"/>
              <w:bottom w:val="nil"/>
              <w:right w:val="nil"/>
            </w:tcBorders>
            <w:shd w:val="clear" w:color="auto" w:fill="auto"/>
            <w:noWrap/>
            <w:vAlign w:val="bottom"/>
            <w:hideMark/>
          </w:tcPr>
          <w:p w14:paraId="362A344C" w14:textId="77777777" w:rsidR="009A05C7" w:rsidRPr="00F357A0" w:rsidRDefault="009A05C7" w:rsidP="000240DA">
            <w:pPr>
              <w:spacing w:after="0" w:line="240" w:lineRule="auto"/>
              <w:jc w:val="left"/>
              <w:rPr>
                <w:rFonts w:eastAsia="Times New Roman" w:cs="Times New Roman"/>
                <w:color w:val="000000"/>
                <w:sz w:val="18"/>
                <w:szCs w:val="18"/>
                <w:lang w:eastAsia="sk-SK"/>
              </w:rPr>
            </w:pPr>
            <w:r w:rsidRPr="00F357A0">
              <w:rPr>
                <w:rFonts w:eastAsia="Times New Roman" w:cs="Times New Roman"/>
                <w:color w:val="000000"/>
                <w:sz w:val="18"/>
                <w:szCs w:val="18"/>
                <w:lang w:eastAsia="sk-SK"/>
              </w:rPr>
              <w:t xml:space="preserve"> - dlh ostatných subjektov verejnej správy</w:t>
            </w:r>
          </w:p>
        </w:tc>
        <w:tc>
          <w:tcPr>
            <w:tcW w:w="552" w:type="pct"/>
            <w:tcBorders>
              <w:top w:val="nil"/>
              <w:left w:val="nil"/>
              <w:bottom w:val="nil"/>
              <w:right w:val="nil"/>
            </w:tcBorders>
            <w:shd w:val="clear" w:color="auto" w:fill="auto"/>
            <w:noWrap/>
            <w:vAlign w:val="bottom"/>
            <w:hideMark/>
          </w:tcPr>
          <w:p w14:paraId="0C2513F7" w14:textId="77777777" w:rsidR="009A05C7" w:rsidRPr="00F357A0" w:rsidRDefault="009A05C7" w:rsidP="000240DA">
            <w:pPr>
              <w:spacing w:after="0" w:line="240" w:lineRule="auto"/>
              <w:jc w:val="right"/>
              <w:rPr>
                <w:rFonts w:eastAsia="Times New Roman" w:cs="Times New Roman"/>
                <w:color w:val="000000"/>
                <w:sz w:val="18"/>
                <w:szCs w:val="18"/>
                <w:lang w:eastAsia="sk-SK"/>
              </w:rPr>
            </w:pPr>
            <w:r w:rsidRPr="00F357A0">
              <w:rPr>
                <w:color w:val="000000"/>
                <w:sz w:val="18"/>
                <w:szCs w:val="18"/>
              </w:rPr>
              <w:t>2,0</w:t>
            </w:r>
          </w:p>
        </w:tc>
        <w:tc>
          <w:tcPr>
            <w:tcW w:w="552" w:type="pct"/>
            <w:tcBorders>
              <w:top w:val="nil"/>
              <w:left w:val="nil"/>
              <w:bottom w:val="nil"/>
              <w:right w:val="nil"/>
            </w:tcBorders>
            <w:shd w:val="clear" w:color="auto" w:fill="auto"/>
            <w:noWrap/>
            <w:vAlign w:val="bottom"/>
            <w:hideMark/>
          </w:tcPr>
          <w:p w14:paraId="057BA1BB" w14:textId="77777777" w:rsidR="009A05C7" w:rsidRPr="00F357A0" w:rsidRDefault="009A05C7" w:rsidP="000240DA">
            <w:pPr>
              <w:spacing w:after="0" w:line="240" w:lineRule="auto"/>
              <w:jc w:val="right"/>
              <w:rPr>
                <w:rFonts w:eastAsia="Times New Roman" w:cs="Times New Roman"/>
                <w:color w:val="000000"/>
                <w:sz w:val="18"/>
                <w:szCs w:val="18"/>
                <w:lang w:eastAsia="sk-SK"/>
              </w:rPr>
            </w:pPr>
            <w:r w:rsidRPr="00F357A0">
              <w:rPr>
                <w:color w:val="000000"/>
                <w:sz w:val="18"/>
                <w:szCs w:val="18"/>
              </w:rPr>
              <w:t>1,9</w:t>
            </w:r>
          </w:p>
        </w:tc>
        <w:tc>
          <w:tcPr>
            <w:tcW w:w="552" w:type="pct"/>
            <w:tcBorders>
              <w:top w:val="nil"/>
              <w:left w:val="nil"/>
              <w:bottom w:val="nil"/>
              <w:right w:val="nil"/>
            </w:tcBorders>
            <w:shd w:val="clear" w:color="auto" w:fill="auto"/>
            <w:noWrap/>
            <w:vAlign w:val="bottom"/>
            <w:hideMark/>
          </w:tcPr>
          <w:p w14:paraId="72F842D8" w14:textId="77777777" w:rsidR="009A05C7" w:rsidRPr="00F357A0" w:rsidRDefault="009A05C7" w:rsidP="000240DA">
            <w:pPr>
              <w:spacing w:after="0" w:line="240" w:lineRule="auto"/>
              <w:jc w:val="right"/>
              <w:rPr>
                <w:rFonts w:eastAsia="Times New Roman" w:cs="Times New Roman"/>
                <w:color w:val="000000"/>
                <w:sz w:val="18"/>
                <w:szCs w:val="18"/>
                <w:lang w:eastAsia="sk-SK"/>
              </w:rPr>
            </w:pPr>
            <w:r w:rsidRPr="00F357A0">
              <w:rPr>
                <w:color w:val="000000"/>
                <w:sz w:val="18"/>
                <w:szCs w:val="18"/>
              </w:rPr>
              <w:t>1,9</w:t>
            </w:r>
          </w:p>
        </w:tc>
      </w:tr>
      <w:tr w:rsidR="009A05C7" w:rsidRPr="00F357A0" w14:paraId="55B9BA70" w14:textId="77777777" w:rsidTr="000240DA">
        <w:trPr>
          <w:trHeight w:val="255"/>
        </w:trPr>
        <w:tc>
          <w:tcPr>
            <w:tcW w:w="3344" w:type="pct"/>
            <w:tcBorders>
              <w:top w:val="nil"/>
              <w:left w:val="nil"/>
              <w:bottom w:val="single" w:sz="4" w:space="0" w:color="auto"/>
              <w:right w:val="nil"/>
            </w:tcBorders>
            <w:shd w:val="clear" w:color="auto" w:fill="auto"/>
            <w:noWrap/>
            <w:vAlign w:val="bottom"/>
            <w:hideMark/>
          </w:tcPr>
          <w:p w14:paraId="01E2742B" w14:textId="77777777" w:rsidR="009A05C7" w:rsidRPr="00F357A0" w:rsidRDefault="009A05C7" w:rsidP="000240DA">
            <w:pPr>
              <w:spacing w:after="0" w:line="240" w:lineRule="auto"/>
              <w:jc w:val="left"/>
              <w:rPr>
                <w:rFonts w:eastAsia="Times New Roman" w:cs="Times New Roman"/>
                <w:b/>
                <w:bCs/>
                <w:color w:val="000000"/>
                <w:sz w:val="18"/>
                <w:szCs w:val="18"/>
                <w:lang w:eastAsia="sk-SK"/>
              </w:rPr>
            </w:pPr>
            <w:r w:rsidRPr="00F357A0">
              <w:rPr>
                <w:rFonts w:eastAsia="Times New Roman" w:cs="Times New Roman"/>
                <w:b/>
                <w:bCs/>
                <w:color w:val="000000"/>
                <w:sz w:val="18"/>
                <w:szCs w:val="18"/>
                <w:lang w:eastAsia="sk-SK"/>
              </w:rPr>
              <w:t>Medziročná zmena hrubého dlhu</w:t>
            </w:r>
          </w:p>
        </w:tc>
        <w:tc>
          <w:tcPr>
            <w:tcW w:w="552" w:type="pct"/>
            <w:tcBorders>
              <w:top w:val="nil"/>
              <w:left w:val="nil"/>
              <w:bottom w:val="single" w:sz="4" w:space="0" w:color="auto"/>
              <w:right w:val="nil"/>
            </w:tcBorders>
            <w:shd w:val="clear" w:color="auto" w:fill="auto"/>
            <w:noWrap/>
            <w:vAlign w:val="bottom"/>
            <w:hideMark/>
          </w:tcPr>
          <w:p w14:paraId="678F554F" w14:textId="77777777" w:rsidR="009A05C7" w:rsidRPr="00F357A0" w:rsidRDefault="009A05C7" w:rsidP="000240DA">
            <w:pPr>
              <w:spacing w:after="0" w:line="240" w:lineRule="auto"/>
              <w:jc w:val="right"/>
              <w:rPr>
                <w:rFonts w:eastAsia="Times New Roman" w:cs="Times New Roman"/>
                <w:color w:val="000000"/>
                <w:sz w:val="18"/>
                <w:szCs w:val="18"/>
                <w:lang w:eastAsia="sk-SK"/>
              </w:rPr>
            </w:pPr>
            <w:r w:rsidRPr="00F357A0">
              <w:rPr>
                <w:color w:val="000000"/>
                <w:sz w:val="18"/>
                <w:szCs w:val="18"/>
              </w:rPr>
              <w:t>-2,5</w:t>
            </w:r>
          </w:p>
        </w:tc>
        <w:tc>
          <w:tcPr>
            <w:tcW w:w="552" w:type="pct"/>
            <w:tcBorders>
              <w:top w:val="nil"/>
              <w:left w:val="nil"/>
              <w:bottom w:val="single" w:sz="4" w:space="0" w:color="auto"/>
              <w:right w:val="nil"/>
            </w:tcBorders>
            <w:shd w:val="clear" w:color="auto" w:fill="auto"/>
            <w:noWrap/>
            <w:vAlign w:val="bottom"/>
            <w:hideMark/>
          </w:tcPr>
          <w:p w14:paraId="00C8A0AE" w14:textId="77777777" w:rsidR="009A05C7" w:rsidRPr="00F357A0" w:rsidRDefault="009A05C7" w:rsidP="000240DA">
            <w:pPr>
              <w:spacing w:after="0" w:line="240" w:lineRule="auto"/>
              <w:jc w:val="right"/>
              <w:rPr>
                <w:rFonts w:eastAsia="Times New Roman" w:cs="Times New Roman"/>
                <w:color w:val="000000"/>
                <w:sz w:val="18"/>
                <w:szCs w:val="18"/>
                <w:lang w:eastAsia="sk-SK"/>
              </w:rPr>
            </w:pPr>
            <w:r w:rsidRPr="00F357A0">
              <w:rPr>
                <w:color w:val="000000"/>
                <w:sz w:val="18"/>
                <w:szCs w:val="18"/>
              </w:rPr>
              <w:t>-2,1</w:t>
            </w:r>
          </w:p>
        </w:tc>
        <w:tc>
          <w:tcPr>
            <w:tcW w:w="552" w:type="pct"/>
            <w:tcBorders>
              <w:top w:val="nil"/>
              <w:left w:val="nil"/>
              <w:bottom w:val="single" w:sz="4" w:space="0" w:color="auto"/>
              <w:right w:val="nil"/>
            </w:tcBorders>
            <w:shd w:val="clear" w:color="auto" w:fill="auto"/>
            <w:noWrap/>
            <w:vAlign w:val="bottom"/>
            <w:hideMark/>
          </w:tcPr>
          <w:p w14:paraId="2BC8E9AF" w14:textId="5C0B948B" w:rsidR="009A05C7" w:rsidRPr="00F357A0" w:rsidRDefault="00A5583F" w:rsidP="000240DA">
            <w:pPr>
              <w:spacing w:after="0" w:line="240" w:lineRule="auto"/>
              <w:jc w:val="right"/>
              <w:rPr>
                <w:rFonts w:eastAsia="Times New Roman" w:cs="Times New Roman"/>
                <w:color w:val="000000"/>
                <w:sz w:val="18"/>
                <w:szCs w:val="18"/>
                <w:lang w:eastAsia="sk-SK"/>
              </w:rPr>
            </w:pPr>
            <w:r>
              <w:rPr>
                <w:color w:val="000000"/>
                <w:sz w:val="18"/>
                <w:szCs w:val="18"/>
              </w:rPr>
              <w:t>3,</w:t>
            </w:r>
            <w:r w:rsidR="0090081E">
              <w:rPr>
                <w:color w:val="000000"/>
                <w:sz w:val="18"/>
                <w:szCs w:val="18"/>
              </w:rPr>
              <w:t>7</w:t>
            </w:r>
          </w:p>
        </w:tc>
      </w:tr>
      <w:tr w:rsidR="009A05C7" w:rsidRPr="00F357A0" w14:paraId="3DA5E0DB" w14:textId="77777777" w:rsidTr="000240DA">
        <w:trPr>
          <w:trHeight w:val="255"/>
        </w:trPr>
        <w:tc>
          <w:tcPr>
            <w:tcW w:w="3344" w:type="pct"/>
            <w:tcBorders>
              <w:top w:val="nil"/>
              <w:left w:val="nil"/>
              <w:right w:val="nil"/>
            </w:tcBorders>
            <w:shd w:val="clear" w:color="auto" w:fill="auto"/>
            <w:noWrap/>
            <w:vAlign w:val="bottom"/>
            <w:hideMark/>
          </w:tcPr>
          <w:p w14:paraId="51323430" w14:textId="77777777" w:rsidR="009A05C7" w:rsidRPr="00F357A0" w:rsidRDefault="009A05C7" w:rsidP="000240DA">
            <w:pPr>
              <w:spacing w:after="0" w:line="240" w:lineRule="auto"/>
              <w:jc w:val="left"/>
              <w:rPr>
                <w:rFonts w:eastAsia="Times New Roman" w:cs="Times New Roman"/>
                <w:b/>
                <w:bCs/>
                <w:color w:val="000000"/>
                <w:sz w:val="18"/>
                <w:szCs w:val="18"/>
                <w:lang w:eastAsia="sk-SK"/>
              </w:rPr>
            </w:pPr>
            <w:r w:rsidRPr="00F357A0">
              <w:rPr>
                <w:rFonts w:eastAsia="Times New Roman" w:cs="Times New Roman"/>
                <w:b/>
                <w:bCs/>
                <w:color w:val="000000"/>
                <w:sz w:val="18"/>
                <w:szCs w:val="18"/>
                <w:lang w:eastAsia="sk-SK"/>
              </w:rPr>
              <w:t>Čistý dlh verejnej správy</w:t>
            </w:r>
          </w:p>
        </w:tc>
        <w:tc>
          <w:tcPr>
            <w:tcW w:w="552" w:type="pct"/>
            <w:tcBorders>
              <w:top w:val="nil"/>
              <w:left w:val="nil"/>
              <w:right w:val="nil"/>
            </w:tcBorders>
            <w:shd w:val="clear" w:color="auto" w:fill="auto"/>
            <w:noWrap/>
            <w:vAlign w:val="bottom"/>
            <w:hideMark/>
          </w:tcPr>
          <w:p w14:paraId="0E090156" w14:textId="77777777" w:rsidR="009A05C7" w:rsidRPr="00F357A0" w:rsidRDefault="009A05C7" w:rsidP="000240DA">
            <w:pPr>
              <w:spacing w:after="0" w:line="240" w:lineRule="auto"/>
              <w:jc w:val="right"/>
              <w:rPr>
                <w:rFonts w:eastAsia="Times New Roman" w:cs="Times New Roman"/>
                <w:color w:val="000000"/>
                <w:sz w:val="18"/>
                <w:szCs w:val="18"/>
                <w:lang w:eastAsia="sk-SK"/>
              </w:rPr>
            </w:pPr>
            <w:r w:rsidRPr="00F357A0">
              <w:rPr>
                <w:b/>
                <w:bCs/>
                <w:sz w:val="18"/>
                <w:szCs w:val="18"/>
              </w:rPr>
              <w:t>47,6</w:t>
            </w:r>
          </w:p>
        </w:tc>
        <w:tc>
          <w:tcPr>
            <w:tcW w:w="552" w:type="pct"/>
            <w:tcBorders>
              <w:top w:val="nil"/>
              <w:left w:val="nil"/>
              <w:right w:val="nil"/>
            </w:tcBorders>
            <w:shd w:val="clear" w:color="auto" w:fill="auto"/>
            <w:noWrap/>
            <w:vAlign w:val="bottom"/>
            <w:hideMark/>
          </w:tcPr>
          <w:p w14:paraId="0A85094D" w14:textId="77777777" w:rsidR="009A05C7" w:rsidRPr="00F357A0" w:rsidRDefault="009A05C7" w:rsidP="000240DA">
            <w:pPr>
              <w:spacing w:after="0" w:line="240" w:lineRule="auto"/>
              <w:jc w:val="right"/>
              <w:rPr>
                <w:rFonts w:eastAsia="Times New Roman" w:cs="Times New Roman"/>
                <w:color w:val="000000"/>
                <w:sz w:val="18"/>
                <w:szCs w:val="18"/>
                <w:lang w:eastAsia="sk-SK"/>
              </w:rPr>
            </w:pPr>
            <w:r w:rsidRPr="00F357A0">
              <w:rPr>
                <w:b/>
                <w:bCs/>
                <w:sz w:val="18"/>
                <w:szCs w:val="18"/>
              </w:rPr>
              <w:t>48,0</w:t>
            </w:r>
          </w:p>
        </w:tc>
        <w:tc>
          <w:tcPr>
            <w:tcW w:w="552" w:type="pct"/>
            <w:tcBorders>
              <w:top w:val="nil"/>
              <w:left w:val="nil"/>
              <w:right w:val="nil"/>
            </w:tcBorders>
            <w:shd w:val="clear" w:color="auto" w:fill="auto"/>
            <w:noWrap/>
            <w:vAlign w:val="bottom"/>
            <w:hideMark/>
          </w:tcPr>
          <w:p w14:paraId="2CC28645" w14:textId="77777777" w:rsidR="009A05C7" w:rsidRPr="00F357A0" w:rsidRDefault="009A05C7" w:rsidP="000240DA">
            <w:pPr>
              <w:spacing w:after="0" w:line="240" w:lineRule="auto"/>
              <w:jc w:val="right"/>
              <w:rPr>
                <w:rFonts w:eastAsia="Times New Roman" w:cs="Times New Roman"/>
                <w:color w:val="000000"/>
                <w:sz w:val="18"/>
                <w:szCs w:val="18"/>
                <w:lang w:eastAsia="sk-SK"/>
              </w:rPr>
            </w:pPr>
            <w:r w:rsidRPr="00F357A0">
              <w:rPr>
                <w:b/>
                <w:bCs/>
                <w:sz w:val="18"/>
                <w:szCs w:val="18"/>
              </w:rPr>
              <w:t>51,0</w:t>
            </w:r>
          </w:p>
        </w:tc>
      </w:tr>
      <w:tr w:rsidR="009A05C7" w:rsidRPr="00F357A0" w14:paraId="03B07D5B" w14:textId="77777777" w:rsidTr="000240DA">
        <w:trPr>
          <w:trHeight w:val="255"/>
        </w:trPr>
        <w:tc>
          <w:tcPr>
            <w:tcW w:w="3344" w:type="pct"/>
            <w:tcBorders>
              <w:top w:val="nil"/>
              <w:left w:val="nil"/>
              <w:bottom w:val="single" w:sz="4" w:space="0" w:color="auto"/>
              <w:right w:val="nil"/>
            </w:tcBorders>
            <w:shd w:val="clear" w:color="auto" w:fill="auto"/>
            <w:noWrap/>
            <w:vAlign w:val="bottom"/>
            <w:hideMark/>
          </w:tcPr>
          <w:p w14:paraId="1FAFF898" w14:textId="77777777" w:rsidR="009A05C7" w:rsidRPr="00F357A0" w:rsidRDefault="009A05C7" w:rsidP="000240DA">
            <w:pPr>
              <w:spacing w:after="0" w:line="240" w:lineRule="auto"/>
              <w:jc w:val="left"/>
              <w:rPr>
                <w:rFonts w:eastAsia="Times New Roman" w:cs="Times New Roman"/>
                <w:i/>
                <w:iCs/>
                <w:color w:val="000000"/>
                <w:sz w:val="18"/>
                <w:szCs w:val="18"/>
                <w:lang w:eastAsia="sk-SK"/>
              </w:rPr>
            </w:pPr>
            <w:r w:rsidRPr="00F357A0">
              <w:rPr>
                <w:rFonts w:eastAsia="Times New Roman" w:cs="Times New Roman"/>
                <w:i/>
                <w:iCs/>
                <w:color w:val="000000"/>
                <w:sz w:val="18"/>
                <w:szCs w:val="18"/>
                <w:lang w:eastAsia="sk-SK"/>
              </w:rPr>
              <w:t>Vklad SR do ESM (nevstupuje do maastrichtského dlhu)</w:t>
            </w:r>
          </w:p>
        </w:tc>
        <w:tc>
          <w:tcPr>
            <w:tcW w:w="552" w:type="pct"/>
            <w:tcBorders>
              <w:top w:val="nil"/>
              <w:left w:val="nil"/>
              <w:bottom w:val="single" w:sz="4" w:space="0" w:color="auto"/>
              <w:right w:val="nil"/>
            </w:tcBorders>
            <w:shd w:val="clear" w:color="auto" w:fill="auto"/>
            <w:noWrap/>
            <w:vAlign w:val="bottom"/>
            <w:hideMark/>
          </w:tcPr>
          <w:p w14:paraId="3CE09A30" w14:textId="77777777" w:rsidR="009A05C7" w:rsidRPr="00F357A0" w:rsidRDefault="009A05C7" w:rsidP="000240DA">
            <w:pPr>
              <w:spacing w:after="0" w:line="240" w:lineRule="auto"/>
              <w:jc w:val="right"/>
              <w:rPr>
                <w:rFonts w:eastAsia="Times New Roman" w:cs="Times New Roman"/>
                <w:i/>
                <w:iCs/>
                <w:color w:val="000000"/>
                <w:sz w:val="18"/>
                <w:szCs w:val="18"/>
                <w:lang w:eastAsia="sk-SK"/>
              </w:rPr>
            </w:pPr>
            <w:r w:rsidRPr="00F357A0">
              <w:rPr>
                <w:i/>
                <w:iCs/>
                <w:sz w:val="18"/>
                <w:szCs w:val="18"/>
              </w:rPr>
              <w:t>0,7</w:t>
            </w:r>
          </w:p>
        </w:tc>
        <w:tc>
          <w:tcPr>
            <w:tcW w:w="552" w:type="pct"/>
            <w:tcBorders>
              <w:top w:val="nil"/>
              <w:left w:val="nil"/>
              <w:bottom w:val="single" w:sz="4" w:space="0" w:color="auto"/>
              <w:right w:val="nil"/>
            </w:tcBorders>
            <w:shd w:val="clear" w:color="auto" w:fill="auto"/>
            <w:noWrap/>
            <w:vAlign w:val="bottom"/>
            <w:hideMark/>
          </w:tcPr>
          <w:p w14:paraId="0F87FB68" w14:textId="77777777" w:rsidR="009A05C7" w:rsidRPr="00F357A0" w:rsidRDefault="009A05C7" w:rsidP="000240DA">
            <w:pPr>
              <w:spacing w:after="0" w:line="240" w:lineRule="auto"/>
              <w:jc w:val="right"/>
              <w:rPr>
                <w:rFonts w:eastAsia="Times New Roman" w:cs="Times New Roman"/>
                <w:i/>
                <w:iCs/>
                <w:color w:val="000000"/>
                <w:sz w:val="18"/>
                <w:szCs w:val="18"/>
                <w:lang w:eastAsia="sk-SK"/>
              </w:rPr>
            </w:pPr>
            <w:r w:rsidRPr="00F357A0">
              <w:rPr>
                <w:i/>
                <w:iCs/>
                <w:sz w:val="18"/>
                <w:szCs w:val="18"/>
              </w:rPr>
              <w:t>0,6</w:t>
            </w:r>
          </w:p>
        </w:tc>
        <w:tc>
          <w:tcPr>
            <w:tcW w:w="552" w:type="pct"/>
            <w:tcBorders>
              <w:top w:val="nil"/>
              <w:left w:val="nil"/>
              <w:bottom w:val="single" w:sz="4" w:space="0" w:color="auto"/>
              <w:right w:val="nil"/>
            </w:tcBorders>
            <w:shd w:val="clear" w:color="auto" w:fill="auto"/>
            <w:noWrap/>
            <w:vAlign w:val="bottom"/>
            <w:hideMark/>
          </w:tcPr>
          <w:p w14:paraId="6EC481B2" w14:textId="77777777" w:rsidR="009A05C7" w:rsidRPr="00F357A0" w:rsidRDefault="009A05C7" w:rsidP="000240DA">
            <w:pPr>
              <w:spacing w:after="0" w:line="240" w:lineRule="auto"/>
              <w:jc w:val="right"/>
              <w:rPr>
                <w:rFonts w:eastAsia="Times New Roman" w:cs="Times New Roman"/>
                <w:i/>
                <w:iCs/>
                <w:color w:val="000000"/>
                <w:sz w:val="18"/>
                <w:szCs w:val="18"/>
                <w:lang w:eastAsia="sk-SK"/>
              </w:rPr>
            </w:pPr>
            <w:r w:rsidRPr="00F357A0">
              <w:rPr>
                <w:i/>
                <w:iCs/>
                <w:sz w:val="18"/>
                <w:szCs w:val="18"/>
              </w:rPr>
              <w:t>0,6</w:t>
            </w:r>
          </w:p>
        </w:tc>
      </w:tr>
    </w:tbl>
    <w:p w14:paraId="24C5D0EB" w14:textId="77777777" w:rsidR="009A05C7" w:rsidRPr="00F357A0" w:rsidRDefault="009A05C7" w:rsidP="009A05C7">
      <w:pPr>
        <w:spacing w:line="240" w:lineRule="auto"/>
        <w:jc w:val="right"/>
        <w:rPr>
          <w:sz w:val="18"/>
          <w:szCs w:val="18"/>
        </w:rPr>
      </w:pPr>
      <w:r w:rsidRPr="00F357A0">
        <w:rPr>
          <w:sz w:val="18"/>
          <w:szCs w:val="18"/>
        </w:rPr>
        <w:t>Zdroj: MF SR, ŠÚ SR</w:t>
      </w:r>
    </w:p>
    <w:p w14:paraId="53EC9E70" w14:textId="44259710" w:rsidR="009A05C7" w:rsidRPr="00AD12E2" w:rsidRDefault="009A05C7" w:rsidP="009A05C7">
      <w:pPr>
        <w:spacing w:line="240" w:lineRule="auto"/>
        <w:rPr>
          <w:sz w:val="24"/>
          <w:szCs w:val="24"/>
          <w:highlight w:val="yellow"/>
        </w:rPr>
      </w:pPr>
      <w:r w:rsidRPr="00460F96">
        <w:rPr>
          <w:b/>
          <w:sz w:val="24"/>
          <w:szCs w:val="24"/>
        </w:rPr>
        <w:t>Maastrichtský dlh verejnej správy sa prezentuje ako konsolidovaný</w:t>
      </w:r>
      <w:r w:rsidRPr="00460F96">
        <w:rPr>
          <w:sz w:val="24"/>
          <w:szCs w:val="24"/>
        </w:rPr>
        <w:t xml:space="preserve">, to znamená, že vzťahy </w:t>
      </w:r>
      <w:r>
        <w:rPr>
          <w:sz w:val="24"/>
          <w:szCs w:val="24"/>
        </w:rPr>
        <w:t xml:space="preserve">z pôžičiek a výpožičiek </w:t>
      </w:r>
      <w:r w:rsidRPr="00460F96">
        <w:rPr>
          <w:sz w:val="24"/>
          <w:szCs w:val="24"/>
        </w:rPr>
        <w:t xml:space="preserve">medzi jednotlivými subjektmi verejnej správy sú vylúčené. </w:t>
      </w:r>
      <w:r>
        <w:rPr>
          <w:sz w:val="24"/>
          <w:szCs w:val="24"/>
        </w:rPr>
        <w:t xml:space="preserve">Zároveň maastrichtský dlh nezahŕňa záväzky z nesplatených úrokov k istine. </w:t>
      </w:r>
      <w:r w:rsidRPr="00460F96">
        <w:rPr>
          <w:sz w:val="24"/>
          <w:szCs w:val="24"/>
        </w:rPr>
        <w:t xml:space="preserve">Skupiny subjektov verejnej správy uvedené v tabuľke nižšie sú vnútorne skonsolidované o vzájomné vzťahy v rámci danej skupiny (napríklad územná samospráva). Hodnota </w:t>
      </w:r>
      <w:r>
        <w:rPr>
          <w:sz w:val="24"/>
          <w:szCs w:val="24"/>
        </w:rPr>
        <w:t>konsolidácie vo</w:t>
      </w:r>
      <w:r w:rsidR="00D259E2">
        <w:rPr>
          <w:sz w:val="24"/>
          <w:szCs w:val="24"/>
        </w:rPr>
        <w:t> </w:t>
      </w:r>
      <w:r>
        <w:rPr>
          <w:sz w:val="24"/>
          <w:szCs w:val="24"/>
        </w:rPr>
        <w:t>výške 1 559 751 </w:t>
      </w:r>
      <w:r w:rsidRPr="00460F96">
        <w:rPr>
          <w:sz w:val="24"/>
          <w:szCs w:val="24"/>
        </w:rPr>
        <w:t>tis.</w:t>
      </w:r>
      <w:r>
        <w:rPr>
          <w:sz w:val="24"/>
          <w:szCs w:val="24"/>
        </w:rPr>
        <w:t> </w:t>
      </w:r>
      <w:r w:rsidRPr="00460F96">
        <w:rPr>
          <w:sz w:val="24"/>
          <w:szCs w:val="24"/>
        </w:rPr>
        <w:t>eur predstavuje len pôžičky medzi skupinami verejnej správy</w:t>
      </w:r>
      <w:r w:rsidRPr="00460F96">
        <w:rPr>
          <w:sz w:val="24"/>
          <w:szCs w:val="24"/>
          <w:vertAlign w:val="superscript"/>
        </w:rPr>
        <w:footnoteReference w:id="22"/>
      </w:r>
      <w:r w:rsidRPr="00460F96">
        <w:rPr>
          <w:sz w:val="24"/>
          <w:szCs w:val="24"/>
        </w:rPr>
        <w:t xml:space="preserve">, </w:t>
      </w:r>
      <w:r>
        <w:rPr>
          <w:sz w:val="24"/>
          <w:szCs w:val="24"/>
        </w:rPr>
        <w:t>ide najmä o</w:t>
      </w:r>
      <w:r w:rsidRPr="00460F96">
        <w:rPr>
          <w:sz w:val="24"/>
          <w:szCs w:val="24"/>
        </w:rPr>
        <w:t xml:space="preserve"> pôžičky Štátneho fondu rozvoja bývania poskytnuté subjektom územnej samosprávy</w:t>
      </w:r>
      <w:r>
        <w:rPr>
          <w:sz w:val="24"/>
          <w:szCs w:val="24"/>
        </w:rPr>
        <w:t xml:space="preserve"> (748 309 tis. eur) a návratné finančné výpomoci vládou subjektom verejnej správy (najmä obciam, mestám a VÚC za 131 165 tis. eur).</w:t>
      </w:r>
    </w:p>
    <w:p w14:paraId="66C9D55E" w14:textId="1F825E4B" w:rsidR="00EF52C3" w:rsidRDefault="009A05C7" w:rsidP="0088597C">
      <w:pPr>
        <w:spacing w:line="240" w:lineRule="auto"/>
        <w:rPr>
          <w:sz w:val="24"/>
          <w:szCs w:val="24"/>
          <w:u w:val="single"/>
        </w:rPr>
      </w:pPr>
      <w:r w:rsidRPr="00182B66">
        <w:rPr>
          <w:sz w:val="24"/>
          <w:szCs w:val="24"/>
          <w:u w:val="single"/>
        </w:rPr>
        <w:t>V prehľade maastrichtského dlhu podľa zložiek verejnej správy sú uvedené hodnoty na nekonsolidovanej báze, pričom výsledná hodnota dlhu a opis medziročných vplyvov sú uvádzané po konsolidácii.</w:t>
      </w:r>
    </w:p>
    <w:p w14:paraId="4863504B" w14:textId="2A20A982" w:rsidR="00BA3DAB" w:rsidRPr="00BA3DAB" w:rsidRDefault="00BA3DAB" w:rsidP="00BA3DAB">
      <w:pPr>
        <w:pStyle w:val="Popis"/>
        <w:keepNext/>
        <w:spacing w:after="120"/>
        <w:rPr>
          <w:rFonts w:eastAsia="Times New Roman" w:cs="Times New Roman"/>
          <w:b/>
          <w:bCs/>
          <w:i w:val="0"/>
          <w:iCs w:val="0"/>
          <w:color w:val="5B9BD5"/>
          <w:sz w:val="20"/>
          <w:szCs w:val="20"/>
          <w:lang w:eastAsia="sk-SK"/>
        </w:rPr>
      </w:pPr>
      <w:bookmarkStart w:id="61" w:name="_Toc196313640"/>
      <w:bookmarkStart w:id="62" w:name="_Toc196389261"/>
      <w:r w:rsidRPr="00BA3DAB">
        <w:rPr>
          <w:rFonts w:eastAsia="Times New Roman" w:cs="Times New Roman"/>
          <w:b/>
          <w:bCs/>
          <w:i w:val="0"/>
          <w:iCs w:val="0"/>
          <w:color w:val="5B9BD5"/>
          <w:sz w:val="20"/>
          <w:szCs w:val="20"/>
          <w:lang w:eastAsia="sk-SK"/>
        </w:rPr>
        <w:lastRenderedPageBreak/>
        <w:t xml:space="preserve">Tabuľka </w:t>
      </w:r>
      <w:r w:rsidR="003B7AF0">
        <w:rPr>
          <w:rFonts w:eastAsia="Times New Roman" w:cs="Times New Roman"/>
          <w:b/>
          <w:bCs/>
          <w:i w:val="0"/>
          <w:iCs w:val="0"/>
          <w:color w:val="5B9BD5"/>
          <w:sz w:val="20"/>
          <w:szCs w:val="20"/>
          <w:lang w:eastAsia="sk-SK"/>
        </w:rPr>
        <w:fldChar w:fldCharType="begin"/>
      </w:r>
      <w:r w:rsidR="003B7AF0">
        <w:rPr>
          <w:rFonts w:eastAsia="Times New Roman" w:cs="Times New Roman"/>
          <w:b/>
          <w:bCs/>
          <w:i w:val="0"/>
          <w:iCs w:val="0"/>
          <w:color w:val="5B9BD5"/>
          <w:sz w:val="20"/>
          <w:szCs w:val="20"/>
          <w:lang w:eastAsia="sk-SK"/>
        </w:rPr>
        <w:instrText xml:space="preserve"> SEQ Tabuľka \* ARABIC </w:instrText>
      </w:r>
      <w:r w:rsidR="003B7AF0">
        <w:rPr>
          <w:rFonts w:eastAsia="Times New Roman" w:cs="Times New Roman"/>
          <w:b/>
          <w:bCs/>
          <w:i w:val="0"/>
          <w:iCs w:val="0"/>
          <w:color w:val="5B9BD5"/>
          <w:sz w:val="20"/>
          <w:szCs w:val="20"/>
          <w:lang w:eastAsia="sk-SK"/>
        </w:rPr>
        <w:fldChar w:fldCharType="separate"/>
      </w:r>
      <w:r w:rsidR="00C64CBA">
        <w:rPr>
          <w:rFonts w:eastAsia="Times New Roman" w:cs="Times New Roman"/>
          <w:b/>
          <w:bCs/>
          <w:i w:val="0"/>
          <w:iCs w:val="0"/>
          <w:noProof/>
          <w:color w:val="5B9BD5"/>
          <w:sz w:val="20"/>
          <w:szCs w:val="20"/>
          <w:lang w:eastAsia="sk-SK"/>
        </w:rPr>
        <w:t>14</w:t>
      </w:r>
      <w:r w:rsidR="003B7AF0">
        <w:rPr>
          <w:rFonts w:eastAsia="Times New Roman" w:cs="Times New Roman"/>
          <w:b/>
          <w:bCs/>
          <w:i w:val="0"/>
          <w:iCs w:val="0"/>
          <w:color w:val="5B9BD5"/>
          <w:sz w:val="20"/>
          <w:szCs w:val="20"/>
          <w:lang w:eastAsia="sk-SK"/>
        </w:rPr>
        <w:fldChar w:fldCharType="end"/>
      </w:r>
      <w:r w:rsidRPr="00BA3DAB">
        <w:rPr>
          <w:rFonts w:eastAsia="Times New Roman" w:cs="Times New Roman"/>
          <w:b/>
          <w:bCs/>
          <w:i w:val="0"/>
          <w:iCs w:val="0"/>
          <w:color w:val="5B9BD5"/>
          <w:sz w:val="20"/>
          <w:szCs w:val="20"/>
          <w:lang w:eastAsia="sk-SK"/>
        </w:rPr>
        <w:t xml:space="preserve"> - Maastrichtský dlh </w:t>
      </w:r>
      <w:r w:rsidR="00F60902">
        <w:rPr>
          <w:rFonts w:eastAsia="Times New Roman" w:cs="Times New Roman"/>
          <w:b/>
          <w:bCs/>
          <w:i w:val="0"/>
          <w:iCs w:val="0"/>
          <w:color w:val="5B9BD5"/>
          <w:sz w:val="20"/>
          <w:szCs w:val="20"/>
          <w:lang w:eastAsia="sk-SK"/>
        </w:rPr>
        <w:t>VS</w:t>
      </w:r>
      <w:r w:rsidRPr="00BA3DAB">
        <w:rPr>
          <w:rFonts w:eastAsia="Times New Roman" w:cs="Times New Roman"/>
          <w:b/>
          <w:bCs/>
          <w:i w:val="0"/>
          <w:iCs w:val="0"/>
          <w:color w:val="5B9BD5"/>
          <w:sz w:val="20"/>
          <w:szCs w:val="20"/>
          <w:lang w:eastAsia="sk-SK"/>
        </w:rPr>
        <w:t xml:space="preserve"> podľa jednotlivých subjektov (zložiek)</w:t>
      </w:r>
      <w:bookmarkEnd w:id="61"/>
      <w:bookmarkEnd w:id="62"/>
    </w:p>
    <w:tbl>
      <w:tblPr>
        <w:tblW w:w="5000" w:type="pct"/>
        <w:tblCellMar>
          <w:left w:w="70" w:type="dxa"/>
          <w:right w:w="70" w:type="dxa"/>
        </w:tblCellMar>
        <w:tblLook w:val="04A0" w:firstRow="1" w:lastRow="0" w:firstColumn="1" w:lastColumn="0" w:noHBand="0" w:noVBand="1"/>
      </w:tblPr>
      <w:tblGrid>
        <w:gridCol w:w="4543"/>
        <w:gridCol w:w="1077"/>
        <w:gridCol w:w="1188"/>
        <w:gridCol w:w="1188"/>
        <w:gridCol w:w="934"/>
      </w:tblGrid>
      <w:tr w:rsidR="009A05C7" w:rsidRPr="000B4EBC" w14:paraId="6E3A80DD" w14:textId="77777777" w:rsidTr="000240DA">
        <w:trPr>
          <w:trHeight w:val="285"/>
          <w:tblHeader/>
        </w:trPr>
        <w:tc>
          <w:tcPr>
            <w:tcW w:w="2544" w:type="pct"/>
            <w:vMerge w:val="restart"/>
            <w:tcBorders>
              <w:top w:val="single" w:sz="4" w:space="0" w:color="auto"/>
              <w:left w:val="nil"/>
              <w:bottom w:val="single" w:sz="4" w:space="0" w:color="000000"/>
              <w:right w:val="nil"/>
            </w:tcBorders>
            <w:shd w:val="clear" w:color="auto" w:fill="auto"/>
            <w:vAlign w:val="center"/>
            <w:hideMark/>
          </w:tcPr>
          <w:p w14:paraId="4538FA27" w14:textId="77777777" w:rsidR="009A05C7" w:rsidRPr="000B4EBC" w:rsidRDefault="009A05C7" w:rsidP="000240DA">
            <w:pPr>
              <w:spacing w:after="0" w:line="240" w:lineRule="auto"/>
              <w:rPr>
                <w:rFonts w:eastAsia="Times New Roman" w:cs="Times New Roman"/>
                <w:b/>
                <w:bCs/>
                <w:sz w:val="18"/>
                <w:szCs w:val="18"/>
                <w:lang w:eastAsia="sk-SK"/>
              </w:rPr>
            </w:pPr>
            <w:r w:rsidRPr="000B4EBC">
              <w:rPr>
                <w:rFonts w:eastAsia="Times New Roman" w:cs="Times New Roman"/>
                <w:b/>
                <w:bCs/>
                <w:sz w:val="18"/>
                <w:szCs w:val="18"/>
                <w:lang w:eastAsia="sk-SK"/>
              </w:rPr>
              <w:t>v tis. eur</w:t>
            </w:r>
          </w:p>
        </w:tc>
        <w:tc>
          <w:tcPr>
            <w:tcW w:w="603" w:type="pct"/>
            <w:tcBorders>
              <w:top w:val="single" w:sz="4" w:space="0" w:color="auto"/>
              <w:left w:val="nil"/>
              <w:bottom w:val="nil"/>
              <w:right w:val="nil"/>
            </w:tcBorders>
            <w:shd w:val="clear" w:color="auto" w:fill="auto"/>
            <w:vAlign w:val="center"/>
            <w:hideMark/>
          </w:tcPr>
          <w:p w14:paraId="35E18522" w14:textId="77777777" w:rsidR="009A05C7" w:rsidRPr="000B4EBC" w:rsidRDefault="009A05C7" w:rsidP="000240DA">
            <w:pPr>
              <w:spacing w:after="0" w:line="240" w:lineRule="auto"/>
              <w:jc w:val="center"/>
              <w:rPr>
                <w:rFonts w:eastAsia="Times New Roman" w:cs="Times New Roman"/>
                <w:b/>
                <w:bCs/>
                <w:sz w:val="18"/>
                <w:szCs w:val="18"/>
                <w:lang w:eastAsia="sk-SK"/>
              </w:rPr>
            </w:pPr>
            <w:r w:rsidRPr="000B4EBC">
              <w:rPr>
                <w:rFonts w:eastAsia="Times New Roman" w:cs="Times New Roman"/>
                <w:b/>
                <w:bCs/>
                <w:sz w:val="18"/>
                <w:szCs w:val="18"/>
                <w:lang w:eastAsia="sk-SK"/>
              </w:rPr>
              <w:t>2022 S</w:t>
            </w:r>
          </w:p>
        </w:tc>
        <w:tc>
          <w:tcPr>
            <w:tcW w:w="665" w:type="pct"/>
            <w:tcBorders>
              <w:top w:val="single" w:sz="4" w:space="0" w:color="auto"/>
              <w:left w:val="nil"/>
              <w:bottom w:val="nil"/>
              <w:right w:val="nil"/>
            </w:tcBorders>
            <w:shd w:val="clear" w:color="auto" w:fill="auto"/>
            <w:vAlign w:val="center"/>
            <w:hideMark/>
          </w:tcPr>
          <w:p w14:paraId="27BD3076" w14:textId="77777777" w:rsidR="009A05C7" w:rsidRPr="000B4EBC" w:rsidRDefault="009A05C7" w:rsidP="000240DA">
            <w:pPr>
              <w:spacing w:after="0" w:line="240" w:lineRule="auto"/>
              <w:jc w:val="center"/>
              <w:rPr>
                <w:rFonts w:eastAsia="Times New Roman" w:cs="Times New Roman"/>
                <w:b/>
                <w:bCs/>
                <w:sz w:val="18"/>
                <w:szCs w:val="18"/>
                <w:lang w:eastAsia="sk-SK"/>
              </w:rPr>
            </w:pPr>
            <w:r w:rsidRPr="000B4EBC">
              <w:rPr>
                <w:rFonts w:eastAsia="Times New Roman" w:cs="Times New Roman"/>
                <w:b/>
                <w:bCs/>
                <w:sz w:val="18"/>
                <w:szCs w:val="18"/>
                <w:lang w:eastAsia="sk-SK"/>
              </w:rPr>
              <w:t>2023 S</w:t>
            </w:r>
          </w:p>
        </w:tc>
        <w:tc>
          <w:tcPr>
            <w:tcW w:w="665" w:type="pct"/>
            <w:tcBorders>
              <w:top w:val="single" w:sz="4" w:space="0" w:color="auto"/>
              <w:left w:val="nil"/>
              <w:bottom w:val="nil"/>
              <w:right w:val="nil"/>
            </w:tcBorders>
            <w:shd w:val="clear" w:color="auto" w:fill="auto"/>
            <w:vAlign w:val="center"/>
            <w:hideMark/>
          </w:tcPr>
          <w:p w14:paraId="1FF8E0CE" w14:textId="77777777" w:rsidR="009A05C7" w:rsidRPr="000B4EBC" w:rsidRDefault="009A05C7" w:rsidP="000240DA">
            <w:pPr>
              <w:spacing w:after="0" w:line="240" w:lineRule="auto"/>
              <w:jc w:val="center"/>
              <w:rPr>
                <w:rFonts w:eastAsia="Times New Roman" w:cs="Times New Roman"/>
                <w:b/>
                <w:bCs/>
                <w:sz w:val="18"/>
                <w:szCs w:val="18"/>
                <w:lang w:eastAsia="sk-SK"/>
              </w:rPr>
            </w:pPr>
            <w:r w:rsidRPr="000B4EBC">
              <w:rPr>
                <w:rFonts w:eastAsia="Times New Roman" w:cs="Times New Roman"/>
                <w:b/>
                <w:bCs/>
                <w:sz w:val="18"/>
                <w:szCs w:val="18"/>
                <w:lang w:eastAsia="sk-SK"/>
              </w:rPr>
              <w:t>2024 S</w:t>
            </w:r>
          </w:p>
        </w:tc>
        <w:tc>
          <w:tcPr>
            <w:tcW w:w="523" w:type="pct"/>
            <w:tcBorders>
              <w:top w:val="single" w:sz="4" w:space="0" w:color="auto"/>
              <w:left w:val="nil"/>
              <w:bottom w:val="nil"/>
              <w:right w:val="nil"/>
            </w:tcBorders>
            <w:shd w:val="clear" w:color="auto" w:fill="auto"/>
            <w:vAlign w:val="center"/>
            <w:hideMark/>
          </w:tcPr>
          <w:p w14:paraId="29D512AF" w14:textId="77777777" w:rsidR="009A05C7" w:rsidRPr="000B4EBC" w:rsidRDefault="009A05C7" w:rsidP="000240DA">
            <w:pPr>
              <w:spacing w:after="0" w:line="240" w:lineRule="auto"/>
              <w:jc w:val="center"/>
              <w:rPr>
                <w:rFonts w:eastAsia="Times New Roman" w:cs="Times New Roman"/>
                <w:b/>
                <w:bCs/>
                <w:sz w:val="18"/>
                <w:szCs w:val="18"/>
                <w:lang w:eastAsia="sk-SK"/>
              </w:rPr>
            </w:pPr>
            <w:r w:rsidRPr="000B4EBC">
              <w:rPr>
                <w:rFonts w:eastAsia="Times New Roman" w:cs="Times New Roman"/>
                <w:b/>
                <w:bCs/>
                <w:sz w:val="18"/>
                <w:szCs w:val="18"/>
                <w:lang w:eastAsia="sk-SK"/>
              </w:rPr>
              <w:t>Zmena</w:t>
            </w:r>
          </w:p>
        </w:tc>
      </w:tr>
      <w:tr w:rsidR="009A05C7" w:rsidRPr="000B4EBC" w14:paraId="2843641F" w14:textId="77777777" w:rsidTr="000240DA">
        <w:trPr>
          <w:trHeight w:val="285"/>
          <w:tblHeader/>
        </w:trPr>
        <w:tc>
          <w:tcPr>
            <w:tcW w:w="2544" w:type="pct"/>
            <w:vMerge/>
            <w:tcBorders>
              <w:top w:val="single" w:sz="4" w:space="0" w:color="auto"/>
              <w:left w:val="nil"/>
              <w:bottom w:val="single" w:sz="4" w:space="0" w:color="000000"/>
              <w:right w:val="nil"/>
            </w:tcBorders>
            <w:vAlign w:val="center"/>
            <w:hideMark/>
          </w:tcPr>
          <w:p w14:paraId="556E8E74" w14:textId="77777777" w:rsidR="009A05C7" w:rsidRPr="000B4EBC" w:rsidRDefault="009A05C7" w:rsidP="000240DA">
            <w:pPr>
              <w:spacing w:after="0" w:line="240" w:lineRule="auto"/>
              <w:jc w:val="left"/>
              <w:rPr>
                <w:rFonts w:eastAsia="Times New Roman" w:cs="Times New Roman"/>
                <w:b/>
                <w:bCs/>
                <w:sz w:val="18"/>
                <w:szCs w:val="18"/>
                <w:lang w:eastAsia="sk-SK"/>
              </w:rPr>
            </w:pPr>
          </w:p>
        </w:tc>
        <w:tc>
          <w:tcPr>
            <w:tcW w:w="603" w:type="pct"/>
            <w:tcBorders>
              <w:top w:val="nil"/>
              <w:left w:val="nil"/>
              <w:bottom w:val="single" w:sz="4" w:space="0" w:color="auto"/>
              <w:right w:val="nil"/>
            </w:tcBorders>
            <w:shd w:val="clear" w:color="auto" w:fill="auto"/>
            <w:noWrap/>
            <w:vAlign w:val="bottom"/>
            <w:hideMark/>
          </w:tcPr>
          <w:p w14:paraId="0D5BCED6" w14:textId="77777777" w:rsidR="009A05C7" w:rsidRPr="000B4EBC" w:rsidRDefault="009A05C7" w:rsidP="000240DA">
            <w:pPr>
              <w:spacing w:after="0" w:line="240" w:lineRule="auto"/>
              <w:jc w:val="center"/>
              <w:rPr>
                <w:rFonts w:eastAsia="Times New Roman" w:cs="Times New Roman"/>
                <w:b/>
                <w:bCs/>
                <w:sz w:val="18"/>
                <w:szCs w:val="18"/>
                <w:lang w:eastAsia="sk-SK"/>
              </w:rPr>
            </w:pPr>
            <w:r w:rsidRPr="000B4EBC">
              <w:rPr>
                <w:rFonts w:eastAsia="Times New Roman" w:cs="Times New Roman"/>
                <w:b/>
                <w:bCs/>
                <w:sz w:val="18"/>
                <w:szCs w:val="18"/>
                <w:lang w:eastAsia="sk-SK"/>
              </w:rPr>
              <w:t>1</w:t>
            </w:r>
          </w:p>
        </w:tc>
        <w:tc>
          <w:tcPr>
            <w:tcW w:w="665" w:type="pct"/>
            <w:tcBorders>
              <w:top w:val="nil"/>
              <w:left w:val="nil"/>
              <w:bottom w:val="single" w:sz="4" w:space="0" w:color="auto"/>
              <w:right w:val="nil"/>
            </w:tcBorders>
            <w:shd w:val="clear" w:color="auto" w:fill="auto"/>
            <w:noWrap/>
            <w:vAlign w:val="bottom"/>
            <w:hideMark/>
          </w:tcPr>
          <w:p w14:paraId="161AA14A" w14:textId="77777777" w:rsidR="009A05C7" w:rsidRPr="000B4EBC" w:rsidRDefault="009A05C7" w:rsidP="000240DA">
            <w:pPr>
              <w:spacing w:after="0" w:line="240" w:lineRule="auto"/>
              <w:jc w:val="center"/>
              <w:rPr>
                <w:rFonts w:eastAsia="Times New Roman" w:cs="Times New Roman"/>
                <w:b/>
                <w:bCs/>
                <w:sz w:val="18"/>
                <w:szCs w:val="18"/>
                <w:lang w:eastAsia="sk-SK"/>
              </w:rPr>
            </w:pPr>
            <w:r w:rsidRPr="000B4EBC">
              <w:rPr>
                <w:rFonts w:eastAsia="Times New Roman" w:cs="Times New Roman"/>
                <w:b/>
                <w:bCs/>
                <w:sz w:val="18"/>
                <w:szCs w:val="18"/>
                <w:lang w:eastAsia="sk-SK"/>
              </w:rPr>
              <w:t>2</w:t>
            </w:r>
          </w:p>
        </w:tc>
        <w:tc>
          <w:tcPr>
            <w:tcW w:w="665" w:type="pct"/>
            <w:tcBorders>
              <w:top w:val="nil"/>
              <w:left w:val="nil"/>
              <w:bottom w:val="single" w:sz="4" w:space="0" w:color="auto"/>
              <w:right w:val="nil"/>
            </w:tcBorders>
            <w:shd w:val="clear" w:color="auto" w:fill="auto"/>
            <w:noWrap/>
            <w:vAlign w:val="bottom"/>
            <w:hideMark/>
          </w:tcPr>
          <w:p w14:paraId="16AA5A8B" w14:textId="77777777" w:rsidR="009A05C7" w:rsidRPr="000B4EBC" w:rsidRDefault="009A05C7" w:rsidP="000240DA">
            <w:pPr>
              <w:spacing w:after="0" w:line="240" w:lineRule="auto"/>
              <w:jc w:val="center"/>
              <w:rPr>
                <w:rFonts w:eastAsia="Times New Roman" w:cs="Times New Roman"/>
                <w:b/>
                <w:bCs/>
                <w:sz w:val="18"/>
                <w:szCs w:val="18"/>
                <w:lang w:eastAsia="sk-SK"/>
              </w:rPr>
            </w:pPr>
            <w:r w:rsidRPr="000B4EBC">
              <w:rPr>
                <w:rFonts w:eastAsia="Times New Roman" w:cs="Times New Roman"/>
                <w:b/>
                <w:bCs/>
                <w:sz w:val="18"/>
                <w:szCs w:val="18"/>
                <w:lang w:eastAsia="sk-SK"/>
              </w:rPr>
              <w:t>3</w:t>
            </w:r>
          </w:p>
        </w:tc>
        <w:tc>
          <w:tcPr>
            <w:tcW w:w="523" w:type="pct"/>
            <w:tcBorders>
              <w:top w:val="nil"/>
              <w:left w:val="nil"/>
              <w:bottom w:val="single" w:sz="4" w:space="0" w:color="auto"/>
              <w:right w:val="nil"/>
            </w:tcBorders>
            <w:shd w:val="clear" w:color="auto" w:fill="auto"/>
            <w:noWrap/>
            <w:vAlign w:val="bottom"/>
            <w:hideMark/>
          </w:tcPr>
          <w:p w14:paraId="206044FD" w14:textId="77777777" w:rsidR="009A05C7" w:rsidRPr="000B4EBC" w:rsidRDefault="009A05C7" w:rsidP="000240DA">
            <w:pPr>
              <w:spacing w:after="0" w:line="240" w:lineRule="auto"/>
              <w:jc w:val="center"/>
              <w:rPr>
                <w:rFonts w:eastAsia="Times New Roman" w:cs="Times New Roman"/>
                <w:b/>
                <w:bCs/>
                <w:sz w:val="18"/>
                <w:szCs w:val="18"/>
                <w:lang w:eastAsia="sk-SK"/>
              </w:rPr>
            </w:pPr>
            <w:r w:rsidRPr="000B4EBC">
              <w:rPr>
                <w:rFonts w:eastAsia="Times New Roman" w:cs="Times New Roman"/>
                <w:b/>
                <w:bCs/>
                <w:sz w:val="18"/>
                <w:szCs w:val="18"/>
                <w:lang w:eastAsia="sk-SK"/>
              </w:rPr>
              <w:t>4=(3-2)</w:t>
            </w:r>
          </w:p>
        </w:tc>
      </w:tr>
      <w:tr w:rsidR="009A05C7" w:rsidRPr="000B4EBC" w14:paraId="07C5E550" w14:textId="77777777" w:rsidTr="000240DA">
        <w:trPr>
          <w:trHeight w:val="290"/>
        </w:trPr>
        <w:tc>
          <w:tcPr>
            <w:tcW w:w="2544" w:type="pct"/>
            <w:tcBorders>
              <w:top w:val="nil"/>
              <w:left w:val="nil"/>
              <w:bottom w:val="nil"/>
              <w:right w:val="nil"/>
            </w:tcBorders>
            <w:shd w:val="clear" w:color="auto" w:fill="auto"/>
            <w:noWrap/>
            <w:vAlign w:val="bottom"/>
            <w:hideMark/>
          </w:tcPr>
          <w:p w14:paraId="3C64B44E" w14:textId="77777777" w:rsidR="009A05C7" w:rsidRPr="000B4EBC" w:rsidRDefault="009A05C7" w:rsidP="000240DA">
            <w:pPr>
              <w:spacing w:after="0" w:line="240" w:lineRule="auto"/>
              <w:jc w:val="left"/>
              <w:rPr>
                <w:rFonts w:eastAsia="Times New Roman" w:cs="Times New Roman"/>
                <w:b/>
                <w:bCs/>
                <w:sz w:val="18"/>
                <w:szCs w:val="18"/>
                <w:lang w:eastAsia="sk-SK"/>
              </w:rPr>
            </w:pPr>
            <w:r w:rsidRPr="000B4EBC">
              <w:rPr>
                <w:rFonts w:eastAsia="Times New Roman" w:cs="Times New Roman"/>
                <w:b/>
                <w:bCs/>
                <w:sz w:val="18"/>
                <w:szCs w:val="18"/>
                <w:lang w:eastAsia="sk-SK"/>
              </w:rPr>
              <w:t>Ústredná správa</w:t>
            </w:r>
          </w:p>
        </w:tc>
        <w:tc>
          <w:tcPr>
            <w:tcW w:w="603" w:type="pct"/>
            <w:tcBorders>
              <w:top w:val="nil"/>
              <w:left w:val="nil"/>
              <w:bottom w:val="nil"/>
              <w:right w:val="nil"/>
            </w:tcBorders>
            <w:shd w:val="clear" w:color="auto" w:fill="auto"/>
            <w:noWrap/>
            <w:vAlign w:val="bottom"/>
            <w:hideMark/>
          </w:tcPr>
          <w:p w14:paraId="7E65F344" w14:textId="77777777" w:rsidR="009A05C7" w:rsidRPr="000B4EBC" w:rsidRDefault="009A05C7" w:rsidP="000240DA">
            <w:pPr>
              <w:spacing w:after="0" w:line="240" w:lineRule="auto"/>
              <w:jc w:val="left"/>
              <w:rPr>
                <w:rFonts w:eastAsia="Times New Roman" w:cs="Times New Roman"/>
                <w:b/>
                <w:bCs/>
                <w:sz w:val="18"/>
                <w:szCs w:val="18"/>
                <w:lang w:eastAsia="sk-SK"/>
              </w:rPr>
            </w:pPr>
          </w:p>
        </w:tc>
        <w:tc>
          <w:tcPr>
            <w:tcW w:w="665" w:type="pct"/>
            <w:tcBorders>
              <w:top w:val="nil"/>
              <w:left w:val="nil"/>
              <w:bottom w:val="nil"/>
              <w:right w:val="nil"/>
            </w:tcBorders>
            <w:shd w:val="clear" w:color="auto" w:fill="auto"/>
            <w:noWrap/>
            <w:vAlign w:val="bottom"/>
            <w:hideMark/>
          </w:tcPr>
          <w:p w14:paraId="28327D3A" w14:textId="77777777" w:rsidR="009A05C7" w:rsidRPr="000B4EBC" w:rsidRDefault="009A05C7" w:rsidP="000240DA">
            <w:pPr>
              <w:spacing w:after="0" w:line="240" w:lineRule="auto"/>
              <w:jc w:val="left"/>
              <w:rPr>
                <w:rFonts w:eastAsia="Times New Roman" w:cs="Times New Roman"/>
                <w:sz w:val="18"/>
                <w:szCs w:val="18"/>
                <w:lang w:eastAsia="sk-SK"/>
              </w:rPr>
            </w:pPr>
          </w:p>
        </w:tc>
        <w:tc>
          <w:tcPr>
            <w:tcW w:w="665" w:type="pct"/>
            <w:tcBorders>
              <w:top w:val="nil"/>
              <w:left w:val="nil"/>
              <w:bottom w:val="nil"/>
              <w:right w:val="nil"/>
            </w:tcBorders>
            <w:shd w:val="clear" w:color="auto" w:fill="auto"/>
            <w:noWrap/>
            <w:vAlign w:val="bottom"/>
            <w:hideMark/>
          </w:tcPr>
          <w:p w14:paraId="33FAE7EC" w14:textId="77777777" w:rsidR="009A05C7" w:rsidRPr="000B4EBC" w:rsidRDefault="009A05C7" w:rsidP="000240DA">
            <w:pPr>
              <w:spacing w:after="0" w:line="240" w:lineRule="auto"/>
              <w:jc w:val="left"/>
              <w:rPr>
                <w:rFonts w:eastAsia="Times New Roman" w:cs="Times New Roman"/>
                <w:sz w:val="18"/>
                <w:szCs w:val="18"/>
                <w:lang w:eastAsia="sk-SK"/>
              </w:rPr>
            </w:pPr>
          </w:p>
        </w:tc>
        <w:tc>
          <w:tcPr>
            <w:tcW w:w="523" w:type="pct"/>
            <w:tcBorders>
              <w:top w:val="nil"/>
              <w:left w:val="nil"/>
              <w:bottom w:val="nil"/>
              <w:right w:val="nil"/>
            </w:tcBorders>
            <w:shd w:val="clear" w:color="auto" w:fill="auto"/>
            <w:noWrap/>
            <w:vAlign w:val="bottom"/>
            <w:hideMark/>
          </w:tcPr>
          <w:p w14:paraId="3BA01802" w14:textId="77777777" w:rsidR="009A05C7" w:rsidRPr="000B4EBC" w:rsidRDefault="009A05C7" w:rsidP="000240DA">
            <w:pPr>
              <w:spacing w:after="0" w:line="240" w:lineRule="auto"/>
              <w:jc w:val="left"/>
              <w:rPr>
                <w:rFonts w:eastAsia="Times New Roman" w:cs="Times New Roman"/>
                <w:sz w:val="18"/>
                <w:szCs w:val="18"/>
                <w:lang w:eastAsia="sk-SK"/>
              </w:rPr>
            </w:pPr>
          </w:p>
        </w:tc>
      </w:tr>
      <w:tr w:rsidR="009A05C7" w:rsidRPr="000B4EBC" w14:paraId="259F022E" w14:textId="77777777" w:rsidTr="000240DA">
        <w:trPr>
          <w:trHeight w:val="290"/>
        </w:trPr>
        <w:tc>
          <w:tcPr>
            <w:tcW w:w="2544" w:type="pct"/>
            <w:tcBorders>
              <w:top w:val="nil"/>
              <w:left w:val="nil"/>
              <w:bottom w:val="nil"/>
              <w:right w:val="nil"/>
            </w:tcBorders>
            <w:shd w:val="clear" w:color="auto" w:fill="auto"/>
            <w:noWrap/>
            <w:vAlign w:val="bottom"/>
            <w:hideMark/>
          </w:tcPr>
          <w:p w14:paraId="4DFAE6B5" w14:textId="77777777" w:rsidR="009A05C7" w:rsidRPr="000B4EBC" w:rsidRDefault="009A05C7" w:rsidP="000240DA">
            <w:pPr>
              <w:spacing w:after="0" w:line="240" w:lineRule="auto"/>
              <w:ind w:firstLineChars="100" w:firstLine="180"/>
              <w:jc w:val="left"/>
              <w:rPr>
                <w:rFonts w:eastAsia="Times New Roman" w:cs="Times New Roman"/>
                <w:sz w:val="18"/>
                <w:szCs w:val="18"/>
                <w:lang w:eastAsia="sk-SK"/>
              </w:rPr>
            </w:pPr>
            <w:r w:rsidRPr="000B4EBC">
              <w:rPr>
                <w:rFonts w:eastAsia="Times New Roman" w:cs="Times New Roman"/>
                <w:sz w:val="18"/>
                <w:szCs w:val="18"/>
                <w:lang w:eastAsia="sk-SK"/>
              </w:rPr>
              <w:t xml:space="preserve">z toho: </w:t>
            </w:r>
          </w:p>
        </w:tc>
        <w:tc>
          <w:tcPr>
            <w:tcW w:w="603" w:type="pct"/>
            <w:tcBorders>
              <w:top w:val="nil"/>
              <w:left w:val="nil"/>
              <w:bottom w:val="nil"/>
              <w:right w:val="nil"/>
            </w:tcBorders>
            <w:shd w:val="clear" w:color="auto" w:fill="auto"/>
            <w:noWrap/>
            <w:vAlign w:val="bottom"/>
            <w:hideMark/>
          </w:tcPr>
          <w:p w14:paraId="2D7193E2" w14:textId="77777777" w:rsidR="009A05C7" w:rsidRPr="000B4EBC" w:rsidRDefault="009A05C7" w:rsidP="000240DA">
            <w:pPr>
              <w:spacing w:after="0" w:line="240" w:lineRule="auto"/>
              <w:ind w:firstLineChars="100" w:firstLine="180"/>
              <w:jc w:val="left"/>
              <w:rPr>
                <w:rFonts w:eastAsia="Times New Roman" w:cs="Times New Roman"/>
                <w:sz w:val="18"/>
                <w:szCs w:val="18"/>
                <w:lang w:eastAsia="sk-SK"/>
              </w:rPr>
            </w:pPr>
          </w:p>
        </w:tc>
        <w:tc>
          <w:tcPr>
            <w:tcW w:w="665" w:type="pct"/>
            <w:tcBorders>
              <w:top w:val="nil"/>
              <w:left w:val="nil"/>
              <w:bottom w:val="nil"/>
              <w:right w:val="nil"/>
            </w:tcBorders>
            <w:shd w:val="clear" w:color="auto" w:fill="auto"/>
            <w:noWrap/>
            <w:vAlign w:val="bottom"/>
            <w:hideMark/>
          </w:tcPr>
          <w:p w14:paraId="79430EAE" w14:textId="77777777" w:rsidR="009A05C7" w:rsidRPr="000B4EBC" w:rsidRDefault="009A05C7" w:rsidP="000240DA">
            <w:pPr>
              <w:spacing w:after="0" w:line="240" w:lineRule="auto"/>
              <w:jc w:val="left"/>
              <w:rPr>
                <w:rFonts w:eastAsia="Times New Roman" w:cs="Times New Roman"/>
                <w:sz w:val="18"/>
                <w:szCs w:val="18"/>
                <w:lang w:eastAsia="sk-SK"/>
              </w:rPr>
            </w:pPr>
          </w:p>
        </w:tc>
        <w:tc>
          <w:tcPr>
            <w:tcW w:w="665" w:type="pct"/>
            <w:tcBorders>
              <w:top w:val="nil"/>
              <w:left w:val="nil"/>
              <w:bottom w:val="nil"/>
              <w:right w:val="nil"/>
            </w:tcBorders>
            <w:shd w:val="clear" w:color="auto" w:fill="auto"/>
            <w:noWrap/>
            <w:vAlign w:val="bottom"/>
            <w:hideMark/>
          </w:tcPr>
          <w:p w14:paraId="1C97114A" w14:textId="77777777" w:rsidR="009A05C7" w:rsidRPr="000B4EBC" w:rsidRDefault="009A05C7" w:rsidP="000240DA">
            <w:pPr>
              <w:spacing w:after="0" w:line="240" w:lineRule="auto"/>
              <w:jc w:val="left"/>
              <w:rPr>
                <w:rFonts w:eastAsia="Times New Roman" w:cs="Times New Roman"/>
                <w:sz w:val="18"/>
                <w:szCs w:val="18"/>
                <w:lang w:eastAsia="sk-SK"/>
              </w:rPr>
            </w:pPr>
          </w:p>
        </w:tc>
        <w:tc>
          <w:tcPr>
            <w:tcW w:w="523" w:type="pct"/>
            <w:tcBorders>
              <w:top w:val="nil"/>
              <w:left w:val="nil"/>
              <w:bottom w:val="nil"/>
              <w:right w:val="nil"/>
            </w:tcBorders>
            <w:shd w:val="clear" w:color="auto" w:fill="auto"/>
            <w:noWrap/>
            <w:vAlign w:val="bottom"/>
            <w:hideMark/>
          </w:tcPr>
          <w:p w14:paraId="6A7F02E5" w14:textId="77777777" w:rsidR="009A05C7" w:rsidRPr="000B4EBC" w:rsidRDefault="009A05C7" w:rsidP="000240DA">
            <w:pPr>
              <w:spacing w:after="0" w:line="240" w:lineRule="auto"/>
              <w:jc w:val="left"/>
              <w:rPr>
                <w:rFonts w:eastAsia="Times New Roman" w:cs="Times New Roman"/>
                <w:sz w:val="18"/>
                <w:szCs w:val="18"/>
                <w:lang w:eastAsia="sk-SK"/>
              </w:rPr>
            </w:pPr>
          </w:p>
        </w:tc>
      </w:tr>
      <w:tr w:rsidR="009A05C7" w:rsidRPr="000B4EBC" w14:paraId="561DE21C" w14:textId="77777777" w:rsidTr="000240DA">
        <w:trPr>
          <w:trHeight w:val="320"/>
        </w:trPr>
        <w:tc>
          <w:tcPr>
            <w:tcW w:w="2544" w:type="pct"/>
            <w:tcBorders>
              <w:top w:val="nil"/>
              <w:left w:val="nil"/>
              <w:bottom w:val="nil"/>
              <w:right w:val="nil"/>
            </w:tcBorders>
            <w:shd w:val="clear" w:color="auto" w:fill="auto"/>
            <w:noWrap/>
            <w:vAlign w:val="bottom"/>
            <w:hideMark/>
          </w:tcPr>
          <w:p w14:paraId="60236345" w14:textId="77777777" w:rsidR="009A05C7" w:rsidRPr="000B4EBC" w:rsidRDefault="009A05C7" w:rsidP="000240DA">
            <w:pPr>
              <w:spacing w:after="0" w:line="240" w:lineRule="auto"/>
              <w:ind w:firstLineChars="200" w:firstLine="360"/>
              <w:jc w:val="left"/>
              <w:rPr>
                <w:rFonts w:eastAsia="Times New Roman" w:cs="Times New Roman"/>
                <w:sz w:val="18"/>
                <w:szCs w:val="18"/>
                <w:lang w:eastAsia="sk-SK"/>
              </w:rPr>
            </w:pPr>
            <w:r w:rsidRPr="000B4EBC">
              <w:rPr>
                <w:rFonts w:eastAsia="Times New Roman" w:cs="Times New Roman"/>
                <w:sz w:val="18"/>
                <w:szCs w:val="18"/>
                <w:lang w:eastAsia="sk-SK"/>
              </w:rPr>
              <w:t>Štátny</w:t>
            </w:r>
            <w:r>
              <w:rPr>
                <w:rFonts w:eastAsia="Times New Roman" w:cs="Times New Roman"/>
                <w:sz w:val="18"/>
                <w:szCs w:val="18"/>
                <w:lang w:eastAsia="sk-SK"/>
              </w:rPr>
              <w:t xml:space="preserve"> dlh </w:t>
            </w:r>
            <w:r w:rsidRPr="000B4EBC">
              <w:rPr>
                <w:rFonts w:eastAsia="Times New Roman" w:cs="Times New Roman"/>
                <w:sz w:val="18"/>
                <w:szCs w:val="18"/>
                <w:vertAlign w:val="superscript"/>
                <w:lang w:eastAsia="sk-SK"/>
              </w:rPr>
              <w:t>1)</w:t>
            </w:r>
          </w:p>
        </w:tc>
        <w:tc>
          <w:tcPr>
            <w:tcW w:w="603" w:type="pct"/>
            <w:tcBorders>
              <w:top w:val="nil"/>
              <w:left w:val="nil"/>
              <w:bottom w:val="nil"/>
              <w:right w:val="nil"/>
            </w:tcBorders>
            <w:shd w:val="clear" w:color="auto" w:fill="auto"/>
            <w:noWrap/>
            <w:vAlign w:val="bottom"/>
            <w:hideMark/>
          </w:tcPr>
          <w:p w14:paraId="48A42F9F"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61 323 071</w:t>
            </w:r>
          </w:p>
        </w:tc>
        <w:tc>
          <w:tcPr>
            <w:tcW w:w="665" w:type="pct"/>
            <w:tcBorders>
              <w:top w:val="nil"/>
              <w:left w:val="nil"/>
              <w:bottom w:val="nil"/>
              <w:right w:val="nil"/>
            </w:tcBorders>
            <w:shd w:val="clear" w:color="auto" w:fill="auto"/>
            <w:noWrap/>
            <w:vAlign w:val="bottom"/>
            <w:hideMark/>
          </w:tcPr>
          <w:p w14:paraId="5DC3D3A2"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66 540 942</w:t>
            </w:r>
          </w:p>
        </w:tc>
        <w:tc>
          <w:tcPr>
            <w:tcW w:w="665" w:type="pct"/>
            <w:tcBorders>
              <w:top w:val="nil"/>
              <w:left w:val="nil"/>
              <w:bottom w:val="nil"/>
              <w:right w:val="nil"/>
            </w:tcBorders>
            <w:shd w:val="clear" w:color="auto" w:fill="auto"/>
            <w:noWrap/>
            <w:vAlign w:val="bottom"/>
            <w:hideMark/>
          </w:tcPr>
          <w:p w14:paraId="3C9AC4C5"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75 320 226</w:t>
            </w:r>
          </w:p>
        </w:tc>
        <w:tc>
          <w:tcPr>
            <w:tcW w:w="523" w:type="pct"/>
            <w:tcBorders>
              <w:top w:val="nil"/>
              <w:left w:val="nil"/>
              <w:bottom w:val="nil"/>
              <w:right w:val="nil"/>
            </w:tcBorders>
            <w:shd w:val="clear" w:color="auto" w:fill="auto"/>
            <w:noWrap/>
            <w:vAlign w:val="bottom"/>
            <w:hideMark/>
          </w:tcPr>
          <w:p w14:paraId="187B8805"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8 779 284</w:t>
            </w:r>
          </w:p>
        </w:tc>
      </w:tr>
      <w:tr w:rsidR="009A05C7" w:rsidRPr="000B4EBC" w14:paraId="4941B0A0" w14:textId="77777777" w:rsidTr="000240DA">
        <w:trPr>
          <w:trHeight w:val="290"/>
        </w:trPr>
        <w:tc>
          <w:tcPr>
            <w:tcW w:w="2544" w:type="pct"/>
            <w:tcBorders>
              <w:top w:val="nil"/>
              <w:left w:val="nil"/>
              <w:bottom w:val="nil"/>
              <w:right w:val="nil"/>
            </w:tcBorders>
            <w:shd w:val="clear" w:color="auto" w:fill="auto"/>
            <w:noWrap/>
            <w:vAlign w:val="bottom"/>
            <w:hideMark/>
          </w:tcPr>
          <w:p w14:paraId="53783226" w14:textId="77777777" w:rsidR="009A05C7" w:rsidRPr="000B4EBC" w:rsidRDefault="009A05C7" w:rsidP="000240DA">
            <w:pPr>
              <w:spacing w:after="0" w:line="240" w:lineRule="auto"/>
              <w:ind w:firstLineChars="200" w:firstLine="360"/>
              <w:jc w:val="left"/>
              <w:rPr>
                <w:rFonts w:eastAsia="Times New Roman" w:cs="Times New Roman"/>
                <w:sz w:val="18"/>
                <w:szCs w:val="18"/>
                <w:lang w:eastAsia="sk-SK"/>
              </w:rPr>
            </w:pPr>
            <w:r w:rsidRPr="000B4EBC">
              <w:rPr>
                <w:rFonts w:eastAsia="Times New Roman" w:cs="Times New Roman"/>
                <w:sz w:val="18"/>
                <w:szCs w:val="18"/>
                <w:lang w:eastAsia="sk-SK"/>
              </w:rPr>
              <w:t>Príspevkové organizácie ústrednej správy</w:t>
            </w:r>
          </w:p>
        </w:tc>
        <w:tc>
          <w:tcPr>
            <w:tcW w:w="603" w:type="pct"/>
            <w:tcBorders>
              <w:top w:val="nil"/>
              <w:left w:val="nil"/>
              <w:bottom w:val="nil"/>
              <w:right w:val="nil"/>
            </w:tcBorders>
            <w:shd w:val="clear" w:color="auto" w:fill="auto"/>
            <w:noWrap/>
            <w:vAlign w:val="bottom"/>
            <w:hideMark/>
          </w:tcPr>
          <w:p w14:paraId="4528BDD0"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3 687</w:t>
            </w:r>
          </w:p>
        </w:tc>
        <w:tc>
          <w:tcPr>
            <w:tcW w:w="665" w:type="pct"/>
            <w:tcBorders>
              <w:top w:val="nil"/>
              <w:left w:val="nil"/>
              <w:bottom w:val="nil"/>
              <w:right w:val="nil"/>
            </w:tcBorders>
            <w:shd w:val="clear" w:color="auto" w:fill="auto"/>
            <w:noWrap/>
            <w:vAlign w:val="bottom"/>
            <w:hideMark/>
          </w:tcPr>
          <w:p w14:paraId="47069E84"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618</w:t>
            </w:r>
          </w:p>
        </w:tc>
        <w:tc>
          <w:tcPr>
            <w:tcW w:w="665" w:type="pct"/>
            <w:tcBorders>
              <w:top w:val="nil"/>
              <w:left w:val="nil"/>
              <w:bottom w:val="nil"/>
              <w:right w:val="nil"/>
            </w:tcBorders>
            <w:shd w:val="clear" w:color="auto" w:fill="auto"/>
            <w:noWrap/>
            <w:vAlign w:val="bottom"/>
            <w:hideMark/>
          </w:tcPr>
          <w:p w14:paraId="63FC1281"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469</w:t>
            </w:r>
          </w:p>
        </w:tc>
        <w:tc>
          <w:tcPr>
            <w:tcW w:w="523" w:type="pct"/>
            <w:tcBorders>
              <w:top w:val="nil"/>
              <w:left w:val="nil"/>
              <w:bottom w:val="nil"/>
              <w:right w:val="nil"/>
            </w:tcBorders>
            <w:shd w:val="clear" w:color="auto" w:fill="auto"/>
            <w:noWrap/>
            <w:vAlign w:val="bottom"/>
            <w:hideMark/>
          </w:tcPr>
          <w:p w14:paraId="585ED5EC"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-149</w:t>
            </w:r>
          </w:p>
        </w:tc>
      </w:tr>
      <w:tr w:rsidR="009A05C7" w:rsidRPr="000B4EBC" w14:paraId="632EF096" w14:textId="77777777" w:rsidTr="000240DA">
        <w:trPr>
          <w:trHeight w:val="290"/>
        </w:trPr>
        <w:tc>
          <w:tcPr>
            <w:tcW w:w="2544" w:type="pct"/>
            <w:tcBorders>
              <w:top w:val="nil"/>
              <w:left w:val="nil"/>
              <w:bottom w:val="nil"/>
              <w:right w:val="nil"/>
            </w:tcBorders>
            <w:shd w:val="clear" w:color="auto" w:fill="auto"/>
            <w:noWrap/>
            <w:vAlign w:val="bottom"/>
            <w:hideMark/>
          </w:tcPr>
          <w:p w14:paraId="7821C78F" w14:textId="77777777" w:rsidR="009A05C7" w:rsidRPr="000B4EBC" w:rsidRDefault="009A05C7" w:rsidP="000240DA">
            <w:pPr>
              <w:spacing w:after="0" w:line="240" w:lineRule="auto"/>
              <w:ind w:firstLineChars="200" w:firstLine="360"/>
              <w:jc w:val="left"/>
              <w:rPr>
                <w:rFonts w:eastAsia="Times New Roman" w:cs="Times New Roman"/>
                <w:sz w:val="18"/>
                <w:szCs w:val="18"/>
                <w:lang w:eastAsia="sk-SK"/>
              </w:rPr>
            </w:pPr>
            <w:r w:rsidRPr="000B4EBC">
              <w:rPr>
                <w:rFonts w:eastAsia="Times New Roman" w:cs="Times New Roman"/>
                <w:sz w:val="18"/>
                <w:szCs w:val="18"/>
                <w:lang w:eastAsia="sk-SK"/>
              </w:rPr>
              <w:t>Slovenská záručná a rozvojová banka, a. s.</w:t>
            </w:r>
          </w:p>
        </w:tc>
        <w:tc>
          <w:tcPr>
            <w:tcW w:w="603" w:type="pct"/>
            <w:tcBorders>
              <w:top w:val="nil"/>
              <w:left w:val="nil"/>
              <w:bottom w:val="nil"/>
              <w:right w:val="nil"/>
            </w:tcBorders>
            <w:shd w:val="clear" w:color="auto" w:fill="auto"/>
            <w:noWrap/>
            <w:vAlign w:val="bottom"/>
            <w:hideMark/>
          </w:tcPr>
          <w:p w14:paraId="42F1A632"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0</w:t>
            </w:r>
          </w:p>
        </w:tc>
        <w:tc>
          <w:tcPr>
            <w:tcW w:w="665" w:type="pct"/>
            <w:tcBorders>
              <w:top w:val="nil"/>
              <w:left w:val="nil"/>
              <w:bottom w:val="nil"/>
              <w:right w:val="nil"/>
            </w:tcBorders>
            <w:shd w:val="clear" w:color="auto" w:fill="auto"/>
            <w:noWrap/>
            <w:vAlign w:val="bottom"/>
            <w:hideMark/>
          </w:tcPr>
          <w:p w14:paraId="4B819FB5"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240 167</w:t>
            </w:r>
          </w:p>
        </w:tc>
        <w:tc>
          <w:tcPr>
            <w:tcW w:w="665" w:type="pct"/>
            <w:tcBorders>
              <w:top w:val="nil"/>
              <w:left w:val="nil"/>
              <w:bottom w:val="nil"/>
              <w:right w:val="nil"/>
            </w:tcBorders>
            <w:shd w:val="clear" w:color="auto" w:fill="auto"/>
            <w:noWrap/>
            <w:vAlign w:val="bottom"/>
            <w:hideMark/>
          </w:tcPr>
          <w:p w14:paraId="46D8D0E6"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249 697</w:t>
            </w:r>
          </w:p>
        </w:tc>
        <w:tc>
          <w:tcPr>
            <w:tcW w:w="523" w:type="pct"/>
            <w:tcBorders>
              <w:top w:val="nil"/>
              <w:left w:val="nil"/>
              <w:bottom w:val="nil"/>
              <w:right w:val="nil"/>
            </w:tcBorders>
            <w:shd w:val="clear" w:color="auto" w:fill="auto"/>
            <w:noWrap/>
            <w:vAlign w:val="bottom"/>
            <w:hideMark/>
          </w:tcPr>
          <w:p w14:paraId="06D2E1D9"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9 530</w:t>
            </w:r>
          </w:p>
        </w:tc>
      </w:tr>
      <w:tr w:rsidR="009A05C7" w:rsidRPr="000B4EBC" w14:paraId="1EA8E33B" w14:textId="77777777" w:rsidTr="000240DA">
        <w:trPr>
          <w:trHeight w:val="290"/>
        </w:trPr>
        <w:tc>
          <w:tcPr>
            <w:tcW w:w="2544" w:type="pct"/>
            <w:tcBorders>
              <w:top w:val="nil"/>
              <w:left w:val="nil"/>
              <w:bottom w:val="nil"/>
              <w:right w:val="nil"/>
            </w:tcBorders>
            <w:shd w:val="clear" w:color="auto" w:fill="auto"/>
            <w:noWrap/>
            <w:vAlign w:val="bottom"/>
            <w:hideMark/>
          </w:tcPr>
          <w:p w14:paraId="1AD09185" w14:textId="77777777" w:rsidR="009A05C7" w:rsidRPr="000B4EBC" w:rsidRDefault="009A05C7" w:rsidP="000240DA">
            <w:pPr>
              <w:spacing w:after="0" w:line="240" w:lineRule="auto"/>
              <w:ind w:firstLineChars="200" w:firstLine="360"/>
              <w:jc w:val="left"/>
              <w:rPr>
                <w:rFonts w:eastAsia="Times New Roman" w:cs="Times New Roman"/>
                <w:sz w:val="18"/>
                <w:szCs w:val="18"/>
                <w:lang w:eastAsia="sk-SK"/>
              </w:rPr>
            </w:pPr>
            <w:r w:rsidRPr="000B4EBC">
              <w:rPr>
                <w:rFonts w:eastAsia="Times New Roman" w:cs="Times New Roman"/>
                <w:sz w:val="18"/>
                <w:szCs w:val="18"/>
                <w:lang w:eastAsia="sk-SK"/>
              </w:rPr>
              <w:t>Exportno-importná banka SR</w:t>
            </w:r>
          </w:p>
        </w:tc>
        <w:tc>
          <w:tcPr>
            <w:tcW w:w="603" w:type="pct"/>
            <w:tcBorders>
              <w:top w:val="nil"/>
              <w:left w:val="nil"/>
              <w:bottom w:val="nil"/>
              <w:right w:val="nil"/>
            </w:tcBorders>
            <w:shd w:val="clear" w:color="auto" w:fill="auto"/>
            <w:noWrap/>
            <w:vAlign w:val="bottom"/>
            <w:hideMark/>
          </w:tcPr>
          <w:p w14:paraId="4E6B6BCA"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188 740</w:t>
            </w:r>
          </w:p>
        </w:tc>
        <w:tc>
          <w:tcPr>
            <w:tcW w:w="665" w:type="pct"/>
            <w:tcBorders>
              <w:top w:val="nil"/>
              <w:left w:val="nil"/>
              <w:bottom w:val="nil"/>
              <w:right w:val="nil"/>
            </w:tcBorders>
            <w:shd w:val="clear" w:color="auto" w:fill="auto"/>
            <w:noWrap/>
            <w:vAlign w:val="bottom"/>
            <w:hideMark/>
          </w:tcPr>
          <w:p w14:paraId="0A13015F"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188 156</w:t>
            </w:r>
          </w:p>
        </w:tc>
        <w:tc>
          <w:tcPr>
            <w:tcW w:w="665" w:type="pct"/>
            <w:tcBorders>
              <w:top w:val="nil"/>
              <w:left w:val="nil"/>
              <w:bottom w:val="nil"/>
              <w:right w:val="nil"/>
            </w:tcBorders>
            <w:shd w:val="clear" w:color="auto" w:fill="auto"/>
            <w:noWrap/>
            <w:vAlign w:val="bottom"/>
            <w:hideMark/>
          </w:tcPr>
          <w:p w14:paraId="16285CF3"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245 412</w:t>
            </w:r>
          </w:p>
        </w:tc>
        <w:tc>
          <w:tcPr>
            <w:tcW w:w="523" w:type="pct"/>
            <w:tcBorders>
              <w:top w:val="nil"/>
              <w:left w:val="nil"/>
              <w:bottom w:val="nil"/>
              <w:right w:val="nil"/>
            </w:tcBorders>
            <w:shd w:val="clear" w:color="auto" w:fill="auto"/>
            <w:noWrap/>
            <w:vAlign w:val="bottom"/>
            <w:hideMark/>
          </w:tcPr>
          <w:p w14:paraId="25829C0A"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57 256</w:t>
            </w:r>
          </w:p>
        </w:tc>
      </w:tr>
      <w:tr w:rsidR="009A05C7" w:rsidRPr="000B4EBC" w14:paraId="0A98DA7B" w14:textId="77777777" w:rsidTr="000240DA">
        <w:trPr>
          <w:trHeight w:val="290"/>
        </w:trPr>
        <w:tc>
          <w:tcPr>
            <w:tcW w:w="2544" w:type="pct"/>
            <w:tcBorders>
              <w:top w:val="nil"/>
              <w:left w:val="nil"/>
              <w:bottom w:val="nil"/>
              <w:right w:val="nil"/>
            </w:tcBorders>
            <w:shd w:val="clear" w:color="auto" w:fill="auto"/>
            <w:noWrap/>
            <w:vAlign w:val="bottom"/>
            <w:hideMark/>
          </w:tcPr>
          <w:p w14:paraId="50221FBB" w14:textId="77777777" w:rsidR="009A05C7" w:rsidRPr="000B4EBC" w:rsidRDefault="009A05C7" w:rsidP="000240DA">
            <w:pPr>
              <w:spacing w:after="0" w:line="240" w:lineRule="auto"/>
              <w:ind w:firstLineChars="200" w:firstLine="360"/>
              <w:jc w:val="left"/>
              <w:rPr>
                <w:rFonts w:eastAsia="Times New Roman" w:cs="Times New Roman"/>
                <w:sz w:val="18"/>
                <w:szCs w:val="18"/>
                <w:lang w:eastAsia="sk-SK"/>
              </w:rPr>
            </w:pPr>
            <w:r w:rsidRPr="000B4EBC">
              <w:rPr>
                <w:rFonts w:eastAsia="Times New Roman" w:cs="Times New Roman"/>
                <w:sz w:val="18"/>
                <w:szCs w:val="18"/>
                <w:lang w:eastAsia="sk-SK"/>
              </w:rPr>
              <w:t>Obchodné spoločnosti štátu</w:t>
            </w:r>
          </w:p>
        </w:tc>
        <w:tc>
          <w:tcPr>
            <w:tcW w:w="603" w:type="pct"/>
            <w:tcBorders>
              <w:top w:val="nil"/>
              <w:left w:val="nil"/>
              <w:bottom w:val="nil"/>
              <w:right w:val="nil"/>
            </w:tcBorders>
            <w:shd w:val="clear" w:color="auto" w:fill="auto"/>
            <w:noWrap/>
            <w:vAlign w:val="bottom"/>
            <w:hideMark/>
          </w:tcPr>
          <w:p w14:paraId="482825D8"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480 613</w:t>
            </w:r>
          </w:p>
        </w:tc>
        <w:tc>
          <w:tcPr>
            <w:tcW w:w="665" w:type="pct"/>
            <w:tcBorders>
              <w:top w:val="nil"/>
              <w:left w:val="nil"/>
              <w:bottom w:val="nil"/>
              <w:right w:val="nil"/>
            </w:tcBorders>
            <w:shd w:val="clear" w:color="auto" w:fill="auto"/>
            <w:noWrap/>
            <w:vAlign w:val="bottom"/>
            <w:hideMark/>
          </w:tcPr>
          <w:p w14:paraId="4740B24D"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491 495</w:t>
            </w:r>
          </w:p>
        </w:tc>
        <w:tc>
          <w:tcPr>
            <w:tcW w:w="665" w:type="pct"/>
            <w:tcBorders>
              <w:top w:val="nil"/>
              <w:left w:val="nil"/>
              <w:bottom w:val="nil"/>
              <w:right w:val="nil"/>
            </w:tcBorders>
            <w:shd w:val="clear" w:color="auto" w:fill="auto"/>
            <w:noWrap/>
            <w:vAlign w:val="bottom"/>
            <w:hideMark/>
          </w:tcPr>
          <w:p w14:paraId="1804FDDB"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445 097</w:t>
            </w:r>
          </w:p>
        </w:tc>
        <w:tc>
          <w:tcPr>
            <w:tcW w:w="523" w:type="pct"/>
            <w:tcBorders>
              <w:top w:val="nil"/>
              <w:left w:val="nil"/>
              <w:bottom w:val="nil"/>
              <w:right w:val="nil"/>
            </w:tcBorders>
            <w:shd w:val="clear" w:color="auto" w:fill="auto"/>
            <w:noWrap/>
            <w:vAlign w:val="bottom"/>
            <w:hideMark/>
          </w:tcPr>
          <w:p w14:paraId="128B71C9"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-46 398</w:t>
            </w:r>
          </w:p>
        </w:tc>
      </w:tr>
      <w:tr w:rsidR="009A05C7" w:rsidRPr="000B4EBC" w14:paraId="04E4C14E" w14:textId="77777777" w:rsidTr="000240DA">
        <w:trPr>
          <w:trHeight w:val="290"/>
        </w:trPr>
        <w:tc>
          <w:tcPr>
            <w:tcW w:w="2544" w:type="pct"/>
            <w:tcBorders>
              <w:top w:val="nil"/>
              <w:left w:val="nil"/>
              <w:bottom w:val="nil"/>
              <w:right w:val="nil"/>
            </w:tcBorders>
            <w:shd w:val="clear" w:color="auto" w:fill="auto"/>
            <w:noWrap/>
            <w:vAlign w:val="bottom"/>
            <w:hideMark/>
          </w:tcPr>
          <w:p w14:paraId="2502457A" w14:textId="77777777" w:rsidR="009A05C7" w:rsidRPr="000B4EBC" w:rsidRDefault="009A05C7" w:rsidP="000240DA">
            <w:pPr>
              <w:spacing w:after="0" w:line="240" w:lineRule="auto"/>
              <w:ind w:firstLineChars="300" w:firstLine="540"/>
              <w:jc w:val="left"/>
              <w:rPr>
                <w:rFonts w:eastAsia="Times New Roman" w:cs="Times New Roman"/>
                <w:sz w:val="18"/>
                <w:szCs w:val="18"/>
                <w:lang w:eastAsia="sk-SK"/>
              </w:rPr>
            </w:pPr>
            <w:r w:rsidRPr="000B4EBC">
              <w:rPr>
                <w:rFonts w:eastAsia="Times New Roman" w:cs="Times New Roman"/>
                <w:sz w:val="18"/>
                <w:szCs w:val="18"/>
                <w:lang w:eastAsia="sk-SK"/>
              </w:rPr>
              <w:t>z toho:</w:t>
            </w:r>
          </w:p>
        </w:tc>
        <w:tc>
          <w:tcPr>
            <w:tcW w:w="603" w:type="pct"/>
            <w:tcBorders>
              <w:top w:val="nil"/>
              <w:left w:val="nil"/>
              <w:bottom w:val="nil"/>
              <w:right w:val="nil"/>
            </w:tcBorders>
            <w:shd w:val="clear" w:color="auto" w:fill="auto"/>
            <w:noWrap/>
            <w:vAlign w:val="bottom"/>
            <w:hideMark/>
          </w:tcPr>
          <w:p w14:paraId="633013EA" w14:textId="77777777" w:rsidR="009A05C7" w:rsidRPr="000B4EBC" w:rsidRDefault="009A05C7" w:rsidP="000240DA">
            <w:pPr>
              <w:spacing w:after="0" w:line="240" w:lineRule="auto"/>
              <w:ind w:firstLineChars="300" w:firstLine="540"/>
              <w:jc w:val="left"/>
              <w:rPr>
                <w:rFonts w:eastAsia="Times New Roman" w:cs="Times New Roman"/>
                <w:sz w:val="18"/>
                <w:szCs w:val="18"/>
                <w:lang w:eastAsia="sk-SK"/>
              </w:rPr>
            </w:pPr>
          </w:p>
        </w:tc>
        <w:tc>
          <w:tcPr>
            <w:tcW w:w="665" w:type="pct"/>
            <w:tcBorders>
              <w:top w:val="nil"/>
              <w:left w:val="nil"/>
              <w:bottom w:val="nil"/>
              <w:right w:val="nil"/>
            </w:tcBorders>
            <w:shd w:val="clear" w:color="auto" w:fill="auto"/>
            <w:noWrap/>
            <w:vAlign w:val="bottom"/>
            <w:hideMark/>
          </w:tcPr>
          <w:p w14:paraId="4678D37F" w14:textId="77777777" w:rsidR="009A05C7" w:rsidRPr="000B4EBC" w:rsidRDefault="009A05C7" w:rsidP="000240DA">
            <w:pPr>
              <w:spacing w:after="0" w:line="240" w:lineRule="auto"/>
              <w:jc w:val="left"/>
              <w:rPr>
                <w:rFonts w:eastAsia="Times New Roman" w:cs="Times New Roman"/>
                <w:sz w:val="18"/>
                <w:szCs w:val="18"/>
                <w:lang w:eastAsia="sk-SK"/>
              </w:rPr>
            </w:pPr>
          </w:p>
        </w:tc>
        <w:tc>
          <w:tcPr>
            <w:tcW w:w="665" w:type="pct"/>
            <w:tcBorders>
              <w:top w:val="nil"/>
              <w:left w:val="nil"/>
              <w:bottom w:val="nil"/>
              <w:right w:val="nil"/>
            </w:tcBorders>
            <w:shd w:val="clear" w:color="auto" w:fill="auto"/>
            <w:noWrap/>
            <w:vAlign w:val="bottom"/>
            <w:hideMark/>
          </w:tcPr>
          <w:p w14:paraId="245680A9" w14:textId="77777777" w:rsidR="009A05C7" w:rsidRPr="000B4EBC" w:rsidRDefault="009A05C7" w:rsidP="000240DA">
            <w:pPr>
              <w:spacing w:after="0" w:line="240" w:lineRule="auto"/>
              <w:jc w:val="left"/>
              <w:rPr>
                <w:rFonts w:eastAsia="Times New Roman" w:cs="Times New Roman"/>
                <w:sz w:val="18"/>
                <w:szCs w:val="18"/>
                <w:lang w:eastAsia="sk-SK"/>
              </w:rPr>
            </w:pPr>
          </w:p>
        </w:tc>
        <w:tc>
          <w:tcPr>
            <w:tcW w:w="523" w:type="pct"/>
            <w:tcBorders>
              <w:top w:val="nil"/>
              <w:left w:val="nil"/>
              <w:bottom w:val="nil"/>
              <w:right w:val="nil"/>
            </w:tcBorders>
            <w:shd w:val="clear" w:color="auto" w:fill="auto"/>
            <w:noWrap/>
            <w:vAlign w:val="bottom"/>
            <w:hideMark/>
          </w:tcPr>
          <w:p w14:paraId="25929ED9" w14:textId="77777777" w:rsidR="009A05C7" w:rsidRPr="000B4EBC" w:rsidRDefault="009A05C7" w:rsidP="000240DA">
            <w:pPr>
              <w:spacing w:after="0" w:line="240" w:lineRule="auto"/>
              <w:jc w:val="left"/>
              <w:rPr>
                <w:rFonts w:eastAsia="Times New Roman" w:cs="Times New Roman"/>
                <w:sz w:val="18"/>
                <w:szCs w:val="18"/>
                <w:lang w:eastAsia="sk-SK"/>
              </w:rPr>
            </w:pPr>
          </w:p>
        </w:tc>
      </w:tr>
      <w:tr w:rsidR="009A05C7" w:rsidRPr="000B4EBC" w14:paraId="20AC3618" w14:textId="77777777" w:rsidTr="000240DA">
        <w:trPr>
          <w:trHeight w:val="290"/>
        </w:trPr>
        <w:tc>
          <w:tcPr>
            <w:tcW w:w="2544" w:type="pct"/>
            <w:tcBorders>
              <w:top w:val="nil"/>
              <w:left w:val="nil"/>
              <w:bottom w:val="nil"/>
              <w:right w:val="nil"/>
            </w:tcBorders>
            <w:shd w:val="clear" w:color="auto" w:fill="auto"/>
            <w:noWrap/>
            <w:vAlign w:val="bottom"/>
            <w:hideMark/>
          </w:tcPr>
          <w:p w14:paraId="56D871FA" w14:textId="77777777" w:rsidR="009A05C7" w:rsidRPr="000B4EBC" w:rsidRDefault="009A05C7" w:rsidP="000240DA">
            <w:pPr>
              <w:spacing w:after="0" w:line="240" w:lineRule="auto"/>
              <w:ind w:firstLineChars="400" w:firstLine="720"/>
              <w:jc w:val="left"/>
              <w:rPr>
                <w:rFonts w:eastAsia="Times New Roman" w:cs="Times New Roman"/>
                <w:sz w:val="18"/>
                <w:szCs w:val="18"/>
                <w:lang w:eastAsia="sk-SK"/>
              </w:rPr>
            </w:pPr>
            <w:r w:rsidRPr="000B4EBC">
              <w:rPr>
                <w:rFonts w:eastAsia="Times New Roman" w:cs="Times New Roman"/>
                <w:sz w:val="18"/>
                <w:szCs w:val="18"/>
                <w:lang w:eastAsia="sk-SK"/>
              </w:rPr>
              <w:t>Železničná spoločnosť Slovensko, a. s.</w:t>
            </w:r>
          </w:p>
        </w:tc>
        <w:tc>
          <w:tcPr>
            <w:tcW w:w="603" w:type="pct"/>
            <w:tcBorders>
              <w:top w:val="nil"/>
              <w:left w:val="nil"/>
              <w:bottom w:val="nil"/>
              <w:right w:val="nil"/>
            </w:tcBorders>
            <w:shd w:val="clear" w:color="auto" w:fill="auto"/>
            <w:noWrap/>
            <w:vAlign w:val="bottom"/>
            <w:hideMark/>
          </w:tcPr>
          <w:p w14:paraId="489956D7"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335 407</w:t>
            </w:r>
          </w:p>
        </w:tc>
        <w:tc>
          <w:tcPr>
            <w:tcW w:w="665" w:type="pct"/>
            <w:tcBorders>
              <w:top w:val="nil"/>
              <w:left w:val="nil"/>
              <w:bottom w:val="nil"/>
              <w:right w:val="nil"/>
            </w:tcBorders>
            <w:shd w:val="clear" w:color="auto" w:fill="auto"/>
            <w:noWrap/>
            <w:vAlign w:val="bottom"/>
            <w:hideMark/>
          </w:tcPr>
          <w:p w14:paraId="3DA559D6"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339 672</w:t>
            </w:r>
          </w:p>
        </w:tc>
        <w:tc>
          <w:tcPr>
            <w:tcW w:w="665" w:type="pct"/>
            <w:tcBorders>
              <w:top w:val="nil"/>
              <w:left w:val="nil"/>
              <w:bottom w:val="nil"/>
              <w:right w:val="nil"/>
            </w:tcBorders>
            <w:shd w:val="clear" w:color="auto" w:fill="auto"/>
            <w:noWrap/>
            <w:vAlign w:val="bottom"/>
            <w:hideMark/>
          </w:tcPr>
          <w:p w14:paraId="0B743785"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306 702</w:t>
            </w:r>
          </w:p>
        </w:tc>
        <w:tc>
          <w:tcPr>
            <w:tcW w:w="523" w:type="pct"/>
            <w:tcBorders>
              <w:top w:val="nil"/>
              <w:left w:val="nil"/>
              <w:bottom w:val="nil"/>
              <w:right w:val="nil"/>
            </w:tcBorders>
            <w:shd w:val="clear" w:color="auto" w:fill="auto"/>
            <w:noWrap/>
            <w:vAlign w:val="bottom"/>
            <w:hideMark/>
          </w:tcPr>
          <w:p w14:paraId="04829574"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-32 970</w:t>
            </w:r>
          </w:p>
        </w:tc>
      </w:tr>
      <w:tr w:rsidR="009A05C7" w:rsidRPr="000B4EBC" w14:paraId="21CFE67D" w14:textId="77777777" w:rsidTr="000240DA">
        <w:trPr>
          <w:trHeight w:val="290"/>
        </w:trPr>
        <w:tc>
          <w:tcPr>
            <w:tcW w:w="2544" w:type="pct"/>
            <w:tcBorders>
              <w:top w:val="nil"/>
              <w:left w:val="nil"/>
              <w:bottom w:val="nil"/>
              <w:right w:val="nil"/>
            </w:tcBorders>
            <w:shd w:val="clear" w:color="auto" w:fill="auto"/>
            <w:noWrap/>
            <w:vAlign w:val="bottom"/>
            <w:hideMark/>
          </w:tcPr>
          <w:p w14:paraId="09A3FDFB" w14:textId="77777777" w:rsidR="009A05C7" w:rsidRPr="000B4EBC" w:rsidRDefault="009A05C7" w:rsidP="000240DA">
            <w:pPr>
              <w:spacing w:after="0" w:line="240" w:lineRule="auto"/>
              <w:ind w:firstLineChars="400" w:firstLine="720"/>
              <w:jc w:val="left"/>
              <w:rPr>
                <w:rFonts w:eastAsia="Times New Roman" w:cs="Times New Roman"/>
                <w:sz w:val="18"/>
                <w:szCs w:val="18"/>
                <w:lang w:eastAsia="sk-SK"/>
              </w:rPr>
            </w:pPr>
            <w:r w:rsidRPr="000B4EBC">
              <w:rPr>
                <w:rFonts w:eastAsia="Times New Roman" w:cs="Times New Roman"/>
                <w:sz w:val="18"/>
                <w:szCs w:val="18"/>
                <w:lang w:eastAsia="sk-SK"/>
              </w:rPr>
              <w:t>Železnice Slovenskej republiky</w:t>
            </w:r>
          </w:p>
        </w:tc>
        <w:tc>
          <w:tcPr>
            <w:tcW w:w="603" w:type="pct"/>
            <w:tcBorders>
              <w:top w:val="nil"/>
              <w:left w:val="nil"/>
              <w:bottom w:val="nil"/>
              <w:right w:val="nil"/>
            </w:tcBorders>
            <w:shd w:val="clear" w:color="auto" w:fill="auto"/>
            <w:noWrap/>
            <w:vAlign w:val="bottom"/>
            <w:hideMark/>
          </w:tcPr>
          <w:p w14:paraId="73532FB1"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114 322</w:t>
            </w:r>
          </w:p>
        </w:tc>
        <w:tc>
          <w:tcPr>
            <w:tcW w:w="665" w:type="pct"/>
            <w:tcBorders>
              <w:top w:val="nil"/>
              <w:left w:val="nil"/>
              <w:bottom w:val="nil"/>
              <w:right w:val="nil"/>
            </w:tcBorders>
            <w:shd w:val="clear" w:color="auto" w:fill="auto"/>
            <w:noWrap/>
            <w:vAlign w:val="bottom"/>
            <w:hideMark/>
          </w:tcPr>
          <w:p w14:paraId="59598B44"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118 831</w:t>
            </w:r>
          </w:p>
        </w:tc>
        <w:tc>
          <w:tcPr>
            <w:tcW w:w="665" w:type="pct"/>
            <w:tcBorders>
              <w:top w:val="nil"/>
              <w:left w:val="nil"/>
              <w:bottom w:val="nil"/>
              <w:right w:val="nil"/>
            </w:tcBorders>
            <w:shd w:val="clear" w:color="auto" w:fill="auto"/>
            <w:noWrap/>
            <w:vAlign w:val="bottom"/>
            <w:hideMark/>
          </w:tcPr>
          <w:p w14:paraId="5B40942E"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108 557</w:t>
            </w:r>
          </w:p>
        </w:tc>
        <w:tc>
          <w:tcPr>
            <w:tcW w:w="523" w:type="pct"/>
            <w:tcBorders>
              <w:top w:val="nil"/>
              <w:left w:val="nil"/>
              <w:bottom w:val="nil"/>
              <w:right w:val="nil"/>
            </w:tcBorders>
            <w:shd w:val="clear" w:color="auto" w:fill="auto"/>
            <w:noWrap/>
            <w:vAlign w:val="bottom"/>
            <w:hideMark/>
          </w:tcPr>
          <w:p w14:paraId="578198CD"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-10 274</w:t>
            </w:r>
          </w:p>
        </w:tc>
      </w:tr>
      <w:tr w:rsidR="009A05C7" w:rsidRPr="000B4EBC" w14:paraId="6F890422" w14:textId="77777777" w:rsidTr="000240DA">
        <w:trPr>
          <w:trHeight w:val="290"/>
        </w:trPr>
        <w:tc>
          <w:tcPr>
            <w:tcW w:w="2544" w:type="pct"/>
            <w:tcBorders>
              <w:top w:val="nil"/>
              <w:left w:val="nil"/>
              <w:bottom w:val="nil"/>
              <w:right w:val="nil"/>
            </w:tcBorders>
            <w:shd w:val="clear" w:color="auto" w:fill="auto"/>
            <w:noWrap/>
            <w:vAlign w:val="bottom"/>
            <w:hideMark/>
          </w:tcPr>
          <w:p w14:paraId="3FCA001C" w14:textId="77777777" w:rsidR="009A05C7" w:rsidRPr="000B4EBC" w:rsidRDefault="009A05C7" w:rsidP="000240DA">
            <w:pPr>
              <w:spacing w:after="0" w:line="240" w:lineRule="auto"/>
              <w:ind w:firstLineChars="400" w:firstLine="720"/>
              <w:jc w:val="left"/>
              <w:rPr>
                <w:rFonts w:eastAsia="Times New Roman" w:cs="Times New Roman"/>
                <w:sz w:val="18"/>
                <w:szCs w:val="18"/>
                <w:lang w:eastAsia="sk-SK"/>
              </w:rPr>
            </w:pPr>
            <w:r w:rsidRPr="000B4EBC">
              <w:rPr>
                <w:rFonts w:eastAsia="Times New Roman" w:cs="Times New Roman"/>
                <w:sz w:val="18"/>
                <w:szCs w:val="18"/>
                <w:lang w:eastAsia="sk-SK"/>
              </w:rPr>
              <w:t>Národná diaľničná spoločnosť, a. s.</w:t>
            </w:r>
          </w:p>
        </w:tc>
        <w:tc>
          <w:tcPr>
            <w:tcW w:w="603" w:type="pct"/>
            <w:tcBorders>
              <w:top w:val="nil"/>
              <w:left w:val="nil"/>
              <w:bottom w:val="nil"/>
              <w:right w:val="nil"/>
            </w:tcBorders>
            <w:shd w:val="clear" w:color="auto" w:fill="auto"/>
            <w:noWrap/>
            <w:vAlign w:val="bottom"/>
            <w:hideMark/>
          </w:tcPr>
          <w:p w14:paraId="4372FC93"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24 884</w:t>
            </w:r>
          </w:p>
        </w:tc>
        <w:tc>
          <w:tcPr>
            <w:tcW w:w="665" w:type="pct"/>
            <w:tcBorders>
              <w:top w:val="nil"/>
              <w:left w:val="nil"/>
              <w:bottom w:val="nil"/>
              <w:right w:val="nil"/>
            </w:tcBorders>
            <w:shd w:val="clear" w:color="auto" w:fill="auto"/>
            <w:noWrap/>
            <w:vAlign w:val="bottom"/>
            <w:hideMark/>
          </w:tcPr>
          <w:p w14:paraId="2D507B67"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24 614</w:t>
            </w:r>
          </w:p>
        </w:tc>
        <w:tc>
          <w:tcPr>
            <w:tcW w:w="665" w:type="pct"/>
            <w:tcBorders>
              <w:top w:val="nil"/>
              <w:left w:val="nil"/>
              <w:bottom w:val="nil"/>
              <w:right w:val="nil"/>
            </w:tcBorders>
            <w:shd w:val="clear" w:color="auto" w:fill="auto"/>
            <w:noWrap/>
            <w:vAlign w:val="bottom"/>
            <w:hideMark/>
          </w:tcPr>
          <w:p w14:paraId="039AFCC2"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24 575</w:t>
            </w:r>
          </w:p>
        </w:tc>
        <w:tc>
          <w:tcPr>
            <w:tcW w:w="523" w:type="pct"/>
            <w:tcBorders>
              <w:top w:val="nil"/>
              <w:left w:val="nil"/>
              <w:bottom w:val="nil"/>
              <w:right w:val="nil"/>
            </w:tcBorders>
            <w:shd w:val="clear" w:color="auto" w:fill="auto"/>
            <w:noWrap/>
            <w:vAlign w:val="bottom"/>
            <w:hideMark/>
          </w:tcPr>
          <w:p w14:paraId="6BDF45E3"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-39</w:t>
            </w:r>
          </w:p>
        </w:tc>
      </w:tr>
      <w:tr w:rsidR="009A05C7" w:rsidRPr="000B4EBC" w14:paraId="4903DC48" w14:textId="77777777" w:rsidTr="000240DA">
        <w:trPr>
          <w:trHeight w:val="290"/>
        </w:trPr>
        <w:tc>
          <w:tcPr>
            <w:tcW w:w="2544" w:type="pct"/>
            <w:tcBorders>
              <w:top w:val="nil"/>
              <w:left w:val="nil"/>
              <w:bottom w:val="nil"/>
              <w:right w:val="nil"/>
            </w:tcBorders>
            <w:shd w:val="clear" w:color="auto" w:fill="auto"/>
            <w:noWrap/>
            <w:vAlign w:val="bottom"/>
            <w:hideMark/>
          </w:tcPr>
          <w:p w14:paraId="76707121" w14:textId="77777777" w:rsidR="009A05C7" w:rsidRPr="000B4EBC" w:rsidRDefault="009A05C7" w:rsidP="000240DA">
            <w:pPr>
              <w:spacing w:after="0" w:line="240" w:lineRule="auto"/>
              <w:ind w:firstLineChars="400" w:firstLine="720"/>
              <w:jc w:val="left"/>
              <w:rPr>
                <w:rFonts w:eastAsia="Times New Roman" w:cs="Times New Roman"/>
                <w:sz w:val="18"/>
                <w:szCs w:val="18"/>
                <w:lang w:eastAsia="sk-SK"/>
              </w:rPr>
            </w:pPr>
            <w:r w:rsidRPr="000B4EBC">
              <w:rPr>
                <w:rFonts w:eastAsia="Times New Roman" w:cs="Times New Roman"/>
                <w:sz w:val="18"/>
                <w:szCs w:val="18"/>
                <w:lang w:eastAsia="sk-SK"/>
              </w:rPr>
              <w:t>JAVYS</w:t>
            </w:r>
          </w:p>
        </w:tc>
        <w:tc>
          <w:tcPr>
            <w:tcW w:w="603" w:type="pct"/>
            <w:tcBorders>
              <w:top w:val="nil"/>
              <w:left w:val="nil"/>
              <w:bottom w:val="nil"/>
              <w:right w:val="nil"/>
            </w:tcBorders>
            <w:shd w:val="clear" w:color="auto" w:fill="auto"/>
            <w:noWrap/>
            <w:vAlign w:val="bottom"/>
            <w:hideMark/>
          </w:tcPr>
          <w:p w14:paraId="52B0E4AA"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5 048</w:t>
            </w:r>
          </w:p>
        </w:tc>
        <w:tc>
          <w:tcPr>
            <w:tcW w:w="665" w:type="pct"/>
            <w:tcBorders>
              <w:top w:val="nil"/>
              <w:left w:val="nil"/>
              <w:bottom w:val="nil"/>
              <w:right w:val="nil"/>
            </w:tcBorders>
            <w:shd w:val="clear" w:color="auto" w:fill="auto"/>
            <w:noWrap/>
            <w:vAlign w:val="bottom"/>
            <w:hideMark/>
          </w:tcPr>
          <w:p w14:paraId="67413A54"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4 464</w:t>
            </w:r>
          </w:p>
        </w:tc>
        <w:tc>
          <w:tcPr>
            <w:tcW w:w="665" w:type="pct"/>
            <w:tcBorders>
              <w:top w:val="nil"/>
              <w:left w:val="nil"/>
              <w:bottom w:val="nil"/>
              <w:right w:val="nil"/>
            </w:tcBorders>
            <w:shd w:val="clear" w:color="auto" w:fill="auto"/>
            <w:noWrap/>
            <w:vAlign w:val="bottom"/>
            <w:hideMark/>
          </w:tcPr>
          <w:p w14:paraId="4C6789EC"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4 099</w:t>
            </w:r>
          </w:p>
        </w:tc>
        <w:tc>
          <w:tcPr>
            <w:tcW w:w="523" w:type="pct"/>
            <w:tcBorders>
              <w:top w:val="nil"/>
              <w:left w:val="nil"/>
              <w:bottom w:val="nil"/>
              <w:right w:val="nil"/>
            </w:tcBorders>
            <w:shd w:val="clear" w:color="auto" w:fill="auto"/>
            <w:noWrap/>
            <w:vAlign w:val="bottom"/>
            <w:hideMark/>
          </w:tcPr>
          <w:p w14:paraId="3B2301AB"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-365</w:t>
            </w:r>
          </w:p>
        </w:tc>
      </w:tr>
      <w:tr w:rsidR="009A05C7" w:rsidRPr="000B4EBC" w14:paraId="446A313C" w14:textId="77777777" w:rsidTr="000240DA">
        <w:trPr>
          <w:trHeight w:val="290"/>
        </w:trPr>
        <w:tc>
          <w:tcPr>
            <w:tcW w:w="2544" w:type="pct"/>
            <w:tcBorders>
              <w:top w:val="nil"/>
              <w:left w:val="nil"/>
              <w:bottom w:val="nil"/>
              <w:right w:val="nil"/>
            </w:tcBorders>
            <w:shd w:val="clear" w:color="auto" w:fill="auto"/>
            <w:noWrap/>
            <w:vAlign w:val="bottom"/>
            <w:hideMark/>
          </w:tcPr>
          <w:p w14:paraId="342683DC" w14:textId="77777777" w:rsidR="009A05C7" w:rsidRPr="000B4EBC" w:rsidRDefault="009A05C7" w:rsidP="000240DA">
            <w:pPr>
              <w:spacing w:after="0" w:line="240" w:lineRule="auto"/>
              <w:ind w:firstLineChars="400" w:firstLine="720"/>
              <w:jc w:val="left"/>
              <w:rPr>
                <w:rFonts w:eastAsia="Times New Roman" w:cs="Times New Roman"/>
                <w:sz w:val="18"/>
                <w:szCs w:val="18"/>
                <w:lang w:eastAsia="sk-SK"/>
              </w:rPr>
            </w:pPr>
            <w:r w:rsidRPr="000B4EBC">
              <w:rPr>
                <w:rFonts w:eastAsia="Times New Roman" w:cs="Times New Roman"/>
                <w:sz w:val="18"/>
                <w:szCs w:val="18"/>
                <w:lang w:eastAsia="sk-SK"/>
              </w:rPr>
              <w:t>SIH a spol.</w:t>
            </w:r>
          </w:p>
        </w:tc>
        <w:tc>
          <w:tcPr>
            <w:tcW w:w="603" w:type="pct"/>
            <w:tcBorders>
              <w:top w:val="nil"/>
              <w:left w:val="nil"/>
              <w:bottom w:val="nil"/>
              <w:right w:val="nil"/>
            </w:tcBorders>
            <w:shd w:val="clear" w:color="auto" w:fill="auto"/>
            <w:noWrap/>
            <w:vAlign w:val="bottom"/>
            <w:hideMark/>
          </w:tcPr>
          <w:p w14:paraId="449D5042"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0</w:t>
            </w:r>
          </w:p>
        </w:tc>
        <w:tc>
          <w:tcPr>
            <w:tcW w:w="665" w:type="pct"/>
            <w:tcBorders>
              <w:top w:val="nil"/>
              <w:left w:val="nil"/>
              <w:bottom w:val="nil"/>
              <w:right w:val="nil"/>
            </w:tcBorders>
            <w:shd w:val="clear" w:color="auto" w:fill="auto"/>
            <w:noWrap/>
            <w:vAlign w:val="bottom"/>
            <w:hideMark/>
          </w:tcPr>
          <w:p w14:paraId="621CDCCD"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3 314</w:t>
            </w:r>
          </w:p>
        </w:tc>
        <w:tc>
          <w:tcPr>
            <w:tcW w:w="665" w:type="pct"/>
            <w:tcBorders>
              <w:top w:val="nil"/>
              <w:left w:val="nil"/>
              <w:bottom w:val="nil"/>
              <w:right w:val="nil"/>
            </w:tcBorders>
            <w:shd w:val="clear" w:color="auto" w:fill="auto"/>
            <w:noWrap/>
            <w:vAlign w:val="bottom"/>
            <w:hideMark/>
          </w:tcPr>
          <w:p w14:paraId="084F82BC"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1 164</w:t>
            </w:r>
          </w:p>
        </w:tc>
        <w:tc>
          <w:tcPr>
            <w:tcW w:w="523" w:type="pct"/>
            <w:tcBorders>
              <w:top w:val="nil"/>
              <w:left w:val="nil"/>
              <w:bottom w:val="nil"/>
              <w:right w:val="nil"/>
            </w:tcBorders>
            <w:shd w:val="clear" w:color="auto" w:fill="auto"/>
            <w:noWrap/>
            <w:vAlign w:val="bottom"/>
            <w:hideMark/>
          </w:tcPr>
          <w:p w14:paraId="6D572D1A"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-2 150</w:t>
            </w:r>
          </w:p>
        </w:tc>
      </w:tr>
      <w:tr w:rsidR="009A05C7" w:rsidRPr="000B4EBC" w14:paraId="71D5AACE" w14:textId="77777777" w:rsidTr="000240DA">
        <w:trPr>
          <w:trHeight w:val="290"/>
        </w:trPr>
        <w:tc>
          <w:tcPr>
            <w:tcW w:w="2544" w:type="pct"/>
            <w:tcBorders>
              <w:top w:val="nil"/>
              <w:left w:val="nil"/>
              <w:bottom w:val="nil"/>
              <w:right w:val="nil"/>
            </w:tcBorders>
            <w:shd w:val="clear" w:color="auto" w:fill="auto"/>
            <w:noWrap/>
            <w:vAlign w:val="bottom"/>
            <w:hideMark/>
          </w:tcPr>
          <w:p w14:paraId="38EFAF20" w14:textId="77777777" w:rsidR="009A05C7" w:rsidRPr="000B4EBC" w:rsidRDefault="009A05C7" w:rsidP="000240DA">
            <w:pPr>
              <w:spacing w:after="0" w:line="240" w:lineRule="auto"/>
              <w:ind w:firstLineChars="400" w:firstLine="720"/>
              <w:jc w:val="left"/>
              <w:rPr>
                <w:rFonts w:eastAsia="Times New Roman" w:cs="Times New Roman"/>
                <w:sz w:val="18"/>
                <w:szCs w:val="18"/>
                <w:lang w:eastAsia="sk-SK"/>
              </w:rPr>
            </w:pPr>
            <w:r w:rsidRPr="000B4EBC">
              <w:rPr>
                <w:rFonts w:eastAsia="Times New Roman" w:cs="Times New Roman"/>
                <w:sz w:val="18"/>
                <w:szCs w:val="18"/>
                <w:lang w:eastAsia="sk-SK"/>
              </w:rPr>
              <w:t>MH Invest II., s. r. o.</w:t>
            </w:r>
          </w:p>
        </w:tc>
        <w:tc>
          <w:tcPr>
            <w:tcW w:w="603" w:type="pct"/>
            <w:tcBorders>
              <w:top w:val="nil"/>
              <w:left w:val="nil"/>
              <w:bottom w:val="nil"/>
              <w:right w:val="nil"/>
            </w:tcBorders>
            <w:shd w:val="clear" w:color="auto" w:fill="auto"/>
            <w:noWrap/>
            <w:vAlign w:val="bottom"/>
            <w:hideMark/>
          </w:tcPr>
          <w:p w14:paraId="5E1E40C8"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610</w:t>
            </w:r>
          </w:p>
        </w:tc>
        <w:tc>
          <w:tcPr>
            <w:tcW w:w="665" w:type="pct"/>
            <w:tcBorders>
              <w:top w:val="nil"/>
              <w:left w:val="nil"/>
              <w:bottom w:val="nil"/>
              <w:right w:val="nil"/>
            </w:tcBorders>
            <w:shd w:val="clear" w:color="auto" w:fill="auto"/>
            <w:noWrap/>
            <w:vAlign w:val="bottom"/>
            <w:hideMark/>
          </w:tcPr>
          <w:p w14:paraId="49A8108C"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600</w:t>
            </w:r>
          </w:p>
        </w:tc>
        <w:tc>
          <w:tcPr>
            <w:tcW w:w="665" w:type="pct"/>
            <w:tcBorders>
              <w:top w:val="nil"/>
              <w:left w:val="nil"/>
              <w:bottom w:val="nil"/>
              <w:right w:val="nil"/>
            </w:tcBorders>
            <w:shd w:val="clear" w:color="auto" w:fill="auto"/>
            <w:noWrap/>
            <w:vAlign w:val="bottom"/>
            <w:hideMark/>
          </w:tcPr>
          <w:p w14:paraId="4F8FA72C"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0</w:t>
            </w:r>
          </w:p>
        </w:tc>
        <w:tc>
          <w:tcPr>
            <w:tcW w:w="523" w:type="pct"/>
            <w:tcBorders>
              <w:top w:val="nil"/>
              <w:left w:val="nil"/>
              <w:bottom w:val="nil"/>
              <w:right w:val="nil"/>
            </w:tcBorders>
            <w:shd w:val="clear" w:color="auto" w:fill="auto"/>
            <w:noWrap/>
            <w:vAlign w:val="bottom"/>
            <w:hideMark/>
          </w:tcPr>
          <w:p w14:paraId="550D146E"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-600</w:t>
            </w:r>
          </w:p>
        </w:tc>
      </w:tr>
      <w:tr w:rsidR="009A05C7" w:rsidRPr="000B4EBC" w14:paraId="442DD7B2" w14:textId="77777777" w:rsidTr="000240DA">
        <w:trPr>
          <w:trHeight w:val="290"/>
        </w:trPr>
        <w:tc>
          <w:tcPr>
            <w:tcW w:w="2544" w:type="pct"/>
            <w:tcBorders>
              <w:top w:val="nil"/>
              <w:left w:val="nil"/>
              <w:bottom w:val="nil"/>
              <w:right w:val="nil"/>
            </w:tcBorders>
            <w:shd w:val="clear" w:color="auto" w:fill="auto"/>
            <w:noWrap/>
            <w:vAlign w:val="bottom"/>
            <w:hideMark/>
          </w:tcPr>
          <w:p w14:paraId="2D06A1CA" w14:textId="77777777" w:rsidR="009A05C7" w:rsidRPr="000B4EBC" w:rsidRDefault="009A05C7" w:rsidP="000240DA">
            <w:pPr>
              <w:spacing w:after="0" w:line="240" w:lineRule="auto"/>
              <w:ind w:firstLineChars="400" w:firstLine="720"/>
              <w:jc w:val="left"/>
              <w:rPr>
                <w:rFonts w:eastAsia="Times New Roman" w:cs="Times New Roman"/>
                <w:sz w:val="18"/>
                <w:szCs w:val="18"/>
                <w:lang w:eastAsia="sk-SK"/>
              </w:rPr>
            </w:pPr>
            <w:r w:rsidRPr="000B4EBC">
              <w:rPr>
                <w:rFonts w:eastAsia="Times New Roman" w:cs="Times New Roman"/>
                <w:sz w:val="18"/>
                <w:szCs w:val="18"/>
                <w:lang w:eastAsia="sk-SK"/>
              </w:rPr>
              <w:t>MH Invest I., s. r. o.</w:t>
            </w:r>
          </w:p>
        </w:tc>
        <w:tc>
          <w:tcPr>
            <w:tcW w:w="603" w:type="pct"/>
            <w:tcBorders>
              <w:top w:val="nil"/>
              <w:left w:val="nil"/>
              <w:bottom w:val="nil"/>
              <w:right w:val="nil"/>
            </w:tcBorders>
            <w:shd w:val="clear" w:color="auto" w:fill="auto"/>
            <w:noWrap/>
            <w:vAlign w:val="bottom"/>
            <w:hideMark/>
          </w:tcPr>
          <w:p w14:paraId="72798D15"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0</w:t>
            </w:r>
          </w:p>
        </w:tc>
        <w:tc>
          <w:tcPr>
            <w:tcW w:w="665" w:type="pct"/>
            <w:tcBorders>
              <w:top w:val="nil"/>
              <w:left w:val="nil"/>
              <w:bottom w:val="nil"/>
              <w:right w:val="nil"/>
            </w:tcBorders>
            <w:shd w:val="clear" w:color="auto" w:fill="auto"/>
            <w:noWrap/>
            <w:vAlign w:val="bottom"/>
            <w:hideMark/>
          </w:tcPr>
          <w:p w14:paraId="3C266281"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0</w:t>
            </w:r>
          </w:p>
        </w:tc>
        <w:tc>
          <w:tcPr>
            <w:tcW w:w="665" w:type="pct"/>
            <w:tcBorders>
              <w:top w:val="nil"/>
              <w:left w:val="nil"/>
              <w:bottom w:val="nil"/>
              <w:right w:val="nil"/>
            </w:tcBorders>
            <w:shd w:val="clear" w:color="auto" w:fill="auto"/>
            <w:noWrap/>
            <w:vAlign w:val="bottom"/>
            <w:hideMark/>
          </w:tcPr>
          <w:p w14:paraId="279DBCB7"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0</w:t>
            </w:r>
          </w:p>
        </w:tc>
        <w:tc>
          <w:tcPr>
            <w:tcW w:w="523" w:type="pct"/>
            <w:tcBorders>
              <w:top w:val="nil"/>
              <w:left w:val="nil"/>
              <w:bottom w:val="nil"/>
              <w:right w:val="nil"/>
            </w:tcBorders>
            <w:shd w:val="clear" w:color="auto" w:fill="auto"/>
            <w:noWrap/>
            <w:vAlign w:val="bottom"/>
            <w:hideMark/>
          </w:tcPr>
          <w:p w14:paraId="695D87C1"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0</w:t>
            </w:r>
          </w:p>
        </w:tc>
      </w:tr>
      <w:tr w:rsidR="009A05C7" w:rsidRPr="000B4EBC" w14:paraId="52223DF9" w14:textId="77777777" w:rsidTr="000240DA">
        <w:trPr>
          <w:trHeight w:val="290"/>
        </w:trPr>
        <w:tc>
          <w:tcPr>
            <w:tcW w:w="2544" w:type="pct"/>
            <w:tcBorders>
              <w:top w:val="nil"/>
              <w:left w:val="nil"/>
              <w:bottom w:val="nil"/>
              <w:right w:val="nil"/>
            </w:tcBorders>
            <w:shd w:val="clear" w:color="auto" w:fill="auto"/>
            <w:noWrap/>
            <w:vAlign w:val="bottom"/>
            <w:hideMark/>
          </w:tcPr>
          <w:p w14:paraId="2DB8A6AD" w14:textId="77777777" w:rsidR="009A05C7" w:rsidRPr="000B4EBC" w:rsidRDefault="009A05C7" w:rsidP="000240DA">
            <w:pPr>
              <w:spacing w:after="0" w:line="240" w:lineRule="auto"/>
              <w:ind w:firstLineChars="400" w:firstLine="720"/>
              <w:jc w:val="left"/>
              <w:rPr>
                <w:rFonts w:eastAsia="Times New Roman" w:cs="Times New Roman"/>
                <w:sz w:val="18"/>
                <w:szCs w:val="18"/>
                <w:lang w:eastAsia="sk-SK"/>
              </w:rPr>
            </w:pPr>
            <w:r w:rsidRPr="000B4EBC">
              <w:rPr>
                <w:rFonts w:eastAsia="Times New Roman" w:cs="Times New Roman"/>
                <w:sz w:val="18"/>
                <w:szCs w:val="18"/>
                <w:lang w:eastAsia="sk-SK"/>
              </w:rPr>
              <w:t>MH Manažment, a. s.</w:t>
            </w:r>
          </w:p>
        </w:tc>
        <w:tc>
          <w:tcPr>
            <w:tcW w:w="603" w:type="pct"/>
            <w:tcBorders>
              <w:top w:val="nil"/>
              <w:left w:val="nil"/>
              <w:bottom w:val="nil"/>
              <w:right w:val="nil"/>
            </w:tcBorders>
            <w:shd w:val="clear" w:color="auto" w:fill="auto"/>
            <w:noWrap/>
            <w:vAlign w:val="bottom"/>
            <w:hideMark/>
          </w:tcPr>
          <w:p w14:paraId="1FDEFA9D"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342</w:t>
            </w:r>
          </w:p>
        </w:tc>
        <w:tc>
          <w:tcPr>
            <w:tcW w:w="665" w:type="pct"/>
            <w:tcBorders>
              <w:top w:val="nil"/>
              <w:left w:val="nil"/>
              <w:bottom w:val="nil"/>
              <w:right w:val="nil"/>
            </w:tcBorders>
            <w:shd w:val="clear" w:color="auto" w:fill="auto"/>
            <w:noWrap/>
            <w:vAlign w:val="bottom"/>
            <w:hideMark/>
          </w:tcPr>
          <w:p w14:paraId="4841229D"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0</w:t>
            </w:r>
          </w:p>
        </w:tc>
        <w:tc>
          <w:tcPr>
            <w:tcW w:w="665" w:type="pct"/>
            <w:tcBorders>
              <w:top w:val="nil"/>
              <w:left w:val="nil"/>
              <w:bottom w:val="nil"/>
              <w:right w:val="nil"/>
            </w:tcBorders>
            <w:shd w:val="clear" w:color="auto" w:fill="auto"/>
            <w:noWrap/>
            <w:vAlign w:val="bottom"/>
            <w:hideMark/>
          </w:tcPr>
          <w:p w14:paraId="05D9C91D"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0</w:t>
            </w:r>
          </w:p>
        </w:tc>
        <w:tc>
          <w:tcPr>
            <w:tcW w:w="523" w:type="pct"/>
            <w:tcBorders>
              <w:top w:val="nil"/>
              <w:left w:val="nil"/>
              <w:bottom w:val="nil"/>
              <w:right w:val="nil"/>
            </w:tcBorders>
            <w:shd w:val="clear" w:color="auto" w:fill="auto"/>
            <w:noWrap/>
            <w:vAlign w:val="bottom"/>
            <w:hideMark/>
          </w:tcPr>
          <w:p w14:paraId="0F051C7A"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0</w:t>
            </w:r>
          </w:p>
        </w:tc>
      </w:tr>
      <w:tr w:rsidR="009A05C7" w:rsidRPr="000B4EBC" w14:paraId="7E78D8E2" w14:textId="77777777" w:rsidTr="000240DA">
        <w:trPr>
          <w:trHeight w:val="290"/>
        </w:trPr>
        <w:tc>
          <w:tcPr>
            <w:tcW w:w="2544" w:type="pct"/>
            <w:tcBorders>
              <w:top w:val="nil"/>
              <w:left w:val="nil"/>
              <w:bottom w:val="nil"/>
              <w:right w:val="nil"/>
            </w:tcBorders>
            <w:shd w:val="clear" w:color="auto" w:fill="auto"/>
            <w:noWrap/>
            <w:vAlign w:val="bottom"/>
            <w:hideMark/>
          </w:tcPr>
          <w:p w14:paraId="06B06881" w14:textId="77777777" w:rsidR="009A05C7" w:rsidRPr="000B4EBC" w:rsidRDefault="009A05C7" w:rsidP="000240DA">
            <w:pPr>
              <w:spacing w:after="0" w:line="240" w:lineRule="auto"/>
              <w:ind w:firstLineChars="200" w:firstLine="360"/>
              <w:jc w:val="left"/>
              <w:rPr>
                <w:rFonts w:eastAsia="Times New Roman" w:cs="Times New Roman"/>
                <w:sz w:val="18"/>
                <w:szCs w:val="18"/>
                <w:lang w:eastAsia="sk-SK"/>
              </w:rPr>
            </w:pPr>
            <w:r w:rsidRPr="000B4EBC">
              <w:rPr>
                <w:rFonts w:eastAsia="Times New Roman" w:cs="Times New Roman"/>
                <w:sz w:val="18"/>
                <w:szCs w:val="18"/>
                <w:lang w:eastAsia="sk-SK"/>
              </w:rPr>
              <w:t>Verejné vysoké školy</w:t>
            </w:r>
          </w:p>
        </w:tc>
        <w:tc>
          <w:tcPr>
            <w:tcW w:w="603" w:type="pct"/>
            <w:tcBorders>
              <w:top w:val="nil"/>
              <w:left w:val="nil"/>
              <w:bottom w:val="nil"/>
              <w:right w:val="nil"/>
            </w:tcBorders>
            <w:shd w:val="clear" w:color="auto" w:fill="auto"/>
            <w:noWrap/>
            <w:vAlign w:val="bottom"/>
            <w:hideMark/>
          </w:tcPr>
          <w:p w14:paraId="38A5D7AF"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12 060</w:t>
            </w:r>
          </w:p>
        </w:tc>
        <w:tc>
          <w:tcPr>
            <w:tcW w:w="665" w:type="pct"/>
            <w:tcBorders>
              <w:top w:val="nil"/>
              <w:left w:val="nil"/>
              <w:bottom w:val="nil"/>
              <w:right w:val="nil"/>
            </w:tcBorders>
            <w:shd w:val="clear" w:color="auto" w:fill="auto"/>
            <w:noWrap/>
            <w:vAlign w:val="bottom"/>
            <w:hideMark/>
          </w:tcPr>
          <w:p w14:paraId="4D501E9A"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10 936</w:t>
            </w:r>
          </w:p>
        </w:tc>
        <w:tc>
          <w:tcPr>
            <w:tcW w:w="665" w:type="pct"/>
            <w:tcBorders>
              <w:top w:val="nil"/>
              <w:left w:val="nil"/>
              <w:bottom w:val="nil"/>
              <w:right w:val="nil"/>
            </w:tcBorders>
            <w:shd w:val="clear" w:color="auto" w:fill="auto"/>
            <w:noWrap/>
            <w:vAlign w:val="bottom"/>
            <w:hideMark/>
          </w:tcPr>
          <w:p w14:paraId="15B2E578"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10 633</w:t>
            </w:r>
          </w:p>
        </w:tc>
        <w:tc>
          <w:tcPr>
            <w:tcW w:w="523" w:type="pct"/>
            <w:tcBorders>
              <w:top w:val="nil"/>
              <w:left w:val="nil"/>
              <w:bottom w:val="nil"/>
              <w:right w:val="nil"/>
            </w:tcBorders>
            <w:shd w:val="clear" w:color="auto" w:fill="auto"/>
            <w:noWrap/>
            <w:vAlign w:val="bottom"/>
            <w:hideMark/>
          </w:tcPr>
          <w:p w14:paraId="0B19F92D"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-303</w:t>
            </w:r>
          </w:p>
        </w:tc>
      </w:tr>
      <w:tr w:rsidR="009A05C7" w:rsidRPr="000B4EBC" w14:paraId="6704C1C9" w14:textId="77777777" w:rsidTr="000240DA">
        <w:trPr>
          <w:trHeight w:val="290"/>
        </w:trPr>
        <w:tc>
          <w:tcPr>
            <w:tcW w:w="2544" w:type="pct"/>
            <w:tcBorders>
              <w:top w:val="nil"/>
              <w:left w:val="nil"/>
              <w:bottom w:val="nil"/>
              <w:right w:val="nil"/>
            </w:tcBorders>
            <w:shd w:val="clear" w:color="auto" w:fill="auto"/>
            <w:noWrap/>
            <w:vAlign w:val="bottom"/>
            <w:hideMark/>
          </w:tcPr>
          <w:p w14:paraId="7D255660" w14:textId="77777777" w:rsidR="009A05C7" w:rsidRPr="000B4EBC" w:rsidRDefault="009A05C7" w:rsidP="000240DA">
            <w:pPr>
              <w:spacing w:after="0" w:line="240" w:lineRule="auto"/>
              <w:ind w:firstLineChars="200" w:firstLine="360"/>
              <w:jc w:val="left"/>
              <w:rPr>
                <w:rFonts w:eastAsia="Times New Roman" w:cs="Times New Roman"/>
                <w:sz w:val="18"/>
                <w:szCs w:val="18"/>
                <w:lang w:eastAsia="sk-SK"/>
              </w:rPr>
            </w:pPr>
            <w:r w:rsidRPr="000B4EBC">
              <w:rPr>
                <w:rFonts w:eastAsia="Times New Roman" w:cs="Times New Roman"/>
                <w:sz w:val="18"/>
                <w:szCs w:val="18"/>
                <w:lang w:eastAsia="sk-SK"/>
              </w:rPr>
              <w:t>Verejné výskumné inštitúcie</w:t>
            </w:r>
          </w:p>
        </w:tc>
        <w:tc>
          <w:tcPr>
            <w:tcW w:w="603" w:type="pct"/>
            <w:tcBorders>
              <w:top w:val="nil"/>
              <w:left w:val="nil"/>
              <w:bottom w:val="nil"/>
              <w:right w:val="nil"/>
            </w:tcBorders>
            <w:shd w:val="clear" w:color="auto" w:fill="auto"/>
            <w:noWrap/>
            <w:vAlign w:val="bottom"/>
            <w:hideMark/>
          </w:tcPr>
          <w:p w14:paraId="1C6F9FE2"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2 563</w:t>
            </w:r>
          </w:p>
        </w:tc>
        <w:tc>
          <w:tcPr>
            <w:tcW w:w="665" w:type="pct"/>
            <w:tcBorders>
              <w:top w:val="nil"/>
              <w:left w:val="nil"/>
              <w:bottom w:val="nil"/>
              <w:right w:val="nil"/>
            </w:tcBorders>
            <w:shd w:val="clear" w:color="auto" w:fill="auto"/>
            <w:noWrap/>
            <w:vAlign w:val="bottom"/>
            <w:hideMark/>
          </w:tcPr>
          <w:p w14:paraId="01555016"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2 424</w:t>
            </w:r>
          </w:p>
        </w:tc>
        <w:tc>
          <w:tcPr>
            <w:tcW w:w="665" w:type="pct"/>
            <w:tcBorders>
              <w:top w:val="nil"/>
              <w:left w:val="nil"/>
              <w:bottom w:val="nil"/>
              <w:right w:val="nil"/>
            </w:tcBorders>
            <w:shd w:val="clear" w:color="auto" w:fill="auto"/>
            <w:noWrap/>
            <w:vAlign w:val="bottom"/>
            <w:hideMark/>
          </w:tcPr>
          <w:p w14:paraId="40EE0B33"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116</w:t>
            </w:r>
          </w:p>
        </w:tc>
        <w:tc>
          <w:tcPr>
            <w:tcW w:w="523" w:type="pct"/>
            <w:tcBorders>
              <w:top w:val="nil"/>
              <w:left w:val="nil"/>
              <w:bottom w:val="nil"/>
              <w:right w:val="nil"/>
            </w:tcBorders>
            <w:shd w:val="clear" w:color="auto" w:fill="auto"/>
            <w:noWrap/>
            <w:vAlign w:val="bottom"/>
            <w:hideMark/>
          </w:tcPr>
          <w:p w14:paraId="073067A4"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-2 308</w:t>
            </w:r>
          </w:p>
        </w:tc>
      </w:tr>
      <w:tr w:rsidR="009A05C7" w:rsidRPr="000B4EBC" w14:paraId="2C3F6C0D" w14:textId="77777777" w:rsidTr="000240DA">
        <w:trPr>
          <w:trHeight w:val="290"/>
        </w:trPr>
        <w:tc>
          <w:tcPr>
            <w:tcW w:w="2544" w:type="pct"/>
            <w:tcBorders>
              <w:top w:val="nil"/>
              <w:left w:val="nil"/>
              <w:bottom w:val="nil"/>
              <w:right w:val="nil"/>
            </w:tcBorders>
            <w:shd w:val="clear" w:color="auto" w:fill="auto"/>
            <w:noWrap/>
            <w:vAlign w:val="bottom"/>
            <w:hideMark/>
          </w:tcPr>
          <w:p w14:paraId="3C8B399A" w14:textId="77777777" w:rsidR="009A05C7" w:rsidRPr="000B4EBC" w:rsidRDefault="009A05C7" w:rsidP="000240DA">
            <w:pPr>
              <w:spacing w:after="0" w:line="240" w:lineRule="auto"/>
              <w:ind w:firstLineChars="200" w:firstLine="360"/>
              <w:jc w:val="left"/>
              <w:rPr>
                <w:rFonts w:eastAsia="Times New Roman" w:cs="Times New Roman"/>
                <w:sz w:val="18"/>
                <w:szCs w:val="18"/>
                <w:lang w:eastAsia="sk-SK"/>
              </w:rPr>
            </w:pPr>
            <w:r w:rsidRPr="000B4EBC">
              <w:rPr>
                <w:rFonts w:eastAsia="Times New Roman" w:cs="Times New Roman"/>
                <w:sz w:val="18"/>
                <w:szCs w:val="18"/>
                <w:lang w:eastAsia="sk-SK"/>
              </w:rPr>
              <w:t>Zdravotnícke zariadenia ústrednej správy</w:t>
            </w:r>
          </w:p>
        </w:tc>
        <w:tc>
          <w:tcPr>
            <w:tcW w:w="603" w:type="pct"/>
            <w:tcBorders>
              <w:top w:val="nil"/>
              <w:left w:val="nil"/>
              <w:bottom w:val="nil"/>
              <w:right w:val="nil"/>
            </w:tcBorders>
            <w:shd w:val="clear" w:color="auto" w:fill="auto"/>
            <w:noWrap/>
            <w:vAlign w:val="bottom"/>
            <w:hideMark/>
          </w:tcPr>
          <w:p w14:paraId="442D8CE8"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193 531</w:t>
            </w:r>
          </w:p>
        </w:tc>
        <w:tc>
          <w:tcPr>
            <w:tcW w:w="665" w:type="pct"/>
            <w:tcBorders>
              <w:top w:val="nil"/>
              <w:left w:val="nil"/>
              <w:bottom w:val="nil"/>
              <w:right w:val="nil"/>
            </w:tcBorders>
            <w:shd w:val="clear" w:color="auto" w:fill="auto"/>
            <w:noWrap/>
            <w:vAlign w:val="bottom"/>
            <w:hideMark/>
          </w:tcPr>
          <w:p w14:paraId="22837075"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187 057</w:t>
            </w:r>
          </w:p>
        </w:tc>
        <w:tc>
          <w:tcPr>
            <w:tcW w:w="665" w:type="pct"/>
            <w:tcBorders>
              <w:top w:val="nil"/>
              <w:left w:val="nil"/>
              <w:bottom w:val="nil"/>
              <w:right w:val="nil"/>
            </w:tcBorders>
            <w:shd w:val="clear" w:color="auto" w:fill="auto"/>
            <w:noWrap/>
            <w:vAlign w:val="bottom"/>
            <w:hideMark/>
          </w:tcPr>
          <w:p w14:paraId="277DF99E"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150 056</w:t>
            </w:r>
          </w:p>
        </w:tc>
        <w:tc>
          <w:tcPr>
            <w:tcW w:w="523" w:type="pct"/>
            <w:tcBorders>
              <w:top w:val="nil"/>
              <w:left w:val="nil"/>
              <w:bottom w:val="nil"/>
              <w:right w:val="nil"/>
            </w:tcBorders>
            <w:shd w:val="clear" w:color="auto" w:fill="auto"/>
            <w:noWrap/>
            <w:vAlign w:val="bottom"/>
            <w:hideMark/>
          </w:tcPr>
          <w:p w14:paraId="26DDF652"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-37 001</w:t>
            </w:r>
          </w:p>
        </w:tc>
      </w:tr>
      <w:tr w:rsidR="009A05C7" w:rsidRPr="000B4EBC" w14:paraId="44A9346E" w14:textId="77777777" w:rsidTr="000240DA">
        <w:trPr>
          <w:trHeight w:val="290"/>
        </w:trPr>
        <w:tc>
          <w:tcPr>
            <w:tcW w:w="2544" w:type="pct"/>
            <w:tcBorders>
              <w:top w:val="nil"/>
              <w:left w:val="nil"/>
              <w:bottom w:val="nil"/>
              <w:right w:val="nil"/>
            </w:tcBorders>
            <w:shd w:val="clear" w:color="auto" w:fill="auto"/>
            <w:noWrap/>
            <w:vAlign w:val="bottom"/>
            <w:hideMark/>
          </w:tcPr>
          <w:p w14:paraId="1820F469" w14:textId="77777777" w:rsidR="009A05C7" w:rsidRPr="000B4EBC" w:rsidRDefault="009A05C7" w:rsidP="000240DA">
            <w:pPr>
              <w:spacing w:after="0" w:line="240" w:lineRule="auto"/>
              <w:ind w:firstLineChars="200" w:firstLine="360"/>
              <w:jc w:val="left"/>
              <w:rPr>
                <w:rFonts w:eastAsia="Times New Roman" w:cs="Times New Roman"/>
                <w:sz w:val="18"/>
                <w:szCs w:val="18"/>
                <w:lang w:eastAsia="sk-SK"/>
              </w:rPr>
            </w:pPr>
            <w:r w:rsidRPr="000B4EBC">
              <w:rPr>
                <w:rFonts w:eastAsia="Times New Roman" w:cs="Times New Roman"/>
                <w:sz w:val="18"/>
                <w:szCs w:val="18"/>
                <w:lang w:eastAsia="sk-SK"/>
              </w:rPr>
              <w:t>Agentúra pre núdzové zásoby ropy a ropných výrobkov</w:t>
            </w:r>
          </w:p>
        </w:tc>
        <w:tc>
          <w:tcPr>
            <w:tcW w:w="603" w:type="pct"/>
            <w:tcBorders>
              <w:top w:val="nil"/>
              <w:left w:val="nil"/>
              <w:bottom w:val="nil"/>
              <w:right w:val="nil"/>
            </w:tcBorders>
            <w:shd w:val="clear" w:color="auto" w:fill="auto"/>
            <w:noWrap/>
            <w:vAlign w:val="bottom"/>
            <w:hideMark/>
          </w:tcPr>
          <w:p w14:paraId="434D10C6"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241 357</w:t>
            </w:r>
          </w:p>
        </w:tc>
        <w:tc>
          <w:tcPr>
            <w:tcW w:w="665" w:type="pct"/>
            <w:tcBorders>
              <w:top w:val="nil"/>
              <w:left w:val="nil"/>
              <w:bottom w:val="nil"/>
              <w:right w:val="nil"/>
            </w:tcBorders>
            <w:shd w:val="clear" w:color="auto" w:fill="auto"/>
            <w:noWrap/>
            <w:vAlign w:val="bottom"/>
            <w:hideMark/>
          </w:tcPr>
          <w:p w14:paraId="7E895158"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220 348</w:t>
            </w:r>
          </w:p>
        </w:tc>
        <w:tc>
          <w:tcPr>
            <w:tcW w:w="665" w:type="pct"/>
            <w:tcBorders>
              <w:top w:val="nil"/>
              <w:left w:val="nil"/>
              <w:bottom w:val="nil"/>
              <w:right w:val="nil"/>
            </w:tcBorders>
            <w:shd w:val="clear" w:color="auto" w:fill="auto"/>
            <w:noWrap/>
            <w:vAlign w:val="bottom"/>
            <w:hideMark/>
          </w:tcPr>
          <w:p w14:paraId="75029FDE"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147 253</w:t>
            </w:r>
          </w:p>
        </w:tc>
        <w:tc>
          <w:tcPr>
            <w:tcW w:w="523" w:type="pct"/>
            <w:tcBorders>
              <w:top w:val="nil"/>
              <w:left w:val="nil"/>
              <w:bottom w:val="nil"/>
              <w:right w:val="nil"/>
            </w:tcBorders>
            <w:shd w:val="clear" w:color="auto" w:fill="auto"/>
            <w:noWrap/>
            <w:vAlign w:val="bottom"/>
            <w:hideMark/>
          </w:tcPr>
          <w:p w14:paraId="00BBEE14"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-73 095</w:t>
            </w:r>
          </w:p>
        </w:tc>
      </w:tr>
      <w:tr w:rsidR="009A05C7" w:rsidRPr="000B4EBC" w14:paraId="49349C3E" w14:textId="77777777" w:rsidTr="000240DA">
        <w:trPr>
          <w:trHeight w:val="290"/>
        </w:trPr>
        <w:tc>
          <w:tcPr>
            <w:tcW w:w="2544" w:type="pct"/>
            <w:tcBorders>
              <w:top w:val="nil"/>
              <w:left w:val="nil"/>
              <w:bottom w:val="nil"/>
              <w:right w:val="nil"/>
            </w:tcBorders>
            <w:shd w:val="clear" w:color="auto" w:fill="auto"/>
            <w:noWrap/>
            <w:vAlign w:val="bottom"/>
            <w:hideMark/>
          </w:tcPr>
          <w:p w14:paraId="2A4D3E86" w14:textId="77777777" w:rsidR="009A05C7" w:rsidRPr="000B4EBC" w:rsidRDefault="009A05C7" w:rsidP="000240DA">
            <w:pPr>
              <w:spacing w:after="0" w:line="240" w:lineRule="auto"/>
              <w:ind w:firstLineChars="200" w:firstLine="360"/>
              <w:jc w:val="left"/>
              <w:rPr>
                <w:rFonts w:eastAsia="Times New Roman" w:cs="Times New Roman"/>
                <w:sz w:val="18"/>
                <w:szCs w:val="18"/>
                <w:lang w:eastAsia="sk-SK"/>
              </w:rPr>
            </w:pPr>
            <w:r w:rsidRPr="000B4EBC">
              <w:rPr>
                <w:rFonts w:eastAsia="Times New Roman" w:cs="Times New Roman"/>
                <w:sz w:val="18"/>
                <w:szCs w:val="18"/>
                <w:lang w:eastAsia="sk-SK"/>
              </w:rPr>
              <w:t>Ostatné subjekty ústrednej správy</w:t>
            </w:r>
          </w:p>
        </w:tc>
        <w:tc>
          <w:tcPr>
            <w:tcW w:w="603" w:type="pct"/>
            <w:tcBorders>
              <w:top w:val="nil"/>
              <w:left w:val="nil"/>
              <w:bottom w:val="nil"/>
              <w:right w:val="nil"/>
            </w:tcBorders>
            <w:shd w:val="clear" w:color="auto" w:fill="auto"/>
            <w:noWrap/>
            <w:vAlign w:val="bottom"/>
            <w:hideMark/>
          </w:tcPr>
          <w:p w14:paraId="70646275"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25 171</w:t>
            </w:r>
          </w:p>
        </w:tc>
        <w:tc>
          <w:tcPr>
            <w:tcW w:w="665" w:type="pct"/>
            <w:tcBorders>
              <w:top w:val="nil"/>
              <w:left w:val="nil"/>
              <w:bottom w:val="nil"/>
              <w:right w:val="nil"/>
            </w:tcBorders>
            <w:shd w:val="clear" w:color="auto" w:fill="auto"/>
            <w:noWrap/>
            <w:vAlign w:val="bottom"/>
            <w:hideMark/>
          </w:tcPr>
          <w:p w14:paraId="56222328"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13 809</w:t>
            </w:r>
          </w:p>
        </w:tc>
        <w:tc>
          <w:tcPr>
            <w:tcW w:w="665" w:type="pct"/>
            <w:tcBorders>
              <w:top w:val="nil"/>
              <w:left w:val="nil"/>
              <w:bottom w:val="nil"/>
              <w:right w:val="nil"/>
            </w:tcBorders>
            <w:shd w:val="clear" w:color="auto" w:fill="auto"/>
            <w:noWrap/>
            <w:vAlign w:val="bottom"/>
            <w:hideMark/>
          </w:tcPr>
          <w:p w14:paraId="76AB8AB9"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11 998</w:t>
            </w:r>
          </w:p>
        </w:tc>
        <w:tc>
          <w:tcPr>
            <w:tcW w:w="523" w:type="pct"/>
            <w:tcBorders>
              <w:top w:val="nil"/>
              <w:left w:val="nil"/>
              <w:bottom w:val="nil"/>
              <w:right w:val="nil"/>
            </w:tcBorders>
            <w:shd w:val="clear" w:color="auto" w:fill="auto"/>
            <w:noWrap/>
            <w:vAlign w:val="bottom"/>
            <w:hideMark/>
          </w:tcPr>
          <w:p w14:paraId="2DF5C934"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-1 811</w:t>
            </w:r>
          </w:p>
        </w:tc>
      </w:tr>
      <w:tr w:rsidR="009A05C7" w:rsidRPr="000B4EBC" w14:paraId="7026D607" w14:textId="77777777" w:rsidTr="000240DA">
        <w:trPr>
          <w:trHeight w:val="290"/>
        </w:trPr>
        <w:tc>
          <w:tcPr>
            <w:tcW w:w="2544" w:type="pct"/>
            <w:tcBorders>
              <w:top w:val="nil"/>
              <w:left w:val="nil"/>
              <w:bottom w:val="nil"/>
              <w:right w:val="nil"/>
            </w:tcBorders>
            <w:shd w:val="clear" w:color="auto" w:fill="auto"/>
            <w:noWrap/>
            <w:vAlign w:val="bottom"/>
            <w:hideMark/>
          </w:tcPr>
          <w:p w14:paraId="025AD3E3" w14:textId="77777777" w:rsidR="009A05C7" w:rsidRPr="000B4EBC" w:rsidRDefault="009A05C7" w:rsidP="000240DA">
            <w:pPr>
              <w:spacing w:after="0" w:line="240" w:lineRule="auto"/>
              <w:jc w:val="left"/>
              <w:rPr>
                <w:rFonts w:eastAsia="Times New Roman" w:cs="Times New Roman"/>
                <w:b/>
                <w:bCs/>
                <w:sz w:val="18"/>
                <w:szCs w:val="18"/>
                <w:lang w:eastAsia="sk-SK"/>
              </w:rPr>
            </w:pPr>
            <w:r w:rsidRPr="000B4EBC">
              <w:rPr>
                <w:rFonts w:eastAsia="Times New Roman" w:cs="Times New Roman"/>
                <w:b/>
                <w:bCs/>
                <w:sz w:val="18"/>
                <w:szCs w:val="18"/>
                <w:lang w:eastAsia="sk-SK"/>
              </w:rPr>
              <w:t>Územná samospráva</w:t>
            </w:r>
          </w:p>
        </w:tc>
        <w:tc>
          <w:tcPr>
            <w:tcW w:w="603" w:type="pct"/>
            <w:tcBorders>
              <w:top w:val="nil"/>
              <w:left w:val="nil"/>
              <w:bottom w:val="nil"/>
              <w:right w:val="nil"/>
            </w:tcBorders>
            <w:shd w:val="clear" w:color="auto" w:fill="auto"/>
            <w:noWrap/>
            <w:vAlign w:val="bottom"/>
            <w:hideMark/>
          </w:tcPr>
          <w:p w14:paraId="717F6B60" w14:textId="77777777" w:rsidR="009A05C7" w:rsidRPr="000B4EBC" w:rsidRDefault="009A05C7" w:rsidP="000240DA">
            <w:pPr>
              <w:spacing w:after="0" w:line="240" w:lineRule="auto"/>
              <w:jc w:val="left"/>
              <w:rPr>
                <w:rFonts w:eastAsia="Times New Roman" w:cs="Times New Roman"/>
                <w:b/>
                <w:bCs/>
                <w:sz w:val="18"/>
                <w:szCs w:val="18"/>
                <w:lang w:eastAsia="sk-SK"/>
              </w:rPr>
            </w:pPr>
          </w:p>
        </w:tc>
        <w:tc>
          <w:tcPr>
            <w:tcW w:w="665" w:type="pct"/>
            <w:tcBorders>
              <w:top w:val="nil"/>
              <w:left w:val="nil"/>
              <w:bottom w:val="nil"/>
              <w:right w:val="nil"/>
            </w:tcBorders>
            <w:shd w:val="clear" w:color="auto" w:fill="auto"/>
            <w:noWrap/>
            <w:vAlign w:val="bottom"/>
            <w:hideMark/>
          </w:tcPr>
          <w:p w14:paraId="40473FC2" w14:textId="77777777" w:rsidR="009A05C7" w:rsidRPr="000B4EBC" w:rsidRDefault="009A05C7" w:rsidP="000240DA">
            <w:pPr>
              <w:spacing w:after="0" w:line="240" w:lineRule="auto"/>
              <w:jc w:val="left"/>
              <w:rPr>
                <w:rFonts w:eastAsia="Times New Roman" w:cs="Times New Roman"/>
                <w:sz w:val="18"/>
                <w:szCs w:val="18"/>
                <w:lang w:eastAsia="sk-SK"/>
              </w:rPr>
            </w:pPr>
          </w:p>
        </w:tc>
        <w:tc>
          <w:tcPr>
            <w:tcW w:w="665" w:type="pct"/>
            <w:tcBorders>
              <w:top w:val="nil"/>
              <w:left w:val="nil"/>
              <w:bottom w:val="nil"/>
              <w:right w:val="nil"/>
            </w:tcBorders>
            <w:shd w:val="clear" w:color="auto" w:fill="auto"/>
            <w:noWrap/>
            <w:vAlign w:val="bottom"/>
            <w:hideMark/>
          </w:tcPr>
          <w:p w14:paraId="0865C607" w14:textId="77777777" w:rsidR="009A05C7" w:rsidRPr="000B4EBC" w:rsidRDefault="009A05C7" w:rsidP="000240DA">
            <w:pPr>
              <w:spacing w:after="0" w:line="240" w:lineRule="auto"/>
              <w:jc w:val="left"/>
              <w:rPr>
                <w:rFonts w:eastAsia="Times New Roman" w:cs="Times New Roman"/>
                <w:sz w:val="18"/>
                <w:szCs w:val="18"/>
                <w:lang w:eastAsia="sk-SK"/>
              </w:rPr>
            </w:pPr>
          </w:p>
        </w:tc>
        <w:tc>
          <w:tcPr>
            <w:tcW w:w="523" w:type="pct"/>
            <w:tcBorders>
              <w:top w:val="nil"/>
              <w:left w:val="nil"/>
              <w:bottom w:val="nil"/>
              <w:right w:val="nil"/>
            </w:tcBorders>
            <w:shd w:val="clear" w:color="auto" w:fill="auto"/>
            <w:noWrap/>
            <w:vAlign w:val="bottom"/>
            <w:hideMark/>
          </w:tcPr>
          <w:p w14:paraId="436AB822" w14:textId="77777777" w:rsidR="009A05C7" w:rsidRPr="000B4EBC" w:rsidRDefault="009A05C7" w:rsidP="000240DA">
            <w:pPr>
              <w:spacing w:after="0" w:line="240" w:lineRule="auto"/>
              <w:jc w:val="left"/>
              <w:rPr>
                <w:rFonts w:eastAsia="Times New Roman" w:cs="Times New Roman"/>
                <w:sz w:val="18"/>
                <w:szCs w:val="18"/>
                <w:lang w:eastAsia="sk-SK"/>
              </w:rPr>
            </w:pPr>
          </w:p>
        </w:tc>
      </w:tr>
      <w:tr w:rsidR="009A05C7" w:rsidRPr="000B4EBC" w14:paraId="32282F70" w14:textId="77777777" w:rsidTr="000240DA">
        <w:trPr>
          <w:trHeight w:val="290"/>
        </w:trPr>
        <w:tc>
          <w:tcPr>
            <w:tcW w:w="2544" w:type="pct"/>
            <w:tcBorders>
              <w:top w:val="nil"/>
              <w:left w:val="nil"/>
              <w:bottom w:val="nil"/>
              <w:right w:val="nil"/>
            </w:tcBorders>
            <w:shd w:val="clear" w:color="auto" w:fill="auto"/>
            <w:noWrap/>
            <w:vAlign w:val="bottom"/>
            <w:hideMark/>
          </w:tcPr>
          <w:p w14:paraId="1CEDB70B" w14:textId="77777777" w:rsidR="009A05C7" w:rsidRPr="000B4EBC" w:rsidRDefault="009A05C7" w:rsidP="000240DA">
            <w:pPr>
              <w:spacing w:after="0" w:line="240" w:lineRule="auto"/>
              <w:ind w:firstLineChars="200" w:firstLine="360"/>
              <w:jc w:val="left"/>
              <w:rPr>
                <w:rFonts w:eastAsia="Times New Roman" w:cs="Times New Roman"/>
                <w:sz w:val="18"/>
                <w:szCs w:val="18"/>
                <w:lang w:eastAsia="sk-SK"/>
              </w:rPr>
            </w:pPr>
            <w:r w:rsidRPr="000B4EBC">
              <w:rPr>
                <w:rFonts w:eastAsia="Times New Roman" w:cs="Times New Roman"/>
                <w:sz w:val="18"/>
                <w:szCs w:val="18"/>
                <w:lang w:eastAsia="sk-SK"/>
              </w:rPr>
              <w:t>Obce a ich rozpočtové organizácie</w:t>
            </w:r>
          </w:p>
        </w:tc>
        <w:tc>
          <w:tcPr>
            <w:tcW w:w="603" w:type="pct"/>
            <w:tcBorders>
              <w:top w:val="nil"/>
              <w:left w:val="nil"/>
              <w:bottom w:val="nil"/>
              <w:right w:val="nil"/>
            </w:tcBorders>
            <w:shd w:val="clear" w:color="auto" w:fill="auto"/>
            <w:noWrap/>
            <w:vAlign w:val="bottom"/>
            <w:hideMark/>
          </w:tcPr>
          <w:p w14:paraId="6693D512"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1 751 497</w:t>
            </w:r>
          </w:p>
        </w:tc>
        <w:tc>
          <w:tcPr>
            <w:tcW w:w="665" w:type="pct"/>
            <w:tcBorders>
              <w:top w:val="nil"/>
              <w:left w:val="nil"/>
              <w:bottom w:val="nil"/>
              <w:right w:val="nil"/>
            </w:tcBorders>
            <w:shd w:val="clear" w:color="auto" w:fill="auto"/>
            <w:noWrap/>
            <w:vAlign w:val="bottom"/>
            <w:hideMark/>
          </w:tcPr>
          <w:p w14:paraId="5061F698"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1 833 794</w:t>
            </w:r>
          </w:p>
        </w:tc>
        <w:tc>
          <w:tcPr>
            <w:tcW w:w="665" w:type="pct"/>
            <w:tcBorders>
              <w:top w:val="nil"/>
              <w:left w:val="nil"/>
              <w:bottom w:val="nil"/>
              <w:right w:val="nil"/>
            </w:tcBorders>
            <w:shd w:val="clear" w:color="auto" w:fill="auto"/>
            <w:noWrap/>
            <w:vAlign w:val="bottom"/>
            <w:hideMark/>
          </w:tcPr>
          <w:p w14:paraId="593E0400"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1 855 142</w:t>
            </w:r>
          </w:p>
        </w:tc>
        <w:tc>
          <w:tcPr>
            <w:tcW w:w="523" w:type="pct"/>
            <w:tcBorders>
              <w:top w:val="nil"/>
              <w:left w:val="nil"/>
              <w:bottom w:val="nil"/>
              <w:right w:val="nil"/>
            </w:tcBorders>
            <w:shd w:val="clear" w:color="auto" w:fill="auto"/>
            <w:noWrap/>
            <w:vAlign w:val="bottom"/>
            <w:hideMark/>
          </w:tcPr>
          <w:p w14:paraId="3B2C6B96"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21 348</w:t>
            </w:r>
          </w:p>
        </w:tc>
      </w:tr>
      <w:tr w:rsidR="009A05C7" w:rsidRPr="000B4EBC" w14:paraId="226713AB" w14:textId="77777777" w:rsidTr="000240DA">
        <w:trPr>
          <w:trHeight w:val="290"/>
        </w:trPr>
        <w:tc>
          <w:tcPr>
            <w:tcW w:w="2544" w:type="pct"/>
            <w:tcBorders>
              <w:top w:val="nil"/>
              <w:left w:val="nil"/>
              <w:bottom w:val="nil"/>
              <w:right w:val="nil"/>
            </w:tcBorders>
            <w:shd w:val="clear" w:color="auto" w:fill="auto"/>
            <w:noWrap/>
            <w:vAlign w:val="bottom"/>
            <w:hideMark/>
          </w:tcPr>
          <w:p w14:paraId="4AB09C46" w14:textId="77777777" w:rsidR="009A05C7" w:rsidRPr="000B4EBC" w:rsidRDefault="009A05C7" w:rsidP="000240DA">
            <w:pPr>
              <w:spacing w:after="0" w:line="240" w:lineRule="auto"/>
              <w:ind w:firstLineChars="200" w:firstLine="360"/>
              <w:jc w:val="left"/>
              <w:rPr>
                <w:rFonts w:eastAsia="Times New Roman" w:cs="Times New Roman"/>
                <w:sz w:val="18"/>
                <w:szCs w:val="18"/>
                <w:lang w:eastAsia="sk-SK"/>
              </w:rPr>
            </w:pPr>
            <w:r w:rsidRPr="000B4EBC">
              <w:rPr>
                <w:rFonts w:eastAsia="Times New Roman" w:cs="Times New Roman"/>
                <w:sz w:val="18"/>
                <w:szCs w:val="18"/>
                <w:lang w:eastAsia="sk-SK"/>
              </w:rPr>
              <w:t>Vyššie územné celky a ich rozpočtové organizácie</w:t>
            </w:r>
          </w:p>
        </w:tc>
        <w:tc>
          <w:tcPr>
            <w:tcW w:w="603" w:type="pct"/>
            <w:tcBorders>
              <w:top w:val="nil"/>
              <w:left w:val="nil"/>
              <w:bottom w:val="nil"/>
              <w:right w:val="nil"/>
            </w:tcBorders>
            <w:shd w:val="clear" w:color="auto" w:fill="auto"/>
            <w:noWrap/>
            <w:vAlign w:val="bottom"/>
            <w:hideMark/>
          </w:tcPr>
          <w:p w14:paraId="7468194B"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565 287</w:t>
            </w:r>
          </w:p>
        </w:tc>
        <w:tc>
          <w:tcPr>
            <w:tcW w:w="665" w:type="pct"/>
            <w:tcBorders>
              <w:top w:val="nil"/>
              <w:left w:val="nil"/>
              <w:bottom w:val="nil"/>
              <w:right w:val="nil"/>
            </w:tcBorders>
            <w:shd w:val="clear" w:color="auto" w:fill="auto"/>
            <w:noWrap/>
            <w:vAlign w:val="bottom"/>
            <w:hideMark/>
          </w:tcPr>
          <w:p w14:paraId="589F59B7"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701 518</w:t>
            </w:r>
          </w:p>
        </w:tc>
        <w:tc>
          <w:tcPr>
            <w:tcW w:w="665" w:type="pct"/>
            <w:tcBorders>
              <w:top w:val="nil"/>
              <w:left w:val="nil"/>
              <w:bottom w:val="nil"/>
              <w:right w:val="nil"/>
            </w:tcBorders>
            <w:shd w:val="clear" w:color="auto" w:fill="auto"/>
            <w:noWrap/>
            <w:vAlign w:val="bottom"/>
            <w:hideMark/>
          </w:tcPr>
          <w:p w14:paraId="7441AAE7"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652 106</w:t>
            </w:r>
          </w:p>
        </w:tc>
        <w:tc>
          <w:tcPr>
            <w:tcW w:w="523" w:type="pct"/>
            <w:tcBorders>
              <w:top w:val="nil"/>
              <w:left w:val="nil"/>
              <w:bottom w:val="nil"/>
              <w:right w:val="nil"/>
            </w:tcBorders>
            <w:shd w:val="clear" w:color="auto" w:fill="auto"/>
            <w:noWrap/>
            <w:vAlign w:val="bottom"/>
            <w:hideMark/>
          </w:tcPr>
          <w:p w14:paraId="16464F90"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-49 412</w:t>
            </w:r>
          </w:p>
        </w:tc>
      </w:tr>
      <w:tr w:rsidR="009A05C7" w:rsidRPr="000B4EBC" w14:paraId="1580D968" w14:textId="77777777" w:rsidTr="000240DA">
        <w:trPr>
          <w:trHeight w:val="290"/>
        </w:trPr>
        <w:tc>
          <w:tcPr>
            <w:tcW w:w="2544" w:type="pct"/>
            <w:tcBorders>
              <w:top w:val="nil"/>
              <w:left w:val="nil"/>
              <w:bottom w:val="nil"/>
              <w:right w:val="nil"/>
            </w:tcBorders>
            <w:shd w:val="clear" w:color="auto" w:fill="auto"/>
            <w:noWrap/>
            <w:vAlign w:val="bottom"/>
            <w:hideMark/>
          </w:tcPr>
          <w:p w14:paraId="676A3E1E" w14:textId="77777777" w:rsidR="009A05C7" w:rsidRPr="000B4EBC" w:rsidRDefault="009A05C7" w:rsidP="000240DA">
            <w:pPr>
              <w:spacing w:after="0" w:line="240" w:lineRule="auto"/>
              <w:ind w:firstLineChars="200" w:firstLine="360"/>
              <w:jc w:val="left"/>
              <w:rPr>
                <w:rFonts w:eastAsia="Times New Roman" w:cs="Times New Roman"/>
                <w:sz w:val="18"/>
                <w:szCs w:val="18"/>
                <w:lang w:eastAsia="sk-SK"/>
              </w:rPr>
            </w:pPr>
            <w:r w:rsidRPr="000B4EBC">
              <w:rPr>
                <w:rFonts w:eastAsia="Times New Roman" w:cs="Times New Roman"/>
                <w:sz w:val="18"/>
                <w:szCs w:val="18"/>
                <w:lang w:eastAsia="sk-SK"/>
              </w:rPr>
              <w:t>Príspevkové organizácie obcí</w:t>
            </w:r>
          </w:p>
        </w:tc>
        <w:tc>
          <w:tcPr>
            <w:tcW w:w="603" w:type="pct"/>
            <w:tcBorders>
              <w:top w:val="nil"/>
              <w:left w:val="nil"/>
              <w:bottom w:val="nil"/>
              <w:right w:val="nil"/>
            </w:tcBorders>
            <w:shd w:val="clear" w:color="auto" w:fill="auto"/>
            <w:noWrap/>
            <w:vAlign w:val="bottom"/>
            <w:hideMark/>
          </w:tcPr>
          <w:p w14:paraId="71DDEB2C"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1 722</w:t>
            </w:r>
          </w:p>
        </w:tc>
        <w:tc>
          <w:tcPr>
            <w:tcW w:w="665" w:type="pct"/>
            <w:tcBorders>
              <w:top w:val="nil"/>
              <w:left w:val="nil"/>
              <w:bottom w:val="nil"/>
              <w:right w:val="nil"/>
            </w:tcBorders>
            <w:shd w:val="clear" w:color="auto" w:fill="auto"/>
            <w:noWrap/>
            <w:vAlign w:val="bottom"/>
            <w:hideMark/>
          </w:tcPr>
          <w:p w14:paraId="6993F4DD"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2 849</w:t>
            </w:r>
          </w:p>
        </w:tc>
        <w:tc>
          <w:tcPr>
            <w:tcW w:w="665" w:type="pct"/>
            <w:tcBorders>
              <w:top w:val="nil"/>
              <w:left w:val="nil"/>
              <w:bottom w:val="nil"/>
              <w:right w:val="nil"/>
            </w:tcBorders>
            <w:shd w:val="clear" w:color="auto" w:fill="auto"/>
            <w:noWrap/>
            <w:vAlign w:val="bottom"/>
            <w:hideMark/>
          </w:tcPr>
          <w:p w14:paraId="6C25A21E"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2 686</w:t>
            </w:r>
          </w:p>
        </w:tc>
        <w:tc>
          <w:tcPr>
            <w:tcW w:w="523" w:type="pct"/>
            <w:tcBorders>
              <w:top w:val="nil"/>
              <w:left w:val="nil"/>
              <w:bottom w:val="nil"/>
              <w:right w:val="nil"/>
            </w:tcBorders>
            <w:shd w:val="clear" w:color="auto" w:fill="auto"/>
            <w:noWrap/>
            <w:vAlign w:val="bottom"/>
            <w:hideMark/>
          </w:tcPr>
          <w:p w14:paraId="7AC93EF3"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-163</w:t>
            </w:r>
          </w:p>
        </w:tc>
      </w:tr>
      <w:tr w:rsidR="009A05C7" w:rsidRPr="000B4EBC" w14:paraId="302487AB" w14:textId="77777777" w:rsidTr="000240DA">
        <w:trPr>
          <w:trHeight w:val="290"/>
        </w:trPr>
        <w:tc>
          <w:tcPr>
            <w:tcW w:w="2544" w:type="pct"/>
            <w:tcBorders>
              <w:top w:val="nil"/>
              <w:left w:val="nil"/>
              <w:bottom w:val="nil"/>
              <w:right w:val="nil"/>
            </w:tcBorders>
            <w:shd w:val="clear" w:color="auto" w:fill="auto"/>
            <w:noWrap/>
            <w:vAlign w:val="bottom"/>
            <w:hideMark/>
          </w:tcPr>
          <w:p w14:paraId="0B211844" w14:textId="77777777" w:rsidR="009A05C7" w:rsidRPr="000B4EBC" w:rsidRDefault="009A05C7" w:rsidP="000240DA">
            <w:pPr>
              <w:spacing w:after="0" w:line="240" w:lineRule="auto"/>
              <w:ind w:firstLineChars="200" w:firstLine="360"/>
              <w:jc w:val="left"/>
              <w:rPr>
                <w:rFonts w:eastAsia="Times New Roman" w:cs="Times New Roman"/>
                <w:sz w:val="18"/>
                <w:szCs w:val="18"/>
                <w:lang w:eastAsia="sk-SK"/>
              </w:rPr>
            </w:pPr>
            <w:r w:rsidRPr="000B4EBC">
              <w:rPr>
                <w:rFonts w:eastAsia="Times New Roman" w:cs="Times New Roman"/>
                <w:sz w:val="18"/>
                <w:szCs w:val="18"/>
                <w:lang w:eastAsia="sk-SK"/>
              </w:rPr>
              <w:t>Príspevkové organizácie VÚC</w:t>
            </w:r>
          </w:p>
        </w:tc>
        <w:tc>
          <w:tcPr>
            <w:tcW w:w="603" w:type="pct"/>
            <w:tcBorders>
              <w:top w:val="nil"/>
              <w:left w:val="nil"/>
              <w:bottom w:val="nil"/>
              <w:right w:val="nil"/>
            </w:tcBorders>
            <w:shd w:val="clear" w:color="auto" w:fill="auto"/>
            <w:noWrap/>
            <w:vAlign w:val="bottom"/>
            <w:hideMark/>
          </w:tcPr>
          <w:p w14:paraId="0FACA5FF"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1 246</w:t>
            </w:r>
          </w:p>
        </w:tc>
        <w:tc>
          <w:tcPr>
            <w:tcW w:w="665" w:type="pct"/>
            <w:tcBorders>
              <w:top w:val="nil"/>
              <w:left w:val="nil"/>
              <w:bottom w:val="nil"/>
              <w:right w:val="nil"/>
            </w:tcBorders>
            <w:shd w:val="clear" w:color="auto" w:fill="auto"/>
            <w:noWrap/>
            <w:vAlign w:val="bottom"/>
            <w:hideMark/>
          </w:tcPr>
          <w:p w14:paraId="6D68F170"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1 345</w:t>
            </w:r>
          </w:p>
        </w:tc>
        <w:tc>
          <w:tcPr>
            <w:tcW w:w="665" w:type="pct"/>
            <w:tcBorders>
              <w:top w:val="nil"/>
              <w:left w:val="nil"/>
              <w:bottom w:val="nil"/>
              <w:right w:val="nil"/>
            </w:tcBorders>
            <w:shd w:val="clear" w:color="auto" w:fill="auto"/>
            <w:noWrap/>
            <w:vAlign w:val="bottom"/>
            <w:hideMark/>
          </w:tcPr>
          <w:p w14:paraId="6E0352AA"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1 544</w:t>
            </w:r>
          </w:p>
        </w:tc>
        <w:tc>
          <w:tcPr>
            <w:tcW w:w="523" w:type="pct"/>
            <w:tcBorders>
              <w:top w:val="nil"/>
              <w:left w:val="nil"/>
              <w:bottom w:val="nil"/>
              <w:right w:val="nil"/>
            </w:tcBorders>
            <w:shd w:val="clear" w:color="auto" w:fill="auto"/>
            <w:noWrap/>
            <w:vAlign w:val="bottom"/>
            <w:hideMark/>
          </w:tcPr>
          <w:p w14:paraId="10874310"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199</w:t>
            </w:r>
          </w:p>
        </w:tc>
      </w:tr>
      <w:tr w:rsidR="009A05C7" w:rsidRPr="000B4EBC" w14:paraId="4A5A4FAA" w14:textId="77777777" w:rsidTr="000240DA">
        <w:trPr>
          <w:trHeight w:val="290"/>
        </w:trPr>
        <w:tc>
          <w:tcPr>
            <w:tcW w:w="2544" w:type="pct"/>
            <w:tcBorders>
              <w:top w:val="nil"/>
              <w:left w:val="nil"/>
              <w:bottom w:val="nil"/>
              <w:right w:val="nil"/>
            </w:tcBorders>
            <w:shd w:val="clear" w:color="auto" w:fill="auto"/>
            <w:noWrap/>
            <w:vAlign w:val="bottom"/>
            <w:hideMark/>
          </w:tcPr>
          <w:p w14:paraId="04757035" w14:textId="77777777" w:rsidR="009A05C7" w:rsidRPr="000B4EBC" w:rsidRDefault="009A05C7" w:rsidP="000240DA">
            <w:pPr>
              <w:spacing w:after="0" w:line="240" w:lineRule="auto"/>
              <w:ind w:firstLineChars="200" w:firstLine="360"/>
              <w:jc w:val="left"/>
              <w:rPr>
                <w:rFonts w:eastAsia="Times New Roman" w:cs="Times New Roman"/>
                <w:sz w:val="18"/>
                <w:szCs w:val="18"/>
                <w:lang w:eastAsia="sk-SK"/>
              </w:rPr>
            </w:pPr>
            <w:r w:rsidRPr="000B4EBC">
              <w:rPr>
                <w:rFonts w:eastAsia="Times New Roman" w:cs="Times New Roman"/>
                <w:sz w:val="18"/>
                <w:szCs w:val="18"/>
                <w:lang w:eastAsia="sk-SK"/>
              </w:rPr>
              <w:t>Dopravné podniky</w:t>
            </w:r>
          </w:p>
        </w:tc>
        <w:tc>
          <w:tcPr>
            <w:tcW w:w="603" w:type="pct"/>
            <w:tcBorders>
              <w:top w:val="nil"/>
              <w:left w:val="nil"/>
              <w:bottom w:val="nil"/>
              <w:right w:val="nil"/>
            </w:tcBorders>
            <w:shd w:val="clear" w:color="auto" w:fill="auto"/>
            <w:noWrap/>
            <w:vAlign w:val="bottom"/>
            <w:hideMark/>
          </w:tcPr>
          <w:p w14:paraId="285E66DD"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106 800</w:t>
            </w:r>
          </w:p>
        </w:tc>
        <w:tc>
          <w:tcPr>
            <w:tcW w:w="665" w:type="pct"/>
            <w:tcBorders>
              <w:top w:val="nil"/>
              <w:left w:val="nil"/>
              <w:bottom w:val="nil"/>
              <w:right w:val="nil"/>
            </w:tcBorders>
            <w:shd w:val="clear" w:color="auto" w:fill="auto"/>
            <w:noWrap/>
            <w:vAlign w:val="bottom"/>
            <w:hideMark/>
          </w:tcPr>
          <w:p w14:paraId="489CFC4F"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97 120</w:t>
            </w:r>
          </w:p>
        </w:tc>
        <w:tc>
          <w:tcPr>
            <w:tcW w:w="665" w:type="pct"/>
            <w:tcBorders>
              <w:top w:val="nil"/>
              <w:left w:val="nil"/>
              <w:bottom w:val="nil"/>
              <w:right w:val="nil"/>
            </w:tcBorders>
            <w:shd w:val="clear" w:color="auto" w:fill="auto"/>
            <w:noWrap/>
            <w:vAlign w:val="bottom"/>
            <w:hideMark/>
          </w:tcPr>
          <w:p w14:paraId="49883C3D"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90 938</w:t>
            </w:r>
          </w:p>
        </w:tc>
        <w:tc>
          <w:tcPr>
            <w:tcW w:w="523" w:type="pct"/>
            <w:tcBorders>
              <w:top w:val="nil"/>
              <w:left w:val="nil"/>
              <w:bottom w:val="nil"/>
              <w:right w:val="nil"/>
            </w:tcBorders>
            <w:shd w:val="clear" w:color="auto" w:fill="auto"/>
            <w:noWrap/>
            <w:vAlign w:val="bottom"/>
            <w:hideMark/>
          </w:tcPr>
          <w:p w14:paraId="0A7BCC53"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-6 182</w:t>
            </w:r>
          </w:p>
        </w:tc>
      </w:tr>
      <w:tr w:rsidR="009A05C7" w:rsidRPr="000B4EBC" w14:paraId="0053B007" w14:textId="77777777" w:rsidTr="000240DA">
        <w:trPr>
          <w:trHeight w:val="290"/>
        </w:trPr>
        <w:tc>
          <w:tcPr>
            <w:tcW w:w="2544" w:type="pct"/>
            <w:tcBorders>
              <w:top w:val="nil"/>
              <w:left w:val="nil"/>
              <w:bottom w:val="nil"/>
              <w:right w:val="nil"/>
            </w:tcBorders>
            <w:shd w:val="clear" w:color="auto" w:fill="auto"/>
            <w:noWrap/>
            <w:vAlign w:val="bottom"/>
            <w:hideMark/>
          </w:tcPr>
          <w:p w14:paraId="05AEF97D" w14:textId="77777777" w:rsidR="009A05C7" w:rsidRPr="000B4EBC" w:rsidRDefault="009A05C7" w:rsidP="000240DA">
            <w:pPr>
              <w:spacing w:after="0" w:line="240" w:lineRule="auto"/>
              <w:ind w:firstLineChars="200" w:firstLine="360"/>
              <w:jc w:val="left"/>
              <w:rPr>
                <w:rFonts w:eastAsia="Times New Roman" w:cs="Times New Roman"/>
                <w:sz w:val="18"/>
                <w:szCs w:val="18"/>
                <w:lang w:eastAsia="sk-SK"/>
              </w:rPr>
            </w:pPr>
            <w:r w:rsidRPr="000B4EBC">
              <w:rPr>
                <w:rFonts w:eastAsia="Times New Roman" w:cs="Times New Roman"/>
                <w:sz w:val="18"/>
                <w:szCs w:val="18"/>
                <w:lang w:eastAsia="sk-SK"/>
              </w:rPr>
              <w:t>Zdravotnícke zariadenia miestnej samosprávy</w:t>
            </w:r>
          </w:p>
        </w:tc>
        <w:tc>
          <w:tcPr>
            <w:tcW w:w="603" w:type="pct"/>
            <w:tcBorders>
              <w:top w:val="nil"/>
              <w:left w:val="nil"/>
              <w:bottom w:val="nil"/>
              <w:right w:val="nil"/>
            </w:tcBorders>
            <w:shd w:val="clear" w:color="auto" w:fill="auto"/>
            <w:noWrap/>
            <w:vAlign w:val="bottom"/>
            <w:hideMark/>
          </w:tcPr>
          <w:p w14:paraId="24A5E3E3"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3 362</w:t>
            </w:r>
          </w:p>
        </w:tc>
        <w:tc>
          <w:tcPr>
            <w:tcW w:w="665" w:type="pct"/>
            <w:tcBorders>
              <w:top w:val="nil"/>
              <w:left w:val="nil"/>
              <w:bottom w:val="nil"/>
              <w:right w:val="nil"/>
            </w:tcBorders>
            <w:shd w:val="clear" w:color="auto" w:fill="auto"/>
            <w:noWrap/>
            <w:vAlign w:val="bottom"/>
            <w:hideMark/>
          </w:tcPr>
          <w:p w14:paraId="0B244D24"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3 147</w:t>
            </w:r>
          </w:p>
        </w:tc>
        <w:tc>
          <w:tcPr>
            <w:tcW w:w="665" w:type="pct"/>
            <w:tcBorders>
              <w:top w:val="nil"/>
              <w:left w:val="nil"/>
              <w:bottom w:val="nil"/>
              <w:right w:val="nil"/>
            </w:tcBorders>
            <w:shd w:val="clear" w:color="auto" w:fill="auto"/>
            <w:noWrap/>
            <w:vAlign w:val="bottom"/>
            <w:hideMark/>
          </w:tcPr>
          <w:p w14:paraId="0AB0111C"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2 988</w:t>
            </w:r>
          </w:p>
        </w:tc>
        <w:tc>
          <w:tcPr>
            <w:tcW w:w="523" w:type="pct"/>
            <w:tcBorders>
              <w:top w:val="nil"/>
              <w:left w:val="nil"/>
              <w:bottom w:val="nil"/>
              <w:right w:val="nil"/>
            </w:tcBorders>
            <w:shd w:val="clear" w:color="auto" w:fill="auto"/>
            <w:noWrap/>
            <w:vAlign w:val="bottom"/>
            <w:hideMark/>
          </w:tcPr>
          <w:p w14:paraId="1F8D0709"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-159</w:t>
            </w:r>
          </w:p>
        </w:tc>
      </w:tr>
      <w:tr w:rsidR="009A05C7" w:rsidRPr="000B4EBC" w14:paraId="690262DF" w14:textId="77777777" w:rsidTr="000240DA">
        <w:trPr>
          <w:trHeight w:val="290"/>
        </w:trPr>
        <w:tc>
          <w:tcPr>
            <w:tcW w:w="2544" w:type="pct"/>
            <w:tcBorders>
              <w:top w:val="nil"/>
              <w:left w:val="nil"/>
              <w:bottom w:val="nil"/>
              <w:right w:val="nil"/>
            </w:tcBorders>
            <w:shd w:val="clear" w:color="auto" w:fill="auto"/>
            <w:noWrap/>
            <w:vAlign w:val="bottom"/>
            <w:hideMark/>
          </w:tcPr>
          <w:p w14:paraId="2594A229" w14:textId="77777777" w:rsidR="009A05C7" w:rsidRPr="000B4EBC" w:rsidRDefault="009A05C7" w:rsidP="000240DA">
            <w:pPr>
              <w:spacing w:after="0" w:line="240" w:lineRule="auto"/>
              <w:ind w:firstLineChars="200" w:firstLine="360"/>
              <w:jc w:val="left"/>
              <w:rPr>
                <w:rFonts w:eastAsia="Times New Roman" w:cs="Times New Roman"/>
                <w:sz w:val="18"/>
                <w:szCs w:val="18"/>
                <w:lang w:eastAsia="sk-SK"/>
              </w:rPr>
            </w:pPr>
            <w:r w:rsidRPr="000B4EBC">
              <w:rPr>
                <w:rFonts w:eastAsia="Times New Roman" w:cs="Times New Roman"/>
                <w:sz w:val="18"/>
                <w:szCs w:val="18"/>
                <w:lang w:eastAsia="sk-SK"/>
              </w:rPr>
              <w:t>Ostatné subjekty miestnej samosprávy</w:t>
            </w:r>
          </w:p>
        </w:tc>
        <w:tc>
          <w:tcPr>
            <w:tcW w:w="603" w:type="pct"/>
            <w:tcBorders>
              <w:top w:val="nil"/>
              <w:left w:val="nil"/>
              <w:bottom w:val="nil"/>
              <w:right w:val="nil"/>
            </w:tcBorders>
            <w:shd w:val="clear" w:color="auto" w:fill="auto"/>
            <w:noWrap/>
            <w:vAlign w:val="bottom"/>
            <w:hideMark/>
          </w:tcPr>
          <w:p w14:paraId="521DB96A"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9 794</w:t>
            </w:r>
          </w:p>
        </w:tc>
        <w:tc>
          <w:tcPr>
            <w:tcW w:w="665" w:type="pct"/>
            <w:tcBorders>
              <w:top w:val="nil"/>
              <w:left w:val="nil"/>
              <w:bottom w:val="nil"/>
              <w:right w:val="nil"/>
            </w:tcBorders>
            <w:shd w:val="clear" w:color="auto" w:fill="auto"/>
            <w:noWrap/>
            <w:vAlign w:val="bottom"/>
            <w:hideMark/>
          </w:tcPr>
          <w:p w14:paraId="595EFA69"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20 567</w:t>
            </w:r>
          </w:p>
        </w:tc>
        <w:tc>
          <w:tcPr>
            <w:tcW w:w="665" w:type="pct"/>
            <w:tcBorders>
              <w:top w:val="nil"/>
              <w:left w:val="nil"/>
              <w:bottom w:val="nil"/>
              <w:right w:val="nil"/>
            </w:tcBorders>
            <w:shd w:val="clear" w:color="auto" w:fill="auto"/>
            <w:noWrap/>
            <w:vAlign w:val="bottom"/>
            <w:hideMark/>
          </w:tcPr>
          <w:p w14:paraId="2BB9855B"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20 567</w:t>
            </w:r>
          </w:p>
        </w:tc>
        <w:tc>
          <w:tcPr>
            <w:tcW w:w="523" w:type="pct"/>
            <w:tcBorders>
              <w:top w:val="nil"/>
              <w:left w:val="nil"/>
              <w:bottom w:val="nil"/>
              <w:right w:val="nil"/>
            </w:tcBorders>
            <w:shd w:val="clear" w:color="auto" w:fill="auto"/>
            <w:noWrap/>
            <w:vAlign w:val="bottom"/>
            <w:hideMark/>
          </w:tcPr>
          <w:p w14:paraId="073DCD87"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0</w:t>
            </w:r>
          </w:p>
        </w:tc>
      </w:tr>
      <w:tr w:rsidR="009A05C7" w:rsidRPr="000B4EBC" w14:paraId="563DAAA8" w14:textId="77777777" w:rsidTr="000240DA">
        <w:trPr>
          <w:trHeight w:val="290"/>
        </w:trPr>
        <w:tc>
          <w:tcPr>
            <w:tcW w:w="2544" w:type="pct"/>
            <w:tcBorders>
              <w:top w:val="nil"/>
              <w:left w:val="nil"/>
              <w:bottom w:val="nil"/>
              <w:right w:val="nil"/>
            </w:tcBorders>
            <w:shd w:val="clear" w:color="auto" w:fill="auto"/>
            <w:noWrap/>
            <w:vAlign w:val="bottom"/>
            <w:hideMark/>
          </w:tcPr>
          <w:p w14:paraId="1B97F302" w14:textId="77777777" w:rsidR="009A05C7" w:rsidRPr="000B4EBC" w:rsidRDefault="009A05C7" w:rsidP="000240DA">
            <w:pPr>
              <w:spacing w:after="0" w:line="240" w:lineRule="auto"/>
              <w:jc w:val="left"/>
              <w:rPr>
                <w:rFonts w:eastAsia="Times New Roman" w:cs="Times New Roman"/>
                <w:b/>
                <w:bCs/>
                <w:sz w:val="18"/>
                <w:szCs w:val="18"/>
                <w:lang w:eastAsia="sk-SK"/>
              </w:rPr>
            </w:pPr>
            <w:r w:rsidRPr="000B4EBC">
              <w:rPr>
                <w:rFonts w:eastAsia="Times New Roman" w:cs="Times New Roman"/>
                <w:b/>
                <w:bCs/>
                <w:sz w:val="18"/>
                <w:szCs w:val="18"/>
                <w:lang w:eastAsia="sk-SK"/>
              </w:rPr>
              <w:t>Fondy sociálneho zabezpečenia</w:t>
            </w:r>
          </w:p>
        </w:tc>
        <w:tc>
          <w:tcPr>
            <w:tcW w:w="603" w:type="pct"/>
            <w:tcBorders>
              <w:top w:val="nil"/>
              <w:left w:val="nil"/>
              <w:bottom w:val="nil"/>
              <w:right w:val="nil"/>
            </w:tcBorders>
            <w:shd w:val="clear" w:color="auto" w:fill="auto"/>
            <w:noWrap/>
            <w:vAlign w:val="bottom"/>
            <w:hideMark/>
          </w:tcPr>
          <w:p w14:paraId="2F526014" w14:textId="77777777" w:rsidR="009A05C7" w:rsidRPr="000B4EBC" w:rsidRDefault="009A05C7" w:rsidP="000240DA">
            <w:pPr>
              <w:spacing w:after="0" w:line="240" w:lineRule="auto"/>
              <w:jc w:val="left"/>
              <w:rPr>
                <w:rFonts w:eastAsia="Times New Roman" w:cs="Times New Roman"/>
                <w:b/>
                <w:bCs/>
                <w:sz w:val="18"/>
                <w:szCs w:val="18"/>
                <w:lang w:eastAsia="sk-SK"/>
              </w:rPr>
            </w:pPr>
          </w:p>
        </w:tc>
        <w:tc>
          <w:tcPr>
            <w:tcW w:w="665" w:type="pct"/>
            <w:tcBorders>
              <w:top w:val="nil"/>
              <w:left w:val="nil"/>
              <w:bottom w:val="nil"/>
              <w:right w:val="nil"/>
            </w:tcBorders>
            <w:shd w:val="clear" w:color="auto" w:fill="auto"/>
            <w:noWrap/>
            <w:vAlign w:val="bottom"/>
            <w:hideMark/>
          </w:tcPr>
          <w:p w14:paraId="063CBCA1" w14:textId="77777777" w:rsidR="009A05C7" w:rsidRPr="000B4EBC" w:rsidRDefault="009A05C7" w:rsidP="000240DA">
            <w:pPr>
              <w:spacing w:after="0" w:line="240" w:lineRule="auto"/>
              <w:jc w:val="left"/>
              <w:rPr>
                <w:rFonts w:eastAsia="Times New Roman" w:cs="Times New Roman"/>
                <w:sz w:val="18"/>
                <w:szCs w:val="18"/>
                <w:lang w:eastAsia="sk-SK"/>
              </w:rPr>
            </w:pPr>
          </w:p>
        </w:tc>
        <w:tc>
          <w:tcPr>
            <w:tcW w:w="665" w:type="pct"/>
            <w:tcBorders>
              <w:top w:val="nil"/>
              <w:left w:val="nil"/>
              <w:bottom w:val="nil"/>
              <w:right w:val="nil"/>
            </w:tcBorders>
            <w:shd w:val="clear" w:color="auto" w:fill="auto"/>
            <w:noWrap/>
            <w:vAlign w:val="bottom"/>
            <w:hideMark/>
          </w:tcPr>
          <w:p w14:paraId="631D2C66" w14:textId="77777777" w:rsidR="009A05C7" w:rsidRPr="000B4EBC" w:rsidRDefault="009A05C7" w:rsidP="000240DA">
            <w:pPr>
              <w:spacing w:after="0" w:line="240" w:lineRule="auto"/>
              <w:jc w:val="left"/>
              <w:rPr>
                <w:rFonts w:eastAsia="Times New Roman" w:cs="Times New Roman"/>
                <w:sz w:val="18"/>
                <w:szCs w:val="18"/>
                <w:lang w:eastAsia="sk-SK"/>
              </w:rPr>
            </w:pPr>
          </w:p>
        </w:tc>
        <w:tc>
          <w:tcPr>
            <w:tcW w:w="523" w:type="pct"/>
            <w:tcBorders>
              <w:top w:val="nil"/>
              <w:left w:val="nil"/>
              <w:bottom w:val="nil"/>
              <w:right w:val="nil"/>
            </w:tcBorders>
            <w:shd w:val="clear" w:color="auto" w:fill="auto"/>
            <w:noWrap/>
            <w:vAlign w:val="bottom"/>
            <w:hideMark/>
          </w:tcPr>
          <w:p w14:paraId="713D42EE" w14:textId="77777777" w:rsidR="009A05C7" w:rsidRPr="000B4EBC" w:rsidRDefault="009A05C7" w:rsidP="000240DA">
            <w:pPr>
              <w:spacing w:after="0" w:line="240" w:lineRule="auto"/>
              <w:jc w:val="left"/>
              <w:rPr>
                <w:rFonts w:eastAsia="Times New Roman" w:cs="Times New Roman"/>
                <w:sz w:val="18"/>
                <w:szCs w:val="18"/>
                <w:lang w:eastAsia="sk-SK"/>
              </w:rPr>
            </w:pPr>
          </w:p>
        </w:tc>
      </w:tr>
      <w:tr w:rsidR="009A05C7" w:rsidRPr="000B4EBC" w14:paraId="70D68C1C" w14:textId="77777777" w:rsidTr="000240DA">
        <w:trPr>
          <w:trHeight w:val="290"/>
        </w:trPr>
        <w:tc>
          <w:tcPr>
            <w:tcW w:w="2544" w:type="pct"/>
            <w:tcBorders>
              <w:top w:val="nil"/>
              <w:left w:val="nil"/>
              <w:bottom w:val="nil"/>
              <w:right w:val="nil"/>
            </w:tcBorders>
            <w:shd w:val="clear" w:color="auto" w:fill="auto"/>
            <w:noWrap/>
            <w:vAlign w:val="bottom"/>
            <w:hideMark/>
          </w:tcPr>
          <w:p w14:paraId="16C8D529" w14:textId="77777777" w:rsidR="009A05C7" w:rsidRPr="000B4EBC" w:rsidRDefault="009A05C7" w:rsidP="000240DA">
            <w:pPr>
              <w:spacing w:after="0" w:line="240" w:lineRule="auto"/>
              <w:ind w:firstLineChars="200" w:firstLine="360"/>
              <w:jc w:val="left"/>
              <w:rPr>
                <w:rFonts w:eastAsia="Times New Roman" w:cs="Times New Roman"/>
                <w:sz w:val="18"/>
                <w:szCs w:val="18"/>
                <w:lang w:eastAsia="sk-SK"/>
              </w:rPr>
            </w:pPr>
            <w:r w:rsidRPr="000B4EBC">
              <w:rPr>
                <w:rFonts w:eastAsia="Times New Roman" w:cs="Times New Roman"/>
                <w:sz w:val="18"/>
                <w:szCs w:val="18"/>
                <w:lang w:eastAsia="sk-SK"/>
              </w:rPr>
              <w:t>Sociálna poisťovňa</w:t>
            </w:r>
          </w:p>
        </w:tc>
        <w:tc>
          <w:tcPr>
            <w:tcW w:w="603" w:type="pct"/>
            <w:tcBorders>
              <w:top w:val="nil"/>
              <w:left w:val="nil"/>
              <w:bottom w:val="nil"/>
              <w:right w:val="nil"/>
            </w:tcBorders>
            <w:shd w:val="clear" w:color="auto" w:fill="auto"/>
            <w:noWrap/>
            <w:vAlign w:val="bottom"/>
            <w:hideMark/>
          </w:tcPr>
          <w:p w14:paraId="31A64F7A"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586</w:t>
            </w:r>
          </w:p>
        </w:tc>
        <w:tc>
          <w:tcPr>
            <w:tcW w:w="665" w:type="pct"/>
            <w:tcBorders>
              <w:top w:val="nil"/>
              <w:left w:val="nil"/>
              <w:bottom w:val="nil"/>
              <w:right w:val="nil"/>
            </w:tcBorders>
            <w:shd w:val="clear" w:color="auto" w:fill="auto"/>
            <w:noWrap/>
            <w:vAlign w:val="bottom"/>
            <w:hideMark/>
          </w:tcPr>
          <w:p w14:paraId="5443BD08"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466</w:t>
            </w:r>
          </w:p>
        </w:tc>
        <w:tc>
          <w:tcPr>
            <w:tcW w:w="665" w:type="pct"/>
            <w:tcBorders>
              <w:top w:val="nil"/>
              <w:left w:val="nil"/>
              <w:bottom w:val="nil"/>
              <w:right w:val="nil"/>
            </w:tcBorders>
            <w:shd w:val="clear" w:color="auto" w:fill="auto"/>
            <w:noWrap/>
            <w:vAlign w:val="bottom"/>
            <w:hideMark/>
          </w:tcPr>
          <w:p w14:paraId="45B7C136"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1 012</w:t>
            </w:r>
          </w:p>
        </w:tc>
        <w:tc>
          <w:tcPr>
            <w:tcW w:w="523" w:type="pct"/>
            <w:tcBorders>
              <w:top w:val="nil"/>
              <w:left w:val="nil"/>
              <w:bottom w:val="nil"/>
              <w:right w:val="nil"/>
            </w:tcBorders>
            <w:shd w:val="clear" w:color="auto" w:fill="auto"/>
            <w:noWrap/>
            <w:vAlign w:val="bottom"/>
            <w:hideMark/>
          </w:tcPr>
          <w:p w14:paraId="357BFE46"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546</w:t>
            </w:r>
          </w:p>
        </w:tc>
      </w:tr>
      <w:tr w:rsidR="009A05C7" w:rsidRPr="000B4EBC" w14:paraId="200D2214" w14:textId="77777777" w:rsidTr="000240DA">
        <w:trPr>
          <w:trHeight w:val="290"/>
        </w:trPr>
        <w:tc>
          <w:tcPr>
            <w:tcW w:w="2544" w:type="pct"/>
            <w:tcBorders>
              <w:top w:val="nil"/>
              <w:left w:val="nil"/>
              <w:bottom w:val="nil"/>
              <w:right w:val="nil"/>
            </w:tcBorders>
            <w:shd w:val="clear" w:color="auto" w:fill="auto"/>
            <w:noWrap/>
            <w:vAlign w:val="bottom"/>
            <w:hideMark/>
          </w:tcPr>
          <w:p w14:paraId="71C9EF5A" w14:textId="77777777" w:rsidR="009A05C7" w:rsidRPr="000B4EBC" w:rsidRDefault="009A05C7" w:rsidP="000240DA">
            <w:pPr>
              <w:spacing w:after="0" w:line="240" w:lineRule="auto"/>
              <w:ind w:firstLineChars="200" w:firstLine="360"/>
              <w:jc w:val="left"/>
              <w:rPr>
                <w:rFonts w:eastAsia="Times New Roman" w:cs="Times New Roman"/>
                <w:sz w:val="18"/>
                <w:szCs w:val="18"/>
                <w:lang w:eastAsia="sk-SK"/>
              </w:rPr>
            </w:pPr>
            <w:r w:rsidRPr="000B4EBC">
              <w:rPr>
                <w:rFonts w:eastAsia="Times New Roman" w:cs="Times New Roman"/>
                <w:sz w:val="18"/>
                <w:szCs w:val="18"/>
                <w:lang w:eastAsia="sk-SK"/>
              </w:rPr>
              <w:t>Verejné zdravotné poistenie</w:t>
            </w:r>
          </w:p>
        </w:tc>
        <w:tc>
          <w:tcPr>
            <w:tcW w:w="603" w:type="pct"/>
            <w:tcBorders>
              <w:top w:val="nil"/>
              <w:left w:val="nil"/>
              <w:bottom w:val="nil"/>
              <w:right w:val="nil"/>
            </w:tcBorders>
            <w:shd w:val="clear" w:color="auto" w:fill="auto"/>
            <w:noWrap/>
            <w:vAlign w:val="bottom"/>
            <w:hideMark/>
          </w:tcPr>
          <w:p w14:paraId="6AF04029"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345</w:t>
            </w:r>
          </w:p>
        </w:tc>
        <w:tc>
          <w:tcPr>
            <w:tcW w:w="665" w:type="pct"/>
            <w:tcBorders>
              <w:top w:val="nil"/>
              <w:left w:val="nil"/>
              <w:bottom w:val="nil"/>
              <w:right w:val="nil"/>
            </w:tcBorders>
            <w:shd w:val="clear" w:color="auto" w:fill="auto"/>
            <w:noWrap/>
            <w:vAlign w:val="bottom"/>
            <w:hideMark/>
          </w:tcPr>
          <w:p w14:paraId="1DDA5776"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80</w:t>
            </w:r>
          </w:p>
        </w:tc>
        <w:tc>
          <w:tcPr>
            <w:tcW w:w="665" w:type="pct"/>
            <w:tcBorders>
              <w:top w:val="nil"/>
              <w:left w:val="nil"/>
              <w:bottom w:val="nil"/>
              <w:right w:val="nil"/>
            </w:tcBorders>
            <w:shd w:val="clear" w:color="auto" w:fill="auto"/>
            <w:noWrap/>
            <w:vAlign w:val="bottom"/>
            <w:hideMark/>
          </w:tcPr>
          <w:p w14:paraId="5C5A195D"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120</w:t>
            </w:r>
          </w:p>
        </w:tc>
        <w:tc>
          <w:tcPr>
            <w:tcW w:w="523" w:type="pct"/>
            <w:tcBorders>
              <w:top w:val="nil"/>
              <w:left w:val="nil"/>
              <w:bottom w:val="nil"/>
              <w:right w:val="nil"/>
            </w:tcBorders>
            <w:shd w:val="clear" w:color="auto" w:fill="auto"/>
            <w:noWrap/>
            <w:vAlign w:val="bottom"/>
            <w:hideMark/>
          </w:tcPr>
          <w:p w14:paraId="078BFA47"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40</w:t>
            </w:r>
          </w:p>
        </w:tc>
      </w:tr>
      <w:tr w:rsidR="009A05C7" w:rsidRPr="000B4EBC" w14:paraId="456CDD5E" w14:textId="77777777" w:rsidTr="000240DA">
        <w:trPr>
          <w:trHeight w:val="290"/>
        </w:trPr>
        <w:tc>
          <w:tcPr>
            <w:tcW w:w="2544" w:type="pct"/>
            <w:tcBorders>
              <w:top w:val="nil"/>
              <w:left w:val="nil"/>
              <w:bottom w:val="nil"/>
              <w:right w:val="nil"/>
            </w:tcBorders>
            <w:shd w:val="clear" w:color="auto" w:fill="auto"/>
            <w:noWrap/>
            <w:vAlign w:val="bottom"/>
            <w:hideMark/>
          </w:tcPr>
          <w:p w14:paraId="32E11A28" w14:textId="77777777" w:rsidR="009A05C7" w:rsidRPr="000B4EBC" w:rsidRDefault="009A05C7" w:rsidP="000240DA">
            <w:pPr>
              <w:spacing w:after="0" w:line="240" w:lineRule="auto"/>
              <w:jc w:val="left"/>
              <w:rPr>
                <w:rFonts w:eastAsia="Times New Roman" w:cs="Times New Roman"/>
                <w:b/>
                <w:bCs/>
                <w:sz w:val="18"/>
                <w:szCs w:val="18"/>
                <w:lang w:eastAsia="sk-SK"/>
              </w:rPr>
            </w:pPr>
            <w:r w:rsidRPr="000B4EBC">
              <w:rPr>
                <w:rFonts w:eastAsia="Times New Roman" w:cs="Times New Roman"/>
                <w:b/>
                <w:bCs/>
                <w:sz w:val="18"/>
                <w:szCs w:val="18"/>
                <w:lang w:eastAsia="sk-SK"/>
              </w:rPr>
              <w:t>Verejná správa spolu</w:t>
            </w:r>
          </w:p>
        </w:tc>
        <w:tc>
          <w:tcPr>
            <w:tcW w:w="603" w:type="pct"/>
            <w:tcBorders>
              <w:top w:val="nil"/>
              <w:left w:val="nil"/>
              <w:bottom w:val="nil"/>
              <w:right w:val="nil"/>
            </w:tcBorders>
            <w:shd w:val="clear" w:color="auto" w:fill="auto"/>
            <w:noWrap/>
            <w:vAlign w:val="bottom"/>
            <w:hideMark/>
          </w:tcPr>
          <w:p w14:paraId="00B52F8D" w14:textId="77777777" w:rsidR="009A05C7" w:rsidRPr="000B4EBC" w:rsidRDefault="009A05C7" w:rsidP="000240DA">
            <w:pPr>
              <w:spacing w:after="0" w:line="240" w:lineRule="auto"/>
              <w:jc w:val="right"/>
              <w:rPr>
                <w:rFonts w:eastAsia="Times New Roman" w:cs="Times New Roman"/>
                <w:b/>
                <w:bCs/>
                <w:sz w:val="18"/>
                <w:szCs w:val="18"/>
                <w:lang w:eastAsia="sk-SK"/>
              </w:rPr>
            </w:pPr>
            <w:r w:rsidRPr="000B4EBC">
              <w:rPr>
                <w:rFonts w:eastAsia="Times New Roman" w:cs="Times New Roman"/>
                <w:b/>
                <w:bCs/>
                <w:sz w:val="18"/>
                <w:szCs w:val="18"/>
                <w:lang w:eastAsia="sk-SK"/>
              </w:rPr>
              <w:t>64 911 432</w:t>
            </w:r>
          </w:p>
        </w:tc>
        <w:tc>
          <w:tcPr>
            <w:tcW w:w="665" w:type="pct"/>
            <w:tcBorders>
              <w:top w:val="nil"/>
              <w:left w:val="nil"/>
              <w:bottom w:val="nil"/>
              <w:right w:val="nil"/>
            </w:tcBorders>
            <w:shd w:val="clear" w:color="auto" w:fill="auto"/>
            <w:noWrap/>
            <w:vAlign w:val="bottom"/>
            <w:hideMark/>
          </w:tcPr>
          <w:p w14:paraId="41EDDE7C" w14:textId="77777777" w:rsidR="009A05C7" w:rsidRPr="000B4EBC" w:rsidRDefault="009A05C7" w:rsidP="000240DA">
            <w:pPr>
              <w:spacing w:after="0" w:line="240" w:lineRule="auto"/>
              <w:jc w:val="right"/>
              <w:rPr>
                <w:rFonts w:eastAsia="Times New Roman" w:cs="Times New Roman"/>
                <w:b/>
                <w:bCs/>
                <w:sz w:val="18"/>
                <w:szCs w:val="18"/>
                <w:lang w:eastAsia="sk-SK"/>
              </w:rPr>
            </w:pPr>
            <w:r w:rsidRPr="000B4EBC">
              <w:rPr>
                <w:rFonts w:eastAsia="Times New Roman" w:cs="Times New Roman"/>
                <w:b/>
                <w:bCs/>
                <w:sz w:val="18"/>
                <w:szCs w:val="18"/>
                <w:lang w:eastAsia="sk-SK"/>
              </w:rPr>
              <w:t>70 556 838</w:t>
            </w:r>
          </w:p>
        </w:tc>
        <w:tc>
          <w:tcPr>
            <w:tcW w:w="665" w:type="pct"/>
            <w:tcBorders>
              <w:top w:val="nil"/>
              <w:left w:val="nil"/>
              <w:bottom w:val="nil"/>
              <w:right w:val="nil"/>
            </w:tcBorders>
            <w:shd w:val="clear" w:color="auto" w:fill="auto"/>
            <w:noWrap/>
            <w:vAlign w:val="bottom"/>
            <w:hideMark/>
          </w:tcPr>
          <w:p w14:paraId="5D7CFF9B" w14:textId="77777777" w:rsidR="009A05C7" w:rsidRPr="000B4EBC" w:rsidRDefault="009A05C7" w:rsidP="000240DA">
            <w:pPr>
              <w:spacing w:after="0" w:line="240" w:lineRule="auto"/>
              <w:jc w:val="right"/>
              <w:rPr>
                <w:rFonts w:eastAsia="Times New Roman" w:cs="Times New Roman"/>
                <w:b/>
                <w:bCs/>
                <w:sz w:val="18"/>
                <w:szCs w:val="18"/>
                <w:lang w:eastAsia="sk-SK"/>
              </w:rPr>
            </w:pPr>
            <w:r w:rsidRPr="000B4EBC">
              <w:rPr>
                <w:rFonts w:eastAsia="Times New Roman" w:cs="Times New Roman"/>
                <w:b/>
                <w:bCs/>
                <w:sz w:val="18"/>
                <w:szCs w:val="18"/>
                <w:lang w:eastAsia="sk-SK"/>
              </w:rPr>
              <w:t>79 208 060</w:t>
            </w:r>
          </w:p>
        </w:tc>
        <w:tc>
          <w:tcPr>
            <w:tcW w:w="523" w:type="pct"/>
            <w:tcBorders>
              <w:top w:val="nil"/>
              <w:left w:val="nil"/>
              <w:bottom w:val="nil"/>
              <w:right w:val="nil"/>
            </w:tcBorders>
            <w:shd w:val="clear" w:color="auto" w:fill="auto"/>
            <w:noWrap/>
            <w:vAlign w:val="bottom"/>
            <w:hideMark/>
          </w:tcPr>
          <w:p w14:paraId="1F66CA55" w14:textId="77777777" w:rsidR="009A05C7" w:rsidRPr="000B4EBC" w:rsidRDefault="009A05C7" w:rsidP="000240DA">
            <w:pPr>
              <w:spacing w:after="0" w:line="240" w:lineRule="auto"/>
              <w:jc w:val="right"/>
              <w:rPr>
                <w:rFonts w:eastAsia="Times New Roman" w:cs="Times New Roman"/>
                <w:b/>
                <w:bCs/>
                <w:sz w:val="18"/>
                <w:szCs w:val="18"/>
                <w:lang w:eastAsia="sk-SK"/>
              </w:rPr>
            </w:pPr>
            <w:r w:rsidRPr="000B4EBC">
              <w:rPr>
                <w:rFonts w:eastAsia="Times New Roman" w:cs="Times New Roman"/>
                <w:b/>
                <w:bCs/>
                <w:sz w:val="18"/>
                <w:szCs w:val="18"/>
                <w:lang w:eastAsia="sk-SK"/>
              </w:rPr>
              <w:t>8 651 222</w:t>
            </w:r>
          </w:p>
        </w:tc>
      </w:tr>
      <w:tr w:rsidR="009A05C7" w:rsidRPr="000B4EBC" w14:paraId="588ED9D6" w14:textId="77777777" w:rsidTr="000240DA">
        <w:trPr>
          <w:trHeight w:val="290"/>
        </w:trPr>
        <w:tc>
          <w:tcPr>
            <w:tcW w:w="2544" w:type="pct"/>
            <w:tcBorders>
              <w:top w:val="nil"/>
              <w:left w:val="nil"/>
              <w:bottom w:val="nil"/>
              <w:right w:val="nil"/>
            </w:tcBorders>
            <w:shd w:val="clear" w:color="auto" w:fill="auto"/>
            <w:noWrap/>
            <w:vAlign w:val="bottom"/>
            <w:hideMark/>
          </w:tcPr>
          <w:p w14:paraId="7C754BB7" w14:textId="77777777" w:rsidR="009A05C7" w:rsidRPr="000B4EBC" w:rsidRDefault="009A05C7" w:rsidP="000240DA">
            <w:pPr>
              <w:spacing w:after="0" w:line="240" w:lineRule="auto"/>
              <w:ind w:firstLineChars="200" w:firstLine="360"/>
              <w:jc w:val="left"/>
              <w:rPr>
                <w:rFonts w:eastAsia="Times New Roman" w:cs="Times New Roman"/>
                <w:i/>
                <w:iCs/>
                <w:sz w:val="18"/>
                <w:szCs w:val="18"/>
                <w:lang w:eastAsia="sk-SK"/>
              </w:rPr>
            </w:pPr>
            <w:r w:rsidRPr="000B4EBC">
              <w:rPr>
                <w:rFonts w:eastAsia="Times New Roman" w:cs="Times New Roman"/>
                <w:i/>
                <w:iCs/>
                <w:sz w:val="18"/>
                <w:szCs w:val="18"/>
                <w:lang w:eastAsia="sk-SK"/>
              </w:rPr>
              <w:t>Konsolidácia</w:t>
            </w:r>
          </w:p>
        </w:tc>
        <w:tc>
          <w:tcPr>
            <w:tcW w:w="603" w:type="pct"/>
            <w:tcBorders>
              <w:top w:val="nil"/>
              <w:left w:val="nil"/>
              <w:bottom w:val="nil"/>
              <w:right w:val="nil"/>
            </w:tcBorders>
            <w:shd w:val="clear" w:color="auto" w:fill="auto"/>
            <w:noWrap/>
            <w:vAlign w:val="bottom"/>
            <w:hideMark/>
          </w:tcPr>
          <w:p w14:paraId="3AE6B340"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1 412 462</w:t>
            </w:r>
          </w:p>
        </w:tc>
        <w:tc>
          <w:tcPr>
            <w:tcW w:w="665" w:type="pct"/>
            <w:tcBorders>
              <w:top w:val="nil"/>
              <w:left w:val="nil"/>
              <w:bottom w:val="nil"/>
              <w:right w:val="nil"/>
            </w:tcBorders>
            <w:shd w:val="clear" w:color="auto" w:fill="auto"/>
            <w:noWrap/>
            <w:vAlign w:val="bottom"/>
            <w:hideMark/>
          </w:tcPr>
          <w:p w14:paraId="3F777D2F"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1 660 629</w:t>
            </w:r>
          </w:p>
        </w:tc>
        <w:tc>
          <w:tcPr>
            <w:tcW w:w="665" w:type="pct"/>
            <w:tcBorders>
              <w:top w:val="nil"/>
              <w:left w:val="nil"/>
              <w:bottom w:val="nil"/>
              <w:right w:val="nil"/>
            </w:tcBorders>
            <w:shd w:val="clear" w:color="auto" w:fill="auto"/>
            <w:noWrap/>
            <w:vAlign w:val="bottom"/>
            <w:hideMark/>
          </w:tcPr>
          <w:p w14:paraId="660A533B"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1 559 751</w:t>
            </w:r>
          </w:p>
        </w:tc>
        <w:tc>
          <w:tcPr>
            <w:tcW w:w="523" w:type="pct"/>
            <w:tcBorders>
              <w:top w:val="nil"/>
              <w:left w:val="nil"/>
              <w:bottom w:val="nil"/>
              <w:right w:val="nil"/>
            </w:tcBorders>
            <w:shd w:val="clear" w:color="auto" w:fill="auto"/>
            <w:noWrap/>
            <w:vAlign w:val="bottom"/>
            <w:hideMark/>
          </w:tcPr>
          <w:p w14:paraId="3527F280"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-100 878</w:t>
            </w:r>
          </w:p>
        </w:tc>
      </w:tr>
      <w:tr w:rsidR="009A05C7" w:rsidRPr="000B4EBC" w14:paraId="00F990A5" w14:textId="77777777" w:rsidTr="000240DA">
        <w:trPr>
          <w:trHeight w:val="290"/>
        </w:trPr>
        <w:tc>
          <w:tcPr>
            <w:tcW w:w="2544" w:type="pct"/>
            <w:tcBorders>
              <w:top w:val="nil"/>
              <w:left w:val="nil"/>
              <w:bottom w:val="nil"/>
              <w:right w:val="nil"/>
            </w:tcBorders>
            <w:shd w:val="clear" w:color="auto" w:fill="auto"/>
            <w:noWrap/>
            <w:vAlign w:val="bottom"/>
            <w:hideMark/>
          </w:tcPr>
          <w:p w14:paraId="7B47CF90" w14:textId="77777777" w:rsidR="009A05C7" w:rsidRPr="000B4EBC" w:rsidRDefault="009A05C7" w:rsidP="000240DA">
            <w:pPr>
              <w:spacing w:after="0" w:line="240" w:lineRule="auto"/>
              <w:ind w:firstLineChars="200" w:firstLine="360"/>
              <w:jc w:val="left"/>
              <w:rPr>
                <w:rFonts w:eastAsia="Times New Roman" w:cs="Times New Roman"/>
                <w:sz w:val="18"/>
                <w:szCs w:val="18"/>
                <w:lang w:eastAsia="sk-SK"/>
              </w:rPr>
            </w:pPr>
            <w:r w:rsidRPr="000B4EBC">
              <w:rPr>
                <w:rFonts w:eastAsia="Times New Roman" w:cs="Times New Roman"/>
                <w:sz w:val="18"/>
                <w:szCs w:val="18"/>
                <w:lang w:eastAsia="sk-SK"/>
              </w:rPr>
              <w:t>z toho: konsolidácia v skupine miestnej samosprávy</w:t>
            </w:r>
          </w:p>
        </w:tc>
        <w:tc>
          <w:tcPr>
            <w:tcW w:w="603" w:type="pct"/>
            <w:tcBorders>
              <w:top w:val="nil"/>
              <w:left w:val="nil"/>
              <w:bottom w:val="nil"/>
              <w:right w:val="nil"/>
            </w:tcBorders>
            <w:shd w:val="clear" w:color="auto" w:fill="auto"/>
            <w:noWrap/>
            <w:vAlign w:val="bottom"/>
            <w:hideMark/>
          </w:tcPr>
          <w:p w14:paraId="0CF2CBF0"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1 056 567</w:t>
            </w:r>
          </w:p>
        </w:tc>
        <w:tc>
          <w:tcPr>
            <w:tcW w:w="665" w:type="pct"/>
            <w:tcBorders>
              <w:top w:val="nil"/>
              <w:left w:val="nil"/>
              <w:bottom w:val="nil"/>
              <w:right w:val="nil"/>
            </w:tcBorders>
            <w:shd w:val="clear" w:color="auto" w:fill="auto"/>
            <w:noWrap/>
            <w:vAlign w:val="bottom"/>
            <w:hideMark/>
          </w:tcPr>
          <w:p w14:paraId="59867D25"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1 053 265</w:t>
            </w:r>
          </w:p>
        </w:tc>
        <w:tc>
          <w:tcPr>
            <w:tcW w:w="665" w:type="pct"/>
            <w:tcBorders>
              <w:top w:val="nil"/>
              <w:left w:val="nil"/>
              <w:bottom w:val="nil"/>
              <w:right w:val="nil"/>
            </w:tcBorders>
            <w:shd w:val="clear" w:color="auto" w:fill="auto"/>
            <w:noWrap/>
            <w:vAlign w:val="bottom"/>
            <w:hideMark/>
          </w:tcPr>
          <w:p w14:paraId="177BCECF"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1 058 328</w:t>
            </w:r>
          </w:p>
        </w:tc>
        <w:tc>
          <w:tcPr>
            <w:tcW w:w="523" w:type="pct"/>
            <w:tcBorders>
              <w:top w:val="nil"/>
              <w:left w:val="nil"/>
              <w:bottom w:val="nil"/>
              <w:right w:val="nil"/>
            </w:tcBorders>
            <w:shd w:val="clear" w:color="auto" w:fill="auto"/>
            <w:noWrap/>
            <w:vAlign w:val="bottom"/>
            <w:hideMark/>
          </w:tcPr>
          <w:p w14:paraId="03B990ED" w14:textId="77777777" w:rsidR="009A05C7" w:rsidRPr="000B4EBC" w:rsidRDefault="009A05C7" w:rsidP="000240DA">
            <w:pPr>
              <w:spacing w:after="0" w:line="240" w:lineRule="auto"/>
              <w:jc w:val="right"/>
              <w:rPr>
                <w:rFonts w:eastAsia="Times New Roman" w:cs="Times New Roman"/>
                <w:sz w:val="18"/>
                <w:szCs w:val="18"/>
                <w:lang w:eastAsia="sk-SK"/>
              </w:rPr>
            </w:pPr>
            <w:r w:rsidRPr="000B4EBC">
              <w:rPr>
                <w:rFonts w:eastAsia="Times New Roman" w:cs="Times New Roman"/>
                <w:sz w:val="18"/>
                <w:szCs w:val="18"/>
                <w:lang w:eastAsia="sk-SK"/>
              </w:rPr>
              <w:t>5 063</w:t>
            </w:r>
          </w:p>
        </w:tc>
      </w:tr>
      <w:tr w:rsidR="009A05C7" w:rsidRPr="000B4EBC" w14:paraId="757DB7DF" w14:textId="77777777" w:rsidTr="000240DA">
        <w:trPr>
          <w:trHeight w:val="290"/>
        </w:trPr>
        <w:tc>
          <w:tcPr>
            <w:tcW w:w="2544" w:type="pct"/>
            <w:tcBorders>
              <w:top w:val="single" w:sz="4" w:space="0" w:color="auto"/>
              <w:left w:val="nil"/>
              <w:bottom w:val="nil"/>
              <w:right w:val="nil"/>
            </w:tcBorders>
            <w:shd w:val="clear" w:color="auto" w:fill="auto"/>
            <w:noWrap/>
            <w:vAlign w:val="bottom"/>
            <w:hideMark/>
          </w:tcPr>
          <w:p w14:paraId="012EB46E" w14:textId="77777777" w:rsidR="009A05C7" w:rsidRPr="000B4EBC" w:rsidRDefault="009A05C7" w:rsidP="000240DA">
            <w:pPr>
              <w:spacing w:after="0" w:line="240" w:lineRule="auto"/>
              <w:jc w:val="left"/>
              <w:rPr>
                <w:rFonts w:eastAsia="Times New Roman" w:cs="Times New Roman"/>
                <w:b/>
                <w:bCs/>
                <w:sz w:val="18"/>
                <w:szCs w:val="18"/>
                <w:lang w:eastAsia="sk-SK"/>
              </w:rPr>
            </w:pPr>
            <w:r w:rsidRPr="000B4EBC">
              <w:rPr>
                <w:rFonts w:eastAsia="Times New Roman" w:cs="Times New Roman"/>
                <w:b/>
                <w:bCs/>
                <w:sz w:val="18"/>
                <w:szCs w:val="18"/>
                <w:lang w:eastAsia="sk-SK"/>
              </w:rPr>
              <w:t>Verejná správa spolu konsolidovaná</w:t>
            </w:r>
          </w:p>
        </w:tc>
        <w:tc>
          <w:tcPr>
            <w:tcW w:w="603" w:type="pct"/>
            <w:tcBorders>
              <w:top w:val="single" w:sz="4" w:space="0" w:color="auto"/>
              <w:left w:val="nil"/>
              <w:bottom w:val="nil"/>
              <w:right w:val="nil"/>
            </w:tcBorders>
            <w:shd w:val="clear" w:color="auto" w:fill="auto"/>
            <w:noWrap/>
            <w:vAlign w:val="bottom"/>
            <w:hideMark/>
          </w:tcPr>
          <w:p w14:paraId="77CC930F" w14:textId="77777777" w:rsidR="009A05C7" w:rsidRPr="000B4EBC" w:rsidRDefault="009A05C7" w:rsidP="000240DA">
            <w:pPr>
              <w:spacing w:after="0" w:line="240" w:lineRule="auto"/>
              <w:jc w:val="right"/>
              <w:rPr>
                <w:rFonts w:eastAsia="Times New Roman" w:cs="Times New Roman"/>
                <w:b/>
                <w:bCs/>
                <w:sz w:val="18"/>
                <w:szCs w:val="18"/>
                <w:lang w:eastAsia="sk-SK"/>
              </w:rPr>
            </w:pPr>
            <w:r w:rsidRPr="000B4EBC">
              <w:rPr>
                <w:rFonts w:eastAsia="Times New Roman" w:cs="Times New Roman"/>
                <w:b/>
                <w:bCs/>
                <w:sz w:val="18"/>
                <w:szCs w:val="18"/>
                <w:lang w:eastAsia="sk-SK"/>
              </w:rPr>
              <w:t>63 498 970</w:t>
            </w:r>
          </w:p>
        </w:tc>
        <w:tc>
          <w:tcPr>
            <w:tcW w:w="665" w:type="pct"/>
            <w:tcBorders>
              <w:top w:val="single" w:sz="4" w:space="0" w:color="auto"/>
              <w:left w:val="nil"/>
              <w:bottom w:val="nil"/>
              <w:right w:val="nil"/>
            </w:tcBorders>
            <w:shd w:val="clear" w:color="auto" w:fill="auto"/>
            <w:noWrap/>
            <w:vAlign w:val="bottom"/>
            <w:hideMark/>
          </w:tcPr>
          <w:p w14:paraId="7E32AD80" w14:textId="77777777" w:rsidR="009A05C7" w:rsidRPr="000B4EBC" w:rsidRDefault="009A05C7" w:rsidP="000240DA">
            <w:pPr>
              <w:spacing w:after="0" w:line="240" w:lineRule="auto"/>
              <w:jc w:val="right"/>
              <w:rPr>
                <w:rFonts w:eastAsia="Times New Roman" w:cs="Times New Roman"/>
                <w:b/>
                <w:bCs/>
                <w:sz w:val="18"/>
                <w:szCs w:val="18"/>
                <w:lang w:eastAsia="sk-SK"/>
              </w:rPr>
            </w:pPr>
            <w:r w:rsidRPr="000B4EBC">
              <w:rPr>
                <w:rFonts w:eastAsia="Times New Roman" w:cs="Times New Roman"/>
                <w:b/>
                <w:bCs/>
                <w:sz w:val="18"/>
                <w:szCs w:val="18"/>
                <w:lang w:eastAsia="sk-SK"/>
              </w:rPr>
              <w:t>68 896 209</w:t>
            </w:r>
          </w:p>
        </w:tc>
        <w:tc>
          <w:tcPr>
            <w:tcW w:w="665" w:type="pct"/>
            <w:tcBorders>
              <w:top w:val="single" w:sz="4" w:space="0" w:color="auto"/>
              <w:left w:val="nil"/>
              <w:bottom w:val="nil"/>
              <w:right w:val="nil"/>
            </w:tcBorders>
            <w:shd w:val="clear" w:color="auto" w:fill="auto"/>
            <w:noWrap/>
            <w:vAlign w:val="bottom"/>
            <w:hideMark/>
          </w:tcPr>
          <w:p w14:paraId="7937138A" w14:textId="77777777" w:rsidR="009A05C7" w:rsidRPr="000B4EBC" w:rsidRDefault="009A05C7" w:rsidP="000240DA">
            <w:pPr>
              <w:spacing w:after="0" w:line="240" w:lineRule="auto"/>
              <w:jc w:val="right"/>
              <w:rPr>
                <w:rFonts w:eastAsia="Times New Roman" w:cs="Times New Roman"/>
                <w:b/>
                <w:bCs/>
                <w:sz w:val="18"/>
                <w:szCs w:val="18"/>
                <w:lang w:eastAsia="sk-SK"/>
              </w:rPr>
            </w:pPr>
            <w:r w:rsidRPr="000B4EBC">
              <w:rPr>
                <w:rFonts w:eastAsia="Times New Roman" w:cs="Times New Roman"/>
                <w:b/>
                <w:bCs/>
                <w:sz w:val="18"/>
                <w:szCs w:val="18"/>
                <w:lang w:eastAsia="sk-SK"/>
              </w:rPr>
              <w:t>77 648 309</w:t>
            </w:r>
          </w:p>
        </w:tc>
        <w:tc>
          <w:tcPr>
            <w:tcW w:w="523" w:type="pct"/>
            <w:tcBorders>
              <w:top w:val="single" w:sz="4" w:space="0" w:color="auto"/>
              <w:left w:val="nil"/>
              <w:bottom w:val="nil"/>
              <w:right w:val="nil"/>
            </w:tcBorders>
            <w:shd w:val="clear" w:color="auto" w:fill="auto"/>
            <w:noWrap/>
            <w:vAlign w:val="bottom"/>
            <w:hideMark/>
          </w:tcPr>
          <w:p w14:paraId="50F581B4" w14:textId="77777777" w:rsidR="009A05C7" w:rsidRPr="000B4EBC" w:rsidRDefault="009A05C7" w:rsidP="000240DA">
            <w:pPr>
              <w:spacing w:after="0" w:line="240" w:lineRule="auto"/>
              <w:jc w:val="right"/>
              <w:rPr>
                <w:rFonts w:eastAsia="Times New Roman" w:cs="Times New Roman"/>
                <w:b/>
                <w:bCs/>
                <w:sz w:val="18"/>
                <w:szCs w:val="18"/>
                <w:lang w:eastAsia="sk-SK"/>
              </w:rPr>
            </w:pPr>
            <w:r w:rsidRPr="000B4EBC">
              <w:rPr>
                <w:rFonts w:eastAsia="Times New Roman" w:cs="Times New Roman"/>
                <w:b/>
                <w:bCs/>
                <w:sz w:val="18"/>
                <w:szCs w:val="18"/>
                <w:lang w:eastAsia="sk-SK"/>
              </w:rPr>
              <w:t>8 752 100</w:t>
            </w:r>
          </w:p>
        </w:tc>
      </w:tr>
      <w:tr w:rsidR="009A05C7" w:rsidRPr="000B4EBC" w14:paraId="52C77801" w14:textId="77777777" w:rsidTr="000240DA">
        <w:trPr>
          <w:trHeight w:val="290"/>
        </w:trPr>
        <w:tc>
          <w:tcPr>
            <w:tcW w:w="2544" w:type="pct"/>
            <w:tcBorders>
              <w:top w:val="nil"/>
              <w:left w:val="nil"/>
              <w:bottom w:val="single" w:sz="4" w:space="0" w:color="auto"/>
              <w:right w:val="nil"/>
            </w:tcBorders>
            <w:shd w:val="clear" w:color="auto" w:fill="auto"/>
            <w:noWrap/>
            <w:vAlign w:val="bottom"/>
            <w:hideMark/>
          </w:tcPr>
          <w:p w14:paraId="7303CBE9" w14:textId="77777777" w:rsidR="009A05C7" w:rsidRPr="000B4EBC" w:rsidRDefault="009A05C7" w:rsidP="000240DA">
            <w:pPr>
              <w:spacing w:after="0" w:line="240" w:lineRule="auto"/>
              <w:ind w:firstLineChars="200" w:firstLine="361"/>
              <w:jc w:val="left"/>
              <w:rPr>
                <w:rFonts w:eastAsia="Times New Roman" w:cs="Times New Roman"/>
                <w:b/>
                <w:bCs/>
                <w:sz w:val="18"/>
                <w:szCs w:val="18"/>
                <w:lang w:eastAsia="sk-SK"/>
              </w:rPr>
            </w:pPr>
            <w:r w:rsidRPr="000B4EBC">
              <w:rPr>
                <w:rFonts w:eastAsia="Times New Roman" w:cs="Times New Roman"/>
                <w:b/>
                <w:bCs/>
                <w:sz w:val="18"/>
                <w:szCs w:val="18"/>
                <w:lang w:eastAsia="sk-SK"/>
              </w:rPr>
              <w:t>% z HDP</w:t>
            </w:r>
          </w:p>
        </w:tc>
        <w:tc>
          <w:tcPr>
            <w:tcW w:w="603" w:type="pct"/>
            <w:tcBorders>
              <w:top w:val="nil"/>
              <w:left w:val="nil"/>
              <w:bottom w:val="single" w:sz="4" w:space="0" w:color="auto"/>
              <w:right w:val="nil"/>
            </w:tcBorders>
            <w:shd w:val="clear" w:color="auto" w:fill="auto"/>
            <w:noWrap/>
            <w:vAlign w:val="bottom"/>
            <w:hideMark/>
          </w:tcPr>
          <w:p w14:paraId="73B2AB0B" w14:textId="77777777" w:rsidR="009A05C7" w:rsidRPr="000B4EBC" w:rsidRDefault="009A05C7" w:rsidP="000240DA">
            <w:pPr>
              <w:spacing w:after="0" w:line="240" w:lineRule="auto"/>
              <w:jc w:val="right"/>
              <w:rPr>
                <w:rFonts w:eastAsia="Times New Roman" w:cs="Times New Roman"/>
                <w:b/>
                <w:bCs/>
                <w:sz w:val="18"/>
                <w:szCs w:val="18"/>
                <w:lang w:eastAsia="sk-SK"/>
              </w:rPr>
            </w:pPr>
            <w:r w:rsidRPr="000B4EBC">
              <w:rPr>
                <w:rFonts w:eastAsia="Times New Roman" w:cs="Times New Roman"/>
                <w:b/>
                <w:bCs/>
                <w:sz w:val="18"/>
                <w:szCs w:val="18"/>
                <w:lang w:eastAsia="sk-SK"/>
              </w:rPr>
              <w:t>57,7</w:t>
            </w:r>
          </w:p>
        </w:tc>
        <w:tc>
          <w:tcPr>
            <w:tcW w:w="665" w:type="pct"/>
            <w:tcBorders>
              <w:top w:val="nil"/>
              <w:left w:val="nil"/>
              <w:bottom w:val="single" w:sz="4" w:space="0" w:color="auto"/>
              <w:right w:val="nil"/>
            </w:tcBorders>
            <w:shd w:val="clear" w:color="auto" w:fill="auto"/>
            <w:noWrap/>
            <w:vAlign w:val="bottom"/>
            <w:hideMark/>
          </w:tcPr>
          <w:p w14:paraId="2858B983" w14:textId="77777777" w:rsidR="009A05C7" w:rsidRPr="000B4EBC" w:rsidRDefault="009A05C7" w:rsidP="000240DA">
            <w:pPr>
              <w:spacing w:after="0" w:line="240" w:lineRule="auto"/>
              <w:jc w:val="right"/>
              <w:rPr>
                <w:rFonts w:eastAsia="Times New Roman" w:cs="Times New Roman"/>
                <w:b/>
                <w:bCs/>
                <w:sz w:val="18"/>
                <w:szCs w:val="18"/>
                <w:lang w:eastAsia="sk-SK"/>
              </w:rPr>
            </w:pPr>
            <w:r w:rsidRPr="000B4EBC">
              <w:rPr>
                <w:rFonts w:eastAsia="Times New Roman" w:cs="Times New Roman"/>
                <w:b/>
                <w:bCs/>
                <w:sz w:val="18"/>
                <w:szCs w:val="18"/>
                <w:lang w:eastAsia="sk-SK"/>
              </w:rPr>
              <w:t>55,6</w:t>
            </w:r>
          </w:p>
        </w:tc>
        <w:tc>
          <w:tcPr>
            <w:tcW w:w="665" w:type="pct"/>
            <w:tcBorders>
              <w:top w:val="nil"/>
              <w:left w:val="nil"/>
              <w:bottom w:val="single" w:sz="4" w:space="0" w:color="auto"/>
              <w:right w:val="nil"/>
            </w:tcBorders>
            <w:shd w:val="clear" w:color="auto" w:fill="auto"/>
            <w:noWrap/>
            <w:vAlign w:val="bottom"/>
            <w:hideMark/>
          </w:tcPr>
          <w:p w14:paraId="6ED19B72" w14:textId="77777777" w:rsidR="009A05C7" w:rsidRPr="000B4EBC" w:rsidRDefault="009A05C7" w:rsidP="000240DA">
            <w:pPr>
              <w:spacing w:after="0" w:line="240" w:lineRule="auto"/>
              <w:jc w:val="right"/>
              <w:rPr>
                <w:rFonts w:eastAsia="Times New Roman" w:cs="Times New Roman"/>
                <w:b/>
                <w:bCs/>
                <w:sz w:val="18"/>
                <w:szCs w:val="18"/>
                <w:lang w:eastAsia="sk-SK"/>
              </w:rPr>
            </w:pPr>
            <w:r w:rsidRPr="000B4EBC">
              <w:rPr>
                <w:rFonts w:eastAsia="Times New Roman" w:cs="Times New Roman"/>
                <w:b/>
                <w:bCs/>
                <w:sz w:val="18"/>
                <w:szCs w:val="18"/>
                <w:lang w:eastAsia="sk-SK"/>
              </w:rPr>
              <w:t>59,3</w:t>
            </w:r>
          </w:p>
        </w:tc>
        <w:tc>
          <w:tcPr>
            <w:tcW w:w="523" w:type="pct"/>
            <w:tcBorders>
              <w:top w:val="nil"/>
              <w:left w:val="nil"/>
              <w:bottom w:val="single" w:sz="4" w:space="0" w:color="auto"/>
              <w:right w:val="nil"/>
            </w:tcBorders>
            <w:shd w:val="clear" w:color="auto" w:fill="auto"/>
            <w:noWrap/>
            <w:vAlign w:val="bottom"/>
            <w:hideMark/>
          </w:tcPr>
          <w:p w14:paraId="7A4561D7" w14:textId="759780C9" w:rsidR="009A05C7" w:rsidRPr="000B4EBC" w:rsidRDefault="00A5583F" w:rsidP="0090081E">
            <w:pPr>
              <w:spacing w:after="0" w:line="240" w:lineRule="auto"/>
              <w:jc w:val="right"/>
              <w:rPr>
                <w:rFonts w:eastAsia="Times New Roman" w:cs="Times New Roman"/>
                <w:b/>
                <w:bCs/>
                <w:sz w:val="18"/>
                <w:szCs w:val="18"/>
                <w:lang w:eastAsia="sk-SK"/>
              </w:rPr>
            </w:pPr>
            <w:r>
              <w:rPr>
                <w:rFonts w:eastAsia="Times New Roman" w:cs="Times New Roman"/>
                <w:b/>
                <w:bCs/>
                <w:sz w:val="18"/>
                <w:szCs w:val="18"/>
                <w:lang w:eastAsia="sk-SK"/>
              </w:rPr>
              <w:t>3,</w:t>
            </w:r>
            <w:r w:rsidR="0090081E">
              <w:rPr>
                <w:rFonts w:eastAsia="Times New Roman" w:cs="Times New Roman"/>
                <w:b/>
                <w:bCs/>
                <w:sz w:val="18"/>
                <w:szCs w:val="18"/>
                <w:lang w:eastAsia="sk-SK"/>
              </w:rPr>
              <w:t>7</w:t>
            </w:r>
          </w:p>
        </w:tc>
      </w:tr>
    </w:tbl>
    <w:p w14:paraId="4953A4CA" w14:textId="77777777" w:rsidR="009A05C7" w:rsidRPr="000B4EBC" w:rsidRDefault="009A05C7" w:rsidP="009A05C7">
      <w:pPr>
        <w:rPr>
          <w:sz w:val="18"/>
          <w:szCs w:val="18"/>
        </w:rPr>
      </w:pPr>
      <w:r w:rsidRPr="00661495">
        <w:rPr>
          <w:sz w:val="18"/>
          <w:szCs w:val="18"/>
          <w:vertAlign w:val="superscript"/>
        </w:rPr>
        <w:t>1)</w:t>
      </w:r>
      <w:r w:rsidRPr="000B4EBC">
        <w:rPr>
          <w:sz w:val="18"/>
          <w:szCs w:val="18"/>
        </w:rPr>
        <w:t xml:space="preserve"> Bez tzv. refinančného systému a záväzkov z vkladov subjektov verejnej správy v Štátnej pokladnici</w:t>
      </w:r>
      <w:r>
        <w:rPr>
          <w:sz w:val="18"/>
          <w:szCs w:val="18"/>
        </w:rPr>
        <w:t xml:space="preserve">.   </w:t>
      </w:r>
      <w:r w:rsidRPr="000B4EBC">
        <w:rPr>
          <w:sz w:val="18"/>
          <w:szCs w:val="18"/>
        </w:rPr>
        <w:t xml:space="preserve">             Zdroj: MF SR</w:t>
      </w:r>
    </w:p>
    <w:p w14:paraId="536A8EEC" w14:textId="77777777" w:rsidR="00850FAC" w:rsidRDefault="00850FAC">
      <w:pPr>
        <w:spacing w:after="160" w:line="259" w:lineRule="auto"/>
        <w:jc w:val="left"/>
        <w:rPr>
          <w:sz w:val="24"/>
          <w:szCs w:val="24"/>
        </w:rPr>
      </w:pPr>
      <w:r>
        <w:rPr>
          <w:sz w:val="24"/>
          <w:szCs w:val="24"/>
        </w:rPr>
        <w:br w:type="page"/>
      </w:r>
    </w:p>
    <w:p w14:paraId="28E5BED6" w14:textId="4FE65C2A" w:rsidR="009A05C7" w:rsidRPr="00AD12E2" w:rsidRDefault="009A05C7" w:rsidP="009A05C7">
      <w:pPr>
        <w:spacing w:after="160" w:line="259" w:lineRule="auto"/>
        <w:rPr>
          <w:sz w:val="24"/>
          <w:szCs w:val="24"/>
          <w:highlight w:val="yellow"/>
        </w:rPr>
      </w:pPr>
      <w:r w:rsidRPr="00B06E83">
        <w:rPr>
          <w:sz w:val="24"/>
          <w:szCs w:val="24"/>
        </w:rPr>
        <w:lastRenderedPageBreak/>
        <w:t>Na náraste nominálneho dlhu v roku 2024 sa v </w:t>
      </w:r>
      <w:r>
        <w:rPr>
          <w:sz w:val="24"/>
          <w:szCs w:val="24"/>
        </w:rPr>
        <w:t>najväčšej</w:t>
      </w:r>
      <w:r w:rsidRPr="00B06E83">
        <w:rPr>
          <w:sz w:val="24"/>
          <w:szCs w:val="24"/>
        </w:rPr>
        <w:t xml:space="preserve"> miere podieľal </w:t>
      </w:r>
      <w:r w:rsidRPr="00B06E83">
        <w:rPr>
          <w:b/>
          <w:sz w:val="24"/>
          <w:szCs w:val="24"/>
        </w:rPr>
        <w:t xml:space="preserve">hotovostný schodok štátneho rozpočtu </w:t>
      </w:r>
      <w:r w:rsidRPr="00B06E83">
        <w:rPr>
          <w:sz w:val="24"/>
          <w:szCs w:val="24"/>
        </w:rPr>
        <w:t>vo výške 6 366 </w:t>
      </w:r>
      <w:r>
        <w:rPr>
          <w:sz w:val="24"/>
          <w:szCs w:val="24"/>
        </w:rPr>
        <w:t>120</w:t>
      </w:r>
      <w:r w:rsidRPr="00B06E83">
        <w:rPr>
          <w:sz w:val="24"/>
          <w:szCs w:val="24"/>
        </w:rPr>
        <w:t xml:space="preserve"> tis. eur. </w:t>
      </w:r>
      <w:r w:rsidRPr="0097198E">
        <w:rPr>
          <w:sz w:val="24"/>
          <w:szCs w:val="24"/>
        </w:rPr>
        <w:t>Zvýšenie maastrichtského dlhu oproti roku 2023 ovplyvnili najmä nasledovné skutočnosti:</w:t>
      </w:r>
    </w:p>
    <w:p w14:paraId="10D6EF56" w14:textId="51D784EA" w:rsidR="009A05C7" w:rsidRPr="00A56C08" w:rsidRDefault="009A05C7" w:rsidP="009A05C7">
      <w:pPr>
        <w:numPr>
          <w:ilvl w:val="0"/>
          <w:numId w:val="12"/>
        </w:numPr>
        <w:spacing w:line="240" w:lineRule="auto"/>
        <w:contextualSpacing/>
        <w:rPr>
          <w:rFonts w:cs="Times New Roman"/>
          <w:sz w:val="24"/>
          <w:szCs w:val="24"/>
        </w:rPr>
      </w:pPr>
      <w:r>
        <w:rPr>
          <w:rFonts w:cs="Times New Roman"/>
          <w:sz w:val="24"/>
          <w:szCs w:val="24"/>
        </w:rPr>
        <w:t xml:space="preserve">krytie </w:t>
      </w:r>
      <w:r w:rsidRPr="00A56C08">
        <w:rPr>
          <w:rFonts w:cs="Times New Roman"/>
          <w:sz w:val="24"/>
          <w:szCs w:val="24"/>
        </w:rPr>
        <w:t>schodk</w:t>
      </w:r>
      <w:r>
        <w:rPr>
          <w:rFonts w:cs="Times New Roman"/>
          <w:sz w:val="24"/>
          <w:szCs w:val="24"/>
        </w:rPr>
        <w:t>u</w:t>
      </w:r>
      <w:r w:rsidRPr="00A56C08">
        <w:rPr>
          <w:rFonts w:cs="Times New Roman"/>
          <w:sz w:val="24"/>
          <w:szCs w:val="24"/>
        </w:rPr>
        <w:t xml:space="preserve"> štátneho rozpočtu na hotovost</w:t>
      </w:r>
      <w:r>
        <w:rPr>
          <w:rFonts w:cs="Times New Roman"/>
          <w:sz w:val="24"/>
          <w:szCs w:val="24"/>
        </w:rPr>
        <w:t>nej báze a ďalšie požiadavky na </w:t>
      </w:r>
      <w:r w:rsidRPr="00A56C08">
        <w:rPr>
          <w:rFonts w:cs="Times New Roman"/>
          <w:sz w:val="24"/>
          <w:szCs w:val="24"/>
        </w:rPr>
        <w:t>cudzie zdroje vyplývajúce z riadenia dlhu a likvidity, ktoré sa prejavili do</w:t>
      </w:r>
      <w:r w:rsidR="00850FAC">
        <w:rPr>
          <w:rFonts w:cs="Times New Roman"/>
          <w:sz w:val="24"/>
          <w:szCs w:val="24"/>
        </w:rPr>
        <w:t> </w:t>
      </w:r>
      <w:r w:rsidRPr="00A56C08">
        <w:rPr>
          <w:rFonts w:cs="Times New Roman"/>
          <w:sz w:val="24"/>
          <w:szCs w:val="24"/>
        </w:rPr>
        <w:t>emitovania štátnych dlhopisov v úhrnnej menovitej hodnote 13 438 305 tis. eur a</w:t>
      </w:r>
      <w:r>
        <w:rPr>
          <w:rFonts w:cs="Times New Roman"/>
          <w:sz w:val="24"/>
          <w:szCs w:val="24"/>
        </w:rPr>
        <w:t xml:space="preserve"> </w:t>
      </w:r>
      <w:r w:rsidRPr="00A56C08">
        <w:rPr>
          <w:rFonts w:cs="Times New Roman"/>
          <w:sz w:val="24"/>
          <w:szCs w:val="24"/>
        </w:rPr>
        <w:t>čerpania tretej tranže úverov od Európskej investičnej banky vo výške 72 030 tis. eur v rámci štátneho dlhu,</w:t>
      </w:r>
    </w:p>
    <w:p w14:paraId="20A876AF" w14:textId="77777777" w:rsidR="009A05C7" w:rsidRPr="0097198E" w:rsidRDefault="009A05C7" w:rsidP="009A05C7">
      <w:pPr>
        <w:numPr>
          <w:ilvl w:val="0"/>
          <w:numId w:val="12"/>
        </w:numPr>
        <w:spacing w:line="240" w:lineRule="auto"/>
        <w:contextualSpacing/>
        <w:rPr>
          <w:rFonts w:cs="Times New Roman"/>
          <w:sz w:val="24"/>
          <w:szCs w:val="24"/>
        </w:rPr>
      </w:pPr>
      <w:r>
        <w:rPr>
          <w:rFonts w:cs="Times New Roman"/>
          <w:sz w:val="24"/>
          <w:szCs w:val="24"/>
        </w:rPr>
        <w:t>nárast dlhu z tzv. zelenej energie o 37 022 tis. eur z dôvodu nižšej hodnoty  inkasovanej TPS ako boli náklady na poskytovanie dotácií výrobcom zelenej energie,</w:t>
      </w:r>
    </w:p>
    <w:p w14:paraId="79DDD324" w14:textId="77777777" w:rsidR="009A05C7" w:rsidRDefault="009A05C7" w:rsidP="009A05C7">
      <w:pPr>
        <w:numPr>
          <w:ilvl w:val="0"/>
          <w:numId w:val="12"/>
        </w:numPr>
        <w:spacing w:line="240" w:lineRule="auto"/>
        <w:contextualSpacing/>
        <w:rPr>
          <w:rFonts w:cs="Times New Roman"/>
          <w:sz w:val="24"/>
          <w:szCs w:val="24"/>
        </w:rPr>
      </w:pPr>
      <w:r w:rsidRPr="002112B5">
        <w:rPr>
          <w:rFonts w:cs="Times New Roman"/>
          <w:sz w:val="24"/>
          <w:szCs w:val="24"/>
        </w:rPr>
        <w:t xml:space="preserve">nárast konsolidovaného dlhu Eximbanky o 57 256 tis. eur, najmä z dôvodu prevzatia dlhu </w:t>
      </w:r>
      <w:r>
        <w:rPr>
          <w:rFonts w:cs="Times New Roman"/>
          <w:sz w:val="24"/>
          <w:szCs w:val="24"/>
        </w:rPr>
        <w:t xml:space="preserve">voči BNC (Kubánska národná banka) </w:t>
      </w:r>
      <w:r w:rsidRPr="002112B5">
        <w:rPr>
          <w:rFonts w:cs="Times New Roman"/>
          <w:sz w:val="24"/>
          <w:szCs w:val="24"/>
        </w:rPr>
        <w:t>vo výške nesplatenej istiny v hodnote 51 689 tis. eur,</w:t>
      </w:r>
    </w:p>
    <w:p w14:paraId="4DF9F56D" w14:textId="77777777" w:rsidR="009A05C7" w:rsidRPr="002112B5" w:rsidRDefault="009A05C7" w:rsidP="009A05C7">
      <w:pPr>
        <w:numPr>
          <w:ilvl w:val="0"/>
          <w:numId w:val="12"/>
        </w:numPr>
        <w:spacing w:line="240" w:lineRule="auto"/>
        <w:contextualSpacing/>
        <w:rPr>
          <w:rFonts w:cs="Times New Roman"/>
          <w:sz w:val="24"/>
          <w:szCs w:val="24"/>
        </w:rPr>
      </w:pPr>
      <w:r>
        <w:rPr>
          <w:rFonts w:cs="Times New Roman"/>
          <w:sz w:val="24"/>
          <w:szCs w:val="24"/>
        </w:rPr>
        <w:t>zvýšenie konsolidovaného dlhu SZRB o 24 561 tis. eur.</w:t>
      </w:r>
    </w:p>
    <w:p w14:paraId="09493F6D" w14:textId="77777777" w:rsidR="009A05C7" w:rsidRPr="005E7D72" w:rsidRDefault="009A05C7" w:rsidP="009A05C7">
      <w:pPr>
        <w:keepNext/>
        <w:spacing w:before="240" w:after="160" w:line="240" w:lineRule="auto"/>
        <w:rPr>
          <w:sz w:val="24"/>
          <w:szCs w:val="24"/>
        </w:rPr>
      </w:pPr>
      <w:r>
        <w:rPr>
          <w:b/>
          <w:sz w:val="24"/>
          <w:szCs w:val="24"/>
        </w:rPr>
        <w:t>Naopak, na pokles</w:t>
      </w:r>
      <w:r w:rsidRPr="005E7D72">
        <w:rPr>
          <w:sz w:val="24"/>
          <w:szCs w:val="24"/>
        </w:rPr>
        <w:t xml:space="preserve"> maastrichtského dlhu oproti jeho stavu v roku 2023 </w:t>
      </w:r>
      <w:r>
        <w:rPr>
          <w:sz w:val="24"/>
          <w:szCs w:val="24"/>
        </w:rPr>
        <w:t xml:space="preserve">pôsobili </w:t>
      </w:r>
      <w:r w:rsidRPr="005E7D72">
        <w:rPr>
          <w:sz w:val="24"/>
          <w:szCs w:val="24"/>
        </w:rPr>
        <w:t>tieto skutočnosti:</w:t>
      </w:r>
    </w:p>
    <w:p w14:paraId="5A12F07E" w14:textId="77777777" w:rsidR="009A05C7" w:rsidRPr="005E7D72" w:rsidRDefault="009A05C7" w:rsidP="009A05C7">
      <w:pPr>
        <w:numPr>
          <w:ilvl w:val="0"/>
          <w:numId w:val="13"/>
        </w:numPr>
        <w:spacing w:line="240" w:lineRule="auto"/>
        <w:contextualSpacing/>
        <w:rPr>
          <w:rFonts w:ascii="Calibri" w:hAnsi="Calibri" w:cs="Times New Roman"/>
          <w:sz w:val="24"/>
          <w:szCs w:val="24"/>
        </w:rPr>
      </w:pPr>
      <w:r w:rsidRPr="005E7D72">
        <w:rPr>
          <w:rFonts w:cs="Times New Roman"/>
          <w:sz w:val="24"/>
          <w:szCs w:val="24"/>
        </w:rPr>
        <w:t>splátky záväzkov zo štátnych dlhopisov v menovitej hodnote 4 778 533 tis. eur,</w:t>
      </w:r>
    </w:p>
    <w:p w14:paraId="23A0FEF2" w14:textId="77777777" w:rsidR="009A05C7" w:rsidRPr="005E7D72" w:rsidRDefault="009A05C7" w:rsidP="009A05C7">
      <w:pPr>
        <w:numPr>
          <w:ilvl w:val="0"/>
          <w:numId w:val="13"/>
        </w:numPr>
        <w:spacing w:line="240" w:lineRule="auto"/>
        <w:contextualSpacing/>
        <w:rPr>
          <w:rFonts w:ascii="Calibri" w:hAnsi="Calibri" w:cs="Times New Roman"/>
          <w:sz w:val="24"/>
          <w:szCs w:val="24"/>
        </w:rPr>
      </w:pPr>
      <w:r w:rsidRPr="005E7D72">
        <w:rPr>
          <w:rFonts w:cs="Times New Roman"/>
          <w:sz w:val="24"/>
          <w:szCs w:val="24"/>
        </w:rPr>
        <w:t>splátky úverov v štátnom dlhu v hodnote 8</w:t>
      </w:r>
      <w:r>
        <w:rPr>
          <w:rFonts w:cs="Times New Roman"/>
          <w:sz w:val="24"/>
          <w:szCs w:val="24"/>
        </w:rPr>
        <w:t> </w:t>
      </w:r>
      <w:r w:rsidRPr="005E7D72">
        <w:rPr>
          <w:rFonts w:cs="Times New Roman"/>
          <w:sz w:val="24"/>
          <w:szCs w:val="24"/>
        </w:rPr>
        <w:t>634</w:t>
      </w:r>
      <w:r>
        <w:rPr>
          <w:rFonts w:cs="Times New Roman"/>
          <w:sz w:val="24"/>
          <w:szCs w:val="24"/>
        </w:rPr>
        <w:t> </w:t>
      </w:r>
      <w:r w:rsidRPr="005E7D72">
        <w:rPr>
          <w:rFonts w:cs="Times New Roman"/>
          <w:sz w:val="24"/>
          <w:szCs w:val="24"/>
        </w:rPr>
        <w:t>tis.</w:t>
      </w:r>
      <w:r>
        <w:rPr>
          <w:rFonts w:cs="Times New Roman"/>
          <w:sz w:val="24"/>
          <w:szCs w:val="24"/>
        </w:rPr>
        <w:t> </w:t>
      </w:r>
      <w:r w:rsidRPr="005E7D72">
        <w:rPr>
          <w:rFonts w:cs="Times New Roman"/>
          <w:sz w:val="24"/>
          <w:szCs w:val="24"/>
        </w:rPr>
        <w:t>eur,</w:t>
      </w:r>
    </w:p>
    <w:p w14:paraId="72615657" w14:textId="77777777" w:rsidR="009A05C7" w:rsidRPr="00A17F85" w:rsidRDefault="009A05C7" w:rsidP="009A05C7">
      <w:pPr>
        <w:numPr>
          <w:ilvl w:val="0"/>
          <w:numId w:val="13"/>
        </w:numPr>
        <w:spacing w:line="240" w:lineRule="auto"/>
        <w:contextualSpacing/>
        <w:rPr>
          <w:rFonts w:ascii="Calibri" w:hAnsi="Calibri" w:cs="Times New Roman"/>
          <w:sz w:val="24"/>
          <w:szCs w:val="24"/>
        </w:rPr>
      </w:pPr>
      <w:r w:rsidRPr="00A17F85">
        <w:rPr>
          <w:rFonts w:cs="Times New Roman"/>
          <w:sz w:val="24"/>
          <w:szCs w:val="24"/>
        </w:rPr>
        <w:t>zníženie konsolidovaného dlhu zdravotníckych zariadení ústrednej správy o 36 982 tis. eur,</w:t>
      </w:r>
    </w:p>
    <w:p w14:paraId="1B3A2BF0" w14:textId="77777777" w:rsidR="009A05C7" w:rsidRPr="00A17F85" w:rsidRDefault="009A05C7" w:rsidP="009A05C7">
      <w:pPr>
        <w:numPr>
          <w:ilvl w:val="0"/>
          <w:numId w:val="13"/>
        </w:numPr>
        <w:spacing w:line="240" w:lineRule="auto"/>
        <w:contextualSpacing/>
        <w:rPr>
          <w:rFonts w:ascii="Calibri" w:hAnsi="Calibri" w:cs="Times New Roman"/>
          <w:sz w:val="24"/>
          <w:szCs w:val="24"/>
        </w:rPr>
      </w:pPr>
      <w:r w:rsidRPr="00A17F85">
        <w:rPr>
          <w:rFonts w:cs="Times New Roman"/>
          <w:sz w:val="24"/>
          <w:szCs w:val="24"/>
        </w:rPr>
        <w:t>pokles konsolidovaného dlhu Železničnej spoločnosti Slovensko, a. s. o 32 970 tis. eur,</w:t>
      </w:r>
    </w:p>
    <w:p w14:paraId="21B4520F" w14:textId="77777777" w:rsidR="009A05C7" w:rsidRPr="00A17F85" w:rsidRDefault="009A05C7" w:rsidP="009A05C7">
      <w:pPr>
        <w:numPr>
          <w:ilvl w:val="0"/>
          <w:numId w:val="13"/>
        </w:numPr>
        <w:spacing w:line="240" w:lineRule="auto"/>
        <w:contextualSpacing/>
        <w:rPr>
          <w:rFonts w:ascii="Calibri" w:hAnsi="Calibri" w:cs="Times New Roman"/>
          <w:sz w:val="24"/>
          <w:szCs w:val="24"/>
        </w:rPr>
      </w:pPr>
      <w:r w:rsidRPr="00A17F85">
        <w:rPr>
          <w:rFonts w:cs="Times New Roman"/>
          <w:sz w:val="24"/>
          <w:szCs w:val="24"/>
        </w:rPr>
        <w:t>zníženie konsolidovaného dlhu vyšších územných celkov o 27 450 tis. eur a obcí o 5 595 tis. eur,</w:t>
      </w:r>
    </w:p>
    <w:p w14:paraId="1DBCC1F3" w14:textId="77777777" w:rsidR="009A05C7" w:rsidRPr="00A17F85" w:rsidRDefault="009A05C7" w:rsidP="009A05C7">
      <w:pPr>
        <w:numPr>
          <w:ilvl w:val="0"/>
          <w:numId w:val="13"/>
        </w:numPr>
        <w:spacing w:line="240" w:lineRule="auto"/>
        <w:contextualSpacing/>
        <w:rPr>
          <w:rFonts w:ascii="Calibri" w:hAnsi="Calibri" w:cs="Times New Roman"/>
          <w:sz w:val="24"/>
          <w:szCs w:val="24"/>
        </w:rPr>
      </w:pPr>
      <w:r w:rsidRPr="00A17F85">
        <w:rPr>
          <w:rFonts w:cs="Times New Roman"/>
          <w:sz w:val="24"/>
          <w:szCs w:val="24"/>
        </w:rPr>
        <w:t>pokles konsolidovaného dlhu Železníc Slovenskej republiky o 9 535 tis. eur,</w:t>
      </w:r>
    </w:p>
    <w:p w14:paraId="6D69391A" w14:textId="77777777" w:rsidR="009A05C7" w:rsidRPr="003C6446" w:rsidRDefault="009A05C7" w:rsidP="009A05C7">
      <w:pPr>
        <w:numPr>
          <w:ilvl w:val="0"/>
          <w:numId w:val="13"/>
        </w:numPr>
        <w:spacing w:line="240" w:lineRule="auto"/>
        <w:ind w:left="714" w:hanging="357"/>
        <w:rPr>
          <w:rFonts w:cs="Times New Roman"/>
          <w:sz w:val="24"/>
          <w:szCs w:val="24"/>
        </w:rPr>
      </w:pPr>
      <w:r w:rsidRPr="00A17F85">
        <w:rPr>
          <w:rFonts w:cs="Times New Roman"/>
          <w:sz w:val="24"/>
          <w:szCs w:val="24"/>
        </w:rPr>
        <w:t>pokles zadlženosti dopravných</w:t>
      </w:r>
      <w:r w:rsidRPr="003C6446">
        <w:rPr>
          <w:rFonts w:cs="Times New Roman"/>
          <w:sz w:val="24"/>
          <w:szCs w:val="24"/>
        </w:rPr>
        <w:t xml:space="preserve"> podnikov miestnej samosprávy o 6 182 tis. eur.</w:t>
      </w:r>
    </w:p>
    <w:p w14:paraId="78C092A1" w14:textId="77777777" w:rsidR="009A05C7" w:rsidRPr="00243322" w:rsidRDefault="009A05C7" w:rsidP="009A05C7">
      <w:pPr>
        <w:spacing w:line="240" w:lineRule="auto"/>
        <w:rPr>
          <w:sz w:val="24"/>
          <w:szCs w:val="24"/>
        </w:rPr>
      </w:pPr>
      <w:r w:rsidRPr="00243322">
        <w:rPr>
          <w:b/>
          <w:sz w:val="24"/>
          <w:szCs w:val="24"/>
        </w:rPr>
        <w:t xml:space="preserve">Maastrichtský dlh verejnej správy bol financovaný predovšetkým cennými papiermi, najmä štátnymi dlhopismi </w:t>
      </w:r>
      <w:r w:rsidRPr="00243322">
        <w:rPr>
          <w:sz w:val="24"/>
          <w:szCs w:val="24"/>
        </w:rPr>
        <w:t>v súhrnnej menovitej hodnote 68 886 889 tis.</w:t>
      </w:r>
      <w:r>
        <w:rPr>
          <w:sz w:val="24"/>
          <w:szCs w:val="24"/>
        </w:rPr>
        <w:t> </w:t>
      </w:r>
      <w:r w:rsidRPr="00243322">
        <w:rPr>
          <w:sz w:val="24"/>
          <w:szCs w:val="24"/>
        </w:rPr>
        <w:t>eur (88,7</w:t>
      </w:r>
      <w:r>
        <w:rPr>
          <w:sz w:val="24"/>
          <w:szCs w:val="24"/>
        </w:rPr>
        <w:t> %)</w:t>
      </w:r>
      <w:r w:rsidRPr="00243322">
        <w:rPr>
          <w:sz w:val="24"/>
          <w:szCs w:val="24"/>
        </w:rPr>
        <w:t>. Bankové úvery, pôžičky a iné záväzky dosiahli hodnotu 8 657 746 tis.</w:t>
      </w:r>
      <w:r>
        <w:rPr>
          <w:sz w:val="24"/>
          <w:szCs w:val="24"/>
        </w:rPr>
        <w:t> </w:t>
      </w:r>
      <w:r w:rsidRPr="00243322">
        <w:rPr>
          <w:sz w:val="24"/>
          <w:szCs w:val="24"/>
        </w:rPr>
        <w:t xml:space="preserve">eur (11,1 %), z čoho 1 971 228 tis. eur predstavuje záväzok pripadajúci na Slovenskú republiku z nástroja EFSF, ktorého úroveň sa oproti roku 2023 znížila </w:t>
      </w:r>
      <w:r>
        <w:rPr>
          <w:sz w:val="24"/>
          <w:szCs w:val="24"/>
        </w:rPr>
        <w:t xml:space="preserve">len nepatrne </w:t>
      </w:r>
      <w:r w:rsidRPr="00243322">
        <w:rPr>
          <w:sz w:val="24"/>
          <w:szCs w:val="24"/>
        </w:rPr>
        <w:t>o 1 702 tis. eur. Osobitnou súčasťou maastrichtského dlhu sú záväzky z vkladov peňažných prostriedkov v Štátnej pokladnici tých klientov, ktorí nie sú súčasťou verejnej správy. Výška týchto záväzkov bola v roku 2024 na</w:t>
      </w:r>
      <w:r>
        <w:rPr>
          <w:sz w:val="24"/>
          <w:szCs w:val="24"/>
        </w:rPr>
        <w:t> úrovni 48 163 tis. eur (0,1 %).</w:t>
      </w:r>
    </w:p>
    <w:p w14:paraId="0EC611D1" w14:textId="77777777" w:rsidR="009A05C7" w:rsidRPr="00F27DC3" w:rsidRDefault="009A05C7" w:rsidP="009A05C7">
      <w:pPr>
        <w:spacing w:line="240" w:lineRule="auto"/>
        <w:rPr>
          <w:sz w:val="24"/>
          <w:szCs w:val="24"/>
        </w:rPr>
      </w:pPr>
      <w:r w:rsidRPr="00F27DC3">
        <w:rPr>
          <w:b/>
          <w:sz w:val="24"/>
          <w:szCs w:val="24"/>
        </w:rPr>
        <w:t>Z pohľadu meny, v ktorej je dlh denominovaný, bol maastrichtský dlh v roku 2024 tvorený z 98,8</w:t>
      </w:r>
      <w:r>
        <w:rPr>
          <w:b/>
          <w:sz w:val="24"/>
          <w:szCs w:val="24"/>
        </w:rPr>
        <w:t> </w:t>
      </w:r>
      <w:r w:rsidRPr="00F27DC3">
        <w:rPr>
          <w:b/>
          <w:sz w:val="24"/>
          <w:szCs w:val="24"/>
        </w:rPr>
        <w:t xml:space="preserve">% dlhom v eurách </w:t>
      </w:r>
      <w:r w:rsidRPr="00F27DC3">
        <w:rPr>
          <w:sz w:val="24"/>
          <w:szCs w:val="24"/>
        </w:rPr>
        <w:t>a len 1,2 % dlhu pripadlo na iné meny, ktoré sú najmä v štátnom dlhu pri emitovaných dlhopisoch denominovaných v švajčiarskych frankoch a nórskych korunách.</w:t>
      </w:r>
    </w:p>
    <w:p w14:paraId="5FA644FB" w14:textId="77777777" w:rsidR="009A05C7" w:rsidRPr="00E058E2" w:rsidRDefault="009A05C7" w:rsidP="009A05C7">
      <w:pPr>
        <w:spacing w:line="240" w:lineRule="auto"/>
        <w:rPr>
          <w:sz w:val="24"/>
          <w:szCs w:val="24"/>
        </w:rPr>
      </w:pPr>
      <w:r w:rsidRPr="00E058E2">
        <w:rPr>
          <w:b/>
          <w:sz w:val="24"/>
          <w:szCs w:val="24"/>
        </w:rPr>
        <w:t xml:space="preserve">Z hľadiska pôvodnej splatnosti </w:t>
      </w:r>
      <w:r w:rsidRPr="00E058E2">
        <w:rPr>
          <w:sz w:val="24"/>
          <w:szCs w:val="24"/>
        </w:rPr>
        <w:t>(dohodnutej pri vzniku dlhu) je maastrichtský dlh tvorený z 0,6 % (455 183 tis.</w:t>
      </w:r>
      <w:r>
        <w:rPr>
          <w:sz w:val="24"/>
          <w:szCs w:val="24"/>
        </w:rPr>
        <w:t> </w:t>
      </w:r>
      <w:r w:rsidRPr="00E058E2">
        <w:rPr>
          <w:sz w:val="24"/>
          <w:szCs w:val="24"/>
        </w:rPr>
        <w:t>eur) krátkodobým dlhom. Dlh s pôvodnou splatnosťou vyššou ako jeden rok predstavuje 99,4 % (77 193 126 tis. eur).</w:t>
      </w:r>
    </w:p>
    <w:p w14:paraId="08B14B05" w14:textId="77777777" w:rsidR="009A05C7" w:rsidRPr="00E058E2" w:rsidRDefault="009A05C7" w:rsidP="009A05C7">
      <w:pPr>
        <w:spacing w:line="240" w:lineRule="auto"/>
      </w:pPr>
      <w:r w:rsidRPr="00E058E2">
        <w:rPr>
          <w:b/>
          <w:sz w:val="24"/>
          <w:szCs w:val="24"/>
        </w:rPr>
        <w:t>Z hľadiska teritoriálnej štruktúry</w:t>
      </w:r>
      <w:r w:rsidRPr="00E058E2">
        <w:rPr>
          <w:sz w:val="24"/>
          <w:szCs w:val="24"/>
        </w:rPr>
        <w:t xml:space="preserve"> majú v držbe väčšinu maastrichtského dlhu verejnej správy SR zahraniční veritelia, a to 57,8 % (44 889 134 tis. eur). V portfóliu tuzemských veriteľov </w:t>
      </w:r>
      <w:r>
        <w:rPr>
          <w:sz w:val="24"/>
          <w:szCs w:val="24"/>
        </w:rPr>
        <w:t>je 42,2 % (32 759 175 tis. </w:t>
      </w:r>
      <w:r w:rsidRPr="00E058E2">
        <w:rPr>
          <w:sz w:val="24"/>
          <w:szCs w:val="24"/>
        </w:rPr>
        <w:t>eur) maastrichtského dlhu.</w:t>
      </w:r>
    </w:p>
    <w:p w14:paraId="1497BFA2" w14:textId="77777777" w:rsidR="009A05C7" w:rsidRPr="00953FFD" w:rsidRDefault="009A05C7" w:rsidP="009A05C7">
      <w:pPr>
        <w:pStyle w:val="Nadpis3"/>
        <w:spacing w:line="336" w:lineRule="auto"/>
      </w:pPr>
      <w:bookmarkStart w:id="63" w:name="_Toc196314127"/>
      <w:r w:rsidRPr="00953FFD">
        <w:lastRenderedPageBreak/>
        <w:t>Štátny dlh</w:t>
      </w:r>
      <w:bookmarkEnd w:id="63"/>
    </w:p>
    <w:p w14:paraId="43E02490" w14:textId="1EE36CE4" w:rsidR="00EF52C3" w:rsidRDefault="009A05C7" w:rsidP="0088597C">
      <w:pPr>
        <w:spacing w:line="240" w:lineRule="auto"/>
        <w:rPr>
          <w:rFonts w:eastAsia="Times New Roman" w:cs="Times New Roman"/>
          <w:b/>
          <w:bCs/>
          <w:color w:val="5B9BD5"/>
          <w:sz w:val="20"/>
          <w:szCs w:val="20"/>
          <w:lang w:eastAsia="sk-SK"/>
        </w:rPr>
      </w:pPr>
      <w:r w:rsidRPr="00953FFD">
        <w:rPr>
          <w:sz w:val="24"/>
          <w:szCs w:val="24"/>
        </w:rPr>
        <w:t xml:space="preserve">Štátny dlh, ktorý je v správe Ministerstva financií SR a ktorým sa financuje nesúlad príjmov a výdavkov štátneho rozpočtu, dosiahol v menovitej hodnote ku koncu roka 2024 výšku 75 320 226 tis. eur. </w:t>
      </w:r>
      <w:r w:rsidRPr="005E20A5">
        <w:rPr>
          <w:sz w:val="24"/>
          <w:szCs w:val="24"/>
        </w:rPr>
        <w:t xml:space="preserve">V porovnaní s úrovňou za predchádzajúci rok vzrástol o 8 779 284 tis. eur (o 13,19 %). </w:t>
      </w:r>
      <w:r w:rsidRPr="006377BB">
        <w:rPr>
          <w:rFonts w:cs="Times New Roman"/>
          <w:sz w:val="24"/>
          <w:szCs w:val="24"/>
        </w:rPr>
        <w:t>Potreba financovania podľa schváleného štátneho rozpočtu pre rok 2024 bola v</w:t>
      </w:r>
      <w:r>
        <w:rPr>
          <w:rFonts w:cs="Times New Roman"/>
          <w:sz w:val="24"/>
          <w:szCs w:val="24"/>
        </w:rPr>
        <w:t> hodnote 12,6 mld. eur</w:t>
      </w:r>
      <w:r w:rsidRPr="006377BB">
        <w:rPr>
          <w:rFonts w:cs="Times New Roman"/>
          <w:sz w:val="24"/>
          <w:szCs w:val="24"/>
        </w:rPr>
        <w:t>. ARDAL využila pretrvávajúci silný dopyt po slovenských dlhopisoch, hlavne z dôvodu väčších relatívnych spreadov, čo znamenal</w:t>
      </w:r>
      <w:r>
        <w:rPr>
          <w:rFonts w:cs="Times New Roman"/>
          <w:sz w:val="24"/>
          <w:szCs w:val="24"/>
        </w:rPr>
        <w:t>o čiastočné predzásobenie sa na </w:t>
      </w:r>
      <w:r w:rsidRPr="006377BB">
        <w:rPr>
          <w:rFonts w:cs="Times New Roman"/>
          <w:sz w:val="24"/>
          <w:szCs w:val="24"/>
        </w:rPr>
        <w:t>rok 2025. V roku 2024 MF SR predalo dlhopisy v konečnej nominálnej hodnote 13</w:t>
      </w:r>
      <w:r>
        <w:rPr>
          <w:rFonts w:cs="Times New Roman"/>
          <w:sz w:val="24"/>
          <w:szCs w:val="24"/>
        </w:rPr>
        <w:t> </w:t>
      </w:r>
      <w:r w:rsidRPr="006377BB">
        <w:rPr>
          <w:rFonts w:cs="Times New Roman"/>
          <w:sz w:val="24"/>
          <w:szCs w:val="24"/>
        </w:rPr>
        <w:t>438</w:t>
      </w:r>
      <w:r>
        <w:rPr>
          <w:rFonts w:cs="Times New Roman"/>
          <w:sz w:val="24"/>
          <w:szCs w:val="24"/>
        </w:rPr>
        <w:t> 305 tis</w:t>
      </w:r>
      <w:r w:rsidRPr="006377BB">
        <w:rPr>
          <w:rFonts w:cs="Times New Roman"/>
          <w:sz w:val="24"/>
          <w:szCs w:val="24"/>
        </w:rPr>
        <w:t>.</w:t>
      </w:r>
      <w:r>
        <w:rPr>
          <w:rFonts w:cs="Times New Roman"/>
          <w:sz w:val="24"/>
          <w:szCs w:val="24"/>
        </w:rPr>
        <w:t> eur</w:t>
      </w:r>
      <w:r w:rsidRPr="006377BB">
        <w:rPr>
          <w:rFonts w:cs="Times New Roman"/>
          <w:sz w:val="24"/>
          <w:szCs w:val="24"/>
        </w:rPr>
        <w:t>.</w:t>
      </w:r>
    </w:p>
    <w:p w14:paraId="5BCE553B" w14:textId="62C8A110" w:rsidR="00BA3DAB" w:rsidRPr="00BA3DAB" w:rsidRDefault="00BA3DAB" w:rsidP="00BA3DAB">
      <w:pPr>
        <w:pStyle w:val="Popis"/>
        <w:keepNext/>
        <w:spacing w:after="120"/>
        <w:rPr>
          <w:rFonts w:eastAsia="Times New Roman" w:cs="Times New Roman"/>
          <w:b/>
          <w:bCs/>
          <w:i w:val="0"/>
          <w:iCs w:val="0"/>
          <w:color w:val="5B9BD5"/>
          <w:sz w:val="20"/>
          <w:szCs w:val="20"/>
          <w:lang w:eastAsia="sk-SK"/>
        </w:rPr>
      </w:pPr>
      <w:bookmarkStart w:id="64" w:name="_Toc196313641"/>
      <w:bookmarkStart w:id="65" w:name="_Toc196389262"/>
      <w:r w:rsidRPr="00BA3DAB">
        <w:rPr>
          <w:rFonts w:eastAsia="Times New Roman" w:cs="Times New Roman"/>
          <w:b/>
          <w:bCs/>
          <w:i w:val="0"/>
          <w:iCs w:val="0"/>
          <w:color w:val="5B9BD5"/>
          <w:sz w:val="20"/>
          <w:szCs w:val="20"/>
          <w:lang w:eastAsia="sk-SK"/>
        </w:rPr>
        <w:t xml:space="preserve">Tabuľka </w:t>
      </w:r>
      <w:r w:rsidR="003B7AF0">
        <w:rPr>
          <w:rFonts w:eastAsia="Times New Roman" w:cs="Times New Roman"/>
          <w:b/>
          <w:bCs/>
          <w:i w:val="0"/>
          <w:iCs w:val="0"/>
          <w:color w:val="5B9BD5"/>
          <w:sz w:val="20"/>
          <w:szCs w:val="20"/>
          <w:lang w:eastAsia="sk-SK"/>
        </w:rPr>
        <w:fldChar w:fldCharType="begin"/>
      </w:r>
      <w:r w:rsidR="003B7AF0">
        <w:rPr>
          <w:rFonts w:eastAsia="Times New Roman" w:cs="Times New Roman"/>
          <w:b/>
          <w:bCs/>
          <w:i w:val="0"/>
          <w:iCs w:val="0"/>
          <w:color w:val="5B9BD5"/>
          <w:sz w:val="20"/>
          <w:szCs w:val="20"/>
          <w:lang w:eastAsia="sk-SK"/>
        </w:rPr>
        <w:instrText xml:space="preserve"> SEQ Tabuľka \* ARABIC </w:instrText>
      </w:r>
      <w:r w:rsidR="003B7AF0">
        <w:rPr>
          <w:rFonts w:eastAsia="Times New Roman" w:cs="Times New Roman"/>
          <w:b/>
          <w:bCs/>
          <w:i w:val="0"/>
          <w:iCs w:val="0"/>
          <w:color w:val="5B9BD5"/>
          <w:sz w:val="20"/>
          <w:szCs w:val="20"/>
          <w:lang w:eastAsia="sk-SK"/>
        </w:rPr>
        <w:fldChar w:fldCharType="separate"/>
      </w:r>
      <w:r w:rsidR="00C64CBA">
        <w:rPr>
          <w:rFonts w:eastAsia="Times New Roman" w:cs="Times New Roman"/>
          <w:b/>
          <w:bCs/>
          <w:i w:val="0"/>
          <w:iCs w:val="0"/>
          <w:noProof/>
          <w:color w:val="5B9BD5"/>
          <w:sz w:val="20"/>
          <w:szCs w:val="20"/>
          <w:lang w:eastAsia="sk-SK"/>
        </w:rPr>
        <w:t>15</w:t>
      </w:r>
      <w:r w:rsidR="003B7AF0">
        <w:rPr>
          <w:rFonts w:eastAsia="Times New Roman" w:cs="Times New Roman"/>
          <w:b/>
          <w:bCs/>
          <w:i w:val="0"/>
          <w:iCs w:val="0"/>
          <w:color w:val="5B9BD5"/>
          <w:sz w:val="20"/>
          <w:szCs w:val="20"/>
          <w:lang w:eastAsia="sk-SK"/>
        </w:rPr>
        <w:fldChar w:fldCharType="end"/>
      </w:r>
      <w:r w:rsidRPr="00BA3DAB">
        <w:rPr>
          <w:rFonts w:eastAsia="Times New Roman" w:cs="Times New Roman"/>
          <w:b/>
          <w:bCs/>
          <w:i w:val="0"/>
          <w:iCs w:val="0"/>
          <w:color w:val="5B9BD5"/>
          <w:sz w:val="20"/>
          <w:szCs w:val="20"/>
          <w:lang w:eastAsia="sk-SK"/>
        </w:rPr>
        <w:t xml:space="preserve"> - Štruktúra štátneho dlhu podľa dlhových nástrojov</w:t>
      </w:r>
      <w:bookmarkEnd w:id="64"/>
      <w:bookmarkEnd w:id="65"/>
    </w:p>
    <w:tbl>
      <w:tblPr>
        <w:tblW w:w="5000" w:type="pct"/>
        <w:tblCellMar>
          <w:left w:w="70" w:type="dxa"/>
          <w:right w:w="70" w:type="dxa"/>
        </w:tblCellMar>
        <w:tblLook w:val="04A0" w:firstRow="1" w:lastRow="0" w:firstColumn="1" w:lastColumn="0" w:noHBand="0" w:noVBand="1"/>
      </w:tblPr>
      <w:tblGrid>
        <w:gridCol w:w="4751"/>
        <w:gridCol w:w="1034"/>
        <w:gridCol w:w="1034"/>
        <w:gridCol w:w="1036"/>
        <w:gridCol w:w="1075"/>
      </w:tblGrid>
      <w:tr w:rsidR="009A05C7" w:rsidRPr="009A7A90" w14:paraId="123310DB" w14:textId="77777777" w:rsidTr="000240DA">
        <w:trPr>
          <w:trHeight w:val="290"/>
          <w:tblHeader/>
        </w:trPr>
        <w:tc>
          <w:tcPr>
            <w:tcW w:w="2660" w:type="pct"/>
            <w:vMerge w:val="restart"/>
            <w:tcBorders>
              <w:top w:val="single" w:sz="4" w:space="0" w:color="auto"/>
              <w:left w:val="nil"/>
              <w:bottom w:val="single" w:sz="4" w:space="0" w:color="000000"/>
              <w:right w:val="nil"/>
            </w:tcBorders>
            <w:shd w:val="clear" w:color="auto" w:fill="auto"/>
            <w:vAlign w:val="center"/>
            <w:hideMark/>
          </w:tcPr>
          <w:p w14:paraId="034F1329" w14:textId="77777777" w:rsidR="009A05C7" w:rsidRPr="009A7A90" w:rsidRDefault="009A05C7" w:rsidP="000240DA">
            <w:pPr>
              <w:spacing w:after="0" w:line="240" w:lineRule="auto"/>
              <w:rPr>
                <w:rFonts w:eastAsia="Times New Roman" w:cs="Times New Roman"/>
                <w:b/>
                <w:bCs/>
                <w:sz w:val="18"/>
                <w:szCs w:val="18"/>
                <w:lang w:eastAsia="sk-SK"/>
              </w:rPr>
            </w:pPr>
            <w:r w:rsidRPr="009A7A90">
              <w:rPr>
                <w:rFonts w:eastAsia="Times New Roman" w:cs="Times New Roman"/>
                <w:b/>
                <w:bCs/>
                <w:sz w:val="18"/>
                <w:szCs w:val="18"/>
                <w:lang w:eastAsia="sk-SK"/>
              </w:rPr>
              <w:t>v tis. eur</w:t>
            </w:r>
          </w:p>
        </w:tc>
        <w:tc>
          <w:tcPr>
            <w:tcW w:w="579" w:type="pct"/>
            <w:tcBorders>
              <w:top w:val="single" w:sz="4" w:space="0" w:color="auto"/>
              <w:left w:val="nil"/>
              <w:bottom w:val="nil"/>
              <w:right w:val="nil"/>
            </w:tcBorders>
            <w:shd w:val="clear" w:color="auto" w:fill="auto"/>
            <w:vAlign w:val="center"/>
            <w:hideMark/>
          </w:tcPr>
          <w:p w14:paraId="0B9ECA9D" w14:textId="77777777" w:rsidR="009A05C7" w:rsidRPr="009A7A90" w:rsidRDefault="009A05C7" w:rsidP="000240DA">
            <w:pPr>
              <w:spacing w:after="0" w:line="240" w:lineRule="auto"/>
              <w:jc w:val="center"/>
              <w:rPr>
                <w:rFonts w:eastAsia="Times New Roman" w:cs="Times New Roman"/>
                <w:b/>
                <w:bCs/>
                <w:sz w:val="18"/>
                <w:szCs w:val="18"/>
                <w:lang w:eastAsia="sk-SK"/>
              </w:rPr>
            </w:pPr>
            <w:r w:rsidRPr="009A7A90">
              <w:rPr>
                <w:rFonts w:eastAsia="Times New Roman" w:cs="Times New Roman"/>
                <w:b/>
                <w:bCs/>
                <w:sz w:val="18"/>
                <w:szCs w:val="18"/>
                <w:lang w:eastAsia="sk-SK"/>
              </w:rPr>
              <w:t>2022 S</w:t>
            </w:r>
          </w:p>
        </w:tc>
        <w:tc>
          <w:tcPr>
            <w:tcW w:w="579" w:type="pct"/>
            <w:tcBorders>
              <w:top w:val="single" w:sz="4" w:space="0" w:color="auto"/>
              <w:left w:val="nil"/>
              <w:bottom w:val="nil"/>
              <w:right w:val="nil"/>
            </w:tcBorders>
            <w:shd w:val="clear" w:color="auto" w:fill="auto"/>
            <w:vAlign w:val="center"/>
            <w:hideMark/>
          </w:tcPr>
          <w:p w14:paraId="65CF9DC9" w14:textId="77777777" w:rsidR="009A05C7" w:rsidRPr="009A7A90" w:rsidRDefault="009A05C7" w:rsidP="000240DA">
            <w:pPr>
              <w:spacing w:after="0" w:line="240" w:lineRule="auto"/>
              <w:jc w:val="center"/>
              <w:rPr>
                <w:rFonts w:eastAsia="Times New Roman" w:cs="Times New Roman"/>
                <w:b/>
                <w:bCs/>
                <w:sz w:val="18"/>
                <w:szCs w:val="18"/>
                <w:lang w:eastAsia="sk-SK"/>
              </w:rPr>
            </w:pPr>
            <w:r w:rsidRPr="009A7A90">
              <w:rPr>
                <w:rFonts w:eastAsia="Times New Roman" w:cs="Times New Roman"/>
                <w:b/>
                <w:bCs/>
                <w:sz w:val="18"/>
                <w:szCs w:val="18"/>
                <w:lang w:eastAsia="sk-SK"/>
              </w:rPr>
              <w:t>2023 S</w:t>
            </w:r>
          </w:p>
        </w:tc>
        <w:tc>
          <w:tcPr>
            <w:tcW w:w="580" w:type="pct"/>
            <w:tcBorders>
              <w:top w:val="single" w:sz="4" w:space="0" w:color="auto"/>
              <w:left w:val="nil"/>
              <w:bottom w:val="nil"/>
              <w:right w:val="nil"/>
            </w:tcBorders>
            <w:shd w:val="clear" w:color="auto" w:fill="auto"/>
            <w:vAlign w:val="center"/>
            <w:hideMark/>
          </w:tcPr>
          <w:p w14:paraId="68E5140E" w14:textId="77777777" w:rsidR="009A05C7" w:rsidRPr="009A7A90" w:rsidRDefault="009A05C7" w:rsidP="000240DA">
            <w:pPr>
              <w:spacing w:after="0" w:line="240" w:lineRule="auto"/>
              <w:jc w:val="center"/>
              <w:rPr>
                <w:rFonts w:eastAsia="Times New Roman" w:cs="Times New Roman"/>
                <w:b/>
                <w:bCs/>
                <w:sz w:val="18"/>
                <w:szCs w:val="18"/>
                <w:lang w:eastAsia="sk-SK"/>
              </w:rPr>
            </w:pPr>
            <w:r w:rsidRPr="009A7A90">
              <w:rPr>
                <w:rFonts w:eastAsia="Times New Roman" w:cs="Times New Roman"/>
                <w:b/>
                <w:bCs/>
                <w:sz w:val="18"/>
                <w:szCs w:val="18"/>
                <w:lang w:eastAsia="sk-SK"/>
              </w:rPr>
              <w:t>2024 S</w:t>
            </w:r>
          </w:p>
        </w:tc>
        <w:tc>
          <w:tcPr>
            <w:tcW w:w="602" w:type="pct"/>
            <w:tcBorders>
              <w:top w:val="single" w:sz="4" w:space="0" w:color="auto"/>
              <w:left w:val="nil"/>
              <w:bottom w:val="nil"/>
              <w:right w:val="nil"/>
            </w:tcBorders>
            <w:shd w:val="clear" w:color="auto" w:fill="auto"/>
            <w:vAlign w:val="center"/>
            <w:hideMark/>
          </w:tcPr>
          <w:p w14:paraId="373F4B28" w14:textId="77777777" w:rsidR="009A05C7" w:rsidRPr="009A7A90" w:rsidRDefault="009A05C7" w:rsidP="000240DA">
            <w:pPr>
              <w:spacing w:after="0" w:line="240" w:lineRule="auto"/>
              <w:jc w:val="center"/>
              <w:rPr>
                <w:rFonts w:eastAsia="Times New Roman" w:cs="Times New Roman"/>
                <w:b/>
                <w:bCs/>
                <w:sz w:val="18"/>
                <w:szCs w:val="18"/>
                <w:lang w:eastAsia="sk-SK"/>
              </w:rPr>
            </w:pPr>
            <w:r w:rsidRPr="009A7A90">
              <w:rPr>
                <w:rFonts w:eastAsia="Times New Roman" w:cs="Times New Roman"/>
                <w:b/>
                <w:bCs/>
                <w:sz w:val="18"/>
                <w:szCs w:val="18"/>
                <w:lang w:eastAsia="sk-SK"/>
              </w:rPr>
              <w:t>Zmena</w:t>
            </w:r>
          </w:p>
        </w:tc>
      </w:tr>
      <w:tr w:rsidR="009A05C7" w:rsidRPr="009A7A90" w14:paraId="7A1B3315" w14:textId="77777777" w:rsidTr="000240DA">
        <w:trPr>
          <w:trHeight w:val="290"/>
          <w:tblHeader/>
        </w:trPr>
        <w:tc>
          <w:tcPr>
            <w:tcW w:w="2660" w:type="pct"/>
            <w:vMerge/>
            <w:tcBorders>
              <w:top w:val="single" w:sz="4" w:space="0" w:color="auto"/>
              <w:left w:val="nil"/>
              <w:bottom w:val="single" w:sz="4" w:space="0" w:color="000000"/>
              <w:right w:val="nil"/>
            </w:tcBorders>
            <w:vAlign w:val="center"/>
            <w:hideMark/>
          </w:tcPr>
          <w:p w14:paraId="4C1A546F" w14:textId="77777777" w:rsidR="009A05C7" w:rsidRPr="009A7A90" w:rsidRDefault="009A05C7" w:rsidP="000240DA">
            <w:pPr>
              <w:spacing w:after="0" w:line="240" w:lineRule="auto"/>
              <w:jc w:val="left"/>
              <w:rPr>
                <w:rFonts w:eastAsia="Times New Roman" w:cs="Times New Roman"/>
                <w:b/>
                <w:bCs/>
                <w:sz w:val="18"/>
                <w:szCs w:val="18"/>
                <w:lang w:eastAsia="sk-SK"/>
              </w:rPr>
            </w:pPr>
          </w:p>
        </w:tc>
        <w:tc>
          <w:tcPr>
            <w:tcW w:w="579" w:type="pct"/>
            <w:tcBorders>
              <w:top w:val="nil"/>
              <w:left w:val="nil"/>
              <w:bottom w:val="single" w:sz="4" w:space="0" w:color="auto"/>
              <w:right w:val="nil"/>
            </w:tcBorders>
            <w:shd w:val="clear" w:color="auto" w:fill="auto"/>
            <w:vAlign w:val="center"/>
            <w:hideMark/>
          </w:tcPr>
          <w:p w14:paraId="29260CFA" w14:textId="77777777" w:rsidR="009A05C7" w:rsidRPr="009A7A90" w:rsidRDefault="009A05C7" w:rsidP="000240DA">
            <w:pPr>
              <w:spacing w:after="0" w:line="240" w:lineRule="auto"/>
              <w:jc w:val="center"/>
              <w:rPr>
                <w:rFonts w:eastAsia="Times New Roman" w:cs="Times New Roman"/>
                <w:b/>
                <w:bCs/>
                <w:sz w:val="18"/>
                <w:szCs w:val="18"/>
                <w:lang w:eastAsia="sk-SK"/>
              </w:rPr>
            </w:pPr>
            <w:r w:rsidRPr="009A7A90">
              <w:rPr>
                <w:rFonts w:eastAsia="Times New Roman" w:cs="Times New Roman"/>
                <w:b/>
                <w:bCs/>
                <w:sz w:val="18"/>
                <w:szCs w:val="18"/>
                <w:lang w:eastAsia="sk-SK"/>
              </w:rPr>
              <w:t>1</w:t>
            </w:r>
          </w:p>
        </w:tc>
        <w:tc>
          <w:tcPr>
            <w:tcW w:w="579" w:type="pct"/>
            <w:tcBorders>
              <w:top w:val="nil"/>
              <w:left w:val="nil"/>
              <w:bottom w:val="single" w:sz="4" w:space="0" w:color="auto"/>
              <w:right w:val="nil"/>
            </w:tcBorders>
            <w:shd w:val="clear" w:color="auto" w:fill="auto"/>
            <w:vAlign w:val="center"/>
            <w:hideMark/>
          </w:tcPr>
          <w:p w14:paraId="33CCA6D1" w14:textId="77777777" w:rsidR="009A05C7" w:rsidRPr="009A7A90" w:rsidRDefault="009A05C7" w:rsidP="000240DA">
            <w:pPr>
              <w:spacing w:after="0" w:line="240" w:lineRule="auto"/>
              <w:jc w:val="center"/>
              <w:rPr>
                <w:rFonts w:eastAsia="Times New Roman" w:cs="Times New Roman"/>
                <w:b/>
                <w:bCs/>
                <w:sz w:val="18"/>
                <w:szCs w:val="18"/>
                <w:lang w:eastAsia="sk-SK"/>
              </w:rPr>
            </w:pPr>
            <w:r w:rsidRPr="009A7A90">
              <w:rPr>
                <w:rFonts w:eastAsia="Times New Roman" w:cs="Times New Roman"/>
                <w:b/>
                <w:bCs/>
                <w:sz w:val="18"/>
                <w:szCs w:val="18"/>
                <w:lang w:eastAsia="sk-SK"/>
              </w:rPr>
              <w:t>2</w:t>
            </w:r>
          </w:p>
        </w:tc>
        <w:tc>
          <w:tcPr>
            <w:tcW w:w="580" w:type="pct"/>
            <w:tcBorders>
              <w:top w:val="nil"/>
              <w:left w:val="nil"/>
              <w:bottom w:val="single" w:sz="4" w:space="0" w:color="auto"/>
              <w:right w:val="nil"/>
            </w:tcBorders>
            <w:shd w:val="clear" w:color="auto" w:fill="auto"/>
            <w:vAlign w:val="center"/>
            <w:hideMark/>
          </w:tcPr>
          <w:p w14:paraId="4D286B27" w14:textId="77777777" w:rsidR="009A05C7" w:rsidRPr="009A7A90" w:rsidRDefault="009A05C7" w:rsidP="000240DA">
            <w:pPr>
              <w:spacing w:after="0" w:line="240" w:lineRule="auto"/>
              <w:jc w:val="center"/>
              <w:rPr>
                <w:rFonts w:eastAsia="Times New Roman" w:cs="Times New Roman"/>
                <w:b/>
                <w:bCs/>
                <w:sz w:val="18"/>
                <w:szCs w:val="18"/>
                <w:lang w:eastAsia="sk-SK"/>
              </w:rPr>
            </w:pPr>
            <w:r w:rsidRPr="009A7A90">
              <w:rPr>
                <w:rFonts w:eastAsia="Times New Roman" w:cs="Times New Roman"/>
                <w:b/>
                <w:bCs/>
                <w:sz w:val="18"/>
                <w:szCs w:val="18"/>
                <w:lang w:eastAsia="sk-SK"/>
              </w:rPr>
              <w:t>3</w:t>
            </w:r>
          </w:p>
        </w:tc>
        <w:tc>
          <w:tcPr>
            <w:tcW w:w="602" w:type="pct"/>
            <w:tcBorders>
              <w:top w:val="nil"/>
              <w:left w:val="nil"/>
              <w:bottom w:val="single" w:sz="4" w:space="0" w:color="auto"/>
              <w:right w:val="nil"/>
            </w:tcBorders>
            <w:shd w:val="clear" w:color="auto" w:fill="auto"/>
            <w:vAlign w:val="center"/>
            <w:hideMark/>
          </w:tcPr>
          <w:p w14:paraId="22A39F18" w14:textId="77777777" w:rsidR="009A05C7" w:rsidRPr="009A7A90" w:rsidRDefault="009A05C7" w:rsidP="000240DA">
            <w:pPr>
              <w:spacing w:after="0" w:line="240" w:lineRule="auto"/>
              <w:jc w:val="center"/>
              <w:rPr>
                <w:rFonts w:eastAsia="Times New Roman" w:cs="Times New Roman"/>
                <w:b/>
                <w:bCs/>
                <w:sz w:val="18"/>
                <w:szCs w:val="18"/>
                <w:lang w:eastAsia="sk-SK"/>
              </w:rPr>
            </w:pPr>
            <w:r w:rsidRPr="009A7A90">
              <w:rPr>
                <w:rFonts w:eastAsia="Times New Roman" w:cs="Times New Roman"/>
                <w:b/>
                <w:bCs/>
                <w:sz w:val="18"/>
                <w:szCs w:val="18"/>
                <w:lang w:eastAsia="sk-SK"/>
              </w:rPr>
              <w:t>4=(3-2)</w:t>
            </w:r>
          </w:p>
        </w:tc>
      </w:tr>
      <w:tr w:rsidR="009A05C7" w:rsidRPr="009A7A90" w14:paraId="0C53CEC2" w14:textId="77777777" w:rsidTr="000240DA">
        <w:trPr>
          <w:trHeight w:val="290"/>
        </w:trPr>
        <w:tc>
          <w:tcPr>
            <w:tcW w:w="2660" w:type="pct"/>
            <w:tcBorders>
              <w:top w:val="nil"/>
              <w:left w:val="nil"/>
              <w:bottom w:val="nil"/>
              <w:right w:val="nil"/>
            </w:tcBorders>
            <w:shd w:val="clear" w:color="auto" w:fill="auto"/>
            <w:noWrap/>
            <w:vAlign w:val="bottom"/>
            <w:hideMark/>
          </w:tcPr>
          <w:p w14:paraId="0083A4E5" w14:textId="77777777" w:rsidR="009A05C7" w:rsidRPr="009A7A90" w:rsidRDefault="009A05C7" w:rsidP="000240DA">
            <w:pPr>
              <w:spacing w:after="0" w:line="240" w:lineRule="auto"/>
              <w:jc w:val="left"/>
              <w:rPr>
                <w:rFonts w:eastAsia="Times New Roman" w:cs="Times New Roman"/>
                <w:sz w:val="18"/>
                <w:szCs w:val="18"/>
                <w:lang w:eastAsia="sk-SK"/>
              </w:rPr>
            </w:pPr>
            <w:r w:rsidRPr="009A7A90">
              <w:rPr>
                <w:rFonts w:eastAsia="Times New Roman" w:cs="Times New Roman"/>
                <w:sz w:val="18"/>
                <w:szCs w:val="18"/>
                <w:lang w:eastAsia="sk-SK"/>
              </w:rPr>
              <w:t>Štátne dlhopisy</w:t>
            </w:r>
          </w:p>
        </w:tc>
        <w:tc>
          <w:tcPr>
            <w:tcW w:w="579" w:type="pct"/>
            <w:tcBorders>
              <w:top w:val="nil"/>
              <w:left w:val="nil"/>
              <w:bottom w:val="nil"/>
              <w:right w:val="nil"/>
            </w:tcBorders>
            <w:shd w:val="clear" w:color="auto" w:fill="auto"/>
            <w:noWrap/>
            <w:vAlign w:val="bottom"/>
            <w:hideMark/>
          </w:tcPr>
          <w:p w14:paraId="555986D5" w14:textId="77777777" w:rsidR="009A05C7" w:rsidRPr="009A7A90" w:rsidRDefault="009A05C7" w:rsidP="000240DA">
            <w:pPr>
              <w:spacing w:after="0" w:line="240" w:lineRule="auto"/>
              <w:jc w:val="right"/>
              <w:rPr>
                <w:rFonts w:eastAsia="Times New Roman" w:cs="Times New Roman"/>
                <w:sz w:val="18"/>
                <w:szCs w:val="18"/>
                <w:lang w:eastAsia="sk-SK"/>
              </w:rPr>
            </w:pPr>
            <w:r w:rsidRPr="009A7A90">
              <w:rPr>
                <w:rFonts w:eastAsia="Times New Roman" w:cs="Times New Roman"/>
                <w:sz w:val="18"/>
                <w:szCs w:val="18"/>
                <w:lang w:eastAsia="sk-SK"/>
              </w:rPr>
              <w:t>54 811 293</w:t>
            </w:r>
          </w:p>
        </w:tc>
        <w:tc>
          <w:tcPr>
            <w:tcW w:w="579" w:type="pct"/>
            <w:tcBorders>
              <w:top w:val="nil"/>
              <w:left w:val="nil"/>
              <w:bottom w:val="nil"/>
              <w:right w:val="nil"/>
            </w:tcBorders>
            <w:shd w:val="clear" w:color="auto" w:fill="auto"/>
            <w:noWrap/>
            <w:vAlign w:val="bottom"/>
            <w:hideMark/>
          </w:tcPr>
          <w:p w14:paraId="66968892" w14:textId="77777777" w:rsidR="009A05C7" w:rsidRPr="009A7A90" w:rsidRDefault="009A05C7" w:rsidP="000240DA">
            <w:pPr>
              <w:spacing w:after="0" w:line="240" w:lineRule="auto"/>
              <w:jc w:val="right"/>
              <w:rPr>
                <w:rFonts w:eastAsia="Times New Roman" w:cs="Times New Roman"/>
                <w:sz w:val="18"/>
                <w:szCs w:val="18"/>
                <w:lang w:eastAsia="sk-SK"/>
              </w:rPr>
            </w:pPr>
            <w:r w:rsidRPr="009A7A90">
              <w:rPr>
                <w:rFonts w:eastAsia="Times New Roman" w:cs="Times New Roman"/>
                <w:sz w:val="18"/>
                <w:szCs w:val="18"/>
                <w:lang w:eastAsia="sk-SK"/>
              </w:rPr>
              <w:t>60 285 843</w:t>
            </w:r>
          </w:p>
        </w:tc>
        <w:tc>
          <w:tcPr>
            <w:tcW w:w="580" w:type="pct"/>
            <w:tcBorders>
              <w:top w:val="nil"/>
              <w:left w:val="nil"/>
              <w:bottom w:val="nil"/>
              <w:right w:val="nil"/>
            </w:tcBorders>
            <w:shd w:val="clear" w:color="auto" w:fill="auto"/>
            <w:noWrap/>
            <w:vAlign w:val="bottom"/>
            <w:hideMark/>
          </w:tcPr>
          <w:p w14:paraId="3802439F" w14:textId="77777777" w:rsidR="009A05C7" w:rsidRPr="009A7A90" w:rsidRDefault="009A05C7" w:rsidP="000240DA">
            <w:pPr>
              <w:spacing w:after="0" w:line="240" w:lineRule="auto"/>
              <w:jc w:val="right"/>
              <w:rPr>
                <w:rFonts w:eastAsia="Times New Roman" w:cs="Times New Roman"/>
                <w:sz w:val="18"/>
                <w:szCs w:val="18"/>
                <w:lang w:eastAsia="sk-SK"/>
              </w:rPr>
            </w:pPr>
            <w:r w:rsidRPr="009A7A90">
              <w:rPr>
                <w:rFonts w:eastAsia="Times New Roman" w:cs="Times New Roman"/>
                <w:sz w:val="18"/>
                <w:szCs w:val="18"/>
                <w:lang w:eastAsia="sk-SK"/>
              </w:rPr>
              <w:t>68 945 615</w:t>
            </w:r>
          </w:p>
        </w:tc>
        <w:tc>
          <w:tcPr>
            <w:tcW w:w="602" w:type="pct"/>
            <w:tcBorders>
              <w:top w:val="nil"/>
              <w:left w:val="nil"/>
              <w:bottom w:val="nil"/>
              <w:right w:val="nil"/>
            </w:tcBorders>
            <w:shd w:val="clear" w:color="auto" w:fill="auto"/>
            <w:noWrap/>
            <w:vAlign w:val="bottom"/>
            <w:hideMark/>
          </w:tcPr>
          <w:p w14:paraId="49E90AE5" w14:textId="77777777" w:rsidR="009A05C7" w:rsidRPr="009A7A90" w:rsidRDefault="009A05C7" w:rsidP="000240DA">
            <w:pPr>
              <w:spacing w:after="0" w:line="240" w:lineRule="auto"/>
              <w:jc w:val="right"/>
              <w:rPr>
                <w:rFonts w:eastAsia="Times New Roman" w:cs="Times New Roman"/>
                <w:sz w:val="18"/>
                <w:szCs w:val="18"/>
                <w:lang w:eastAsia="sk-SK"/>
              </w:rPr>
            </w:pPr>
            <w:r w:rsidRPr="009A7A90">
              <w:rPr>
                <w:rFonts w:eastAsia="Times New Roman" w:cs="Times New Roman"/>
                <w:sz w:val="18"/>
                <w:szCs w:val="18"/>
                <w:lang w:eastAsia="sk-SK"/>
              </w:rPr>
              <w:t>8 659 772</w:t>
            </w:r>
          </w:p>
        </w:tc>
      </w:tr>
      <w:tr w:rsidR="009A05C7" w:rsidRPr="009A7A90" w14:paraId="58E43B78" w14:textId="77777777" w:rsidTr="000240DA">
        <w:trPr>
          <w:trHeight w:val="290"/>
        </w:trPr>
        <w:tc>
          <w:tcPr>
            <w:tcW w:w="2660" w:type="pct"/>
            <w:tcBorders>
              <w:top w:val="nil"/>
              <w:left w:val="nil"/>
              <w:bottom w:val="nil"/>
              <w:right w:val="nil"/>
            </w:tcBorders>
            <w:shd w:val="clear" w:color="auto" w:fill="auto"/>
            <w:noWrap/>
            <w:vAlign w:val="bottom"/>
            <w:hideMark/>
          </w:tcPr>
          <w:p w14:paraId="062F9A9C" w14:textId="77777777" w:rsidR="009A05C7" w:rsidRPr="009A7A90" w:rsidRDefault="009A05C7" w:rsidP="000240DA">
            <w:pPr>
              <w:spacing w:after="0" w:line="240" w:lineRule="auto"/>
              <w:jc w:val="left"/>
              <w:rPr>
                <w:rFonts w:eastAsia="Times New Roman" w:cs="Times New Roman"/>
                <w:sz w:val="18"/>
                <w:szCs w:val="18"/>
                <w:lang w:eastAsia="sk-SK"/>
              </w:rPr>
            </w:pPr>
            <w:r w:rsidRPr="009A7A90">
              <w:rPr>
                <w:rFonts w:eastAsia="Times New Roman" w:cs="Times New Roman"/>
                <w:sz w:val="18"/>
                <w:szCs w:val="18"/>
                <w:lang w:eastAsia="sk-SK"/>
              </w:rPr>
              <w:t>Bankové úvery a iné pôžičky</w:t>
            </w:r>
          </w:p>
        </w:tc>
        <w:tc>
          <w:tcPr>
            <w:tcW w:w="579" w:type="pct"/>
            <w:tcBorders>
              <w:top w:val="nil"/>
              <w:left w:val="nil"/>
              <w:bottom w:val="nil"/>
              <w:right w:val="nil"/>
            </w:tcBorders>
            <w:shd w:val="clear" w:color="auto" w:fill="auto"/>
            <w:noWrap/>
            <w:vAlign w:val="bottom"/>
            <w:hideMark/>
          </w:tcPr>
          <w:p w14:paraId="6B4AF3A3" w14:textId="77777777" w:rsidR="009A05C7" w:rsidRPr="009A7A90" w:rsidRDefault="009A05C7" w:rsidP="000240DA">
            <w:pPr>
              <w:spacing w:after="0" w:line="240" w:lineRule="auto"/>
              <w:jc w:val="right"/>
              <w:rPr>
                <w:rFonts w:eastAsia="Times New Roman" w:cs="Times New Roman"/>
                <w:sz w:val="18"/>
                <w:szCs w:val="18"/>
                <w:lang w:eastAsia="sk-SK"/>
              </w:rPr>
            </w:pPr>
            <w:r w:rsidRPr="009A7A90">
              <w:rPr>
                <w:rFonts w:eastAsia="Times New Roman" w:cs="Times New Roman"/>
                <w:sz w:val="18"/>
                <w:szCs w:val="18"/>
                <w:lang w:eastAsia="sk-SK"/>
              </w:rPr>
              <w:t>4 013 241</w:t>
            </w:r>
          </w:p>
        </w:tc>
        <w:tc>
          <w:tcPr>
            <w:tcW w:w="579" w:type="pct"/>
            <w:tcBorders>
              <w:top w:val="nil"/>
              <w:left w:val="nil"/>
              <w:bottom w:val="nil"/>
              <w:right w:val="nil"/>
            </w:tcBorders>
            <w:shd w:val="clear" w:color="auto" w:fill="auto"/>
            <w:noWrap/>
            <w:vAlign w:val="bottom"/>
            <w:hideMark/>
          </w:tcPr>
          <w:p w14:paraId="3571B16C" w14:textId="77777777" w:rsidR="009A05C7" w:rsidRPr="009A7A90" w:rsidRDefault="009A05C7" w:rsidP="000240DA">
            <w:pPr>
              <w:spacing w:after="0" w:line="240" w:lineRule="auto"/>
              <w:jc w:val="right"/>
              <w:rPr>
                <w:rFonts w:eastAsia="Times New Roman" w:cs="Times New Roman"/>
                <w:sz w:val="18"/>
                <w:szCs w:val="18"/>
                <w:lang w:eastAsia="sk-SK"/>
              </w:rPr>
            </w:pPr>
            <w:r w:rsidRPr="009A7A90">
              <w:rPr>
                <w:rFonts w:eastAsia="Times New Roman" w:cs="Times New Roman"/>
                <w:sz w:val="18"/>
                <w:szCs w:val="18"/>
                <w:lang w:eastAsia="sk-SK"/>
              </w:rPr>
              <w:t>4 024 090</w:t>
            </w:r>
          </w:p>
        </w:tc>
        <w:tc>
          <w:tcPr>
            <w:tcW w:w="580" w:type="pct"/>
            <w:tcBorders>
              <w:top w:val="nil"/>
              <w:left w:val="nil"/>
              <w:bottom w:val="nil"/>
              <w:right w:val="nil"/>
            </w:tcBorders>
            <w:shd w:val="clear" w:color="auto" w:fill="auto"/>
            <w:noWrap/>
            <w:vAlign w:val="bottom"/>
            <w:hideMark/>
          </w:tcPr>
          <w:p w14:paraId="65B043CA" w14:textId="77777777" w:rsidR="009A05C7" w:rsidRPr="009A7A90" w:rsidRDefault="009A05C7" w:rsidP="000240DA">
            <w:pPr>
              <w:spacing w:after="0" w:line="240" w:lineRule="auto"/>
              <w:jc w:val="right"/>
              <w:rPr>
                <w:rFonts w:eastAsia="Times New Roman" w:cs="Times New Roman"/>
                <w:sz w:val="18"/>
                <w:szCs w:val="18"/>
                <w:lang w:eastAsia="sk-SK"/>
              </w:rPr>
            </w:pPr>
            <w:r w:rsidRPr="009A7A90">
              <w:rPr>
                <w:rFonts w:eastAsia="Times New Roman" w:cs="Times New Roman"/>
                <w:sz w:val="18"/>
                <w:szCs w:val="18"/>
                <w:lang w:eastAsia="sk-SK"/>
              </w:rPr>
              <w:t>4 090 382</w:t>
            </w:r>
          </w:p>
        </w:tc>
        <w:tc>
          <w:tcPr>
            <w:tcW w:w="602" w:type="pct"/>
            <w:tcBorders>
              <w:top w:val="nil"/>
              <w:left w:val="nil"/>
              <w:bottom w:val="nil"/>
              <w:right w:val="nil"/>
            </w:tcBorders>
            <w:shd w:val="clear" w:color="auto" w:fill="auto"/>
            <w:noWrap/>
            <w:vAlign w:val="bottom"/>
            <w:hideMark/>
          </w:tcPr>
          <w:p w14:paraId="36258821" w14:textId="77777777" w:rsidR="009A05C7" w:rsidRPr="009A7A90" w:rsidRDefault="009A05C7" w:rsidP="000240DA">
            <w:pPr>
              <w:spacing w:after="0" w:line="240" w:lineRule="auto"/>
              <w:jc w:val="right"/>
              <w:rPr>
                <w:rFonts w:eastAsia="Times New Roman" w:cs="Times New Roman"/>
                <w:sz w:val="18"/>
                <w:szCs w:val="18"/>
                <w:lang w:eastAsia="sk-SK"/>
              </w:rPr>
            </w:pPr>
            <w:r w:rsidRPr="009A7A90">
              <w:rPr>
                <w:rFonts w:eastAsia="Times New Roman" w:cs="Times New Roman"/>
                <w:sz w:val="18"/>
                <w:szCs w:val="18"/>
                <w:lang w:eastAsia="sk-SK"/>
              </w:rPr>
              <w:t>66 292</w:t>
            </w:r>
          </w:p>
        </w:tc>
      </w:tr>
      <w:tr w:rsidR="009A05C7" w:rsidRPr="009A7A90" w14:paraId="2BA0E7B4" w14:textId="77777777" w:rsidTr="000240DA">
        <w:trPr>
          <w:trHeight w:val="290"/>
        </w:trPr>
        <w:tc>
          <w:tcPr>
            <w:tcW w:w="2660" w:type="pct"/>
            <w:tcBorders>
              <w:top w:val="nil"/>
              <w:left w:val="nil"/>
              <w:bottom w:val="nil"/>
              <w:right w:val="nil"/>
            </w:tcBorders>
            <w:shd w:val="clear" w:color="auto" w:fill="auto"/>
            <w:noWrap/>
            <w:vAlign w:val="bottom"/>
            <w:hideMark/>
          </w:tcPr>
          <w:p w14:paraId="46CA507F" w14:textId="77777777" w:rsidR="009A05C7" w:rsidRPr="009A7A90" w:rsidRDefault="009A05C7" w:rsidP="000240DA">
            <w:pPr>
              <w:spacing w:after="0" w:line="240" w:lineRule="auto"/>
              <w:jc w:val="left"/>
              <w:rPr>
                <w:rFonts w:eastAsia="Times New Roman" w:cs="Times New Roman"/>
                <w:sz w:val="18"/>
                <w:szCs w:val="18"/>
                <w:lang w:eastAsia="sk-SK"/>
              </w:rPr>
            </w:pPr>
            <w:r w:rsidRPr="009A7A90">
              <w:rPr>
                <w:rFonts w:eastAsia="Times New Roman" w:cs="Times New Roman"/>
                <w:sz w:val="18"/>
                <w:szCs w:val="18"/>
                <w:lang w:eastAsia="sk-SK"/>
              </w:rPr>
              <w:t>Záväzky z EFSF</w:t>
            </w:r>
          </w:p>
        </w:tc>
        <w:tc>
          <w:tcPr>
            <w:tcW w:w="579" w:type="pct"/>
            <w:tcBorders>
              <w:top w:val="nil"/>
              <w:left w:val="nil"/>
              <w:bottom w:val="nil"/>
              <w:right w:val="nil"/>
            </w:tcBorders>
            <w:shd w:val="clear" w:color="auto" w:fill="auto"/>
            <w:noWrap/>
            <w:vAlign w:val="bottom"/>
            <w:hideMark/>
          </w:tcPr>
          <w:p w14:paraId="5A7EF32C" w14:textId="77777777" w:rsidR="009A05C7" w:rsidRPr="009A7A90" w:rsidRDefault="009A05C7" w:rsidP="000240DA">
            <w:pPr>
              <w:spacing w:after="0" w:line="240" w:lineRule="auto"/>
              <w:jc w:val="right"/>
              <w:rPr>
                <w:rFonts w:eastAsia="Times New Roman" w:cs="Times New Roman"/>
                <w:sz w:val="18"/>
                <w:szCs w:val="18"/>
                <w:lang w:eastAsia="sk-SK"/>
              </w:rPr>
            </w:pPr>
            <w:r w:rsidRPr="009A7A90">
              <w:rPr>
                <w:rFonts w:eastAsia="Times New Roman" w:cs="Times New Roman"/>
                <w:sz w:val="18"/>
                <w:szCs w:val="18"/>
                <w:lang w:eastAsia="sk-SK"/>
              </w:rPr>
              <w:t>1 977 530</w:t>
            </w:r>
          </w:p>
        </w:tc>
        <w:tc>
          <w:tcPr>
            <w:tcW w:w="579" w:type="pct"/>
            <w:tcBorders>
              <w:top w:val="nil"/>
              <w:left w:val="nil"/>
              <w:bottom w:val="nil"/>
              <w:right w:val="nil"/>
            </w:tcBorders>
            <w:shd w:val="clear" w:color="auto" w:fill="auto"/>
            <w:noWrap/>
            <w:vAlign w:val="bottom"/>
            <w:hideMark/>
          </w:tcPr>
          <w:p w14:paraId="5343D36C" w14:textId="77777777" w:rsidR="009A05C7" w:rsidRPr="009A7A90" w:rsidRDefault="009A05C7" w:rsidP="000240DA">
            <w:pPr>
              <w:spacing w:after="0" w:line="240" w:lineRule="auto"/>
              <w:jc w:val="right"/>
              <w:rPr>
                <w:rFonts w:eastAsia="Times New Roman" w:cs="Times New Roman"/>
                <w:sz w:val="18"/>
                <w:szCs w:val="18"/>
                <w:lang w:eastAsia="sk-SK"/>
              </w:rPr>
            </w:pPr>
            <w:r w:rsidRPr="009A7A90">
              <w:rPr>
                <w:rFonts w:eastAsia="Times New Roman" w:cs="Times New Roman"/>
                <w:sz w:val="18"/>
                <w:szCs w:val="18"/>
                <w:lang w:eastAsia="sk-SK"/>
              </w:rPr>
              <w:t>1 972 930</w:t>
            </w:r>
          </w:p>
        </w:tc>
        <w:tc>
          <w:tcPr>
            <w:tcW w:w="580" w:type="pct"/>
            <w:tcBorders>
              <w:top w:val="nil"/>
              <w:left w:val="nil"/>
              <w:bottom w:val="nil"/>
              <w:right w:val="nil"/>
            </w:tcBorders>
            <w:shd w:val="clear" w:color="auto" w:fill="auto"/>
            <w:noWrap/>
            <w:vAlign w:val="bottom"/>
            <w:hideMark/>
          </w:tcPr>
          <w:p w14:paraId="6C12BA69" w14:textId="77777777" w:rsidR="009A05C7" w:rsidRPr="009A7A90" w:rsidRDefault="009A05C7" w:rsidP="000240DA">
            <w:pPr>
              <w:spacing w:after="0" w:line="240" w:lineRule="auto"/>
              <w:jc w:val="right"/>
              <w:rPr>
                <w:rFonts w:eastAsia="Times New Roman" w:cs="Times New Roman"/>
                <w:sz w:val="18"/>
                <w:szCs w:val="18"/>
                <w:lang w:eastAsia="sk-SK"/>
              </w:rPr>
            </w:pPr>
            <w:r w:rsidRPr="009A7A90">
              <w:rPr>
                <w:rFonts w:eastAsia="Times New Roman" w:cs="Times New Roman"/>
                <w:sz w:val="18"/>
                <w:szCs w:val="18"/>
                <w:lang w:eastAsia="sk-SK"/>
              </w:rPr>
              <w:t>1 971 228</w:t>
            </w:r>
          </w:p>
        </w:tc>
        <w:tc>
          <w:tcPr>
            <w:tcW w:w="602" w:type="pct"/>
            <w:tcBorders>
              <w:top w:val="nil"/>
              <w:left w:val="nil"/>
              <w:bottom w:val="nil"/>
              <w:right w:val="nil"/>
            </w:tcBorders>
            <w:shd w:val="clear" w:color="auto" w:fill="auto"/>
            <w:noWrap/>
            <w:vAlign w:val="bottom"/>
            <w:hideMark/>
          </w:tcPr>
          <w:p w14:paraId="258648BB" w14:textId="77777777" w:rsidR="009A05C7" w:rsidRPr="009A7A90" w:rsidRDefault="009A05C7" w:rsidP="000240DA">
            <w:pPr>
              <w:spacing w:after="0" w:line="240" w:lineRule="auto"/>
              <w:jc w:val="right"/>
              <w:rPr>
                <w:rFonts w:eastAsia="Times New Roman" w:cs="Times New Roman"/>
                <w:sz w:val="18"/>
                <w:szCs w:val="18"/>
                <w:lang w:eastAsia="sk-SK"/>
              </w:rPr>
            </w:pPr>
            <w:r w:rsidRPr="009A7A90">
              <w:rPr>
                <w:rFonts w:eastAsia="Times New Roman" w:cs="Times New Roman"/>
                <w:sz w:val="18"/>
                <w:szCs w:val="18"/>
                <w:lang w:eastAsia="sk-SK"/>
              </w:rPr>
              <w:t>-1 702</w:t>
            </w:r>
          </w:p>
        </w:tc>
      </w:tr>
      <w:tr w:rsidR="009A05C7" w:rsidRPr="009A7A90" w14:paraId="500A6879" w14:textId="77777777" w:rsidTr="000240DA">
        <w:trPr>
          <w:trHeight w:val="290"/>
        </w:trPr>
        <w:tc>
          <w:tcPr>
            <w:tcW w:w="2660" w:type="pct"/>
            <w:tcBorders>
              <w:top w:val="nil"/>
              <w:left w:val="nil"/>
              <w:bottom w:val="nil"/>
              <w:right w:val="nil"/>
            </w:tcBorders>
            <w:shd w:val="clear" w:color="auto" w:fill="auto"/>
            <w:noWrap/>
            <w:vAlign w:val="bottom"/>
            <w:hideMark/>
          </w:tcPr>
          <w:p w14:paraId="56E5BFF4" w14:textId="77777777" w:rsidR="009A05C7" w:rsidRPr="009A7A90" w:rsidRDefault="009A05C7" w:rsidP="000240DA">
            <w:pPr>
              <w:spacing w:after="0" w:line="240" w:lineRule="auto"/>
              <w:jc w:val="left"/>
              <w:rPr>
                <w:rFonts w:eastAsia="Times New Roman" w:cs="Times New Roman"/>
                <w:sz w:val="18"/>
                <w:szCs w:val="18"/>
                <w:lang w:eastAsia="sk-SK"/>
              </w:rPr>
            </w:pPr>
            <w:r w:rsidRPr="009A7A90">
              <w:rPr>
                <w:rFonts w:eastAsia="Times New Roman" w:cs="Times New Roman"/>
                <w:sz w:val="18"/>
                <w:szCs w:val="18"/>
                <w:lang w:eastAsia="sk-SK"/>
              </w:rPr>
              <w:t>Zábezpeky</w:t>
            </w:r>
          </w:p>
        </w:tc>
        <w:tc>
          <w:tcPr>
            <w:tcW w:w="579" w:type="pct"/>
            <w:tcBorders>
              <w:top w:val="nil"/>
              <w:left w:val="nil"/>
              <w:bottom w:val="nil"/>
              <w:right w:val="nil"/>
            </w:tcBorders>
            <w:shd w:val="clear" w:color="auto" w:fill="auto"/>
            <w:noWrap/>
            <w:vAlign w:val="bottom"/>
            <w:hideMark/>
          </w:tcPr>
          <w:p w14:paraId="4701CC21" w14:textId="77777777" w:rsidR="009A05C7" w:rsidRPr="009A7A90" w:rsidRDefault="009A05C7" w:rsidP="000240DA">
            <w:pPr>
              <w:spacing w:after="0" w:line="240" w:lineRule="auto"/>
              <w:jc w:val="right"/>
              <w:rPr>
                <w:rFonts w:eastAsia="Times New Roman" w:cs="Times New Roman"/>
                <w:sz w:val="18"/>
                <w:szCs w:val="18"/>
                <w:lang w:eastAsia="sk-SK"/>
              </w:rPr>
            </w:pPr>
            <w:r w:rsidRPr="009A7A90">
              <w:rPr>
                <w:rFonts w:eastAsia="Times New Roman" w:cs="Times New Roman"/>
                <w:sz w:val="18"/>
                <w:szCs w:val="18"/>
                <w:lang w:eastAsia="sk-SK"/>
              </w:rPr>
              <w:t>134 767</w:t>
            </w:r>
          </w:p>
        </w:tc>
        <w:tc>
          <w:tcPr>
            <w:tcW w:w="579" w:type="pct"/>
            <w:tcBorders>
              <w:top w:val="nil"/>
              <w:left w:val="nil"/>
              <w:bottom w:val="nil"/>
              <w:right w:val="nil"/>
            </w:tcBorders>
            <w:shd w:val="clear" w:color="auto" w:fill="auto"/>
            <w:noWrap/>
            <w:vAlign w:val="bottom"/>
            <w:hideMark/>
          </w:tcPr>
          <w:p w14:paraId="2B00FBAF" w14:textId="77777777" w:rsidR="009A05C7" w:rsidRPr="009A7A90" w:rsidRDefault="009A05C7" w:rsidP="000240DA">
            <w:pPr>
              <w:spacing w:after="0" w:line="240" w:lineRule="auto"/>
              <w:jc w:val="right"/>
              <w:rPr>
                <w:rFonts w:eastAsia="Times New Roman" w:cs="Times New Roman"/>
                <w:sz w:val="18"/>
                <w:szCs w:val="18"/>
                <w:lang w:eastAsia="sk-SK"/>
              </w:rPr>
            </w:pPr>
            <w:r w:rsidRPr="009A7A90">
              <w:rPr>
                <w:rFonts w:eastAsia="Times New Roman" w:cs="Times New Roman"/>
                <w:sz w:val="18"/>
                <w:szCs w:val="18"/>
                <w:lang w:eastAsia="sk-SK"/>
              </w:rPr>
              <w:t>188 469</w:t>
            </w:r>
          </w:p>
        </w:tc>
        <w:tc>
          <w:tcPr>
            <w:tcW w:w="580" w:type="pct"/>
            <w:tcBorders>
              <w:top w:val="nil"/>
              <w:left w:val="nil"/>
              <w:bottom w:val="nil"/>
              <w:right w:val="nil"/>
            </w:tcBorders>
            <w:shd w:val="clear" w:color="auto" w:fill="auto"/>
            <w:noWrap/>
            <w:vAlign w:val="bottom"/>
            <w:hideMark/>
          </w:tcPr>
          <w:p w14:paraId="5FC43F6A" w14:textId="77777777" w:rsidR="009A05C7" w:rsidRPr="009A7A90" w:rsidRDefault="009A05C7" w:rsidP="000240DA">
            <w:pPr>
              <w:spacing w:after="0" w:line="240" w:lineRule="auto"/>
              <w:jc w:val="right"/>
              <w:rPr>
                <w:rFonts w:eastAsia="Times New Roman" w:cs="Times New Roman"/>
                <w:sz w:val="18"/>
                <w:szCs w:val="18"/>
                <w:lang w:eastAsia="sk-SK"/>
              </w:rPr>
            </w:pPr>
            <w:r w:rsidRPr="009A7A90">
              <w:rPr>
                <w:rFonts w:eastAsia="Times New Roman" w:cs="Times New Roman"/>
                <w:sz w:val="18"/>
                <w:szCs w:val="18"/>
                <w:lang w:eastAsia="sk-SK"/>
              </w:rPr>
              <w:t>227 534</w:t>
            </w:r>
          </w:p>
        </w:tc>
        <w:tc>
          <w:tcPr>
            <w:tcW w:w="602" w:type="pct"/>
            <w:tcBorders>
              <w:top w:val="nil"/>
              <w:left w:val="nil"/>
              <w:bottom w:val="nil"/>
              <w:right w:val="nil"/>
            </w:tcBorders>
            <w:shd w:val="clear" w:color="auto" w:fill="auto"/>
            <w:noWrap/>
            <w:vAlign w:val="bottom"/>
            <w:hideMark/>
          </w:tcPr>
          <w:p w14:paraId="06C1B35B" w14:textId="77777777" w:rsidR="009A05C7" w:rsidRPr="009A7A90" w:rsidRDefault="009A05C7" w:rsidP="000240DA">
            <w:pPr>
              <w:spacing w:after="0" w:line="240" w:lineRule="auto"/>
              <w:jc w:val="right"/>
              <w:rPr>
                <w:rFonts w:eastAsia="Times New Roman" w:cs="Times New Roman"/>
                <w:sz w:val="18"/>
                <w:szCs w:val="18"/>
                <w:lang w:eastAsia="sk-SK"/>
              </w:rPr>
            </w:pPr>
            <w:r w:rsidRPr="009A7A90">
              <w:rPr>
                <w:rFonts w:eastAsia="Times New Roman" w:cs="Times New Roman"/>
                <w:sz w:val="18"/>
                <w:szCs w:val="18"/>
                <w:lang w:eastAsia="sk-SK"/>
              </w:rPr>
              <w:t>39 065</w:t>
            </w:r>
          </w:p>
        </w:tc>
      </w:tr>
      <w:tr w:rsidR="009A05C7" w:rsidRPr="009A7A90" w14:paraId="5ED8112C" w14:textId="77777777" w:rsidTr="000240DA">
        <w:trPr>
          <w:trHeight w:val="290"/>
        </w:trPr>
        <w:tc>
          <w:tcPr>
            <w:tcW w:w="2660" w:type="pct"/>
            <w:tcBorders>
              <w:top w:val="nil"/>
              <w:left w:val="nil"/>
              <w:bottom w:val="nil"/>
              <w:right w:val="nil"/>
            </w:tcBorders>
            <w:shd w:val="clear" w:color="auto" w:fill="auto"/>
            <w:noWrap/>
            <w:vAlign w:val="bottom"/>
            <w:hideMark/>
          </w:tcPr>
          <w:p w14:paraId="3A56CF8F" w14:textId="77777777" w:rsidR="009A05C7" w:rsidRPr="009A7A90" w:rsidRDefault="009A05C7" w:rsidP="000240DA">
            <w:pPr>
              <w:spacing w:after="0" w:line="240" w:lineRule="auto"/>
              <w:jc w:val="left"/>
              <w:rPr>
                <w:rFonts w:eastAsia="Times New Roman" w:cs="Times New Roman"/>
                <w:sz w:val="18"/>
                <w:szCs w:val="18"/>
                <w:lang w:eastAsia="sk-SK"/>
              </w:rPr>
            </w:pPr>
            <w:r w:rsidRPr="009A7A90">
              <w:rPr>
                <w:rFonts w:eastAsia="Times New Roman" w:cs="Times New Roman"/>
                <w:sz w:val="18"/>
                <w:szCs w:val="18"/>
                <w:lang w:eastAsia="sk-SK"/>
              </w:rPr>
              <w:t>Záväzky z vkladov v Štátnej pokladnici</w:t>
            </w:r>
          </w:p>
        </w:tc>
        <w:tc>
          <w:tcPr>
            <w:tcW w:w="579" w:type="pct"/>
            <w:tcBorders>
              <w:top w:val="nil"/>
              <w:left w:val="nil"/>
              <w:bottom w:val="nil"/>
              <w:right w:val="nil"/>
            </w:tcBorders>
            <w:shd w:val="clear" w:color="auto" w:fill="auto"/>
            <w:noWrap/>
            <w:vAlign w:val="bottom"/>
            <w:hideMark/>
          </w:tcPr>
          <w:p w14:paraId="2F65867A" w14:textId="77777777" w:rsidR="009A05C7" w:rsidRPr="009A7A90" w:rsidRDefault="009A05C7" w:rsidP="000240DA">
            <w:pPr>
              <w:spacing w:after="0" w:line="240" w:lineRule="auto"/>
              <w:jc w:val="right"/>
              <w:rPr>
                <w:rFonts w:eastAsia="Times New Roman" w:cs="Times New Roman"/>
                <w:sz w:val="18"/>
                <w:szCs w:val="18"/>
                <w:lang w:eastAsia="sk-SK"/>
              </w:rPr>
            </w:pPr>
            <w:r w:rsidRPr="009A7A90">
              <w:rPr>
                <w:rFonts w:eastAsia="Times New Roman" w:cs="Times New Roman"/>
                <w:sz w:val="18"/>
                <w:szCs w:val="18"/>
                <w:lang w:eastAsia="sk-SK"/>
              </w:rPr>
              <w:t>197 082</w:t>
            </w:r>
          </w:p>
        </w:tc>
        <w:tc>
          <w:tcPr>
            <w:tcW w:w="579" w:type="pct"/>
            <w:tcBorders>
              <w:top w:val="nil"/>
              <w:left w:val="nil"/>
              <w:bottom w:val="nil"/>
              <w:right w:val="nil"/>
            </w:tcBorders>
            <w:shd w:val="clear" w:color="auto" w:fill="auto"/>
            <w:noWrap/>
            <w:vAlign w:val="bottom"/>
            <w:hideMark/>
          </w:tcPr>
          <w:p w14:paraId="64E4D4E1" w14:textId="77777777" w:rsidR="009A05C7" w:rsidRPr="009A7A90" w:rsidRDefault="009A05C7" w:rsidP="000240DA">
            <w:pPr>
              <w:spacing w:after="0" w:line="240" w:lineRule="auto"/>
              <w:jc w:val="right"/>
              <w:rPr>
                <w:rFonts w:eastAsia="Times New Roman" w:cs="Times New Roman"/>
                <w:sz w:val="18"/>
                <w:szCs w:val="18"/>
                <w:lang w:eastAsia="sk-SK"/>
              </w:rPr>
            </w:pPr>
            <w:r w:rsidRPr="009A7A90">
              <w:rPr>
                <w:rFonts w:eastAsia="Times New Roman" w:cs="Times New Roman"/>
                <w:sz w:val="18"/>
                <w:szCs w:val="18"/>
                <w:lang w:eastAsia="sk-SK"/>
              </w:rPr>
              <w:t>48 302</w:t>
            </w:r>
          </w:p>
        </w:tc>
        <w:tc>
          <w:tcPr>
            <w:tcW w:w="580" w:type="pct"/>
            <w:tcBorders>
              <w:top w:val="nil"/>
              <w:left w:val="nil"/>
              <w:bottom w:val="nil"/>
              <w:right w:val="nil"/>
            </w:tcBorders>
            <w:shd w:val="clear" w:color="auto" w:fill="auto"/>
            <w:noWrap/>
            <w:vAlign w:val="bottom"/>
            <w:hideMark/>
          </w:tcPr>
          <w:p w14:paraId="39C79E6B" w14:textId="77777777" w:rsidR="009A05C7" w:rsidRPr="009A7A90" w:rsidRDefault="009A05C7" w:rsidP="000240DA">
            <w:pPr>
              <w:spacing w:after="0" w:line="240" w:lineRule="auto"/>
              <w:jc w:val="right"/>
              <w:rPr>
                <w:rFonts w:eastAsia="Times New Roman" w:cs="Times New Roman"/>
                <w:sz w:val="18"/>
                <w:szCs w:val="18"/>
                <w:lang w:eastAsia="sk-SK"/>
              </w:rPr>
            </w:pPr>
            <w:r w:rsidRPr="009A7A90">
              <w:rPr>
                <w:rFonts w:eastAsia="Times New Roman" w:cs="Times New Roman"/>
                <w:sz w:val="18"/>
                <w:szCs w:val="18"/>
                <w:lang w:eastAsia="sk-SK"/>
              </w:rPr>
              <w:t>48 163</w:t>
            </w:r>
          </w:p>
        </w:tc>
        <w:tc>
          <w:tcPr>
            <w:tcW w:w="602" w:type="pct"/>
            <w:tcBorders>
              <w:top w:val="nil"/>
              <w:left w:val="nil"/>
              <w:bottom w:val="nil"/>
              <w:right w:val="nil"/>
            </w:tcBorders>
            <w:shd w:val="clear" w:color="auto" w:fill="auto"/>
            <w:noWrap/>
            <w:vAlign w:val="bottom"/>
            <w:hideMark/>
          </w:tcPr>
          <w:p w14:paraId="3A15512D" w14:textId="77777777" w:rsidR="009A05C7" w:rsidRPr="009A7A90" w:rsidRDefault="009A05C7" w:rsidP="000240DA">
            <w:pPr>
              <w:spacing w:after="0" w:line="240" w:lineRule="auto"/>
              <w:jc w:val="right"/>
              <w:rPr>
                <w:rFonts w:eastAsia="Times New Roman" w:cs="Times New Roman"/>
                <w:sz w:val="18"/>
                <w:szCs w:val="18"/>
                <w:lang w:eastAsia="sk-SK"/>
              </w:rPr>
            </w:pPr>
            <w:r w:rsidRPr="009A7A90">
              <w:rPr>
                <w:rFonts w:eastAsia="Times New Roman" w:cs="Times New Roman"/>
                <w:sz w:val="18"/>
                <w:szCs w:val="18"/>
                <w:lang w:eastAsia="sk-SK"/>
              </w:rPr>
              <w:t>-139</w:t>
            </w:r>
          </w:p>
        </w:tc>
      </w:tr>
      <w:tr w:rsidR="009A05C7" w:rsidRPr="009A7A90" w14:paraId="520AA2A5" w14:textId="77777777" w:rsidTr="000240DA">
        <w:trPr>
          <w:trHeight w:val="290"/>
        </w:trPr>
        <w:tc>
          <w:tcPr>
            <w:tcW w:w="2660" w:type="pct"/>
            <w:tcBorders>
              <w:top w:val="nil"/>
              <w:left w:val="nil"/>
              <w:bottom w:val="nil"/>
              <w:right w:val="nil"/>
            </w:tcBorders>
            <w:shd w:val="clear" w:color="auto" w:fill="auto"/>
            <w:noWrap/>
            <w:vAlign w:val="bottom"/>
            <w:hideMark/>
          </w:tcPr>
          <w:p w14:paraId="2217BF6B" w14:textId="77777777" w:rsidR="009A05C7" w:rsidRPr="009A7A90" w:rsidRDefault="009A05C7" w:rsidP="000240DA">
            <w:pPr>
              <w:spacing w:after="0" w:line="240" w:lineRule="auto"/>
              <w:jc w:val="left"/>
              <w:rPr>
                <w:rFonts w:eastAsia="Times New Roman" w:cs="Times New Roman"/>
                <w:sz w:val="18"/>
                <w:szCs w:val="18"/>
                <w:lang w:eastAsia="sk-SK"/>
              </w:rPr>
            </w:pPr>
            <w:r w:rsidRPr="009A7A90">
              <w:rPr>
                <w:rFonts w:eastAsia="Times New Roman" w:cs="Times New Roman"/>
                <w:sz w:val="18"/>
                <w:szCs w:val="18"/>
                <w:lang w:eastAsia="sk-SK"/>
              </w:rPr>
              <w:t>Dlhodobé záväzky z obchodného styku a prijaté preddavky</w:t>
            </w:r>
          </w:p>
        </w:tc>
        <w:tc>
          <w:tcPr>
            <w:tcW w:w="579" w:type="pct"/>
            <w:tcBorders>
              <w:top w:val="nil"/>
              <w:left w:val="nil"/>
              <w:bottom w:val="nil"/>
              <w:right w:val="nil"/>
            </w:tcBorders>
            <w:shd w:val="clear" w:color="auto" w:fill="auto"/>
            <w:noWrap/>
            <w:vAlign w:val="bottom"/>
            <w:hideMark/>
          </w:tcPr>
          <w:p w14:paraId="04173E12" w14:textId="77777777" w:rsidR="009A05C7" w:rsidRPr="009A7A90" w:rsidRDefault="009A05C7" w:rsidP="000240DA">
            <w:pPr>
              <w:spacing w:after="0" w:line="240" w:lineRule="auto"/>
              <w:jc w:val="right"/>
              <w:rPr>
                <w:rFonts w:eastAsia="Times New Roman" w:cs="Times New Roman"/>
                <w:sz w:val="18"/>
                <w:szCs w:val="18"/>
                <w:lang w:eastAsia="sk-SK"/>
              </w:rPr>
            </w:pPr>
            <w:r w:rsidRPr="009A7A90">
              <w:rPr>
                <w:rFonts w:eastAsia="Times New Roman" w:cs="Times New Roman"/>
                <w:sz w:val="18"/>
                <w:szCs w:val="18"/>
                <w:lang w:eastAsia="sk-SK"/>
              </w:rPr>
              <w:t>147</w:t>
            </w:r>
          </w:p>
        </w:tc>
        <w:tc>
          <w:tcPr>
            <w:tcW w:w="579" w:type="pct"/>
            <w:tcBorders>
              <w:top w:val="nil"/>
              <w:left w:val="nil"/>
              <w:bottom w:val="nil"/>
              <w:right w:val="nil"/>
            </w:tcBorders>
            <w:shd w:val="clear" w:color="auto" w:fill="auto"/>
            <w:noWrap/>
            <w:vAlign w:val="bottom"/>
            <w:hideMark/>
          </w:tcPr>
          <w:p w14:paraId="0AB4F5FC" w14:textId="77777777" w:rsidR="009A05C7" w:rsidRPr="009A7A90" w:rsidRDefault="009A05C7" w:rsidP="000240DA">
            <w:pPr>
              <w:spacing w:after="0" w:line="240" w:lineRule="auto"/>
              <w:jc w:val="right"/>
              <w:rPr>
                <w:rFonts w:eastAsia="Times New Roman" w:cs="Times New Roman"/>
                <w:sz w:val="18"/>
                <w:szCs w:val="18"/>
                <w:lang w:eastAsia="sk-SK"/>
              </w:rPr>
            </w:pPr>
            <w:r w:rsidRPr="009A7A90">
              <w:rPr>
                <w:rFonts w:eastAsia="Times New Roman" w:cs="Times New Roman"/>
                <w:sz w:val="18"/>
                <w:szCs w:val="18"/>
                <w:lang w:eastAsia="sk-SK"/>
              </w:rPr>
              <w:t>163</w:t>
            </w:r>
          </w:p>
        </w:tc>
        <w:tc>
          <w:tcPr>
            <w:tcW w:w="580" w:type="pct"/>
            <w:tcBorders>
              <w:top w:val="nil"/>
              <w:left w:val="nil"/>
              <w:bottom w:val="nil"/>
              <w:right w:val="nil"/>
            </w:tcBorders>
            <w:shd w:val="clear" w:color="auto" w:fill="auto"/>
            <w:noWrap/>
            <w:vAlign w:val="bottom"/>
            <w:hideMark/>
          </w:tcPr>
          <w:p w14:paraId="5B4D75EC" w14:textId="77777777" w:rsidR="009A05C7" w:rsidRPr="009A7A90" w:rsidRDefault="009A05C7" w:rsidP="000240DA">
            <w:pPr>
              <w:spacing w:after="0" w:line="240" w:lineRule="auto"/>
              <w:jc w:val="right"/>
              <w:rPr>
                <w:rFonts w:eastAsia="Times New Roman" w:cs="Times New Roman"/>
                <w:sz w:val="18"/>
                <w:szCs w:val="18"/>
                <w:lang w:eastAsia="sk-SK"/>
              </w:rPr>
            </w:pPr>
            <w:r w:rsidRPr="009A7A90">
              <w:rPr>
                <w:rFonts w:eastAsia="Times New Roman" w:cs="Times New Roman"/>
                <w:sz w:val="18"/>
                <w:szCs w:val="18"/>
                <w:lang w:eastAsia="sk-SK"/>
              </w:rPr>
              <w:t>282</w:t>
            </w:r>
          </w:p>
        </w:tc>
        <w:tc>
          <w:tcPr>
            <w:tcW w:w="602" w:type="pct"/>
            <w:tcBorders>
              <w:top w:val="nil"/>
              <w:left w:val="nil"/>
              <w:bottom w:val="nil"/>
              <w:right w:val="nil"/>
            </w:tcBorders>
            <w:shd w:val="clear" w:color="auto" w:fill="auto"/>
            <w:noWrap/>
            <w:vAlign w:val="bottom"/>
            <w:hideMark/>
          </w:tcPr>
          <w:p w14:paraId="45B1D379" w14:textId="77777777" w:rsidR="009A05C7" w:rsidRPr="009A7A90" w:rsidRDefault="009A05C7" w:rsidP="000240DA">
            <w:pPr>
              <w:spacing w:after="0" w:line="240" w:lineRule="auto"/>
              <w:jc w:val="right"/>
              <w:rPr>
                <w:rFonts w:eastAsia="Times New Roman" w:cs="Times New Roman"/>
                <w:sz w:val="18"/>
                <w:szCs w:val="18"/>
                <w:lang w:eastAsia="sk-SK"/>
              </w:rPr>
            </w:pPr>
            <w:r w:rsidRPr="009A7A90">
              <w:rPr>
                <w:rFonts w:eastAsia="Times New Roman" w:cs="Times New Roman"/>
                <w:sz w:val="18"/>
                <w:szCs w:val="18"/>
                <w:lang w:eastAsia="sk-SK"/>
              </w:rPr>
              <w:t>119</w:t>
            </w:r>
          </w:p>
        </w:tc>
      </w:tr>
      <w:tr w:rsidR="009A05C7" w:rsidRPr="009A7A90" w14:paraId="04473DCE" w14:textId="77777777" w:rsidTr="000240DA">
        <w:trPr>
          <w:trHeight w:val="290"/>
        </w:trPr>
        <w:tc>
          <w:tcPr>
            <w:tcW w:w="2660" w:type="pct"/>
            <w:tcBorders>
              <w:top w:val="nil"/>
              <w:left w:val="nil"/>
              <w:bottom w:val="nil"/>
              <w:right w:val="nil"/>
            </w:tcBorders>
            <w:shd w:val="clear" w:color="auto" w:fill="auto"/>
            <w:noWrap/>
            <w:vAlign w:val="bottom"/>
            <w:hideMark/>
          </w:tcPr>
          <w:p w14:paraId="7D0E7E09" w14:textId="77777777" w:rsidR="009A05C7" w:rsidRPr="009A7A90" w:rsidRDefault="009A05C7" w:rsidP="000240DA">
            <w:pPr>
              <w:spacing w:after="0" w:line="240" w:lineRule="auto"/>
              <w:jc w:val="left"/>
              <w:rPr>
                <w:rFonts w:eastAsia="Times New Roman" w:cs="Times New Roman"/>
                <w:sz w:val="18"/>
                <w:szCs w:val="18"/>
                <w:lang w:eastAsia="sk-SK"/>
              </w:rPr>
            </w:pPr>
            <w:r w:rsidRPr="009A7A90">
              <w:rPr>
                <w:rFonts w:eastAsia="Times New Roman" w:cs="Times New Roman"/>
                <w:sz w:val="18"/>
                <w:szCs w:val="18"/>
                <w:lang w:eastAsia="sk-SK"/>
              </w:rPr>
              <w:t>Odvodový úver zo záruk voči SZRB</w:t>
            </w:r>
          </w:p>
        </w:tc>
        <w:tc>
          <w:tcPr>
            <w:tcW w:w="579" w:type="pct"/>
            <w:tcBorders>
              <w:top w:val="nil"/>
              <w:left w:val="nil"/>
              <w:bottom w:val="nil"/>
              <w:right w:val="nil"/>
            </w:tcBorders>
            <w:shd w:val="clear" w:color="auto" w:fill="auto"/>
            <w:noWrap/>
            <w:vAlign w:val="bottom"/>
            <w:hideMark/>
          </w:tcPr>
          <w:p w14:paraId="30062744" w14:textId="77777777" w:rsidR="009A05C7" w:rsidRPr="009A7A90" w:rsidRDefault="009A05C7" w:rsidP="000240DA">
            <w:pPr>
              <w:spacing w:after="0" w:line="240" w:lineRule="auto"/>
              <w:jc w:val="right"/>
              <w:rPr>
                <w:rFonts w:eastAsia="Times New Roman" w:cs="Times New Roman"/>
                <w:sz w:val="18"/>
                <w:szCs w:val="18"/>
                <w:lang w:eastAsia="sk-SK"/>
              </w:rPr>
            </w:pPr>
            <w:r w:rsidRPr="009A7A90">
              <w:rPr>
                <w:rFonts w:eastAsia="Times New Roman" w:cs="Times New Roman"/>
                <w:sz w:val="18"/>
                <w:szCs w:val="18"/>
                <w:lang w:eastAsia="sk-SK"/>
              </w:rPr>
              <w:t>0</w:t>
            </w:r>
          </w:p>
        </w:tc>
        <w:tc>
          <w:tcPr>
            <w:tcW w:w="579" w:type="pct"/>
            <w:tcBorders>
              <w:top w:val="nil"/>
              <w:left w:val="nil"/>
              <w:bottom w:val="nil"/>
              <w:right w:val="nil"/>
            </w:tcBorders>
            <w:shd w:val="clear" w:color="auto" w:fill="auto"/>
            <w:noWrap/>
            <w:vAlign w:val="bottom"/>
            <w:hideMark/>
          </w:tcPr>
          <w:p w14:paraId="771D2940" w14:textId="77777777" w:rsidR="009A05C7" w:rsidRPr="009A7A90" w:rsidRDefault="009A05C7" w:rsidP="000240DA">
            <w:pPr>
              <w:spacing w:after="0" w:line="240" w:lineRule="auto"/>
              <w:jc w:val="right"/>
              <w:rPr>
                <w:rFonts w:eastAsia="Times New Roman" w:cs="Times New Roman"/>
                <w:sz w:val="18"/>
                <w:szCs w:val="18"/>
                <w:lang w:eastAsia="sk-SK"/>
              </w:rPr>
            </w:pPr>
            <w:r w:rsidRPr="009A7A90">
              <w:rPr>
                <w:rFonts w:eastAsia="Times New Roman" w:cs="Times New Roman"/>
                <w:sz w:val="18"/>
                <w:szCs w:val="18"/>
                <w:lang w:eastAsia="sk-SK"/>
              </w:rPr>
              <w:t>200</w:t>
            </w:r>
          </w:p>
        </w:tc>
        <w:tc>
          <w:tcPr>
            <w:tcW w:w="580" w:type="pct"/>
            <w:tcBorders>
              <w:top w:val="nil"/>
              <w:left w:val="nil"/>
              <w:bottom w:val="nil"/>
              <w:right w:val="nil"/>
            </w:tcBorders>
            <w:shd w:val="clear" w:color="auto" w:fill="auto"/>
            <w:noWrap/>
            <w:vAlign w:val="bottom"/>
            <w:hideMark/>
          </w:tcPr>
          <w:p w14:paraId="34C47C61" w14:textId="77777777" w:rsidR="009A05C7" w:rsidRPr="009A7A90" w:rsidRDefault="009A05C7" w:rsidP="000240DA">
            <w:pPr>
              <w:spacing w:after="0" w:line="240" w:lineRule="auto"/>
              <w:jc w:val="right"/>
              <w:rPr>
                <w:rFonts w:eastAsia="Times New Roman" w:cs="Times New Roman"/>
                <w:sz w:val="18"/>
                <w:szCs w:val="18"/>
                <w:lang w:eastAsia="sk-SK"/>
              </w:rPr>
            </w:pPr>
            <w:r w:rsidRPr="009A7A90">
              <w:rPr>
                <w:rFonts w:eastAsia="Times New Roman" w:cs="Times New Roman"/>
                <w:sz w:val="18"/>
                <w:szCs w:val="18"/>
                <w:lang w:eastAsia="sk-SK"/>
              </w:rPr>
              <w:t>0</w:t>
            </w:r>
          </w:p>
        </w:tc>
        <w:tc>
          <w:tcPr>
            <w:tcW w:w="602" w:type="pct"/>
            <w:tcBorders>
              <w:top w:val="nil"/>
              <w:left w:val="nil"/>
              <w:bottom w:val="nil"/>
              <w:right w:val="nil"/>
            </w:tcBorders>
            <w:shd w:val="clear" w:color="auto" w:fill="auto"/>
            <w:noWrap/>
            <w:vAlign w:val="bottom"/>
            <w:hideMark/>
          </w:tcPr>
          <w:p w14:paraId="70E46017" w14:textId="77777777" w:rsidR="009A05C7" w:rsidRPr="009A7A90" w:rsidRDefault="009A05C7" w:rsidP="000240DA">
            <w:pPr>
              <w:spacing w:after="0" w:line="240" w:lineRule="auto"/>
              <w:jc w:val="right"/>
              <w:rPr>
                <w:rFonts w:eastAsia="Times New Roman" w:cs="Times New Roman"/>
                <w:sz w:val="18"/>
                <w:szCs w:val="18"/>
                <w:lang w:eastAsia="sk-SK"/>
              </w:rPr>
            </w:pPr>
            <w:r w:rsidRPr="009A7A90">
              <w:rPr>
                <w:rFonts w:eastAsia="Times New Roman" w:cs="Times New Roman"/>
                <w:sz w:val="18"/>
                <w:szCs w:val="18"/>
                <w:lang w:eastAsia="sk-SK"/>
              </w:rPr>
              <w:t>-200</w:t>
            </w:r>
          </w:p>
        </w:tc>
      </w:tr>
      <w:tr w:rsidR="009A05C7" w:rsidRPr="009A7A90" w14:paraId="33C84D21" w14:textId="77777777" w:rsidTr="000240DA">
        <w:trPr>
          <w:trHeight w:val="290"/>
        </w:trPr>
        <w:tc>
          <w:tcPr>
            <w:tcW w:w="2660" w:type="pct"/>
            <w:tcBorders>
              <w:top w:val="nil"/>
              <w:left w:val="nil"/>
              <w:bottom w:val="nil"/>
              <w:right w:val="nil"/>
            </w:tcBorders>
            <w:shd w:val="clear" w:color="auto" w:fill="auto"/>
            <w:noWrap/>
            <w:vAlign w:val="bottom"/>
            <w:hideMark/>
          </w:tcPr>
          <w:p w14:paraId="3C1ACD98" w14:textId="77777777" w:rsidR="009A05C7" w:rsidRPr="00810484" w:rsidRDefault="009A05C7" w:rsidP="000240DA">
            <w:pPr>
              <w:spacing w:after="0" w:line="240" w:lineRule="auto"/>
              <w:jc w:val="left"/>
              <w:rPr>
                <w:rFonts w:eastAsia="Times New Roman" w:cs="Times New Roman"/>
                <w:sz w:val="18"/>
                <w:szCs w:val="18"/>
                <w:lang w:eastAsia="sk-SK"/>
              </w:rPr>
            </w:pPr>
            <w:r w:rsidRPr="00810484">
              <w:rPr>
                <w:rFonts w:eastAsia="Times New Roman" w:cs="Times New Roman"/>
                <w:sz w:val="18"/>
                <w:szCs w:val="18"/>
                <w:lang w:eastAsia="sk-SK"/>
              </w:rPr>
              <w:t>Imput záväzkov schémy zelenej energie</w:t>
            </w:r>
          </w:p>
        </w:tc>
        <w:tc>
          <w:tcPr>
            <w:tcW w:w="579" w:type="pct"/>
            <w:tcBorders>
              <w:top w:val="nil"/>
              <w:left w:val="nil"/>
              <w:bottom w:val="nil"/>
              <w:right w:val="nil"/>
            </w:tcBorders>
            <w:shd w:val="clear" w:color="auto" w:fill="auto"/>
            <w:noWrap/>
            <w:vAlign w:val="bottom"/>
            <w:hideMark/>
          </w:tcPr>
          <w:p w14:paraId="6B4E1E2D" w14:textId="77777777" w:rsidR="009A05C7" w:rsidRPr="00810484" w:rsidRDefault="009A05C7" w:rsidP="000240DA">
            <w:pPr>
              <w:spacing w:after="0" w:line="240" w:lineRule="auto"/>
              <w:jc w:val="right"/>
              <w:rPr>
                <w:rFonts w:eastAsia="Times New Roman" w:cs="Times New Roman"/>
                <w:sz w:val="18"/>
                <w:szCs w:val="18"/>
                <w:lang w:eastAsia="sk-SK"/>
              </w:rPr>
            </w:pPr>
            <w:r w:rsidRPr="00810484">
              <w:rPr>
                <w:rFonts w:eastAsia="Times New Roman" w:cs="Times New Roman"/>
                <w:sz w:val="18"/>
                <w:szCs w:val="18"/>
                <w:lang w:eastAsia="sk-SK"/>
              </w:rPr>
              <w:t>119 000</w:t>
            </w:r>
          </w:p>
        </w:tc>
        <w:tc>
          <w:tcPr>
            <w:tcW w:w="579" w:type="pct"/>
            <w:tcBorders>
              <w:top w:val="nil"/>
              <w:left w:val="nil"/>
              <w:bottom w:val="nil"/>
              <w:right w:val="nil"/>
            </w:tcBorders>
            <w:shd w:val="clear" w:color="auto" w:fill="auto"/>
            <w:noWrap/>
            <w:vAlign w:val="bottom"/>
            <w:hideMark/>
          </w:tcPr>
          <w:p w14:paraId="2EE89C02" w14:textId="77777777" w:rsidR="009A05C7" w:rsidRPr="00810484" w:rsidRDefault="009A05C7" w:rsidP="000240DA">
            <w:pPr>
              <w:spacing w:after="0" w:line="240" w:lineRule="auto"/>
              <w:jc w:val="right"/>
              <w:rPr>
                <w:rFonts w:eastAsia="Times New Roman" w:cs="Times New Roman"/>
                <w:sz w:val="18"/>
                <w:szCs w:val="18"/>
                <w:lang w:eastAsia="sk-SK"/>
              </w:rPr>
            </w:pPr>
            <w:r w:rsidRPr="00810484">
              <w:rPr>
                <w:rFonts w:eastAsia="Times New Roman" w:cs="Times New Roman"/>
                <w:sz w:val="18"/>
                <w:szCs w:val="18"/>
                <w:lang w:eastAsia="sk-SK"/>
              </w:rPr>
              <w:t>0</w:t>
            </w:r>
          </w:p>
        </w:tc>
        <w:tc>
          <w:tcPr>
            <w:tcW w:w="580" w:type="pct"/>
            <w:tcBorders>
              <w:top w:val="nil"/>
              <w:left w:val="nil"/>
              <w:bottom w:val="nil"/>
              <w:right w:val="nil"/>
            </w:tcBorders>
            <w:shd w:val="clear" w:color="auto" w:fill="auto"/>
            <w:noWrap/>
            <w:vAlign w:val="bottom"/>
            <w:hideMark/>
          </w:tcPr>
          <w:p w14:paraId="2CB5D5B7" w14:textId="77777777" w:rsidR="009A05C7" w:rsidRPr="00810484" w:rsidRDefault="009A05C7" w:rsidP="000240DA">
            <w:pPr>
              <w:spacing w:after="0" w:line="240" w:lineRule="auto"/>
              <w:jc w:val="right"/>
              <w:rPr>
                <w:rFonts w:eastAsia="Times New Roman" w:cs="Times New Roman"/>
                <w:sz w:val="18"/>
                <w:szCs w:val="18"/>
                <w:lang w:eastAsia="sk-SK"/>
              </w:rPr>
            </w:pPr>
            <w:r w:rsidRPr="00810484">
              <w:rPr>
                <w:rFonts w:eastAsia="Times New Roman" w:cs="Times New Roman"/>
                <w:sz w:val="18"/>
                <w:szCs w:val="18"/>
                <w:lang w:eastAsia="sk-SK"/>
              </w:rPr>
              <w:t>37 022</w:t>
            </w:r>
          </w:p>
        </w:tc>
        <w:tc>
          <w:tcPr>
            <w:tcW w:w="602" w:type="pct"/>
            <w:tcBorders>
              <w:top w:val="nil"/>
              <w:left w:val="nil"/>
              <w:bottom w:val="nil"/>
              <w:right w:val="nil"/>
            </w:tcBorders>
            <w:shd w:val="clear" w:color="auto" w:fill="auto"/>
            <w:noWrap/>
            <w:vAlign w:val="bottom"/>
            <w:hideMark/>
          </w:tcPr>
          <w:p w14:paraId="56D490EA" w14:textId="77777777" w:rsidR="009A05C7" w:rsidRPr="00810484" w:rsidRDefault="009A05C7" w:rsidP="000240DA">
            <w:pPr>
              <w:spacing w:after="0" w:line="240" w:lineRule="auto"/>
              <w:jc w:val="right"/>
              <w:rPr>
                <w:rFonts w:eastAsia="Times New Roman" w:cs="Times New Roman"/>
                <w:sz w:val="18"/>
                <w:szCs w:val="18"/>
                <w:lang w:eastAsia="sk-SK"/>
              </w:rPr>
            </w:pPr>
            <w:r w:rsidRPr="00810484">
              <w:rPr>
                <w:rFonts w:eastAsia="Times New Roman" w:cs="Times New Roman"/>
                <w:sz w:val="18"/>
                <w:szCs w:val="18"/>
                <w:lang w:eastAsia="sk-SK"/>
              </w:rPr>
              <w:t>37 022</w:t>
            </w:r>
          </w:p>
        </w:tc>
      </w:tr>
      <w:tr w:rsidR="009A05C7" w:rsidRPr="009A7A90" w14:paraId="38B53D20" w14:textId="77777777" w:rsidTr="000240DA">
        <w:trPr>
          <w:trHeight w:val="290"/>
        </w:trPr>
        <w:tc>
          <w:tcPr>
            <w:tcW w:w="2660" w:type="pct"/>
            <w:tcBorders>
              <w:top w:val="nil"/>
              <w:left w:val="nil"/>
              <w:bottom w:val="nil"/>
              <w:right w:val="nil"/>
            </w:tcBorders>
            <w:shd w:val="clear" w:color="auto" w:fill="auto"/>
            <w:noWrap/>
            <w:vAlign w:val="bottom"/>
            <w:hideMark/>
          </w:tcPr>
          <w:p w14:paraId="2643C8F3" w14:textId="77777777" w:rsidR="009A05C7" w:rsidRPr="00810484" w:rsidRDefault="009A05C7" w:rsidP="000240DA">
            <w:pPr>
              <w:spacing w:after="0" w:line="240" w:lineRule="auto"/>
              <w:jc w:val="left"/>
              <w:rPr>
                <w:rFonts w:eastAsia="Times New Roman" w:cs="Times New Roman"/>
                <w:sz w:val="18"/>
                <w:szCs w:val="18"/>
                <w:lang w:eastAsia="sk-SK"/>
              </w:rPr>
            </w:pPr>
            <w:r w:rsidRPr="00810484">
              <w:rPr>
                <w:rFonts w:eastAsia="Times New Roman" w:cs="Times New Roman"/>
                <w:sz w:val="18"/>
                <w:szCs w:val="18"/>
                <w:lang w:eastAsia="sk-SK"/>
              </w:rPr>
              <w:t>Imput pôžičky z EOSA</w:t>
            </w:r>
          </w:p>
        </w:tc>
        <w:tc>
          <w:tcPr>
            <w:tcW w:w="579" w:type="pct"/>
            <w:tcBorders>
              <w:top w:val="nil"/>
              <w:left w:val="nil"/>
              <w:bottom w:val="nil"/>
              <w:right w:val="nil"/>
            </w:tcBorders>
            <w:shd w:val="clear" w:color="auto" w:fill="auto"/>
            <w:noWrap/>
            <w:vAlign w:val="bottom"/>
            <w:hideMark/>
          </w:tcPr>
          <w:p w14:paraId="1180E394" w14:textId="77777777" w:rsidR="009A05C7" w:rsidRPr="00810484" w:rsidRDefault="009A05C7" w:rsidP="000240DA">
            <w:pPr>
              <w:spacing w:after="0" w:line="240" w:lineRule="auto"/>
              <w:jc w:val="right"/>
              <w:rPr>
                <w:rFonts w:eastAsia="Times New Roman" w:cs="Times New Roman"/>
                <w:sz w:val="18"/>
                <w:szCs w:val="18"/>
                <w:lang w:eastAsia="sk-SK"/>
              </w:rPr>
            </w:pPr>
            <w:r w:rsidRPr="00810484">
              <w:rPr>
                <w:rFonts w:eastAsia="Times New Roman" w:cs="Times New Roman"/>
                <w:sz w:val="18"/>
                <w:szCs w:val="18"/>
                <w:lang w:eastAsia="sk-SK"/>
              </w:rPr>
              <w:t>70 011</w:t>
            </w:r>
          </w:p>
        </w:tc>
        <w:tc>
          <w:tcPr>
            <w:tcW w:w="579" w:type="pct"/>
            <w:tcBorders>
              <w:top w:val="nil"/>
              <w:left w:val="nil"/>
              <w:bottom w:val="nil"/>
              <w:right w:val="nil"/>
            </w:tcBorders>
            <w:shd w:val="clear" w:color="auto" w:fill="auto"/>
            <w:noWrap/>
            <w:vAlign w:val="bottom"/>
            <w:hideMark/>
          </w:tcPr>
          <w:p w14:paraId="18A75B51" w14:textId="77777777" w:rsidR="009A05C7" w:rsidRPr="00810484" w:rsidRDefault="009A05C7" w:rsidP="000240DA">
            <w:pPr>
              <w:spacing w:after="0" w:line="240" w:lineRule="auto"/>
              <w:jc w:val="right"/>
              <w:rPr>
                <w:rFonts w:eastAsia="Times New Roman" w:cs="Times New Roman"/>
                <w:sz w:val="18"/>
                <w:szCs w:val="18"/>
                <w:lang w:eastAsia="sk-SK"/>
              </w:rPr>
            </w:pPr>
            <w:r w:rsidRPr="00810484">
              <w:rPr>
                <w:rFonts w:eastAsia="Times New Roman" w:cs="Times New Roman"/>
                <w:sz w:val="18"/>
                <w:szCs w:val="18"/>
                <w:lang w:eastAsia="sk-SK"/>
              </w:rPr>
              <w:t>20 945</w:t>
            </w:r>
          </w:p>
        </w:tc>
        <w:tc>
          <w:tcPr>
            <w:tcW w:w="580" w:type="pct"/>
            <w:tcBorders>
              <w:top w:val="nil"/>
              <w:left w:val="nil"/>
              <w:bottom w:val="nil"/>
              <w:right w:val="nil"/>
            </w:tcBorders>
            <w:shd w:val="clear" w:color="auto" w:fill="auto"/>
            <w:noWrap/>
            <w:vAlign w:val="bottom"/>
            <w:hideMark/>
          </w:tcPr>
          <w:p w14:paraId="6766EEE4" w14:textId="77777777" w:rsidR="009A05C7" w:rsidRPr="00810484" w:rsidRDefault="009A05C7" w:rsidP="000240DA">
            <w:pPr>
              <w:spacing w:after="0" w:line="240" w:lineRule="auto"/>
              <w:jc w:val="right"/>
              <w:rPr>
                <w:rFonts w:eastAsia="Times New Roman" w:cs="Times New Roman"/>
                <w:sz w:val="18"/>
                <w:szCs w:val="18"/>
                <w:lang w:eastAsia="sk-SK"/>
              </w:rPr>
            </w:pPr>
            <w:r w:rsidRPr="00810484">
              <w:rPr>
                <w:rFonts w:eastAsia="Times New Roman" w:cs="Times New Roman"/>
                <w:sz w:val="18"/>
                <w:szCs w:val="18"/>
                <w:lang w:eastAsia="sk-SK"/>
              </w:rPr>
              <w:t>0</w:t>
            </w:r>
          </w:p>
        </w:tc>
        <w:tc>
          <w:tcPr>
            <w:tcW w:w="602" w:type="pct"/>
            <w:tcBorders>
              <w:top w:val="nil"/>
              <w:left w:val="nil"/>
              <w:bottom w:val="nil"/>
              <w:right w:val="nil"/>
            </w:tcBorders>
            <w:shd w:val="clear" w:color="auto" w:fill="auto"/>
            <w:noWrap/>
            <w:vAlign w:val="bottom"/>
            <w:hideMark/>
          </w:tcPr>
          <w:p w14:paraId="72E79111" w14:textId="77777777" w:rsidR="009A05C7" w:rsidRPr="00810484" w:rsidRDefault="009A05C7" w:rsidP="000240DA">
            <w:pPr>
              <w:spacing w:after="0" w:line="240" w:lineRule="auto"/>
              <w:jc w:val="right"/>
              <w:rPr>
                <w:rFonts w:eastAsia="Times New Roman" w:cs="Times New Roman"/>
                <w:sz w:val="18"/>
                <w:szCs w:val="18"/>
                <w:lang w:eastAsia="sk-SK"/>
              </w:rPr>
            </w:pPr>
            <w:r w:rsidRPr="00810484">
              <w:rPr>
                <w:rFonts w:eastAsia="Times New Roman" w:cs="Times New Roman"/>
                <w:sz w:val="18"/>
                <w:szCs w:val="18"/>
                <w:lang w:eastAsia="sk-SK"/>
              </w:rPr>
              <w:t>-20 945</w:t>
            </w:r>
          </w:p>
        </w:tc>
      </w:tr>
      <w:tr w:rsidR="009A05C7" w:rsidRPr="009A7A90" w14:paraId="6202FD16" w14:textId="77777777" w:rsidTr="000240DA">
        <w:trPr>
          <w:trHeight w:val="290"/>
        </w:trPr>
        <w:tc>
          <w:tcPr>
            <w:tcW w:w="2660" w:type="pct"/>
            <w:tcBorders>
              <w:top w:val="single" w:sz="4" w:space="0" w:color="auto"/>
              <w:left w:val="nil"/>
              <w:bottom w:val="single" w:sz="4" w:space="0" w:color="auto"/>
              <w:right w:val="nil"/>
            </w:tcBorders>
            <w:shd w:val="clear" w:color="auto" w:fill="auto"/>
            <w:noWrap/>
            <w:vAlign w:val="bottom"/>
            <w:hideMark/>
          </w:tcPr>
          <w:p w14:paraId="1BF6C985" w14:textId="77777777" w:rsidR="009A05C7" w:rsidRPr="009A7A90" w:rsidRDefault="009A05C7" w:rsidP="000240DA">
            <w:pPr>
              <w:spacing w:after="0" w:line="240" w:lineRule="auto"/>
              <w:jc w:val="left"/>
              <w:rPr>
                <w:rFonts w:eastAsia="Times New Roman" w:cs="Times New Roman"/>
                <w:b/>
                <w:bCs/>
                <w:sz w:val="18"/>
                <w:szCs w:val="18"/>
                <w:lang w:eastAsia="sk-SK"/>
              </w:rPr>
            </w:pPr>
            <w:r w:rsidRPr="009A7A90">
              <w:rPr>
                <w:rFonts w:eastAsia="Times New Roman" w:cs="Times New Roman"/>
                <w:b/>
                <w:bCs/>
                <w:sz w:val="18"/>
                <w:szCs w:val="18"/>
                <w:lang w:eastAsia="sk-SK"/>
              </w:rPr>
              <w:t>Spolu dlh</w:t>
            </w:r>
          </w:p>
        </w:tc>
        <w:tc>
          <w:tcPr>
            <w:tcW w:w="579" w:type="pct"/>
            <w:tcBorders>
              <w:top w:val="single" w:sz="4" w:space="0" w:color="auto"/>
              <w:left w:val="nil"/>
              <w:bottom w:val="single" w:sz="4" w:space="0" w:color="auto"/>
              <w:right w:val="nil"/>
            </w:tcBorders>
            <w:shd w:val="clear" w:color="auto" w:fill="auto"/>
            <w:noWrap/>
            <w:vAlign w:val="bottom"/>
            <w:hideMark/>
          </w:tcPr>
          <w:p w14:paraId="659DC570" w14:textId="77777777" w:rsidR="009A05C7" w:rsidRPr="009A7A90" w:rsidRDefault="009A05C7" w:rsidP="000240DA">
            <w:pPr>
              <w:spacing w:after="0" w:line="240" w:lineRule="auto"/>
              <w:jc w:val="right"/>
              <w:rPr>
                <w:rFonts w:eastAsia="Times New Roman" w:cs="Times New Roman"/>
                <w:b/>
                <w:bCs/>
                <w:sz w:val="18"/>
                <w:szCs w:val="18"/>
                <w:lang w:eastAsia="sk-SK"/>
              </w:rPr>
            </w:pPr>
            <w:r w:rsidRPr="009A7A90">
              <w:rPr>
                <w:rFonts w:eastAsia="Times New Roman" w:cs="Times New Roman"/>
                <w:b/>
                <w:bCs/>
                <w:sz w:val="18"/>
                <w:szCs w:val="18"/>
                <w:lang w:eastAsia="sk-SK"/>
              </w:rPr>
              <w:t>61 323 071</w:t>
            </w:r>
          </w:p>
        </w:tc>
        <w:tc>
          <w:tcPr>
            <w:tcW w:w="579" w:type="pct"/>
            <w:tcBorders>
              <w:top w:val="single" w:sz="4" w:space="0" w:color="auto"/>
              <w:left w:val="nil"/>
              <w:bottom w:val="single" w:sz="4" w:space="0" w:color="auto"/>
              <w:right w:val="nil"/>
            </w:tcBorders>
            <w:shd w:val="clear" w:color="auto" w:fill="auto"/>
            <w:noWrap/>
            <w:vAlign w:val="bottom"/>
            <w:hideMark/>
          </w:tcPr>
          <w:p w14:paraId="70AC3685" w14:textId="77777777" w:rsidR="009A05C7" w:rsidRPr="009A7A90" w:rsidRDefault="009A05C7" w:rsidP="000240DA">
            <w:pPr>
              <w:spacing w:after="0" w:line="240" w:lineRule="auto"/>
              <w:jc w:val="right"/>
              <w:rPr>
                <w:rFonts w:eastAsia="Times New Roman" w:cs="Times New Roman"/>
                <w:b/>
                <w:bCs/>
                <w:sz w:val="18"/>
                <w:szCs w:val="18"/>
                <w:lang w:eastAsia="sk-SK"/>
              </w:rPr>
            </w:pPr>
            <w:r w:rsidRPr="009A7A90">
              <w:rPr>
                <w:rFonts w:eastAsia="Times New Roman" w:cs="Times New Roman"/>
                <w:b/>
                <w:bCs/>
                <w:sz w:val="18"/>
                <w:szCs w:val="18"/>
                <w:lang w:eastAsia="sk-SK"/>
              </w:rPr>
              <w:t>66 540 942</w:t>
            </w:r>
          </w:p>
        </w:tc>
        <w:tc>
          <w:tcPr>
            <w:tcW w:w="580" w:type="pct"/>
            <w:tcBorders>
              <w:top w:val="single" w:sz="4" w:space="0" w:color="auto"/>
              <w:left w:val="nil"/>
              <w:bottom w:val="single" w:sz="4" w:space="0" w:color="auto"/>
              <w:right w:val="nil"/>
            </w:tcBorders>
            <w:shd w:val="clear" w:color="auto" w:fill="auto"/>
            <w:noWrap/>
            <w:vAlign w:val="bottom"/>
            <w:hideMark/>
          </w:tcPr>
          <w:p w14:paraId="19B48E8B" w14:textId="77777777" w:rsidR="009A05C7" w:rsidRPr="009A7A90" w:rsidRDefault="009A05C7" w:rsidP="000240DA">
            <w:pPr>
              <w:spacing w:after="0" w:line="240" w:lineRule="auto"/>
              <w:jc w:val="right"/>
              <w:rPr>
                <w:rFonts w:eastAsia="Times New Roman" w:cs="Times New Roman"/>
                <w:b/>
                <w:bCs/>
                <w:sz w:val="18"/>
                <w:szCs w:val="18"/>
                <w:lang w:eastAsia="sk-SK"/>
              </w:rPr>
            </w:pPr>
            <w:r w:rsidRPr="009A7A90">
              <w:rPr>
                <w:rFonts w:eastAsia="Times New Roman" w:cs="Times New Roman"/>
                <w:b/>
                <w:bCs/>
                <w:sz w:val="18"/>
                <w:szCs w:val="18"/>
                <w:lang w:eastAsia="sk-SK"/>
              </w:rPr>
              <w:t>75 320 226</w:t>
            </w:r>
          </w:p>
        </w:tc>
        <w:tc>
          <w:tcPr>
            <w:tcW w:w="602" w:type="pct"/>
            <w:tcBorders>
              <w:top w:val="single" w:sz="4" w:space="0" w:color="auto"/>
              <w:left w:val="nil"/>
              <w:bottom w:val="single" w:sz="4" w:space="0" w:color="auto"/>
              <w:right w:val="nil"/>
            </w:tcBorders>
            <w:shd w:val="clear" w:color="auto" w:fill="auto"/>
            <w:noWrap/>
            <w:vAlign w:val="bottom"/>
            <w:hideMark/>
          </w:tcPr>
          <w:p w14:paraId="3ECD38A6" w14:textId="77777777" w:rsidR="009A05C7" w:rsidRPr="009A7A90" w:rsidRDefault="009A05C7" w:rsidP="000240DA">
            <w:pPr>
              <w:spacing w:after="0" w:line="240" w:lineRule="auto"/>
              <w:jc w:val="right"/>
              <w:rPr>
                <w:rFonts w:eastAsia="Times New Roman" w:cs="Times New Roman"/>
                <w:b/>
                <w:bCs/>
                <w:sz w:val="18"/>
                <w:szCs w:val="18"/>
                <w:lang w:eastAsia="sk-SK"/>
              </w:rPr>
            </w:pPr>
            <w:r w:rsidRPr="009A7A90">
              <w:rPr>
                <w:rFonts w:eastAsia="Times New Roman" w:cs="Times New Roman"/>
                <w:b/>
                <w:bCs/>
                <w:sz w:val="18"/>
                <w:szCs w:val="18"/>
                <w:lang w:eastAsia="sk-SK"/>
              </w:rPr>
              <w:t>8 779 284</w:t>
            </w:r>
          </w:p>
        </w:tc>
      </w:tr>
    </w:tbl>
    <w:p w14:paraId="27B42B75" w14:textId="77777777" w:rsidR="009A05C7" w:rsidRPr="009A7A90" w:rsidRDefault="009A05C7" w:rsidP="00EF52C3">
      <w:pPr>
        <w:keepNext/>
        <w:spacing w:line="240" w:lineRule="auto"/>
        <w:ind w:left="6373"/>
        <w:jc w:val="right"/>
        <w:rPr>
          <w:sz w:val="18"/>
          <w:szCs w:val="18"/>
        </w:rPr>
      </w:pPr>
      <w:r w:rsidRPr="009A7A90">
        <w:rPr>
          <w:sz w:val="18"/>
          <w:szCs w:val="18"/>
        </w:rPr>
        <w:t>Zdroj: MF SR, ARDAL</w:t>
      </w:r>
    </w:p>
    <w:p w14:paraId="45F3E1A6" w14:textId="7C05A761" w:rsidR="009A05C7" w:rsidRPr="00EA40D0" w:rsidRDefault="009A05C7" w:rsidP="009A05C7">
      <w:pPr>
        <w:spacing w:line="240" w:lineRule="auto"/>
        <w:rPr>
          <w:sz w:val="24"/>
          <w:szCs w:val="24"/>
        </w:rPr>
      </w:pPr>
      <w:r w:rsidRPr="00EA40D0">
        <w:rPr>
          <w:sz w:val="24"/>
          <w:szCs w:val="24"/>
        </w:rPr>
        <w:t>Ministerstvo financií SR v mene Sloven</w:t>
      </w:r>
      <w:r>
        <w:rPr>
          <w:sz w:val="24"/>
          <w:szCs w:val="24"/>
        </w:rPr>
        <w:t>skej republiky prijíma úvery od </w:t>
      </w:r>
      <w:r w:rsidRPr="00EA40D0">
        <w:rPr>
          <w:sz w:val="24"/>
          <w:szCs w:val="24"/>
        </w:rPr>
        <w:t>medzinárodných finančných inštitúcií, a to na podporu národných projektov v oblasti budovania cestnej infraštruktúry, životného prostredia, poľn</w:t>
      </w:r>
      <w:r>
        <w:rPr>
          <w:sz w:val="24"/>
          <w:szCs w:val="24"/>
        </w:rPr>
        <w:t>ohospodárstva, informatizácie a </w:t>
      </w:r>
      <w:r w:rsidRPr="00EA40D0">
        <w:rPr>
          <w:sz w:val="24"/>
          <w:szCs w:val="24"/>
        </w:rPr>
        <w:t>podobne. Z prostriedkov sa spolufinancujú aj spoločné projekty SR a EÚ financované európskymi štrukturálnymi fondmi a Kohéznym fondom. Z hodnoty týchto úverov tvoria úvery od Európs</w:t>
      </w:r>
      <w:r>
        <w:rPr>
          <w:sz w:val="24"/>
          <w:szCs w:val="24"/>
        </w:rPr>
        <w:t>kej investičnej banky 2 584 376 </w:t>
      </w:r>
      <w:r w:rsidRPr="00EA40D0">
        <w:rPr>
          <w:sz w:val="24"/>
          <w:szCs w:val="24"/>
        </w:rPr>
        <w:t>tis.</w:t>
      </w:r>
      <w:r>
        <w:rPr>
          <w:sz w:val="24"/>
          <w:szCs w:val="24"/>
        </w:rPr>
        <w:t> </w:t>
      </w:r>
      <w:r w:rsidRPr="00EA40D0">
        <w:rPr>
          <w:sz w:val="24"/>
          <w:szCs w:val="24"/>
        </w:rPr>
        <w:t>eur a úvery od Rozvojovej banky Rady Európy 875</w:t>
      </w:r>
      <w:r>
        <w:rPr>
          <w:sz w:val="24"/>
          <w:szCs w:val="24"/>
        </w:rPr>
        <w:t> </w:t>
      </w:r>
      <w:r w:rsidRPr="00EA40D0">
        <w:rPr>
          <w:sz w:val="24"/>
          <w:szCs w:val="24"/>
        </w:rPr>
        <w:t>000</w:t>
      </w:r>
      <w:r>
        <w:rPr>
          <w:sz w:val="24"/>
          <w:szCs w:val="24"/>
        </w:rPr>
        <w:t> </w:t>
      </w:r>
      <w:r w:rsidRPr="00EA40D0">
        <w:rPr>
          <w:sz w:val="24"/>
          <w:szCs w:val="24"/>
        </w:rPr>
        <w:t>tis.</w:t>
      </w:r>
      <w:r>
        <w:rPr>
          <w:sz w:val="24"/>
          <w:szCs w:val="24"/>
        </w:rPr>
        <w:t> </w:t>
      </w:r>
      <w:r w:rsidRPr="00EA40D0">
        <w:rPr>
          <w:sz w:val="24"/>
          <w:szCs w:val="24"/>
        </w:rPr>
        <w:t>eur. V priebehu roka 2024 boli z ďalšej úverovej tranže prijaté prostriedky od</w:t>
      </w:r>
      <w:r w:rsidR="00D259E2">
        <w:rPr>
          <w:sz w:val="24"/>
          <w:szCs w:val="24"/>
        </w:rPr>
        <w:t> </w:t>
      </w:r>
      <w:r w:rsidRPr="00EA40D0">
        <w:rPr>
          <w:sz w:val="24"/>
          <w:szCs w:val="24"/>
        </w:rPr>
        <w:t>Európskej investičnej banky vo výške 72 030 tis. eur.</w:t>
      </w:r>
    </w:p>
    <w:p w14:paraId="38247559" w14:textId="77777777" w:rsidR="009A05C7" w:rsidRPr="00AD12E2" w:rsidRDefault="009A05C7" w:rsidP="009A05C7">
      <w:pPr>
        <w:spacing w:line="240" w:lineRule="auto"/>
        <w:rPr>
          <w:sz w:val="24"/>
          <w:szCs w:val="24"/>
          <w:highlight w:val="yellow"/>
        </w:rPr>
      </w:pPr>
      <w:r w:rsidRPr="0087075E">
        <w:rPr>
          <w:sz w:val="24"/>
          <w:szCs w:val="24"/>
        </w:rPr>
        <w:t>Hodnota zábezpek me</w:t>
      </w:r>
      <w:r>
        <w:rPr>
          <w:sz w:val="24"/>
          <w:szCs w:val="24"/>
        </w:rPr>
        <w:t>dziročne vzrástla o 39 065 tis. </w:t>
      </w:r>
      <w:r w:rsidRPr="0087075E">
        <w:rPr>
          <w:sz w:val="24"/>
          <w:szCs w:val="24"/>
        </w:rPr>
        <w:t>eur na súčasných 227 534 tis. eur, pričom pasívny kolaterál z derivátových operácií vzrástol o 23 940 tis. eur a zábezpeky jednotlivých štátnych rozpočtových organizácií vzrástli o</w:t>
      </w:r>
      <w:r>
        <w:rPr>
          <w:sz w:val="24"/>
          <w:szCs w:val="24"/>
        </w:rPr>
        <w:t> 15 125 tis. eur.</w:t>
      </w:r>
    </w:p>
    <w:p w14:paraId="69B69B37" w14:textId="77777777" w:rsidR="009A05C7" w:rsidRPr="0087075E" w:rsidRDefault="009A05C7" w:rsidP="009A05C7">
      <w:pPr>
        <w:spacing w:line="240" w:lineRule="auto"/>
        <w:rPr>
          <w:sz w:val="24"/>
          <w:szCs w:val="24"/>
        </w:rPr>
      </w:pPr>
      <w:r w:rsidRPr="0087075E">
        <w:rPr>
          <w:b/>
          <w:sz w:val="24"/>
          <w:szCs w:val="24"/>
        </w:rPr>
        <w:t>Z hľadiska pôvodnej splatnosti</w:t>
      </w:r>
      <w:r w:rsidRPr="0087075E">
        <w:rPr>
          <w:sz w:val="24"/>
          <w:szCs w:val="24"/>
        </w:rPr>
        <w:t xml:space="preserve"> je štátny dlh z 99,6 % dlhodobý (75 044 645 tis. eur). Krátkodobý št</w:t>
      </w:r>
      <w:r>
        <w:rPr>
          <w:sz w:val="24"/>
          <w:szCs w:val="24"/>
        </w:rPr>
        <w:t>átny dlh, ktorý predstavuje 0,4 </w:t>
      </w:r>
      <w:r w:rsidRPr="0087075E">
        <w:rPr>
          <w:sz w:val="24"/>
          <w:szCs w:val="24"/>
        </w:rPr>
        <w:t>%, je z rozhodujúcej časti tvorený zábezpekami vo výške 227 534 tis. eur (z toho 23 940 tis. eur tvorí pasívny kolaterál z derivátových operácií uskutočnených na zabezpečenie dlhu v cudzej mene proti kurzovému riziku). Zvyšnú časť krátkodobého dlhu predstavujú záväzky z vkladov tých klientov Štátnej pokladnice, ktorí nie sú zaradení v sektore verejnej správy v hodnote 48 163 tis. eur. Podrobnú štruktúru štátneho dlhu podľa pôvodnej splatnosti poskytuje nasledujúci prehľad.</w:t>
      </w:r>
    </w:p>
    <w:p w14:paraId="7BDE0FA7" w14:textId="77777777" w:rsidR="000B6BAD" w:rsidRDefault="000B6BAD">
      <w:pPr>
        <w:spacing w:after="160" w:line="259" w:lineRule="auto"/>
        <w:jc w:val="left"/>
        <w:rPr>
          <w:rFonts w:eastAsia="Times New Roman" w:cs="Times New Roman"/>
          <w:b/>
          <w:bCs/>
          <w:color w:val="5B9BD5"/>
          <w:sz w:val="20"/>
          <w:szCs w:val="20"/>
          <w:lang w:eastAsia="sk-SK"/>
        </w:rPr>
      </w:pPr>
      <w:bookmarkStart w:id="66" w:name="_Toc196313642"/>
      <w:bookmarkStart w:id="67" w:name="_Toc196389263"/>
      <w:r>
        <w:rPr>
          <w:rFonts w:eastAsia="Times New Roman" w:cs="Times New Roman"/>
          <w:b/>
          <w:bCs/>
          <w:i/>
          <w:iCs/>
          <w:color w:val="5B9BD5"/>
          <w:sz w:val="20"/>
          <w:szCs w:val="20"/>
          <w:lang w:eastAsia="sk-SK"/>
        </w:rPr>
        <w:br w:type="page"/>
      </w:r>
    </w:p>
    <w:p w14:paraId="743ECCE9" w14:textId="140179A6" w:rsidR="009423E6" w:rsidRPr="009423E6" w:rsidRDefault="009423E6" w:rsidP="009423E6">
      <w:pPr>
        <w:pStyle w:val="Popis"/>
        <w:keepNext/>
        <w:spacing w:after="120"/>
        <w:rPr>
          <w:rFonts w:eastAsia="Times New Roman" w:cs="Times New Roman"/>
          <w:b/>
          <w:bCs/>
          <w:i w:val="0"/>
          <w:iCs w:val="0"/>
          <w:color w:val="5B9BD5"/>
          <w:sz w:val="20"/>
          <w:szCs w:val="20"/>
          <w:lang w:eastAsia="sk-SK"/>
        </w:rPr>
      </w:pPr>
      <w:r w:rsidRPr="009423E6">
        <w:rPr>
          <w:rFonts w:eastAsia="Times New Roman" w:cs="Times New Roman"/>
          <w:b/>
          <w:bCs/>
          <w:i w:val="0"/>
          <w:iCs w:val="0"/>
          <w:color w:val="5B9BD5"/>
          <w:sz w:val="20"/>
          <w:szCs w:val="20"/>
          <w:lang w:eastAsia="sk-SK"/>
        </w:rPr>
        <w:lastRenderedPageBreak/>
        <w:t xml:space="preserve">Tabuľka </w:t>
      </w:r>
      <w:r w:rsidR="003B7AF0">
        <w:rPr>
          <w:rFonts w:eastAsia="Times New Roman" w:cs="Times New Roman"/>
          <w:b/>
          <w:bCs/>
          <w:i w:val="0"/>
          <w:iCs w:val="0"/>
          <w:color w:val="5B9BD5"/>
          <w:sz w:val="20"/>
          <w:szCs w:val="20"/>
          <w:lang w:eastAsia="sk-SK"/>
        </w:rPr>
        <w:fldChar w:fldCharType="begin"/>
      </w:r>
      <w:r w:rsidR="003B7AF0">
        <w:rPr>
          <w:rFonts w:eastAsia="Times New Roman" w:cs="Times New Roman"/>
          <w:b/>
          <w:bCs/>
          <w:i w:val="0"/>
          <w:iCs w:val="0"/>
          <w:color w:val="5B9BD5"/>
          <w:sz w:val="20"/>
          <w:szCs w:val="20"/>
          <w:lang w:eastAsia="sk-SK"/>
        </w:rPr>
        <w:instrText xml:space="preserve"> SEQ Tabuľka \* ARABIC </w:instrText>
      </w:r>
      <w:r w:rsidR="003B7AF0">
        <w:rPr>
          <w:rFonts w:eastAsia="Times New Roman" w:cs="Times New Roman"/>
          <w:b/>
          <w:bCs/>
          <w:i w:val="0"/>
          <w:iCs w:val="0"/>
          <w:color w:val="5B9BD5"/>
          <w:sz w:val="20"/>
          <w:szCs w:val="20"/>
          <w:lang w:eastAsia="sk-SK"/>
        </w:rPr>
        <w:fldChar w:fldCharType="separate"/>
      </w:r>
      <w:r w:rsidR="00C64CBA">
        <w:rPr>
          <w:rFonts w:eastAsia="Times New Roman" w:cs="Times New Roman"/>
          <w:b/>
          <w:bCs/>
          <w:i w:val="0"/>
          <w:iCs w:val="0"/>
          <w:noProof/>
          <w:color w:val="5B9BD5"/>
          <w:sz w:val="20"/>
          <w:szCs w:val="20"/>
          <w:lang w:eastAsia="sk-SK"/>
        </w:rPr>
        <w:t>16</w:t>
      </w:r>
      <w:r w:rsidR="003B7AF0">
        <w:rPr>
          <w:rFonts w:eastAsia="Times New Roman" w:cs="Times New Roman"/>
          <w:b/>
          <w:bCs/>
          <w:i w:val="0"/>
          <w:iCs w:val="0"/>
          <w:color w:val="5B9BD5"/>
          <w:sz w:val="20"/>
          <w:szCs w:val="20"/>
          <w:lang w:eastAsia="sk-SK"/>
        </w:rPr>
        <w:fldChar w:fldCharType="end"/>
      </w:r>
      <w:r w:rsidRPr="009423E6">
        <w:rPr>
          <w:rFonts w:eastAsia="Times New Roman" w:cs="Times New Roman"/>
          <w:b/>
          <w:bCs/>
          <w:i w:val="0"/>
          <w:iCs w:val="0"/>
          <w:color w:val="5B9BD5"/>
          <w:sz w:val="20"/>
          <w:szCs w:val="20"/>
          <w:lang w:eastAsia="sk-SK"/>
        </w:rPr>
        <w:t xml:space="preserve"> - Štátny dlh podľa pôvodnej splatnosti</w:t>
      </w:r>
      <w:bookmarkEnd w:id="66"/>
      <w:bookmarkEnd w:id="67"/>
    </w:p>
    <w:tbl>
      <w:tblPr>
        <w:tblW w:w="5000" w:type="pct"/>
        <w:tblCellMar>
          <w:left w:w="70" w:type="dxa"/>
          <w:right w:w="70" w:type="dxa"/>
        </w:tblCellMar>
        <w:tblLook w:val="04A0" w:firstRow="1" w:lastRow="0" w:firstColumn="1" w:lastColumn="0" w:noHBand="0" w:noVBand="1"/>
      </w:tblPr>
      <w:tblGrid>
        <w:gridCol w:w="2450"/>
        <w:gridCol w:w="1606"/>
        <w:gridCol w:w="1874"/>
        <w:gridCol w:w="1477"/>
        <w:gridCol w:w="1523"/>
      </w:tblGrid>
      <w:tr w:rsidR="009A05C7" w:rsidRPr="00DE365E" w14:paraId="7C353353" w14:textId="77777777" w:rsidTr="000B6BAD">
        <w:trPr>
          <w:trHeight w:hRule="exact" w:val="289"/>
          <w:tblHeader/>
        </w:trPr>
        <w:tc>
          <w:tcPr>
            <w:tcW w:w="1372" w:type="pct"/>
            <w:vMerge w:val="restart"/>
            <w:tcBorders>
              <w:top w:val="single" w:sz="4" w:space="0" w:color="auto"/>
              <w:left w:val="nil"/>
              <w:bottom w:val="single" w:sz="4" w:space="0" w:color="000000"/>
              <w:right w:val="nil"/>
            </w:tcBorders>
            <w:shd w:val="clear" w:color="auto" w:fill="auto"/>
            <w:vAlign w:val="center"/>
            <w:hideMark/>
          </w:tcPr>
          <w:p w14:paraId="0C4FF276" w14:textId="77777777" w:rsidR="009A05C7" w:rsidRPr="00DE365E" w:rsidRDefault="009A05C7" w:rsidP="000240DA">
            <w:pPr>
              <w:spacing w:after="0" w:line="240" w:lineRule="auto"/>
              <w:rPr>
                <w:rFonts w:eastAsia="Times New Roman" w:cs="Times New Roman"/>
                <w:b/>
                <w:bCs/>
                <w:sz w:val="18"/>
                <w:szCs w:val="18"/>
                <w:lang w:eastAsia="sk-SK"/>
              </w:rPr>
            </w:pPr>
            <w:r w:rsidRPr="00DE365E">
              <w:rPr>
                <w:rFonts w:eastAsia="Times New Roman" w:cs="Times New Roman"/>
                <w:b/>
                <w:bCs/>
                <w:sz w:val="18"/>
                <w:szCs w:val="18"/>
                <w:lang w:eastAsia="sk-SK"/>
              </w:rPr>
              <w:t>v %</w:t>
            </w:r>
          </w:p>
        </w:tc>
        <w:tc>
          <w:tcPr>
            <w:tcW w:w="899" w:type="pct"/>
            <w:vMerge w:val="restart"/>
            <w:tcBorders>
              <w:top w:val="single" w:sz="4" w:space="0" w:color="auto"/>
              <w:left w:val="nil"/>
              <w:bottom w:val="single" w:sz="4" w:space="0" w:color="000000"/>
              <w:right w:val="nil"/>
            </w:tcBorders>
            <w:shd w:val="clear" w:color="auto" w:fill="auto"/>
            <w:vAlign w:val="center"/>
            <w:hideMark/>
          </w:tcPr>
          <w:p w14:paraId="7215460C" w14:textId="77777777" w:rsidR="009A05C7" w:rsidRPr="00DE365E" w:rsidRDefault="009A05C7" w:rsidP="00000ACF">
            <w:pPr>
              <w:spacing w:after="0" w:line="240" w:lineRule="auto"/>
              <w:jc w:val="center"/>
              <w:rPr>
                <w:rFonts w:eastAsia="Times New Roman" w:cs="Times New Roman"/>
                <w:b/>
                <w:bCs/>
                <w:sz w:val="18"/>
                <w:szCs w:val="18"/>
                <w:lang w:eastAsia="sk-SK"/>
              </w:rPr>
            </w:pPr>
            <w:r w:rsidRPr="00DE365E">
              <w:rPr>
                <w:rFonts w:eastAsia="Times New Roman" w:cs="Times New Roman"/>
                <w:b/>
                <w:bCs/>
                <w:sz w:val="18"/>
                <w:szCs w:val="18"/>
                <w:lang w:eastAsia="sk-SK"/>
              </w:rPr>
              <w:t>Štátne dlhopisy a</w:t>
            </w:r>
            <w:r>
              <w:rPr>
                <w:rFonts w:eastAsia="Times New Roman" w:cs="Times New Roman"/>
                <w:b/>
                <w:bCs/>
                <w:sz w:val="18"/>
                <w:szCs w:val="18"/>
                <w:lang w:eastAsia="sk-SK"/>
              </w:rPr>
              <w:t> </w:t>
            </w:r>
            <w:r w:rsidRPr="00DE365E">
              <w:rPr>
                <w:rFonts w:eastAsia="Times New Roman" w:cs="Times New Roman"/>
                <w:b/>
                <w:bCs/>
                <w:sz w:val="18"/>
                <w:szCs w:val="18"/>
                <w:lang w:eastAsia="sk-SK"/>
              </w:rPr>
              <w:t>ŠPP</w:t>
            </w:r>
          </w:p>
        </w:tc>
        <w:tc>
          <w:tcPr>
            <w:tcW w:w="1049" w:type="pct"/>
            <w:vMerge w:val="restart"/>
            <w:tcBorders>
              <w:top w:val="single" w:sz="4" w:space="0" w:color="auto"/>
              <w:left w:val="nil"/>
              <w:bottom w:val="single" w:sz="4" w:space="0" w:color="000000"/>
              <w:right w:val="nil"/>
            </w:tcBorders>
            <w:shd w:val="clear" w:color="auto" w:fill="auto"/>
            <w:vAlign w:val="center"/>
            <w:hideMark/>
          </w:tcPr>
          <w:p w14:paraId="352D2881" w14:textId="77777777" w:rsidR="009A05C7" w:rsidRPr="00DE365E" w:rsidRDefault="009A05C7" w:rsidP="00000ACF">
            <w:pPr>
              <w:spacing w:after="0" w:line="240" w:lineRule="auto"/>
              <w:jc w:val="center"/>
              <w:rPr>
                <w:rFonts w:eastAsia="Times New Roman" w:cs="Times New Roman"/>
                <w:b/>
                <w:bCs/>
                <w:sz w:val="18"/>
                <w:szCs w:val="18"/>
                <w:lang w:eastAsia="sk-SK"/>
              </w:rPr>
            </w:pPr>
            <w:r w:rsidRPr="00DE365E">
              <w:rPr>
                <w:rFonts w:eastAsia="Times New Roman" w:cs="Times New Roman"/>
                <w:b/>
                <w:bCs/>
                <w:sz w:val="18"/>
                <w:szCs w:val="18"/>
                <w:lang w:eastAsia="sk-SK"/>
              </w:rPr>
              <w:t>Bankové úvery a iné pôžičky</w:t>
            </w:r>
          </w:p>
        </w:tc>
        <w:tc>
          <w:tcPr>
            <w:tcW w:w="827" w:type="pct"/>
            <w:vMerge w:val="restart"/>
            <w:tcBorders>
              <w:top w:val="single" w:sz="4" w:space="0" w:color="auto"/>
              <w:left w:val="nil"/>
              <w:bottom w:val="single" w:sz="4" w:space="0" w:color="000000"/>
              <w:right w:val="nil"/>
            </w:tcBorders>
            <w:shd w:val="clear" w:color="auto" w:fill="auto"/>
            <w:vAlign w:val="center"/>
            <w:hideMark/>
          </w:tcPr>
          <w:p w14:paraId="2077B74E" w14:textId="77777777" w:rsidR="009A05C7" w:rsidRPr="00DE365E" w:rsidRDefault="009A05C7" w:rsidP="00000ACF">
            <w:pPr>
              <w:spacing w:after="0" w:line="240" w:lineRule="auto"/>
              <w:jc w:val="center"/>
              <w:rPr>
                <w:rFonts w:eastAsia="Times New Roman" w:cs="Times New Roman"/>
                <w:b/>
                <w:bCs/>
                <w:sz w:val="18"/>
                <w:szCs w:val="18"/>
                <w:lang w:eastAsia="sk-SK"/>
              </w:rPr>
            </w:pPr>
            <w:r w:rsidRPr="00DE365E">
              <w:rPr>
                <w:rFonts w:eastAsia="Times New Roman" w:cs="Times New Roman"/>
                <w:b/>
                <w:bCs/>
                <w:sz w:val="18"/>
                <w:szCs w:val="18"/>
                <w:lang w:eastAsia="sk-SK"/>
              </w:rPr>
              <w:t>Ostatné záväzky</w:t>
            </w:r>
          </w:p>
        </w:tc>
        <w:tc>
          <w:tcPr>
            <w:tcW w:w="853" w:type="pct"/>
            <w:vMerge w:val="restart"/>
            <w:tcBorders>
              <w:top w:val="single" w:sz="4" w:space="0" w:color="auto"/>
              <w:left w:val="nil"/>
              <w:bottom w:val="single" w:sz="4" w:space="0" w:color="000000"/>
              <w:right w:val="nil"/>
            </w:tcBorders>
            <w:shd w:val="clear" w:color="auto" w:fill="auto"/>
            <w:vAlign w:val="center"/>
            <w:hideMark/>
          </w:tcPr>
          <w:p w14:paraId="2BBFE808" w14:textId="77777777" w:rsidR="009A05C7" w:rsidRPr="00DE365E" w:rsidRDefault="009A05C7" w:rsidP="00000ACF">
            <w:pPr>
              <w:spacing w:after="0" w:line="240" w:lineRule="auto"/>
              <w:jc w:val="center"/>
              <w:rPr>
                <w:rFonts w:eastAsia="Times New Roman" w:cs="Times New Roman"/>
                <w:b/>
                <w:bCs/>
                <w:sz w:val="18"/>
                <w:szCs w:val="18"/>
                <w:lang w:eastAsia="sk-SK"/>
              </w:rPr>
            </w:pPr>
            <w:r w:rsidRPr="00DE365E">
              <w:rPr>
                <w:rFonts w:eastAsia="Times New Roman" w:cs="Times New Roman"/>
                <w:b/>
                <w:bCs/>
                <w:sz w:val="18"/>
                <w:szCs w:val="18"/>
                <w:lang w:eastAsia="sk-SK"/>
              </w:rPr>
              <w:t>Spolu</w:t>
            </w:r>
          </w:p>
        </w:tc>
      </w:tr>
      <w:tr w:rsidR="009A05C7" w:rsidRPr="00DE365E" w14:paraId="6EFA99E1" w14:textId="77777777" w:rsidTr="000B6BAD">
        <w:trPr>
          <w:trHeight w:val="433"/>
        </w:trPr>
        <w:tc>
          <w:tcPr>
            <w:tcW w:w="1372" w:type="pct"/>
            <w:vMerge/>
            <w:tcBorders>
              <w:top w:val="single" w:sz="4" w:space="0" w:color="auto"/>
              <w:left w:val="nil"/>
              <w:bottom w:val="single" w:sz="4" w:space="0" w:color="000000"/>
              <w:right w:val="nil"/>
            </w:tcBorders>
            <w:vAlign w:val="center"/>
            <w:hideMark/>
          </w:tcPr>
          <w:p w14:paraId="1FFEEEBD" w14:textId="77777777" w:rsidR="009A05C7" w:rsidRPr="00DE365E" w:rsidRDefault="009A05C7" w:rsidP="000240DA">
            <w:pPr>
              <w:spacing w:after="0" w:line="240" w:lineRule="auto"/>
              <w:jc w:val="left"/>
              <w:rPr>
                <w:rFonts w:eastAsia="Times New Roman" w:cs="Times New Roman"/>
                <w:b/>
                <w:bCs/>
                <w:sz w:val="18"/>
                <w:szCs w:val="18"/>
                <w:lang w:eastAsia="sk-SK"/>
              </w:rPr>
            </w:pPr>
          </w:p>
        </w:tc>
        <w:tc>
          <w:tcPr>
            <w:tcW w:w="899" w:type="pct"/>
            <w:vMerge/>
            <w:tcBorders>
              <w:top w:val="single" w:sz="4" w:space="0" w:color="auto"/>
              <w:left w:val="nil"/>
              <w:bottom w:val="single" w:sz="4" w:space="0" w:color="000000"/>
              <w:right w:val="nil"/>
            </w:tcBorders>
            <w:vAlign w:val="center"/>
            <w:hideMark/>
          </w:tcPr>
          <w:p w14:paraId="12199E9B" w14:textId="77777777" w:rsidR="009A05C7" w:rsidRPr="00DE365E" w:rsidRDefault="009A05C7" w:rsidP="000240DA">
            <w:pPr>
              <w:spacing w:after="0" w:line="240" w:lineRule="auto"/>
              <w:jc w:val="left"/>
              <w:rPr>
                <w:rFonts w:eastAsia="Times New Roman" w:cs="Times New Roman"/>
                <w:b/>
                <w:bCs/>
                <w:sz w:val="18"/>
                <w:szCs w:val="18"/>
                <w:lang w:eastAsia="sk-SK"/>
              </w:rPr>
            </w:pPr>
          </w:p>
        </w:tc>
        <w:tc>
          <w:tcPr>
            <w:tcW w:w="1049" w:type="pct"/>
            <w:vMerge/>
            <w:tcBorders>
              <w:top w:val="single" w:sz="4" w:space="0" w:color="auto"/>
              <w:left w:val="nil"/>
              <w:bottom w:val="single" w:sz="4" w:space="0" w:color="000000"/>
              <w:right w:val="nil"/>
            </w:tcBorders>
            <w:vAlign w:val="center"/>
            <w:hideMark/>
          </w:tcPr>
          <w:p w14:paraId="7BE660E5" w14:textId="77777777" w:rsidR="009A05C7" w:rsidRPr="00DE365E" w:rsidRDefault="009A05C7" w:rsidP="000240DA">
            <w:pPr>
              <w:spacing w:after="0" w:line="240" w:lineRule="auto"/>
              <w:jc w:val="left"/>
              <w:rPr>
                <w:rFonts w:eastAsia="Times New Roman" w:cs="Times New Roman"/>
                <w:b/>
                <w:bCs/>
                <w:sz w:val="18"/>
                <w:szCs w:val="18"/>
                <w:lang w:eastAsia="sk-SK"/>
              </w:rPr>
            </w:pPr>
          </w:p>
        </w:tc>
        <w:tc>
          <w:tcPr>
            <w:tcW w:w="827" w:type="pct"/>
            <w:vMerge/>
            <w:tcBorders>
              <w:top w:val="single" w:sz="4" w:space="0" w:color="auto"/>
              <w:left w:val="nil"/>
              <w:bottom w:val="single" w:sz="4" w:space="0" w:color="000000"/>
              <w:right w:val="nil"/>
            </w:tcBorders>
            <w:vAlign w:val="center"/>
            <w:hideMark/>
          </w:tcPr>
          <w:p w14:paraId="5020210F" w14:textId="77777777" w:rsidR="009A05C7" w:rsidRPr="00DE365E" w:rsidRDefault="009A05C7" w:rsidP="000240DA">
            <w:pPr>
              <w:spacing w:after="0" w:line="240" w:lineRule="auto"/>
              <w:jc w:val="left"/>
              <w:rPr>
                <w:rFonts w:eastAsia="Times New Roman" w:cs="Times New Roman"/>
                <w:b/>
                <w:bCs/>
                <w:sz w:val="18"/>
                <w:szCs w:val="18"/>
                <w:lang w:eastAsia="sk-SK"/>
              </w:rPr>
            </w:pPr>
          </w:p>
        </w:tc>
        <w:tc>
          <w:tcPr>
            <w:tcW w:w="853" w:type="pct"/>
            <w:vMerge/>
            <w:tcBorders>
              <w:top w:val="single" w:sz="4" w:space="0" w:color="auto"/>
              <w:left w:val="nil"/>
              <w:bottom w:val="single" w:sz="4" w:space="0" w:color="000000"/>
              <w:right w:val="nil"/>
            </w:tcBorders>
            <w:vAlign w:val="center"/>
            <w:hideMark/>
          </w:tcPr>
          <w:p w14:paraId="7BA11DA1" w14:textId="77777777" w:rsidR="009A05C7" w:rsidRPr="00DE365E" w:rsidRDefault="009A05C7" w:rsidP="000240DA">
            <w:pPr>
              <w:spacing w:after="0" w:line="240" w:lineRule="auto"/>
              <w:jc w:val="left"/>
              <w:rPr>
                <w:rFonts w:eastAsia="Times New Roman" w:cs="Times New Roman"/>
                <w:b/>
                <w:bCs/>
                <w:sz w:val="18"/>
                <w:szCs w:val="18"/>
                <w:lang w:eastAsia="sk-SK"/>
              </w:rPr>
            </w:pPr>
          </w:p>
        </w:tc>
      </w:tr>
      <w:tr w:rsidR="009A05C7" w:rsidRPr="00DE365E" w14:paraId="75A8E14E" w14:textId="77777777" w:rsidTr="00000ACF">
        <w:trPr>
          <w:trHeight w:val="290"/>
        </w:trPr>
        <w:tc>
          <w:tcPr>
            <w:tcW w:w="1372" w:type="pct"/>
            <w:tcBorders>
              <w:top w:val="nil"/>
              <w:left w:val="nil"/>
              <w:bottom w:val="nil"/>
              <w:right w:val="nil"/>
            </w:tcBorders>
            <w:shd w:val="clear" w:color="auto" w:fill="auto"/>
            <w:noWrap/>
            <w:vAlign w:val="bottom"/>
            <w:hideMark/>
          </w:tcPr>
          <w:p w14:paraId="1EEE3843" w14:textId="77777777" w:rsidR="009A05C7" w:rsidRPr="00DE365E" w:rsidRDefault="009A05C7" w:rsidP="000240DA">
            <w:pPr>
              <w:spacing w:after="0" w:line="240" w:lineRule="auto"/>
              <w:jc w:val="left"/>
              <w:rPr>
                <w:rFonts w:eastAsia="Times New Roman" w:cs="Times New Roman"/>
                <w:sz w:val="18"/>
                <w:szCs w:val="18"/>
                <w:lang w:eastAsia="sk-SK"/>
              </w:rPr>
            </w:pPr>
            <w:r w:rsidRPr="00DE365E">
              <w:rPr>
                <w:rFonts w:eastAsia="Times New Roman" w:cs="Times New Roman"/>
                <w:sz w:val="18"/>
                <w:szCs w:val="18"/>
                <w:lang w:eastAsia="sk-SK"/>
              </w:rPr>
              <w:t>Do 1 roka</w:t>
            </w:r>
          </w:p>
        </w:tc>
        <w:tc>
          <w:tcPr>
            <w:tcW w:w="899" w:type="pct"/>
            <w:tcBorders>
              <w:top w:val="nil"/>
              <w:left w:val="nil"/>
              <w:bottom w:val="nil"/>
              <w:right w:val="nil"/>
            </w:tcBorders>
            <w:shd w:val="clear" w:color="auto" w:fill="auto"/>
            <w:noWrap/>
            <w:vAlign w:val="bottom"/>
            <w:hideMark/>
          </w:tcPr>
          <w:p w14:paraId="33F12EFE" w14:textId="77777777" w:rsidR="009A05C7" w:rsidRPr="00DE365E" w:rsidRDefault="009A05C7" w:rsidP="000240DA">
            <w:pPr>
              <w:spacing w:after="0" w:line="240" w:lineRule="auto"/>
              <w:jc w:val="right"/>
              <w:rPr>
                <w:rFonts w:eastAsia="Times New Roman" w:cs="Times New Roman"/>
                <w:sz w:val="18"/>
                <w:szCs w:val="18"/>
                <w:lang w:eastAsia="sk-SK"/>
              </w:rPr>
            </w:pPr>
            <w:r w:rsidRPr="00DE365E">
              <w:rPr>
                <w:rFonts w:eastAsia="Times New Roman" w:cs="Times New Roman"/>
                <w:sz w:val="18"/>
                <w:szCs w:val="18"/>
                <w:lang w:eastAsia="sk-SK"/>
              </w:rPr>
              <w:t>0,0</w:t>
            </w:r>
          </w:p>
        </w:tc>
        <w:tc>
          <w:tcPr>
            <w:tcW w:w="1049" w:type="pct"/>
            <w:tcBorders>
              <w:top w:val="nil"/>
              <w:left w:val="nil"/>
              <w:bottom w:val="nil"/>
              <w:right w:val="nil"/>
            </w:tcBorders>
            <w:shd w:val="clear" w:color="auto" w:fill="auto"/>
            <w:noWrap/>
            <w:vAlign w:val="bottom"/>
            <w:hideMark/>
          </w:tcPr>
          <w:p w14:paraId="46A49925" w14:textId="77777777" w:rsidR="009A05C7" w:rsidRPr="00DE365E" w:rsidRDefault="009A05C7" w:rsidP="000240DA">
            <w:pPr>
              <w:spacing w:after="0" w:line="240" w:lineRule="auto"/>
              <w:jc w:val="right"/>
              <w:rPr>
                <w:rFonts w:eastAsia="Times New Roman" w:cs="Times New Roman"/>
                <w:sz w:val="18"/>
                <w:szCs w:val="18"/>
                <w:lang w:eastAsia="sk-SK"/>
              </w:rPr>
            </w:pPr>
            <w:r w:rsidRPr="00DE365E">
              <w:rPr>
                <w:rFonts w:eastAsia="Times New Roman" w:cs="Times New Roman"/>
                <w:sz w:val="18"/>
                <w:szCs w:val="18"/>
                <w:lang w:eastAsia="sk-SK"/>
              </w:rPr>
              <w:t>0,0</w:t>
            </w:r>
          </w:p>
        </w:tc>
        <w:tc>
          <w:tcPr>
            <w:tcW w:w="827" w:type="pct"/>
            <w:tcBorders>
              <w:top w:val="nil"/>
              <w:left w:val="nil"/>
              <w:bottom w:val="nil"/>
              <w:right w:val="nil"/>
            </w:tcBorders>
            <w:shd w:val="clear" w:color="auto" w:fill="auto"/>
            <w:noWrap/>
            <w:vAlign w:val="bottom"/>
            <w:hideMark/>
          </w:tcPr>
          <w:p w14:paraId="3393F63C" w14:textId="77777777" w:rsidR="009A05C7" w:rsidRPr="00DE365E" w:rsidRDefault="009A05C7" w:rsidP="000240DA">
            <w:pPr>
              <w:spacing w:after="0" w:line="240" w:lineRule="auto"/>
              <w:jc w:val="right"/>
              <w:rPr>
                <w:rFonts w:eastAsia="Times New Roman" w:cs="Times New Roman"/>
                <w:sz w:val="18"/>
                <w:szCs w:val="18"/>
                <w:lang w:eastAsia="sk-SK"/>
              </w:rPr>
            </w:pPr>
            <w:r w:rsidRPr="00DE365E">
              <w:rPr>
                <w:rFonts w:eastAsia="Times New Roman" w:cs="Times New Roman"/>
                <w:sz w:val="18"/>
                <w:szCs w:val="18"/>
                <w:lang w:eastAsia="sk-SK"/>
              </w:rPr>
              <w:t>88,0</w:t>
            </w:r>
          </w:p>
        </w:tc>
        <w:tc>
          <w:tcPr>
            <w:tcW w:w="853" w:type="pct"/>
            <w:tcBorders>
              <w:top w:val="nil"/>
              <w:left w:val="nil"/>
              <w:bottom w:val="nil"/>
              <w:right w:val="nil"/>
            </w:tcBorders>
            <w:shd w:val="clear" w:color="auto" w:fill="auto"/>
            <w:noWrap/>
            <w:vAlign w:val="bottom"/>
            <w:hideMark/>
          </w:tcPr>
          <w:p w14:paraId="4E5A34D0" w14:textId="77777777" w:rsidR="009A05C7" w:rsidRPr="00DE365E" w:rsidRDefault="009A05C7" w:rsidP="000240DA">
            <w:pPr>
              <w:spacing w:after="0" w:line="240" w:lineRule="auto"/>
              <w:jc w:val="right"/>
              <w:rPr>
                <w:rFonts w:eastAsia="Times New Roman" w:cs="Times New Roman"/>
                <w:sz w:val="18"/>
                <w:szCs w:val="18"/>
                <w:lang w:eastAsia="sk-SK"/>
              </w:rPr>
            </w:pPr>
            <w:r w:rsidRPr="00DE365E">
              <w:rPr>
                <w:rFonts w:eastAsia="Times New Roman" w:cs="Times New Roman"/>
                <w:sz w:val="18"/>
                <w:szCs w:val="18"/>
                <w:lang w:eastAsia="sk-SK"/>
              </w:rPr>
              <w:t>0,4</w:t>
            </w:r>
          </w:p>
        </w:tc>
      </w:tr>
      <w:tr w:rsidR="009A05C7" w:rsidRPr="00DE365E" w14:paraId="61457190" w14:textId="77777777" w:rsidTr="00000ACF">
        <w:trPr>
          <w:trHeight w:val="290"/>
        </w:trPr>
        <w:tc>
          <w:tcPr>
            <w:tcW w:w="1372" w:type="pct"/>
            <w:tcBorders>
              <w:top w:val="nil"/>
              <w:left w:val="nil"/>
              <w:bottom w:val="nil"/>
              <w:right w:val="nil"/>
            </w:tcBorders>
            <w:shd w:val="clear" w:color="auto" w:fill="auto"/>
            <w:noWrap/>
            <w:vAlign w:val="bottom"/>
            <w:hideMark/>
          </w:tcPr>
          <w:p w14:paraId="6AD8740E" w14:textId="77777777" w:rsidR="009A05C7" w:rsidRPr="00DE365E" w:rsidRDefault="009A05C7" w:rsidP="000240DA">
            <w:pPr>
              <w:spacing w:after="0" w:line="240" w:lineRule="auto"/>
              <w:jc w:val="left"/>
              <w:rPr>
                <w:rFonts w:eastAsia="Times New Roman" w:cs="Times New Roman"/>
                <w:sz w:val="18"/>
                <w:szCs w:val="18"/>
                <w:lang w:eastAsia="sk-SK"/>
              </w:rPr>
            </w:pPr>
            <w:r w:rsidRPr="00DE365E">
              <w:rPr>
                <w:rFonts w:eastAsia="Times New Roman" w:cs="Times New Roman"/>
                <w:sz w:val="18"/>
                <w:szCs w:val="18"/>
                <w:lang w:eastAsia="sk-SK"/>
              </w:rPr>
              <w:t>Do 5 rokov</w:t>
            </w:r>
          </w:p>
        </w:tc>
        <w:tc>
          <w:tcPr>
            <w:tcW w:w="899" w:type="pct"/>
            <w:tcBorders>
              <w:top w:val="nil"/>
              <w:left w:val="nil"/>
              <w:bottom w:val="nil"/>
              <w:right w:val="nil"/>
            </w:tcBorders>
            <w:shd w:val="clear" w:color="auto" w:fill="auto"/>
            <w:noWrap/>
            <w:vAlign w:val="bottom"/>
            <w:hideMark/>
          </w:tcPr>
          <w:p w14:paraId="0CE92DB5" w14:textId="77777777" w:rsidR="009A05C7" w:rsidRPr="00DE365E" w:rsidRDefault="009A05C7" w:rsidP="000240DA">
            <w:pPr>
              <w:spacing w:after="0" w:line="240" w:lineRule="auto"/>
              <w:jc w:val="right"/>
              <w:rPr>
                <w:rFonts w:eastAsia="Times New Roman" w:cs="Times New Roman"/>
                <w:sz w:val="18"/>
                <w:szCs w:val="18"/>
                <w:lang w:eastAsia="sk-SK"/>
              </w:rPr>
            </w:pPr>
            <w:r w:rsidRPr="00DE365E">
              <w:rPr>
                <w:rFonts w:eastAsia="Times New Roman" w:cs="Times New Roman"/>
                <w:sz w:val="18"/>
                <w:szCs w:val="18"/>
                <w:lang w:eastAsia="sk-SK"/>
              </w:rPr>
              <w:t>4,2</w:t>
            </w:r>
          </w:p>
        </w:tc>
        <w:tc>
          <w:tcPr>
            <w:tcW w:w="1049" w:type="pct"/>
            <w:tcBorders>
              <w:top w:val="nil"/>
              <w:left w:val="nil"/>
              <w:bottom w:val="nil"/>
              <w:right w:val="nil"/>
            </w:tcBorders>
            <w:shd w:val="clear" w:color="auto" w:fill="auto"/>
            <w:noWrap/>
            <w:vAlign w:val="bottom"/>
            <w:hideMark/>
          </w:tcPr>
          <w:p w14:paraId="688B2C87" w14:textId="77777777" w:rsidR="009A05C7" w:rsidRPr="00DE365E" w:rsidRDefault="009A05C7" w:rsidP="000240DA">
            <w:pPr>
              <w:spacing w:after="0" w:line="240" w:lineRule="auto"/>
              <w:jc w:val="right"/>
              <w:rPr>
                <w:rFonts w:eastAsia="Times New Roman" w:cs="Times New Roman"/>
                <w:sz w:val="18"/>
                <w:szCs w:val="18"/>
                <w:lang w:eastAsia="sk-SK"/>
              </w:rPr>
            </w:pPr>
            <w:r w:rsidRPr="00DE365E">
              <w:rPr>
                <w:rFonts w:eastAsia="Times New Roman" w:cs="Times New Roman"/>
                <w:sz w:val="18"/>
                <w:szCs w:val="18"/>
                <w:lang w:eastAsia="sk-SK"/>
              </w:rPr>
              <w:t>0,0</w:t>
            </w:r>
          </w:p>
        </w:tc>
        <w:tc>
          <w:tcPr>
            <w:tcW w:w="827" w:type="pct"/>
            <w:tcBorders>
              <w:top w:val="nil"/>
              <w:left w:val="nil"/>
              <w:bottom w:val="nil"/>
              <w:right w:val="nil"/>
            </w:tcBorders>
            <w:shd w:val="clear" w:color="auto" w:fill="auto"/>
            <w:noWrap/>
            <w:vAlign w:val="bottom"/>
            <w:hideMark/>
          </w:tcPr>
          <w:p w14:paraId="3E382497" w14:textId="77777777" w:rsidR="009A05C7" w:rsidRPr="00DE365E" w:rsidRDefault="009A05C7" w:rsidP="000240DA">
            <w:pPr>
              <w:spacing w:after="0" w:line="240" w:lineRule="auto"/>
              <w:jc w:val="right"/>
              <w:rPr>
                <w:rFonts w:eastAsia="Times New Roman" w:cs="Times New Roman"/>
                <w:sz w:val="18"/>
                <w:szCs w:val="18"/>
                <w:lang w:eastAsia="sk-SK"/>
              </w:rPr>
            </w:pPr>
            <w:r w:rsidRPr="00DE365E">
              <w:rPr>
                <w:rFonts w:eastAsia="Times New Roman" w:cs="Times New Roman"/>
                <w:sz w:val="18"/>
                <w:szCs w:val="18"/>
                <w:lang w:eastAsia="sk-SK"/>
              </w:rPr>
              <w:t>12,0</w:t>
            </w:r>
          </w:p>
        </w:tc>
        <w:tc>
          <w:tcPr>
            <w:tcW w:w="853" w:type="pct"/>
            <w:tcBorders>
              <w:top w:val="nil"/>
              <w:left w:val="nil"/>
              <w:bottom w:val="nil"/>
              <w:right w:val="nil"/>
            </w:tcBorders>
            <w:shd w:val="clear" w:color="auto" w:fill="auto"/>
            <w:noWrap/>
            <w:vAlign w:val="bottom"/>
            <w:hideMark/>
          </w:tcPr>
          <w:p w14:paraId="0AE07DC4" w14:textId="77777777" w:rsidR="009A05C7" w:rsidRPr="00DE365E" w:rsidRDefault="009A05C7" w:rsidP="000240DA">
            <w:pPr>
              <w:spacing w:after="0" w:line="240" w:lineRule="auto"/>
              <w:jc w:val="right"/>
              <w:rPr>
                <w:rFonts w:eastAsia="Times New Roman" w:cs="Times New Roman"/>
                <w:sz w:val="18"/>
                <w:szCs w:val="18"/>
                <w:lang w:eastAsia="sk-SK"/>
              </w:rPr>
            </w:pPr>
            <w:r w:rsidRPr="00DE365E">
              <w:rPr>
                <w:rFonts w:eastAsia="Times New Roman" w:cs="Times New Roman"/>
                <w:sz w:val="18"/>
                <w:szCs w:val="18"/>
                <w:lang w:eastAsia="sk-SK"/>
              </w:rPr>
              <w:t>3,9</w:t>
            </w:r>
          </w:p>
        </w:tc>
      </w:tr>
      <w:tr w:rsidR="009A05C7" w:rsidRPr="00DE365E" w14:paraId="218E2763" w14:textId="77777777" w:rsidTr="00000ACF">
        <w:trPr>
          <w:trHeight w:val="290"/>
        </w:trPr>
        <w:tc>
          <w:tcPr>
            <w:tcW w:w="1372" w:type="pct"/>
            <w:tcBorders>
              <w:top w:val="nil"/>
              <w:left w:val="nil"/>
              <w:bottom w:val="nil"/>
              <w:right w:val="nil"/>
            </w:tcBorders>
            <w:shd w:val="clear" w:color="auto" w:fill="auto"/>
            <w:noWrap/>
            <w:vAlign w:val="bottom"/>
            <w:hideMark/>
          </w:tcPr>
          <w:p w14:paraId="40228558" w14:textId="77777777" w:rsidR="009A05C7" w:rsidRPr="00DE365E" w:rsidRDefault="009A05C7" w:rsidP="000240DA">
            <w:pPr>
              <w:spacing w:after="0" w:line="240" w:lineRule="auto"/>
              <w:jc w:val="left"/>
              <w:rPr>
                <w:rFonts w:eastAsia="Times New Roman" w:cs="Times New Roman"/>
                <w:sz w:val="18"/>
                <w:szCs w:val="18"/>
                <w:lang w:eastAsia="sk-SK"/>
              </w:rPr>
            </w:pPr>
            <w:r w:rsidRPr="00DE365E">
              <w:rPr>
                <w:rFonts w:eastAsia="Times New Roman" w:cs="Times New Roman"/>
                <w:sz w:val="18"/>
                <w:szCs w:val="18"/>
                <w:lang w:eastAsia="sk-SK"/>
              </w:rPr>
              <w:t>Do 7 rokov</w:t>
            </w:r>
          </w:p>
        </w:tc>
        <w:tc>
          <w:tcPr>
            <w:tcW w:w="899" w:type="pct"/>
            <w:tcBorders>
              <w:top w:val="nil"/>
              <w:left w:val="nil"/>
              <w:bottom w:val="nil"/>
              <w:right w:val="nil"/>
            </w:tcBorders>
            <w:shd w:val="clear" w:color="auto" w:fill="auto"/>
            <w:noWrap/>
            <w:vAlign w:val="bottom"/>
            <w:hideMark/>
          </w:tcPr>
          <w:p w14:paraId="07624741" w14:textId="77777777" w:rsidR="009A05C7" w:rsidRPr="00DE365E" w:rsidRDefault="009A05C7" w:rsidP="000240DA">
            <w:pPr>
              <w:spacing w:after="0" w:line="240" w:lineRule="auto"/>
              <w:jc w:val="right"/>
              <w:rPr>
                <w:rFonts w:eastAsia="Times New Roman" w:cs="Times New Roman"/>
                <w:sz w:val="18"/>
                <w:szCs w:val="18"/>
                <w:lang w:eastAsia="sk-SK"/>
              </w:rPr>
            </w:pPr>
            <w:r w:rsidRPr="00DE365E">
              <w:rPr>
                <w:rFonts w:eastAsia="Times New Roman" w:cs="Times New Roman"/>
                <w:sz w:val="18"/>
                <w:szCs w:val="18"/>
                <w:lang w:eastAsia="sk-SK"/>
              </w:rPr>
              <w:t>4,1</w:t>
            </w:r>
          </w:p>
        </w:tc>
        <w:tc>
          <w:tcPr>
            <w:tcW w:w="1049" w:type="pct"/>
            <w:tcBorders>
              <w:top w:val="nil"/>
              <w:left w:val="nil"/>
              <w:bottom w:val="nil"/>
              <w:right w:val="nil"/>
            </w:tcBorders>
            <w:shd w:val="clear" w:color="auto" w:fill="auto"/>
            <w:noWrap/>
            <w:vAlign w:val="bottom"/>
            <w:hideMark/>
          </w:tcPr>
          <w:p w14:paraId="60544AA0" w14:textId="77777777" w:rsidR="009A05C7" w:rsidRPr="00DE365E" w:rsidRDefault="009A05C7" w:rsidP="000240DA">
            <w:pPr>
              <w:spacing w:after="0" w:line="240" w:lineRule="auto"/>
              <w:jc w:val="right"/>
              <w:rPr>
                <w:rFonts w:eastAsia="Times New Roman" w:cs="Times New Roman"/>
                <w:sz w:val="18"/>
                <w:szCs w:val="18"/>
                <w:lang w:eastAsia="sk-SK"/>
              </w:rPr>
            </w:pPr>
            <w:r w:rsidRPr="00DE365E">
              <w:rPr>
                <w:rFonts w:eastAsia="Times New Roman" w:cs="Times New Roman"/>
                <w:sz w:val="18"/>
                <w:szCs w:val="18"/>
                <w:lang w:eastAsia="sk-SK"/>
              </w:rPr>
              <w:t>9,2</w:t>
            </w:r>
          </w:p>
        </w:tc>
        <w:tc>
          <w:tcPr>
            <w:tcW w:w="827" w:type="pct"/>
            <w:tcBorders>
              <w:top w:val="nil"/>
              <w:left w:val="nil"/>
              <w:bottom w:val="nil"/>
              <w:right w:val="nil"/>
            </w:tcBorders>
            <w:shd w:val="clear" w:color="auto" w:fill="auto"/>
            <w:noWrap/>
            <w:vAlign w:val="bottom"/>
            <w:hideMark/>
          </w:tcPr>
          <w:p w14:paraId="1CBFB6F1" w14:textId="77777777" w:rsidR="009A05C7" w:rsidRPr="00DE365E" w:rsidRDefault="009A05C7" w:rsidP="000240DA">
            <w:pPr>
              <w:spacing w:after="0" w:line="240" w:lineRule="auto"/>
              <w:jc w:val="right"/>
              <w:rPr>
                <w:rFonts w:eastAsia="Times New Roman" w:cs="Times New Roman"/>
                <w:sz w:val="18"/>
                <w:szCs w:val="18"/>
                <w:lang w:eastAsia="sk-SK"/>
              </w:rPr>
            </w:pPr>
            <w:r w:rsidRPr="00DE365E">
              <w:rPr>
                <w:rFonts w:eastAsia="Times New Roman" w:cs="Times New Roman"/>
                <w:sz w:val="18"/>
                <w:szCs w:val="18"/>
                <w:lang w:eastAsia="sk-SK"/>
              </w:rPr>
              <w:t>0,0</w:t>
            </w:r>
          </w:p>
        </w:tc>
        <w:tc>
          <w:tcPr>
            <w:tcW w:w="853" w:type="pct"/>
            <w:tcBorders>
              <w:top w:val="nil"/>
              <w:left w:val="nil"/>
              <w:bottom w:val="nil"/>
              <w:right w:val="nil"/>
            </w:tcBorders>
            <w:shd w:val="clear" w:color="auto" w:fill="auto"/>
            <w:noWrap/>
            <w:vAlign w:val="bottom"/>
            <w:hideMark/>
          </w:tcPr>
          <w:p w14:paraId="01D9F4BA" w14:textId="77777777" w:rsidR="009A05C7" w:rsidRPr="00DE365E" w:rsidRDefault="009A05C7" w:rsidP="000240DA">
            <w:pPr>
              <w:spacing w:after="0" w:line="240" w:lineRule="auto"/>
              <w:jc w:val="right"/>
              <w:rPr>
                <w:rFonts w:eastAsia="Times New Roman" w:cs="Times New Roman"/>
                <w:sz w:val="18"/>
                <w:szCs w:val="18"/>
                <w:lang w:eastAsia="sk-SK"/>
              </w:rPr>
            </w:pPr>
            <w:r w:rsidRPr="00DE365E">
              <w:rPr>
                <w:rFonts w:eastAsia="Times New Roman" w:cs="Times New Roman"/>
                <w:sz w:val="18"/>
                <w:szCs w:val="18"/>
                <w:lang w:eastAsia="sk-SK"/>
              </w:rPr>
              <w:t>4,5</w:t>
            </w:r>
          </w:p>
        </w:tc>
      </w:tr>
      <w:tr w:rsidR="009A05C7" w:rsidRPr="00DE365E" w14:paraId="7C2A6232" w14:textId="77777777" w:rsidTr="00000ACF">
        <w:trPr>
          <w:trHeight w:val="290"/>
        </w:trPr>
        <w:tc>
          <w:tcPr>
            <w:tcW w:w="1372" w:type="pct"/>
            <w:tcBorders>
              <w:top w:val="nil"/>
              <w:left w:val="nil"/>
              <w:bottom w:val="nil"/>
              <w:right w:val="nil"/>
            </w:tcBorders>
            <w:shd w:val="clear" w:color="auto" w:fill="auto"/>
            <w:noWrap/>
            <w:vAlign w:val="bottom"/>
            <w:hideMark/>
          </w:tcPr>
          <w:p w14:paraId="6589D410" w14:textId="77777777" w:rsidR="009A05C7" w:rsidRPr="00DE365E" w:rsidRDefault="009A05C7" w:rsidP="000240DA">
            <w:pPr>
              <w:spacing w:after="0" w:line="240" w:lineRule="auto"/>
              <w:jc w:val="left"/>
              <w:rPr>
                <w:rFonts w:eastAsia="Times New Roman" w:cs="Times New Roman"/>
                <w:sz w:val="18"/>
                <w:szCs w:val="18"/>
                <w:lang w:eastAsia="sk-SK"/>
              </w:rPr>
            </w:pPr>
            <w:r w:rsidRPr="00DE365E">
              <w:rPr>
                <w:rFonts w:eastAsia="Times New Roman" w:cs="Times New Roman"/>
                <w:sz w:val="18"/>
                <w:szCs w:val="18"/>
                <w:lang w:eastAsia="sk-SK"/>
              </w:rPr>
              <w:t>Do 10 rokov</w:t>
            </w:r>
          </w:p>
        </w:tc>
        <w:tc>
          <w:tcPr>
            <w:tcW w:w="899" w:type="pct"/>
            <w:tcBorders>
              <w:top w:val="nil"/>
              <w:left w:val="nil"/>
              <w:bottom w:val="nil"/>
              <w:right w:val="nil"/>
            </w:tcBorders>
            <w:shd w:val="clear" w:color="auto" w:fill="auto"/>
            <w:noWrap/>
            <w:vAlign w:val="bottom"/>
            <w:hideMark/>
          </w:tcPr>
          <w:p w14:paraId="73994526" w14:textId="77777777" w:rsidR="009A05C7" w:rsidRPr="00DE365E" w:rsidRDefault="009A05C7" w:rsidP="000240DA">
            <w:pPr>
              <w:spacing w:after="0" w:line="240" w:lineRule="auto"/>
              <w:jc w:val="right"/>
              <w:rPr>
                <w:rFonts w:eastAsia="Times New Roman" w:cs="Times New Roman"/>
                <w:sz w:val="18"/>
                <w:szCs w:val="18"/>
                <w:lang w:eastAsia="sk-SK"/>
              </w:rPr>
            </w:pPr>
            <w:r w:rsidRPr="00DE365E">
              <w:rPr>
                <w:rFonts w:eastAsia="Times New Roman" w:cs="Times New Roman"/>
                <w:sz w:val="18"/>
                <w:szCs w:val="18"/>
                <w:lang w:eastAsia="sk-SK"/>
              </w:rPr>
              <w:t>7,9</w:t>
            </w:r>
          </w:p>
        </w:tc>
        <w:tc>
          <w:tcPr>
            <w:tcW w:w="1049" w:type="pct"/>
            <w:tcBorders>
              <w:top w:val="nil"/>
              <w:left w:val="nil"/>
              <w:bottom w:val="nil"/>
              <w:right w:val="nil"/>
            </w:tcBorders>
            <w:shd w:val="clear" w:color="auto" w:fill="auto"/>
            <w:noWrap/>
            <w:vAlign w:val="bottom"/>
            <w:hideMark/>
          </w:tcPr>
          <w:p w14:paraId="59FEACC1" w14:textId="77777777" w:rsidR="009A05C7" w:rsidRPr="00DE365E" w:rsidRDefault="009A05C7" w:rsidP="000240DA">
            <w:pPr>
              <w:spacing w:after="0" w:line="240" w:lineRule="auto"/>
              <w:jc w:val="right"/>
              <w:rPr>
                <w:rFonts w:eastAsia="Times New Roman" w:cs="Times New Roman"/>
                <w:sz w:val="18"/>
                <w:szCs w:val="18"/>
                <w:lang w:eastAsia="sk-SK"/>
              </w:rPr>
            </w:pPr>
            <w:r w:rsidRPr="00DE365E">
              <w:rPr>
                <w:rFonts w:eastAsia="Times New Roman" w:cs="Times New Roman"/>
                <w:sz w:val="18"/>
                <w:szCs w:val="18"/>
                <w:lang w:eastAsia="sk-SK"/>
              </w:rPr>
              <w:t>4,4</w:t>
            </w:r>
          </w:p>
        </w:tc>
        <w:tc>
          <w:tcPr>
            <w:tcW w:w="827" w:type="pct"/>
            <w:tcBorders>
              <w:top w:val="nil"/>
              <w:left w:val="nil"/>
              <w:bottom w:val="nil"/>
              <w:right w:val="nil"/>
            </w:tcBorders>
            <w:shd w:val="clear" w:color="auto" w:fill="auto"/>
            <w:noWrap/>
            <w:vAlign w:val="bottom"/>
            <w:hideMark/>
          </w:tcPr>
          <w:p w14:paraId="1A363BF6" w14:textId="77777777" w:rsidR="009A05C7" w:rsidRPr="00DE365E" w:rsidRDefault="009A05C7" w:rsidP="000240DA">
            <w:pPr>
              <w:spacing w:after="0" w:line="240" w:lineRule="auto"/>
              <w:jc w:val="right"/>
              <w:rPr>
                <w:rFonts w:eastAsia="Times New Roman" w:cs="Times New Roman"/>
                <w:sz w:val="18"/>
                <w:szCs w:val="18"/>
                <w:lang w:eastAsia="sk-SK"/>
              </w:rPr>
            </w:pPr>
            <w:r w:rsidRPr="00DE365E">
              <w:rPr>
                <w:rFonts w:eastAsia="Times New Roman" w:cs="Times New Roman"/>
                <w:sz w:val="18"/>
                <w:szCs w:val="18"/>
                <w:lang w:eastAsia="sk-SK"/>
              </w:rPr>
              <w:t>0,0</w:t>
            </w:r>
          </w:p>
        </w:tc>
        <w:tc>
          <w:tcPr>
            <w:tcW w:w="853" w:type="pct"/>
            <w:tcBorders>
              <w:top w:val="nil"/>
              <w:left w:val="nil"/>
              <w:bottom w:val="nil"/>
              <w:right w:val="nil"/>
            </w:tcBorders>
            <w:shd w:val="clear" w:color="auto" w:fill="auto"/>
            <w:noWrap/>
            <w:vAlign w:val="bottom"/>
            <w:hideMark/>
          </w:tcPr>
          <w:p w14:paraId="2DA709A9" w14:textId="77777777" w:rsidR="009A05C7" w:rsidRPr="00DE365E" w:rsidRDefault="009A05C7" w:rsidP="000240DA">
            <w:pPr>
              <w:spacing w:after="0" w:line="240" w:lineRule="auto"/>
              <w:jc w:val="right"/>
              <w:rPr>
                <w:rFonts w:eastAsia="Times New Roman" w:cs="Times New Roman"/>
                <w:sz w:val="18"/>
                <w:szCs w:val="18"/>
                <w:lang w:eastAsia="sk-SK"/>
              </w:rPr>
            </w:pPr>
            <w:r w:rsidRPr="00DE365E">
              <w:rPr>
                <w:rFonts w:eastAsia="Times New Roman" w:cs="Times New Roman"/>
                <w:sz w:val="18"/>
                <w:szCs w:val="18"/>
                <w:lang w:eastAsia="sk-SK"/>
              </w:rPr>
              <w:t>7,6</w:t>
            </w:r>
          </w:p>
        </w:tc>
      </w:tr>
      <w:tr w:rsidR="009A05C7" w:rsidRPr="00DE365E" w14:paraId="76B19852" w14:textId="77777777" w:rsidTr="00000ACF">
        <w:trPr>
          <w:trHeight w:val="290"/>
        </w:trPr>
        <w:tc>
          <w:tcPr>
            <w:tcW w:w="1372" w:type="pct"/>
            <w:tcBorders>
              <w:top w:val="nil"/>
              <w:left w:val="nil"/>
              <w:bottom w:val="nil"/>
              <w:right w:val="nil"/>
            </w:tcBorders>
            <w:shd w:val="clear" w:color="auto" w:fill="auto"/>
            <w:noWrap/>
            <w:vAlign w:val="bottom"/>
            <w:hideMark/>
          </w:tcPr>
          <w:p w14:paraId="01061526" w14:textId="77777777" w:rsidR="009A05C7" w:rsidRPr="00DE365E" w:rsidRDefault="009A05C7" w:rsidP="000240DA">
            <w:pPr>
              <w:spacing w:after="0" w:line="240" w:lineRule="auto"/>
              <w:jc w:val="left"/>
              <w:rPr>
                <w:rFonts w:eastAsia="Times New Roman" w:cs="Times New Roman"/>
                <w:sz w:val="18"/>
                <w:szCs w:val="18"/>
                <w:lang w:eastAsia="sk-SK"/>
              </w:rPr>
            </w:pPr>
            <w:r w:rsidRPr="00DE365E">
              <w:rPr>
                <w:rFonts w:eastAsia="Times New Roman" w:cs="Times New Roman"/>
                <w:sz w:val="18"/>
                <w:szCs w:val="18"/>
                <w:lang w:eastAsia="sk-SK"/>
              </w:rPr>
              <w:t>Do 15 rokov</w:t>
            </w:r>
          </w:p>
        </w:tc>
        <w:tc>
          <w:tcPr>
            <w:tcW w:w="899" w:type="pct"/>
            <w:tcBorders>
              <w:top w:val="nil"/>
              <w:left w:val="nil"/>
              <w:bottom w:val="nil"/>
              <w:right w:val="nil"/>
            </w:tcBorders>
            <w:shd w:val="clear" w:color="auto" w:fill="auto"/>
            <w:noWrap/>
            <w:vAlign w:val="bottom"/>
            <w:hideMark/>
          </w:tcPr>
          <w:p w14:paraId="61660561" w14:textId="77777777" w:rsidR="009A05C7" w:rsidRPr="00DE365E" w:rsidRDefault="009A05C7" w:rsidP="000240DA">
            <w:pPr>
              <w:spacing w:after="0" w:line="240" w:lineRule="auto"/>
              <w:jc w:val="right"/>
              <w:rPr>
                <w:rFonts w:eastAsia="Times New Roman" w:cs="Times New Roman"/>
                <w:sz w:val="18"/>
                <w:szCs w:val="18"/>
                <w:lang w:eastAsia="sk-SK"/>
              </w:rPr>
            </w:pPr>
            <w:r w:rsidRPr="00DE365E">
              <w:rPr>
                <w:rFonts w:eastAsia="Times New Roman" w:cs="Times New Roman"/>
                <w:sz w:val="18"/>
                <w:szCs w:val="18"/>
                <w:lang w:eastAsia="sk-SK"/>
              </w:rPr>
              <w:t>42,9</w:t>
            </w:r>
          </w:p>
        </w:tc>
        <w:tc>
          <w:tcPr>
            <w:tcW w:w="1049" w:type="pct"/>
            <w:tcBorders>
              <w:top w:val="nil"/>
              <w:left w:val="nil"/>
              <w:bottom w:val="nil"/>
              <w:right w:val="nil"/>
            </w:tcBorders>
            <w:shd w:val="clear" w:color="auto" w:fill="auto"/>
            <w:noWrap/>
            <w:vAlign w:val="bottom"/>
            <w:hideMark/>
          </w:tcPr>
          <w:p w14:paraId="21E94B62" w14:textId="77777777" w:rsidR="009A05C7" w:rsidRPr="00DE365E" w:rsidRDefault="009A05C7" w:rsidP="000240DA">
            <w:pPr>
              <w:spacing w:after="0" w:line="240" w:lineRule="auto"/>
              <w:jc w:val="right"/>
              <w:rPr>
                <w:rFonts w:eastAsia="Times New Roman" w:cs="Times New Roman"/>
                <w:sz w:val="18"/>
                <w:szCs w:val="18"/>
                <w:lang w:eastAsia="sk-SK"/>
              </w:rPr>
            </w:pPr>
            <w:r w:rsidRPr="00DE365E">
              <w:rPr>
                <w:rFonts w:eastAsia="Times New Roman" w:cs="Times New Roman"/>
                <w:sz w:val="18"/>
                <w:szCs w:val="18"/>
                <w:lang w:eastAsia="sk-SK"/>
              </w:rPr>
              <w:t>10,6</w:t>
            </w:r>
          </w:p>
        </w:tc>
        <w:tc>
          <w:tcPr>
            <w:tcW w:w="827" w:type="pct"/>
            <w:tcBorders>
              <w:top w:val="nil"/>
              <w:left w:val="nil"/>
              <w:bottom w:val="nil"/>
              <w:right w:val="nil"/>
            </w:tcBorders>
            <w:shd w:val="clear" w:color="auto" w:fill="auto"/>
            <w:noWrap/>
            <w:vAlign w:val="bottom"/>
            <w:hideMark/>
          </w:tcPr>
          <w:p w14:paraId="0DFDB82F" w14:textId="77777777" w:rsidR="009A05C7" w:rsidRPr="00DE365E" w:rsidRDefault="009A05C7" w:rsidP="000240DA">
            <w:pPr>
              <w:spacing w:after="0" w:line="240" w:lineRule="auto"/>
              <w:jc w:val="right"/>
              <w:rPr>
                <w:rFonts w:eastAsia="Times New Roman" w:cs="Times New Roman"/>
                <w:sz w:val="18"/>
                <w:szCs w:val="18"/>
                <w:lang w:eastAsia="sk-SK"/>
              </w:rPr>
            </w:pPr>
            <w:r w:rsidRPr="00DE365E">
              <w:rPr>
                <w:rFonts w:eastAsia="Times New Roman" w:cs="Times New Roman"/>
                <w:sz w:val="18"/>
                <w:szCs w:val="18"/>
                <w:lang w:eastAsia="sk-SK"/>
              </w:rPr>
              <w:t>0,0</w:t>
            </w:r>
          </w:p>
        </w:tc>
        <w:tc>
          <w:tcPr>
            <w:tcW w:w="853" w:type="pct"/>
            <w:tcBorders>
              <w:top w:val="nil"/>
              <w:left w:val="nil"/>
              <w:bottom w:val="nil"/>
              <w:right w:val="nil"/>
            </w:tcBorders>
            <w:shd w:val="clear" w:color="auto" w:fill="auto"/>
            <w:noWrap/>
            <w:vAlign w:val="bottom"/>
            <w:hideMark/>
          </w:tcPr>
          <w:p w14:paraId="598FA4C9" w14:textId="77777777" w:rsidR="009A05C7" w:rsidRPr="00DE365E" w:rsidRDefault="009A05C7" w:rsidP="000240DA">
            <w:pPr>
              <w:spacing w:after="0" w:line="240" w:lineRule="auto"/>
              <w:jc w:val="right"/>
              <w:rPr>
                <w:rFonts w:eastAsia="Times New Roman" w:cs="Times New Roman"/>
                <w:sz w:val="18"/>
                <w:szCs w:val="18"/>
                <w:lang w:eastAsia="sk-SK"/>
              </w:rPr>
            </w:pPr>
            <w:r w:rsidRPr="00DE365E">
              <w:rPr>
                <w:rFonts w:eastAsia="Times New Roman" w:cs="Times New Roman"/>
                <w:sz w:val="18"/>
                <w:szCs w:val="18"/>
                <w:lang w:eastAsia="sk-SK"/>
              </w:rPr>
              <w:t>40,1</w:t>
            </w:r>
          </w:p>
        </w:tc>
      </w:tr>
      <w:tr w:rsidR="009A05C7" w:rsidRPr="00DE365E" w14:paraId="19F038BC" w14:textId="77777777" w:rsidTr="00000ACF">
        <w:trPr>
          <w:trHeight w:val="290"/>
        </w:trPr>
        <w:tc>
          <w:tcPr>
            <w:tcW w:w="1372" w:type="pct"/>
            <w:tcBorders>
              <w:top w:val="nil"/>
              <w:left w:val="nil"/>
              <w:bottom w:val="nil"/>
              <w:right w:val="nil"/>
            </w:tcBorders>
            <w:shd w:val="clear" w:color="auto" w:fill="auto"/>
            <w:noWrap/>
            <w:vAlign w:val="bottom"/>
            <w:hideMark/>
          </w:tcPr>
          <w:p w14:paraId="162D71CF" w14:textId="77777777" w:rsidR="009A05C7" w:rsidRPr="00DE365E" w:rsidRDefault="009A05C7" w:rsidP="000240DA">
            <w:pPr>
              <w:spacing w:after="0" w:line="240" w:lineRule="auto"/>
              <w:jc w:val="left"/>
              <w:rPr>
                <w:rFonts w:eastAsia="Times New Roman" w:cs="Times New Roman"/>
                <w:sz w:val="18"/>
                <w:szCs w:val="18"/>
                <w:lang w:eastAsia="sk-SK"/>
              </w:rPr>
            </w:pPr>
            <w:r w:rsidRPr="00DE365E">
              <w:rPr>
                <w:rFonts w:eastAsia="Times New Roman" w:cs="Times New Roman"/>
                <w:sz w:val="18"/>
                <w:szCs w:val="18"/>
                <w:lang w:eastAsia="sk-SK"/>
              </w:rPr>
              <w:t>Do 29 rokov</w:t>
            </w:r>
          </w:p>
        </w:tc>
        <w:tc>
          <w:tcPr>
            <w:tcW w:w="899" w:type="pct"/>
            <w:tcBorders>
              <w:top w:val="nil"/>
              <w:left w:val="nil"/>
              <w:bottom w:val="nil"/>
              <w:right w:val="nil"/>
            </w:tcBorders>
            <w:shd w:val="clear" w:color="auto" w:fill="auto"/>
            <w:noWrap/>
            <w:vAlign w:val="bottom"/>
            <w:hideMark/>
          </w:tcPr>
          <w:p w14:paraId="6873DAF4" w14:textId="77777777" w:rsidR="009A05C7" w:rsidRPr="00DE365E" w:rsidRDefault="009A05C7" w:rsidP="000240DA">
            <w:pPr>
              <w:spacing w:after="0" w:line="240" w:lineRule="auto"/>
              <w:jc w:val="right"/>
              <w:rPr>
                <w:rFonts w:eastAsia="Times New Roman" w:cs="Times New Roman"/>
                <w:sz w:val="18"/>
                <w:szCs w:val="18"/>
                <w:lang w:eastAsia="sk-SK"/>
              </w:rPr>
            </w:pPr>
            <w:r w:rsidRPr="00DE365E">
              <w:rPr>
                <w:rFonts w:eastAsia="Times New Roman" w:cs="Times New Roman"/>
                <w:sz w:val="18"/>
                <w:szCs w:val="18"/>
                <w:lang w:eastAsia="sk-SK"/>
              </w:rPr>
              <w:t>31,1</w:t>
            </w:r>
          </w:p>
        </w:tc>
        <w:tc>
          <w:tcPr>
            <w:tcW w:w="1049" w:type="pct"/>
            <w:tcBorders>
              <w:top w:val="nil"/>
              <w:left w:val="nil"/>
              <w:bottom w:val="nil"/>
              <w:right w:val="nil"/>
            </w:tcBorders>
            <w:shd w:val="clear" w:color="auto" w:fill="auto"/>
            <w:noWrap/>
            <w:vAlign w:val="bottom"/>
            <w:hideMark/>
          </w:tcPr>
          <w:p w14:paraId="3FA3AACB" w14:textId="77777777" w:rsidR="009A05C7" w:rsidRPr="00DE365E" w:rsidRDefault="009A05C7" w:rsidP="000240DA">
            <w:pPr>
              <w:spacing w:after="0" w:line="240" w:lineRule="auto"/>
              <w:jc w:val="right"/>
              <w:rPr>
                <w:rFonts w:eastAsia="Times New Roman" w:cs="Times New Roman"/>
                <w:sz w:val="18"/>
                <w:szCs w:val="18"/>
                <w:lang w:eastAsia="sk-SK"/>
              </w:rPr>
            </w:pPr>
            <w:r w:rsidRPr="00DE365E">
              <w:rPr>
                <w:rFonts w:eastAsia="Times New Roman" w:cs="Times New Roman"/>
                <w:sz w:val="18"/>
                <w:szCs w:val="18"/>
                <w:lang w:eastAsia="sk-SK"/>
              </w:rPr>
              <w:t>43,3</w:t>
            </w:r>
          </w:p>
        </w:tc>
        <w:tc>
          <w:tcPr>
            <w:tcW w:w="827" w:type="pct"/>
            <w:tcBorders>
              <w:top w:val="nil"/>
              <w:left w:val="nil"/>
              <w:bottom w:val="nil"/>
              <w:right w:val="nil"/>
            </w:tcBorders>
            <w:shd w:val="clear" w:color="auto" w:fill="auto"/>
            <w:noWrap/>
            <w:vAlign w:val="bottom"/>
            <w:hideMark/>
          </w:tcPr>
          <w:p w14:paraId="04DBF3A8" w14:textId="77777777" w:rsidR="009A05C7" w:rsidRPr="00DE365E" w:rsidRDefault="009A05C7" w:rsidP="000240DA">
            <w:pPr>
              <w:spacing w:after="0" w:line="240" w:lineRule="auto"/>
              <w:jc w:val="right"/>
              <w:rPr>
                <w:rFonts w:eastAsia="Times New Roman" w:cs="Times New Roman"/>
                <w:sz w:val="18"/>
                <w:szCs w:val="18"/>
                <w:lang w:eastAsia="sk-SK"/>
              </w:rPr>
            </w:pPr>
            <w:r w:rsidRPr="00DE365E">
              <w:rPr>
                <w:rFonts w:eastAsia="Times New Roman" w:cs="Times New Roman"/>
                <w:sz w:val="18"/>
                <w:szCs w:val="18"/>
                <w:lang w:eastAsia="sk-SK"/>
              </w:rPr>
              <w:t>0,0</w:t>
            </w:r>
          </w:p>
        </w:tc>
        <w:tc>
          <w:tcPr>
            <w:tcW w:w="853" w:type="pct"/>
            <w:tcBorders>
              <w:top w:val="nil"/>
              <w:left w:val="nil"/>
              <w:bottom w:val="nil"/>
              <w:right w:val="nil"/>
            </w:tcBorders>
            <w:shd w:val="clear" w:color="auto" w:fill="auto"/>
            <w:noWrap/>
            <w:vAlign w:val="bottom"/>
            <w:hideMark/>
          </w:tcPr>
          <w:p w14:paraId="051F3992" w14:textId="77777777" w:rsidR="009A05C7" w:rsidRPr="00DE365E" w:rsidRDefault="009A05C7" w:rsidP="000240DA">
            <w:pPr>
              <w:spacing w:after="0" w:line="240" w:lineRule="auto"/>
              <w:jc w:val="right"/>
              <w:rPr>
                <w:rFonts w:eastAsia="Times New Roman" w:cs="Times New Roman"/>
                <w:sz w:val="18"/>
                <w:szCs w:val="18"/>
                <w:lang w:eastAsia="sk-SK"/>
              </w:rPr>
            </w:pPr>
            <w:r w:rsidRPr="00DE365E">
              <w:rPr>
                <w:rFonts w:eastAsia="Times New Roman" w:cs="Times New Roman"/>
                <w:sz w:val="18"/>
                <w:szCs w:val="18"/>
                <w:lang w:eastAsia="sk-SK"/>
              </w:rPr>
              <w:t>31,9</w:t>
            </w:r>
          </w:p>
        </w:tc>
      </w:tr>
      <w:tr w:rsidR="009A05C7" w:rsidRPr="00DE365E" w14:paraId="1F743369" w14:textId="77777777" w:rsidTr="00000ACF">
        <w:trPr>
          <w:trHeight w:val="290"/>
        </w:trPr>
        <w:tc>
          <w:tcPr>
            <w:tcW w:w="1372" w:type="pct"/>
            <w:tcBorders>
              <w:top w:val="nil"/>
              <w:left w:val="nil"/>
              <w:bottom w:val="nil"/>
              <w:right w:val="nil"/>
            </w:tcBorders>
            <w:shd w:val="clear" w:color="auto" w:fill="auto"/>
            <w:noWrap/>
            <w:vAlign w:val="bottom"/>
            <w:hideMark/>
          </w:tcPr>
          <w:p w14:paraId="2FBD3B98" w14:textId="77777777" w:rsidR="009A05C7" w:rsidRPr="00DE365E" w:rsidRDefault="009A05C7" w:rsidP="000240DA">
            <w:pPr>
              <w:spacing w:after="0" w:line="240" w:lineRule="auto"/>
              <w:jc w:val="left"/>
              <w:rPr>
                <w:rFonts w:eastAsia="Times New Roman" w:cs="Times New Roman"/>
                <w:sz w:val="18"/>
                <w:szCs w:val="18"/>
                <w:lang w:eastAsia="sk-SK"/>
              </w:rPr>
            </w:pPr>
            <w:r w:rsidRPr="00DE365E">
              <w:rPr>
                <w:rFonts w:eastAsia="Times New Roman" w:cs="Times New Roman"/>
                <w:sz w:val="18"/>
                <w:szCs w:val="18"/>
                <w:lang w:eastAsia="sk-SK"/>
              </w:rPr>
              <w:t>30 rokov a viac</w:t>
            </w:r>
          </w:p>
        </w:tc>
        <w:tc>
          <w:tcPr>
            <w:tcW w:w="899" w:type="pct"/>
            <w:tcBorders>
              <w:top w:val="nil"/>
              <w:left w:val="nil"/>
              <w:bottom w:val="nil"/>
              <w:right w:val="nil"/>
            </w:tcBorders>
            <w:shd w:val="clear" w:color="auto" w:fill="auto"/>
            <w:noWrap/>
            <w:vAlign w:val="bottom"/>
            <w:hideMark/>
          </w:tcPr>
          <w:p w14:paraId="09A41202" w14:textId="77777777" w:rsidR="009A05C7" w:rsidRPr="00DE365E" w:rsidRDefault="009A05C7" w:rsidP="000240DA">
            <w:pPr>
              <w:spacing w:after="0" w:line="240" w:lineRule="auto"/>
              <w:jc w:val="right"/>
              <w:rPr>
                <w:rFonts w:eastAsia="Times New Roman" w:cs="Times New Roman"/>
                <w:sz w:val="18"/>
                <w:szCs w:val="18"/>
                <w:lang w:eastAsia="sk-SK"/>
              </w:rPr>
            </w:pPr>
            <w:r w:rsidRPr="00DE365E">
              <w:rPr>
                <w:rFonts w:eastAsia="Times New Roman" w:cs="Times New Roman"/>
                <w:sz w:val="18"/>
                <w:szCs w:val="18"/>
                <w:lang w:eastAsia="sk-SK"/>
              </w:rPr>
              <w:t>9,8</w:t>
            </w:r>
          </w:p>
        </w:tc>
        <w:tc>
          <w:tcPr>
            <w:tcW w:w="1049" w:type="pct"/>
            <w:tcBorders>
              <w:top w:val="nil"/>
              <w:left w:val="nil"/>
              <w:bottom w:val="nil"/>
              <w:right w:val="nil"/>
            </w:tcBorders>
            <w:shd w:val="clear" w:color="auto" w:fill="auto"/>
            <w:noWrap/>
            <w:vAlign w:val="bottom"/>
            <w:hideMark/>
          </w:tcPr>
          <w:p w14:paraId="76539DC1" w14:textId="77777777" w:rsidR="009A05C7" w:rsidRPr="00DE365E" w:rsidRDefault="009A05C7" w:rsidP="000240DA">
            <w:pPr>
              <w:spacing w:after="0" w:line="240" w:lineRule="auto"/>
              <w:jc w:val="right"/>
              <w:rPr>
                <w:rFonts w:eastAsia="Times New Roman" w:cs="Times New Roman"/>
                <w:sz w:val="18"/>
                <w:szCs w:val="18"/>
                <w:lang w:eastAsia="sk-SK"/>
              </w:rPr>
            </w:pPr>
            <w:r w:rsidRPr="00DE365E">
              <w:rPr>
                <w:rFonts w:eastAsia="Times New Roman" w:cs="Times New Roman"/>
                <w:sz w:val="18"/>
                <w:szCs w:val="18"/>
                <w:lang w:eastAsia="sk-SK"/>
              </w:rPr>
              <w:t>32,5</w:t>
            </w:r>
          </w:p>
        </w:tc>
        <w:tc>
          <w:tcPr>
            <w:tcW w:w="827" w:type="pct"/>
            <w:tcBorders>
              <w:top w:val="nil"/>
              <w:left w:val="nil"/>
              <w:bottom w:val="nil"/>
              <w:right w:val="nil"/>
            </w:tcBorders>
            <w:shd w:val="clear" w:color="auto" w:fill="auto"/>
            <w:noWrap/>
            <w:vAlign w:val="bottom"/>
            <w:hideMark/>
          </w:tcPr>
          <w:p w14:paraId="00D7FCD0" w14:textId="77777777" w:rsidR="009A05C7" w:rsidRPr="00DE365E" w:rsidRDefault="009A05C7" w:rsidP="000240DA">
            <w:pPr>
              <w:spacing w:after="0" w:line="240" w:lineRule="auto"/>
              <w:jc w:val="right"/>
              <w:rPr>
                <w:rFonts w:eastAsia="Times New Roman" w:cs="Times New Roman"/>
                <w:sz w:val="18"/>
                <w:szCs w:val="18"/>
                <w:lang w:eastAsia="sk-SK"/>
              </w:rPr>
            </w:pPr>
            <w:r w:rsidRPr="00DE365E">
              <w:rPr>
                <w:rFonts w:eastAsia="Times New Roman" w:cs="Times New Roman"/>
                <w:sz w:val="18"/>
                <w:szCs w:val="18"/>
                <w:lang w:eastAsia="sk-SK"/>
              </w:rPr>
              <w:t>0,0</w:t>
            </w:r>
          </w:p>
        </w:tc>
        <w:tc>
          <w:tcPr>
            <w:tcW w:w="853" w:type="pct"/>
            <w:tcBorders>
              <w:top w:val="nil"/>
              <w:left w:val="nil"/>
              <w:bottom w:val="nil"/>
              <w:right w:val="nil"/>
            </w:tcBorders>
            <w:shd w:val="clear" w:color="auto" w:fill="auto"/>
            <w:noWrap/>
            <w:vAlign w:val="bottom"/>
            <w:hideMark/>
          </w:tcPr>
          <w:p w14:paraId="790A693D" w14:textId="77777777" w:rsidR="009A05C7" w:rsidRPr="00DE365E" w:rsidRDefault="009A05C7" w:rsidP="000240DA">
            <w:pPr>
              <w:spacing w:after="0" w:line="240" w:lineRule="auto"/>
              <w:jc w:val="right"/>
              <w:rPr>
                <w:rFonts w:eastAsia="Times New Roman" w:cs="Times New Roman"/>
                <w:sz w:val="18"/>
                <w:szCs w:val="18"/>
                <w:lang w:eastAsia="sk-SK"/>
              </w:rPr>
            </w:pPr>
            <w:r w:rsidRPr="00DE365E">
              <w:rPr>
                <w:rFonts w:eastAsia="Times New Roman" w:cs="Times New Roman"/>
                <w:sz w:val="18"/>
                <w:szCs w:val="18"/>
                <w:lang w:eastAsia="sk-SK"/>
              </w:rPr>
              <w:t>11,6</w:t>
            </w:r>
          </w:p>
        </w:tc>
      </w:tr>
      <w:tr w:rsidR="009A05C7" w:rsidRPr="00DE365E" w14:paraId="21DF14AA" w14:textId="77777777" w:rsidTr="00000ACF">
        <w:trPr>
          <w:trHeight w:val="290"/>
        </w:trPr>
        <w:tc>
          <w:tcPr>
            <w:tcW w:w="1372" w:type="pct"/>
            <w:tcBorders>
              <w:top w:val="single" w:sz="4" w:space="0" w:color="auto"/>
              <w:left w:val="nil"/>
              <w:bottom w:val="single" w:sz="4" w:space="0" w:color="auto"/>
              <w:right w:val="nil"/>
            </w:tcBorders>
            <w:shd w:val="clear" w:color="auto" w:fill="auto"/>
            <w:noWrap/>
            <w:vAlign w:val="bottom"/>
            <w:hideMark/>
          </w:tcPr>
          <w:p w14:paraId="47E517E3" w14:textId="77777777" w:rsidR="009A05C7" w:rsidRPr="00DE365E" w:rsidRDefault="009A05C7" w:rsidP="000240DA">
            <w:pPr>
              <w:spacing w:after="0" w:line="240" w:lineRule="auto"/>
              <w:jc w:val="left"/>
              <w:rPr>
                <w:rFonts w:eastAsia="Times New Roman" w:cs="Times New Roman"/>
                <w:b/>
                <w:bCs/>
                <w:sz w:val="18"/>
                <w:szCs w:val="18"/>
                <w:lang w:eastAsia="sk-SK"/>
              </w:rPr>
            </w:pPr>
            <w:r w:rsidRPr="00DE365E">
              <w:rPr>
                <w:rFonts w:eastAsia="Times New Roman" w:cs="Times New Roman"/>
                <w:b/>
                <w:bCs/>
                <w:sz w:val="18"/>
                <w:szCs w:val="18"/>
                <w:lang w:eastAsia="sk-SK"/>
              </w:rPr>
              <w:t>Spolu</w:t>
            </w:r>
          </w:p>
        </w:tc>
        <w:tc>
          <w:tcPr>
            <w:tcW w:w="899" w:type="pct"/>
            <w:tcBorders>
              <w:top w:val="single" w:sz="4" w:space="0" w:color="auto"/>
              <w:left w:val="nil"/>
              <w:bottom w:val="single" w:sz="4" w:space="0" w:color="auto"/>
              <w:right w:val="nil"/>
            </w:tcBorders>
            <w:shd w:val="clear" w:color="auto" w:fill="auto"/>
            <w:noWrap/>
            <w:vAlign w:val="bottom"/>
            <w:hideMark/>
          </w:tcPr>
          <w:p w14:paraId="3AD24A03" w14:textId="77777777" w:rsidR="009A05C7" w:rsidRPr="00DE365E" w:rsidRDefault="009A05C7" w:rsidP="000240DA">
            <w:pPr>
              <w:spacing w:after="0" w:line="240" w:lineRule="auto"/>
              <w:jc w:val="right"/>
              <w:rPr>
                <w:rFonts w:eastAsia="Times New Roman" w:cs="Times New Roman"/>
                <w:b/>
                <w:bCs/>
                <w:sz w:val="18"/>
                <w:szCs w:val="18"/>
                <w:lang w:eastAsia="sk-SK"/>
              </w:rPr>
            </w:pPr>
            <w:r w:rsidRPr="00DE365E">
              <w:rPr>
                <w:rFonts w:eastAsia="Times New Roman" w:cs="Times New Roman"/>
                <w:b/>
                <w:bCs/>
                <w:sz w:val="18"/>
                <w:szCs w:val="18"/>
                <w:lang w:eastAsia="sk-SK"/>
              </w:rPr>
              <w:t>100,0</w:t>
            </w:r>
          </w:p>
        </w:tc>
        <w:tc>
          <w:tcPr>
            <w:tcW w:w="1049" w:type="pct"/>
            <w:tcBorders>
              <w:top w:val="single" w:sz="4" w:space="0" w:color="auto"/>
              <w:left w:val="nil"/>
              <w:bottom w:val="single" w:sz="4" w:space="0" w:color="auto"/>
              <w:right w:val="nil"/>
            </w:tcBorders>
            <w:shd w:val="clear" w:color="auto" w:fill="auto"/>
            <w:noWrap/>
            <w:vAlign w:val="bottom"/>
            <w:hideMark/>
          </w:tcPr>
          <w:p w14:paraId="306E3A2B" w14:textId="77777777" w:rsidR="009A05C7" w:rsidRPr="00DE365E" w:rsidRDefault="009A05C7" w:rsidP="000240DA">
            <w:pPr>
              <w:spacing w:after="0" w:line="240" w:lineRule="auto"/>
              <w:jc w:val="right"/>
              <w:rPr>
                <w:rFonts w:eastAsia="Times New Roman" w:cs="Times New Roman"/>
                <w:b/>
                <w:bCs/>
                <w:sz w:val="18"/>
                <w:szCs w:val="18"/>
                <w:lang w:eastAsia="sk-SK"/>
              </w:rPr>
            </w:pPr>
            <w:r w:rsidRPr="00DE365E">
              <w:rPr>
                <w:rFonts w:eastAsia="Times New Roman" w:cs="Times New Roman"/>
                <w:b/>
                <w:bCs/>
                <w:sz w:val="18"/>
                <w:szCs w:val="18"/>
                <w:lang w:eastAsia="sk-SK"/>
              </w:rPr>
              <w:t>100,0</w:t>
            </w:r>
          </w:p>
        </w:tc>
        <w:tc>
          <w:tcPr>
            <w:tcW w:w="827" w:type="pct"/>
            <w:tcBorders>
              <w:top w:val="single" w:sz="4" w:space="0" w:color="auto"/>
              <w:left w:val="nil"/>
              <w:bottom w:val="single" w:sz="4" w:space="0" w:color="auto"/>
              <w:right w:val="nil"/>
            </w:tcBorders>
            <w:shd w:val="clear" w:color="auto" w:fill="auto"/>
            <w:noWrap/>
            <w:vAlign w:val="bottom"/>
            <w:hideMark/>
          </w:tcPr>
          <w:p w14:paraId="0FBA5EBD" w14:textId="77777777" w:rsidR="009A05C7" w:rsidRPr="00DE365E" w:rsidRDefault="009A05C7" w:rsidP="000240DA">
            <w:pPr>
              <w:spacing w:after="0" w:line="240" w:lineRule="auto"/>
              <w:jc w:val="right"/>
              <w:rPr>
                <w:rFonts w:eastAsia="Times New Roman" w:cs="Times New Roman"/>
                <w:b/>
                <w:bCs/>
                <w:sz w:val="18"/>
                <w:szCs w:val="18"/>
                <w:lang w:eastAsia="sk-SK"/>
              </w:rPr>
            </w:pPr>
            <w:r w:rsidRPr="00DE365E">
              <w:rPr>
                <w:rFonts w:eastAsia="Times New Roman" w:cs="Times New Roman"/>
                <w:b/>
                <w:bCs/>
                <w:sz w:val="18"/>
                <w:szCs w:val="18"/>
                <w:lang w:eastAsia="sk-SK"/>
              </w:rPr>
              <w:t>100,0</w:t>
            </w:r>
          </w:p>
        </w:tc>
        <w:tc>
          <w:tcPr>
            <w:tcW w:w="853" w:type="pct"/>
            <w:tcBorders>
              <w:top w:val="single" w:sz="4" w:space="0" w:color="auto"/>
              <w:left w:val="nil"/>
              <w:bottom w:val="single" w:sz="4" w:space="0" w:color="auto"/>
              <w:right w:val="nil"/>
            </w:tcBorders>
            <w:shd w:val="clear" w:color="auto" w:fill="auto"/>
            <w:noWrap/>
            <w:vAlign w:val="bottom"/>
            <w:hideMark/>
          </w:tcPr>
          <w:p w14:paraId="7BD12756" w14:textId="77777777" w:rsidR="009A05C7" w:rsidRPr="00DE365E" w:rsidRDefault="009A05C7" w:rsidP="000240DA">
            <w:pPr>
              <w:spacing w:after="0" w:line="240" w:lineRule="auto"/>
              <w:jc w:val="right"/>
              <w:rPr>
                <w:rFonts w:eastAsia="Times New Roman" w:cs="Times New Roman"/>
                <w:b/>
                <w:bCs/>
                <w:sz w:val="18"/>
                <w:szCs w:val="18"/>
                <w:lang w:eastAsia="sk-SK"/>
              </w:rPr>
            </w:pPr>
            <w:r w:rsidRPr="00DE365E">
              <w:rPr>
                <w:rFonts w:eastAsia="Times New Roman" w:cs="Times New Roman"/>
                <w:b/>
                <w:bCs/>
                <w:sz w:val="18"/>
                <w:szCs w:val="18"/>
                <w:lang w:eastAsia="sk-SK"/>
              </w:rPr>
              <w:t>100,0</w:t>
            </w:r>
          </w:p>
        </w:tc>
      </w:tr>
    </w:tbl>
    <w:p w14:paraId="06289281" w14:textId="77777777" w:rsidR="009A05C7" w:rsidRPr="009079A2" w:rsidRDefault="009A05C7" w:rsidP="009A05C7">
      <w:pPr>
        <w:jc w:val="right"/>
        <w:rPr>
          <w:sz w:val="16"/>
          <w:szCs w:val="16"/>
        </w:rPr>
      </w:pPr>
      <w:r w:rsidRPr="009079A2">
        <w:rPr>
          <w:sz w:val="18"/>
          <w:szCs w:val="18"/>
        </w:rPr>
        <w:t>Zdroj: MF SR, ARDA</w:t>
      </w:r>
      <w:r w:rsidRPr="009079A2">
        <w:rPr>
          <w:sz w:val="16"/>
          <w:szCs w:val="16"/>
        </w:rPr>
        <w:t>L</w:t>
      </w:r>
    </w:p>
    <w:p w14:paraId="5D89230C" w14:textId="77777777" w:rsidR="009A05C7" w:rsidRPr="009079A2" w:rsidRDefault="009A05C7" w:rsidP="009A05C7">
      <w:pPr>
        <w:pStyle w:val="Nadpis3"/>
        <w:ind w:left="709" w:hanging="720"/>
      </w:pPr>
      <w:bookmarkStart w:id="68" w:name="_Toc132929082"/>
      <w:bookmarkStart w:id="69" w:name="_Toc196314128"/>
      <w:r w:rsidRPr="009079A2">
        <w:t>Maastrichtský dlh ostatných subjektov verejnej správy</w:t>
      </w:r>
      <w:bookmarkEnd w:id="68"/>
      <w:bookmarkEnd w:id="69"/>
    </w:p>
    <w:p w14:paraId="7112686F" w14:textId="77777777" w:rsidR="009A05C7" w:rsidRPr="009079A2" w:rsidRDefault="009A05C7" w:rsidP="009A05C7">
      <w:pPr>
        <w:spacing w:line="240" w:lineRule="auto"/>
        <w:rPr>
          <w:sz w:val="24"/>
          <w:szCs w:val="24"/>
        </w:rPr>
      </w:pPr>
      <w:r w:rsidRPr="009079A2">
        <w:rPr>
          <w:sz w:val="24"/>
          <w:szCs w:val="24"/>
        </w:rPr>
        <w:t>Konsolidovaná hodnota maastrichtského dlhu ostatných subjektov verejnej správy k 31.12.2024 dosiahla 2 328 083 tis. eur, z toho na subjekty územnej samosprávy pripadá 1 567 643 tis. eur.</w:t>
      </w:r>
    </w:p>
    <w:p w14:paraId="0B58CFDF" w14:textId="388F4B32" w:rsidR="00FB245C" w:rsidRPr="00FB245C" w:rsidRDefault="00FB245C" w:rsidP="00FB245C">
      <w:pPr>
        <w:pStyle w:val="Popis"/>
        <w:keepNext/>
        <w:spacing w:after="120"/>
        <w:rPr>
          <w:rFonts w:eastAsia="Times New Roman" w:cs="Times New Roman"/>
          <w:b/>
          <w:bCs/>
          <w:i w:val="0"/>
          <w:iCs w:val="0"/>
          <w:color w:val="5B9BD5"/>
          <w:sz w:val="20"/>
          <w:szCs w:val="20"/>
          <w:lang w:eastAsia="sk-SK"/>
        </w:rPr>
      </w:pPr>
      <w:bookmarkStart w:id="70" w:name="_Toc196313643"/>
      <w:bookmarkStart w:id="71" w:name="_Toc196389264"/>
      <w:r w:rsidRPr="00FB245C">
        <w:rPr>
          <w:rFonts w:eastAsia="Times New Roman" w:cs="Times New Roman"/>
          <w:b/>
          <w:bCs/>
          <w:i w:val="0"/>
          <w:iCs w:val="0"/>
          <w:color w:val="5B9BD5"/>
          <w:sz w:val="20"/>
          <w:szCs w:val="20"/>
          <w:lang w:eastAsia="sk-SK"/>
        </w:rPr>
        <w:t xml:space="preserve">Tabuľka </w:t>
      </w:r>
      <w:r w:rsidR="003B7AF0">
        <w:rPr>
          <w:rFonts w:eastAsia="Times New Roman" w:cs="Times New Roman"/>
          <w:b/>
          <w:bCs/>
          <w:i w:val="0"/>
          <w:iCs w:val="0"/>
          <w:color w:val="5B9BD5"/>
          <w:sz w:val="20"/>
          <w:szCs w:val="20"/>
          <w:lang w:eastAsia="sk-SK"/>
        </w:rPr>
        <w:fldChar w:fldCharType="begin"/>
      </w:r>
      <w:r w:rsidR="003B7AF0">
        <w:rPr>
          <w:rFonts w:eastAsia="Times New Roman" w:cs="Times New Roman"/>
          <w:b/>
          <w:bCs/>
          <w:i w:val="0"/>
          <w:iCs w:val="0"/>
          <w:color w:val="5B9BD5"/>
          <w:sz w:val="20"/>
          <w:szCs w:val="20"/>
          <w:lang w:eastAsia="sk-SK"/>
        </w:rPr>
        <w:instrText xml:space="preserve"> SEQ Tabuľka \* ARABIC </w:instrText>
      </w:r>
      <w:r w:rsidR="003B7AF0">
        <w:rPr>
          <w:rFonts w:eastAsia="Times New Roman" w:cs="Times New Roman"/>
          <w:b/>
          <w:bCs/>
          <w:i w:val="0"/>
          <w:iCs w:val="0"/>
          <w:color w:val="5B9BD5"/>
          <w:sz w:val="20"/>
          <w:szCs w:val="20"/>
          <w:lang w:eastAsia="sk-SK"/>
        </w:rPr>
        <w:fldChar w:fldCharType="separate"/>
      </w:r>
      <w:r w:rsidR="00C64CBA">
        <w:rPr>
          <w:rFonts w:eastAsia="Times New Roman" w:cs="Times New Roman"/>
          <w:b/>
          <w:bCs/>
          <w:i w:val="0"/>
          <w:iCs w:val="0"/>
          <w:noProof/>
          <w:color w:val="5B9BD5"/>
          <w:sz w:val="20"/>
          <w:szCs w:val="20"/>
          <w:lang w:eastAsia="sk-SK"/>
        </w:rPr>
        <w:t>17</w:t>
      </w:r>
      <w:r w:rsidR="003B7AF0">
        <w:rPr>
          <w:rFonts w:eastAsia="Times New Roman" w:cs="Times New Roman"/>
          <w:b/>
          <w:bCs/>
          <w:i w:val="0"/>
          <w:iCs w:val="0"/>
          <w:color w:val="5B9BD5"/>
          <w:sz w:val="20"/>
          <w:szCs w:val="20"/>
          <w:lang w:eastAsia="sk-SK"/>
        </w:rPr>
        <w:fldChar w:fldCharType="end"/>
      </w:r>
      <w:r w:rsidRPr="00FB245C">
        <w:rPr>
          <w:rFonts w:eastAsia="Times New Roman" w:cs="Times New Roman"/>
          <w:b/>
          <w:bCs/>
          <w:i w:val="0"/>
          <w:iCs w:val="0"/>
          <w:color w:val="5B9BD5"/>
          <w:sz w:val="20"/>
          <w:szCs w:val="20"/>
          <w:lang w:eastAsia="sk-SK"/>
        </w:rPr>
        <w:t xml:space="preserve"> - Štruktúra dlh obcí podľa dlhového nástroja</w:t>
      </w:r>
      <w:bookmarkEnd w:id="70"/>
      <w:bookmarkEnd w:id="71"/>
    </w:p>
    <w:tbl>
      <w:tblPr>
        <w:tblW w:w="5000" w:type="pct"/>
        <w:tblCellMar>
          <w:left w:w="70" w:type="dxa"/>
          <w:right w:w="70" w:type="dxa"/>
        </w:tblCellMar>
        <w:tblLook w:val="04A0" w:firstRow="1" w:lastRow="0" w:firstColumn="1" w:lastColumn="0" w:noHBand="0" w:noVBand="1"/>
      </w:tblPr>
      <w:tblGrid>
        <w:gridCol w:w="5013"/>
        <w:gridCol w:w="1027"/>
        <w:gridCol w:w="929"/>
        <w:gridCol w:w="861"/>
        <w:gridCol w:w="1100"/>
      </w:tblGrid>
      <w:tr w:rsidR="009A05C7" w:rsidRPr="00A71764" w14:paraId="63640F2C" w14:textId="77777777" w:rsidTr="000240DA">
        <w:trPr>
          <w:trHeight w:val="290"/>
          <w:tblHeader/>
        </w:trPr>
        <w:tc>
          <w:tcPr>
            <w:tcW w:w="2807" w:type="pct"/>
            <w:vMerge w:val="restart"/>
            <w:tcBorders>
              <w:top w:val="single" w:sz="4" w:space="0" w:color="auto"/>
              <w:left w:val="nil"/>
              <w:bottom w:val="single" w:sz="4" w:space="0" w:color="000000"/>
              <w:right w:val="nil"/>
            </w:tcBorders>
            <w:shd w:val="clear" w:color="auto" w:fill="auto"/>
            <w:vAlign w:val="center"/>
            <w:hideMark/>
          </w:tcPr>
          <w:p w14:paraId="0818E404" w14:textId="77777777" w:rsidR="009A05C7" w:rsidRPr="00A71764" w:rsidRDefault="009A05C7" w:rsidP="000240DA">
            <w:pPr>
              <w:spacing w:after="0" w:line="240" w:lineRule="auto"/>
              <w:rPr>
                <w:rFonts w:eastAsia="Times New Roman" w:cs="Times New Roman"/>
                <w:b/>
                <w:bCs/>
                <w:sz w:val="18"/>
                <w:szCs w:val="18"/>
                <w:lang w:eastAsia="sk-SK"/>
              </w:rPr>
            </w:pPr>
            <w:r w:rsidRPr="00A71764">
              <w:rPr>
                <w:rFonts w:eastAsia="Times New Roman" w:cs="Times New Roman"/>
                <w:b/>
                <w:bCs/>
                <w:sz w:val="18"/>
                <w:szCs w:val="18"/>
                <w:lang w:eastAsia="sk-SK"/>
              </w:rPr>
              <w:t>v tis. eur</w:t>
            </w:r>
          </w:p>
        </w:tc>
        <w:tc>
          <w:tcPr>
            <w:tcW w:w="575" w:type="pct"/>
            <w:tcBorders>
              <w:top w:val="single" w:sz="4" w:space="0" w:color="auto"/>
              <w:left w:val="nil"/>
              <w:bottom w:val="nil"/>
              <w:right w:val="nil"/>
            </w:tcBorders>
            <w:shd w:val="clear" w:color="auto" w:fill="auto"/>
            <w:vAlign w:val="center"/>
            <w:hideMark/>
          </w:tcPr>
          <w:p w14:paraId="3DF01BAF" w14:textId="77777777" w:rsidR="009A05C7" w:rsidRPr="00A71764" w:rsidRDefault="009A05C7" w:rsidP="000240DA">
            <w:pPr>
              <w:spacing w:after="0" w:line="240" w:lineRule="auto"/>
              <w:jc w:val="center"/>
              <w:rPr>
                <w:rFonts w:eastAsia="Times New Roman" w:cs="Times New Roman"/>
                <w:b/>
                <w:bCs/>
                <w:sz w:val="18"/>
                <w:szCs w:val="18"/>
                <w:lang w:eastAsia="sk-SK"/>
              </w:rPr>
            </w:pPr>
            <w:r w:rsidRPr="00A71764">
              <w:rPr>
                <w:rFonts w:eastAsia="Times New Roman" w:cs="Times New Roman"/>
                <w:b/>
                <w:bCs/>
                <w:sz w:val="18"/>
                <w:szCs w:val="18"/>
                <w:lang w:eastAsia="sk-SK"/>
              </w:rPr>
              <w:t>2022 S</w:t>
            </w:r>
          </w:p>
        </w:tc>
        <w:tc>
          <w:tcPr>
            <w:tcW w:w="520" w:type="pct"/>
            <w:tcBorders>
              <w:top w:val="single" w:sz="4" w:space="0" w:color="auto"/>
              <w:left w:val="nil"/>
              <w:bottom w:val="nil"/>
              <w:right w:val="nil"/>
            </w:tcBorders>
            <w:shd w:val="clear" w:color="auto" w:fill="auto"/>
            <w:vAlign w:val="center"/>
            <w:hideMark/>
          </w:tcPr>
          <w:p w14:paraId="3F62E530" w14:textId="77777777" w:rsidR="009A05C7" w:rsidRPr="00A71764" w:rsidRDefault="009A05C7" w:rsidP="000240DA">
            <w:pPr>
              <w:spacing w:after="0" w:line="240" w:lineRule="auto"/>
              <w:jc w:val="center"/>
              <w:rPr>
                <w:rFonts w:eastAsia="Times New Roman" w:cs="Times New Roman"/>
                <w:b/>
                <w:bCs/>
                <w:sz w:val="18"/>
                <w:szCs w:val="18"/>
                <w:lang w:eastAsia="sk-SK"/>
              </w:rPr>
            </w:pPr>
            <w:r w:rsidRPr="00A71764">
              <w:rPr>
                <w:rFonts w:eastAsia="Times New Roman" w:cs="Times New Roman"/>
                <w:b/>
                <w:bCs/>
                <w:sz w:val="18"/>
                <w:szCs w:val="18"/>
                <w:lang w:eastAsia="sk-SK"/>
              </w:rPr>
              <w:t>2023 S</w:t>
            </w:r>
          </w:p>
        </w:tc>
        <w:tc>
          <w:tcPr>
            <w:tcW w:w="482" w:type="pct"/>
            <w:tcBorders>
              <w:top w:val="single" w:sz="4" w:space="0" w:color="auto"/>
              <w:left w:val="nil"/>
              <w:bottom w:val="nil"/>
              <w:right w:val="nil"/>
            </w:tcBorders>
            <w:shd w:val="clear" w:color="auto" w:fill="auto"/>
            <w:vAlign w:val="center"/>
            <w:hideMark/>
          </w:tcPr>
          <w:p w14:paraId="4FFF2965" w14:textId="77777777" w:rsidR="009A05C7" w:rsidRPr="00A71764" w:rsidRDefault="009A05C7" w:rsidP="000240DA">
            <w:pPr>
              <w:spacing w:after="0" w:line="240" w:lineRule="auto"/>
              <w:jc w:val="center"/>
              <w:rPr>
                <w:rFonts w:eastAsia="Times New Roman" w:cs="Times New Roman"/>
                <w:b/>
                <w:bCs/>
                <w:sz w:val="18"/>
                <w:szCs w:val="18"/>
                <w:lang w:eastAsia="sk-SK"/>
              </w:rPr>
            </w:pPr>
            <w:r w:rsidRPr="00A71764">
              <w:rPr>
                <w:rFonts w:eastAsia="Times New Roman" w:cs="Times New Roman"/>
                <w:b/>
                <w:bCs/>
                <w:sz w:val="18"/>
                <w:szCs w:val="18"/>
                <w:lang w:eastAsia="sk-SK"/>
              </w:rPr>
              <w:t>2024 S</w:t>
            </w:r>
          </w:p>
        </w:tc>
        <w:tc>
          <w:tcPr>
            <w:tcW w:w="616" w:type="pct"/>
            <w:tcBorders>
              <w:top w:val="single" w:sz="4" w:space="0" w:color="auto"/>
              <w:left w:val="nil"/>
              <w:bottom w:val="nil"/>
              <w:right w:val="nil"/>
            </w:tcBorders>
            <w:shd w:val="clear" w:color="auto" w:fill="auto"/>
            <w:vAlign w:val="center"/>
            <w:hideMark/>
          </w:tcPr>
          <w:p w14:paraId="0AE3E20F" w14:textId="77777777" w:rsidR="009A05C7" w:rsidRPr="00A71764" w:rsidRDefault="009A05C7" w:rsidP="000240DA">
            <w:pPr>
              <w:spacing w:after="0" w:line="240" w:lineRule="auto"/>
              <w:jc w:val="center"/>
              <w:rPr>
                <w:rFonts w:eastAsia="Times New Roman" w:cs="Times New Roman"/>
                <w:b/>
                <w:bCs/>
                <w:sz w:val="18"/>
                <w:szCs w:val="18"/>
                <w:lang w:eastAsia="sk-SK"/>
              </w:rPr>
            </w:pPr>
            <w:r w:rsidRPr="00A71764">
              <w:rPr>
                <w:rFonts w:eastAsia="Times New Roman" w:cs="Times New Roman"/>
                <w:b/>
                <w:bCs/>
                <w:sz w:val="18"/>
                <w:szCs w:val="18"/>
                <w:lang w:eastAsia="sk-SK"/>
              </w:rPr>
              <w:t>Zmena</w:t>
            </w:r>
          </w:p>
        </w:tc>
      </w:tr>
      <w:tr w:rsidR="009A05C7" w:rsidRPr="00A71764" w14:paraId="073533CF" w14:textId="77777777" w:rsidTr="000240DA">
        <w:trPr>
          <w:trHeight w:val="290"/>
          <w:tblHeader/>
        </w:trPr>
        <w:tc>
          <w:tcPr>
            <w:tcW w:w="2807" w:type="pct"/>
            <w:vMerge/>
            <w:tcBorders>
              <w:top w:val="single" w:sz="4" w:space="0" w:color="auto"/>
              <w:left w:val="nil"/>
              <w:bottom w:val="single" w:sz="4" w:space="0" w:color="000000"/>
              <w:right w:val="nil"/>
            </w:tcBorders>
            <w:vAlign w:val="center"/>
            <w:hideMark/>
          </w:tcPr>
          <w:p w14:paraId="10A6EDE5" w14:textId="77777777" w:rsidR="009A05C7" w:rsidRPr="00A71764" w:rsidRDefault="009A05C7" w:rsidP="000240DA">
            <w:pPr>
              <w:spacing w:after="0" w:line="240" w:lineRule="auto"/>
              <w:jc w:val="left"/>
              <w:rPr>
                <w:rFonts w:eastAsia="Times New Roman" w:cs="Times New Roman"/>
                <w:b/>
                <w:bCs/>
                <w:sz w:val="18"/>
                <w:szCs w:val="18"/>
                <w:lang w:eastAsia="sk-SK"/>
              </w:rPr>
            </w:pPr>
          </w:p>
        </w:tc>
        <w:tc>
          <w:tcPr>
            <w:tcW w:w="575" w:type="pct"/>
            <w:tcBorders>
              <w:top w:val="nil"/>
              <w:left w:val="nil"/>
              <w:bottom w:val="single" w:sz="4" w:space="0" w:color="auto"/>
              <w:right w:val="nil"/>
            </w:tcBorders>
            <w:shd w:val="clear" w:color="auto" w:fill="auto"/>
            <w:vAlign w:val="center"/>
            <w:hideMark/>
          </w:tcPr>
          <w:p w14:paraId="6F0114AC" w14:textId="77777777" w:rsidR="009A05C7" w:rsidRPr="00A71764" w:rsidRDefault="009A05C7" w:rsidP="000240DA">
            <w:pPr>
              <w:spacing w:after="0" w:line="240" w:lineRule="auto"/>
              <w:jc w:val="center"/>
              <w:rPr>
                <w:rFonts w:eastAsia="Times New Roman" w:cs="Times New Roman"/>
                <w:b/>
                <w:bCs/>
                <w:sz w:val="18"/>
                <w:szCs w:val="18"/>
                <w:lang w:eastAsia="sk-SK"/>
              </w:rPr>
            </w:pPr>
            <w:r w:rsidRPr="00A71764">
              <w:rPr>
                <w:rFonts w:eastAsia="Times New Roman" w:cs="Times New Roman"/>
                <w:b/>
                <w:bCs/>
                <w:sz w:val="18"/>
                <w:szCs w:val="18"/>
                <w:lang w:eastAsia="sk-SK"/>
              </w:rPr>
              <w:t>1</w:t>
            </w:r>
          </w:p>
        </w:tc>
        <w:tc>
          <w:tcPr>
            <w:tcW w:w="520" w:type="pct"/>
            <w:tcBorders>
              <w:top w:val="nil"/>
              <w:left w:val="nil"/>
              <w:bottom w:val="single" w:sz="4" w:space="0" w:color="auto"/>
              <w:right w:val="nil"/>
            </w:tcBorders>
            <w:shd w:val="clear" w:color="auto" w:fill="auto"/>
            <w:vAlign w:val="center"/>
            <w:hideMark/>
          </w:tcPr>
          <w:p w14:paraId="17830A51" w14:textId="77777777" w:rsidR="009A05C7" w:rsidRPr="00A71764" w:rsidRDefault="009A05C7" w:rsidP="000240DA">
            <w:pPr>
              <w:spacing w:after="0" w:line="240" w:lineRule="auto"/>
              <w:jc w:val="center"/>
              <w:rPr>
                <w:rFonts w:eastAsia="Times New Roman" w:cs="Times New Roman"/>
                <w:b/>
                <w:bCs/>
                <w:sz w:val="18"/>
                <w:szCs w:val="18"/>
                <w:lang w:eastAsia="sk-SK"/>
              </w:rPr>
            </w:pPr>
            <w:r w:rsidRPr="00A71764">
              <w:rPr>
                <w:rFonts w:eastAsia="Times New Roman" w:cs="Times New Roman"/>
                <w:b/>
                <w:bCs/>
                <w:sz w:val="18"/>
                <w:szCs w:val="18"/>
                <w:lang w:eastAsia="sk-SK"/>
              </w:rPr>
              <w:t>2</w:t>
            </w:r>
          </w:p>
        </w:tc>
        <w:tc>
          <w:tcPr>
            <w:tcW w:w="482" w:type="pct"/>
            <w:tcBorders>
              <w:top w:val="nil"/>
              <w:left w:val="nil"/>
              <w:bottom w:val="single" w:sz="4" w:space="0" w:color="auto"/>
              <w:right w:val="nil"/>
            </w:tcBorders>
            <w:shd w:val="clear" w:color="auto" w:fill="auto"/>
            <w:vAlign w:val="center"/>
            <w:hideMark/>
          </w:tcPr>
          <w:p w14:paraId="192F7469" w14:textId="77777777" w:rsidR="009A05C7" w:rsidRPr="00A71764" w:rsidRDefault="009A05C7" w:rsidP="000240DA">
            <w:pPr>
              <w:spacing w:after="0" w:line="240" w:lineRule="auto"/>
              <w:jc w:val="center"/>
              <w:rPr>
                <w:rFonts w:eastAsia="Times New Roman" w:cs="Times New Roman"/>
                <w:b/>
                <w:bCs/>
                <w:sz w:val="18"/>
                <w:szCs w:val="18"/>
                <w:lang w:eastAsia="sk-SK"/>
              </w:rPr>
            </w:pPr>
            <w:r w:rsidRPr="00A71764">
              <w:rPr>
                <w:rFonts w:eastAsia="Times New Roman" w:cs="Times New Roman"/>
                <w:b/>
                <w:bCs/>
                <w:sz w:val="18"/>
                <w:szCs w:val="18"/>
                <w:lang w:eastAsia="sk-SK"/>
              </w:rPr>
              <w:t>3</w:t>
            </w:r>
          </w:p>
        </w:tc>
        <w:tc>
          <w:tcPr>
            <w:tcW w:w="616" w:type="pct"/>
            <w:tcBorders>
              <w:top w:val="nil"/>
              <w:left w:val="nil"/>
              <w:bottom w:val="single" w:sz="4" w:space="0" w:color="auto"/>
              <w:right w:val="nil"/>
            </w:tcBorders>
            <w:shd w:val="clear" w:color="auto" w:fill="auto"/>
            <w:vAlign w:val="center"/>
            <w:hideMark/>
          </w:tcPr>
          <w:p w14:paraId="4C918F59" w14:textId="77777777" w:rsidR="009A05C7" w:rsidRPr="00A71764" w:rsidRDefault="009A05C7" w:rsidP="000240DA">
            <w:pPr>
              <w:spacing w:after="0" w:line="240" w:lineRule="auto"/>
              <w:jc w:val="center"/>
              <w:rPr>
                <w:rFonts w:eastAsia="Times New Roman" w:cs="Times New Roman"/>
                <w:b/>
                <w:bCs/>
                <w:sz w:val="18"/>
                <w:szCs w:val="18"/>
                <w:lang w:eastAsia="sk-SK"/>
              </w:rPr>
            </w:pPr>
            <w:r w:rsidRPr="00A71764">
              <w:rPr>
                <w:rFonts w:eastAsia="Times New Roman" w:cs="Times New Roman"/>
                <w:b/>
                <w:bCs/>
                <w:sz w:val="18"/>
                <w:szCs w:val="18"/>
                <w:lang w:eastAsia="sk-SK"/>
              </w:rPr>
              <w:t>4=(3-2)</w:t>
            </w:r>
          </w:p>
        </w:tc>
      </w:tr>
      <w:tr w:rsidR="009A05C7" w:rsidRPr="00A71764" w14:paraId="7AFEAD9C" w14:textId="77777777" w:rsidTr="000240DA">
        <w:trPr>
          <w:trHeight w:val="290"/>
        </w:trPr>
        <w:tc>
          <w:tcPr>
            <w:tcW w:w="2807" w:type="pct"/>
            <w:tcBorders>
              <w:top w:val="nil"/>
              <w:left w:val="nil"/>
              <w:bottom w:val="nil"/>
              <w:right w:val="nil"/>
            </w:tcBorders>
            <w:shd w:val="clear" w:color="auto" w:fill="auto"/>
            <w:noWrap/>
            <w:vAlign w:val="bottom"/>
            <w:hideMark/>
          </w:tcPr>
          <w:p w14:paraId="1F1143F3" w14:textId="77777777" w:rsidR="009A05C7" w:rsidRPr="00A71764" w:rsidRDefault="009A05C7" w:rsidP="000240DA">
            <w:pPr>
              <w:spacing w:after="0" w:line="240" w:lineRule="auto"/>
              <w:jc w:val="left"/>
              <w:rPr>
                <w:rFonts w:eastAsia="Times New Roman" w:cs="Times New Roman"/>
                <w:sz w:val="18"/>
                <w:szCs w:val="18"/>
                <w:lang w:eastAsia="sk-SK"/>
              </w:rPr>
            </w:pPr>
            <w:r w:rsidRPr="00A71764">
              <w:rPr>
                <w:rFonts w:eastAsia="Times New Roman" w:cs="Times New Roman"/>
                <w:sz w:val="18"/>
                <w:szCs w:val="18"/>
                <w:lang w:eastAsia="sk-SK"/>
              </w:rPr>
              <w:t>Bankové úvery</w:t>
            </w:r>
          </w:p>
        </w:tc>
        <w:tc>
          <w:tcPr>
            <w:tcW w:w="575" w:type="pct"/>
            <w:tcBorders>
              <w:top w:val="nil"/>
              <w:left w:val="nil"/>
              <w:bottom w:val="nil"/>
              <w:right w:val="nil"/>
            </w:tcBorders>
            <w:shd w:val="clear" w:color="auto" w:fill="auto"/>
            <w:noWrap/>
            <w:vAlign w:val="bottom"/>
            <w:hideMark/>
          </w:tcPr>
          <w:p w14:paraId="74687A25"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818 374</w:t>
            </w:r>
          </w:p>
        </w:tc>
        <w:tc>
          <w:tcPr>
            <w:tcW w:w="520" w:type="pct"/>
            <w:tcBorders>
              <w:top w:val="nil"/>
              <w:left w:val="nil"/>
              <w:bottom w:val="nil"/>
              <w:right w:val="nil"/>
            </w:tcBorders>
            <w:shd w:val="clear" w:color="auto" w:fill="auto"/>
            <w:noWrap/>
            <w:vAlign w:val="bottom"/>
            <w:hideMark/>
          </w:tcPr>
          <w:p w14:paraId="6722D879"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955 753</w:t>
            </w:r>
          </w:p>
        </w:tc>
        <w:tc>
          <w:tcPr>
            <w:tcW w:w="482" w:type="pct"/>
            <w:tcBorders>
              <w:top w:val="nil"/>
              <w:left w:val="nil"/>
              <w:bottom w:val="nil"/>
              <w:right w:val="nil"/>
            </w:tcBorders>
            <w:shd w:val="clear" w:color="auto" w:fill="auto"/>
            <w:noWrap/>
            <w:vAlign w:val="bottom"/>
            <w:hideMark/>
          </w:tcPr>
          <w:p w14:paraId="3ED77DB0"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938 985</w:t>
            </w:r>
          </w:p>
        </w:tc>
        <w:tc>
          <w:tcPr>
            <w:tcW w:w="616" w:type="pct"/>
            <w:tcBorders>
              <w:top w:val="nil"/>
              <w:left w:val="nil"/>
              <w:bottom w:val="nil"/>
              <w:right w:val="nil"/>
            </w:tcBorders>
            <w:shd w:val="clear" w:color="auto" w:fill="auto"/>
            <w:noWrap/>
            <w:vAlign w:val="bottom"/>
            <w:hideMark/>
          </w:tcPr>
          <w:p w14:paraId="6BFD99B5"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-16 768</w:t>
            </w:r>
          </w:p>
        </w:tc>
      </w:tr>
      <w:tr w:rsidR="009A05C7" w:rsidRPr="00A71764" w14:paraId="12184F77" w14:textId="77777777" w:rsidTr="000240DA">
        <w:trPr>
          <w:trHeight w:val="290"/>
        </w:trPr>
        <w:tc>
          <w:tcPr>
            <w:tcW w:w="2807" w:type="pct"/>
            <w:tcBorders>
              <w:top w:val="nil"/>
              <w:left w:val="nil"/>
              <w:bottom w:val="nil"/>
              <w:right w:val="nil"/>
            </w:tcBorders>
            <w:shd w:val="clear" w:color="auto" w:fill="auto"/>
            <w:noWrap/>
            <w:vAlign w:val="bottom"/>
            <w:hideMark/>
          </w:tcPr>
          <w:p w14:paraId="1757396D" w14:textId="77777777" w:rsidR="009A05C7" w:rsidRPr="00A71764" w:rsidRDefault="009A05C7" w:rsidP="000240DA">
            <w:pPr>
              <w:spacing w:after="0" w:line="240" w:lineRule="auto"/>
              <w:ind w:firstLineChars="200" w:firstLine="360"/>
              <w:jc w:val="left"/>
              <w:rPr>
                <w:rFonts w:eastAsia="Times New Roman" w:cs="Times New Roman"/>
                <w:sz w:val="18"/>
                <w:szCs w:val="18"/>
                <w:lang w:eastAsia="sk-SK"/>
              </w:rPr>
            </w:pPr>
            <w:r w:rsidRPr="00A71764">
              <w:rPr>
                <w:rFonts w:eastAsia="Times New Roman" w:cs="Times New Roman"/>
                <w:sz w:val="18"/>
                <w:szCs w:val="18"/>
                <w:lang w:eastAsia="sk-SK"/>
              </w:rPr>
              <w:t>z toho: úvery od SZRB (konsoliduje sa)</w:t>
            </w:r>
          </w:p>
        </w:tc>
        <w:tc>
          <w:tcPr>
            <w:tcW w:w="575" w:type="pct"/>
            <w:tcBorders>
              <w:top w:val="nil"/>
              <w:left w:val="nil"/>
              <w:bottom w:val="nil"/>
              <w:right w:val="nil"/>
            </w:tcBorders>
            <w:shd w:val="clear" w:color="auto" w:fill="auto"/>
            <w:noWrap/>
            <w:vAlign w:val="bottom"/>
            <w:hideMark/>
          </w:tcPr>
          <w:p w14:paraId="0842D8E7" w14:textId="77777777" w:rsidR="009A05C7" w:rsidRPr="00A71764" w:rsidRDefault="009A05C7" w:rsidP="000240DA">
            <w:pPr>
              <w:spacing w:after="0" w:line="240" w:lineRule="auto"/>
              <w:ind w:firstLineChars="200" w:firstLine="360"/>
              <w:jc w:val="left"/>
              <w:rPr>
                <w:rFonts w:eastAsia="Times New Roman" w:cs="Times New Roman"/>
                <w:sz w:val="18"/>
                <w:szCs w:val="18"/>
                <w:lang w:eastAsia="sk-SK"/>
              </w:rPr>
            </w:pPr>
          </w:p>
        </w:tc>
        <w:tc>
          <w:tcPr>
            <w:tcW w:w="520" w:type="pct"/>
            <w:tcBorders>
              <w:top w:val="nil"/>
              <w:left w:val="nil"/>
              <w:bottom w:val="nil"/>
              <w:right w:val="nil"/>
            </w:tcBorders>
            <w:shd w:val="clear" w:color="auto" w:fill="auto"/>
            <w:noWrap/>
            <w:vAlign w:val="bottom"/>
            <w:hideMark/>
          </w:tcPr>
          <w:p w14:paraId="0787C247"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16 289</w:t>
            </w:r>
          </w:p>
        </w:tc>
        <w:tc>
          <w:tcPr>
            <w:tcW w:w="482" w:type="pct"/>
            <w:tcBorders>
              <w:top w:val="nil"/>
              <w:left w:val="nil"/>
              <w:bottom w:val="nil"/>
              <w:right w:val="nil"/>
            </w:tcBorders>
            <w:shd w:val="clear" w:color="auto" w:fill="auto"/>
            <w:noWrap/>
            <w:vAlign w:val="bottom"/>
            <w:hideMark/>
          </w:tcPr>
          <w:p w14:paraId="7E34E5A5"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14 826</w:t>
            </w:r>
          </w:p>
        </w:tc>
        <w:tc>
          <w:tcPr>
            <w:tcW w:w="616" w:type="pct"/>
            <w:tcBorders>
              <w:top w:val="nil"/>
              <w:left w:val="nil"/>
              <w:bottom w:val="nil"/>
              <w:right w:val="nil"/>
            </w:tcBorders>
            <w:shd w:val="clear" w:color="auto" w:fill="auto"/>
            <w:noWrap/>
            <w:vAlign w:val="bottom"/>
            <w:hideMark/>
          </w:tcPr>
          <w:p w14:paraId="4E5AF290"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-1 463</w:t>
            </w:r>
          </w:p>
        </w:tc>
      </w:tr>
      <w:tr w:rsidR="009A05C7" w:rsidRPr="00A71764" w14:paraId="52AF4249" w14:textId="77777777" w:rsidTr="000240DA">
        <w:trPr>
          <w:trHeight w:val="290"/>
        </w:trPr>
        <w:tc>
          <w:tcPr>
            <w:tcW w:w="2807" w:type="pct"/>
            <w:tcBorders>
              <w:top w:val="nil"/>
              <w:left w:val="nil"/>
              <w:bottom w:val="nil"/>
              <w:right w:val="nil"/>
            </w:tcBorders>
            <w:shd w:val="clear" w:color="auto" w:fill="auto"/>
            <w:noWrap/>
            <w:vAlign w:val="bottom"/>
            <w:hideMark/>
          </w:tcPr>
          <w:p w14:paraId="49AD30D7" w14:textId="77777777" w:rsidR="009A05C7" w:rsidRPr="00A71764" w:rsidRDefault="009A05C7" w:rsidP="000240DA">
            <w:pPr>
              <w:spacing w:after="0" w:line="240" w:lineRule="auto"/>
              <w:jc w:val="left"/>
              <w:rPr>
                <w:rFonts w:eastAsia="Times New Roman" w:cs="Times New Roman"/>
                <w:sz w:val="18"/>
                <w:szCs w:val="18"/>
                <w:lang w:eastAsia="sk-SK"/>
              </w:rPr>
            </w:pPr>
            <w:r w:rsidRPr="00A71764">
              <w:rPr>
                <w:rFonts w:eastAsia="Times New Roman" w:cs="Times New Roman"/>
                <w:sz w:val="18"/>
                <w:szCs w:val="18"/>
                <w:lang w:eastAsia="sk-SK"/>
              </w:rPr>
              <w:t>Pôžičky zo ŠFRB (konsoliduje sa)</w:t>
            </w:r>
          </w:p>
        </w:tc>
        <w:tc>
          <w:tcPr>
            <w:tcW w:w="575" w:type="pct"/>
            <w:tcBorders>
              <w:top w:val="nil"/>
              <w:left w:val="nil"/>
              <w:bottom w:val="nil"/>
              <w:right w:val="nil"/>
            </w:tcBorders>
            <w:shd w:val="clear" w:color="auto" w:fill="auto"/>
            <w:noWrap/>
            <w:vAlign w:val="bottom"/>
            <w:hideMark/>
          </w:tcPr>
          <w:p w14:paraId="1437932E"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721 398</w:t>
            </w:r>
          </w:p>
        </w:tc>
        <w:tc>
          <w:tcPr>
            <w:tcW w:w="520" w:type="pct"/>
            <w:tcBorders>
              <w:top w:val="nil"/>
              <w:left w:val="nil"/>
              <w:bottom w:val="nil"/>
              <w:right w:val="nil"/>
            </w:tcBorders>
            <w:shd w:val="clear" w:color="auto" w:fill="auto"/>
            <w:noWrap/>
            <w:vAlign w:val="bottom"/>
            <w:hideMark/>
          </w:tcPr>
          <w:p w14:paraId="331614D8"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737 891</w:t>
            </w:r>
          </w:p>
        </w:tc>
        <w:tc>
          <w:tcPr>
            <w:tcW w:w="482" w:type="pct"/>
            <w:tcBorders>
              <w:top w:val="nil"/>
              <w:left w:val="nil"/>
              <w:bottom w:val="nil"/>
              <w:right w:val="nil"/>
            </w:tcBorders>
            <w:shd w:val="clear" w:color="auto" w:fill="auto"/>
            <w:noWrap/>
            <w:vAlign w:val="bottom"/>
            <w:hideMark/>
          </w:tcPr>
          <w:p w14:paraId="712A60BB"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748 309</w:t>
            </w:r>
          </w:p>
        </w:tc>
        <w:tc>
          <w:tcPr>
            <w:tcW w:w="616" w:type="pct"/>
            <w:tcBorders>
              <w:top w:val="nil"/>
              <w:left w:val="nil"/>
              <w:bottom w:val="nil"/>
              <w:right w:val="nil"/>
            </w:tcBorders>
            <w:shd w:val="clear" w:color="auto" w:fill="auto"/>
            <w:noWrap/>
            <w:vAlign w:val="bottom"/>
            <w:hideMark/>
          </w:tcPr>
          <w:p w14:paraId="01CDE3F8"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10 418</w:t>
            </w:r>
          </w:p>
        </w:tc>
      </w:tr>
      <w:tr w:rsidR="009A05C7" w:rsidRPr="00A71764" w14:paraId="1E9E0B1A" w14:textId="77777777" w:rsidTr="000240DA">
        <w:trPr>
          <w:trHeight w:val="290"/>
        </w:trPr>
        <w:tc>
          <w:tcPr>
            <w:tcW w:w="2807" w:type="pct"/>
            <w:tcBorders>
              <w:top w:val="nil"/>
              <w:left w:val="nil"/>
              <w:bottom w:val="nil"/>
              <w:right w:val="nil"/>
            </w:tcBorders>
            <w:shd w:val="clear" w:color="auto" w:fill="auto"/>
            <w:noWrap/>
            <w:vAlign w:val="bottom"/>
            <w:hideMark/>
          </w:tcPr>
          <w:p w14:paraId="288ED645" w14:textId="77777777" w:rsidR="009A05C7" w:rsidRPr="00A71764" w:rsidRDefault="009A05C7" w:rsidP="000240DA">
            <w:pPr>
              <w:spacing w:after="0" w:line="240" w:lineRule="auto"/>
              <w:jc w:val="left"/>
              <w:rPr>
                <w:rFonts w:eastAsia="Times New Roman" w:cs="Times New Roman"/>
                <w:sz w:val="18"/>
                <w:szCs w:val="18"/>
                <w:lang w:eastAsia="sk-SK"/>
              </w:rPr>
            </w:pPr>
            <w:r w:rsidRPr="00A71764">
              <w:rPr>
                <w:rFonts w:eastAsia="Times New Roman" w:cs="Times New Roman"/>
                <w:sz w:val="18"/>
                <w:szCs w:val="18"/>
                <w:lang w:eastAsia="sk-SK"/>
              </w:rPr>
              <w:t>Finančné výpomoci</w:t>
            </w:r>
          </w:p>
        </w:tc>
        <w:tc>
          <w:tcPr>
            <w:tcW w:w="575" w:type="pct"/>
            <w:tcBorders>
              <w:top w:val="nil"/>
              <w:left w:val="nil"/>
              <w:bottom w:val="nil"/>
              <w:right w:val="nil"/>
            </w:tcBorders>
            <w:shd w:val="clear" w:color="auto" w:fill="auto"/>
            <w:noWrap/>
            <w:vAlign w:val="bottom"/>
            <w:hideMark/>
          </w:tcPr>
          <w:p w14:paraId="0ABEE731"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136 501</w:t>
            </w:r>
          </w:p>
        </w:tc>
        <w:tc>
          <w:tcPr>
            <w:tcW w:w="520" w:type="pct"/>
            <w:tcBorders>
              <w:top w:val="nil"/>
              <w:left w:val="nil"/>
              <w:bottom w:val="nil"/>
              <w:right w:val="nil"/>
            </w:tcBorders>
            <w:shd w:val="clear" w:color="auto" w:fill="auto"/>
            <w:noWrap/>
            <w:vAlign w:val="bottom"/>
            <w:hideMark/>
          </w:tcPr>
          <w:p w14:paraId="58B7F946"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45 920</w:t>
            </w:r>
          </w:p>
        </w:tc>
        <w:tc>
          <w:tcPr>
            <w:tcW w:w="482" w:type="pct"/>
            <w:tcBorders>
              <w:top w:val="nil"/>
              <w:left w:val="nil"/>
              <w:bottom w:val="nil"/>
              <w:right w:val="nil"/>
            </w:tcBorders>
            <w:shd w:val="clear" w:color="auto" w:fill="auto"/>
            <w:noWrap/>
            <w:vAlign w:val="bottom"/>
            <w:hideMark/>
          </w:tcPr>
          <w:p w14:paraId="24E2CE4B"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41 792</w:t>
            </w:r>
          </w:p>
        </w:tc>
        <w:tc>
          <w:tcPr>
            <w:tcW w:w="616" w:type="pct"/>
            <w:tcBorders>
              <w:top w:val="nil"/>
              <w:left w:val="nil"/>
              <w:bottom w:val="nil"/>
              <w:right w:val="nil"/>
            </w:tcBorders>
            <w:shd w:val="clear" w:color="auto" w:fill="auto"/>
            <w:noWrap/>
            <w:vAlign w:val="bottom"/>
            <w:hideMark/>
          </w:tcPr>
          <w:p w14:paraId="2C10E13F"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-4 128</w:t>
            </w:r>
          </w:p>
        </w:tc>
      </w:tr>
      <w:tr w:rsidR="009A05C7" w:rsidRPr="00A71764" w14:paraId="6DD0B05C" w14:textId="77777777" w:rsidTr="000240DA">
        <w:trPr>
          <w:trHeight w:val="290"/>
        </w:trPr>
        <w:tc>
          <w:tcPr>
            <w:tcW w:w="2807" w:type="pct"/>
            <w:tcBorders>
              <w:top w:val="nil"/>
              <w:left w:val="nil"/>
              <w:bottom w:val="nil"/>
              <w:right w:val="nil"/>
            </w:tcBorders>
            <w:shd w:val="clear" w:color="auto" w:fill="auto"/>
            <w:noWrap/>
            <w:vAlign w:val="bottom"/>
            <w:hideMark/>
          </w:tcPr>
          <w:p w14:paraId="301C966C" w14:textId="77777777" w:rsidR="009A05C7" w:rsidRPr="00A71764" w:rsidRDefault="009A05C7" w:rsidP="000240DA">
            <w:pPr>
              <w:spacing w:after="0" w:line="240" w:lineRule="auto"/>
              <w:ind w:firstLineChars="200" w:firstLine="360"/>
              <w:jc w:val="left"/>
              <w:rPr>
                <w:rFonts w:eastAsia="Times New Roman" w:cs="Times New Roman"/>
                <w:sz w:val="18"/>
                <w:szCs w:val="18"/>
                <w:lang w:eastAsia="sk-SK"/>
              </w:rPr>
            </w:pPr>
            <w:r w:rsidRPr="00A71764">
              <w:rPr>
                <w:rFonts w:eastAsia="Times New Roman" w:cs="Times New Roman"/>
                <w:sz w:val="18"/>
                <w:szCs w:val="18"/>
                <w:lang w:eastAsia="sk-SK"/>
              </w:rPr>
              <w:t>z toho: NFV z VPS a ŠD (konsoliduje sa)</w:t>
            </w:r>
          </w:p>
        </w:tc>
        <w:tc>
          <w:tcPr>
            <w:tcW w:w="575" w:type="pct"/>
            <w:tcBorders>
              <w:top w:val="nil"/>
              <w:left w:val="nil"/>
              <w:bottom w:val="nil"/>
              <w:right w:val="nil"/>
            </w:tcBorders>
            <w:shd w:val="clear" w:color="auto" w:fill="auto"/>
            <w:noWrap/>
            <w:vAlign w:val="bottom"/>
            <w:hideMark/>
          </w:tcPr>
          <w:p w14:paraId="53C38CFE"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136 201</w:t>
            </w:r>
          </w:p>
        </w:tc>
        <w:tc>
          <w:tcPr>
            <w:tcW w:w="520" w:type="pct"/>
            <w:tcBorders>
              <w:top w:val="nil"/>
              <w:left w:val="nil"/>
              <w:bottom w:val="nil"/>
              <w:right w:val="nil"/>
            </w:tcBorders>
            <w:shd w:val="clear" w:color="auto" w:fill="auto"/>
            <w:noWrap/>
            <w:vAlign w:val="bottom"/>
            <w:hideMark/>
          </w:tcPr>
          <w:p w14:paraId="1004CB5C"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31 653</w:t>
            </w:r>
          </w:p>
        </w:tc>
        <w:tc>
          <w:tcPr>
            <w:tcW w:w="482" w:type="pct"/>
            <w:tcBorders>
              <w:top w:val="nil"/>
              <w:left w:val="nil"/>
              <w:bottom w:val="nil"/>
              <w:right w:val="nil"/>
            </w:tcBorders>
            <w:shd w:val="clear" w:color="auto" w:fill="auto"/>
            <w:noWrap/>
            <w:vAlign w:val="bottom"/>
            <w:hideMark/>
          </w:tcPr>
          <w:p w14:paraId="22FA4F28"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26 918</w:t>
            </w:r>
          </w:p>
        </w:tc>
        <w:tc>
          <w:tcPr>
            <w:tcW w:w="616" w:type="pct"/>
            <w:tcBorders>
              <w:top w:val="nil"/>
              <w:left w:val="nil"/>
              <w:bottom w:val="nil"/>
              <w:right w:val="nil"/>
            </w:tcBorders>
            <w:shd w:val="clear" w:color="auto" w:fill="auto"/>
            <w:noWrap/>
            <w:vAlign w:val="bottom"/>
            <w:hideMark/>
          </w:tcPr>
          <w:p w14:paraId="77BB76FD"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-4 735</w:t>
            </w:r>
          </w:p>
        </w:tc>
      </w:tr>
      <w:tr w:rsidR="009A05C7" w:rsidRPr="00A71764" w14:paraId="4CE6DF80" w14:textId="77777777" w:rsidTr="000240DA">
        <w:trPr>
          <w:trHeight w:val="290"/>
        </w:trPr>
        <w:tc>
          <w:tcPr>
            <w:tcW w:w="2807" w:type="pct"/>
            <w:tcBorders>
              <w:top w:val="nil"/>
              <w:left w:val="nil"/>
              <w:bottom w:val="nil"/>
              <w:right w:val="nil"/>
            </w:tcBorders>
            <w:shd w:val="clear" w:color="auto" w:fill="auto"/>
            <w:noWrap/>
            <w:vAlign w:val="bottom"/>
            <w:hideMark/>
          </w:tcPr>
          <w:p w14:paraId="7A0A9B5A" w14:textId="77777777" w:rsidR="009A05C7" w:rsidRPr="00A71764" w:rsidRDefault="009A05C7" w:rsidP="000240DA">
            <w:pPr>
              <w:spacing w:after="0" w:line="240" w:lineRule="auto"/>
              <w:ind w:firstLineChars="600" w:firstLine="1080"/>
              <w:jc w:val="left"/>
              <w:rPr>
                <w:rFonts w:eastAsia="Times New Roman" w:cs="Times New Roman"/>
                <w:sz w:val="18"/>
                <w:szCs w:val="18"/>
                <w:lang w:eastAsia="sk-SK"/>
              </w:rPr>
            </w:pPr>
            <w:r w:rsidRPr="00A71764">
              <w:rPr>
                <w:rFonts w:eastAsia="Times New Roman" w:cs="Times New Roman"/>
                <w:sz w:val="18"/>
                <w:szCs w:val="18"/>
                <w:lang w:eastAsia="sk-SK"/>
              </w:rPr>
              <w:t>od ostat. subj. verejnej správy (konsoliduje sa)</w:t>
            </w:r>
          </w:p>
        </w:tc>
        <w:tc>
          <w:tcPr>
            <w:tcW w:w="575" w:type="pct"/>
            <w:tcBorders>
              <w:top w:val="nil"/>
              <w:left w:val="nil"/>
              <w:bottom w:val="nil"/>
              <w:right w:val="nil"/>
            </w:tcBorders>
            <w:shd w:val="clear" w:color="auto" w:fill="auto"/>
            <w:noWrap/>
            <w:vAlign w:val="bottom"/>
            <w:hideMark/>
          </w:tcPr>
          <w:p w14:paraId="03F6B520"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300</w:t>
            </w:r>
          </w:p>
        </w:tc>
        <w:tc>
          <w:tcPr>
            <w:tcW w:w="520" w:type="pct"/>
            <w:tcBorders>
              <w:top w:val="nil"/>
              <w:left w:val="nil"/>
              <w:bottom w:val="nil"/>
              <w:right w:val="nil"/>
            </w:tcBorders>
            <w:shd w:val="clear" w:color="auto" w:fill="auto"/>
            <w:noWrap/>
            <w:vAlign w:val="bottom"/>
            <w:hideMark/>
          </w:tcPr>
          <w:p w14:paraId="2A8F2F9E"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14 267</w:t>
            </w:r>
          </w:p>
        </w:tc>
        <w:tc>
          <w:tcPr>
            <w:tcW w:w="482" w:type="pct"/>
            <w:tcBorders>
              <w:top w:val="nil"/>
              <w:left w:val="nil"/>
              <w:bottom w:val="nil"/>
              <w:right w:val="nil"/>
            </w:tcBorders>
            <w:shd w:val="clear" w:color="auto" w:fill="auto"/>
            <w:noWrap/>
            <w:vAlign w:val="bottom"/>
            <w:hideMark/>
          </w:tcPr>
          <w:p w14:paraId="52229391"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14 874</w:t>
            </w:r>
          </w:p>
        </w:tc>
        <w:tc>
          <w:tcPr>
            <w:tcW w:w="616" w:type="pct"/>
            <w:tcBorders>
              <w:top w:val="nil"/>
              <w:left w:val="nil"/>
              <w:bottom w:val="nil"/>
              <w:right w:val="nil"/>
            </w:tcBorders>
            <w:shd w:val="clear" w:color="auto" w:fill="auto"/>
            <w:noWrap/>
            <w:vAlign w:val="bottom"/>
            <w:hideMark/>
          </w:tcPr>
          <w:p w14:paraId="13841358"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607</w:t>
            </w:r>
          </w:p>
        </w:tc>
      </w:tr>
      <w:tr w:rsidR="009A05C7" w:rsidRPr="00A71764" w14:paraId="4023A28B" w14:textId="77777777" w:rsidTr="000240DA">
        <w:trPr>
          <w:trHeight w:val="290"/>
        </w:trPr>
        <w:tc>
          <w:tcPr>
            <w:tcW w:w="2807" w:type="pct"/>
            <w:tcBorders>
              <w:top w:val="nil"/>
              <w:left w:val="nil"/>
              <w:bottom w:val="nil"/>
              <w:right w:val="nil"/>
            </w:tcBorders>
            <w:shd w:val="clear" w:color="auto" w:fill="auto"/>
            <w:noWrap/>
            <w:vAlign w:val="bottom"/>
            <w:hideMark/>
          </w:tcPr>
          <w:p w14:paraId="501904BF" w14:textId="77777777" w:rsidR="009A05C7" w:rsidRPr="00A71764" w:rsidRDefault="009A05C7" w:rsidP="000240DA">
            <w:pPr>
              <w:spacing w:after="0" w:line="240" w:lineRule="auto"/>
              <w:jc w:val="left"/>
              <w:rPr>
                <w:rFonts w:eastAsia="Times New Roman" w:cs="Times New Roman"/>
                <w:sz w:val="18"/>
                <w:szCs w:val="18"/>
                <w:lang w:eastAsia="sk-SK"/>
              </w:rPr>
            </w:pPr>
            <w:r w:rsidRPr="00A71764">
              <w:rPr>
                <w:rFonts w:eastAsia="Times New Roman" w:cs="Times New Roman"/>
                <w:sz w:val="18"/>
                <w:szCs w:val="18"/>
                <w:lang w:eastAsia="sk-SK"/>
              </w:rPr>
              <w:t>Pôžičky z ENVF (konsoliduje sa)</w:t>
            </w:r>
          </w:p>
        </w:tc>
        <w:tc>
          <w:tcPr>
            <w:tcW w:w="575" w:type="pct"/>
            <w:tcBorders>
              <w:top w:val="nil"/>
              <w:left w:val="nil"/>
              <w:bottom w:val="nil"/>
              <w:right w:val="nil"/>
            </w:tcBorders>
            <w:shd w:val="clear" w:color="auto" w:fill="auto"/>
            <w:noWrap/>
            <w:vAlign w:val="bottom"/>
            <w:hideMark/>
          </w:tcPr>
          <w:p w14:paraId="6AD7E5A8"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975</w:t>
            </w:r>
          </w:p>
        </w:tc>
        <w:tc>
          <w:tcPr>
            <w:tcW w:w="520" w:type="pct"/>
            <w:tcBorders>
              <w:top w:val="nil"/>
              <w:left w:val="nil"/>
              <w:bottom w:val="nil"/>
              <w:right w:val="nil"/>
            </w:tcBorders>
            <w:shd w:val="clear" w:color="auto" w:fill="auto"/>
            <w:noWrap/>
            <w:vAlign w:val="bottom"/>
            <w:hideMark/>
          </w:tcPr>
          <w:p w14:paraId="779248CD"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16 825</w:t>
            </w:r>
          </w:p>
        </w:tc>
        <w:tc>
          <w:tcPr>
            <w:tcW w:w="482" w:type="pct"/>
            <w:tcBorders>
              <w:top w:val="nil"/>
              <w:left w:val="nil"/>
              <w:bottom w:val="nil"/>
              <w:right w:val="nil"/>
            </w:tcBorders>
            <w:shd w:val="clear" w:color="auto" w:fill="auto"/>
            <w:noWrap/>
            <w:vAlign w:val="bottom"/>
            <w:hideMark/>
          </w:tcPr>
          <w:p w14:paraId="41FFDA88"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38 941</w:t>
            </w:r>
          </w:p>
        </w:tc>
        <w:tc>
          <w:tcPr>
            <w:tcW w:w="616" w:type="pct"/>
            <w:tcBorders>
              <w:top w:val="nil"/>
              <w:left w:val="nil"/>
              <w:bottom w:val="nil"/>
              <w:right w:val="nil"/>
            </w:tcBorders>
            <w:shd w:val="clear" w:color="auto" w:fill="auto"/>
            <w:noWrap/>
            <w:vAlign w:val="bottom"/>
            <w:hideMark/>
          </w:tcPr>
          <w:p w14:paraId="0F6F6934"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22 116</w:t>
            </w:r>
          </w:p>
        </w:tc>
      </w:tr>
      <w:tr w:rsidR="009A05C7" w:rsidRPr="00A71764" w14:paraId="5042849E" w14:textId="77777777" w:rsidTr="000240DA">
        <w:trPr>
          <w:trHeight w:val="290"/>
        </w:trPr>
        <w:tc>
          <w:tcPr>
            <w:tcW w:w="2807" w:type="pct"/>
            <w:tcBorders>
              <w:top w:val="nil"/>
              <w:left w:val="nil"/>
              <w:bottom w:val="nil"/>
              <w:right w:val="nil"/>
            </w:tcBorders>
            <w:shd w:val="clear" w:color="auto" w:fill="auto"/>
            <w:noWrap/>
            <w:vAlign w:val="bottom"/>
            <w:hideMark/>
          </w:tcPr>
          <w:p w14:paraId="321F803E" w14:textId="77777777" w:rsidR="009A05C7" w:rsidRPr="00A71764" w:rsidRDefault="009A05C7" w:rsidP="000240DA">
            <w:pPr>
              <w:spacing w:after="0" w:line="240" w:lineRule="auto"/>
              <w:jc w:val="left"/>
              <w:rPr>
                <w:rFonts w:eastAsia="Times New Roman" w:cs="Times New Roman"/>
                <w:sz w:val="18"/>
                <w:szCs w:val="18"/>
                <w:lang w:eastAsia="sk-SK"/>
              </w:rPr>
            </w:pPr>
            <w:r w:rsidRPr="00A71764">
              <w:rPr>
                <w:rFonts w:eastAsia="Times New Roman" w:cs="Times New Roman"/>
                <w:sz w:val="18"/>
                <w:szCs w:val="18"/>
                <w:lang w:eastAsia="sk-SK"/>
              </w:rPr>
              <w:t>Dlhodobé záväzky z obchodného styku a prijaté preddavky</w:t>
            </w:r>
          </w:p>
        </w:tc>
        <w:tc>
          <w:tcPr>
            <w:tcW w:w="575" w:type="pct"/>
            <w:tcBorders>
              <w:top w:val="nil"/>
              <w:left w:val="nil"/>
              <w:bottom w:val="nil"/>
              <w:right w:val="nil"/>
            </w:tcBorders>
            <w:shd w:val="clear" w:color="auto" w:fill="auto"/>
            <w:noWrap/>
            <w:vAlign w:val="bottom"/>
            <w:hideMark/>
          </w:tcPr>
          <w:p w14:paraId="7D87AAE1"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22 063</w:t>
            </w:r>
          </w:p>
        </w:tc>
        <w:tc>
          <w:tcPr>
            <w:tcW w:w="520" w:type="pct"/>
            <w:tcBorders>
              <w:top w:val="nil"/>
              <w:left w:val="nil"/>
              <w:bottom w:val="nil"/>
              <w:right w:val="nil"/>
            </w:tcBorders>
            <w:shd w:val="clear" w:color="auto" w:fill="auto"/>
            <w:noWrap/>
            <w:vAlign w:val="bottom"/>
            <w:hideMark/>
          </w:tcPr>
          <w:p w14:paraId="58B36A34"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24 325</w:t>
            </w:r>
          </w:p>
        </w:tc>
        <w:tc>
          <w:tcPr>
            <w:tcW w:w="482" w:type="pct"/>
            <w:tcBorders>
              <w:top w:val="nil"/>
              <w:left w:val="nil"/>
              <w:bottom w:val="nil"/>
              <w:right w:val="nil"/>
            </w:tcBorders>
            <w:shd w:val="clear" w:color="auto" w:fill="auto"/>
            <w:noWrap/>
            <w:vAlign w:val="bottom"/>
            <w:hideMark/>
          </w:tcPr>
          <w:p w14:paraId="75FE3F74"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34 001</w:t>
            </w:r>
          </w:p>
        </w:tc>
        <w:tc>
          <w:tcPr>
            <w:tcW w:w="616" w:type="pct"/>
            <w:tcBorders>
              <w:top w:val="nil"/>
              <w:left w:val="nil"/>
              <w:bottom w:val="nil"/>
              <w:right w:val="nil"/>
            </w:tcBorders>
            <w:shd w:val="clear" w:color="auto" w:fill="auto"/>
            <w:noWrap/>
            <w:vAlign w:val="bottom"/>
            <w:hideMark/>
          </w:tcPr>
          <w:p w14:paraId="35D53AEE"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9 676</w:t>
            </w:r>
          </w:p>
        </w:tc>
      </w:tr>
      <w:tr w:rsidR="009A05C7" w:rsidRPr="00A71764" w14:paraId="17522177" w14:textId="77777777" w:rsidTr="000240DA">
        <w:trPr>
          <w:trHeight w:val="290"/>
        </w:trPr>
        <w:tc>
          <w:tcPr>
            <w:tcW w:w="2807" w:type="pct"/>
            <w:tcBorders>
              <w:top w:val="nil"/>
              <w:left w:val="nil"/>
              <w:bottom w:val="nil"/>
              <w:right w:val="nil"/>
            </w:tcBorders>
            <w:shd w:val="clear" w:color="auto" w:fill="auto"/>
            <w:noWrap/>
            <w:vAlign w:val="bottom"/>
            <w:hideMark/>
          </w:tcPr>
          <w:p w14:paraId="22E6782B" w14:textId="77777777" w:rsidR="009A05C7" w:rsidRPr="00A71764" w:rsidRDefault="009A05C7" w:rsidP="000240DA">
            <w:pPr>
              <w:spacing w:after="0" w:line="240" w:lineRule="auto"/>
              <w:jc w:val="left"/>
              <w:rPr>
                <w:rFonts w:eastAsia="Times New Roman" w:cs="Times New Roman"/>
                <w:sz w:val="18"/>
                <w:szCs w:val="18"/>
                <w:lang w:eastAsia="sk-SK"/>
              </w:rPr>
            </w:pPr>
            <w:r w:rsidRPr="00A71764">
              <w:rPr>
                <w:rFonts w:eastAsia="Times New Roman" w:cs="Times New Roman"/>
                <w:sz w:val="18"/>
                <w:szCs w:val="18"/>
                <w:lang w:eastAsia="sk-SK"/>
              </w:rPr>
              <w:t>Zábezpeky</w:t>
            </w:r>
          </w:p>
        </w:tc>
        <w:tc>
          <w:tcPr>
            <w:tcW w:w="575" w:type="pct"/>
            <w:tcBorders>
              <w:top w:val="nil"/>
              <w:left w:val="nil"/>
              <w:bottom w:val="nil"/>
              <w:right w:val="nil"/>
            </w:tcBorders>
            <w:shd w:val="clear" w:color="auto" w:fill="auto"/>
            <w:noWrap/>
            <w:vAlign w:val="bottom"/>
            <w:hideMark/>
          </w:tcPr>
          <w:p w14:paraId="7E9CCA22"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26 759</w:t>
            </w:r>
          </w:p>
        </w:tc>
        <w:tc>
          <w:tcPr>
            <w:tcW w:w="520" w:type="pct"/>
            <w:tcBorders>
              <w:top w:val="nil"/>
              <w:left w:val="nil"/>
              <w:bottom w:val="nil"/>
              <w:right w:val="nil"/>
            </w:tcBorders>
            <w:shd w:val="clear" w:color="auto" w:fill="auto"/>
            <w:noWrap/>
            <w:vAlign w:val="bottom"/>
            <w:hideMark/>
          </w:tcPr>
          <w:p w14:paraId="60036340"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29 571</w:t>
            </w:r>
          </w:p>
        </w:tc>
        <w:tc>
          <w:tcPr>
            <w:tcW w:w="482" w:type="pct"/>
            <w:tcBorders>
              <w:top w:val="nil"/>
              <w:left w:val="nil"/>
              <w:bottom w:val="nil"/>
              <w:right w:val="nil"/>
            </w:tcBorders>
            <w:shd w:val="clear" w:color="auto" w:fill="auto"/>
            <w:noWrap/>
            <w:vAlign w:val="bottom"/>
            <w:hideMark/>
          </w:tcPr>
          <w:p w14:paraId="7D03737A"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31 643</w:t>
            </w:r>
          </w:p>
        </w:tc>
        <w:tc>
          <w:tcPr>
            <w:tcW w:w="616" w:type="pct"/>
            <w:tcBorders>
              <w:top w:val="nil"/>
              <w:left w:val="nil"/>
              <w:bottom w:val="nil"/>
              <w:right w:val="nil"/>
            </w:tcBorders>
            <w:shd w:val="clear" w:color="auto" w:fill="auto"/>
            <w:noWrap/>
            <w:vAlign w:val="bottom"/>
            <w:hideMark/>
          </w:tcPr>
          <w:p w14:paraId="0871F860"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2 072</w:t>
            </w:r>
          </w:p>
        </w:tc>
      </w:tr>
      <w:tr w:rsidR="009A05C7" w:rsidRPr="00A71764" w14:paraId="53539478" w14:textId="77777777" w:rsidTr="000240DA">
        <w:trPr>
          <w:trHeight w:val="290"/>
        </w:trPr>
        <w:tc>
          <w:tcPr>
            <w:tcW w:w="2807" w:type="pct"/>
            <w:tcBorders>
              <w:top w:val="nil"/>
              <w:left w:val="nil"/>
              <w:bottom w:val="nil"/>
              <w:right w:val="nil"/>
            </w:tcBorders>
            <w:shd w:val="clear" w:color="auto" w:fill="auto"/>
            <w:noWrap/>
            <w:vAlign w:val="bottom"/>
            <w:hideMark/>
          </w:tcPr>
          <w:p w14:paraId="44DA9A9C" w14:textId="77777777" w:rsidR="009A05C7" w:rsidRPr="00A71764" w:rsidRDefault="009A05C7" w:rsidP="000240DA">
            <w:pPr>
              <w:spacing w:after="0" w:line="240" w:lineRule="auto"/>
              <w:jc w:val="left"/>
              <w:rPr>
                <w:rFonts w:eastAsia="Times New Roman" w:cs="Times New Roman"/>
                <w:sz w:val="18"/>
                <w:szCs w:val="18"/>
                <w:lang w:eastAsia="sk-SK"/>
              </w:rPr>
            </w:pPr>
            <w:r w:rsidRPr="00A71764">
              <w:rPr>
                <w:rFonts w:eastAsia="Times New Roman" w:cs="Times New Roman"/>
                <w:sz w:val="18"/>
                <w:szCs w:val="18"/>
                <w:lang w:eastAsia="sk-SK"/>
              </w:rPr>
              <w:t>Záväzky po zmene veriteľa</w:t>
            </w:r>
          </w:p>
        </w:tc>
        <w:tc>
          <w:tcPr>
            <w:tcW w:w="575" w:type="pct"/>
            <w:tcBorders>
              <w:top w:val="nil"/>
              <w:left w:val="nil"/>
              <w:bottom w:val="nil"/>
              <w:right w:val="nil"/>
            </w:tcBorders>
            <w:shd w:val="clear" w:color="auto" w:fill="auto"/>
            <w:noWrap/>
            <w:vAlign w:val="bottom"/>
            <w:hideMark/>
          </w:tcPr>
          <w:p w14:paraId="116A3E59"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7 098</w:t>
            </w:r>
          </w:p>
        </w:tc>
        <w:tc>
          <w:tcPr>
            <w:tcW w:w="520" w:type="pct"/>
            <w:tcBorders>
              <w:top w:val="nil"/>
              <w:left w:val="nil"/>
              <w:bottom w:val="nil"/>
              <w:right w:val="nil"/>
            </w:tcBorders>
            <w:shd w:val="clear" w:color="auto" w:fill="auto"/>
            <w:noWrap/>
            <w:vAlign w:val="bottom"/>
            <w:hideMark/>
          </w:tcPr>
          <w:p w14:paraId="33E6907C"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8 627</w:t>
            </w:r>
          </w:p>
        </w:tc>
        <w:tc>
          <w:tcPr>
            <w:tcW w:w="482" w:type="pct"/>
            <w:tcBorders>
              <w:top w:val="nil"/>
              <w:left w:val="nil"/>
              <w:bottom w:val="nil"/>
              <w:right w:val="nil"/>
            </w:tcBorders>
            <w:shd w:val="clear" w:color="auto" w:fill="auto"/>
            <w:noWrap/>
            <w:vAlign w:val="bottom"/>
            <w:hideMark/>
          </w:tcPr>
          <w:p w14:paraId="2F41A8B5"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6 495</w:t>
            </w:r>
          </w:p>
        </w:tc>
        <w:tc>
          <w:tcPr>
            <w:tcW w:w="616" w:type="pct"/>
            <w:tcBorders>
              <w:top w:val="nil"/>
              <w:left w:val="nil"/>
              <w:bottom w:val="nil"/>
              <w:right w:val="nil"/>
            </w:tcBorders>
            <w:shd w:val="clear" w:color="auto" w:fill="auto"/>
            <w:noWrap/>
            <w:vAlign w:val="bottom"/>
            <w:hideMark/>
          </w:tcPr>
          <w:p w14:paraId="04F2026C"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-2 132</w:t>
            </w:r>
          </w:p>
        </w:tc>
      </w:tr>
      <w:tr w:rsidR="009A05C7" w:rsidRPr="00A71764" w14:paraId="4DF4A507" w14:textId="77777777" w:rsidTr="000240DA">
        <w:trPr>
          <w:trHeight w:val="290"/>
        </w:trPr>
        <w:tc>
          <w:tcPr>
            <w:tcW w:w="2807" w:type="pct"/>
            <w:tcBorders>
              <w:top w:val="nil"/>
              <w:left w:val="nil"/>
              <w:bottom w:val="nil"/>
              <w:right w:val="nil"/>
            </w:tcBorders>
            <w:shd w:val="clear" w:color="auto" w:fill="auto"/>
            <w:noWrap/>
            <w:vAlign w:val="bottom"/>
            <w:hideMark/>
          </w:tcPr>
          <w:p w14:paraId="48739204" w14:textId="77777777" w:rsidR="009A05C7" w:rsidRPr="00A71764" w:rsidRDefault="009A05C7" w:rsidP="000240DA">
            <w:pPr>
              <w:spacing w:after="0" w:line="240" w:lineRule="auto"/>
              <w:jc w:val="left"/>
              <w:rPr>
                <w:rFonts w:eastAsia="Times New Roman" w:cs="Times New Roman"/>
                <w:sz w:val="18"/>
                <w:szCs w:val="18"/>
                <w:lang w:eastAsia="sk-SK"/>
              </w:rPr>
            </w:pPr>
            <w:r w:rsidRPr="00A71764">
              <w:rPr>
                <w:rFonts w:eastAsia="Times New Roman" w:cs="Times New Roman"/>
                <w:sz w:val="18"/>
                <w:szCs w:val="18"/>
                <w:lang w:eastAsia="sk-SK"/>
              </w:rPr>
              <w:t>Finančný prenájom</w:t>
            </w:r>
          </w:p>
        </w:tc>
        <w:tc>
          <w:tcPr>
            <w:tcW w:w="575" w:type="pct"/>
            <w:tcBorders>
              <w:top w:val="nil"/>
              <w:left w:val="nil"/>
              <w:bottom w:val="nil"/>
              <w:right w:val="nil"/>
            </w:tcBorders>
            <w:shd w:val="clear" w:color="auto" w:fill="auto"/>
            <w:noWrap/>
            <w:vAlign w:val="bottom"/>
            <w:hideMark/>
          </w:tcPr>
          <w:p w14:paraId="14B575CD"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4 356</w:t>
            </w:r>
          </w:p>
        </w:tc>
        <w:tc>
          <w:tcPr>
            <w:tcW w:w="520" w:type="pct"/>
            <w:tcBorders>
              <w:top w:val="nil"/>
              <w:left w:val="nil"/>
              <w:bottom w:val="nil"/>
              <w:right w:val="nil"/>
            </w:tcBorders>
            <w:shd w:val="clear" w:color="auto" w:fill="auto"/>
            <w:noWrap/>
            <w:vAlign w:val="bottom"/>
            <w:hideMark/>
          </w:tcPr>
          <w:p w14:paraId="107504DB"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4 094</w:t>
            </w:r>
          </w:p>
        </w:tc>
        <w:tc>
          <w:tcPr>
            <w:tcW w:w="482" w:type="pct"/>
            <w:tcBorders>
              <w:top w:val="nil"/>
              <w:left w:val="nil"/>
              <w:bottom w:val="nil"/>
              <w:right w:val="nil"/>
            </w:tcBorders>
            <w:shd w:val="clear" w:color="auto" w:fill="auto"/>
            <w:noWrap/>
            <w:vAlign w:val="bottom"/>
            <w:hideMark/>
          </w:tcPr>
          <w:p w14:paraId="7447EEB1"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4 973</w:t>
            </w:r>
          </w:p>
        </w:tc>
        <w:tc>
          <w:tcPr>
            <w:tcW w:w="616" w:type="pct"/>
            <w:tcBorders>
              <w:top w:val="nil"/>
              <w:left w:val="nil"/>
              <w:bottom w:val="nil"/>
              <w:right w:val="nil"/>
            </w:tcBorders>
            <w:shd w:val="clear" w:color="auto" w:fill="auto"/>
            <w:noWrap/>
            <w:vAlign w:val="bottom"/>
            <w:hideMark/>
          </w:tcPr>
          <w:p w14:paraId="069CF1CB"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879</w:t>
            </w:r>
          </w:p>
        </w:tc>
      </w:tr>
      <w:tr w:rsidR="009A05C7" w:rsidRPr="00A71764" w14:paraId="527B1AFC" w14:textId="77777777" w:rsidTr="000240DA">
        <w:trPr>
          <w:trHeight w:val="290"/>
        </w:trPr>
        <w:tc>
          <w:tcPr>
            <w:tcW w:w="2807" w:type="pct"/>
            <w:tcBorders>
              <w:top w:val="nil"/>
              <w:left w:val="nil"/>
              <w:bottom w:val="nil"/>
              <w:right w:val="nil"/>
            </w:tcBorders>
            <w:shd w:val="clear" w:color="auto" w:fill="auto"/>
            <w:noWrap/>
            <w:vAlign w:val="bottom"/>
            <w:hideMark/>
          </w:tcPr>
          <w:p w14:paraId="3D6BE4CB" w14:textId="77777777" w:rsidR="009A05C7" w:rsidRPr="00A71764" w:rsidRDefault="009A05C7" w:rsidP="000240DA">
            <w:pPr>
              <w:spacing w:after="0" w:line="240" w:lineRule="auto"/>
              <w:jc w:val="left"/>
              <w:rPr>
                <w:rFonts w:eastAsia="Times New Roman" w:cs="Times New Roman"/>
                <w:sz w:val="18"/>
                <w:szCs w:val="18"/>
                <w:lang w:eastAsia="sk-SK"/>
              </w:rPr>
            </w:pPr>
            <w:r w:rsidRPr="00A71764">
              <w:rPr>
                <w:rFonts w:eastAsia="Times New Roman" w:cs="Times New Roman"/>
                <w:sz w:val="18"/>
                <w:szCs w:val="18"/>
                <w:lang w:eastAsia="sk-SK"/>
              </w:rPr>
              <w:t>Investičné dodávateľské úvery a dodávateľské úvery</w:t>
            </w:r>
          </w:p>
        </w:tc>
        <w:tc>
          <w:tcPr>
            <w:tcW w:w="575" w:type="pct"/>
            <w:tcBorders>
              <w:top w:val="nil"/>
              <w:left w:val="nil"/>
              <w:bottom w:val="nil"/>
              <w:right w:val="nil"/>
            </w:tcBorders>
            <w:shd w:val="clear" w:color="auto" w:fill="auto"/>
            <w:noWrap/>
            <w:vAlign w:val="bottom"/>
            <w:hideMark/>
          </w:tcPr>
          <w:p w14:paraId="6F35251F"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5 120</w:t>
            </w:r>
          </w:p>
        </w:tc>
        <w:tc>
          <w:tcPr>
            <w:tcW w:w="520" w:type="pct"/>
            <w:tcBorders>
              <w:top w:val="nil"/>
              <w:left w:val="nil"/>
              <w:bottom w:val="nil"/>
              <w:right w:val="nil"/>
            </w:tcBorders>
            <w:shd w:val="clear" w:color="auto" w:fill="auto"/>
            <w:noWrap/>
            <w:vAlign w:val="bottom"/>
            <w:hideMark/>
          </w:tcPr>
          <w:p w14:paraId="64DE0D3F"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3 506</w:t>
            </w:r>
          </w:p>
        </w:tc>
        <w:tc>
          <w:tcPr>
            <w:tcW w:w="482" w:type="pct"/>
            <w:tcBorders>
              <w:top w:val="nil"/>
              <w:left w:val="nil"/>
              <w:bottom w:val="nil"/>
              <w:right w:val="nil"/>
            </w:tcBorders>
            <w:shd w:val="clear" w:color="auto" w:fill="auto"/>
            <w:noWrap/>
            <w:vAlign w:val="bottom"/>
            <w:hideMark/>
          </w:tcPr>
          <w:p w14:paraId="35AF14CF"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3 723</w:t>
            </w:r>
          </w:p>
        </w:tc>
        <w:tc>
          <w:tcPr>
            <w:tcW w:w="616" w:type="pct"/>
            <w:tcBorders>
              <w:top w:val="nil"/>
              <w:left w:val="nil"/>
              <w:bottom w:val="nil"/>
              <w:right w:val="nil"/>
            </w:tcBorders>
            <w:shd w:val="clear" w:color="auto" w:fill="auto"/>
            <w:noWrap/>
            <w:vAlign w:val="bottom"/>
            <w:hideMark/>
          </w:tcPr>
          <w:p w14:paraId="18BE2AC2"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217</w:t>
            </w:r>
          </w:p>
        </w:tc>
      </w:tr>
      <w:tr w:rsidR="009A05C7" w:rsidRPr="00A71764" w14:paraId="60A7B64E" w14:textId="77777777" w:rsidTr="000240DA">
        <w:trPr>
          <w:trHeight w:val="290"/>
        </w:trPr>
        <w:tc>
          <w:tcPr>
            <w:tcW w:w="2807" w:type="pct"/>
            <w:tcBorders>
              <w:top w:val="nil"/>
              <w:left w:val="nil"/>
              <w:bottom w:val="nil"/>
              <w:right w:val="nil"/>
            </w:tcBorders>
            <w:shd w:val="clear" w:color="auto" w:fill="auto"/>
            <w:noWrap/>
            <w:vAlign w:val="bottom"/>
            <w:hideMark/>
          </w:tcPr>
          <w:p w14:paraId="57C70C76" w14:textId="77777777" w:rsidR="009A05C7" w:rsidRPr="00A71764" w:rsidRDefault="009A05C7" w:rsidP="000240DA">
            <w:pPr>
              <w:spacing w:after="0" w:line="240" w:lineRule="auto"/>
              <w:jc w:val="left"/>
              <w:rPr>
                <w:rFonts w:eastAsia="Times New Roman" w:cs="Times New Roman"/>
                <w:sz w:val="18"/>
                <w:szCs w:val="18"/>
                <w:lang w:eastAsia="sk-SK"/>
              </w:rPr>
            </w:pPr>
            <w:r w:rsidRPr="00A71764">
              <w:rPr>
                <w:rFonts w:eastAsia="Times New Roman" w:cs="Times New Roman"/>
                <w:sz w:val="18"/>
                <w:szCs w:val="18"/>
                <w:lang w:eastAsia="sk-SK"/>
              </w:rPr>
              <w:t>Ostatné nebankové pôžičky</w:t>
            </w:r>
          </w:p>
        </w:tc>
        <w:tc>
          <w:tcPr>
            <w:tcW w:w="575" w:type="pct"/>
            <w:tcBorders>
              <w:top w:val="nil"/>
              <w:left w:val="nil"/>
              <w:bottom w:val="nil"/>
              <w:right w:val="nil"/>
            </w:tcBorders>
            <w:shd w:val="clear" w:color="auto" w:fill="auto"/>
            <w:noWrap/>
            <w:vAlign w:val="bottom"/>
            <w:hideMark/>
          </w:tcPr>
          <w:p w14:paraId="0A35FFAF"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5 815</w:t>
            </w:r>
          </w:p>
        </w:tc>
        <w:tc>
          <w:tcPr>
            <w:tcW w:w="520" w:type="pct"/>
            <w:tcBorders>
              <w:top w:val="nil"/>
              <w:left w:val="nil"/>
              <w:bottom w:val="nil"/>
              <w:right w:val="nil"/>
            </w:tcBorders>
            <w:shd w:val="clear" w:color="auto" w:fill="auto"/>
            <w:noWrap/>
            <w:vAlign w:val="bottom"/>
            <w:hideMark/>
          </w:tcPr>
          <w:p w14:paraId="549E96DE"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4 414</w:t>
            </w:r>
          </w:p>
        </w:tc>
        <w:tc>
          <w:tcPr>
            <w:tcW w:w="482" w:type="pct"/>
            <w:tcBorders>
              <w:top w:val="nil"/>
              <w:left w:val="nil"/>
              <w:bottom w:val="nil"/>
              <w:right w:val="nil"/>
            </w:tcBorders>
            <w:shd w:val="clear" w:color="auto" w:fill="auto"/>
            <w:noWrap/>
            <w:vAlign w:val="bottom"/>
            <w:hideMark/>
          </w:tcPr>
          <w:p w14:paraId="630EA8A0"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3 578</w:t>
            </w:r>
          </w:p>
        </w:tc>
        <w:tc>
          <w:tcPr>
            <w:tcW w:w="616" w:type="pct"/>
            <w:tcBorders>
              <w:top w:val="nil"/>
              <w:left w:val="nil"/>
              <w:bottom w:val="nil"/>
              <w:right w:val="nil"/>
            </w:tcBorders>
            <w:shd w:val="clear" w:color="auto" w:fill="auto"/>
            <w:noWrap/>
            <w:vAlign w:val="bottom"/>
            <w:hideMark/>
          </w:tcPr>
          <w:p w14:paraId="4467E422"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-836</w:t>
            </w:r>
          </w:p>
        </w:tc>
      </w:tr>
      <w:tr w:rsidR="009A05C7" w:rsidRPr="00A71764" w14:paraId="0383124A" w14:textId="77777777" w:rsidTr="000240DA">
        <w:trPr>
          <w:trHeight w:val="290"/>
        </w:trPr>
        <w:tc>
          <w:tcPr>
            <w:tcW w:w="2807" w:type="pct"/>
            <w:tcBorders>
              <w:top w:val="nil"/>
              <w:left w:val="nil"/>
              <w:bottom w:val="nil"/>
              <w:right w:val="nil"/>
            </w:tcBorders>
            <w:shd w:val="clear" w:color="auto" w:fill="auto"/>
            <w:noWrap/>
            <w:vAlign w:val="bottom"/>
            <w:hideMark/>
          </w:tcPr>
          <w:p w14:paraId="1D09B2E4" w14:textId="77777777" w:rsidR="009A05C7" w:rsidRPr="00A71764" w:rsidRDefault="009A05C7" w:rsidP="000240DA">
            <w:pPr>
              <w:spacing w:after="0" w:line="240" w:lineRule="auto"/>
              <w:jc w:val="left"/>
              <w:rPr>
                <w:rFonts w:eastAsia="Times New Roman" w:cs="Times New Roman"/>
                <w:sz w:val="18"/>
                <w:szCs w:val="18"/>
                <w:lang w:eastAsia="sk-SK"/>
              </w:rPr>
            </w:pPr>
            <w:r w:rsidRPr="00A71764">
              <w:rPr>
                <w:rFonts w:eastAsia="Times New Roman" w:cs="Times New Roman"/>
                <w:sz w:val="18"/>
                <w:szCs w:val="18"/>
                <w:lang w:eastAsia="sk-SK"/>
              </w:rPr>
              <w:t>Cenné papiere</w:t>
            </w:r>
          </w:p>
        </w:tc>
        <w:tc>
          <w:tcPr>
            <w:tcW w:w="575" w:type="pct"/>
            <w:tcBorders>
              <w:top w:val="nil"/>
              <w:left w:val="nil"/>
              <w:bottom w:val="nil"/>
              <w:right w:val="nil"/>
            </w:tcBorders>
            <w:shd w:val="clear" w:color="auto" w:fill="auto"/>
            <w:noWrap/>
            <w:vAlign w:val="bottom"/>
            <w:hideMark/>
          </w:tcPr>
          <w:p w14:paraId="1820A587"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2 266</w:t>
            </w:r>
          </w:p>
        </w:tc>
        <w:tc>
          <w:tcPr>
            <w:tcW w:w="520" w:type="pct"/>
            <w:tcBorders>
              <w:top w:val="nil"/>
              <w:left w:val="nil"/>
              <w:bottom w:val="nil"/>
              <w:right w:val="nil"/>
            </w:tcBorders>
            <w:shd w:val="clear" w:color="auto" w:fill="auto"/>
            <w:noWrap/>
            <w:vAlign w:val="bottom"/>
            <w:hideMark/>
          </w:tcPr>
          <w:p w14:paraId="377AF792"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2 259</w:t>
            </w:r>
          </w:p>
        </w:tc>
        <w:tc>
          <w:tcPr>
            <w:tcW w:w="482" w:type="pct"/>
            <w:tcBorders>
              <w:top w:val="nil"/>
              <w:left w:val="nil"/>
              <w:bottom w:val="nil"/>
              <w:right w:val="nil"/>
            </w:tcBorders>
            <w:shd w:val="clear" w:color="auto" w:fill="auto"/>
            <w:noWrap/>
            <w:vAlign w:val="bottom"/>
            <w:hideMark/>
          </w:tcPr>
          <w:p w14:paraId="0378797B"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2 256</w:t>
            </w:r>
          </w:p>
        </w:tc>
        <w:tc>
          <w:tcPr>
            <w:tcW w:w="616" w:type="pct"/>
            <w:tcBorders>
              <w:top w:val="nil"/>
              <w:left w:val="nil"/>
              <w:bottom w:val="nil"/>
              <w:right w:val="nil"/>
            </w:tcBorders>
            <w:shd w:val="clear" w:color="auto" w:fill="auto"/>
            <w:noWrap/>
            <w:vAlign w:val="bottom"/>
            <w:hideMark/>
          </w:tcPr>
          <w:p w14:paraId="3FD90434"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-3</w:t>
            </w:r>
          </w:p>
        </w:tc>
      </w:tr>
      <w:tr w:rsidR="009A05C7" w:rsidRPr="00A71764" w14:paraId="6873A901" w14:textId="77777777" w:rsidTr="000240DA">
        <w:trPr>
          <w:trHeight w:val="290"/>
        </w:trPr>
        <w:tc>
          <w:tcPr>
            <w:tcW w:w="2807" w:type="pct"/>
            <w:tcBorders>
              <w:top w:val="nil"/>
              <w:left w:val="nil"/>
              <w:bottom w:val="single" w:sz="4" w:space="0" w:color="auto"/>
              <w:right w:val="nil"/>
            </w:tcBorders>
            <w:shd w:val="clear" w:color="auto" w:fill="auto"/>
            <w:noWrap/>
            <w:vAlign w:val="bottom"/>
            <w:hideMark/>
          </w:tcPr>
          <w:p w14:paraId="56615ABA" w14:textId="77777777" w:rsidR="009A05C7" w:rsidRPr="00A71764" w:rsidRDefault="009A05C7" w:rsidP="000240DA">
            <w:pPr>
              <w:spacing w:after="0" w:line="240" w:lineRule="auto"/>
              <w:jc w:val="left"/>
              <w:rPr>
                <w:rFonts w:eastAsia="Times New Roman" w:cs="Times New Roman"/>
                <w:sz w:val="18"/>
                <w:szCs w:val="18"/>
                <w:lang w:eastAsia="sk-SK"/>
              </w:rPr>
            </w:pPr>
            <w:r w:rsidRPr="00A71764">
              <w:rPr>
                <w:rFonts w:eastAsia="Times New Roman" w:cs="Times New Roman"/>
                <w:sz w:val="18"/>
                <w:szCs w:val="18"/>
                <w:lang w:eastAsia="sk-SK"/>
              </w:rPr>
              <w:t>Dlhodobé záväzky zo zmlúv o energetickej efektívnosti - ostatné</w:t>
            </w:r>
          </w:p>
        </w:tc>
        <w:tc>
          <w:tcPr>
            <w:tcW w:w="575" w:type="pct"/>
            <w:tcBorders>
              <w:top w:val="nil"/>
              <w:left w:val="nil"/>
              <w:bottom w:val="single" w:sz="4" w:space="0" w:color="auto"/>
              <w:right w:val="nil"/>
            </w:tcBorders>
            <w:shd w:val="clear" w:color="auto" w:fill="auto"/>
            <w:noWrap/>
            <w:vAlign w:val="bottom"/>
            <w:hideMark/>
          </w:tcPr>
          <w:p w14:paraId="6FE27419"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772</w:t>
            </w:r>
          </w:p>
        </w:tc>
        <w:tc>
          <w:tcPr>
            <w:tcW w:w="520" w:type="pct"/>
            <w:tcBorders>
              <w:top w:val="nil"/>
              <w:left w:val="nil"/>
              <w:bottom w:val="single" w:sz="4" w:space="0" w:color="auto"/>
              <w:right w:val="nil"/>
            </w:tcBorders>
            <w:shd w:val="clear" w:color="auto" w:fill="auto"/>
            <w:noWrap/>
            <w:vAlign w:val="bottom"/>
            <w:hideMark/>
          </w:tcPr>
          <w:p w14:paraId="5D8CDDD0"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609</w:t>
            </w:r>
          </w:p>
        </w:tc>
        <w:tc>
          <w:tcPr>
            <w:tcW w:w="482" w:type="pct"/>
            <w:tcBorders>
              <w:top w:val="nil"/>
              <w:left w:val="nil"/>
              <w:bottom w:val="single" w:sz="4" w:space="0" w:color="auto"/>
              <w:right w:val="nil"/>
            </w:tcBorders>
            <w:shd w:val="clear" w:color="auto" w:fill="auto"/>
            <w:noWrap/>
            <w:vAlign w:val="bottom"/>
            <w:hideMark/>
          </w:tcPr>
          <w:p w14:paraId="002662C9"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446</w:t>
            </w:r>
          </w:p>
        </w:tc>
        <w:tc>
          <w:tcPr>
            <w:tcW w:w="616" w:type="pct"/>
            <w:tcBorders>
              <w:top w:val="nil"/>
              <w:left w:val="nil"/>
              <w:bottom w:val="single" w:sz="4" w:space="0" w:color="auto"/>
              <w:right w:val="nil"/>
            </w:tcBorders>
            <w:shd w:val="clear" w:color="auto" w:fill="auto"/>
            <w:noWrap/>
            <w:vAlign w:val="bottom"/>
            <w:hideMark/>
          </w:tcPr>
          <w:p w14:paraId="5BA873E9" w14:textId="77777777" w:rsidR="009A05C7" w:rsidRPr="00A71764" w:rsidRDefault="009A05C7" w:rsidP="000240DA">
            <w:pPr>
              <w:spacing w:after="0" w:line="240" w:lineRule="auto"/>
              <w:jc w:val="right"/>
              <w:rPr>
                <w:rFonts w:eastAsia="Times New Roman" w:cs="Times New Roman"/>
                <w:sz w:val="18"/>
                <w:szCs w:val="18"/>
                <w:lang w:eastAsia="sk-SK"/>
              </w:rPr>
            </w:pPr>
            <w:r w:rsidRPr="00A71764">
              <w:rPr>
                <w:rFonts w:eastAsia="Times New Roman" w:cs="Times New Roman"/>
                <w:sz w:val="18"/>
                <w:szCs w:val="18"/>
                <w:lang w:eastAsia="sk-SK"/>
              </w:rPr>
              <w:t>-163</w:t>
            </w:r>
          </w:p>
        </w:tc>
      </w:tr>
      <w:tr w:rsidR="009A05C7" w:rsidRPr="00A71764" w14:paraId="427E523F" w14:textId="77777777" w:rsidTr="000240DA">
        <w:trPr>
          <w:trHeight w:val="290"/>
        </w:trPr>
        <w:tc>
          <w:tcPr>
            <w:tcW w:w="2807" w:type="pct"/>
            <w:tcBorders>
              <w:top w:val="single" w:sz="4" w:space="0" w:color="auto"/>
              <w:left w:val="nil"/>
              <w:bottom w:val="nil"/>
              <w:right w:val="nil"/>
            </w:tcBorders>
            <w:shd w:val="clear" w:color="auto" w:fill="auto"/>
            <w:noWrap/>
            <w:vAlign w:val="bottom"/>
            <w:hideMark/>
          </w:tcPr>
          <w:p w14:paraId="38278127" w14:textId="77777777" w:rsidR="009A05C7" w:rsidRPr="00A71764" w:rsidRDefault="009A05C7" w:rsidP="000240DA">
            <w:pPr>
              <w:spacing w:after="0" w:line="240" w:lineRule="auto"/>
              <w:jc w:val="left"/>
              <w:rPr>
                <w:rFonts w:eastAsia="Times New Roman" w:cs="Times New Roman"/>
                <w:b/>
                <w:bCs/>
                <w:sz w:val="18"/>
                <w:szCs w:val="18"/>
                <w:lang w:eastAsia="sk-SK"/>
              </w:rPr>
            </w:pPr>
            <w:r w:rsidRPr="00A71764">
              <w:rPr>
                <w:rFonts w:eastAsia="Times New Roman" w:cs="Times New Roman"/>
                <w:b/>
                <w:bCs/>
                <w:sz w:val="18"/>
                <w:szCs w:val="18"/>
                <w:lang w:eastAsia="sk-SK"/>
              </w:rPr>
              <w:t>Spolu nekonsolidovaný dlh obcí</w:t>
            </w:r>
          </w:p>
        </w:tc>
        <w:tc>
          <w:tcPr>
            <w:tcW w:w="575" w:type="pct"/>
            <w:tcBorders>
              <w:top w:val="single" w:sz="4" w:space="0" w:color="auto"/>
              <w:left w:val="nil"/>
              <w:bottom w:val="nil"/>
              <w:right w:val="nil"/>
            </w:tcBorders>
            <w:shd w:val="clear" w:color="auto" w:fill="auto"/>
            <w:noWrap/>
            <w:vAlign w:val="bottom"/>
            <w:hideMark/>
          </w:tcPr>
          <w:p w14:paraId="5E927D53" w14:textId="77777777" w:rsidR="009A05C7" w:rsidRPr="00A71764" w:rsidRDefault="009A05C7" w:rsidP="000240DA">
            <w:pPr>
              <w:spacing w:after="0" w:line="240" w:lineRule="auto"/>
              <w:jc w:val="right"/>
              <w:rPr>
                <w:rFonts w:eastAsia="Times New Roman" w:cs="Times New Roman"/>
                <w:b/>
                <w:bCs/>
                <w:sz w:val="18"/>
                <w:szCs w:val="18"/>
                <w:lang w:eastAsia="sk-SK"/>
              </w:rPr>
            </w:pPr>
            <w:r w:rsidRPr="00A71764">
              <w:rPr>
                <w:rFonts w:eastAsia="Times New Roman" w:cs="Times New Roman"/>
                <w:b/>
                <w:bCs/>
                <w:sz w:val="18"/>
                <w:szCs w:val="18"/>
                <w:lang w:eastAsia="sk-SK"/>
              </w:rPr>
              <w:t>1 751 497</w:t>
            </w:r>
          </w:p>
        </w:tc>
        <w:tc>
          <w:tcPr>
            <w:tcW w:w="520" w:type="pct"/>
            <w:tcBorders>
              <w:top w:val="single" w:sz="4" w:space="0" w:color="auto"/>
              <w:left w:val="nil"/>
              <w:bottom w:val="nil"/>
              <w:right w:val="nil"/>
            </w:tcBorders>
            <w:shd w:val="clear" w:color="auto" w:fill="auto"/>
            <w:noWrap/>
            <w:vAlign w:val="bottom"/>
            <w:hideMark/>
          </w:tcPr>
          <w:p w14:paraId="34DEAFEC" w14:textId="77777777" w:rsidR="009A05C7" w:rsidRPr="00A71764" w:rsidRDefault="009A05C7" w:rsidP="000240DA">
            <w:pPr>
              <w:spacing w:after="0" w:line="240" w:lineRule="auto"/>
              <w:jc w:val="right"/>
              <w:rPr>
                <w:rFonts w:eastAsia="Times New Roman" w:cs="Times New Roman"/>
                <w:b/>
                <w:bCs/>
                <w:sz w:val="18"/>
                <w:szCs w:val="18"/>
                <w:lang w:eastAsia="sk-SK"/>
              </w:rPr>
            </w:pPr>
            <w:r w:rsidRPr="00A71764">
              <w:rPr>
                <w:rFonts w:eastAsia="Times New Roman" w:cs="Times New Roman"/>
                <w:b/>
                <w:bCs/>
                <w:sz w:val="18"/>
                <w:szCs w:val="18"/>
                <w:lang w:eastAsia="sk-SK"/>
              </w:rPr>
              <w:t>1 833 794</w:t>
            </w:r>
          </w:p>
        </w:tc>
        <w:tc>
          <w:tcPr>
            <w:tcW w:w="482" w:type="pct"/>
            <w:tcBorders>
              <w:top w:val="single" w:sz="4" w:space="0" w:color="auto"/>
              <w:left w:val="nil"/>
              <w:bottom w:val="nil"/>
              <w:right w:val="nil"/>
            </w:tcBorders>
            <w:shd w:val="clear" w:color="auto" w:fill="auto"/>
            <w:noWrap/>
            <w:vAlign w:val="bottom"/>
            <w:hideMark/>
          </w:tcPr>
          <w:p w14:paraId="5E0FB13F" w14:textId="77777777" w:rsidR="009A05C7" w:rsidRPr="00A71764" w:rsidRDefault="009A05C7" w:rsidP="000240DA">
            <w:pPr>
              <w:spacing w:after="0" w:line="240" w:lineRule="auto"/>
              <w:jc w:val="right"/>
              <w:rPr>
                <w:rFonts w:eastAsia="Times New Roman" w:cs="Times New Roman"/>
                <w:b/>
                <w:bCs/>
                <w:sz w:val="18"/>
                <w:szCs w:val="18"/>
                <w:lang w:eastAsia="sk-SK"/>
              </w:rPr>
            </w:pPr>
            <w:r w:rsidRPr="00A71764">
              <w:rPr>
                <w:rFonts w:eastAsia="Times New Roman" w:cs="Times New Roman"/>
                <w:b/>
                <w:bCs/>
                <w:sz w:val="18"/>
                <w:szCs w:val="18"/>
                <w:lang w:eastAsia="sk-SK"/>
              </w:rPr>
              <w:t>1 855 142</w:t>
            </w:r>
          </w:p>
        </w:tc>
        <w:tc>
          <w:tcPr>
            <w:tcW w:w="616" w:type="pct"/>
            <w:tcBorders>
              <w:top w:val="single" w:sz="4" w:space="0" w:color="auto"/>
              <w:left w:val="nil"/>
              <w:bottom w:val="nil"/>
              <w:right w:val="nil"/>
            </w:tcBorders>
            <w:shd w:val="clear" w:color="auto" w:fill="auto"/>
            <w:noWrap/>
            <w:vAlign w:val="bottom"/>
            <w:hideMark/>
          </w:tcPr>
          <w:p w14:paraId="1B0FA6CA" w14:textId="77777777" w:rsidR="009A05C7" w:rsidRPr="00A71764" w:rsidRDefault="009A05C7" w:rsidP="000240DA">
            <w:pPr>
              <w:spacing w:after="0" w:line="240" w:lineRule="auto"/>
              <w:jc w:val="right"/>
              <w:rPr>
                <w:rFonts w:eastAsia="Times New Roman" w:cs="Times New Roman"/>
                <w:b/>
                <w:bCs/>
                <w:sz w:val="18"/>
                <w:szCs w:val="18"/>
                <w:lang w:eastAsia="sk-SK"/>
              </w:rPr>
            </w:pPr>
            <w:r w:rsidRPr="00A71764">
              <w:rPr>
                <w:rFonts w:eastAsia="Times New Roman" w:cs="Times New Roman"/>
                <w:b/>
                <w:bCs/>
                <w:sz w:val="18"/>
                <w:szCs w:val="18"/>
                <w:lang w:eastAsia="sk-SK"/>
              </w:rPr>
              <w:t>21 348</w:t>
            </w:r>
          </w:p>
        </w:tc>
      </w:tr>
      <w:tr w:rsidR="009A05C7" w:rsidRPr="00A71764" w14:paraId="36CF8762" w14:textId="77777777" w:rsidTr="000240DA">
        <w:trPr>
          <w:trHeight w:val="530"/>
        </w:trPr>
        <w:tc>
          <w:tcPr>
            <w:tcW w:w="2807" w:type="pct"/>
            <w:tcBorders>
              <w:top w:val="nil"/>
              <w:left w:val="nil"/>
              <w:bottom w:val="single" w:sz="4" w:space="0" w:color="auto"/>
              <w:right w:val="nil"/>
            </w:tcBorders>
            <w:shd w:val="clear" w:color="auto" w:fill="auto"/>
            <w:vAlign w:val="bottom"/>
            <w:hideMark/>
          </w:tcPr>
          <w:p w14:paraId="032623F1" w14:textId="77777777" w:rsidR="009A05C7" w:rsidRPr="00A71764" w:rsidRDefault="009A05C7" w:rsidP="000240DA">
            <w:pPr>
              <w:spacing w:after="0" w:line="240" w:lineRule="auto"/>
              <w:jc w:val="left"/>
              <w:rPr>
                <w:rFonts w:eastAsia="Times New Roman" w:cs="Times New Roman"/>
                <w:b/>
                <w:bCs/>
                <w:sz w:val="18"/>
                <w:szCs w:val="18"/>
                <w:lang w:eastAsia="sk-SK"/>
              </w:rPr>
            </w:pPr>
            <w:r w:rsidRPr="00A71764">
              <w:rPr>
                <w:rFonts w:eastAsia="Times New Roman" w:cs="Times New Roman"/>
                <w:b/>
                <w:bCs/>
                <w:sz w:val="18"/>
                <w:szCs w:val="18"/>
                <w:lang w:eastAsia="sk-SK"/>
              </w:rPr>
              <w:t xml:space="preserve">Konsolidovaný príspevok obcí do </w:t>
            </w:r>
            <w:r>
              <w:rPr>
                <w:rFonts w:eastAsia="Times New Roman" w:cs="Times New Roman"/>
                <w:b/>
                <w:bCs/>
                <w:sz w:val="18"/>
                <w:szCs w:val="18"/>
                <w:lang w:eastAsia="sk-SK"/>
              </w:rPr>
              <w:t>(</w:t>
            </w:r>
            <w:r w:rsidRPr="00A71764">
              <w:rPr>
                <w:rFonts w:eastAsia="Times New Roman" w:cs="Times New Roman"/>
                <w:b/>
                <w:bCs/>
                <w:sz w:val="18"/>
                <w:szCs w:val="18"/>
                <w:lang w:eastAsia="sk-SK"/>
              </w:rPr>
              <w:t>konsolidovaného</w:t>
            </w:r>
            <w:r>
              <w:rPr>
                <w:rFonts w:eastAsia="Times New Roman" w:cs="Times New Roman"/>
                <w:b/>
                <w:bCs/>
                <w:sz w:val="18"/>
                <w:szCs w:val="18"/>
                <w:lang w:eastAsia="sk-SK"/>
              </w:rPr>
              <w:t>)</w:t>
            </w:r>
            <w:r w:rsidRPr="00A71764">
              <w:rPr>
                <w:rFonts w:eastAsia="Times New Roman" w:cs="Times New Roman"/>
                <w:b/>
                <w:bCs/>
                <w:sz w:val="18"/>
                <w:szCs w:val="18"/>
                <w:lang w:eastAsia="sk-SK"/>
              </w:rPr>
              <w:t xml:space="preserve"> dlhu verejnej správy</w:t>
            </w:r>
          </w:p>
        </w:tc>
        <w:tc>
          <w:tcPr>
            <w:tcW w:w="575" w:type="pct"/>
            <w:tcBorders>
              <w:top w:val="nil"/>
              <w:left w:val="nil"/>
              <w:bottom w:val="single" w:sz="4" w:space="0" w:color="auto"/>
              <w:right w:val="nil"/>
            </w:tcBorders>
            <w:shd w:val="clear" w:color="auto" w:fill="auto"/>
            <w:noWrap/>
            <w:vAlign w:val="bottom"/>
            <w:hideMark/>
          </w:tcPr>
          <w:p w14:paraId="693D7AFD" w14:textId="77777777" w:rsidR="009A05C7" w:rsidRPr="00A71764" w:rsidRDefault="009A05C7" w:rsidP="000240DA">
            <w:pPr>
              <w:spacing w:after="0" w:line="240" w:lineRule="auto"/>
              <w:jc w:val="right"/>
              <w:rPr>
                <w:rFonts w:eastAsia="Times New Roman" w:cs="Times New Roman"/>
                <w:b/>
                <w:bCs/>
                <w:sz w:val="18"/>
                <w:szCs w:val="18"/>
                <w:lang w:eastAsia="sk-SK"/>
              </w:rPr>
            </w:pPr>
            <w:r w:rsidRPr="00A71764">
              <w:rPr>
                <w:rFonts w:eastAsia="Times New Roman" w:cs="Times New Roman"/>
                <w:b/>
                <w:bCs/>
                <w:sz w:val="18"/>
                <w:szCs w:val="18"/>
                <w:lang w:eastAsia="sk-SK"/>
              </w:rPr>
              <w:t>892 623</w:t>
            </w:r>
          </w:p>
        </w:tc>
        <w:tc>
          <w:tcPr>
            <w:tcW w:w="520" w:type="pct"/>
            <w:tcBorders>
              <w:top w:val="nil"/>
              <w:left w:val="nil"/>
              <w:bottom w:val="single" w:sz="4" w:space="0" w:color="auto"/>
              <w:right w:val="nil"/>
            </w:tcBorders>
            <w:shd w:val="clear" w:color="auto" w:fill="auto"/>
            <w:noWrap/>
            <w:vAlign w:val="bottom"/>
            <w:hideMark/>
          </w:tcPr>
          <w:p w14:paraId="76A41CB8" w14:textId="77777777" w:rsidR="009A05C7" w:rsidRPr="00A71764" w:rsidRDefault="009A05C7" w:rsidP="000240DA">
            <w:pPr>
              <w:spacing w:after="0" w:line="240" w:lineRule="auto"/>
              <w:jc w:val="right"/>
              <w:rPr>
                <w:rFonts w:eastAsia="Times New Roman" w:cs="Times New Roman"/>
                <w:b/>
                <w:bCs/>
                <w:sz w:val="18"/>
                <w:szCs w:val="18"/>
                <w:lang w:eastAsia="sk-SK"/>
              </w:rPr>
            </w:pPr>
            <w:r w:rsidRPr="00A71764">
              <w:rPr>
                <w:rFonts w:eastAsia="Times New Roman" w:cs="Times New Roman"/>
                <w:b/>
                <w:bCs/>
                <w:sz w:val="18"/>
                <w:szCs w:val="18"/>
                <w:lang w:eastAsia="sk-SK"/>
              </w:rPr>
              <w:t>1 016 869</w:t>
            </w:r>
          </w:p>
        </w:tc>
        <w:tc>
          <w:tcPr>
            <w:tcW w:w="482" w:type="pct"/>
            <w:tcBorders>
              <w:top w:val="nil"/>
              <w:left w:val="nil"/>
              <w:bottom w:val="single" w:sz="4" w:space="0" w:color="auto"/>
              <w:right w:val="nil"/>
            </w:tcBorders>
            <w:shd w:val="clear" w:color="auto" w:fill="auto"/>
            <w:noWrap/>
            <w:vAlign w:val="bottom"/>
            <w:hideMark/>
          </w:tcPr>
          <w:p w14:paraId="10EEA367" w14:textId="77777777" w:rsidR="009A05C7" w:rsidRPr="00A71764" w:rsidRDefault="009A05C7" w:rsidP="000240DA">
            <w:pPr>
              <w:spacing w:after="0" w:line="240" w:lineRule="auto"/>
              <w:jc w:val="right"/>
              <w:rPr>
                <w:rFonts w:eastAsia="Times New Roman" w:cs="Times New Roman"/>
                <w:b/>
                <w:bCs/>
                <w:sz w:val="18"/>
                <w:szCs w:val="18"/>
                <w:lang w:eastAsia="sk-SK"/>
              </w:rPr>
            </w:pPr>
            <w:r w:rsidRPr="00A71764">
              <w:rPr>
                <w:rFonts w:eastAsia="Times New Roman" w:cs="Times New Roman"/>
                <w:b/>
                <w:bCs/>
                <w:sz w:val="18"/>
                <w:szCs w:val="18"/>
                <w:lang w:eastAsia="sk-SK"/>
              </w:rPr>
              <w:t>1 011 274</w:t>
            </w:r>
          </w:p>
        </w:tc>
        <w:tc>
          <w:tcPr>
            <w:tcW w:w="616" w:type="pct"/>
            <w:tcBorders>
              <w:top w:val="nil"/>
              <w:left w:val="nil"/>
              <w:bottom w:val="single" w:sz="4" w:space="0" w:color="auto"/>
              <w:right w:val="nil"/>
            </w:tcBorders>
            <w:shd w:val="clear" w:color="auto" w:fill="auto"/>
            <w:noWrap/>
            <w:vAlign w:val="bottom"/>
            <w:hideMark/>
          </w:tcPr>
          <w:p w14:paraId="2DFF50E7" w14:textId="77777777" w:rsidR="009A05C7" w:rsidRPr="00A71764" w:rsidRDefault="009A05C7" w:rsidP="000240DA">
            <w:pPr>
              <w:spacing w:after="0" w:line="240" w:lineRule="auto"/>
              <w:jc w:val="right"/>
              <w:rPr>
                <w:rFonts w:eastAsia="Times New Roman" w:cs="Times New Roman"/>
                <w:b/>
                <w:bCs/>
                <w:sz w:val="18"/>
                <w:szCs w:val="18"/>
                <w:lang w:eastAsia="sk-SK"/>
              </w:rPr>
            </w:pPr>
            <w:r w:rsidRPr="00A71764">
              <w:rPr>
                <w:rFonts w:eastAsia="Times New Roman" w:cs="Times New Roman"/>
                <w:b/>
                <w:bCs/>
                <w:sz w:val="18"/>
                <w:szCs w:val="18"/>
                <w:lang w:eastAsia="sk-SK"/>
              </w:rPr>
              <w:t>-5 595</w:t>
            </w:r>
          </w:p>
        </w:tc>
      </w:tr>
    </w:tbl>
    <w:p w14:paraId="52898FCB" w14:textId="77777777" w:rsidR="009A05C7" w:rsidRPr="00A71764" w:rsidRDefault="009A05C7" w:rsidP="009A05C7">
      <w:pPr>
        <w:spacing w:after="0"/>
        <w:jc w:val="right"/>
        <w:rPr>
          <w:sz w:val="16"/>
          <w:szCs w:val="16"/>
        </w:rPr>
      </w:pPr>
      <w:r w:rsidRPr="00A71764">
        <w:rPr>
          <w:sz w:val="18"/>
          <w:szCs w:val="18"/>
        </w:rPr>
        <w:t>Zdroj: MF SR</w:t>
      </w:r>
    </w:p>
    <w:p w14:paraId="67BEF690" w14:textId="77777777" w:rsidR="005115FB" w:rsidRDefault="005115FB" w:rsidP="005115FB">
      <w:pPr>
        <w:spacing w:line="240" w:lineRule="auto"/>
        <w:rPr>
          <w:sz w:val="24"/>
          <w:szCs w:val="24"/>
        </w:rPr>
      </w:pPr>
      <w:r w:rsidRPr="00391F39">
        <w:rPr>
          <w:b/>
          <w:bCs/>
          <w:sz w:val="24"/>
          <w:szCs w:val="24"/>
        </w:rPr>
        <w:t>Dlh</w:t>
      </w:r>
      <w:r w:rsidRPr="009079A2">
        <w:rPr>
          <w:sz w:val="24"/>
          <w:szCs w:val="24"/>
        </w:rPr>
        <w:t xml:space="preserve"> </w:t>
      </w:r>
      <w:r w:rsidRPr="009079A2">
        <w:rPr>
          <w:b/>
          <w:sz w:val="24"/>
          <w:szCs w:val="24"/>
        </w:rPr>
        <w:t>obcí</w:t>
      </w:r>
      <w:r w:rsidRPr="00A43E3B">
        <w:rPr>
          <w:sz w:val="24"/>
          <w:szCs w:val="24"/>
        </w:rPr>
        <w:t xml:space="preserve">, nekonsolidovaný </w:t>
      </w:r>
      <w:r>
        <w:rPr>
          <w:sz w:val="24"/>
          <w:szCs w:val="24"/>
        </w:rPr>
        <w:t>na úrovni</w:t>
      </w:r>
      <w:r w:rsidRPr="00A43E3B">
        <w:rPr>
          <w:sz w:val="24"/>
          <w:szCs w:val="24"/>
        </w:rPr>
        <w:t xml:space="preserve"> </w:t>
      </w:r>
      <w:r>
        <w:rPr>
          <w:sz w:val="24"/>
          <w:szCs w:val="24"/>
        </w:rPr>
        <w:t xml:space="preserve">celej </w:t>
      </w:r>
      <w:r w:rsidRPr="00A43E3B">
        <w:rPr>
          <w:sz w:val="24"/>
          <w:szCs w:val="24"/>
        </w:rPr>
        <w:t>verejnej správy,</w:t>
      </w:r>
      <w:r>
        <w:rPr>
          <w:b/>
          <w:sz w:val="24"/>
          <w:szCs w:val="24"/>
        </w:rPr>
        <w:t xml:space="preserve"> </w:t>
      </w:r>
      <w:r w:rsidRPr="009079A2">
        <w:rPr>
          <w:sz w:val="24"/>
          <w:szCs w:val="24"/>
        </w:rPr>
        <w:t>vrátane ich rozpočtových organizácií</w:t>
      </w:r>
      <w:r w:rsidRPr="009079A2">
        <w:rPr>
          <w:b/>
          <w:sz w:val="24"/>
          <w:szCs w:val="24"/>
        </w:rPr>
        <w:t xml:space="preserve"> </w:t>
      </w:r>
      <w:r w:rsidRPr="009079A2">
        <w:rPr>
          <w:sz w:val="24"/>
          <w:szCs w:val="24"/>
        </w:rPr>
        <w:t>dosiahol v roku 2024 výšku 1 855 142 tis. eur (vrátane záväzkov z pôžičiek od</w:t>
      </w:r>
      <w:r>
        <w:rPr>
          <w:sz w:val="24"/>
          <w:szCs w:val="24"/>
        </w:rPr>
        <w:t> </w:t>
      </w:r>
      <w:r w:rsidRPr="009079A2">
        <w:rPr>
          <w:sz w:val="24"/>
          <w:szCs w:val="24"/>
        </w:rPr>
        <w:t>ŠFRB, ENVF a návratných finančných výpomocí zo štátnych finančných aktív). Oproti stavu v roku 2023 je vyšší o 21 348 tis. eur. Rozhodujúcu časť dlhu obcí tvoria bankové úvery vo</w:t>
      </w:r>
      <w:r>
        <w:rPr>
          <w:sz w:val="24"/>
          <w:szCs w:val="24"/>
        </w:rPr>
        <w:t> </w:t>
      </w:r>
      <w:r w:rsidRPr="009079A2">
        <w:rPr>
          <w:sz w:val="24"/>
          <w:szCs w:val="24"/>
        </w:rPr>
        <w:t>výške 938 98</w:t>
      </w:r>
      <w:r>
        <w:rPr>
          <w:sz w:val="24"/>
          <w:szCs w:val="24"/>
        </w:rPr>
        <w:t>5 tis. eur a pôžičky od ŠFRB vo </w:t>
      </w:r>
      <w:r w:rsidRPr="009079A2">
        <w:rPr>
          <w:sz w:val="24"/>
          <w:szCs w:val="24"/>
        </w:rPr>
        <w:t xml:space="preserve">výške 748 309 tis. eur. </w:t>
      </w:r>
      <w:r w:rsidRPr="00E83E78">
        <w:rPr>
          <w:sz w:val="24"/>
          <w:szCs w:val="24"/>
        </w:rPr>
        <w:t>Treťou významnou položkou dlhu obcí sú prijaté návratné finančné výpomoci z</w:t>
      </w:r>
      <w:r>
        <w:rPr>
          <w:sz w:val="24"/>
          <w:szCs w:val="24"/>
        </w:rPr>
        <w:t>o štátnych finančných aktív, vo </w:t>
      </w:r>
      <w:r w:rsidRPr="00E83E78">
        <w:rPr>
          <w:sz w:val="24"/>
          <w:szCs w:val="24"/>
        </w:rPr>
        <w:t>výške zostatku 26</w:t>
      </w:r>
      <w:r>
        <w:rPr>
          <w:sz w:val="24"/>
          <w:szCs w:val="24"/>
        </w:rPr>
        <w:t> </w:t>
      </w:r>
      <w:r w:rsidRPr="00E83E78">
        <w:rPr>
          <w:sz w:val="24"/>
          <w:szCs w:val="24"/>
        </w:rPr>
        <w:t>918</w:t>
      </w:r>
      <w:r>
        <w:rPr>
          <w:sz w:val="24"/>
          <w:szCs w:val="24"/>
        </w:rPr>
        <w:t> </w:t>
      </w:r>
      <w:r w:rsidRPr="00E83E78">
        <w:rPr>
          <w:sz w:val="24"/>
          <w:szCs w:val="24"/>
        </w:rPr>
        <w:t>tis.</w:t>
      </w:r>
      <w:r>
        <w:rPr>
          <w:sz w:val="24"/>
          <w:szCs w:val="24"/>
        </w:rPr>
        <w:t> </w:t>
      </w:r>
      <w:r w:rsidRPr="00E83E78">
        <w:rPr>
          <w:sz w:val="24"/>
          <w:szCs w:val="24"/>
        </w:rPr>
        <w:t xml:space="preserve">eur. </w:t>
      </w:r>
      <w:r w:rsidRPr="00B028C8">
        <w:rPr>
          <w:sz w:val="24"/>
          <w:szCs w:val="24"/>
        </w:rPr>
        <w:t xml:space="preserve">Z hľadiska pôvodnej splatnosti má dlh obcí prevažne </w:t>
      </w:r>
      <w:r w:rsidRPr="00B028C8">
        <w:rPr>
          <w:sz w:val="24"/>
          <w:szCs w:val="24"/>
        </w:rPr>
        <w:lastRenderedPageBreak/>
        <w:t>dlhodobý charakter (98,2 %) a prevažná časť dlhu obcí je v rukách domácich veriteľov (97,2 %).</w:t>
      </w:r>
    </w:p>
    <w:p w14:paraId="025E4CBF" w14:textId="77777777" w:rsidR="009A05C7" w:rsidRPr="00CB53FB" w:rsidRDefault="009A05C7" w:rsidP="009A05C7">
      <w:pPr>
        <w:spacing w:line="240" w:lineRule="auto"/>
        <w:rPr>
          <w:sz w:val="24"/>
          <w:szCs w:val="24"/>
        </w:rPr>
      </w:pPr>
      <w:r w:rsidRPr="00CB53FB">
        <w:rPr>
          <w:sz w:val="24"/>
          <w:szCs w:val="24"/>
        </w:rPr>
        <w:t>V priebehu roka 2024 neboli zo štátnych finančných aktív poskytnuté nové návratné finančné výpomoci mestám, avšak boli splatené výpomoci poskytnuté v predchádzajúcich rokoch v súhrnnej výške 4 735 tis. eur. Zostatok nesplatených NFV k 31.12.2024 predstavuje hodnotu 26 918 tis. eur</w:t>
      </w:r>
      <w:r>
        <w:rPr>
          <w:sz w:val="24"/>
          <w:szCs w:val="24"/>
        </w:rPr>
        <w:t>, z toho</w:t>
      </w:r>
      <w:r w:rsidRPr="00CB53FB">
        <w:rPr>
          <w:sz w:val="24"/>
          <w:szCs w:val="24"/>
        </w:rPr>
        <w:t xml:space="preserve"> Mesto Košice (19 237 tis. eur), Martin (500 tis. eur), Bardejov (500 tis. eur), Prešov (3 981 tis. eur) a Kežmarok (2 700 tis. eur).</w:t>
      </w:r>
    </w:p>
    <w:p w14:paraId="76B2E15F" w14:textId="77777777" w:rsidR="009A05C7" w:rsidRPr="00CB53FB" w:rsidRDefault="009A05C7" w:rsidP="009A05C7">
      <w:pPr>
        <w:spacing w:line="240" w:lineRule="auto"/>
        <w:rPr>
          <w:sz w:val="24"/>
          <w:szCs w:val="24"/>
        </w:rPr>
      </w:pPr>
      <w:r w:rsidRPr="00CB53FB">
        <w:rPr>
          <w:sz w:val="24"/>
          <w:szCs w:val="24"/>
        </w:rPr>
        <w:t>Pôžičky od ŠFRB na podporu obstarania obecných nájomných bytov ich výstavbou alebo obstaraním, modernizáciu a rekonštrukciu zariadení sociálnych služieb sú predmetom vzájomnej konsolidácie. Medziročne došl</w:t>
      </w:r>
      <w:r>
        <w:rPr>
          <w:sz w:val="24"/>
          <w:szCs w:val="24"/>
        </w:rPr>
        <w:t>o k ich nárastu úhrnom o 10 418 </w:t>
      </w:r>
      <w:r w:rsidRPr="00CB53FB">
        <w:rPr>
          <w:sz w:val="24"/>
          <w:szCs w:val="24"/>
        </w:rPr>
        <w:t>tis.</w:t>
      </w:r>
      <w:r>
        <w:rPr>
          <w:sz w:val="24"/>
          <w:szCs w:val="24"/>
        </w:rPr>
        <w:t> </w:t>
      </w:r>
      <w:r w:rsidRPr="00CB53FB">
        <w:rPr>
          <w:sz w:val="24"/>
          <w:szCs w:val="24"/>
        </w:rPr>
        <w:t>eur.</w:t>
      </w:r>
    </w:p>
    <w:p w14:paraId="477CFD3D" w14:textId="77777777" w:rsidR="009A05C7" w:rsidRPr="007C6B77" w:rsidRDefault="009A05C7" w:rsidP="009A05C7">
      <w:pPr>
        <w:spacing w:line="240" w:lineRule="auto"/>
        <w:rPr>
          <w:sz w:val="24"/>
          <w:szCs w:val="24"/>
        </w:rPr>
      </w:pPr>
      <w:r w:rsidRPr="007C6B77">
        <w:rPr>
          <w:sz w:val="24"/>
          <w:szCs w:val="24"/>
        </w:rPr>
        <w:t>Komerčné úvery od tuzemských bánk alebo zahraničných bánk sú najväčším zdrojom financovania potrieb územnej samosprávy. Súhrnná výška bankových úverov medziročne klesla o 16 768 tis. eur.</w:t>
      </w:r>
    </w:p>
    <w:p w14:paraId="210BE427" w14:textId="77777777" w:rsidR="009A05C7" w:rsidRPr="000C23AB" w:rsidRDefault="009A05C7" w:rsidP="009A05C7">
      <w:pPr>
        <w:spacing w:line="240" w:lineRule="auto"/>
        <w:rPr>
          <w:sz w:val="24"/>
          <w:szCs w:val="24"/>
        </w:rPr>
      </w:pPr>
      <w:r w:rsidRPr="000C23AB">
        <w:rPr>
          <w:sz w:val="24"/>
          <w:szCs w:val="24"/>
        </w:rPr>
        <w:t>Dlhodobé záväzky z obchodného styku a prijaté preddavky sa na dlhu obcí a ich rozpočtových organizácií podieľajú sumou 34 001 tis. eur.</w:t>
      </w:r>
    </w:p>
    <w:p w14:paraId="603C8196" w14:textId="77777777" w:rsidR="009A05C7" w:rsidRPr="006B74CE" w:rsidRDefault="009A05C7" w:rsidP="009A05C7">
      <w:pPr>
        <w:spacing w:line="240" w:lineRule="auto"/>
        <w:rPr>
          <w:sz w:val="24"/>
          <w:szCs w:val="24"/>
        </w:rPr>
      </w:pPr>
      <w:r w:rsidRPr="006B74CE">
        <w:rPr>
          <w:b/>
          <w:sz w:val="24"/>
          <w:szCs w:val="24"/>
        </w:rPr>
        <w:t xml:space="preserve">Vyššie územné celky </w:t>
      </w:r>
      <w:r w:rsidRPr="006B74CE">
        <w:rPr>
          <w:sz w:val="24"/>
          <w:szCs w:val="24"/>
        </w:rPr>
        <w:t>(vrátane ich rozpočtových organizácií)</w:t>
      </w:r>
      <w:r w:rsidRPr="006B74CE">
        <w:rPr>
          <w:b/>
          <w:sz w:val="24"/>
          <w:szCs w:val="24"/>
        </w:rPr>
        <w:t xml:space="preserve"> </w:t>
      </w:r>
      <w:r w:rsidRPr="006B74CE">
        <w:rPr>
          <w:sz w:val="24"/>
          <w:szCs w:val="24"/>
        </w:rPr>
        <w:t>sa podieľajú na dlhu verejnej správy</w:t>
      </w:r>
      <w:r>
        <w:rPr>
          <w:sz w:val="24"/>
          <w:szCs w:val="24"/>
        </w:rPr>
        <w:t xml:space="preserve"> hodnotou 437 978 tis. </w:t>
      </w:r>
      <w:r w:rsidRPr="006B74CE">
        <w:rPr>
          <w:sz w:val="24"/>
          <w:szCs w:val="24"/>
        </w:rPr>
        <w:t>eur, čo je o 27</w:t>
      </w:r>
      <w:r>
        <w:rPr>
          <w:sz w:val="24"/>
          <w:szCs w:val="24"/>
        </w:rPr>
        <w:t> </w:t>
      </w:r>
      <w:r w:rsidRPr="006B74CE">
        <w:rPr>
          <w:sz w:val="24"/>
          <w:szCs w:val="24"/>
        </w:rPr>
        <w:t>450</w:t>
      </w:r>
      <w:r>
        <w:rPr>
          <w:sz w:val="24"/>
          <w:szCs w:val="24"/>
        </w:rPr>
        <w:t> </w:t>
      </w:r>
      <w:r w:rsidRPr="006B74CE">
        <w:rPr>
          <w:sz w:val="24"/>
          <w:szCs w:val="24"/>
        </w:rPr>
        <w:t>tis.</w:t>
      </w:r>
      <w:r>
        <w:rPr>
          <w:sz w:val="24"/>
          <w:szCs w:val="24"/>
        </w:rPr>
        <w:t> </w:t>
      </w:r>
      <w:r w:rsidRPr="006B74CE">
        <w:rPr>
          <w:sz w:val="24"/>
          <w:szCs w:val="24"/>
        </w:rPr>
        <w:t>eur menej ako v predchádzajúcom roku.</w:t>
      </w:r>
    </w:p>
    <w:p w14:paraId="2565E87F" w14:textId="1771C006" w:rsidR="00E575C6" w:rsidRPr="00E575C6" w:rsidRDefault="00E575C6" w:rsidP="00E575C6">
      <w:pPr>
        <w:pStyle w:val="Popis"/>
        <w:keepNext/>
        <w:spacing w:after="120"/>
        <w:rPr>
          <w:rFonts w:eastAsia="Times New Roman" w:cs="Times New Roman"/>
          <w:b/>
          <w:bCs/>
          <w:i w:val="0"/>
          <w:iCs w:val="0"/>
          <w:color w:val="5B9BD5"/>
          <w:sz w:val="20"/>
          <w:szCs w:val="20"/>
          <w:lang w:eastAsia="sk-SK"/>
        </w:rPr>
      </w:pPr>
      <w:bookmarkStart w:id="72" w:name="_Toc196313644"/>
      <w:bookmarkStart w:id="73" w:name="_Toc196389265"/>
      <w:r w:rsidRPr="00E575C6">
        <w:rPr>
          <w:rFonts w:eastAsia="Times New Roman" w:cs="Times New Roman"/>
          <w:b/>
          <w:bCs/>
          <w:i w:val="0"/>
          <w:iCs w:val="0"/>
          <w:color w:val="5B9BD5"/>
          <w:sz w:val="20"/>
          <w:szCs w:val="20"/>
          <w:lang w:eastAsia="sk-SK"/>
        </w:rPr>
        <w:t xml:space="preserve">Tabuľka </w:t>
      </w:r>
      <w:r w:rsidRPr="00E575C6">
        <w:rPr>
          <w:rFonts w:eastAsia="Times New Roman" w:cs="Times New Roman"/>
          <w:b/>
          <w:bCs/>
          <w:i w:val="0"/>
          <w:iCs w:val="0"/>
          <w:color w:val="5B9BD5"/>
          <w:sz w:val="20"/>
          <w:szCs w:val="20"/>
          <w:lang w:eastAsia="sk-SK"/>
        </w:rPr>
        <w:fldChar w:fldCharType="begin"/>
      </w:r>
      <w:r w:rsidRPr="00E575C6">
        <w:rPr>
          <w:rFonts w:eastAsia="Times New Roman" w:cs="Times New Roman"/>
          <w:b/>
          <w:bCs/>
          <w:i w:val="0"/>
          <w:iCs w:val="0"/>
          <w:color w:val="5B9BD5"/>
          <w:sz w:val="20"/>
          <w:szCs w:val="20"/>
          <w:lang w:eastAsia="sk-SK"/>
        </w:rPr>
        <w:instrText xml:space="preserve"> SEQ Tabuľka \* ARABIC </w:instrText>
      </w:r>
      <w:r w:rsidRPr="00E575C6">
        <w:rPr>
          <w:rFonts w:eastAsia="Times New Roman" w:cs="Times New Roman"/>
          <w:b/>
          <w:bCs/>
          <w:i w:val="0"/>
          <w:iCs w:val="0"/>
          <w:color w:val="5B9BD5"/>
          <w:sz w:val="20"/>
          <w:szCs w:val="20"/>
          <w:lang w:eastAsia="sk-SK"/>
        </w:rPr>
        <w:fldChar w:fldCharType="separate"/>
      </w:r>
      <w:r w:rsidR="00C64CBA">
        <w:rPr>
          <w:rFonts w:eastAsia="Times New Roman" w:cs="Times New Roman"/>
          <w:b/>
          <w:bCs/>
          <w:i w:val="0"/>
          <w:iCs w:val="0"/>
          <w:noProof/>
          <w:color w:val="5B9BD5"/>
          <w:sz w:val="20"/>
          <w:szCs w:val="20"/>
          <w:lang w:eastAsia="sk-SK"/>
        </w:rPr>
        <w:t>18</w:t>
      </w:r>
      <w:r w:rsidRPr="00E575C6">
        <w:rPr>
          <w:rFonts w:eastAsia="Times New Roman" w:cs="Times New Roman"/>
          <w:b/>
          <w:bCs/>
          <w:i w:val="0"/>
          <w:iCs w:val="0"/>
          <w:color w:val="5B9BD5"/>
          <w:sz w:val="20"/>
          <w:szCs w:val="20"/>
          <w:lang w:eastAsia="sk-SK"/>
        </w:rPr>
        <w:fldChar w:fldCharType="end"/>
      </w:r>
      <w:r w:rsidRPr="00E575C6">
        <w:rPr>
          <w:rFonts w:eastAsia="Times New Roman" w:cs="Times New Roman"/>
          <w:b/>
          <w:bCs/>
          <w:i w:val="0"/>
          <w:iCs w:val="0"/>
          <w:color w:val="5B9BD5"/>
          <w:sz w:val="20"/>
          <w:szCs w:val="20"/>
          <w:lang w:eastAsia="sk-SK"/>
        </w:rPr>
        <w:t xml:space="preserve"> - Štruktúra dlhu VÚC podľa dlhového nástroja</w:t>
      </w:r>
      <w:bookmarkEnd w:id="72"/>
      <w:bookmarkEnd w:id="73"/>
    </w:p>
    <w:tbl>
      <w:tblPr>
        <w:tblW w:w="5000" w:type="pct"/>
        <w:tblCellMar>
          <w:left w:w="70" w:type="dxa"/>
          <w:right w:w="70" w:type="dxa"/>
        </w:tblCellMar>
        <w:tblLook w:val="04A0" w:firstRow="1" w:lastRow="0" w:firstColumn="1" w:lastColumn="0" w:noHBand="0" w:noVBand="1"/>
      </w:tblPr>
      <w:tblGrid>
        <w:gridCol w:w="4952"/>
        <w:gridCol w:w="1032"/>
        <w:gridCol w:w="1032"/>
        <w:gridCol w:w="1034"/>
        <w:gridCol w:w="880"/>
      </w:tblGrid>
      <w:tr w:rsidR="009A05C7" w:rsidRPr="00ED0D07" w14:paraId="72A7CEFA" w14:textId="77777777" w:rsidTr="000240DA">
        <w:trPr>
          <w:trHeight w:val="290"/>
          <w:tblHeader/>
        </w:trPr>
        <w:tc>
          <w:tcPr>
            <w:tcW w:w="2772" w:type="pct"/>
            <w:vMerge w:val="restart"/>
            <w:tcBorders>
              <w:top w:val="single" w:sz="4" w:space="0" w:color="auto"/>
              <w:left w:val="nil"/>
              <w:bottom w:val="single" w:sz="4" w:space="0" w:color="000000"/>
              <w:right w:val="nil"/>
            </w:tcBorders>
            <w:shd w:val="clear" w:color="auto" w:fill="auto"/>
            <w:vAlign w:val="center"/>
            <w:hideMark/>
          </w:tcPr>
          <w:p w14:paraId="2F8CD6E5" w14:textId="77777777" w:rsidR="009A05C7" w:rsidRPr="00ED0D07" w:rsidRDefault="009A05C7" w:rsidP="000240DA">
            <w:pPr>
              <w:spacing w:after="0" w:line="240" w:lineRule="auto"/>
              <w:rPr>
                <w:rFonts w:eastAsia="Times New Roman" w:cs="Times New Roman"/>
                <w:b/>
                <w:bCs/>
                <w:sz w:val="18"/>
                <w:szCs w:val="18"/>
                <w:lang w:eastAsia="sk-SK"/>
              </w:rPr>
            </w:pPr>
            <w:r w:rsidRPr="00ED0D07">
              <w:rPr>
                <w:rFonts w:eastAsia="Times New Roman" w:cs="Times New Roman"/>
                <w:b/>
                <w:bCs/>
                <w:sz w:val="18"/>
                <w:szCs w:val="18"/>
                <w:lang w:eastAsia="sk-SK"/>
              </w:rPr>
              <w:t>v tis. eur</w:t>
            </w:r>
          </w:p>
        </w:tc>
        <w:tc>
          <w:tcPr>
            <w:tcW w:w="578" w:type="pct"/>
            <w:tcBorders>
              <w:top w:val="single" w:sz="4" w:space="0" w:color="auto"/>
              <w:left w:val="nil"/>
              <w:bottom w:val="nil"/>
              <w:right w:val="nil"/>
            </w:tcBorders>
            <w:shd w:val="clear" w:color="auto" w:fill="auto"/>
            <w:vAlign w:val="center"/>
            <w:hideMark/>
          </w:tcPr>
          <w:p w14:paraId="491CEDAD" w14:textId="77777777" w:rsidR="009A05C7" w:rsidRPr="00ED0D07" w:rsidRDefault="009A05C7" w:rsidP="000240DA">
            <w:pPr>
              <w:spacing w:after="0" w:line="240" w:lineRule="auto"/>
              <w:jc w:val="center"/>
              <w:rPr>
                <w:rFonts w:eastAsia="Times New Roman" w:cs="Times New Roman"/>
                <w:b/>
                <w:bCs/>
                <w:sz w:val="18"/>
                <w:szCs w:val="18"/>
                <w:lang w:eastAsia="sk-SK"/>
              </w:rPr>
            </w:pPr>
            <w:r w:rsidRPr="00ED0D07">
              <w:rPr>
                <w:rFonts w:eastAsia="Times New Roman" w:cs="Times New Roman"/>
                <w:b/>
                <w:bCs/>
                <w:sz w:val="18"/>
                <w:szCs w:val="18"/>
                <w:lang w:eastAsia="sk-SK"/>
              </w:rPr>
              <w:t>2022 S</w:t>
            </w:r>
          </w:p>
        </w:tc>
        <w:tc>
          <w:tcPr>
            <w:tcW w:w="578" w:type="pct"/>
            <w:tcBorders>
              <w:top w:val="single" w:sz="4" w:space="0" w:color="auto"/>
              <w:left w:val="nil"/>
              <w:bottom w:val="nil"/>
              <w:right w:val="nil"/>
            </w:tcBorders>
            <w:shd w:val="clear" w:color="auto" w:fill="auto"/>
            <w:vAlign w:val="center"/>
            <w:hideMark/>
          </w:tcPr>
          <w:p w14:paraId="75D6E18F" w14:textId="77777777" w:rsidR="009A05C7" w:rsidRPr="00ED0D07" w:rsidRDefault="009A05C7" w:rsidP="000240DA">
            <w:pPr>
              <w:spacing w:after="0" w:line="240" w:lineRule="auto"/>
              <w:jc w:val="center"/>
              <w:rPr>
                <w:rFonts w:eastAsia="Times New Roman" w:cs="Times New Roman"/>
                <w:b/>
                <w:bCs/>
                <w:sz w:val="18"/>
                <w:szCs w:val="18"/>
                <w:lang w:eastAsia="sk-SK"/>
              </w:rPr>
            </w:pPr>
            <w:r w:rsidRPr="00ED0D07">
              <w:rPr>
                <w:rFonts w:eastAsia="Times New Roman" w:cs="Times New Roman"/>
                <w:b/>
                <w:bCs/>
                <w:sz w:val="18"/>
                <w:szCs w:val="18"/>
                <w:lang w:eastAsia="sk-SK"/>
              </w:rPr>
              <w:t>2023 S</w:t>
            </w:r>
          </w:p>
        </w:tc>
        <w:tc>
          <w:tcPr>
            <w:tcW w:w="579" w:type="pct"/>
            <w:tcBorders>
              <w:top w:val="single" w:sz="4" w:space="0" w:color="auto"/>
              <w:left w:val="nil"/>
              <w:bottom w:val="nil"/>
              <w:right w:val="nil"/>
            </w:tcBorders>
            <w:shd w:val="clear" w:color="auto" w:fill="auto"/>
            <w:vAlign w:val="center"/>
            <w:hideMark/>
          </w:tcPr>
          <w:p w14:paraId="4F981160" w14:textId="77777777" w:rsidR="009A05C7" w:rsidRPr="00ED0D07" w:rsidRDefault="009A05C7" w:rsidP="000240DA">
            <w:pPr>
              <w:spacing w:after="0" w:line="240" w:lineRule="auto"/>
              <w:jc w:val="center"/>
              <w:rPr>
                <w:rFonts w:eastAsia="Times New Roman" w:cs="Times New Roman"/>
                <w:b/>
                <w:bCs/>
                <w:sz w:val="18"/>
                <w:szCs w:val="18"/>
                <w:lang w:eastAsia="sk-SK"/>
              </w:rPr>
            </w:pPr>
            <w:r w:rsidRPr="00ED0D07">
              <w:rPr>
                <w:rFonts w:eastAsia="Times New Roman" w:cs="Times New Roman"/>
                <w:b/>
                <w:bCs/>
                <w:sz w:val="18"/>
                <w:szCs w:val="18"/>
                <w:lang w:eastAsia="sk-SK"/>
              </w:rPr>
              <w:t>2024 S</w:t>
            </w:r>
          </w:p>
        </w:tc>
        <w:tc>
          <w:tcPr>
            <w:tcW w:w="493" w:type="pct"/>
            <w:tcBorders>
              <w:top w:val="single" w:sz="4" w:space="0" w:color="auto"/>
              <w:left w:val="nil"/>
              <w:bottom w:val="nil"/>
              <w:right w:val="nil"/>
            </w:tcBorders>
            <w:shd w:val="clear" w:color="auto" w:fill="auto"/>
            <w:vAlign w:val="center"/>
            <w:hideMark/>
          </w:tcPr>
          <w:p w14:paraId="17DF7568" w14:textId="77777777" w:rsidR="009A05C7" w:rsidRPr="00ED0D07" w:rsidRDefault="009A05C7" w:rsidP="000240DA">
            <w:pPr>
              <w:spacing w:after="0" w:line="240" w:lineRule="auto"/>
              <w:jc w:val="center"/>
              <w:rPr>
                <w:rFonts w:eastAsia="Times New Roman" w:cs="Times New Roman"/>
                <w:b/>
                <w:bCs/>
                <w:sz w:val="18"/>
                <w:szCs w:val="18"/>
                <w:lang w:eastAsia="sk-SK"/>
              </w:rPr>
            </w:pPr>
            <w:r w:rsidRPr="00ED0D07">
              <w:rPr>
                <w:rFonts w:eastAsia="Times New Roman" w:cs="Times New Roman"/>
                <w:b/>
                <w:bCs/>
                <w:sz w:val="18"/>
                <w:szCs w:val="18"/>
                <w:lang w:eastAsia="sk-SK"/>
              </w:rPr>
              <w:t>Zmena</w:t>
            </w:r>
          </w:p>
        </w:tc>
      </w:tr>
      <w:tr w:rsidR="009A05C7" w:rsidRPr="00ED0D07" w14:paraId="2F9189CB" w14:textId="77777777" w:rsidTr="000240DA">
        <w:trPr>
          <w:trHeight w:val="290"/>
          <w:tblHeader/>
        </w:trPr>
        <w:tc>
          <w:tcPr>
            <w:tcW w:w="2772" w:type="pct"/>
            <w:vMerge/>
            <w:tcBorders>
              <w:top w:val="single" w:sz="4" w:space="0" w:color="auto"/>
              <w:left w:val="nil"/>
              <w:bottom w:val="single" w:sz="4" w:space="0" w:color="000000"/>
              <w:right w:val="nil"/>
            </w:tcBorders>
            <w:vAlign w:val="center"/>
            <w:hideMark/>
          </w:tcPr>
          <w:p w14:paraId="2ABC2F81" w14:textId="77777777" w:rsidR="009A05C7" w:rsidRPr="00ED0D07" w:rsidRDefault="009A05C7" w:rsidP="000240DA">
            <w:pPr>
              <w:spacing w:after="0" w:line="240" w:lineRule="auto"/>
              <w:jc w:val="left"/>
              <w:rPr>
                <w:rFonts w:eastAsia="Times New Roman" w:cs="Times New Roman"/>
                <w:b/>
                <w:bCs/>
                <w:sz w:val="18"/>
                <w:szCs w:val="18"/>
                <w:lang w:eastAsia="sk-SK"/>
              </w:rPr>
            </w:pPr>
          </w:p>
        </w:tc>
        <w:tc>
          <w:tcPr>
            <w:tcW w:w="578" w:type="pct"/>
            <w:tcBorders>
              <w:top w:val="nil"/>
              <w:left w:val="nil"/>
              <w:bottom w:val="single" w:sz="4" w:space="0" w:color="auto"/>
              <w:right w:val="nil"/>
            </w:tcBorders>
            <w:shd w:val="clear" w:color="auto" w:fill="auto"/>
            <w:vAlign w:val="center"/>
            <w:hideMark/>
          </w:tcPr>
          <w:p w14:paraId="107723E2" w14:textId="77777777" w:rsidR="009A05C7" w:rsidRPr="00ED0D07" w:rsidRDefault="009A05C7" w:rsidP="000240DA">
            <w:pPr>
              <w:spacing w:after="0" w:line="240" w:lineRule="auto"/>
              <w:jc w:val="center"/>
              <w:rPr>
                <w:rFonts w:eastAsia="Times New Roman" w:cs="Times New Roman"/>
                <w:b/>
                <w:bCs/>
                <w:sz w:val="18"/>
                <w:szCs w:val="18"/>
                <w:lang w:eastAsia="sk-SK"/>
              </w:rPr>
            </w:pPr>
            <w:r w:rsidRPr="00ED0D07">
              <w:rPr>
                <w:rFonts w:eastAsia="Times New Roman" w:cs="Times New Roman"/>
                <w:b/>
                <w:bCs/>
                <w:sz w:val="18"/>
                <w:szCs w:val="18"/>
                <w:lang w:eastAsia="sk-SK"/>
              </w:rPr>
              <w:t>1</w:t>
            </w:r>
          </w:p>
        </w:tc>
        <w:tc>
          <w:tcPr>
            <w:tcW w:w="578" w:type="pct"/>
            <w:tcBorders>
              <w:top w:val="nil"/>
              <w:left w:val="nil"/>
              <w:bottom w:val="single" w:sz="4" w:space="0" w:color="auto"/>
              <w:right w:val="nil"/>
            </w:tcBorders>
            <w:shd w:val="clear" w:color="auto" w:fill="auto"/>
            <w:vAlign w:val="center"/>
            <w:hideMark/>
          </w:tcPr>
          <w:p w14:paraId="45A85B89" w14:textId="77777777" w:rsidR="009A05C7" w:rsidRPr="00ED0D07" w:rsidRDefault="009A05C7" w:rsidP="000240DA">
            <w:pPr>
              <w:spacing w:after="0" w:line="240" w:lineRule="auto"/>
              <w:jc w:val="center"/>
              <w:rPr>
                <w:rFonts w:eastAsia="Times New Roman" w:cs="Times New Roman"/>
                <w:b/>
                <w:bCs/>
                <w:sz w:val="18"/>
                <w:szCs w:val="18"/>
                <w:lang w:eastAsia="sk-SK"/>
              </w:rPr>
            </w:pPr>
            <w:r w:rsidRPr="00ED0D07">
              <w:rPr>
                <w:rFonts w:eastAsia="Times New Roman" w:cs="Times New Roman"/>
                <w:b/>
                <w:bCs/>
                <w:sz w:val="18"/>
                <w:szCs w:val="18"/>
                <w:lang w:eastAsia="sk-SK"/>
              </w:rPr>
              <w:t>2</w:t>
            </w:r>
          </w:p>
        </w:tc>
        <w:tc>
          <w:tcPr>
            <w:tcW w:w="579" w:type="pct"/>
            <w:tcBorders>
              <w:top w:val="nil"/>
              <w:left w:val="nil"/>
              <w:bottom w:val="single" w:sz="4" w:space="0" w:color="auto"/>
              <w:right w:val="nil"/>
            </w:tcBorders>
            <w:shd w:val="clear" w:color="auto" w:fill="auto"/>
            <w:vAlign w:val="center"/>
            <w:hideMark/>
          </w:tcPr>
          <w:p w14:paraId="66CC66B7" w14:textId="77777777" w:rsidR="009A05C7" w:rsidRPr="00ED0D07" w:rsidRDefault="009A05C7" w:rsidP="000240DA">
            <w:pPr>
              <w:spacing w:after="0" w:line="240" w:lineRule="auto"/>
              <w:jc w:val="center"/>
              <w:rPr>
                <w:rFonts w:eastAsia="Times New Roman" w:cs="Times New Roman"/>
                <w:b/>
                <w:bCs/>
                <w:sz w:val="18"/>
                <w:szCs w:val="18"/>
                <w:lang w:eastAsia="sk-SK"/>
              </w:rPr>
            </w:pPr>
            <w:r w:rsidRPr="00ED0D07">
              <w:rPr>
                <w:rFonts w:eastAsia="Times New Roman" w:cs="Times New Roman"/>
                <w:b/>
                <w:bCs/>
                <w:sz w:val="18"/>
                <w:szCs w:val="18"/>
                <w:lang w:eastAsia="sk-SK"/>
              </w:rPr>
              <w:t>3</w:t>
            </w:r>
          </w:p>
        </w:tc>
        <w:tc>
          <w:tcPr>
            <w:tcW w:w="493" w:type="pct"/>
            <w:tcBorders>
              <w:top w:val="nil"/>
              <w:left w:val="nil"/>
              <w:bottom w:val="single" w:sz="4" w:space="0" w:color="auto"/>
              <w:right w:val="nil"/>
            </w:tcBorders>
            <w:shd w:val="clear" w:color="auto" w:fill="auto"/>
            <w:vAlign w:val="center"/>
            <w:hideMark/>
          </w:tcPr>
          <w:p w14:paraId="4A8D736A" w14:textId="77777777" w:rsidR="009A05C7" w:rsidRPr="00ED0D07" w:rsidRDefault="009A05C7" w:rsidP="000240DA">
            <w:pPr>
              <w:spacing w:after="0" w:line="240" w:lineRule="auto"/>
              <w:jc w:val="center"/>
              <w:rPr>
                <w:rFonts w:eastAsia="Times New Roman" w:cs="Times New Roman"/>
                <w:b/>
                <w:bCs/>
                <w:sz w:val="18"/>
                <w:szCs w:val="18"/>
                <w:lang w:eastAsia="sk-SK"/>
              </w:rPr>
            </w:pPr>
            <w:r w:rsidRPr="00ED0D07">
              <w:rPr>
                <w:rFonts w:eastAsia="Times New Roman" w:cs="Times New Roman"/>
                <w:b/>
                <w:bCs/>
                <w:sz w:val="18"/>
                <w:szCs w:val="18"/>
                <w:lang w:eastAsia="sk-SK"/>
              </w:rPr>
              <w:t>4=(3-2)</w:t>
            </w:r>
          </w:p>
        </w:tc>
      </w:tr>
      <w:tr w:rsidR="009A05C7" w:rsidRPr="00ED0D07" w14:paraId="1148C92B" w14:textId="77777777" w:rsidTr="000240DA">
        <w:trPr>
          <w:trHeight w:val="300"/>
        </w:trPr>
        <w:tc>
          <w:tcPr>
            <w:tcW w:w="2772" w:type="pct"/>
            <w:tcBorders>
              <w:top w:val="nil"/>
              <w:left w:val="nil"/>
              <w:bottom w:val="nil"/>
              <w:right w:val="nil"/>
            </w:tcBorders>
            <w:shd w:val="clear" w:color="auto" w:fill="auto"/>
            <w:noWrap/>
            <w:vAlign w:val="bottom"/>
            <w:hideMark/>
          </w:tcPr>
          <w:p w14:paraId="7D5FF3E1" w14:textId="77777777" w:rsidR="009A05C7" w:rsidRPr="00ED0D07" w:rsidRDefault="009A05C7" w:rsidP="000240DA">
            <w:pPr>
              <w:spacing w:after="0" w:line="240" w:lineRule="auto"/>
              <w:jc w:val="left"/>
              <w:rPr>
                <w:rFonts w:eastAsia="Times New Roman" w:cs="Times New Roman"/>
                <w:sz w:val="18"/>
                <w:szCs w:val="18"/>
                <w:lang w:eastAsia="sk-SK"/>
              </w:rPr>
            </w:pPr>
            <w:r w:rsidRPr="00ED0D07">
              <w:rPr>
                <w:rFonts w:eastAsia="Times New Roman" w:cs="Times New Roman"/>
                <w:sz w:val="18"/>
                <w:szCs w:val="18"/>
                <w:lang w:eastAsia="sk-SK"/>
              </w:rPr>
              <w:t>Bankové úvery</w:t>
            </w:r>
          </w:p>
        </w:tc>
        <w:tc>
          <w:tcPr>
            <w:tcW w:w="578" w:type="pct"/>
            <w:tcBorders>
              <w:top w:val="nil"/>
              <w:left w:val="nil"/>
              <w:bottom w:val="nil"/>
              <w:right w:val="nil"/>
            </w:tcBorders>
            <w:shd w:val="clear" w:color="auto" w:fill="auto"/>
            <w:noWrap/>
            <w:vAlign w:val="bottom"/>
            <w:hideMark/>
          </w:tcPr>
          <w:p w14:paraId="651BF559" w14:textId="77777777" w:rsidR="009A05C7" w:rsidRPr="00ED0D07" w:rsidRDefault="009A05C7" w:rsidP="000240DA">
            <w:pPr>
              <w:spacing w:after="0" w:line="240" w:lineRule="auto"/>
              <w:jc w:val="right"/>
              <w:rPr>
                <w:rFonts w:eastAsia="Times New Roman" w:cs="Times New Roman"/>
                <w:sz w:val="18"/>
                <w:szCs w:val="18"/>
                <w:lang w:eastAsia="sk-SK"/>
              </w:rPr>
            </w:pPr>
            <w:r w:rsidRPr="00ED0D07">
              <w:rPr>
                <w:rFonts w:eastAsia="Times New Roman" w:cs="Times New Roman"/>
                <w:sz w:val="18"/>
                <w:szCs w:val="18"/>
                <w:lang w:eastAsia="sk-SK"/>
              </w:rPr>
              <w:t>355 765</w:t>
            </w:r>
          </w:p>
        </w:tc>
        <w:tc>
          <w:tcPr>
            <w:tcW w:w="578" w:type="pct"/>
            <w:tcBorders>
              <w:top w:val="nil"/>
              <w:left w:val="nil"/>
              <w:bottom w:val="nil"/>
              <w:right w:val="nil"/>
            </w:tcBorders>
            <w:shd w:val="clear" w:color="auto" w:fill="auto"/>
            <w:noWrap/>
            <w:vAlign w:val="bottom"/>
            <w:hideMark/>
          </w:tcPr>
          <w:p w14:paraId="7CA045D9" w14:textId="77777777" w:rsidR="009A05C7" w:rsidRPr="00ED0D07" w:rsidRDefault="009A05C7" w:rsidP="000240DA">
            <w:pPr>
              <w:spacing w:after="0" w:line="240" w:lineRule="auto"/>
              <w:jc w:val="right"/>
              <w:rPr>
                <w:rFonts w:eastAsia="Times New Roman" w:cs="Times New Roman"/>
                <w:sz w:val="18"/>
                <w:szCs w:val="18"/>
                <w:lang w:eastAsia="sk-SK"/>
              </w:rPr>
            </w:pPr>
            <w:r w:rsidRPr="00ED0D07">
              <w:rPr>
                <w:rFonts w:eastAsia="Times New Roman" w:cs="Times New Roman"/>
                <w:sz w:val="18"/>
                <w:szCs w:val="18"/>
                <w:lang w:eastAsia="sk-SK"/>
              </w:rPr>
              <w:t>455 345</w:t>
            </w:r>
          </w:p>
        </w:tc>
        <w:tc>
          <w:tcPr>
            <w:tcW w:w="579" w:type="pct"/>
            <w:tcBorders>
              <w:top w:val="nil"/>
              <w:left w:val="nil"/>
              <w:bottom w:val="nil"/>
              <w:right w:val="nil"/>
            </w:tcBorders>
            <w:shd w:val="clear" w:color="auto" w:fill="auto"/>
            <w:noWrap/>
            <w:vAlign w:val="bottom"/>
            <w:hideMark/>
          </w:tcPr>
          <w:p w14:paraId="2BA492F7" w14:textId="77777777" w:rsidR="009A05C7" w:rsidRPr="00ED0D07" w:rsidRDefault="009A05C7" w:rsidP="000240DA">
            <w:pPr>
              <w:spacing w:after="0" w:line="240" w:lineRule="auto"/>
              <w:jc w:val="right"/>
              <w:rPr>
                <w:rFonts w:eastAsia="Times New Roman" w:cs="Times New Roman"/>
                <w:sz w:val="18"/>
                <w:szCs w:val="18"/>
                <w:lang w:eastAsia="sk-SK"/>
              </w:rPr>
            </w:pPr>
            <w:r w:rsidRPr="00ED0D07">
              <w:rPr>
                <w:rFonts w:eastAsia="Times New Roman" w:cs="Times New Roman"/>
                <w:sz w:val="18"/>
                <w:szCs w:val="18"/>
                <w:lang w:eastAsia="sk-SK"/>
              </w:rPr>
              <w:t>430 742</w:t>
            </w:r>
          </w:p>
        </w:tc>
        <w:tc>
          <w:tcPr>
            <w:tcW w:w="493" w:type="pct"/>
            <w:tcBorders>
              <w:top w:val="nil"/>
              <w:left w:val="nil"/>
              <w:bottom w:val="nil"/>
              <w:right w:val="nil"/>
            </w:tcBorders>
            <w:shd w:val="clear" w:color="auto" w:fill="auto"/>
            <w:noWrap/>
            <w:vAlign w:val="bottom"/>
            <w:hideMark/>
          </w:tcPr>
          <w:p w14:paraId="63A6CE64" w14:textId="77777777" w:rsidR="009A05C7" w:rsidRPr="00ED0D07" w:rsidRDefault="009A05C7" w:rsidP="000240DA">
            <w:pPr>
              <w:spacing w:after="0" w:line="240" w:lineRule="auto"/>
              <w:jc w:val="right"/>
              <w:rPr>
                <w:rFonts w:eastAsia="Times New Roman" w:cs="Times New Roman"/>
                <w:sz w:val="18"/>
                <w:szCs w:val="18"/>
                <w:lang w:eastAsia="sk-SK"/>
              </w:rPr>
            </w:pPr>
            <w:r w:rsidRPr="00ED0D07">
              <w:rPr>
                <w:rFonts w:eastAsia="Times New Roman" w:cs="Times New Roman"/>
                <w:sz w:val="18"/>
                <w:szCs w:val="18"/>
                <w:lang w:eastAsia="sk-SK"/>
              </w:rPr>
              <w:t>-24 603</w:t>
            </w:r>
          </w:p>
        </w:tc>
      </w:tr>
      <w:tr w:rsidR="009A05C7" w:rsidRPr="00ED0D07" w14:paraId="2E844439" w14:textId="77777777" w:rsidTr="000240DA">
        <w:trPr>
          <w:trHeight w:val="300"/>
        </w:trPr>
        <w:tc>
          <w:tcPr>
            <w:tcW w:w="2772" w:type="pct"/>
            <w:tcBorders>
              <w:top w:val="nil"/>
              <w:left w:val="nil"/>
              <w:bottom w:val="nil"/>
              <w:right w:val="nil"/>
            </w:tcBorders>
            <w:shd w:val="clear" w:color="auto" w:fill="auto"/>
            <w:vAlign w:val="bottom"/>
            <w:hideMark/>
          </w:tcPr>
          <w:p w14:paraId="305A2D3F" w14:textId="77777777" w:rsidR="009A05C7" w:rsidRPr="00ED0D07" w:rsidRDefault="009A05C7" w:rsidP="000240DA">
            <w:pPr>
              <w:spacing w:after="0" w:line="240" w:lineRule="auto"/>
              <w:jc w:val="left"/>
              <w:rPr>
                <w:rFonts w:eastAsia="Times New Roman" w:cs="Times New Roman"/>
                <w:sz w:val="18"/>
                <w:szCs w:val="18"/>
                <w:lang w:eastAsia="sk-SK"/>
              </w:rPr>
            </w:pPr>
            <w:r w:rsidRPr="00ED0D07">
              <w:rPr>
                <w:rFonts w:eastAsia="Times New Roman" w:cs="Times New Roman"/>
                <w:sz w:val="18"/>
                <w:szCs w:val="18"/>
                <w:lang w:eastAsia="sk-SK"/>
              </w:rPr>
              <w:t>Návratné finančné výpomoci zo VPS a ŠD (konsoliduje sa)</w:t>
            </w:r>
          </w:p>
        </w:tc>
        <w:tc>
          <w:tcPr>
            <w:tcW w:w="578" w:type="pct"/>
            <w:tcBorders>
              <w:top w:val="nil"/>
              <w:left w:val="nil"/>
              <w:bottom w:val="nil"/>
              <w:right w:val="nil"/>
            </w:tcBorders>
            <w:shd w:val="clear" w:color="auto" w:fill="auto"/>
            <w:noWrap/>
            <w:vAlign w:val="bottom"/>
            <w:hideMark/>
          </w:tcPr>
          <w:p w14:paraId="0E868D53" w14:textId="77777777" w:rsidR="009A05C7" w:rsidRPr="00ED0D07" w:rsidRDefault="009A05C7" w:rsidP="000240DA">
            <w:pPr>
              <w:spacing w:after="0" w:line="240" w:lineRule="auto"/>
              <w:jc w:val="right"/>
              <w:rPr>
                <w:rFonts w:eastAsia="Times New Roman" w:cs="Times New Roman"/>
                <w:sz w:val="18"/>
                <w:szCs w:val="18"/>
                <w:lang w:eastAsia="sk-SK"/>
              </w:rPr>
            </w:pPr>
            <w:r w:rsidRPr="00ED0D07">
              <w:rPr>
                <w:rFonts w:eastAsia="Times New Roman" w:cs="Times New Roman"/>
                <w:sz w:val="18"/>
                <w:szCs w:val="18"/>
                <w:lang w:eastAsia="sk-SK"/>
              </w:rPr>
              <w:t>197 574</w:t>
            </w:r>
          </w:p>
        </w:tc>
        <w:tc>
          <w:tcPr>
            <w:tcW w:w="578" w:type="pct"/>
            <w:tcBorders>
              <w:top w:val="nil"/>
              <w:left w:val="nil"/>
              <w:bottom w:val="nil"/>
              <w:right w:val="nil"/>
            </w:tcBorders>
            <w:shd w:val="clear" w:color="auto" w:fill="auto"/>
            <w:noWrap/>
            <w:vAlign w:val="bottom"/>
            <w:hideMark/>
          </w:tcPr>
          <w:p w14:paraId="5AE86EE9" w14:textId="77777777" w:rsidR="009A05C7" w:rsidRPr="00ED0D07" w:rsidRDefault="009A05C7" w:rsidP="000240DA">
            <w:pPr>
              <w:spacing w:after="0" w:line="240" w:lineRule="auto"/>
              <w:jc w:val="right"/>
              <w:rPr>
                <w:rFonts w:eastAsia="Times New Roman" w:cs="Times New Roman"/>
                <w:sz w:val="18"/>
                <w:szCs w:val="18"/>
                <w:lang w:eastAsia="sk-SK"/>
              </w:rPr>
            </w:pPr>
            <w:r w:rsidRPr="00ED0D07">
              <w:rPr>
                <w:rFonts w:eastAsia="Times New Roman" w:cs="Times New Roman"/>
                <w:sz w:val="18"/>
                <w:szCs w:val="18"/>
                <w:lang w:eastAsia="sk-SK"/>
              </w:rPr>
              <w:t>129 800</w:t>
            </w:r>
          </w:p>
        </w:tc>
        <w:tc>
          <w:tcPr>
            <w:tcW w:w="579" w:type="pct"/>
            <w:tcBorders>
              <w:top w:val="nil"/>
              <w:left w:val="nil"/>
              <w:bottom w:val="nil"/>
              <w:right w:val="nil"/>
            </w:tcBorders>
            <w:shd w:val="clear" w:color="auto" w:fill="auto"/>
            <w:noWrap/>
            <w:vAlign w:val="bottom"/>
            <w:hideMark/>
          </w:tcPr>
          <w:p w14:paraId="21F3BE9B" w14:textId="77777777" w:rsidR="009A05C7" w:rsidRPr="00ED0D07" w:rsidRDefault="009A05C7" w:rsidP="000240DA">
            <w:pPr>
              <w:spacing w:after="0" w:line="240" w:lineRule="auto"/>
              <w:jc w:val="right"/>
              <w:rPr>
                <w:rFonts w:eastAsia="Times New Roman" w:cs="Times New Roman"/>
                <w:sz w:val="18"/>
                <w:szCs w:val="18"/>
                <w:lang w:eastAsia="sk-SK"/>
              </w:rPr>
            </w:pPr>
            <w:r w:rsidRPr="00ED0D07">
              <w:rPr>
                <w:rFonts w:eastAsia="Times New Roman" w:cs="Times New Roman"/>
                <w:sz w:val="18"/>
                <w:szCs w:val="18"/>
                <w:lang w:eastAsia="sk-SK"/>
              </w:rPr>
              <w:t>102 500</w:t>
            </w:r>
          </w:p>
        </w:tc>
        <w:tc>
          <w:tcPr>
            <w:tcW w:w="493" w:type="pct"/>
            <w:tcBorders>
              <w:top w:val="nil"/>
              <w:left w:val="nil"/>
              <w:bottom w:val="nil"/>
              <w:right w:val="nil"/>
            </w:tcBorders>
            <w:shd w:val="clear" w:color="auto" w:fill="auto"/>
            <w:noWrap/>
            <w:vAlign w:val="bottom"/>
            <w:hideMark/>
          </w:tcPr>
          <w:p w14:paraId="1EE4119C" w14:textId="77777777" w:rsidR="009A05C7" w:rsidRPr="00ED0D07" w:rsidRDefault="009A05C7" w:rsidP="000240DA">
            <w:pPr>
              <w:spacing w:after="0" w:line="240" w:lineRule="auto"/>
              <w:jc w:val="right"/>
              <w:rPr>
                <w:rFonts w:eastAsia="Times New Roman" w:cs="Times New Roman"/>
                <w:sz w:val="18"/>
                <w:szCs w:val="18"/>
                <w:lang w:eastAsia="sk-SK"/>
              </w:rPr>
            </w:pPr>
            <w:r w:rsidRPr="00ED0D07">
              <w:rPr>
                <w:rFonts w:eastAsia="Times New Roman" w:cs="Times New Roman"/>
                <w:sz w:val="18"/>
                <w:szCs w:val="18"/>
                <w:lang w:eastAsia="sk-SK"/>
              </w:rPr>
              <w:t>-27 300</w:t>
            </w:r>
          </w:p>
        </w:tc>
      </w:tr>
      <w:tr w:rsidR="009A05C7" w:rsidRPr="00ED0D07" w14:paraId="062F8397" w14:textId="77777777" w:rsidTr="000240DA">
        <w:trPr>
          <w:trHeight w:val="300"/>
        </w:trPr>
        <w:tc>
          <w:tcPr>
            <w:tcW w:w="2772" w:type="pct"/>
            <w:tcBorders>
              <w:top w:val="nil"/>
              <w:left w:val="nil"/>
              <w:bottom w:val="nil"/>
              <w:right w:val="nil"/>
            </w:tcBorders>
            <w:shd w:val="clear" w:color="auto" w:fill="auto"/>
            <w:vAlign w:val="bottom"/>
            <w:hideMark/>
          </w:tcPr>
          <w:p w14:paraId="2339FB2D" w14:textId="77777777" w:rsidR="009A05C7" w:rsidRPr="00ED0D07" w:rsidRDefault="009A05C7" w:rsidP="000240DA">
            <w:pPr>
              <w:spacing w:after="0" w:line="240" w:lineRule="auto"/>
              <w:jc w:val="left"/>
              <w:rPr>
                <w:rFonts w:eastAsia="Times New Roman" w:cs="Times New Roman"/>
                <w:sz w:val="18"/>
                <w:szCs w:val="18"/>
                <w:lang w:eastAsia="sk-SK"/>
              </w:rPr>
            </w:pPr>
            <w:r w:rsidRPr="00ED0D07">
              <w:rPr>
                <w:rFonts w:eastAsia="Times New Roman" w:cs="Times New Roman"/>
                <w:sz w:val="18"/>
                <w:szCs w:val="18"/>
                <w:lang w:eastAsia="sk-SK"/>
              </w:rPr>
              <w:t>Pôžička od NDF II. (konsoliduje sa)</w:t>
            </w:r>
          </w:p>
        </w:tc>
        <w:tc>
          <w:tcPr>
            <w:tcW w:w="578" w:type="pct"/>
            <w:tcBorders>
              <w:top w:val="nil"/>
              <w:left w:val="nil"/>
              <w:bottom w:val="nil"/>
              <w:right w:val="nil"/>
            </w:tcBorders>
            <w:shd w:val="clear" w:color="auto" w:fill="auto"/>
            <w:noWrap/>
            <w:vAlign w:val="bottom"/>
            <w:hideMark/>
          </w:tcPr>
          <w:p w14:paraId="0265B73B" w14:textId="77777777" w:rsidR="009A05C7" w:rsidRPr="00ED0D07" w:rsidRDefault="009A05C7" w:rsidP="000240DA">
            <w:pPr>
              <w:spacing w:after="0" w:line="240" w:lineRule="auto"/>
              <w:jc w:val="left"/>
              <w:rPr>
                <w:rFonts w:eastAsia="Times New Roman" w:cs="Times New Roman"/>
                <w:sz w:val="18"/>
                <w:szCs w:val="18"/>
                <w:lang w:eastAsia="sk-SK"/>
              </w:rPr>
            </w:pPr>
          </w:p>
        </w:tc>
        <w:tc>
          <w:tcPr>
            <w:tcW w:w="578" w:type="pct"/>
            <w:tcBorders>
              <w:top w:val="nil"/>
              <w:left w:val="nil"/>
              <w:bottom w:val="nil"/>
              <w:right w:val="nil"/>
            </w:tcBorders>
            <w:shd w:val="clear" w:color="auto" w:fill="auto"/>
            <w:noWrap/>
            <w:vAlign w:val="bottom"/>
            <w:hideMark/>
          </w:tcPr>
          <w:p w14:paraId="133309A9" w14:textId="77777777" w:rsidR="009A05C7" w:rsidRPr="00ED0D07" w:rsidRDefault="009A05C7" w:rsidP="000240DA">
            <w:pPr>
              <w:spacing w:after="0" w:line="240" w:lineRule="auto"/>
              <w:jc w:val="right"/>
              <w:rPr>
                <w:rFonts w:eastAsia="Times New Roman" w:cs="Times New Roman"/>
                <w:sz w:val="18"/>
                <w:szCs w:val="18"/>
                <w:lang w:eastAsia="sk-SK"/>
              </w:rPr>
            </w:pPr>
            <w:r w:rsidRPr="00ED0D07">
              <w:rPr>
                <w:rFonts w:eastAsia="Times New Roman" w:cs="Times New Roman"/>
                <w:sz w:val="18"/>
                <w:szCs w:val="18"/>
                <w:lang w:eastAsia="sk-SK"/>
              </w:rPr>
              <w:t>106 290</w:t>
            </w:r>
          </w:p>
        </w:tc>
        <w:tc>
          <w:tcPr>
            <w:tcW w:w="579" w:type="pct"/>
            <w:tcBorders>
              <w:top w:val="nil"/>
              <w:left w:val="nil"/>
              <w:bottom w:val="nil"/>
              <w:right w:val="nil"/>
            </w:tcBorders>
            <w:shd w:val="clear" w:color="auto" w:fill="auto"/>
            <w:noWrap/>
            <w:vAlign w:val="bottom"/>
            <w:hideMark/>
          </w:tcPr>
          <w:p w14:paraId="280646DB" w14:textId="77777777" w:rsidR="009A05C7" w:rsidRPr="00ED0D07" w:rsidRDefault="009A05C7" w:rsidP="000240DA">
            <w:pPr>
              <w:spacing w:after="0" w:line="240" w:lineRule="auto"/>
              <w:jc w:val="right"/>
              <w:rPr>
                <w:rFonts w:eastAsia="Times New Roman" w:cs="Times New Roman"/>
                <w:sz w:val="18"/>
                <w:szCs w:val="18"/>
                <w:lang w:eastAsia="sk-SK"/>
              </w:rPr>
            </w:pPr>
            <w:r w:rsidRPr="00ED0D07">
              <w:rPr>
                <w:rFonts w:eastAsia="Times New Roman" w:cs="Times New Roman"/>
                <w:sz w:val="18"/>
                <w:szCs w:val="18"/>
                <w:lang w:eastAsia="sk-SK"/>
              </w:rPr>
              <w:t>106 290</w:t>
            </w:r>
          </w:p>
        </w:tc>
        <w:tc>
          <w:tcPr>
            <w:tcW w:w="493" w:type="pct"/>
            <w:tcBorders>
              <w:top w:val="nil"/>
              <w:left w:val="nil"/>
              <w:bottom w:val="nil"/>
              <w:right w:val="nil"/>
            </w:tcBorders>
            <w:shd w:val="clear" w:color="auto" w:fill="auto"/>
            <w:noWrap/>
            <w:vAlign w:val="bottom"/>
            <w:hideMark/>
          </w:tcPr>
          <w:p w14:paraId="13D8FB5B" w14:textId="77777777" w:rsidR="009A05C7" w:rsidRPr="00ED0D07" w:rsidRDefault="009A05C7" w:rsidP="000240DA">
            <w:pPr>
              <w:spacing w:after="0" w:line="240" w:lineRule="auto"/>
              <w:jc w:val="right"/>
              <w:rPr>
                <w:rFonts w:eastAsia="Times New Roman" w:cs="Times New Roman"/>
                <w:sz w:val="18"/>
                <w:szCs w:val="18"/>
                <w:lang w:eastAsia="sk-SK"/>
              </w:rPr>
            </w:pPr>
            <w:r w:rsidRPr="00ED0D07">
              <w:rPr>
                <w:rFonts w:eastAsia="Times New Roman" w:cs="Times New Roman"/>
                <w:sz w:val="18"/>
                <w:szCs w:val="18"/>
                <w:lang w:eastAsia="sk-SK"/>
              </w:rPr>
              <w:t>0</w:t>
            </w:r>
          </w:p>
        </w:tc>
      </w:tr>
      <w:tr w:rsidR="009A05C7" w:rsidRPr="00ED0D07" w14:paraId="6F07DE9B" w14:textId="77777777" w:rsidTr="000240DA">
        <w:trPr>
          <w:trHeight w:val="300"/>
        </w:trPr>
        <w:tc>
          <w:tcPr>
            <w:tcW w:w="2772" w:type="pct"/>
            <w:tcBorders>
              <w:top w:val="nil"/>
              <w:left w:val="nil"/>
              <w:bottom w:val="nil"/>
              <w:right w:val="nil"/>
            </w:tcBorders>
            <w:shd w:val="clear" w:color="auto" w:fill="auto"/>
            <w:vAlign w:val="bottom"/>
            <w:hideMark/>
          </w:tcPr>
          <w:p w14:paraId="67D7EDCD" w14:textId="77777777" w:rsidR="009A05C7" w:rsidRPr="00ED0D07" w:rsidRDefault="009A05C7" w:rsidP="000240DA">
            <w:pPr>
              <w:spacing w:after="0" w:line="240" w:lineRule="auto"/>
              <w:jc w:val="left"/>
              <w:rPr>
                <w:rFonts w:eastAsia="Times New Roman" w:cs="Times New Roman"/>
                <w:sz w:val="18"/>
                <w:szCs w:val="18"/>
                <w:lang w:eastAsia="sk-SK"/>
              </w:rPr>
            </w:pPr>
            <w:r w:rsidRPr="00ED0D07">
              <w:rPr>
                <w:rFonts w:eastAsia="Times New Roman" w:cs="Times New Roman"/>
                <w:sz w:val="18"/>
                <w:szCs w:val="18"/>
                <w:lang w:eastAsia="sk-SK"/>
              </w:rPr>
              <w:t>Pôžičky zo ŠFRB (konsoliduje sa)</w:t>
            </w:r>
          </w:p>
        </w:tc>
        <w:tc>
          <w:tcPr>
            <w:tcW w:w="578" w:type="pct"/>
            <w:tcBorders>
              <w:top w:val="nil"/>
              <w:left w:val="nil"/>
              <w:bottom w:val="nil"/>
              <w:right w:val="nil"/>
            </w:tcBorders>
            <w:shd w:val="clear" w:color="auto" w:fill="auto"/>
            <w:noWrap/>
            <w:vAlign w:val="bottom"/>
            <w:hideMark/>
          </w:tcPr>
          <w:p w14:paraId="61CAC948" w14:textId="77777777" w:rsidR="009A05C7" w:rsidRPr="00ED0D07" w:rsidRDefault="009A05C7" w:rsidP="000240DA">
            <w:pPr>
              <w:spacing w:after="0" w:line="240" w:lineRule="auto"/>
              <w:jc w:val="left"/>
              <w:rPr>
                <w:rFonts w:eastAsia="Times New Roman" w:cs="Times New Roman"/>
                <w:sz w:val="18"/>
                <w:szCs w:val="18"/>
                <w:lang w:eastAsia="sk-SK"/>
              </w:rPr>
            </w:pPr>
          </w:p>
        </w:tc>
        <w:tc>
          <w:tcPr>
            <w:tcW w:w="578" w:type="pct"/>
            <w:tcBorders>
              <w:top w:val="nil"/>
              <w:left w:val="nil"/>
              <w:bottom w:val="nil"/>
              <w:right w:val="nil"/>
            </w:tcBorders>
            <w:shd w:val="clear" w:color="auto" w:fill="auto"/>
            <w:noWrap/>
            <w:vAlign w:val="bottom"/>
            <w:hideMark/>
          </w:tcPr>
          <w:p w14:paraId="3B98BA01" w14:textId="77777777" w:rsidR="009A05C7" w:rsidRPr="00ED0D07" w:rsidRDefault="009A05C7" w:rsidP="000240DA">
            <w:pPr>
              <w:spacing w:after="0" w:line="240" w:lineRule="auto"/>
              <w:jc w:val="left"/>
              <w:rPr>
                <w:rFonts w:eastAsia="Times New Roman" w:cs="Times New Roman"/>
                <w:sz w:val="18"/>
                <w:szCs w:val="18"/>
                <w:lang w:eastAsia="sk-SK"/>
              </w:rPr>
            </w:pPr>
          </w:p>
        </w:tc>
        <w:tc>
          <w:tcPr>
            <w:tcW w:w="579" w:type="pct"/>
            <w:tcBorders>
              <w:top w:val="nil"/>
              <w:left w:val="nil"/>
              <w:bottom w:val="nil"/>
              <w:right w:val="nil"/>
            </w:tcBorders>
            <w:shd w:val="clear" w:color="auto" w:fill="auto"/>
            <w:noWrap/>
            <w:vAlign w:val="bottom"/>
            <w:hideMark/>
          </w:tcPr>
          <w:p w14:paraId="6D2492F3" w14:textId="77777777" w:rsidR="009A05C7" w:rsidRPr="00ED0D07" w:rsidRDefault="009A05C7" w:rsidP="000240DA">
            <w:pPr>
              <w:spacing w:after="0" w:line="240" w:lineRule="auto"/>
              <w:jc w:val="right"/>
              <w:rPr>
                <w:rFonts w:eastAsia="Times New Roman" w:cs="Times New Roman"/>
                <w:sz w:val="18"/>
                <w:szCs w:val="18"/>
                <w:lang w:eastAsia="sk-SK"/>
              </w:rPr>
            </w:pPr>
            <w:r w:rsidRPr="00ED0D07">
              <w:rPr>
                <w:rFonts w:eastAsia="Times New Roman" w:cs="Times New Roman"/>
                <w:sz w:val="18"/>
                <w:szCs w:val="18"/>
                <w:lang w:eastAsia="sk-SK"/>
              </w:rPr>
              <w:t>4 607</w:t>
            </w:r>
          </w:p>
        </w:tc>
        <w:tc>
          <w:tcPr>
            <w:tcW w:w="493" w:type="pct"/>
            <w:tcBorders>
              <w:top w:val="nil"/>
              <w:left w:val="nil"/>
              <w:bottom w:val="nil"/>
              <w:right w:val="nil"/>
            </w:tcBorders>
            <w:shd w:val="clear" w:color="auto" w:fill="auto"/>
            <w:noWrap/>
            <w:vAlign w:val="bottom"/>
            <w:hideMark/>
          </w:tcPr>
          <w:p w14:paraId="2F266545" w14:textId="77777777" w:rsidR="009A05C7" w:rsidRPr="00ED0D07" w:rsidRDefault="009A05C7" w:rsidP="000240DA">
            <w:pPr>
              <w:spacing w:after="0" w:line="240" w:lineRule="auto"/>
              <w:jc w:val="right"/>
              <w:rPr>
                <w:rFonts w:eastAsia="Times New Roman" w:cs="Times New Roman"/>
                <w:sz w:val="18"/>
                <w:szCs w:val="18"/>
                <w:lang w:eastAsia="sk-SK"/>
              </w:rPr>
            </w:pPr>
            <w:r w:rsidRPr="00ED0D07">
              <w:rPr>
                <w:rFonts w:eastAsia="Times New Roman" w:cs="Times New Roman"/>
                <w:sz w:val="18"/>
                <w:szCs w:val="18"/>
                <w:lang w:eastAsia="sk-SK"/>
              </w:rPr>
              <w:t>4 607</w:t>
            </w:r>
          </w:p>
        </w:tc>
      </w:tr>
      <w:tr w:rsidR="009A05C7" w:rsidRPr="00ED0D07" w14:paraId="6AEA139F" w14:textId="77777777" w:rsidTr="000240DA">
        <w:trPr>
          <w:trHeight w:val="300"/>
        </w:trPr>
        <w:tc>
          <w:tcPr>
            <w:tcW w:w="2772" w:type="pct"/>
            <w:tcBorders>
              <w:top w:val="nil"/>
              <w:left w:val="nil"/>
              <w:bottom w:val="nil"/>
              <w:right w:val="nil"/>
            </w:tcBorders>
            <w:shd w:val="clear" w:color="auto" w:fill="auto"/>
            <w:vAlign w:val="bottom"/>
            <w:hideMark/>
          </w:tcPr>
          <w:p w14:paraId="1BF3D8A5" w14:textId="77777777" w:rsidR="009A05C7" w:rsidRPr="00ED0D07" w:rsidRDefault="009A05C7" w:rsidP="000240DA">
            <w:pPr>
              <w:spacing w:after="0" w:line="240" w:lineRule="auto"/>
              <w:jc w:val="left"/>
              <w:rPr>
                <w:rFonts w:eastAsia="Times New Roman" w:cs="Times New Roman"/>
                <w:sz w:val="18"/>
                <w:szCs w:val="18"/>
                <w:lang w:eastAsia="sk-SK"/>
              </w:rPr>
            </w:pPr>
            <w:r w:rsidRPr="00ED0D07">
              <w:rPr>
                <w:rFonts w:eastAsia="Times New Roman" w:cs="Times New Roman"/>
                <w:sz w:val="18"/>
                <w:szCs w:val="18"/>
                <w:lang w:eastAsia="sk-SK"/>
              </w:rPr>
              <w:t>Pôžičky z ENVF (konsoliduje sa)</w:t>
            </w:r>
          </w:p>
        </w:tc>
        <w:tc>
          <w:tcPr>
            <w:tcW w:w="578" w:type="pct"/>
            <w:tcBorders>
              <w:top w:val="nil"/>
              <w:left w:val="nil"/>
              <w:bottom w:val="nil"/>
              <w:right w:val="nil"/>
            </w:tcBorders>
            <w:shd w:val="clear" w:color="auto" w:fill="auto"/>
            <w:noWrap/>
            <w:vAlign w:val="bottom"/>
            <w:hideMark/>
          </w:tcPr>
          <w:p w14:paraId="74CB00FD" w14:textId="77777777" w:rsidR="009A05C7" w:rsidRPr="00ED0D07" w:rsidRDefault="009A05C7" w:rsidP="000240DA">
            <w:pPr>
              <w:spacing w:after="0" w:line="240" w:lineRule="auto"/>
              <w:jc w:val="left"/>
              <w:rPr>
                <w:rFonts w:eastAsia="Times New Roman" w:cs="Times New Roman"/>
                <w:sz w:val="18"/>
                <w:szCs w:val="18"/>
                <w:lang w:eastAsia="sk-SK"/>
              </w:rPr>
            </w:pPr>
          </w:p>
        </w:tc>
        <w:tc>
          <w:tcPr>
            <w:tcW w:w="578" w:type="pct"/>
            <w:tcBorders>
              <w:top w:val="nil"/>
              <w:left w:val="nil"/>
              <w:bottom w:val="nil"/>
              <w:right w:val="nil"/>
            </w:tcBorders>
            <w:shd w:val="clear" w:color="auto" w:fill="auto"/>
            <w:noWrap/>
            <w:vAlign w:val="bottom"/>
            <w:hideMark/>
          </w:tcPr>
          <w:p w14:paraId="2AF1DBF4" w14:textId="77777777" w:rsidR="009A05C7" w:rsidRPr="00ED0D07" w:rsidRDefault="009A05C7" w:rsidP="000240DA">
            <w:pPr>
              <w:spacing w:after="0" w:line="240" w:lineRule="auto"/>
              <w:jc w:val="left"/>
              <w:rPr>
                <w:rFonts w:eastAsia="Times New Roman" w:cs="Times New Roman"/>
                <w:sz w:val="18"/>
                <w:szCs w:val="18"/>
                <w:lang w:eastAsia="sk-SK"/>
              </w:rPr>
            </w:pPr>
          </w:p>
        </w:tc>
        <w:tc>
          <w:tcPr>
            <w:tcW w:w="579" w:type="pct"/>
            <w:tcBorders>
              <w:top w:val="nil"/>
              <w:left w:val="nil"/>
              <w:bottom w:val="nil"/>
              <w:right w:val="nil"/>
            </w:tcBorders>
            <w:shd w:val="clear" w:color="auto" w:fill="auto"/>
            <w:noWrap/>
            <w:vAlign w:val="bottom"/>
            <w:hideMark/>
          </w:tcPr>
          <w:p w14:paraId="1B8FE4CD" w14:textId="77777777" w:rsidR="009A05C7" w:rsidRPr="00ED0D07" w:rsidRDefault="009A05C7" w:rsidP="000240DA">
            <w:pPr>
              <w:spacing w:after="0" w:line="240" w:lineRule="auto"/>
              <w:jc w:val="right"/>
              <w:rPr>
                <w:rFonts w:eastAsia="Times New Roman" w:cs="Times New Roman"/>
                <w:sz w:val="18"/>
                <w:szCs w:val="18"/>
                <w:lang w:eastAsia="sk-SK"/>
              </w:rPr>
            </w:pPr>
            <w:r w:rsidRPr="00ED0D07">
              <w:rPr>
                <w:rFonts w:eastAsia="Times New Roman" w:cs="Times New Roman"/>
                <w:sz w:val="18"/>
                <w:szCs w:val="18"/>
                <w:lang w:eastAsia="sk-SK"/>
              </w:rPr>
              <w:t>731</w:t>
            </w:r>
          </w:p>
        </w:tc>
        <w:tc>
          <w:tcPr>
            <w:tcW w:w="493" w:type="pct"/>
            <w:tcBorders>
              <w:top w:val="nil"/>
              <w:left w:val="nil"/>
              <w:bottom w:val="nil"/>
              <w:right w:val="nil"/>
            </w:tcBorders>
            <w:shd w:val="clear" w:color="auto" w:fill="auto"/>
            <w:noWrap/>
            <w:vAlign w:val="bottom"/>
            <w:hideMark/>
          </w:tcPr>
          <w:p w14:paraId="7A49590C" w14:textId="77777777" w:rsidR="009A05C7" w:rsidRPr="00ED0D07" w:rsidRDefault="009A05C7" w:rsidP="000240DA">
            <w:pPr>
              <w:spacing w:after="0" w:line="240" w:lineRule="auto"/>
              <w:jc w:val="right"/>
              <w:rPr>
                <w:rFonts w:eastAsia="Times New Roman" w:cs="Times New Roman"/>
                <w:sz w:val="18"/>
                <w:szCs w:val="18"/>
                <w:lang w:eastAsia="sk-SK"/>
              </w:rPr>
            </w:pPr>
            <w:r w:rsidRPr="00ED0D07">
              <w:rPr>
                <w:rFonts w:eastAsia="Times New Roman" w:cs="Times New Roman"/>
                <w:sz w:val="18"/>
                <w:szCs w:val="18"/>
                <w:lang w:eastAsia="sk-SK"/>
              </w:rPr>
              <w:t>731</w:t>
            </w:r>
          </w:p>
        </w:tc>
      </w:tr>
      <w:tr w:rsidR="009A05C7" w:rsidRPr="00ED0D07" w14:paraId="69B8CCDA" w14:textId="77777777" w:rsidTr="000240DA">
        <w:trPr>
          <w:trHeight w:val="300"/>
        </w:trPr>
        <w:tc>
          <w:tcPr>
            <w:tcW w:w="2772" w:type="pct"/>
            <w:tcBorders>
              <w:top w:val="nil"/>
              <w:left w:val="nil"/>
              <w:bottom w:val="nil"/>
              <w:right w:val="nil"/>
            </w:tcBorders>
            <w:shd w:val="clear" w:color="auto" w:fill="auto"/>
            <w:noWrap/>
            <w:vAlign w:val="bottom"/>
            <w:hideMark/>
          </w:tcPr>
          <w:p w14:paraId="30FFBB1D" w14:textId="77777777" w:rsidR="009A05C7" w:rsidRPr="00ED0D07" w:rsidRDefault="009A05C7" w:rsidP="000240DA">
            <w:pPr>
              <w:spacing w:after="0" w:line="240" w:lineRule="auto"/>
              <w:jc w:val="left"/>
              <w:rPr>
                <w:rFonts w:eastAsia="Times New Roman" w:cs="Times New Roman"/>
                <w:sz w:val="18"/>
                <w:szCs w:val="18"/>
                <w:lang w:eastAsia="sk-SK"/>
              </w:rPr>
            </w:pPr>
            <w:r w:rsidRPr="00ED0D07">
              <w:rPr>
                <w:rFonts w:eastAsia="Times New Roman" w:cs="Times New Roman"/>
                <w:sz w:val="18"/>
                <w:szCs w:val="18"/>
                <w:lang w:eastAsia="sk-SK"/>
              </w:rPr>
              <w:t>Zábezpeky</w:t>
            </w:r>
          </w:p>
        </w:tc>
        <w:tc>
          <w:tcPr>
            <w:tcW w:w="578" w:type="pct"/>
            <w:tcBorders>
              <w:top w:val="nil"/>
              <w:left w:val="nil"/>
              <w:bottom w:val="nil"/>
              <w:right w:val="nil"/>
            </w:tcBorders>
            <w:shd w:val="clear" w:color="auto" w:fill="auto"/>
            <w:noWrap/>
            <w:vAlign w:val="bottom"/>
            <w:hideMark/>
          </w:tcPr>
          <w:p w14:paraId="5DBA2738" w14:textId="77777777" w:rsidR="009A05C7" w:rsidRPr="00ED0D07" w:rsidRDefault="009A05C7" w:rsidP="000240DA">
            <w:pPr>
              <w:spacing w:after="0" w:line="240" w:lineRule="auto"/>
              <w:jc w:val="right"/>
              <w:rPr>
                <w:rFonts w:eastAsia="Times New Roman" w:cs="Times New Roman"/>
                <w:sz w:val="18"/>
                <w:szCs w:val="18"/>
                <w:lang w:eastAsia="sk-SK"/>
              </w:rPr>
            </w:pPr>
            <w:r w:rsidRPr="00ED0D07">
              <w:rPr>
                <w:rFonts w:eastAsia="Times New Roman" w:cs="Times New Roman"/>
                <w:sz w:val="18"/>
                <w:szCs w:val="18"/>
                <w:lang w:eastAsia="sk-SK"/>
              </w:rPr>
              <w:t>2 675</w:t>
            </w:r>
          </w:p>
        </w:tc>
        <w:tc>
          <w:tcPr>
            <w:tcW w:w="578" w:type="pct"/>
            <w:tcBorders>
              <w:top w:val="nil"/>
              <w:left w:val="nil"/>
              <w:bottom w:val="nil"/>
              <w:right w:val="nil"/>
            </w:tcBorders>
            <w:shd w:val="clear" w:color="auto" w:fill="auto"/>
            <w:noWrap/>
            <w:vAlign w:val="bottom"/>
            <w:hideMark/>
          </w:tcPr>
          <w:p w14:paraId="497F6776" w14:textId="77777777" w:rsidR="009A05C7" w:rsidRPr="00ED0D07" w:rsidRDefault="009A05C7" w:rsidP="000240DA">
            <w:pPr>
              <w:spacing w:after="0" w:line="240" w:lineRule="auto"/>
              <w:jc w:val="right"/>
              <w:rPr>
                <w:rFonts w:eastAsia="Times New Roman" w:cs="Times New Roman"/>
                <w:sz w:val="18"/>
                <w:szCs w:val="18"/>
                <w:lang w:eastAsia="sk-SK"/>
              </w:rPr>
            </w:pPr>
            <w:r w:rsidRPr="00ED0D07">
              <w:rPr>
                <w:rFonts w:eastAsia="Times New Roman" w:cs="Times New Roman"/>
                <w:sz w:val="18"/>
                <w:szCs w:val="18"/>
                <w:lang w:eastAsia="sk-SK"/>
              </w:rPr>
              <w:t>4 384</w:t>
            </w:r>
          </w:p>
        </w:tc>
        <w:tc>
          <w:tcPr>
            <w:tcW w:w="579" w:type="pct"/>
            <w:tcBorders>
              <w:top w:val="nil"/>
              <w:left w:val="nil"/>
              <w:bottom w:val="nil"/>
              <w:right w:val="nil"/>
            </w:tcBorders>
            <w:shd w:val="clear" w:color="auto" w:fill="auto"/>
            <w:noWrap/>
            <w:vAlign w:val="bottom"/>
            <w:hideMark/>
          </w:tcPr>
          <w:p w14:paraId="37B0E4B9" w14:textId="77777777" w:rsidR="009A05C7" w:rsidRPr="00ED0D07" w:rsidRDefault="009A05C7" w:rsidP="000240DA">
            <w:pPr>
              <w:spacing w:after="0" w:line="240" w:lineRule="auto"/>
              <w:jc w:val="right"/>
              <w:rPr>
                <w:rFonts w:eastAsia="Times New Roman" w:cs="Times New Roman"/>
                <w:sz w:val="18"/>
                <w:szCs w:val="18"/>
                <w:lang w:eastAsia="sk-SK"/>
              </w:rPr>
            </w:pPr>
            <w:r w:rsidRPr="00ED0D07">
              <w:rPr>
                <w:rFonts w:eastAsia="Times New Roman" w:cs="Times New Roman"/>
                <w:sz w:val="18"/>
                <w:szCs w:val="18"/>
                <w:lang w:eastAsia="sk-SK"/>
              </w:rPr>
              <w:t>4 702</w:t>
            </w:r>
          </w:p>
        </w:tc>
        <w:tc>
          <w:tcPr>
            <w:tcW w:w="493" w:type="pct"/>
            <w:tcBorders>
              <w:top w:val="nil"/>
              <w:left w:val="nil"/>
              <w:bottom w:val="nil"/>
              <w:right w:val="nil"/>
            </w:tcBorders>
            <w:shd w:val="clear" w:color="auto" w:fill="auto"/>
            <w:noWrap/>
            <w:vAlign w:val="bottom"/>
            <w:hideMark/>
          </w:tcPr>
          <w:p w14:paraId="1843524B" w14:textId="77777777" w:rsidR="009A05C7" w:rsidRPr="00ED0D07" w:rsidRDefault="009A05C7" w:rsidP="000240DA">
            <w:pPr>
              <w:spacing w:after="0" w:line="240" w:lineRule="auto"/>
              <w:jc w:val="right"/>
              <w:rPr>
                <w:rFonts w:eastAsia="Times New Roman" w:cs="Times New Roman"/>
                <w:sz w:val="18"/>
                <w:szCs w:val="18"/>
                <w:lang w:eastAsia="sk-SK"/>
              </w:rPr>
            </w:pPr>
            <w:r w:rsidRPr="00ED0D07">
              <w:rPr>
                <w:rFonts w:eastAsia="Times New Roman" w:cs="Times New Roman"/>
                <w:sz w:val="18"/>
                <w:szCs w:val="18"/>
                <w:lang w:eastAsia="sk-SK"/>
              </w:rPr>
              <w:t>318</w:t>
            </w:r>
          </w:p>
        </w:tc>
      </w:tr>
      <w:tr w:rsidR="009A05C7" w:rsidRPr="00ED0D07" w14:paraId="619A89E4" w14:textId="77777777" w:rsidTr="000240DA">
        <w:trPr>
          <w:trHeight w:val="300"/>
        </w:trPr>
        <w:tc>
          <w:tcPr>
            <w:tcW w:w="2772" w:type="pct"/>
            <w:tcBorders>
              <w:top w:val="nil"/>
              <w:left w:val="nil"/>
              <w:bottom w:val="single" w:sz="4" w:space="0" w:color="auto"/>
              <w:right w:val="nil"/>
            </w:tcBorders>
            <w:shd w:val="clear" w:color="auto" w:fill="auto"/>
            <w:vAlign w:val="bottom"/>
            <w:hideMark/>
          </w:tcPr>
          <w:p w14:paraId="7197BD94" w14:textId="77777777" w:rsidR="009A05C7" w:rsidRPr="00ED0D07" w:rsidRDefault="009A05C7" w:rsidP="000240DA">
            <w:pPr>
              <w:spacing w:after="0" w:line="240" w:lineRule="auto"/>
              <w:jc w:val="left"/>
              <w:rPr>
                <w:rFonts w:eastAsia="Times New Roman" w:cs="Times New Roman"/>
                <w:sz w:val="18"/>
                <w:szCs w:val="18"/>
                <w:lang w:eastAsia="sk-SK"/>
              </w:rPr>
            </w:pPr>
            <w:r w:rsidRPr="00ED0D07">
              <w:rPr>
                <w:rFonts w:eastAsia="Times New Roman" w:cs="Times New Roman"/>
                <w:sz w:val="18"/>
                <w:szCs w:val="18"/>
                <w:lang w:eastAsia="sk-SK"/>
              </w:rPr>
              <w:t>Dlhodobé záväzky z obchodného styku a prijaté preddavky</w:t>
            </w:r>
          </w:p>
        </w:tc>
        <w:tc>
          <w:tcPr>
            <w:tcW w:w="578" w:type="pct"/>
            <w:tcBorders>
              <w:top w:val="nil"/>
              <w:left w:val="nil"/>
              <w:bottom w:val="single" w:sz="4" w:space="0" w:color="auto"/>
              <w:right w:val="nil"/>
            </w:tcBorders>
            <w:shd w:val="clear" w:color="auto" w:fill="auto"/>
            <w:noWrap/>
            <w:vAlign w:val="bottom"/>
            <w:hideMark/>
          </w:tcPr>
          <w:p w14:paraId="6550D6AB" w14:textId="77777777" w:rsidR="009A05C7" w:rsidRPr="00ED0D07" w:rsidRDefault="009A05C7" w:rsidP="000240DA">
            <w:pPr>
              <w:spacing w:after="0" w:line="240" w:lineRule="auto"/>
              <w:jc w:val="right"/>
              <w:rPr>
                <w:rFonts w:eastAsia="Times New Roman" w:cs="Times New Roman"/>
                <w:sz w:val="18"/>
                <w:szCs w:val="18"/>
                <w:lang w:eastAsia="sk-SK"/>
              </w:rPr>
            </w:pPr>
            <w:r w:rsidRPr="00ED0D07">
              <w:rPr>
                <w:rFonts w:eastAsia="Times New Roman" w:cs="Times New Roman"/>
                <w:sz w:val="18"/>
                <w:szCs w:val="18"/>
                <w:lang w:eastAsia="sk-SK"/>
              </w:rPr>
              <w:t>9 273</w:t>
            </w:r>
          </w:p>
        </w:tc>
        <w:tc>
          <w:tcPr>
            <w:tcW w:w="578" w:type="pct"/>
            <w:tcBorders>
              <w:top w:val="nil"/>
              <w:left w:val="nil"/>
              <w:bottom w:val="single" w:sz="4" w:space="0" w:color="auto"/>
              <w:right w:val="nil"/>
            </w:tcBorders>
            <w:shd w:val="clear" w:color="auto" w:fill="auto"/>
            <w:noWrap/>
            <w:vAlign w:val="bottom"/>
            <w:hideMark/>
          </w:tcPr>
          <w:p w14:paraId="69483A5B" w14:textId="77777777" w:rsidR="009A05C7" w:rsidRPr="00ED0D07" w:rsidRDefault="009A05C7" w:rsidP="000240DA">
            <w:pPr>
              <w:spacing w:after="0" w:line="240" w:lineRule="auto"/>
              <w:jc w:val="right"/>
              <w:rPr>
                <w:rFonts w:eastAsia="Times New Roman" w:cs="Times New Roman"/>
                <w:sz w:val="18"/>
                <w:szCs w:val="18"/>
                <w:lang w:eastAsia="sk-SK"/>
              </w:rPr>
            </w:pPr>
            <w:r w:rsidRPr="00ED0D07">
              <w:rPr>
                <w:rFonts w:eastAsia="Times New Roman" w:cs="Times New Roman"/>
                <w:sz w:val="18"/>
                <w:szCs w:val="18"/>
                <w:lang w:eastAsia="sk-SK"/>
              </w:rPr>
              <w:t>5 699</w:t>
            </w:r>
          </w:p>
        </w:tc>
        <w:tc>
          <w:tcPr>
            <w:tcW w:w="579" w:type="pct"/>
            <w:tcBorders>
              <w:top w:val="nil"/>
              <w:left w:val="nil"/>
              <w:bottom w:val="single" w:sz="4" w:space="0" w:color="auto"/>
              <w:right w:val="nil"/>
            </w:tcBorders>
            <w:shd w:val="clear" w:color="auto" w:fill="auto"/>
            <w:noWrap/>
            <w:vAlign w:val="bottom"/>
            <w:hideMark/>
          </w:tcPr>
          <w:p w14:paraId="12F3A5E7" w14:textId="77777777" w:rsidR="009A05C7" w:rsidRPr="00ED0D07" w:rsidRDefault="009A05C7" w:rsidP="000240DA">
            <w:pPr>
              <w:spacing w:after="0" w:line="240" w:lineRule="auto"/>
              <w:jc w:val="right"/>
              <w:rPr>
                <w:rFonts w:eastAsia="Times New Roman" w:cs="Times New Roman"/>
                <w:sz w:val="18"/>
                <w:szCs w:val="18"/>
                <w:lang w:eastAsia="sk-SK"/>
              </w:rPr>
            </w:pPr>
            <w:r w:rsidRPr="00ED0D07">
              <w:rPr>
                <w:rFonts w:eastAsia="Times New Roman" w:cs="Times New Roman"/>
                <w:sz w:val="18"/>
                <w:szCs w:val="18"/>
                <w:lang w:eastAsia="sk-SK"/>
              </w:rPr>
              <w:t>2 534</w:t>
            </w:r>
          </w:p>
        </w:tc>
        <w:tc>
          <w:tcPr>
            <w:tcW w:w="493" w:type="pct"/>
            <w:tcBorders>
              <w:top w:val="nil"/>
              <w:left w:val="nil"/>
              <w:bottom w:val="single" w:sz="4" w:space="0" w:color="auto"/>
              <w:right w:val="nil"/>
            </w:tcBorders>
            <w:shd w:val="clear" w:color="auto" w:fill="auto"/>
            <w:noWrap/>
            <w:vAlign w:val="bottom"/>
            <w:hideMark/>
          </w:tcPr>
          <w:p w14:paraId="28305786" w14:textId="77777777" w:rsidR="009A05C7" w:rsidRPr="00ED0D07" w:rsidRDefault="009A05C7" w:rsidP="000240DA">
            <w:pPr>
              <w:spacing w:after="0" w:line="240" w:lineRule="auto"/>
              <w:jc w:val="right"/>
              <w:rPr>
                <w:rFonts w:eastAsia="Times New Roman" w:cs="Times New Roman"/>
                <w:sz w:val="18"/>
                <w:szCs w:val="18"/>
                <w:lang w:eastAsia="sk-SK"/>
              </w:rPr>
            </w:pPr>
            <w:r w:rsidRPr="00ED0D07">
              <w:rPr>
                <w:rFonts w:eastAsia="Times New Roman" w:cs="Times New Roman"/>
                <w:sz w:val="18"/>
                <w:szCs w:val="18"/>
                <w:lang w:eastAsia="sk-SK"/>
              </w:rPr>
              <w:t>-3 165</w:t>
            </w:r>
          </w:p>
        </w:tc>
      </w:tr>
      <w:tr w:rsidR="009A05C7" w:rsidRPr="00ED0D07" w14:paraId="013C9048" w14:textId="77777777" w:rsidTr="000240DA">
        <w:trPr>
          <w:trHeight w:val="290"/>
        </w:trPr>
        <w:tc>
          <w:tcPr>
            <w:tcW w:w="2772" w:type="pct"/>
            <w:tcBorders>
              <w:top w:val="single" w:sz="4" w:space="0" w:color="auto"/>
              <w:left w:val="nil"/>
              <w:bottom w:val="nil"/>
              <w:right w:val="nil"/>
            </w:tcBorders>
            <w:shd w:val="clear" w:color="auto" w:fill="auto"/>
            <w:noWrap/>
            <w:vAlign w:val="bottom"/>
            <w:hideMark/>
          </w:tcPr>
          <w:p w14:paraId="00A8E459" w14:textId="77777777" w:rsidR="009A05C7" w:rsidRPr="00ED0D07" w:rsidRDefault="009A05C7" w:rsidP="000240DA">
            <w:pPr>
              <w:spacing w:after="0" w:line="240" w:lineRule="auto"/>
              <w:jc w:val="left"/>
              <w:rPr>
                <w:rFonts w:eastAsia="Times New Roman" w:cs="Times New Roman"/>
                <w:b/>
                <w:bCs/>
                <w:sz w:val="18"/>
                <w:szCs w:val="18"/>
                <w:lang w:eastAsia="sk-SK"/>
              </w:rPr>
            </w:pPr>
            <w:r w:rsidRPr="00ED0D07">
              <w:rPr>
                <w:rFonts w:eastAsia="Times New Roman" w:cs="Times New Roman"/>
                <w:b/>
                <w:bCs/>
                <w:sz w:val="18"/>
                <w:szCs w:val="18"/>
                <w:lang w:eastAsia="sk-SK"/>
              </w:rPr>
              <w:t>Spolu nekonsolidovaný dlh VÚC</w:t>
            </w:r>
          </w:p>
        </w:tc>
        <w:tc>
          <w:tcPr>
            <w:tcW w:w="578" w:type="pct"/>
            <w:tcBorders>
              <w:top w:val="single" w:sz="4" w:space="0" w:color="auto"/>
              <w:left w:val="nil"/>
              <w:bottom w:val="nil"/>
              <w:right w:val="nil"/>
            </w:tcBorders>
            <w:shd w:val="clear" w:color="auto" w:fill="auto"/>
            <w:noWrap/>
            <w:vAlign w:val="bottom"/>
            <w:hideMark/>
          </w:tcPr>
          <w:p w14:paraId="6A4CC8C0" w14:textId="77777777" w:rsidR="009A05C7" w:rsidRPr="00ED0D07" w:rsidRDefault="009A05C7" w:rsidP="000240DA">
            <w:pPr>
              <w:spacing w:after="0" w:line="240" w:lineRule="auto"/>
              <w:jc w:val="right"/>
              <w:rPr>
                <w:rFonts w:eastAsia="Times New Roman" w:cs="Times New Roman"/>
                <w:b/>
                <w:bCs/>
                <w:sz w:val="18"/>
                <w:szCs w:val="18"/>
                <w:lang w:eastAsia="sk-SK"/>
              </w:rPr>
            </w:pPr>
            <w:r w:rsidRPr="00ED0D07">
              <w:rPr>
                <w:rFonts w:eastAsia="Times New Roman" w:cs="Times New Roman"/>
                <w:b/>
                <w:bCs/>
                <w:sz w:val="18"/>
                <w:szCs w:val="18"/>
                <w:lang w:eastAsia="sk-SK"/>
              </w:rPr>
              <w:t>565 287</w:t>
            </w:r>
          </w:p>
        </w:tc>
        <w:tc>
          <w:tcPr>
            <w:tcW w:w="578" w:type="pct"/>
            <w:tcBorders>
              <w:top w:val="single" w:sz="4" w:space="0" w:color="auto"/>
              <w:left w:val="nil"/>
              <w:bottom w:val="nil"/>
              <w:right w:val="nil"/>
            </w:tcBorders>
            <w:shd w:val="clear" w:color="auto" w:fill="auto"/>
            <w:noWrap/>
            <w:vAlign w:val="bottom"/>
            <w:hideMark/>
          </w:tcPr>
          <w:p w14:paraId="1EBE6437" w14:textId="77777777" w:rsidR="009A05C7" w:rsidRPr="00ED0D07" w:rsidRDefault="009A05C7" w:rsidP="000240DA">
            <w:pPr>
              <w:spacing w:after="0" w:line="240" w:lineRule="auto"/>
              <w:jc w:val="right"/>
              <w:rPr>
                <w:rFonts w:eastAsia="Times New Roman" w:cs="Times New Roman"/>
                <w:b/>
                <w:bCs/>
                <w:sz w:val="18"/>
                <w:szCs w:val="18"/>
                <w:lang w:eastAsia="sk-SK"/>
              </w:rPr>
            </w:pPr>
            <w:r w:rsidRPr="00ED0D07">
              <w:rPr>
                <w:rFonts w:eastAsia="Times New Roman" w:cs="Times New Roman"/>
                <w:b/>
                <w:bCs/>
                <w:sz w:val="18"/>
                <w:szCs w:val="18"/>
                <w:lang w:eastAsia="sk-SK"/>
              </w:rPr>
              <w:t>701 518</w:t>
            </w:r>
          </w:p>
        </w:tc>
        <w:tc>
          <w:tcPr>
            <w:tcW w:w="579" w:type="pct"/>
            <w:tcBorders>
              <w:top w:val="single" w:sz="4" w:space="0" w:color="auto"/>
              <w:left w:val="nil"/>
              <w:bottom w:val="nil"/>
              <w:right w:val="nil"/>
            </w:tcBorders>
            <w:shd w:val="clear" w:color="auto" w:fill="auto"/>
            <w:noWrap/>
            <w:vAlign w:val="bottom"/>
            <w:hideMark/>
          </w:tcPr>
          <w:p w14:paraId="09175798" w14:textId="77777777" w:rsidR="009A05C7" w:rsidRPr="00ED0D07" w:rsidRDefault="009A05C7" w:rsidP="000240DA">
            <w:pPr>
              <w:spacing w:after="0" w:line="240" w:lineRule="auto"/>
              <w:jc w:val="right"/>
              <w:rPr>
                <w:rFonts w:eastAsia="Times New Roman" w:cs="Times New Roman"/>
                <w:b/>
                <w:bCs/>
                <w:sz w:val="18"/>
                <w:szCs w:val="18"/>
                <w:lang w:eastAsia="sk-SK"/>
              </w:rPr>
            </w:pPr>
            <w:r w:rsidRPr="00ED0D07">
              <w:rPr>
                <w:rFonts w:eastAsia="Times New Roman" w:cs="Times New Roman"/>
                <w:b/>
                <w:bCs/>
                <w:sz w:val="18"/>
                <w:szCs w:val="18"/>
                <w:lang w:eastAsia="sk-SK"/>
              </w:rPr>
              <w:t>652 106</w:t>
            </w:r>
          </w:p>
        </w:tc>
        <w:tc>
          <w:tcPr>
            <w:tcW w:w="493" w:type="pct"/>
            <w:tcBorders>
              <w:top w:val="single" w:sz="4" w:space="0" w:color="auto"/>
              <w:left w:val="nil"/>
              <w:bottom w:val="nil"/>
              <w:right w:val="nil"/>
            </w:tcBorders>
            <w:shd w:val="clear" w:color="auto" w:fill="auto"/>
            <w:noWrap/>
            <w:vAlign w:val="bottom"/>
            <w:hideMark/>
          </w:tcPr>
          <w:p w14:paraId="5F880BE1" w14:textId="77777777" w:rsidR="009A05C7" w:rsidRPr="00ED0D07" w:rsidRDefault="009A05C7" w:rsidP="000240DA">
            <w:pPr>
              <w:spacing w:after="0" w:line="240" w:lineRule="auto"/>
              <w:jc w:val="right"/>
              <w:rPr>
                <w:rFonts w:eastAsia="Times New Roman" w:cs="Times New Roman"/>
                <w:b/>
                <w:bCs/>
                <w:sz w:val="18"/>
                <w:szCs w:val="18"/>
                <w:lang w:eastAsia="sk-SK"/>
              </w:rPr>
            </w:pPr>
            <w:r w:rsidRPr="00ED0D07">
              <w:rPr>
                <w:rFonts w:eastAsia="Times New Roman" w:cs="Times New Roman"/>
                <w:b/>
                <w:bCs/>
                <w:sz w:val="18"/>
                <w:szCs w:val="18"/>
                <w:lang w:eastAsia="sk-SK"/>
              </w:rPr>
              <w:t>-49 412</w:t>
            </w:r>
          </w:p>
        </w:tc>
      </w:tr>
      <w:tr w:rsidR="009A05C7" w:rsidRPr="00ED0D07" w14:paraId="5B09ED24" w14:textId="77777777" w:rsidTr="000240DA">
        <w:trPr>
          <w:trHeight w:val="530"/>
        </w:trPr>
        <w:tc>
          <w:tcPr>
            <w:tcW w:w="2772" w:type="pct"/>
            <w:tcBorders>
              <w:top w:val="nil"/>
              <w:left w:val="nil"/>
              <w:bottom w:val="single" w:sz="4" w:space="0" w:color="auto"/>
              <w:right w:val="nil"/>
            </w:tcBorders>
            <w:shd w:val="clear" w:color="auto" w:fill="auto"/>
            <w:vAlign w:val="bottom"/>
            <w:hideMark/>
          </w:tcPr>
          <w:p w14:paraId="0B77CFF5" w14:textId="77777777" w:rsidR="009A05C7" w:rsidRPr="00ED0D07" w:rsidRDefault="009A05C7" w:rsidP="000240DA">
            <w:pPr>
              <w:spacing w:after="0" w:line="240" w:lineRule="auto"/>
              <w:jc w:val="left"/>
              <w:rPr>
                <w:rFonts w:eastAsia="Times New Roman" w:cs="Times New Roman"/>
                <w:b/>
                <w:bCs/>
                <w:sz w:val="18"/>
                <w:szCs w:val="18"/>
                <w:lang w:eastAsia="sk-SK"/>
              </w:rPr>
            </w:pPr>
            <w:r w:rsidRPr="00ED0D07">
              <w:rPr>
                <w:rFonts w:eastAsia="Times New Roman" w:cs="Times New Roman"/>
                <w:b/>
                <w:bCs/>
                <w:sz w:val="18"/>
                <w:szCs w:val="18"/>
                <w:lang w:eastAsia="sk-SK"/>
              </w:rPr>
              <w:t xml:space="preserve">Konsolidovaný príspevok VÚC do </w:t>
            </w:r>
            <w:r>
              <w:rPr>
                <w:rFonts w:eastAsia="Times New Roman" w:cs="Times New Roman"/>
                <w:b/>
                <w:bCs/>
                <w:sz w:val="18"/>
                <w:szCs w:val="18"/>
                <w:lang w:eastAsia="sk-SK"/>
              </w:rPr>
              <w:t>(</w:t>
            </w:r>
            <w:r w:rsidRPr="00ED0D07">
              <w:rPr>
                <w:rFonts w:eastAsia="Times New Roman" w:cs="Times New Roman"/>
                <w:b/>
                <w:bCs/>
                <w:sz w:val="18"/>
                <w:szCs w:val="18"/>
                <w:lang w:eastAsia="sk-SK"/>
              </w:rPr>
              <w:t>konsolidovaného</w:t>
            </w:r>
            <w:r>
              <w:rPr>
                <w:rFonts w:eastAsia="Times New Roman" w:cs="Times New Roman"/>
                <w:b/>
                <w:bCs/>
                <w:sz w:val="18"/>
                <w:szCs w:val="18"/>
                <w:lang w:eastAsia="sk-SK"/>
              </w:rPr>
              <w:t>)</w:t>
            </w:r>
            <w:r w:rsidRPr="00ED0D07">
              <w:rPr>
                <w:rFonts w:eastAsia="Times New Roman" w:cs="Times New Roman"/>
                <w:b/>
                <w:bCs/>
                <w:sz w:val="18"/>
                <w:szCs w:val="18"/>
                <w:lang w:eastAsia="sk-SK"/>
              </w:rPr>
              <w:t xml:space="preserve"> dlhu verejnej správy</w:t>
            </w:r>
          </w:p>
        </w:tc>
        <w:tc>
          <w:tcPr>
            <w:tcW w:w="578" w:type="pct"/>
            <w:tcBorders>
              <w:top w:val="nil"/>
              <w:left w:val="nil"/>
              <w:bottom w:val="single" w:sz="4" w:space="0" w:color="auto"/>
              <w:right w:val="nil"/>
            </w:tcBorders>
            <w:shd w:val="clear" w:color="auto" w:fill="auto"/>
            <w:noWrap/>
            <w:vAlign w:val="bottom"/>
            <w:hideMark/>
          </w:tcPr>
          <w:p w14:paraId="0E71AD85" w14:textId="77777777" w:rsidR="009A05C7" w:rsidRPr="00ED0D07" w:rsidRDefault="009A05C7" w:rsidP="000240DA">
            <w:pPr>
              <w:spacing w:after="0" w:line="240" w:lineRule="auto"/>
              <w:jc w:val="right"/>
              <w:rPr>
                <w:rFonts w:eastAsia="Times New Roman" w:cs="Times New Roman"/>
                <w:b/>
                <w:bCs/>
                <w:sz w:val="18"/>
                <w:szCs w:val="18"/>
                <w:lang w:eastAsia="sk-SK"/>
              </w:rPr>
            </w:pPr>
            <w:r w:rsidRPr="00ED0D07">
              <w:rPr>
                <w:rFonts w:eastAsia="Times New Roman" w:cs="Times New Roman"/>
                <w:b/>
                <w:bCs/>
                <w:sz w:val="18"/>
                <w:szCs w:val="18"/>
                <w:lang w:eastAsia="sk-SK"/>
              </w:rPr>
              <w:t>367 713</w:t>
            </w:r>
          </w:p>
        </w:tc>
        <w:tc>
          <w:tcPr>
            <w:tcW w:w="578" w:type="pct"/>
            <w:tcBorders>
              <w:top w:val="nil"/>
              <w:left w:val="nil"/>
              <w:bottom w:val="single" w:sz="4" w:space="0" w:color="auto"/>
              <w:right w:val="nil"/>
            </w:tcBorders>
            <w:shd w:val="clear" w:color="auto" w:fill="auto"/>
            <w:noWrap/>
            <w:vAlign w:val="bottom"/>
            <w:hideMark/>
          </w:tcPr>
          <w:p w14:paraId="3A1A792F" w14:textId="77777777" w:rsidR="009A05C7" w:rsidRPr="00ED0D07" w:rsidRDefault="009A05C7" w:rsidP="000240DA">
            <w:pPr>
              <w:spacing w:after="0" w:line="240" w:lineRule="auto"/>
              <w:jc w:val="right"/>
              <w:rPr>
                <w:rFonts w:eastAsia="Times New Roman" w:cs="Times New Roman"/>
                <w:b/>
                <w:bCs/>
                <w:sz w:val="18"/>
                <w:szCs w:val="18"/>
                <w:lang w:eastAsia="sk-SK"/>
              </w:rPr>
            </w:pPr>
            <w:r w:rsidRPr="00ED0D07">
              <w:rPr>
                <w:rFonts w:eastAsia="Times New Roman" w:cs="Times New Roman"/>
                <w:b/>
                <w:bCs/>
                <w:sz w:val="18"/>
                <w:szCs w:val="18"/>
                <w:lang w:eastAsia="sk-SK"/>
              </w:rPr>
              <w:t>465 428</w:t>
            </w:r>
          </w:p>
        </w:tc>
        <w:tc>
          <w:tcPr>
            <w:tcW w:w="579" w:type="pct"/>
            <w:tcBorders>
              <w:top w:val="nil"/>
              <w:left w:val="nil"/>
              <w:bottom w:val="single" w:sz="4" w:space="0" w:color="auto"/>
              <w:right w:val="nil"/>
            </w:tcBorders>
            <w:shd w:val="clear" w:color="auto" w:fill="auto"/>
            <w:noWrap/>
            <w:vAlign w:val="bottom"/>
            <w:hideMark/>
          </w:tcPr>
          <w:p w14:paraId="24A7C233" w14:textId="77777777" w:rsidR="009A05C7" w:rsidRPr="00ED0D07" w:rsidRDefault="009A05C7" w:rsidP="000240DA">
            <w:pPr>
              <w:spacing w:after="0" w:line="240" w:lineRule="auto"/>
              <w:jc w:val="right"/>
              <w:rPr>
                <w:rFonts w:eastAsia="Times New Roman" w:cs="Times New Roman"/>
                <w:b/>
                <w:bCs/>
                <w:sz w:val="18"/>
                <w:szCs w:val="18"/>
                <w:lang w:eastAsia="sk-SK"/>
              </w:rPr>
            </w:pPr>
            <w:r w:rsidRPr="00ED0D07">
              <w:rPr>
                <w:rFonts w:eastAsia="Times New Roman" w:cs="Times New Roman"/>
                <w:b/>
                <w:bCs/>
                <w:sz w:val="18"/>
                <w:szCs w:val="18"/>
                <w:lang w:eastAsia="sk-SK"/>
              </w:rPr>
              <w:t>437 978</w:t>
            </w:r>
          </w:p>
        </w:tc>
        <w:tc>
          <w:tcPr>
            <w:tcW w:w="493" w:type="pct"/>
            <w:tcBorders>
              <w:top w:val="nil"/>
              <w:left w:val="nil"/>
              <w:bottom w:val="single" w:sz="4" w:space="0" w:color="auto"/>
              <w:right w:val="nil"/>
            </w:tcBorders>
            <w:shd w:val="clear" w:color="auto" w:fill="auto"/>
            <w:noWrap/>
            <w:vAlign w:val="bottom"/>
            <w:hideMark/>
          </w:tcPr>
          <w:p w14:paraId="52D1F0A6" w14:textId="77777777" w:rsidR="009A05C7" w:rsidRPr="00ED0D07" w:rsidRDefault="009A05C7" w:rsidP="000240DA">
            <w:pPr>
              <w:spacing w:after="0" w:line="240" w:lineRule="auto"/>
              <w:jc w:val="right"/>
              <w:rPr>
                <w:rFonts w:eastAsia="Times New Roman" w:cs="Times New Roman"/>
                <w:b/>
                <w:bCs/>
                <w:sz w:val="18"/>
                <w:szCs w:val="18"/>
                <w:lang w:eastAsia="sk-SK"/>
              </w:rPr>
            </w:pPr>
            <w:r w:rsidRPr="00ED0D07">
              <w:rPr>
                <w:rFonts w:eastAsia="Times New Roman" w:cs="Times New Roman"/>
                <w:b/>
                <w:bCs/>
                <w:sz w:val="18"/>
                <w:szCs w:val="18"/>
                <w:lang w:eastAsia="sk-SK"/>
              </w:rPr>
              <w:t>-27 450</w:t>
            </w:r>
          </w:p>
        </w:tc>
      </w:tr>
    </w:tbl>
    <w:p w14:paraId="26DB59F1" w14:textId="77777777" w:rsidR="009A05C7" w:rsidRPr="00ED0D07" w:rsidRDefault="009A05C7" w:rsidP="00134CE1">
      <w:pPr>
        <w:spacing w:line="240" w:lineRule="auto"/>
        <w:jc w:val="right"/>
        <w:rPr>
          <w:sz w:val="18"/>
          <w:szCs w:val="18"/>
        </w:rPr>
      </w:pPr>
      <w:r w:rsidRPr="00ED0D07">
        <w:rPr>
          <w:sz w:val="18"/>
          <w:szCs w:val="18"/>
        </w:rPr>
        <w:t>Zdroj: MF SR</w:t>
      </w:r>
    </w:p>
    <w:p w14:paraId="4816408D" w14:textId="77777777" w:rsidR="009A05C7" w:rsidRDefault="009A05C7" w:rsidP="009A05C7">
      <w:pPr>
        <w:spacing w:before="120" w:line="240" w:lineRule="auto"/>
        <w:rPr>
          <w:sz w:val="24"/>
          <w:szCs w:val="24"/>
        </w:rPr>
      </w:pPr>
      <w:r w:rsidRPr="004D2241">
        <w:rPr>
          <w:sz w:val="24"/>
          <w:szCs w:val="24"/>
        </w:rPr>
        <w:t>Najvýznamnejšiu časť dlhu VÚC tvoria bankové úvery, ktorých výška sa medziročne znížila o 24 603 tis. eur. Zníženie nastalo najmä z dôvodu splácania úverov z predchádzajúcich rokov zo strany Banskobystrického samosprávneho kraja (súhrnne 16 199 tis. eur), Žilinského samosprávneho kraja (súhrnne 7 618 tis. eur) a Trenčianskeho samosprávneho kraja (súhrnne 3 328 tis. eur), avšak v priebehu roka 2024 Banskobystrický samosprávny kraj načerpal</w:t>
      </w:r>
      <w:r>
        <w:rPr>
          <w:sz w:val="24"/>
          <w:szCs w:val="24"/>
        </w:rPr>
        <w:t xml:space="preserve"> nové úvery vo výške 2 953 tis. </w:t>
      </w:r>
      <w:r w:rsidRPr="004D2241">
        <w:rPr>
          <w:sz w:val="24"/>
          <w:szCs w:val="24"/>
        </w:rPr>
        <w:t>eur, Trenčiansky samosprávny kraj načerpal ďalšiu tranžu úveru od Rozvojovej banky Rady Európy (13 700 tis. eur) a Trnavský samosprávny kraj načerpal prvú tranžu úveru od Rozvojovej banky Rady Európy (10 000 tis. eur).</w:t>
      </w:r>
    </w:p>
    <w:p w14:paraId="18B73E70" w14:textId="77777777" w:rsidR="009A05C7" w:rsidRPr="004D2241" w:rsidRDefault="009A05C7" w:rsidP="009A05C7">
      <w:pPr>
        <w:spacing w:before="120" w:line="240" w:lineRule="auto"/>
        <w:rPr>
          <w:sz w:val="24"/>
          <w:szCs w:val="24"/>
        </w:rPr>
      </w:pPr>
      <w:r w:rsidRPr="003D29AD">
        <w:rPr>
          <w:sz w:val="24"/>
          <w:szCs w:val="24"/>
        </w:rPr>
        <w:t>Vyššie územné celky čerpajú bankové úvery najmä za účelom predfinancovania investičných projektov financovaných z európskych štrukturálnych a investičných fondov, napríklad na obnovu budov samosprávnych krajov (hlavne školských zariadení) s cieľom zníženia ich energetickej náročnosti a celkovej modernizácie, na obnovu cestnej infraštruktúry a na refundáciu už vynaložených investičných výdavkov.</w:t>
      </w:r>
    </w:p>
    <w:p w14:paraId="48E300AA" w14:textId="09EA1CD2" w:rsidR="009A05C7" w:rsidRDefault="009A05C7" w:rsidP="009A05C7">
      <w:pPr>
        <w:spacing w:before="120" w:line="240" w:lineRule="auto"/>
        <w:rPr>
          <w:sz w:val="24"/>
          <w:szCs w:val="24"/>
        </w:rPr>
      </w:pPr>
      <w:r w:rsidRPr="004D2241">
        <w:rPr>
          <w:sz w:val="24"/>
          <w:szCs w:val="24"/>
        </w:rPr>
        <w:lastRenderedPageBreak/>
        <w:t>Podstatnú časť nekonsolidovaného dlhu VÚC tvoria pôžičky od spoločnosti National Development Fund II. poskytnuté samosprávnym krajom v súhrnnej výške 106 290 tis. eur ešte v roku 2023. Ďalšiu významnú časť tvori</w:t>
      </w:r>
      <w:r w:rsidR="00D259E2">
        <w:rPr>
          <w:sz w:val="24"/>
          <w:szCs w:val="24"/>
        </w:rPr>
        <w:t>a návratné finančné výpomoci zo </w:t>
      </w:r>
      <w:r w:rsidRPr="004D2241">
        <w:rPr>
          <w:sz w:val="24"/>
          <w:szCs w:val="24"/>
        </w:rPr>
        <w:t>štátnych finančných aktív, ktorých hodnota sa medziročne znížila o 27 300 tis. eur</w:t>
      </w:r>
      <w:r>
        <w:rPr>
          <w:sz w:val="24"/>
          <w:szCs w:val="24"/>
        </w:rPr>
        <w:t>.</w:t>
      </w:r>
      <w:r w:rsidR="00D259E2">
        <w:rPr>
          <w:sz w:val="24"/>
          <w:szCs w:val="24"/>
        </w:rPr>
        <w:t xml:space="preserve"> Pôžičky zo </w:t>
      </w:r>
      <w:r w:rsidRPr="004D2241">
        <w:rPr>
          <w:sz w:val="24"/>
          <w:szCs w:val="24"/>
        </w:rPr>
        <w:t>ŠFRB načerpal v priebehu roka 2024 Trnavský samosprávny kraj (3 068 tis. eur) a Trenčiansky samosprávny kraj (1 539 tis. eur) a pôžičky z ENVF Prešovský samosprávny kraj (731 tis. eur).</w:t>
      </w:r>
    </w:p>
    <w:p w14:paraId="1CF010C6" w14:textId="0C0D74EA" w:rsidR="00E575C6" w:rsidRDefault="00E575C6" w:rsidP="00E575C6">
      <w:pPr>
        <w:pStyle w:val="Popis"/>
        <w:keepNext/>
        <w:spacing w:after="120"/>
      </w:pPr>
      <w:bookmarkStart w:id="74" w:name="_Toc196313645"/>
      <w:bookmarkStart w:id="75" w:name="_Toc196389266"/>
      <w:r w:rsidRPr="00E575C6">
        <w:rPr>
          <w:rFonts w:eastAsia="Times New Roman" w:cs="Times New Roman"/>
          <w:b/>
          <w:bCs/>
          <w:i w:val="0"/>
          <w:iCs w:val="0"/>
          <w:color w:val="5B9BD5"/>
          <w:sz w:val="20"/>
          <w:szCs w:val="20"/>
          <w:lang w:eastAsia="sk-SK"/>
        </w:rPr>
        <w:t xml:space="preserve">Tabuľka </w:t>
      </w:r>
      <w:r w:rsidRPr="00E575C6">
        <w:rPr>
          <w:rFonts w:eastAsia="Times New Roman" w:cs="Times New Roman"/>
          <w:b/>
          <w:bCs/>
          <w:i w:val="0"/>
          <w:iCs w:val="0"/>
          <w:color w:val="5B9BD5"/>
          <w:sz w:val="20"/>
          <w:szCs w:val="20"/>
          <w:lang w:eastAsia="sk-SK"/>
        </w:rPr>
        <w:fldChar w:fldCharType="begin"/>
      </w:r>
      <w:r w:rsidRPr="00E575C6">
        <w:rPr>
          <w:rFonts w:eastAsia="Times New Roman" w:cs="Times New Roman"/>
          <w:b/>
          <w:bCs/>
          <w:i w:val="0"/>
          <w:iCs w:val="0"/>
          <w:color w:val="5B9BD5"/>
          <w:sz w:val="20"/>
          <w:szCs w:val="20"/>
          <w:lang w:eastAsia="sk-SK"/>
        </w:rPr>
        <w:instrText xml:space="preserve"> SEQ Tabuľka \* ARABIC </w:instrText>
      </w:r>
      <w:r w:rsidRPr="00E575C6">
        <w:rPr>
          <w:rFonts w:eastAsia="Times New Roman" w:cs="Times New Roman"/>
          <w:b/>
          <w:bCs/>
          <w:i w:val="0"/>
          <w:iCs w:val="0"/>
          <w:color w:val="5B9BD5"/>
          <w:sz w:val="20"/>
          <w:szCs w:val="20"/>
          <w:lang w:eastAsia="sk-SK"/>
        </w:rPr>
        <w:fldChar w:fldCharType="separate"/>
      </w:r>
      <w:r w:rsidR="00C64CBA">
        <w:rPr>
          <w:rFonts w:eastAsia="Times New Roman" w:cs="Times New Roman"/>
          <w:b/>
          <w:bCs/>
          <w:i w:val="0"/>
          <w:iCs w:val="0"/>
          <w:noProof/>
          <w:color w:val="5B9BD5"/>
          <w:sz w:val="20"/>
          <w:szCs w:val="20"/>
          <w:lang w:eastAsia="sk-SK"/>
        </w:rPr>
        <w:t>19</w:t>
      </w:r>
      <w:r w:rsidRPr="00E575C6">
        <w:rPr>
          <w:rFonts w:eastAsia="Times New Roman" w:cs="Times New Roman"/>
          <w:b/>
          <w:bCs/>
          <w:i w:val="0"/>
          <w:iCs w:val="0"/>
          <w:color w:val="5B9BD5"/>
          <w:sz w:val="20"/>
          <w:szCs w:val="20"/>
          <w:lang w:eastAsia="sk-SK"/>
        </w:rPr>
        <w:fldChar w:fldCharType="end"/>
      </w:r>
      <w:r w:rsidRPr="00E575C6">
        <w:rPr>
          <w:rFonts w:eastAsia="Times New Roman" w:cs="Times New Roman"/>
          <w:b/>
          <w:bCs/>
          <w:i w:val="0"/>
          <w:iCs w:val="0"/>
          <w:color w:val="5B9BD5"/>
          <w:sz w:val="20"/>
          <w:szCs w:val="20"/>
          <w:lang w:eastAsia="sk-SK"/>
        </w:rPr>
        <w:t xml:space="preserve"> - Nekonsolidovaný dlh VÚC podľa samosprávnych krajov k 31.12.2024</w:t>
      </w:r>
      <w:bookmarkEnd w:id="74"/>
      <w:bookmarkEnd w:id="75"/>
    </w:p>
    <w:tbl>
      <w:tblPr>
        <w:tblW w:w="5000" w:type="pct"/>
        <w:tblCellMar>
          <w:left w:w="70" w:type="dxa"/>
          <w:right w:w="70" w:type="dxa"/>
        </w:tblCellMar>
        <w:tblLook w:val="04A0" w:firstRow="1" w:lastRow="0" w:firstColumn="1" w:lastColumn="0" w:noHBand="0" w:noVBand="1"/>
      </w:tblPr>
      <w:tblGrid>
        <w:gridCol w:w="2184"/>
        <w:gridCol w:w="2084"/>
        <w:gridCol w:w="1854"/>
        <w:gridCol w:w="1754"/>
        <w:gridCol w:w="1054"/>
      </w:tblGrid>
      <w:tr w:rsidR="009A05C7" w:rsidRPr="008E0404" w14:paraId="5400CE63" w14:textId="77777777" w:rsidTr="000240DA">
        <w:trPr>
          <w:trHeight w:val="570"/>
          <w:tblHeader/>
        </w:trPr>
        <w:tc>
          <w:tcPr>
            <w:tcW w:w="1223" w:type="pct"/>
            <w:tcBorders>
              <w:top w:val="single" w:sz="4" w:space="0" w:color="auto"/>
              <w:left w:val="nil"/>
              <w:bottom w:val="single" w:sz="4" w:space="0" w:color="auto"/>
              <w:right w:val="nil"/>
            </w:tcBorders>
            <w:shd w:val="clear" w:color="auto" w:fill="auto"/>
            <w:noWrap/>
            <w:vAlign w:val="center"/>
            <w:hideMark/>
          </w:tcPr>
          <w:p w14:paraId="7A7FFC09" w14:textId="77777777" w:rsidR="009A05C7" w:rsidRPr="008E0404" w:rsidRDefault="009A05C7" w:rsidP="000240DA">
            <w:pPr>
              <w:spacing w:after="0" w:line="240" w:lineRule="auto"/>
              <w:jc w:val="left"/>
              <w:rPr>
                <w:rFonts w:eastAsia="Times New Roman" w:cs="Times New Roman"/>
                <w:b/>
                <w:bCs/>
                <w:sz w:val="18"/>
                <w:szCs w:val="18"/>
                <w:lang w:eastAsia="sk-SK"/>
              </w:rPr>
            </w:pPr>
            <w:r w:rsidRPr="008E0404">
              <w:rPr>
                <w:rFonts w:eastAsia="Times New Roman" w:cs="Times New Roman"/>
                <w:b/>
                <w:bCs/>
                <w:sz w:val="18"/>
                <w:szCs w:val="18"/>
                <w:lang w:eastAsia="sk-SK"/>
              </w:rPr>
              <w:t>v tis. eur</w:t>
            </w:r>
          </w:p>
        </w:tc>
        <w:tc>
          <w:tcPr>
            <w:tcW w:w="1167" w:type="pct"/>
            <w:tcBorders>
              <w:top w:val="single" w:sz="4" w:space="0" w:color="auto"/>
              <w:left w:val="nil"/>
              <w:bottom w:val="single" w:sz="4" w:space="0" w:color="auto"/>
              <w:right w:val="nil"/>
            </w:tcBorders>
            <w:shd w:val="clear" w:color="auto" w:fill="auto"/>
            <w:noWrap/>
            <w:vAlign w:val="center"/>
            <w:hideMark/>
          </w:tcPr>
          <w:p w14:paraId="1AF4D25E" w14:textId="77777777" w:rsidR="009A05C7" w:rsidRPr="008E0404" w:rsidRDefault="009A05C7" w:rsidP="000240DA">
            <w:pPr>
              <w:spacing w:after="0" w:line="240" w:lineRule="auto"/>
              <w:jc w:val="center"/>
              <w:rPr>
                <w:rFonts w:eastAsia="Times New Roman" w:cs="Times New Roman"/>
                <w:b/>
                <w:bCs/>
                <w:sz w:val="18"/>
                <w:szCs w:val="18"/>
                <w:lang w:eastAsia="sk-SK"/>
              </w:rPr>
            </w:pPr>
            <w:r w:rsidRPr="008E0404">
              <w:rPr>
                <w:rFonts w:eastAsia="Times New Roman" w:cs="Times New Roman"/>
                <w:b/>
                <w:bCs/>
                <w:sz w:val="18"/>
                <w:szCs w:val="18"/>
                <w:lang w:eastAsia="sk-SK"/>
              </w:rPr>
              <w:t>Bankové úvery</w:t>
            </w:r>
          </w:p>
        </w:tc>
        <w:tc>
          <w:tcPr>
            <w:tcW w:w="1038" w:type="pct"/>
            <w:tcBorders>
              <w:top w:val="single" w:sz="4" w:space="0" w:color="auto"/>
              <w:left w:val="nil"/>
              <w:bottom w:val="single" w:sz="4" w:space="0" w:color="auto"/>
              <w:right w:val="nil"/>
            </w:tcBorders>
            <w:shd w:val="clear" w:color="auto" w:fill="auto"/>
            <w:vAlign w:val="center"/>
            <w:hideMark/>
          </w:tcPr>
          <w:p w14:paraId="3D37259C" w14:textId="77777777" w:rsidR="009A05C7" w:rsidRPr="008E0404" w:rsidRDefault="009A05C7" w:rsidP="000240DA">
            <w:pPr>
              <w:spacing w:after="0" w:line="240" w:lineRule="auto"/>
              <w:jc w:val="center"/>
              <w:rPr>
                <w:rFonts w:eastAsia="Times New Roman" w:cs="Times New Roman"/>
                <w:b/>
                <w:bCs/>
                <w:sz w:val="18"/>
                <w:szCs w:val="18"/>
                <w:lang w:eastAsia="sk-SK"/>
              </w:rPr>
            </w:pPr>
            <w:r w:rsidRPr="008E0404">
              <w:rPr>
                <w:rFonts w:eastAsia="Times New Roman" w:cs="Times New Roman"/>
                <w:b/>
                <w:bCs/>
                <w:sz w:val="18"/>
                <w:szCs w:val="18"/>
                <w:lang w:eastAsia="sk-SK"/>
              </w:rPr>
              <w:t>Návratné fin. výpomoci</w:t>
            </w:r>
          </w:p>
        </w:tc>
        <w:tc>
          <w:tcPr>
            <w:tcW w:w="982" w:type="pct"/>
            <w:tcBorders>
              <w:top w:val="single" w:sz="4" w:space="0" w:color="auto"/>
              <w:left w:val="nil"/>
              <w:bottom w:val="single" w:sz="4" w:space="0" w:color="auto"/>
              <w:right w:val="nil"/>
            </w:tcBorders>
            <w:shd w:val="clear" w:color="auto" w:fill="auto"/>
            <w:vAlign w:val="center"/>
            <w:hideMark/>
          </w:tcPr>
          <w:p w14:paraId="07AA93C3" w14:textId="77777777" w:rsidR="009A05C7" w:rsidRPr="008E0404" w:rsidRDefault="009A05C7" w:rsidP="000240DA">
            <w:pPr>
              <w:spacing w:after="0" w:line="240" w:lineRule="auto"/>
              <w:jc w:val="center"/>
              <w:rPr>
                <w:rFonts w:eastAsia="Times New Roman" w:cs="Times New Roman"/>
                <w:b/>
                <w:bCs/>
                <w:sz w:val="18"/>
                <w:szCs w:val="18"/>
                <w:lang w:eastAsia="sk-SK"/>
              </w:rPr>
            </w:pPr>
            <w:r w:rsidRPr="008E0404">
              <w:rPr>
                <w:rFonts w:eastAsia="Times New Roman" w:cs="Times New Roman"/>
                <w:b/>
                <w:bCs/>
                <w:sz w:val="18"/>
                <w:szCs w:val="18"/>
                <w:lang w:eastAsia="sk-SK"/>
              </w:rPr>
              <w:t>Ostatné dlhové nástroje</w:t>
            </w:r>
          </w:p>
        </w:tc>
        <w:tc>
          <w:tcPr>
            <w:tcW w:w="590" w:type="pct"/>
            <w:tcBorders>
              <w:top w:val="single" w:sz="4" w:space="0" w:color="auto"/>
              <w:left w:val="nil"/>
              <w:bottom w:val="single" w:sz="4" w:space="0" w:color="auto"/>
              <w:right w:val="nil"/>
            </w:tcBorders>
            <w:shd w:val="clear" w:color="auto" w:fill="auto"/>
            <w:noWrap/>
            <w:vAlign w:val="center"/>
            <w:hideMark/>
          </w:tcPr>
          <w:p w14:paraId="35F35B42" w14:textId="77777777" w:rsidR="009A05C7" w:rsidRPr="008E0404" w:rsidRDefault="009A05C7" w:rsidP="000240DA">
            <w:pPr>
              <w:spacing w:after="0" w:line="240" w:lineRule="auto"/>
              <w:jc w:val="center"/>
              <w:rPr>
                <w:rFonts w:eastAsia="Times New Roman" w:cs="Times New Roman"/>
                <w:b/>
                <w:bCs/>
                <w:sz w:val="18"/>
                <w:szCs w:val="18"/>
                <w:lang w:eastAsia="sk-SK"/>
              </w:rPr>
            </w:pPr>
            <w:r w:rsidRPr="008E0404">
              <w:rPr>
                <w:rFonts w:eastAsia="Times New Roman" w:cs="Times New Roman"/>
                <w:b/>
                <w:bCs/>
                <w:sz w:val="18"/>
                <w:szCs w:val="18"/>
                <w:lang w:eastAsia="sk-SK"/>
              </w:rPr>
              <w:t>Spolu</w:t>
            </w:r>
          </w:p>
        </w:tc>
      </w:tr>
      <w:tr w:rsidR="009A05C7" w:rsidRPr="008E0404" w14:paraId="13999BE7" w14:textId="77777777" w:rsidTr="000240DA">
        <w:trPr>
          <w:trHeight w:val="290"/>
        </w:trPr>
        <w:tc>
          <w:tcPr>
            <w:tcW w:w="1223" w:type="pct"/>
            <w:tcBorders>
              <w:top w:val="nil"/>
              <w:left w:val="nil"/>
              <w:bottom w:val="nil"/>
              <w:right w:val="nil"/>
            </w:tcBorders>
            <w:shd w:val="clear" w:color="auto" w:fill="auto"/>
            <w:noWrap/>
            <w:vAlign w:val="bottom"/>
            <w:hideMark/>
          </w:tcPr>
          <w:p w14:paraId="3DFA9CE2" w14:textId="77777777" w:rsidR="009A05C7" w:rsidRPr="008E0404" w:rsidRDefault="009A05C7" w:rsidP="000240DA">
            <w:pPr>
              <w:spacing w:after="0" w:line="240" w:lineRule="auto"/>
              <w:jc w:val="left"/>
              <w:rPr>
                <w:rFonts w:eastAsia="Times New Roman" w:cs="Times New Roman"/>
                <w:sz w:val="18"/>
                <w:szCs w:val="18"/>
                <w:lang w:eastAsia="sk-SK"/>
              </w:rPr>
            </w:pPr>
            <w:r w:rsidRPr="008E0404">
              <w:rPr>
                <w:rFonts w:eastAsia="Times New Roman" w:cs="Times New Roman"/>
                <w:sz w:val="18"/>
                <w:szCs w:val="18"/>
                <w:lang w:eastAsia="sk-SK"/>
              </w:rPr>
              <w:t>Prešovský</w:t>
            </w:r>
          </w:p>
        </w:tc>
        <w:tc>
          <w:tcPr>
            <w:tcW w:w="1167" w:type="pct"/>
            <w:tcBorders>
              <w:top w:val="nil"/>
              <w:left w:val="nil"/>
              <w:bottom w:val="nil"/>
              <w:right w:val="nil"/>
            </w:tcBorders>
            <w:shd w:val="clear" w:color="auto" w:fill="auto"/>
            <w:noWrap/>
            <w:vAlign w:val="bottom"/>
            <w:hideMark/>
          </w:tcPr>
          <w:p w14:paraId="526159AD" w14:textId="77777777" w:rsidR="009A05C7" w:rsidRPr="008E0404" w:rsidRDefault="009A05C7" w:rsidP="000240DA">
            <w:pPr>
              <w:spacing w:after="0" w:line="240" w:lineRule="auto"/>
              <w:jc w:val="right"/>
              <w:rPr>
                <w:rFonts w:eastAsia="Times New Roman" w:cs="Times New Roman"/>
                <w:sz w:val="18"/>
                <w:szCs w:val="18"/>
                <w:lang w:eastAsia="sk-SK"/>
              </w:rPr>
            </w:pPr>
            <w:r w:rsidRPr="008E0404">
              <w:rPr>
                <w:rFonts w:eastAsia="Times New Roman" w:cs="Times New Roman"/>
                <w:sz w:val="18"/>
                <w:szCs w:val="18"/>
                <w:lang w:eastAsia="sk-SK"/>
              </w:rPr>
              <w:t>87 892</w:t>
            </w:r>
          </w:p>
        </w:tc>
        <w:tc>
          <w:tcPr>
            <w:tcW w:w="1038" w:type="pct"/>
            <w:tcBorders>
              <w:top w:val="nil"/>
              <w:left w:val="nil"/>
              <w:bottom w:val="nil"/>
              <w:right w:val="nil"/>
            </w:tcBorders>
            <w:shd w:val="clear" w:color="auto" w:fill="auto"/>
            <w:noWrap/>
            <w:vAlign w:val="bottom"/>
            <w:hideMark/>
          </w:tcPr>
          <w:p w14:paraId="7BBA17F0" w14:textId="77777777" w:rsidR="009A05C7" w:rsidRPr="008E0404" w:rsidRDefault="009A05C7" w:rsidP="000240DA">
            <w:pPr>
              <w:spacing w:after="0" w:line="240" w:lineRule="auto"/>
              <w:jc w:val="right"/>
              <w:rPr>
                <w:rFonts w:eastAsia="Times New Roman" w:cs="Times New Roman"/>
                <w:sz w:val="18"/>
                <w:szCs w:val="18"/>
                <w:lang w:eastAsia="sk-SK"/>
              </w:rPr>
            </w:pPr>
            <w:r w:rsidRPr="008E0404">
              <w:rPr>
                <w:rFonts w:eastAsia="Times New Roman" w:cs="Times New Roman"/>
                <w:sz w:val="18"/>
                <w:szCs w:val="18"/>
                <w:lang w:eastAsia="sk-SK"/>
              </w:rPr>
              <w:t>36 631</w:t>
            </w:r>
          </w:p>
        </w:tc>
        <w:tc>
          <w:tcPr>
            <w:tcW w:w="982" w:type="pct"/>
            <w:tcBorders>
              <w:top w:val="nil"/>
              <w:left w:val="nil"/>
              <w:bottom w:val="nil"/>
              <w:right w:val="nil"/>
            </w:tcBorders>
            <w:shd w:val="clear" w:color="auto" w:fill="auto"/>
            <w:noWrap/>
            <w:vAlign w:val="bottom"/>
            <w:hideMark/>
          </w:tcPr>
          <w:p w14:paraId="2D354714" w14:textId="77777777" w:rsidR="009A05C7" w:rsidRPr="008E0404" w:rsidRDefault="009A05C7" w:rsidP="000240DA">
            <w:pPr>
              <w:spacing w:after="0" w:line="240" w:lineRule="auto"/>
              <w:jc w:val="right"/>
              <w:rPr>
                <w:rFonts w:eastAsia="Times New Roman" w:cs="Times New Roman"/>
                <w:sz w:val="18"/>
                <w:szCs w:val="18"/>
                <w:lang w:eastAsia="sk-SK"/>
              </w:rPr>
            </w:pPr>
            <w:r w:rsidRPr="008E0404">
              <w:rPr>
                <w:rFonts w:eastAsia="Times New Roman" w:cs="Times New Roman"/>
                <w:sz w:val="18"/>
                <w:szCs w:val="18"/>
                <w:lang w:eastAsia="sk-SK"/>
              </w:rPr>
              <w:t>3 260</w:t>
            </w:r>
          </w:p>
        </w:tc>
        <w:tc>
          <w:tcPr>
            <w:tcW w:w="590" w:type="pct"/>
            <w:tcBorders>
              <w:top w:val="nil"/>
              <w:left w:val="nil"/>
              <w:bottom w:val="nil"/>
              <w:right w:val="nil"/>
            </w:tcBorders>
            <w:shd w:val="clear" w:color="auto" w:fill="auto"/>
            <w:noWrap/>
            <w:vAlign w:val="bottom"/>
            <w:hideMark/>
          </w:tcPr>
          <w:p w14:paraId="6FF48B87" w14:textId="77777777" w:rsidR="009A05C7" w:rsidRPr="008E0404" w:rsidRDefault="009A05C7" w:rsidP="000240DA">
            <w:pPr>
              <w:spacing w:after="0" w:line="240" w:lineRule="auto"/>
              <w:jc w:val="right"/>
              <w:rPr>
                <w:rFonts w:eastAsia="Times New Roman" w:cs="Times New Roman"/>
                <w:sz w:val="18"/>
                <w:szCs w:val="18"/>
                <w:lang w:eastAsia="sk-SK"/>
              </w:rPr>
            </w:pPr>
            <w:r w:rsidRPr="008E0404">
              <w:rPr>
                <w:rFonts w:eastAsia="Times New Roman" w:cs="Times New Roman"/>
                <w:sz w:val="18"/>
                <w:szCs w:val="18"/>
                <w:lang w:eastAsia="sk-SK"/>
              </w:rPr>
              <w:t>127 783</w:t>
            </w:r>
          </w:p>
        </w:tc>
      </w:tr>
      <w:tr w:rsidR="009A05C7" w:rsidRPr="008E0404" w14:paraId="3B26396B" w14:textId="77777777" w:rsidTr="000240DA">
        <w:trPr>
          <w:trHeight w:val="290"/>
        </w:trPr>
        <w:tc>
          <w:tcPr>
            <w:tcW w:w="1223" w:type="pct"/>
            <w:tcBorders>
              <w:top w:val="nil"/>
              <w:left w:val="nil"/>
              <w:bottom w:val="nil"/>
              <w:right w:val="nil"/>
            </w:tcBorders>
            <w:shd w:val="clear" w:color="auto" w:fill="auto"/>
            <w:noWrap/>
            <w:vAlign w:val="bottom"/>
            <w:hideMark/>
          </w:tcPr>
          <w:p w14:paraId="06FEA917" w14:textId="77777777" w:rsidR="009A05C7" w:rsidRPr="008E0404" w:rsidRDefault="009A05C7" w:rsidP="000240DA">
            <w:pPr>
              <w:spacing w:after="0" w:line="240" w:lineRule="auto"/>
              <w:jc w:val="left"/>
              <w:rPr>
                <w:rFonts w:eastAsia="Times New Roman" w:cs="Times New Roman"/>
                <w:sz w:val="18"/>
                <w:szCs w:val="18"/>
                <w:lang w:eastAsia="sk-SK"/>
              </w:rPr>
            </w:pPr>
            <w:r w:rsidRPr="008E0404">
              <w:rPr>
                <w:rFonts w:eastAsia="Times New Roman" w:cs="Times New Roman"/>
                <w:sz w:val="18"/>
                <w:szCs w:val="18"/>
                <w:lang w:eastAsia="sk-SK"/>
              </w:rPr>
              <w:t>Košický</w:t>
            </w:r>
          </w:p>
        </w:tc>
        <w:tc>
          <w:tcPr>
            <w:tcW w:w="1167" w:type="pct"/>
            <w:tcBorders>
              <w:top w:val="nil"/>
              <w:left w:val="nil"/>
              <w:bottom w:val="nil"/>
              <w:right w:val="nil"/>
            </w:tcBorders>
            <w:shd w:val="clear" w:color="auto" w:fill="auto"/>
            <w:noWrap/>
            <w:vAlign w:val="bottom"/>
            <w:hideMark/>
          </w:tcPr>
          <w:p w14:paraId="72A9855C" w14:textId="77777777" w:rsidR="009A05C7" w:rsidRPr="008E0404" w:rsidRDefault="009A05C7" w:rsidP="000240DA">
            <w:pPr>
              <w:spacing w:after="0" w:line="240" w:lineRule="auto"/>
              <w:jc w:val="right"/>
              <w:rPr>
                <w:rFonts w:eastAsia="Times New Roman" w:cs="Times New Roman"/>
                <w:sz w:val="18"/>
                <w:szCs w:val="18"/>
                <w:lang w:eastAsia="sk-SK"/>
              </w:rPr>
            </w:pPr>
            <w:r w:rsidRPr="008E0404">
              <w:rPr>
                <w:rFonts w:eastAsia="Times New Roman" w:cs="Times New Roman"/>
                <w:sz w:val="18"/>
                <w:szCs w:val="18"/>
                <w:lang w:eastAsia="sk-SK"/>
              </w:rPr>
              <w:t>75 026</w:t>
            </w:r>
          </w:p>
        </w:tc>
        <w:tc>
          <w:tcPr>
            <w:tcW w:w="1038" w:type="pct"/>
            <w:tcBorders>
              <w:top w:val="nil"/>
              <w:left w:val="nil"/>
              <w:bottom w:val="nil"/>
              <w:right w:val="nil"/>
            </w:tcBorders>
            <w:shd w:val="clear" w:color="auto" w:fill="auto"/>
            <w:noWrap/>
            <w:vAlign w:val="bottom"/>
            <w:hideMark/>
          </w:tcPr>
          <w:p w14:paraId="6C6E087D" w14:textId="77777777" w:rsidR="009A05C7" w:rsidRPr="008E0404" w:rsidRDefault="009A05C7" w:rsidP="000240DA">
            <w:pPr>
              <w:spacing w:after="0" w:line="240" w:lineRule="auto"/>
              <w:jc w:val="right"/>
              <w:rPr>
                <w:rFonts w:eastAsia="Times New Roman" w:cs="Times New Roman"/>
                <w:sz w:val="18"/>
                <w:szCs w:val="18"/>
                <w:lang w:eastAsia="sk-SK"/>
              </w:rPr>
            </w:pPr>
            <w:r w:rsidRPr="008E0404">
              <w:rPr>
                <w:rFonts w:eastAsia="Times New Roman" w:cs="Times New Roman"/>
                <w:sz w:val="18"/>
                <w:szCs w:val="18"/>
                <w:lang w:eastAsia="sk-SK"/>
              </w:rPr>
              <w:t>33 790</w:t>
            </w:r>
          </w:p>
        </w:tc>
        <w:tc>
          <w:tcPr>
            <w:tcW w:w="982" w:type="pct"/>
            <w:tcBorders>
              <w:top w:val="nil"/>
              <w:left w:val="nil"/>
              <w:bottom w:val="nil"/>
              <w:right w:val="nil"/>
            </w:tcBorders>
            <w:shd w:val="clear" w:color="auto" w:fill="auto"/>
            <w:noWrap/>
            <w:vAlign w:val="bottom"/>
            <w:hideMark/>
          </w:tcPr>
          <w:p w14:paraId="54489D2B" w14:textId="77777777" w:rsidR="009A05C7" w:rsidRPr="008E0404" w:rsidRDefault="009A05C7" w:rsidP="000240DA">
            <w:pPr>
              <w:spacing w:after="0" w:line="240" w:lineRule="auto"/>
              <w:jc w:val="right"/>
              <w:rPr>
                <w:rFonts w:eastAsia="Times New Roman" w:cs="Times New Roman"/>
                <w:sz w:val="18"/>
                <w:szCs w:val="18"/>
                <w:lang w:eastAsia="sk-SK"/>
              </w:rPr>
            </w:pPr>
            <w:r w:rsidRPr="008E0404">
              <w:rPr>
                <w:rFonts w:eastAsia="Times New Roman" w:cs="Times New Roman"/>
                <w:sz w:val="18"/>
                <w:szCs w:val="18"/>
                <w:lang w:eastAsia="sk-SK"/>
              </w:rPr>
              <w:t>943</w:t>
            </w:r>
          </w:p>
        </w:tc>
        <w:tc>
          <w:tcPr>
            <w:tcW w:w="590" w:type="pct"/>
            <w:tcBorders>
              <w:top w:val="nil"/>
              <w:left w:val="nil"/>
              <w:bottom w:val="nil"/>
              <w:right w:val="nil"/>
            </w:tcBorders>
            <w:shd w:val="clear" w:color="auto" w:fill="auto"/>
            <w:noWrap/>
            <w:vAlign w:val="bottom"/>
            <w:hideMark/>
          </w:tcPr>
          <w:p w14:paraId="00C25AE8" w14:textId="77777777" w:rsidR="009A05C7" w:rsidRPr="008E0404" w:rsidRDefault="009A05C7" w:rsidP="000240DA">
            <w:pPr>
              <w:spacing w:after="0" w:line="240" w:lineRule="auto"/>
              <w:jc w:val="right"/>
              <w:rPr>
                <w:rFonts w:eastAsia="Times New Roman" w:cs="Times New Roman"/>
                <w:sz w:val="18"/>
                <w:szCs w:val="18"/>
                <w:lang w:eastAsia="sk-SK"/>
              </w:rPr>
            </w:pPr>
            <w:r w:rsidRPr="008E0404">
              <w:rPr>
                <w:rFonts w:eastAsia="Times New Roman" w:cs="Times New Roman"/>
                <w:sz w:val="18"/>
                <w:szCs w:val="18"/>
                <w:lang w:eastAsia="sk-SK"/>
              </w:rPr>
              <w:t>109 759</w:t>
            </w:r>
          </w:p>
        </w:tc>
      </w:tr>
      <w:tr w:rsidR="009A05C7" w:rsidRPr="008E0404" w14:paraId="0CE327B7" w14:textId="77777777" w:rsidTr="000240DA">
        <w:trPr>
          <w:trHeight w:val="290"/>
        </w:trPr>
        <w:tc>
          <w:tcPr>
            <w:tcW w:w="1223" w:type="pct"/>
            <w:tcBorders>
              <w:top w:val="nil"/>
              <w:left w:val="nil"/>
              <w:bottom w:val="nil"/>
              <w:right w:val="nil"/>
            </w:tcBorders>
            <w:shd w:val="clear" w:color="auto" w:fill="auto"/>
            <w:noWrap/>
            <w:vAlign w:val="bottom"/>
            <w:hideMark/>
          </w:tcPr>
          <w:p w14:paraId="44758E1F" w14:textId="77777777" w:rsidR="009A05C7" w:rsidRPr="008E0404" w:rsidRDefault="009A05C7" w:rsidP="000240DA">
            <w:pPr>
              <w:spacing w:after="0" w:line="240" w:lineRule="auto"/>
              <w:jc w:val="left"/>
              <w:rPr>
                <w:rFonts w:eastAsia="Times New Roman" w:cs="Times New Roman"/>
                <w:sz w:val="18"/>
                <w:szCs w:val="18"/>
                <w:lang w:eastAsia="sk-SK"/>
              </w:rPr>
            </w:pPr>
            <w:r w:rsidRPr="008E0404">
              <w:rPr>
                <w:rFonts w:eastAsia="Times New Roman" w:cs="Times New Roman"/>
                <w:sz w:val="18"/>
                <w:szCs w:val="18"/>
                <w:lang w:eastAsia="sk-SK"/>
              </w:rPr>
              <w:t>Bratislavský</w:t>
            </w:r>
          </w:p>
        </w:tc>
        <w:tc>
          <w:tcPr>
            <w:tcW w:w="1167" w:type="pct"/>
            <w:tcBorders>
              <w:top w:val="nil"/>
              <w:left w:val="nil"/>
              <w:bottom w:val="nil"/>
              <w:right w:val="nil"/>
            </w:tcBorders>
            <w:shd w:val="clear" w:color="auto" w:fill="auto"/>
            <w:noWrap/>
            <w:vAlign w:val="bottom"/>
            <w:hideMark/>
          </w:tcPr>
          <w:p w14:paraId="6CDA0ECE" w14:textId="77777777" w:rsidR="009A05C7" w:rsidRPr="008E0404" w:rsidRDefault="009A05C7" w:rsidP="000240DA">
            <w:pPr>
              <w:spacing w:after="0" w:line="240" w:lineRule="auto"/>
              <w:jc w:val="right"/>
              <w:rPr>
                <w:rFonts w:eastAsia="Times New Roman" w:cs="Times New Roman"/>
                <w:sz w:val="18"/>
                <w:szCs w:val="18"/>
                <w:lang w:eastAsia="sk-SK"/>
              </w:rPr>
            </w:pPr>
            <w:r w:rsidRPr="008E0404">
              <w:rPr>
                <w:rFonts w:eastAsia="Times New Roman" w:cs="Times New Roman"/>
                <w:sz w:val="18"/>
                <w:szCs w:val="18"/>
                <w:lang w:eastAsia="sk-SK"/>
              </w:rPr>
              <w:t>57 081</w:t>
            </w:r>
          </w:p>
        </w:tc>
        <w:tc>
          <w:tcPr>
            <w:tcW w:w="1038" w:type="pct"/>
            <w:tcBorders>
              <w:top w:val="nil"/>
              <w:left w:val="nil"/>
              <w:bottom w:val="nil"/>
              <w:right w:val="nil"/>
            </w:tcBorders>
            <w:shd w:val="clear" w:color="auto" w:fill="auto"/>
            <w:noWrap/>
            <w:vAlign w:val="bottom"/>
            <w:hideMark/>
          </w:tcPr>
          <w:p w14:paraId="0476E2FC" w14:textId="77777777" w:rsidR="009A05C7" w:rsidRPr="008E0404" w:rsidRDefault="009A05C7" w:rsidP="000240DA">
            <w:pPr>
              <w:spacing w:after="0" w:line="240" w:lineRule="auto"/>
              <w:jc w:val="right"/>
              <w:rPr>
                <w:rFonts w:eastAsia="Times New Roman" w:cs="Times New Roman"/>
                <w:sz w:val="18"/>
                <w:szCs w:val="18"/>
                <w:lang w:eastAsia="sk-SK"/>
              </w:rPr>
            </w:pPr>
            <w:r w:rsidRPr="008E0404">
              <w:rPr>
                <w:rFonts w:eastAsia="Times New Roman" w:cs="Times New Roman"/>
                <w:sz w:val="18"/>
                <w:szCs w:val="18"/>
                <w:lang w:eastAsia="sk-SK"/>
              </w:rPr>
              <w:t>45 700</w:t>
            </w:r>
          </w:p>
        </w:tc>
        <w:tc>
          <w:tcPr>
            <w:tcW w:w="982" w:type="pct"/>
            <w:tcBorders>
              <w:top w:val="nil"/>
              <w:left w:val="nil"/>
              <w:bottom w:val="nil"/>
              <w:right w:val="nil"/>
            </w:tcBorders>
            <w:shd w:val="clear" w:color="auto" w:fill="auto"/>
            <w:noWrap/>
            <w:vAlign w:val="bottom"/>
            <w:hideMark/>
          </w:tcPr>
          <w:p w14:paraId="5FEE919F" w14:textId="77777777" w:rsidR="009A05C7" w:rsidRPr="008E0404" w:rsidRDefault="009A05C7" w:rsidP="000240DA">
            <w:pPr>
              <w:spacing w:after="0" w:line="240" w:lineRule="auto"/>
              <w:jc w:val="right"/>
              <w:rPr>
                <w:rFonts w:eastAsia="Times New Roman" w:cs="Times New Roman"/>
                <w:sz w:val="18"/>
                <w:szCs w:val="18"/>
                <w:lang w:eastAsia="sk-SK"/>
              </w:rPr>
            </w:pPr>
            <w:r w:rsidRPr="008E0404">
              <w:rPr>
                <w:rFonts w:eastAsia="Times New Roman" w:cs="Times New Roman"/>
                <w:sz w:val="18"/>
                <w:szCs w:val="18"/>
                <w:lang w:eastAsia="sk-SK"/>
              </w:rPr>
              <w:t>124</w:t>
            </w:r>
          </w:p>
        </w:tc>
        <w:tc>
          <w:tcPr>
            <w:tcW w:w="590" w:type="pct"/>
            <w:tcBorders>
              <w:top w:val="nil"/>
              <w:left w:val="nil"/>
              <w:bottom w:val="nil"/>
              <w:right w:val="nil"/>
            </w:tcBorders>
            <w:shd w:val="clear" w:color="auto" w:fill="auto"/>
            <w:noWrap/>
            <w:vAlign w:val="bottom"/>
            <w:hideMark/>
          </w:tcPr>
          <w:p w14:paraId="5E5563D1" w14:textId="77777777" w:rsidR="009A05C7" w:rsidRPr="008E0404" w:rsidRDefault="009A05C7" w:rsidP="000240DA">
            <w:pPr>
              <w:spacing w:after="0" w:line="240" w:lineRule="auto"/>
              <w:jc w:val="right"/>
              <w:rPr>
                <w:rFonts w:eastAsia="Times New Roman" w:cs="Times New Roman"/>
                <w:sz w:val="18"/>
                <w:szCs w:val="18"/>
                <w:lang w:eastAsia="sk-SK"/>
              </w:rPr>
            </w:pPr>
            <w:r w:rsidRPr="008E0404">
              <w:rPr>
                <w:rFonts w:eastAsia="Times New Roman" w:cs="Times New Roman"/>
                <w:sz w:val="18"/>
                <w:szCs w:val="18"/>
                <w:lang w:eastAsia="sk-SK"/>
              </w:rPr>
              <w:t>102 905</w:t>
            </w:r>
          </w:p>
        </w:tc>
      </w:tr>
      <w:tr w:rsidR="009A05C7" w:rsidRPr="008E0404" w14:paraId="5D8380DA" w14:textId="77777777" w:rsidTr="000240DA">
        <w:trPr>
          <w:trHeight w:val="290"/>
        </w:trPr>
        <w:tc>
          <w:tcPr>
            <w:tcW w:w="1223" w:type="pct"/>
            <w:tcBorders>
              <w:top w:val="nil"/>
              <w:left w:val="nil"/>
              <w:bottom w:val="nil"/>
              <w:right w:val="nil"/>
            </w:tcBorders>
            <w:shd w:val="clear" w:color="auto" w:fill="auto"/>
            <w:noWrap/>
            <w:vAlign w:val="bottom"/>
            <w:hideMark/>
          </w:tcPr>
          <w:p w14:paraId="01774258" w14:textId="77777777" w:rsidR="009A05C7" w:rsidRPr="008E0404" w:rsidRDefault="009A05C7" w:rsidP="000240DA">
            <w:pPr>
              <w:spacing w:after="0" w:line="240" w:lineRule="auto"/>
              <w:jc w:val="left"/>
              <w:rPr>
                <w:rFonts w:eastAsia="Times New Roman" w:cs="Times New Roman"/>
                <w:sz w:val="18"/>
                <w:szCs w:val="18"/>
                <w:lang w:eastAsia="sk-SK"/>
              </w:rPr>
            </w:pPr>
            <w:r w:rsidRPr="008E0404">
              <w:rPr>
                <w:rFonts w:eastAsia="Times New Roman" w:cs="Times New Roman"/>
                <w:sz w:val="18"/>
                <w:szCs w:val="18"/>
                <w:lang w:eastAsia="sk-SK"/>
              </w:rPr>
              <w:t>Trenčiansky</w:t>
            </w:r>
          </w:p>
        </w:tc>
        <w:tc>
          <w:tcPr>
            <w:tcW w:w="1167" w:type="pct"/>
            <w:tcBorders>
              <w:top w:val="nil"/>
              <w:left w:val="nil"/>
              <w:bottom w:val="nil"/>
              <w:right w:val="nil"/>
            </w:tcBorders>
            <w:shd w:val="clear" w:color="auto" w:fill="auto"/>
            <w:noWrap/>
            <w:vAlign w:val="bottom"/>
            <w:hideMark/>
          </w:tcPr>
          <w:p w14:paraId="5738D98C" w14:textId="77777777" w:rsidR="009A05C7" w:rsidRPr="008E0404" w:rsidRDefault="009A05C7" w:rsidP="000240DA">
            <w:pPr>
              <w:spacing w:after="0" w:line="240" w:lineRule="auto"/>
              <w:jc w:val="right"/>
              <w:rPr>
                <w:rFonts w:eastAsia="Times New Roman" w:cs="Times New Roman"/>
                <w:sz w:val="18"/>
                <w:szCs w:val="18"/>
                <w:lang w:eastAsia="sk-SK"/>
              </w:rPr>
            </w:pPr>
            <w:r w:rsidRPr="008E0404">
              <w:rPr>
                <w:rFonts w:eastAsia="Times New Roman" w:cs="Times New Roman"/>
                <w:sz w:val="18"/>
                <w:szCs w:val="18"/>
                <w:lang w:eastAsia="sk-SK"/>
              </w:rPr>
              <w:t>59 591</w:t>
            </w:r>
          </w:p>
        </w:tc>
        <w:tc>
          <w:tcPr>
            <w:tcW w:w="1038" w:type="pct"/>
            <w:tcBorders>
              <w:top w:val="nil"/>
              <w:left w:val="nil"/>
              <w:bottom w:val="nil"/>
              <w:right w:val="nil"/>
            </w:tcBorders>
            <w:shd w:val="clear" w:color="auto" w:fill="auto"/>
            <w:noWrap/>
            <w:vAlign w:val="bottom"/>
            <w:hideMark/>
          </w:tcPr>
          <w:p w14:paraId="3AFEB6D0" w14:textId="77777777" w:rsidR="009A05C7" w:rsidRPr="008E0404" w:rsidRDefault="009A05C7" w:rsidP="000240DA">
            <w:pPr>
              <w:spacing w:after="0" w:line="240" w:lineRule="auto"/>
              <w:jc w:val="right"/>
              <w:rPr>
                <w:rFonts w:eastAsia="Times New Roman" w:cs="Times New Roman"/>
                <w:sz w:val="18"/>
                <w:szCs w:val="18"/>
                <w:lang w:eastAsia="sk-SK"/>
              </w:rPr>
            </w:pPr>
            <w:r w:rsidRPr="008E0404">
              <w:rPr>
                <w:rFonts w:eastAsia="Times New Roman" w:cs="Times New Roman"/>
                <w:sz w:val="18"/>
                <w:szCs w:val="18"/>
                <w:lang w:eastAsia="sk-SK"/>
              </w:rPr>
              <w:t>17 039</w:t>
            </w:r>
          </w:p>
        </w:tc>
        <w:tc>
          <w:tcPr>
            <w:tcW w:w="982" w:type="pct"/>
            <w:tcBorders>
              <w:top w:val="nil"/>
              <w:left w:val="nil"/>
              <w:bottom w:val="nil"/>
              <w:right w:val="nil"/>
            </w:tcBorders>
            <w:shd w:val="clear" w:color="auto" w:fill="auto"/>
            <w:noWrap/>
            <w:vAlign w:val="bottom"/>
            <w:hideMark/>
          </w:tcPr>
          <w:p w14:paraId="58B81E88" w14:textId="77777777" w:rsidR="009A05C7" w:rsidRPr="008E0404" w:rsidRDefault="009A05C7" w:rsidP="000240DA">
            <w:pPr>
              <w:spacing w:after="0" w:line="240" w:lineRule="auto"/>
              <w:jc w:val="right"/>
              <w:rPr>
                <w:rFonts w:eastAsia="Times New Roman" w:cs="Times New Roman"/>
                <w:sz w:val="18"/>
                <w:szCs w:val="18"/>
                <w:lang w:eastAsia="sk-SK"/>
              </w:rPr>
            </w:pPr>
            <w:r w:rsidRPr="008E0404">
              <w:rPr>
                <w:rFonts w:eastAsia="Times New Roman" w:cs="Times New Roman"/>
                <w:sz w:val="18"/>
                <w:szCs w:val="18"/>
                <w:lang w:eastAsia="sk-SK"/>
              </w:rPr>
              <w:t>1 764</w:t>
            </w:r>
          </w:p>
        </w:tc>
        <w:tc>
          <w:tcPr>
            <w:tcW w:w="590" w:type="pct"/>
            <w:tcBorders>
              <w:top w:val="nil"/>
              <w:left w:val="nil"/>
              <w:bottom w:val="nil"/>
              <w:right w:val="nil"/>
            </w:tcBorders>
            <w:shd w:val="clear" w:color="auto" w:fill="auto"/>
            <w:noWrap/>
            <w:vAlign w:val="bottom"/>
            <w:hideMark/>
          </w:tcPr>
          <w:p w14:paraId="2A78207F" w14:textId="77777777" w:rsidR="009A05C7" w:rsidRPr="008E0404" w:rsidRDefault="009A05C7" w:rsidP="000240DA">
            <w:pPr>
              <w:spacing w:after="0" w:line="240" w:lineRule="auto"/>
              <w:jc w:val="right"/>
              <w:rPr>
                <w:rFonts w:eastAsia="Times New Roman" w:cs="Times New Roman"/>
                <w:sz w:val="18"/>
                <w:szCs w:val="18"/>
                <w:lang w:eastAsia="sk-SK"/>
              </w:rPr>
            </w:pPr>
            <w:r w:rsidRPr="008E0404">
              <w:rPr>
                <w:rFonts w:eastAsia="Times New Roman" w:cs="Times New Roman"/>
                <w:sz w:val="18"/>
                <w:szCs w:val="18"/>
                <w:lang w:eastAsia="sk-SK"/>
              </w:rPr>
              <w:t>78 394</w:t>
            </w:r>
          </w:p>
        </w:tc>
      </w:tr>
      <w:tr w:rsidR="009A05C7" w:rsidRPr="008E0404" w14:paraId="2FF09758" w14:textId="77777777" w:rsidTr="000240DA">
        <w:trPr>
          <w:trHeight w:val="290"/>
        </w:trPr>
        <w:tc>
          <w:tcPr>
            <w:tcW w:w="1223" w:type="pct"/>
            <w:tcBorders>
              <w:top w:val="nil"/>
              <w:left w:val="nil"/>
              <w:bottom w:val="nil"/>
              <w:right w:val="nil"/>
            </w:tcBorders>
            <w:shd w:val="clear" w:color="auto" w:fill="auto"/>
            <w:noWrap/>
            <w:vAlign w:val="bottom"/>
            <w:hideMark/>
          </w:tcPr>
          <w:p w14:paraId="18F3076F" w14:textId="77777777" w:rsidR="009A05C7" w:rsidRPr="008E0404" w:rsidRDefault="009A05C7" w:rsidP="000240DA">
            <w:pPr>
              <w:spacing w:after="0" w:line="240" w:lineRule="auto"/>
              <w:jc w:val="left"/>
              <w:rPr>
                <w:rFonts w:eastAsia="Times New Roman" w:cs="Times New Roman"/>
                <w:sz w:val="18"/>
                <w:szCs w:val="18"/>
                <w:lang w:eastAsia="sk-SK"/>
              </w:rPr>
            </w:pPr>
            <w:r w:rsidRPr="008E0404">
              <w:rPr>
                <w:rFonts w:eastAsia="Times New Roman" w:cs="Times New Roman"/>
                <w:sz w:val="18"/>
                <w:szCs w:val="18"/>
                <w:lang w:eastAsia="sk-SK"/>
              </w:rPr>
              <w:t>Banskobystrický</w:t>
            </w:r>
          </w:p>
        </w:tc>
        <w:tc>
          <w:tcPr>
            <w:tcW w:w="1167" w:type="pct"/>
            <w:tcBorders>
              <w:top w:val="nil"/>
              <w:left w:val="nil"/>
              <w:bottom w:val="nil"/>
              <w:right w:val="nil"/>
            </w:tcBorders>
            <w:shd w:val="clear" w:color="auto" w:fill="auto"/>
            <w:noWrap/>
            <w:vAlign w:val="bottom"/>
            <w:hideMark/>
          </w:tcPr>
          <w:p w14:paraId="3E70F7CE" w14:textId="77777777" w:rsidR="009A05C7" w:rsidRPr="008E0404" w:rsidRDefault="009A05C7" w:rsidP="000240DA">
            <w:pPr>
              <w:spacing w:after="0" w:line="240" w:lineRule="auto"/>
              <w:jc w:val="right"/>
              <w:rPr>
                <w:rFonts w:eastAsia="Times New Roman" w:cs="Times New Roman"/>
                <w:sz w:val="18"/>
                <w:szCs w:val="18"/>
                <w:lang w:eastAsia="sk-SK"/>
              </w:rPr>
            </w:pPr>
            <w:r w:rsidRPr="008E0404">
              <w:rPr>
                <w:rFonts w:eastAsia="Times New Roman" w:cs="Times New Roman"/>
                <w:sz w:val="18"/>
                <w:szCs w:val="18"/>
                <w:lang w:eastAsia="sk-SK"/>
              </w:rPr>
              <w:t>48 574</w:t>
            </w:r>
          </w:p>
        </w:tc>
        <w:tc>
          <w:tcPr>
            <w:tcW w:w="1038" w:type="pct"/>
            <w:tcBorders>
              <w:top w:val="nil"/>
              <w:left w:val="nil"/>
              <w:bottom w:val="nil"/>
              <w:right w:val="nil"/>
            </w:tcBorders>
            <w:shd w:val="clear" w:color="auto" w:fill="auto"/>
            <w:noWrap/>
            <w:vAlign w:val="bottom"/>
            <w:hideMark/>
          </w:tcPr>
          <w:p w14:paraId="0EDF6272" w14:textId="77777777" w:rsidR="009A05C7" w:rsidRPr="008E0404" w:rsidRDefault="009A05C7" w:rsidP="000240DA">
            <w:pPr>
              <w:spacing w:after="0" w:line="240" w:lineRule="auto"/>
              <w:jc w:val="right"/>
              <w:rPr>
                <w:rFonts w:eastAsia="Times New Roman" w:cs="Times New Roman"/>
                <w:sz w:val="18"/>
                <w:szCs w:val="18"/>
                <w:lang w:eastAsia="sk-SK"/>
              </w:rPr>
            </w:pPr>
            <w:r w:rsidRPr="008E0404">
              <w:rPr>
                <w:rFonts w:eastAsia="Times New Roman" w:cs="Times New Roman"/>
                <w:sz w:val="18"/>
                <w:szCs w:val="18"/>
                <w:lang w:eastAsia="sk-SK"/>
              </w:rPr>
              <w:t>26 400</w:t>
            </w:r>
          </w:p>
        </w:tc>
        <w:tc>
          <w:tcPr>
            <w:tcW w:w="982" w:type="pct"/>
            <w:tcBorders>
              <w:top w:val="nil"/>
              <w:left w:val="nil"/>
              <w:bottom w:val="nil"/>
              <w:right w:val="nil"/>
            </w:tcBorders>
            <w:shd w:val="clear" w:color="auto" w:fill="auto"/>
            <w:noWrap/>
            <w:vAlign w:val="bottom"/>
            <w:hideMark/>
          </w:tcPr>
          <w:p w14:paraId="2AD06344" w14:textId="77777777" w:rsidR="009A05C7" w:rsidRPr="008E0404" w:rsidRDefault="009A05C7" w:rsidP="000240DA">
            <w:pPr>
              <w:spacing w:after="0" w:line="240" w:lineRule="auto"/>
              <w:jc w:val="right"/>
              <w:rPr>
                <w:rFonts w:eastAsia="Times New Roman" w:cs="Times New Roman"/>
                <w:sz w:val="18"/>
                <w:szCs w:val="18"/>
                <w:lang w:eastAsia="sk-SK"/>
              </w:rPr>
            </w:pPr>
            <w:r w:rsidRPr="008E0404">
              <w:rPr>
                <w:rFonts w:eastAsia="Times New Roman" w:cs="Times New Roman"/>
                <w:sz w:val="18"/>
                <w:szCs w:val="18"/>
                <w:lang w:eastAsia="sk-SK"/>
              </w:rPr>
              <w:t>613</w:t>
            </w:r>
          </w:p>
        </w:tc>
        <w:tc>
          <w:tcPr>
            <w:tcW w:w="590" w:type="pct"/>
            <w:tcBorders>
              <w:top w:val="nil"/>
              <w:left w:val="nil"/>
              <w:bottom w:val="nil"/>
              <w:right w:val="nil"/>
            </w:tcBorders>
            <w:shd w:val="clear" w:color="auto" w:fill="auto"/>
            <w:noWrap/>
            <w:vAlign w:val="bottom"/>
            <w:hideMark/>
          </w:tcPr>
          <w:p w14:paraId="177CF5DB" w14:textId="77777777" w:rsidR="009A05C7" w:rsidRPr="008E0404" w:rsidRDefault="009A05C7" w:rsidP="000240DA">
            <w:pPr>
              <w:spacing w:after="0" w:line="240" w:lineRule="auto"/>
              <w:jc w:val="right"/>
              <w:rPr>
                <w:rFonts w:eastAsia="Times New Roman" w:cs="Times New Roman"/>
                <w:sz w:val="18"/>
                <w:szCs w:val="18"/>
                <w:lang w:eastAsia="sk-SK"/>
              </w:rPr>
            </w:pPr>
            <w:r w:rsidRPr="008E0404">
              <w:rPr>
                <w:rFonts w:eastAsia="Times New Roman" w:cs="Times New Roman"/>
                <w:sz w:val="18"/>
                <w:szCs w:val="18"/>
                <w:lang w:eastAsia="sk-SK"/>
              </w:rPr>
              <w:t>75 587</w:t>
            </w:r>
          </w:p>
        </w:tc>
      </w:tr>
      <w:tr w:rsidR="009A05C7" w:rsidRPr="008E0404" w14:paraId="259DD2CE" w14:textId="77777777" w:rsidTr="000240DA">
        <w:trPr>
          <w:trHeight w:val="290"/>
        </w:trPr>
        <w:tc>
          <w:tcPr>
            <w:tcW w:w="1223" w:type="pct"/>
            <w:tcBorders>
              <w:top w:val="nil"/>
              <w:left w:val="nil"/>
              <w:bottom w:val="nil"/>
              <w:right w:val="nil"/>
            </w:tcBorders>
            <w:shd w:val="clear" w:color="auto" w:fill="auto"/>
            <w:noWrap/>
            <w:vAlign w:val="bottom"/>
            <w:hideMark/>
          </w:tcPr>
          <w:p w14:paraId="3BEADB11" w14:textId="77777777" w:rsidR="009A05C7" w:rsidRPr="008E0404" w:rsidRDefault="009A05C7" w:rsidP="000240DA">
            <w:pPr>
              <w:spacing w:after="0" w:line="240" w:lineRule="auto"/>
              <w:jc w:val="left"/>
              <w:rPr>
                <w:rFonts w:eastAsia="Times New Roman" w:cs="Times New Roman"/>
                <w:sz w:val="18"/>
                <w:szCs w:val="18"/>
                <w:lang w:eastAsia="sk-SK"/>
              </w:rPr>
            </w:pPr>
            <w:r w:rsidRPr="008E0404">
              <w:rPr>
                <w:rFonts w:eastAsia="Times New Roman" w:cs="Times New Roman"/>
                <w:sz w:val="18"/>
                <w:szCs w:val="18"/>
                <w:lang w:eastAsia="sk-SK"/>
              </w:rPr>
              <w:t>Žilinský</w:t>
            </w:r>
          </w:p>
        </w:tc>
        <w:tc>
          <w:tcPr>
            <w:tcW w:w="1167" w:type="pct"/>
            <w:tcBorders>
              <w:top w:val="nil"/>
              <w:left w:val="nil"/>
              <w:bottom w:val="nil"/>
              <w:right w:val="nil"/>
            </w:tcBorders>
            <w:shd w:val="clear" w:color="auto" w:fill="auto"/>
            <w:noWrap/>
            <w:vAlign w:val="bottom"/>
            <w:hideMark/>
          </w:tcPr>
          <w:p w14:paraId="3BE2FBAF" w14:textId="77777777" w:rsidR="009A05C7" w:rsidRPr="008E0404" w:rsidRDefault="009A05C7" w:rsidP="000240DA">
            <w:pPr>
              <w:spacing w:after="0" w:line="240" w:lineRule="auto"/>
              <w:jc w:val="right"/>
              <w:rPr>
                <w:rFonts w:eastAsia="Times New Roman" w:cs="Times New Roman"/>
                <w:sz w:val="18"/>
                <w:szCs w:val="18"/>
                <w:lang w:eastAsia="sk-SK"/>
              </w:rPr>
            </w:pPr>
            <w:r w:rsidRPr="008E0404">
              <w:rPr>
                <w:rFonts w:eastAsia="Times New Roman" w:cs="Times New Roman"/>
                <w:sz w:val="18"/>
                <w:szCs w:val="18"/>
                <w:lang w:eastAsia="sk-SK"/>
              </w:rPr>
              <w:t>43 688</w:t>
            </w:r>
          </w:p>
        </w:tc>
        <w:tc>
          <w:tcPr>
            <w:tcW w:w="1038" w:type="pct"/>
            <w:tcBorders>
              <w:top w:val="nil"/>
              <w:left w:val="nil"/>
              <w:bottom w:val="nil"/>
              <w:right w:val="nil"/>
            </w:tcBorders>
            <w:shd w:val="clear" w:color="auto" w:fill="auto"/>
            <w:noWrap/>
            <w:vAlign w:val="bottom"/>
            <w:hideMark/>
          </w:tcPr>
          <w:p w14:paraId="0DDE409E" w14:textId="77777777" w:rsidR="009A05C7" w:rsidRPr="008E0404" w:rsidRDefault="009A05C7" w:rsidP="000240DA">
            <w:pPr>
              <w:spacing w:after="0" w:line="240" w:lineRule="auto"/>
              <w:jc w:val="right"/>
              <w:rPr>
                <w:rFonts w:eastAsia="Times New Roman" w:cs="Times New Roman"/>
                <w:sz w:val="18"/>
                <w:szCs w:val="18"/>
                <w:lang w:eastAsia="sk-SK"/>
              </w:rPr>
            </w:pPr>
            <w:r w:rsidRPr="008E0404">
              <w:rPr>
                <w:rFonts w:eastAsia="Times New Roman" w:cs="Times New Roman"/>
                <w:sz w:val="18"/>
                <w:szCs w:val="18"/>
                <w:lang w:eastAsia="sk-SK"/>
              </w:rPr>
              <w:t>31 000</w:t>
            </w:r>
          </w:p>
        </w:tc>
        <w:tc>
          <w:tcPr>
            <w:tcW w:w="982" w:type="pct"/>
            <w:tcBorders>
              <w:top w:val="nil"/>
              <w:left w:val="nil"/>
              <w:bottom w:val="nil"/>
              <w:right w:val="nil"/>
            </w:tcBorders>
            <w:shd w:val="clear" w:color="auto" w:fill="auto"/>
            <w:noWrap/>
            <w:vAlign w:val="bottom"/>
            <w:hideMark/>
          </w:tcPr>
          <w:p w14:paraId="2261B149" w14:textId="77777777" w:rsidR="009A05C7" w:rsidRPr="008E0404" w:rsidRDefault="009A05C7" w:rsidP="000240DA">
            <w:pPr>
              <w:spacing w:after="0" w:line="240" w:lineRule="auto"/>
              <w:jc w:val="right"/>
              <w:rPr>
                <w:rFonts w:eastAsia="Times New Roman" w:cs="Times New Roman"/>
                <w:sz w:val="18"/>
                <w:szCs w:val="18"/>
                <w:lang w:eastAsia="sk-SK"/>
              </w:rPr>
            </w:pPr>
            <w:r w:rsidRPr="008E0404">
              <w:rPr>
                <w:rFonts w:eastAsia="Times New Roman" w:cs="Times New Roman"/>
                <w:sz w:val="18"/>
                <w:szCs w:val="18"/>
                <w:lang w:eastAsia="sk-SK"/>
              </w:rPr>
              <w:t>237</w:t>
            </w:r>
          </w:p>
        </w:tc>
        <w:tc>
          <w:tcPr>
            <w:tcW w:w="590" w:type="pct"/>
            <w:tcBorders>
              <w:top w:val="nil"/>
              <w:left w:val="nil"/>
              <w:bottom w:val="nil"/>
              <w:right w:val="nil"/>
            </w:tcBorders>
            <w:shd w:val="clear" w:color="auto" w:fill="auto"/>
            <w:noWrap/>
            <w:vAlign w:val="bottom"/>
            <w:hideMark/>
          </w:tcPr>
          <w:p w14:paraId="18DB06BA" w14:textId="77777777" w:rsidR="009A05C7" w:rsidRPr="008E0404" w:rsidRDefault="009A05C7" w:rsidP="000240DA">
            <w:pPr>
              <w:spacing w:after="0" w:line="240" w:lineRule="auto"/>
              <w:jc w:val="right"/>
              <w:rPr>
                <w:rFonts w:eastAsia="Times New Roman" w:cs="Times New Roman"/>
                <w:sz w:val="18"/>
                <w:szCs w:val="18"/>
                <w:lang w:eastAsia="sk-SK"/>
              </w:rPr>
            </w:pPr>
            <w:r w:rsidRPr="008E0404">
              <w:rPr>
                <w:rFonts w:eastAsia="Times New Roman" w:cs="Times New Roman"/>
                <w:sz w:val="18"/>
                <w:szCs w:val="18"/>
                <w:lang w:eastAsia="sk-SK"/>
              </w:rPr>
              <w:t>74 925</w:t>
            </w:r>
          </w:p>
        </w:tc>
      </w:tr>
      <w:tr w:rsidR="009A05C7" w:rsidRPr="008E0404" w14:paraId="52868706" w14:textId="77777777" w:rsidTr="000240DA">
        <w:trPr>
          <w:trHeight w:val="290"/>
        </w:trPr>
        <w:tc>
          <w:tcPr>
            <w:tcW w:w="1223" w:type="pct"/>
            <w:tcBorders>
              <w:top w:val="nil"/>
              <w:left w:val="nil"/>
              <w:bottom w:val="nil"/>
              <w:right w:val="nil"/>
            </w:tcBorders>
            <w:shd w:val="clear" w:color="auto" w:fill="auto"/>
            <w:noWrap/>
            <w:vAlign w:val="bottom"/>
            <w:hideMark/>
          </w:tcPr>
          <w:p w14:paraId="32ACFC62" w14:textId="77777777" w:rsidR="009A05C7" w:rsidRPr="008E0404" w:rsidRDefault="009A05C7" w:rsidP="000240DA">
            <w:pPr>
              <w:spacing w:after="0" w:line="240" w:lineRule="auto"/>
              <w:jc w:val="left"/>
              <w:rPr>
                <w:rFonts w:eastAsia="Times New Roman" w:cs="Times New Roman"/>
                <w:sz w:val="18"/>
                <w:szCs w:val="18"/>
                <w:lang w:eastAsia="sk-SK"/>
              </w:rPr>
            </w:pPr>
            <w:r w:rsidRPr="008E0404">
              <w:rPr>
                <w:rFonts w:eastAsia="Times New Roman" w:cs="Times New Roman"/>
                <w:sz w:val="18"/>
                <w:szCs w:val="18"/>
                <w:lang w:eastAsia="sk-SK"/>
              </w:rPr>
              <w:t>Trnavský</w:t>
            </w:r>
          </w:p>
        </w:tc>
        <w:tc>
          <w:tcPr>
            <w:tcW w:w="1167" w:type="pct"/>
            <w:tcBorders>
              <w:top w:val="nil"/>
              <w:left w:val="nil"/>
              <w:bottom w:val="nil"/>
              <w:right w:val="nil"/>
            </w:tcBorders>
            <w:shd w:val="clear" w:color="auto" w:fill="auto"/>
            <w:noWrap/>
            <w:vAlign w:val="bottom"/>
            <w:hideMark/>
          </w:tcPr>
          <w:p w14:paraId="315B0362" w14:textId="77777777" w:rsidR="009A05C7" w:rsidRPr="008E0404" w:rsidRDefault="009A05C7" w:rsidP="000240DA">
            <w:pPr>
              <w:spacing w:after="0" w:line="240" w:lineRule="auto"/>
              <w:jc w:val="right"/>
              <w:rPr>
                <w:rFonts w:eastAsia="Times New Roman" w:cs="Times New Roman"/>
                <w:sz w:val="18"/>
                <w:szCs w:val="18"/>
                <w:lang w:eastAsia="sk-SK"/>
              </w:rPr>
            </w:pPr>
            <w:r w:rsidRPr="008E0404">
              <w:rPr>
                <w:rFonts w:eastAsia="Times New Roman" w:cs="Times New Roman"/>
                <w:sz w:val="18"/>
                <w:szCs w:val="18"/>
                <w:lang w:eastAsia="sk-SK"/>
              </w:rPr>
              <w:t>53 862</w:t>
            </w:r>
          </w:p>
        </w:tc>
        <w:tc>
          <w:tcPr>
            <w:tcW w:w="1038" w:type="pct"/>
            <w:tcBorders>
              <w:top w:val="nil"/>
              <w:left w:val="nil"/>
              <w:bottom w:val="nil"/>
              <w:right w:val="nil"/>
            </w:tcBorders>
            <w:shd w:val="clear" w:color="auto" w:fill="auto"/>
            <w:noWrap/>
            <w:vAlign w:val="bottom"/>
            <w:hideMark/>
          </w:tcPr>
          <w:p w14:paraId="0B9DA0E5" w14:textId="77777777" w:rsidR="009A05C7" w:rsidRPr="008E0404" w:rsidRDefault="009A05C7" w:rsidP="000240DA">
            <w:pPr>
              <w:spacing w:after="0" w:line="240" w:lineRule="auto"/>
              <w:jc w:val="right"/>
              <w:rPr>
                <w:rFonts w:eastAsia="Times New Roman" w:cs="Times New Roman"/>
                <w:sz w:val="18"/>
                <w:szCs w:val="18"/>
                <w:lang w:eastAsia="sk-SK"/>
              </w:rPr>
            </w:pPr>
            <w:r w:rsidRPr="008E0404">
              <w:rPr>
                <w:rFonts w:eastAsia="Times New Roman" w:cs="Times New Roman"/>
                <w:sz w:val="18"/>
                <w:szCs w:val="18"/>
                <w:lang w:eastAsia="sk-SK"/>
              </w:rPr>
              <w:t>12 568</w:t>
            </w:r>
          </w:p>
        </w:tc>
        <w:tc>
          <w:tcPr>
            <w:tcW w:w="982" w:type="pct"/>
            <w:tcBorders>
              <w:top w:val="nil"/>
              <w:left w:val="nil"/>
              <w:bottom w:val="nil"/>
              <w:right w:val="nil"/>
            </w:tcBorders>
            <w:shd w:val="clear" w:color="auto" w:fill="auto"/>
            <w:noWrap/>
            <w:vAlign w:val="bottom"/>
            <w:hideMark/>
          </w:tcPr>
          <w:p w14:paraId="39321FF3" w14:textId="77777777" w:rsidR="009A05C7" w:rsidRPr="008E0404" w:rsidRDefault="009A05C7" w:rsidP="000240DA">
            <w:pPr>
              <w:spacing w:after="0" w:line="240" w:lineRule="auto"/>
              <w:jc w:val="right"/>
              <w:rPr>
                <w:rFonts w:eastAsia="Times New Roman" w:cs="Times New Roman"/>
                <w:sz w:val="18"/>
                <w:szCs w:val="18"/>
                <w:lang w:eastAsia="sk-SK"/>
              </w:rPr>
            </w:pPr>
            <w:r w:rsidRPr="008E0404">
              <w:rPr>
                <w:rFonts w:eastAsia="Times New Roman" w:cs="Times New Roman"/>
                <w:sz w:val="18"/>
                <w:szCs w:val="18"/>
                <w:lang w:eastAsia="sk-SK"/>
              </w:rPr>
              <w:t>3</w:t>
            </w:r>
          </w:p>
        </w:tc>
        <w:tc>
          <w:tcPr>
            <w:tcW w:w="590" w:type="pct"/>
            <w:tcBorders>
              <w:top w:val="nil"/>
              <w:left w:val="nil"/>
              <w:bottom w:val="nil"/>
              <w:right w:val="nil"/>
            </w:tcBorders>
            <w:shd w:val="clear" w:color="auto" w:fill="auto"/>
            <w:noWrap/>
            <w:vAlign w:val="bottom"/>
            <w:hideMark/>
          </w:tcPr>
          <w:p w14:paraId="53006DF1" w14:textId="77777777" w:rsidR="009A05C7" w:rsidRPr="008E0404" w:rsidRDefault="009A05C7" w:rsidP="000240DA">
            <w:pPr>
              <w:spacing w:after="0" w:line="240" w:lineRule="auto"/>
              <w:jc w:val="right"/>
              <w:rPr>
                <w:rFonts w:eastAsia="Times New Roman" w:cs="Times New Roman"/>
                <w:sz w:val="18"/>
                <w:szCs w:val="18"/>
                <w:lang w:eastAsia="sk-SK"/>
              </w:rPr>
            </w:pPr>
            <w:r w:rsidRPr="008E0404">
              <w:rPr>
                <w:rFonts w:eastAsia="Times New Roman" w:cs="Times New Roman"/>
                <w:sz w:val="18"/>
                <w:szCs w:val="18"/>
                <w:lang w:eastAsia="sk-SK"/>
              </w:rPr>
              <w:t>66 433</w:t>
            </w:r>
          </w:p>
        </w:tc>
      </w:tr>
      <w:tr w:rsidR="009A05C7" w:rsidRPr="008E0404" w14:paraId="2B1A8EB5" w14:textId="77777777" w:rsidTr="000240DA">
        <w:trPr>
          <w:trHeight w:val="290"/>
        </w:trPr>
        <w:tc>
          <w:tcPr>
            <w:tcW w:w="1223" w:type="pct"/>
            <w:tcBorders>
              <w:top w:val="nil"/>
              <w:left w:val="nil"/>
              <w:bottom w:val="nil"/>
              <w:right w:val="nil"/>
            </w:tcBorders>
            <w:shd w:val="clear" w:color="auto" w:fill="auto"/>
            <w:noWrap/>
            <w:vAlign w:val="bottom"/>
            <w:hideMark/>
          </w:tcPr>
          <w:p w14:paraId="0DF6CE2B" w14:textId="77777777" w:rsidR="009A05C7" w:rsidRPr="008E0404" w:rsidRDefault="009A05C7" w:rsidP="000240DA">
            <w:pPr>
              <w:spacing w:after="0" w:line="240" w:lineRule="auto"/>
              <w:jc w:val="left"/>
              <w:rPr>
                <w:rFonts w:eastAsia="Times New Roman" w:cs="Times New Roman"/>
                <w:sz w:val="18"/>
                <w:szCs w:val="18"/>
                <w:lang w:eastAsia="sk-SK"/>
              </w:rPr>
            </w:pPr>
            <w:r w:rsidRPr="008E0404">
              <w:rPr>
                <w:rFonts w:eastAsia="Times New Roman" w:cs="Times New Roman"/>
                <w:sz w:val="18"/>
                <w:szCs w:val="18"/>
                <w:lang w:eastAsia="sk-SK"/>
              </w:rPr>
              <w:t>Nitriansky</w:t>
            </w:r>
          </w:p>
        </w:tc>
        <w:tc>
          <w:tcPr>
            <w:tcW w:w="1167" w:type="pct"/>
            <w:tcBorders>
              <w:top w:val="nil"/>
              <w:left w:val="nil"/>
              <w:bottom w:val="nil"/>
              <w:right w:val="nil"/>
            </w:tcBorders>
            <w:shd w:val="clear" w:color="auto" w:fill="auto"/>
            <w:noWrap/>
            <w:vAlign w:val="bottom"/>
            <w:hideMark/>
          </w:tcPr>
          <w:p w14:paraId="50500B0E" w14:textId="77777777" w:rsidR="009A05C7" w:rsidRPr="008E0404" w:rsidRDefault="009A05C7" w:rsidP="000240DA">
            <w:pPr>
              <w:spacing w:after="0" w:line="240" w:lineRule="auto"/>
              <w:jc w:val="right"/>
              <w:rPr>
                <w:rFonts w:eastAsia="Times New Roman" w:cs="Times New Roman"/>
                <w:sz w:val="18"/>
                <w:szCs w:val="18"/>
                <w:lang w:eastAsia="sk-SK"/>
              </w:rPr>
            </w:pPr>
            <w:r w:rsidRPr="008E0404">
              <w:rPr>
                <w:rFonts w:eastAsia="Times New Roman" w:cs="Times New Roman"/>
                <w:sz w:val="18"/>
                <w:szCs w:val="18"/>
                <w:lang w:eastAsia="sk-SK"/>
              </w:rPr>
              <w:t>5 028</w:t>
            </w:r>
          </w:p>
        </w:tc>
        <w:tc>
          <w:tcPr>
            <w:tcW w:w="1038" w:type="pct"/>
            <w:tcBorders>
              <w:top w:val="nil"/>
              <w:left w:val="nil"/>
              <w:bottom w:val="nil"/>
              <w:right w:val="nil"/>
            </w:tcBorders>
            <w:shd w:val="clear" w:color="auto" w:fill="auto"/>
            <w:noWrap/>
            <w:vAlign w:val="bottom"/>
            <w:hideMark/>
          </w:tcPr>
          <w:p w14:paraId="29C50436" w14:textId="77777777" w:rsidR="009A05C7" w:rsidRPr="008E0404" w:rsidRDefault="009A05C7" w:rsidP="000240DA">
            <w:pPr>
              <w:spacing w:after="0" w:line="240" w:lineRule="auto"/>
              <w:jc w:val="right"/>
              <w:rPr>
                <w:rFonts w:eastAsia="Times New Roman" w:cs="Times New Roman"/>
                <w:sz w:val="18"/>
                <w:szCs w:val="18"/>
                <w:lang w:eastAsia="sk-SK"/>
              </w:rPr>
            </w:pPr>
            <w:r w:rsidRPr="008E0404">
              <w:rPr>
                <w:rFonts w:eastAsia="Times New Roman" w:cs="Times New Roman"/>
                <w:sz w:val="18"/>
                <w:szCs w:val="18"/>
                <w:lang w:eastAsia="sk-SK"/>
              </w:rPr>
              <w:t>11 000</w:t>
            </w:r>
          </w:p>
        </w:tc>
        <w:tc>
          <w:tcPr>
            <w:tcW w:w="982" w:type="pct"/>
            <w:tcBorders>
              <w:top w:val="nil"/>
              <w:left w:val="nil"/>
              <w:bottom w:val="nil"/>
              <w:right w:val="nil"/>
            </w:tcBorders>
            <w:shd w:val="clear" w:color="auto" w:fill="auto"/>
            <w:noWrap/>
            <w:vAlign w:val="bottom"/>
            <w:hideMark/>
          </w:tcPr>
          <w:p w14:paraId="063F4338" w14:textId="77777777" w:rsidR="009A05C7" w:rsidRPr="008E0404" w:rsidRDefault="009A05C7" w:rsidP="000240DA">
            <w:pPr>
              <w:spacing w:after="0" w:line="240" w:lineRule="auto"/>
              <w:jc w:val="right"/>
              <w:rPr>
                <w:rFonts w:eastAsia="Times New Roman" w:cs="Times New Roman"/>
                <w:sz w:val="18"/>
                <w:szCs w:val="18"/>
                <w:lang w:eastAsia="sk-SK"/>
              </w:rPr>
            </w:pPr>
            <w:r w:rsidRPr="008E0404">
              <w:rPr>
                <w:rFonts w:eastAsia="Times New Roman" w:cs="Times New Roman"/>
                <w:sz w:val="18"/>
                <w:szCs w:val="18"/>
                <w:lang w:eastAsia="sk-SK"/>
              </w:rPr>
              <w:t>292</w:t>
            </w:r>
          </w:p>
        </w:tc>
        <w:tc>
          <w:tcPr>
            <w:tcW w:w="590" w:type="pct"/>
            <w:tcBorders>
              <w:top w:val="nil"/>
              <w:left w:val="nil"/>
              <w:bottom w:val="nil"/>
              <w:right w:val="nil"/>
            </w:tcBorders>
            <w:shd w:val="clear" w:color="auto" w:fill="auto"/>
            <w:noWrap/>
            <w:vAlign w:val="bottom"/>
            <w:hideMark/>
          </w:tcPr>
          <w:p w14:paraId="44026647" w14:textId="77777777" w:rsidR="009A05C7" w:rsidRPr="008E0404" w:rsidRDefault="009A05C7" w:rsidP="000240DA">
            <w:pPr>
              <w:spacing w:after="0" w:line="240" w:lineRule="auto"/>
              <w:jc w:val="right"/>
              <w:rPr>
                <w:rFonts w:eastAsia="Times New Roman" w:cs="Times New Roman"/>
                <w:sz w:val="18"/>
                <w:szCs w:val="18"/>
                <w:lang w:eastAsia="sk-SK"/>
              </w:rPr>
            </w:pPr>
            <w:r w:rsidRPr="008E0404">
              <w:rPr>
                <w:rFonts w:eastAsia="Times New Roman" w:cs="Times New Roman"/>
                <w:sz w:val="18"/>
                <w:szCs w:val="18"/>
                <w:lang w:eastAsia="sk-SK"/>
              </w:rPr>
              <w:t>16 320</w:t>
            </w:r>
          </w:p>
        </w:tc>
      </w:tr>
      <w:tr w:rsidR="009A05C7" w:rsidRPr="008E0404" w14:paraId="4C5B1166" w14:textId="77777777" w:rsidTr="000240DA">
        <w:trPr>
          <w:trHeight w:val="290"/>
        </w:trPr>
        <w:tc>
          <w:tcPr>
            <w:tcW w:w="1223" w:type="pct"/>
            <w:tcBorders>
              <w:top w:val="single" w:sz="4" w:space="0" w:color="auto"/>
              <w:left w:val="nil"/>
              <w:bottom w:val="single" w:sz="4" w:space="0" w:color="auto"/>
              <w:right w:val="nil"/>
            </w:tcBorders>
            <w:shd w:val="clear" w:color="auto" w:fill="auto"/>
            <w:noWrap/>
            <w:vAlign w:val="bottom"/>
            <w:hideMark/>
          </w:tcPr>
          <w:p w14:paraId="34E17239" w14:textId="77777777" w:rsidR="009A05C7" w:rsidRPr="008E0404" w:rsidRDefault="009A05C7" w:rsidP="000240DA">
            <w:pPr>
              <w:spacing w:after="0" w:line="240" w:lineRule="auto"/>
              <w:jc w:val="left"/>
              <w:rPr>
                <w:rFonts w:eastAsia="Times New Roman" w:cs="Times New Roman"/>
                <w:b/>
                <w:bCs/>
                <w:sz w:val="18"/>
                <w:szCs w:val="18"/>
                <w:lang w:eastAsia="sk-SK"/>
              </w:rPr>
            </w:pPr>
            <w:r w:rsidRPr="008E0404">
              <w:rPr>
                <w:rFonts w:eastAsia="Times New Roman" w:cs="Times New Roman"/>
                <w:b/>
                <w:bCs/>
                <w:sz w:val="18"/>
                <w:szCs w:val="18"/>
                <w:lang w:eastAsia="sk-SK"/>
              </w:rPr>
              <w:t>Spolu VÚC</w:t>
            </w:r>
          </w:p>
        </w:tc>
        <w:tc>
          <w:tcPr>
            <w:tcW w:w="1167" w:type="pct"/>
            <w:tcBorders>
              <w:top w:val="single" w:sz="4" w:space="0" w:color="auto"/>
              <w:left w:val="nil"/>
              <w:bottom w:val="single" w:sz="4" w:space="0" w:color="auto"/>
              <w:right w:val="nil"/>
            </w:tcBorders>
            <w:shd w:val="clear" w:color="auto" w:fill="auto"/>
            <w:noWrap/>
            <w:vAlign w:val="bottom"/>
            <w:hideMark/>
          </w:tcPr>
          <w:p w14:paraId="47E7BE96" w14:textId="77777777" w:rsidR="009A05C7" w:rsidRPr="008E0404" w:rsidRDefault="009A05C7" w:rsidP="000240DA">
            <w:pPr>
              <w:spacing w:after="0" w:line="240" w:lineRule="auto"/>
              <w:jc w:val="right"/>
              <w:rPr>
                <w:rFonts w:eastAsia="Times New Roman" w:cs="Times New Roman"/>
                <w:b/>
                <w:bCs/>
                <w:sz w:val="18"/>
                <w:szCs w:val="18"/>
                <w:lang w:eastAsia="sk-SK"/>
              </w:rPr>
            </w:pPr>
            <w:r w:rsidRPr="008E0404">
              <w:rPr>
                <w:rFonts w:eastAsia="Times New Roman" w:cs="Times New Roman"/>
                <w:b/>
                <w:bCs/>
                <w:sz w:val="18"/>
                <w:szCs w:val="18"/>
                <w:lang w:eastAsia="sk-SK"/>
              </w:rPr>
              <w:t>430 742</w:t>
            </w:r>
          </w:p>
        </w:tc>
        <w:tc>
          <w:tcPr>
            <w:tcW w:w="1038" w:type="pct"/>
            <w:tcBorders>
              <w:top w:val="single" w:sz="4" w:space="0" w:color="auto"/>
              <w:left w:val="nil"/>
              <w:bottom w:val="single" w:sz="4" w:space="0" w:color="auto"/>
              <w:right w:val="nil"/>
            </w:tcBorders>
            <w:shd w:val="clear" w:color="auto" w:fill="auto"/>
            <w:noWrap/>
            <w:vAlign w:val="bottom"/>
            <w:hideMark/>
          </w:tcPr>
          <w:p w14:paraId="20875E14" w14:textId="77777777" w:rsidR="009A05C7" w:rsidRPr="008E0404" w:rsidRDefault="009A05C7" w:rsidP="000240DA">
            <w:pPr>
              <w:spacing w:after="0" w:line="240" w:lineRule="auto"/>
              <w:jc w:val="right"/>
              <w:rPr>
                <w:rFonts w:eastAsia="Times New Roman" w:cs="Times New Roman"/>
                <w:b/>
                <w:bCs/>
                <w:sz w:val="18"/>
                <w:szCs w:val="18"/>
                <w:lang w:eastAsia="sk-SK"/>
              </w:rPr>
            </w:pPr>
            <w:r w:rsidRPr="008E0404">
              <w:rPr>
                <w:rFonts w:eastAsia="Times New Roman" w:cs="Times New Roman"/>
                <w:b/>
                <w:bCs/>
                <w:sz w:val="18"/>
                <w:szCs w:val="18"/>
                <w:lang w:eastAsia="sk-SK"/>
              </w:rPr>
              <w:t>214 128</w:t>
            </w:r>
          </w:p>
        </w:tc>
        <w:tc>
          <w:tcPr>
            <w:tcW w:w="982" w:type="pct"/>
            <w:tcBorders>
              <w:top w:val="single" w:sz="4" w:space="0" w:color="auto"/>
              <w:left w:val="nil"/>
              <w:bottom w:val="single" w:sz="4" w:space="0" w:color="auto"/>
              <w:right w:val="nil"/>
            </w:tcBorders>
            <w:shd w:val="clear" w:color="auto" w:fill="auto"/>
            <w:noWrap/>
            <w:vAlign w:val="bottom"/>
            <w:hideMark/>
          </w:tcPr>
          <w:p w14:paraId="0430FA17" w14:textId="77777777" w:rsidR="009A05C7" w:rsidRPr="008E0404" w:rsidRDefault="009A05C7" w:rsidP="000240DA">
            <w:pPr>
              <w:spacing w:after="0" w:line="240" w:lineRule="auto"/>
              <w:jc w:val="right"/>
              <w:rPr>
                <w:rFonts w:eastAsia="Times New Roman" w:cs="Times New Roman"/>
                <w:b/>
                <w:bCs/>
                <w:sz w:val="18"/>
                <w:szCs w:val="18"/>
                <w:lang w:eastAsia="sk-SK"/>
              </w:rPr>
            </w:pPr>
            <w:r w:rsidRPr="008E0404">
              <w:rPr>
                <w:rFonts w:eastAsia="Times New Roman" w:cs="Times New Roman"/>
                <w:b/>
                <w:bCs/>
                <w:sz w:val="18"/>
                <w:szCs w:val="18"/>
                <w:lang w:eastAsia="sk-SK"/>
              </w:rPr>
              <w:t>7 236</w:t>
            </w:r>
          </w:p>
        </w:tc>
        <w:tc>
          <w:tcPr>
            <w:tcW w:w="590" w:type="pct"/>
            <w:tcBorders>
              <w:top w:val="single" w:sz="4" w:space="0" w:color="auto"/>
              <w:left w:val="nil"/>
              <w:bottom w:val="single" w:sz="4" w:space="0" w:color="auto"/>
              <w:right w:val="nil"/>
            </w:tcBorders>
            <w:shd w:val="clear" w:color="auto" w:fill="auto"/>
            <w:noWrap/>
            <w:vAlign w:val="bottom"/>
            <w:hideMark/>
          </w:tcPr>
          <w:p w14:paraId="65F6E925" w14:textId="77777777" w:rsidR="009A05C7" w:rsidRPr="008E0404" w:rsidRDefault="009A05C7" w:rsidP="000240DA">
            <w:pPr>
              <w:spacing w:after="0" w:line="240" w:lineRule="auto"/>
              <w:jc w:val="right"/>
              <w:rPr>
                <w:rFonts w:eastAsia="Times New Roman" w:cs="Times New Roman"/>
                <w:b/>
                <w:bCs/>
                <w:sz w:val="18"/>
                <w:szCs w:val="18"/>
                <w:lang w:eastAsia="sk-SK"/>
              </w:rPr>
            </w:pPr>
            <w:r w:rsidRPr="008E0404">
              <w:rPr>
                <w:rFonts w:eastAsia="Times New Roman" w:cs="Times New Roman"/>
                <w:b/>
                <w:bCs/>
                <w:sz w:val="18"/>
                <w:szCs w:val="18"/>
                <w:lang w:eastAsia="sk-SK"/>
              </w:rPr>
              <w:t>652 106</w:t>
            </w:r>
          </w:p>
        </w:tc>
      </w:tr>
    </w:tbl>
    <w:p w14:paraId="5CB7518A" w14:textId="77777777" w:rsidR="009A05C7" w:rsidRPr="00AD12E2" w:rsidRDefault="009A05C7" w:rsidP="009A05C7">
      <w:pPr>
        <w:keepNext/>
        <w:jc w:val="right"/>
        <w:rPr>
          <w:sz w:val="18"/>
          <w:szCs w:val="18"/>
          <w:highlight w:val="yellow"/>
        </w:rPr>
      </w:pPr>
      <w:r>
        <w:rPr>
          <w:sz w:val="18"/>
          <w:szCs w:val="18"/>
        </w:rPr>
        <w:t>Z</w:t>
      </w:r>
      <w:r w:rsidRPr="008E0404">
        <w:rPr>
          <w:sz w:val="18"/>
          <w:szCs w:val="18"/>
        </w:rPr>
        <w:t>droj: MF SR</w:t>
      </w:r>
    </w:p>
    <w:p w14:paraId="7FC01304" w14:textId="77777777" w:rsidR="009A05C7" w:rsidRPr="00AD12E2" w:rsidRDefault="009A05C7" w:rsidP="009A05C7">
      <w:pPr>
        <w:spacing w:line="240" w:lineRule="auto"/>
        <w:rPr>
          <w:sz w:val="24"/>
          <w:szCs w:val="24"/>
          <w:highlight w:val="yellow"/>
        </w:rPr>
      </w:pPr>
      <w:r w:rsidRPr="00D10D36">
        <w:rPr>
          <w:sz w:val="24"/>
          <w:szCs w:val="24"/>
        </w:rPr>
        <w:t xml:space="preserve">Z celkového dlhu VÚC predstavujú záväzky voči domácim veriteľom 400 999 tis. eur (61,5 %) a voči zahraničným veriteľom 251 107 tis. eur (38,5 %). </w:t>
      </w:r>
      <w:r w:rsidRPr="00D23D01">
        <w:rPr>
          <w:sz w:val="24"/>
          <w:szCs w:val="24"/>
        </w:rPr>
        <w:t>Úvermi od zahraničných veriteľov disponuje Prešovský (75 111 tis. eur), Košický (49 647 tis. eur), Trnavský (46 217 tis. eur), Bratislavský (33 791 tis. eur), Trenčiansky (28 914 tis. eur) a aj Žilinský samosprávny kraj (17 428 tis. eur). Z hľadiska pôvodnej splatnosti je dlh VÚC majoritne tvorený dlhodobými záväzkami (96,2</w:t>
      </w:r>
      <w:r>
        <w:rPr>
          <w:sz w:val="24"/>
          <w:szCs w:val="24"/>
        </w:rPr>
        <w:t> </w:t>
      </w:r>
      <w:r w:rsidRPr="00D23D01">
        <w:rPr>
          <w:sz w:val="24"/>
          <w:szCs w:val="24"/>
        </w:rPr>
        <w:t>%).</w:t>
      </w:r>
    </w:p>
    <w:p w14:paraId="06A67246" w14:textId="77777777" w:rsidR="009A05C7" w:rsidRPr="0068286B" w:rsidRDefault="009A05C7" w:rsidP="009A05C7">
      <w:pPr>
        <w:spacing w:line="240" w:lineRule="auto"/>
        <w:rPr>
          <w:sz w:val="24"/>
          <w:szCs w:val="24"/>
        </w:rPr>
      </w:pPr>
      <w:r w:rsidRPr="0068286B">
        <w:rPr>
          <w:b/>
          <w:sz w:val="24"/>
          <w:szCs w:val="24"/>
        </w:rPr>
        <w:t>Obchodné spoločnosti štátu</w:t>
      </w:r>
      <w:r w:rsidRPr="0068286B">
        <w:rPr>
          <w:sz w:val="24"/>
          <w:szCs w:val="24"/>
        </w:rPr>
        <w:t xml:space="preserve"> (patriace do ústrednej správy) majú po štátnom dlhu, obciach a VÚC najväčší podiel na konsolidovano</w:t>
      </w:r>
      <w:r>
        <w:rPr>
          <w:sz w:val="24"/>
          <w:szCs w:val="24"/>
        </w:rPr>
        <w:t>m dlhu verejnej správy (0,6 %).</w:t>
      </w:r>
    </w:p>
    <w:p w14:paraId="3A7A979C" w14:textId="77777777" w:rsidR="009A05C7" w:rsidRPr="00AD12E2" w:rsidRDefault="009A05C7" w:rsidP="009A05C7">
      <w:pPr>
        <w:spacing w:line="240" w:lineRule="auto"/>
        <w:rPr>
          <w:sz w:val="24"/>
          <w:szCs w:val="24"/>
          <w:highlight w:val="yellow"/>
        </w:rPr>
      </w:pPr>
      <w:r w:rsidRPr="00154887">
        <w:rPr>
          <w:sz w:val="24"/>
          <w:szCs w:val="24"/>
        </w:rPr>
        <w:t xml:space="preserve">Dlh </w:t>
      </w:r>
      <w:r w:rsidRPr="00154887">
        <w:rPr>
          <w:b/>
          <w:sz w:val="24"/>
          <w:szCs w:val="24"/>
        </w:rPr>
        <w:t>Železničnej spoločnosti Slovensko,</w:t>
      </w:r>
      <w:r>
        <w:rPr>
          <w:b/>
          <w:sz w:val="24"/>
          <w:szCs w:val="24"/>
        </w:rPr>
        <w:t> </w:t>
      </w:r>
      <w:r w:rsidRPr="00154887">
        <w:rPr>
          <w:b/>
          <w:sz w:val="24"/>
          <w:szCs w:val="24"/>
        </w:rPr>
        <w:t>a. s. (ŽSSK)</w:t>
      </w:r>
      <w:r w:rsidRPr="00154887">
        <w:rPr>
          <w:sz w:val="24"/>
          <w:szCs w:val="24"/>
        </w:rPr>
        <w:t>, ktorý dosiahol v roku 2024 hodnotu 306 702 tis. eur, sa medziročne znížil o 32 970 tis.</w:t>
      </w:r>
      <w:r>
        <w:rPr>
          <w:sz w:val="24"/>
          <w:szCs w:val="24"/>
        </w:rPr>
        <w:t> </w:t>
      </w:r>
      <w:r w:rsidRPr="00154887">
        <w:rPr>
          <w:sz w:val="24"/>
          <w:szCs w:val="24"/>
        </w:rPr>
        <w:t xml:space="preserve">eur </w:t>
      </w:r>
      <w:r w:rsidRPr="00777457">
        <w:rPr>
          <w:sz w:val="24"/>
          <w:szCs w:val="24"/>
        </w:rPr>
        <w:t xml:space="preserve">vzhľadom na to, že splácanie úverov prijatých v predchádzajúcich rokoch bolo vyššie ako výška úverov načerpaných počas roka 2024. </w:t>
      </w:r>
      <w:r>
        <w:rPr>
          <w:sz w:val="24"/>
          <w:szCs w:val="24"/>
        </w:rPr>
        <w:t>Prostriedky sú využívané na</w:t>
      </w:r>
      <w:r w:rsidRPr="00777457">
        <w:rPr>
          <w:sz w:val="24"/>
          <w:szCs w:val="24"/>
        </w:rPr>
        <w:t xml:space="preserve"> financovanie </w:t>
      </w:r>
      <w:r>
        <w:rPr>
          <w:sz w:val="24"/>
          <w:szCs w:val="24"/>
        </w:rPr>
        <w:t xml:space="preserve">projektov </w:t>
      </w:r>
      <w:r w:rsidRPr="00777457">
        <w:rPr>
          <w:sz w:val="24"/>
          <w:szCs w:val="24"/>
        </w:rPr>
        <w:t>zrýchlenia a skvalitnenia osobnej dopravy, s čím sú spojené nároky na modernizáciu, obnovu a údržbu vozňov a rušňov. Dlh ŽSSK tvoria bankové úvery od tuzemských veriteľov vo výške 306 402 tis. eur a krátkodobé zábezpeky v hodnote 300 tis. eur.</w:t>
      </w:r>
    </w:p>
    <w:p w14:paraId="2D337EEE" w14:textId="597933C3" w:rsidR="0088597C" w:rsidRDefault="009A05C7" w:rsidP="009A05C7">
      <w:pPr>
        <w:spacing w:line="240" w:lineRule="auto"/>
        <w:rPr>
          <w:sz w:val="24"/>
          <w:szCs w:val="24"/>
        </w:rPr>
      </w:pPr>
      <w:r w:rsidRPr="004D6C7B">
        <w:rPr>
          <w:sz w:val="24"/>
          <w:szCs w:val="24"/>
        </w:rPr>
        <w:t xml:space="preserve">Dlh </w:t>
      </w:r>
      <w:r w:rsidRPr="004D6C7B">
        <w:rPr>
          <w:b/>
          <w:sz w:val="24"/>
          <w:szCs w:val="24"/>
        </w:rPr>
        <w:t xml:space="preserve">Železníc Slovenskej republiky (ŽSR), </w:t>
      </w:r>
      <w:r w:rsidRPr="004D6C7B">
        <w:rPr>
          <w:sz w:val="24"/>
          <w:szCs w:val="24"/>
        </w:rPr>
        <w:t>ktoré spravujú železničnú infraštruktúru vo vlastníctve štátu a zabezpečujú prepravné a dopravné služby,</w:t>
      </w:r>
      <w:r w:rsidRPr="004D6C7B">
        <w:rPr>
          <w:b/>
          <w:sz w:val="24"/>
          <w:szCs w:val="24"/>
        </w:rPr>
        <w:t xml:space="preserve"> </w:t>
      </w:r>
      <w:r w:rsidRPr="004D6C7B">
        <w:rPr>
          <w:sz w:val="24"/>
          <w:szCs w:val="24"/>
        </w:rPr>
        <w:t xml:space="preserve">dosiahol v roku 2024 hodnotu 108 557 tis. eur, čo je o 10 274 tis. eur menej oproti stavu v roku 2023. </w:t>
      </w:r>
      <w:r w:rsidRPr="00224C5C">
        <w:rPr>
          <w:sz w:val="24"/>
          <w:szCs w:val="24"/>
        </w:rPr>
        <w:t>Dlh predstavujú v prevažnej miere dlhodobé bankové úvery od tuzemských veriteľov vo výške 48 085 tis. eur, ktorých hodnota oproti minulému roku klesla o 8 688 tis. eur vzhľadom na</w:t>
      </w:r>
      <w:r w:rsidR="00D259E2">
        <w:rPr>
          <w:sz w:val="24"/>
          <w:szCs w:val="24"/>
        </w:rPr>
        <w:t> </w:t>
      </w:r>
      <w:r w:rsidRPr="00224C5C">
        <w:rPr>
          <w:sz w:val="24"/>
          <w:szCs w:val="24"/>
        </w:rPr>
        <w:t xml:space="preserve">to, že splátky úverov prevyšujú čerpanie. </w:t>
      </w:r>
      <w:r w:rsidRPr="006A0D9A">
        <w:rPr>
          <w:sz w:val="24"/>
          <w:szCs w:val="24"/>
        </w:rPr>
        <w:t xml:space="preserve">Úroveň pôžičky od National Development Fund II., a. s. </w:t>
      </w:r>
      <w:r>
        <w:rPr>
          <w:sz w:val="24"/>
          <w:szCs w:val="24"/>
        </w:rPr>
        <w:t>dosiahla</w:t>
      </w:r>
      <w:r w:rsidR="00D259E2">
        <w:rPr>
          <w:sz w:val="24"/>
          <w:szCs w:val="24"/>
        </w:rPr>
        <w:t xml:space="preserve"> úroveň 56 976 tis. eur.</w:t>
      </w:r>
    </w:p>
    <w:p w14:paraId="0C170DA6" w14:textId="15D52685" w:rsidR="009A05C7" w:rsidRPr="00AD12E2" w:rsidRDefault="009A05C7" w:rsidP="009A05C7">
      <w:pPr>
        <w:spacing w:line="240" w:lineRule="auto"/>
        <w:rPr>
          <w:b/>
          <w:sz w:val="24"/>
          <w:szCs w:val="24"/>
          <w:highlight w:val="yellow"/>
        </w:rPr>
      </w:pPr>
      <w:r w:rsidRPr="00277E9A">
        <w:rPr>
          <w:sz w:val="24"/>
          <w:szCs w:val="24"/>
        </w:rPr>
        <w:t>Zvyšnú časť dlhu tvoria krátkodobé zábezpeky vo výške 1 974 tis. eur a dlhodobé záväzky z obchodného styku a prijaté pre</w:t>
      </w:r>
      <w:r>
        <w:rPr>
          <w:sz w:val="24"/>
          <w:szCs w:val="24"/>
        </w:rPr>
        <w:t>ddavky vo výške 1 520 tis. eur.</w:t>
      </w:r>
    </w:p>
    <w:p w14:paraId="6B7341D7" w14:textId="77777777" w:rsidR="009A05C7" w:rsidRPr="008673B4" w:rsidRDefault="009A05C7" w:rsidP="009A05C7">
      <w:pPr>
        <w:spacing w:line="240" w:lineRule="auto"/>
        <w:rPr>
          <w:sz w:val="24"/>
          <w:szCs w:val="24"/>
        </w:rPr>
      </w:pPr>
      <w:r w:rsidRPr="008673B4">
        <w:rPr>
          <w:sz w:val="24"/>
          <w:szCs w:val="24"/>
        </w:rPr>
        <w:lastRenderedPageBreak/>
        <w:t xml:space="preserve">Dlh </w:t>
      </w:r>
      <w:r w:rsidRPr="008673B4">
        <w:rPr>
          <w:b/>
          <w:sz w:val="24"/>
          <w:szCs w:val="24"/>
        </w:rPr>
        <w:t xml:space="preserve">Agentúry pre núdzové zásoby ropy a ropných výrobkov </w:t>
      </w:r>
      <w:r w:rsidRPr="00311835">
        <w:rPr>
          <w:sz w:val="24"/>
          <w:szCs w:val="24"/>
        </w:rPr>
        <w:t>takmer celý tvorí</w:t>
      </w:r>
      <w:r w:rsidRPr="008673B4">
        <w:rPr>
          <w:b/>
          <w:sz w:val="24"/>
          <w:szCs w:val="24"/>
        </w:rPr>
        <w:t xml:space="preserve"> </w:t>
      </w:r>
      <w:r w:rsidRPr="008673B4">
        <w:rPr>
          <w:sz w:val="24"/>
          <w:szCs w:val="24"/>
        </w:rPr>
        <w:t>návratná finančná výpomoc zo štátnych finančných aktív vo výške 146 000 tis. eur. Jej úroveň oproti stavu v roku 2023 klesla o 73 000 tis. eur, z dôvodu úhrady splátky. Zvyšnú časť dlhu subjektu predstavujú krátkodobé zábezpeky vo výške 1 253 tis. eur.</w:t>
      </w:r>
    </w:p>
    <w:p w14:paraId="3FB1B936" w14:textId="3EEB9FA3" w:rsidR="009A05C7" w:rsidRPr="000817D2" w:rsidRDefault="009A05C7" w:rsidP="009A05C7">
      <w:pPr>
        <w:spacing w:line="240" w:lineRule="auto"/>
        <w:rPr>
          <w:sz w:val="24"/>
          <w:szCs w:val="24"/>
        </w:rPr>
      </w:pPr>
      <w:r w:rsidRPr="000817D2">
        <w:rPr>
          <w:sz w:val="24"/>
          <w:szCs w:val="24"/>
        </w:rPr>
        <w:t xml:space="preserve">Dlh </w:t>
      </w:r>
      <w:r w:rsidRPr="000817D2">
        <w:rPr>
          <w:b/>
          <w:sz w:val="24"/>
          <w:szCs w:val="24"/>
        </w:rPr>
        <w:t>ústredných zdravotníckych zariadení</w:t>
      </w:r>
      <w:r w:rsidRPr="000817D2">
        <w:rPr>
          <w:sz w:val="24"/>
          <w:szCs w:val="24"/>
        </w:rPr>
        <w:t xml:space="preserve"> medziročne klesol oproti </w:t>
      </w:r>
      <w:r w:rsidR="00083DC3">
        <w:rPr>
          <w:sz w:val="24"/>
          <w:szCs w:val="24"/>
        </w:rPr>
        <w:t>stavu za rok 2023 o 33 288 tis. </w:t>
      </w:r>
      <w:r w:rsidRPr="000817D2">
        <w:rPr>
          <w:sz w:val="24"/>
          <w:szCs w:val="24"/>
        </w:rPr>
        <w:t xml:space="preserve">eur. Dlh vo výške 150 056 tis. eur tvoria </w:t>
      </w:r>
      <w:r>
        <w:rPr>
          <w:sz w:val="24"/>
          <w:szCs w:val="24"/>
        </w:rPr>
        <w:t>v rozhodujúcej miere záväzky po </w:t>
      </w:r>
      <w:r w:rsidRPr="000817D2">
        <w:rPr>
          <w:sz w:val="24"/>
          <w:szCs w:val="24"/>
        </w:rPr>
        <w:t>zmene veriteľa vo výške 112</w:t>
      </w:r>
      <w:r>
        <w:rPr>
          <w:sz w:val="24"/>
          <w:szCs w:val="24"/>
        </w:rPr>
        <w:t> </w:t>
      </w:r>
      <w:r w:rsidRPr="000817D2">
        <w:rPr>
          <w:sz w:val="24"/>
          <w:szCs w:val="24"/>
        </w:rPr>
        <w:t>847 tis.</w:t>
      </w:r>
      <w:r>
        <w:rPr>
          <w:sz w:val="24"/>
          <w:szCs w:val="24"/>
        </w:rPr>
        <w:t> </w:t>
      </w:r>
      <w:r w:rsidRPr="000817D2">
        <w:rPr>
          <w:sz w:val="24"/>
          <w:szCs w:val="24"/>
        </w:rPr>
        <w:t>eur. Dlh ústredných zdravotníckych zariadení ďalej tvoria bankové úvery</w:t>
      </w:r>
      <w:r>
        <w:rPr>
          <w:rStyle w:val="Odkaznapoznmkupodiarou"/>
          <w:sz w:val="24"/>
          <w:szCs w:val="24"/>
        </w:rPr>
        <w:footnoteReference w:id="23"/>
      </w:r>
      <w:r w:rsidRPr="000817D2">
        <w:rPr>
          <w:sz w:val="24"/>
          <w:szCs w:val="24"/>
        </w:rPr>
        <w:t>, ktorých stav sa medziročne znížil o 3 669 tis. eur na úroveň 30 816 tis. eur, záväzky vyplývajúce z ostatných zmlúv o energetickej efektívnosti v hodnote 2 022 tis. eur, finančný prenájom</w:t>
      </w:r>
      <w:r>
        <w:rPr>
          <w:sz w:val="24"/>
          <w:szCs w:val="24"/>
        </w:rPr>
        <w:t xml:space="preserve"> vo výške 1 </w:t>
      </w:r>
      <w:r w:rsidRPr="000817D2">
        <w:rPr>
          <w:sz w:val="24"/>
          <w:szCs w:val="24"/>
        </w:rPr>
        <w:t>410 tis. eur, zábezpeky vo výške 869</w:t>
      </w:r>
      <w:r>
        <w:rPr>
          <w:sz w:val="24"/>
          <w:szCs w:val="24"/>
        </w:rPr>
        <w:t> </w:t>
      </w:r>
      <w:r w:rsidRPr="000817D2">
        <w:rPr>
          <w:sz w:val="24"/>
          <w:szCs w:val="24"/>
        </w:rPr>
        <w:t>tis. eur</w:t>
      </w:r>
      <w:r>
        <w:rPr>
          <w:sz w:val="24"/>
          <w:szCs w:val="24"/>
        </w:rPr>
        <w:t xml:space="preserve"> a</w:t>
      </w:r>
      <w:r w:rsidR="00C35517">
        <w:rPr>
          <w:sz w:val="24"/>
          <w:szCs w:val="24"/>
        </w:rPr>
        <w:t> </w:t>
      </w:r>
      <w:r>
        <w:rPr>
          <w:sz w:val="24"/>
          <w:szCs w:val="24"/>
        </w:rPr>
        <w:t>návratné finančné výpomoci v</w:t>
      </w:r>
      <w:r w:rsidRPr="000817D2">
        <w:rPr>
          <w:sz w:val="24"/>
          <w:szCs w:val="24"/>
        </w:rPr>
        <w:t xml:space="preserve"> hodnote 647 tis. eur. Dlhodo</w:t>
      </w:r>
      <w:r w:rsidR="00D259E2">
        <w:rPr>
          <w:sz w:val="24"/>
          <w:szCs w:val="24"/>
        </w:rPr>
        <w:t>bé záväzky z obchodného styku a </w:t>
      </w:r>
      <w:r w:rsidRPr="000817D2">
        <w:rPr>
          <w:sz w:val="24"/>
          <w:szCs w:val="24"/>
        </w:rPr>
        <w:t>prijaté preddavky zvyšujú úroveň dlhu ústredných zdravotníckych zariadení o 1 409 tis. eur.</w:t>
      </w:r>
    </w:p>
    <w:p w14:paraId="201B19DF" w14:textId="4256299C" w:rsidR="009A05C7" w:rsidRDefault="009A05C7" w:rsidP="009A05C7">
      <w:pPr>
        <w:spacing w:line="240" w:lineRule="auto"/>
        <w:rPr>
          <w:sz w:val="24"/>
          <w:szCs w:val="24"/>
        </w:rPr>
      </w:pPr>
      <w:r w:rsidRPr="00761B51">
        <w:rPr>
          <w:b/>
          <w:sz w:val="24"/>
          <w:szCs w:val="24"/>
        </w:rPr>
        <w:t xml:space="preserve">Exportno-importná banka Slovenskej republiky </w:t>
      </w:r>
      <w:r w:rsidRPr="00761B51">
        <w:rPr>
          <w:sz w:val="24"/>
          <w:szCs w:val="24"/>
        </w:rPr>
        <w:t>sa podieľa na dlhu verejnej správy v roku 2024 sumou 245 412 tis. eur. Oproti predchádzajúcemu roku dlh vzrástol o 57 256 tis. eur, čo</w:t>
      </w:r>
      <w:r>
        <w:rPr>
          <w:sz w:val="24"/>
          <w:szCs w:val="24"/>
        </w:rPr>
        <w:t> </w:t>
      </w:r>
      <w:r w:rsidRPr="00761B51">
        <w:rPr>
          <w:sz w:val="24"/>
          <w:szCs w:val="24"/>
        </w:rPr>
        <w:t xml:space="preserve">bolo spôsobené </w:t>
      </w:r>
      <w:r w:rsidRPr="002112B5">
        <w:rPr>
          <w:rFonts w:cs="Times New Roman"/>
          <w:sz w:val="24"/>
          <w:szCs w:val="24"/>
        </w:rPr>
        <w:t xml:space="preserve">najmä </w:t>
      </w:r>
      <w:r>
        <w:rPr>
          <w:rFonts w:cs="Times New Roman"/>
          <w:sz w:val="24"/>
          <w:szCs w:val="24"/>
        </w:rPr>
        <w:t>prevzatím</w:t>
      </w:r>
      <w:r w:rsidRPr="002112B5">
        <w:rPr>
          <w:rFonts w:cs="Times New Roman"/>
          <w:sz w:val="24"/>
          <w:szCs w:val="24"/>
        </w:rPr>
        <w:t xml:space="preserve"> dlhu </w:t>
      </w:r>
      <w:r>
        <w:rPr>
          <w:rFonts w:cs="Times New Roman"/>
          <w:sz w:val="24"/>
          <w:szCs w:val="24"/>
        </w:rPr>
        <w:t xml:space="preserve">voči BNC (Kuba) </w:t>
      </w:r>
      <w:r w:rsidRPr="002112B5">
        <w:rPr>
          <w:rFonts w:cs="Times New Roman"/>
          <w:sz w:val="24"/>
          <w:szCs w:val="24"/>
        </w:rPr>
        <w:t>vo výške nesplatenej istiny v hodnote 51 689 tis. eur</w:t>
      </w:r>
      <w:r>
        <w:rPr>
          <w:sz w:val="24"/>
          <w:szCs w:val="24"/>
        </w:rPr>
        <w:t xml:space="preserve">. </w:t>
      </w:r>
      <w:r w:rsidRPr="00ED7412">
        <w:rPr>
          <w:sz w:val="24"/>
          <w:szCs w:val="24"/>
        </w:rPr>
        <w:t xml:space="preserve">Dlhodobé bankové úvery dosiahli v roku 2024 súhrnnú výšku 190 000 tis. eur, čo je o 10 000 tis. eur viac </w:t>
      </w:r>
      <w:r w:rsidR="00C35517">
        <w:rPr>
          <w:sz w:val="24"/>
          <w:szCs w:val="24"/>
        </w:rPr>
        <w:t>ako v roku 2023, pričom úver vo </w:t>
      </w:r>
      <w:r w:rsidRPr="00ED7412">
        <w:rPr>
          <w:sz w:val="24"/>
          <w:szCs w:val="24"/>
        </w:rPr>
        <w:t>výške 30 000 tis. eur je predmetom konsolidácie vzhľadom na to, že bol Eximb</w:t>
      </w:r>
      <w:r>
        <w:rPr>
          <w:sz w:val="24"/>
          <w:szCs w:val="24"/>
        </w:rPr>
        <w:t>anke poskytnutý zo strany SZRB.</w:t>
      </w:r>
    </w:p>
    <w:p w14:paraId="4ABC3DE7" w14:textId="36B22A33" w:rsidR="009A05C7" w:rsidRPr="00AD12E2" w:rsidRDefault="009A05C7" w:rsidP="009A05C7">
      <w:pPr>
        <w:spacing w:line="240" w:lineRule="auto"/>
        <w:rPr>
          <w:sz w:val="24"/>
          <w:szCs w:val="24"/>
          <w:highlight w:val="yellow"/>
        </w:rPr>
      </w:pPr>
      <w:r w:rsidRPr="00007469">
        <w:rPr>
          <w:sz w:val="24"/>
          <w:szCs w:val="24"/>
        </w:rPr>
        <w:t>Dlh</w:t>
      </w:r>
      <w:r w:rsidRPr="00631241">
        <w:rPr>
          <w:b/>
          <w:sz w:val="24"/>
          <w:szCs w:val="24"/>
        </w:rPr>
        <w:t xml:space="preserve"> Slovenskej záručnej a rozvojovej banky,</w:t>
      </w:r>
      <w:r>
        <w:rPr>
          <w:b/>
          <w:sz w:val="24"/>
          <w:szCs w:val="24"/>
        </w:rPr>
        <w:t> </w:t>
      </w:r>
      <w:r w:rsidRPr="00631241">
        <w:rPr>
          <w:b/>
          <w:sz w:val="24"/>
          <w:szCs w:val="24"/>
        </w:rPr>
        <w:t>a. s.</w:t>
      </w:r>
      <w:r>
        <w:rPr>
          <w:b/>
          <w:sz w:val="24"/>
          <w:szCs w:val="24"/>
        </w:rPr>
        <w:t xml:space="preserve"> </w:t>
      </w:r>
      <w:r w:rsidRPr="00311835">
        <w:rPr>
          <w:b/>
          <w:sz w:val="24"/>
          <w:szCs w:val="24"/>
        </w:rPr>
        <w:t>(SZRB)</w:t>
      </w:r>
      <w:r>
        <w:rPr>
          <w:sz w:val="24"/>
          <w:szCs w:val="24"/>
        </w:rPr>
        <w:t xml:space="preserve"> na nekonsolidovanej báze dosiahol v roku 2024 výšku 249 697 tis. eur. Najvýznamnejšiu časť dlhu tvoria vklady klientov SZRB na bežných a termínovaných účtoch v súhrnnej hodnote 220 989 tis. eur. Vzhľadom na to, že majoritu klientov SZRB tvoria subjekty verejnej správy, vklady v súhrnnej výške 189 418 tis. eur sú predmetom konsolidácie. Rovnako sú predmetom konsolidácie aj bankové úvery v rámci iniciatívy JEREMIE od NDF I. a NDF II. v súhrnnej výške 14 931 tis. eur. SZRB tiež disponuje zahraničnými úvermi od Rozvojovej banky Rady Európy (6 940 tis. eur) a Európskej investičnej banky (2 953 tis. eur) a tu</w:t>
      </w:r>
      <w:r w:rsidR="00C35517">
        <w:rPr>
          <w:sz w:val="24"/>
          <w:szCs w:val="24"/>
        </w:rPr>
        <w:t>zemským úverom od </w:t>
      </w:r>
      <w:r>
        <w:rPr>
          <w:sz w:val="24"/>
          <w:szCs w:val="24"/>
        </w:rPr>
        <w:t>NBS (3 884 tis. eur).</w:t>
      </w:r>
    </w:p>
    <w:p w14:paraId="329FA21B" w14:textId="13FAEC9F" w:rsidR="009A05C7" w:rsidRPr="00AD12E2" w:rsidRDefault="009A05C7" w:rsidP="009A05C7">
      <w:pPr>
        <w:spacing w:line="240" w:lineRule="auto"/>
        <w:rPr>
          <w:sz w:val="24"/>
          <w:szCs w:val="24"/>
          <w:highlight w:val="yellow"/>
        </w:rPr>
      </w:pPr>
      <w:r w:rsidRPr="00A1185B">
        <w:rPr>
          <w:sz w:val="24"/>
          <w:szCs w:val="24"/>
        </w:rPr>
        <w:t>Dlh</w:t>
      </w:r>
      <w:r w:rsidRPr="00A1185B">
        <w:rPr>
          <w:b/>
          <w:sz w:val="24"/>
          <w:szCs w:val="24"/>
        </w:rPr>
        <w:t xml:space="preserve"> dopravných podnikov</w:t>
      </w:r>
      <w:r w:rsidRPr="00A1185B">
        <w:rPr>
          <w:sz w:val="24"/>
          <w:szCs w:val="24"/>
        </w:rPr>
        <w:t xml:space="preserve"> </w:t>
      </w:r>
      <w:r w:rsidRPr="00A1185B">
        <w:rPr>
          <w:b/>
          <w:sz w:val="24"/>
          <w:szCs w:val="24"/>
        </w:rPr>
        <w:t>miestnej samosprávy</w:t>
      </w:r>
      <w:r w:rsidRPr="00A1185B">
        <w:rPr>
          <w:sz w:val="24"/>
          <w:szCs w:val="24"/>
        </w:rPr>
        <w:t xml:space="preserve"> dosiahol v roku 2024 úroveň 90 938 tis. eur, čo znamená pokles o 6 182 tis. eur oproti stavu v roku 2023. Väčšinu dlhu tvoria domáce bankové úvery v</w:t>
      </w:r>
      <w:r>
        <w:rPr>
          <w:sz w:val="24"/>
          <w:szCs w:val="24"/>
        </w:rPr>
        <w:t>o</w:t>
      </w:r>
      <w:r w:rsidRPr="00A1185B">
        <w:rPr>
          <w:sz w:val="24"/>
          <w:szCs w:val="24"/>
        </w:rPr>
        <w:t xml:space="preserve"> výške 78 019 tis. eur, </w:t>
      </w:r>
      <w:r>
        <w:rPr>
          <w:sz w:val="24"/>
          <w:szCs w:val="24"/>
        </w:rPr>
        <w:t>ktorých úroveň sa medziročne znížila o 4 573 tis. eur</w:t>
      </w:r>
      <w:r w:rsidRPr="00F73FAF">
        <w:rPr>
          <w:sz w:val="24"/>
          <w:szCs w:val="24"/>
        </w:rPr>
        <w:t>. Okrem</w:t>
      </w:r>
      <w:r w:rsidRPr="00A1185B">
        <w:rPr>
          <w:sz w:val="24"/>
          <w:szCs w:val="24"/>
        </w:rPr>
        <w:t xml:space="preserve"> bankových úverov tvoria dlh dopravných podnikov</w:t>
      </w:r>
      <w:r>
        <w:rPr>
          <w:sz w:val="24"/>
          <w:szCs w:val="24"/>
        </w:rPr>
        <w:t xml:space="preserve"> aj</w:t>
      </w:r>
      <w:r w:rsidRPr="00A1185B">
        <w:rPr>
          <w:sz w:val="24"/>
          <w:szCs w:val="24"/>
        </w:rPr>
        <w:t xml:space="preserve"> dlhodobé záväzky z obchodného styku a prijaté preddavky (9 629 tis. eur)</w:t>
      </w:r>
      <w:r>
        <w:rPr>
          <w:sz w:val="24"/>
          <w:szCs w:val="24"/>
        </w:rPr>
        <w:t xml:space="preserve"> a</w:t>
      </w:r>
      <w:r w:rsidRPr="00A1185B">
        <w:rPr>
          <w:sz w:val="24"/>
          <w:szCs w:val="24"/>
        </w:rPr>
        <w:t xml:space="preserve"> pôžičky od</w:t>
      </w:r>
      <w:r w:rsidR="00C35517">
        <w:rPr>
          <w:sz w:val="24"/>
          <w:szCs w:val="24"/>
        </w:rPr>
        <w:t> </w:t>
      </w:r>
      <w:r w:rsidRPr="00A1185B">
        <w:rPr>
          <w:sz w:val="24"/>
          <w:szCs w:val="24"/>
        </w:rPr>
        <w:t>nebankových subjektov (2 834 tis. eur)</w:t>
      </w:r>
      <w:r>
        <w:rPr>
          <w:sz w:val="24"/>
          <w:szCs w:val="24"/>
        </w:rPr>
        <w:t>.</w:t>
      </w:r>
      <w:r w:rsidRPr="00A1185B">
        <w:rPr>
          <w:sz w:val="24"/>
          <w:szCs w:val="24"/>
        </w:rPr>
        <w:t xml:space="preserve"> Dlh dopravných podnikov majoritne tvoria záväzky so</w:t>
      </w:r>
      <w:r w:rsidR="00C35517">
        <w:rPr>
          <w:sz w:val="24"/>
          <w:szCs w:val="24"/>
        </w:rPr>
        <w:t> </w:t>
      </w:r>
      <w:r w:rsidRPr="00A1185B">
        <w:rPr>
          <w:sz w:val="24"/>
          <w:szCs w:val="24"/>
        </w:rPr>
        <w:t>splatnosťou dlhšou ako jeden rok (90,9 %), voči tuzemským veriteľom (100,0 %).</w:t>
      </w:r>
    </w:p>
    <w:p w14:paraId="311AC1D2" w14:textId="2574646F" w:rsidR="009A05C7" w:rsidRPr="00AD12E2" w:rsidRDefault="009A05C7" w:rsidP="009A05C7">
      <w:pPr>
        <w:spacing w:line="240" w:lineRule="auto"/>
        <w:rPr>
          <w:sz w:val="24"/>
          <w:szCs w:val="24"/>
          <w:highlight w:val="yellow"/>
        </w:rPr>
      </w:pPr>
      <w:r w:rsidRPr="00F00396">
        <w:rPr>
          <w:sz w:val="24"/>
          <w:szCs w:val="24"/>
        </w:rPr>
        <w:t xml:space="preserve">Bankové úvery čerpajú dopravné podniky za účelom </w:t>
      </w:r>
      <w:r>
        <w:rPr>
          <w:sz w:val="24"/>
          <w:szCs w:val="24"/>
        </w:rPr>
        <w:t>financovania projektov</w:t>
      </w:r>
      <w:r w:rsidRPr="00F00396">
        <w:rPr>
          <w:sz w:val="24"/>
          <w:szCs w:val="24"/>
        </w:rPr>
        <w:t xml:space="preserve"> obnovy vozového parku (autobusy, trolejbusy, električky) ako aj </w:t>
      </w:r>
      <w:r>
        <w:rPr>
          <w:sz w:val="24"/>
          <w:szCs w:val="24"/>
        </w:rPr>
        <w:t xml:space="preserve">modernizáciu a rozširovanie </w:t>
      </w:r>
      <w:r w:rsidRPr="00F00396">
        <w:rPr>
          <w:sz w:val="24"/>
          <w:szCs w:val="24"/>
        </w:rPr>
        <w:t>prislúchajúcej infraštruktúry (</w:t>
      </w:r>
      <w:r>
        <w:rPr>
          <w:sz w:val="24"/>
          <w:szCs w:val="24"/>
        </w:rPr>
        <w:t>nové električkové trate</w:t>
      </w:r>
      <w:r w:rsidRPr="00F00396">
        <w:rPr>
          <w:sz w:val="24"/>
          <w:szCs w:val="24"/>
        </w:rPr>
        <w:t>, depá a podobne). Väčšina z komerčných úverov má zároveň dojednanú formu zabezpečenia v podobe nakúpeného dlhodobého majetku alebo peňažnými pohľadávkami z obchodného styku (napr.</w:t>
      </w:r>
      <w:r w:rsidR="00C35517">
        <w:rPr>
          <w:sz w:val="24"/>
          <w:szCs w:val="24"/>
        </w:rPr>
        <w:t xml:space="preserve"> zo </w:t>
      </w:r>
      <w:r w:rsidRPr="00F00396">
        <w:rPr>
          <w:sz w:val="24"/>
          <w:szCs w:val="24"/>
        </w:rPr>
        <w:t>zmlúv o službách v mestskej hromadnej doprave).</w:t>
      </w:r>
    </w:p>
    <w:p w14:paraId="12EAC6FE" w14:textId="77777777" w:rsidR="005115FB" w:rsidRDefault="005115FB">
      <w:pPr>
        <w:spacing w:after="160" w:line="259" w:lineRule="auto"/>
        <w:jc w:val="left"/>
        <w:rPr>
          <w:rFonts w:eastAsiaTheme="majorEastAsia" w:cstheme="majorBidi"/>
          <w:b/>
          <w:sz w:val="24"/>
          <w:szCs w:val="26"/>
        </w:rPr>
      </w:pPr>
      <w:bookmarkStart w:id="76" w:name="_Toc196314129"/>
      <w:bookmarkStart w:id="77" w:name="_Toc6415639"/>
      <w:bookmarkStart w:id="78" w:name="_Toc132929083"/>
      <w:r>
        <w:br w:type="page"/>
      </w:r>
    </w:p>
    <w:p w14:paraId="6A8A7139" w14:textId="2405F092" w:rsidR="009A05C7" w:rsidRPr="006A0618" w:rsidRDefault="009A05C7" w:rsidP="009A05C7">
      <w:pPr>
        <w:pStyle w:val="Nadpis2"/>
        <w:ind w:left="567"/>
      </w:pPr>
      <w:r w:rsidRPr="006A0618">
        <w:lastRenderedPageBreak/>
        <w:t>Limity verejných výdavkov</w:t>
      </w:r>
      <w:bookmarkEnd w:id="76"/>
    </w:p>
    <w:p w14:paraId="5C26930A" w14:textId="41E556E5" w:rsidR="009A05C7" w:rsidRDefault="009A05C7" w:rsidP="009A05C7">
      <w:pPr>
        <w:spacing w:line="240" w:lineRule="auto"/>
        <w:rPr>
          <w:sz w:val="24"/>
          <w:szCs w:val="24"/>
        </w:rPr>
      </w:pPr>
      <w:r>
        <w:rPr>
          <w:sz w:val="24"/>
          <w:szCs w:val="24"/>
        </w:rPr>
        <w:t>Zákonom č. </w:t>
      </w:r>
      <w:r w:rsidRPr="006040DA">
        <w:rPr>
          <w:sz w:val="24"/>
          <w:szCs w:val="24"/>
        </w:rPr>
        <w:t>118/2024</w:t>
      </w:r>
      <w:r>
        <w:rPr>
          <w:sz w:val="24"/>
          <w:szCs w:val="24"/>
        </w:rPr>
        <w:t> </w:t>
      </w:r>
      <w:r w:rsidRPr="006040DA">
        <w:rPr>
          <w:sz w:val="24"/>
          <w:szCs w:val="24"/>
        </w:rPr>
        <w:t>Z.</w:t>
      </w:r>
      <w:r>
        <w:rPr>
          <w:sz w:val="24"/>
          <w:szCs w:val="24"/>
        </w:rPr>
        <w:t> </w:t>
      </w:r>
      <w:r w:rsidRPr="006040DA">
        <w:rPr>
          <w:sz w:val="24"/>
          <w:szCs w:val="24"/>
        </w:rPr>
        <w:t xml:space="preserve">z., ktorým sa mení a dopĺňa zákon </w:t>
      </w:r>
      <w:r w:rsidR="008E1B82">
        <w:rPr>
          <w:sz w:val="24"/>
          <w:szCs w:val="24"/>
        </w:rPr>
        <w:t>o rozpočtových pravidlách</w:t>
      </w:r>
      <w:r w:rsidRPr="006040DA">
        <w:rPr>
          <w:sz w:val="24"/>
          <w:szCs w:val="24"/>
        </w:rPr>
        <w:t> sa stanovil limit verejných výdavkov na rok 2024 na úrovni 57</w:t>
      </w:r>
      <w:r>
        <w:rPr>
          <w:sz w:val="24"/>
          <w:szCs w:val="24"/>
        </w:rPr>
        <w:t> </w:t>
      </w:r>
      <w:r w:rsidRPr="006040DA">
        <w:rPr>
          <w:sz w:val="24"/>
          <w:szCs w:val="24"/>
        </w:rPr>
        <w:t>717</w:t>
      </w:r>
      <w:r>
        <w:rPr>
          <w:sz w:val="24"/>
          <w:szCs w:val="24"/>
        </w:rPr>
        <w:t> 011 tis. </w:t>
      </w:r>
      <w:r w:rsidRPr="006040DA">
        <w:rPr>
          <w:sz w:val="24"/>
          <w:szCs w:val="24"/>
        </w:rPr>
        <w:t>eur, ktorý zahŕňa maximálnu výšku časovo rozlíšených konsolidovaných výdavkov verejnej správy v jednotnej metodike platnej pre Európsku úniu bez</w:t>
      </w:r>
      <w:r>
        <w:rPr>
          <w:sz w:val="24"/>
          <w:szCs w:val="24"/>
        </w:rPr>
        <w:t> </w:t>
      </w:r>
      <w:r w:rsidRPr="006040DA">
        <w:rPr>
          <w:sz w:val="24"/>
          <w:szCs w:val="24"/>
        </w:rPr>
        <w:t>úrokových výdavkov, prostriedkov z rozpočtu Európskej únie, prostriedkov mechanizmu na</w:t>
      </w:r>
      <w:r>
        <w:rPr>
          <w:sz w:val="24"/>
          <w:szCs w:val="24"/>
        </w:rPr>
        <w:t> </w:t>
      </w:r>
      <w:r w:rsidRPr="006040DA">
        <w:rPr>
          <w:sz w:val="24"/>
          <w:szCs w:val="24"/>
        </w:rPr>
        <w:t>podporu obnovy a odolnosti, cyklických výdavkov na dávky v nezamestnanosti a jednorazových výdavkov.</w:t>
      </w:r>
    </w:p>
    <w:p w14:paraId="780C98D0" w14:textId="351EFFEF" w:rsidR="00051AED" w:rsidRDefault="00051AED" w:rsidP="009A05C7">
      <w:pPr>
        <w:spacing w:line="240" w:lineRule="auto"/>
        <w:rPr>
          <w:sz w:val="24"/>
          <w:szCs w:val="24"/>
        </w:rPr>
      </w:pPr>
      <w:r>
        <w:rPr>
          <w:sz w:val="24"/>
          <w:szCs w:val="24"/>
        </w:rPr>
        <w:t>Podľa §</w:t>
      </w:r>
      <w:r w:rsidR="00C35517">
        <w:rPr>
          <w:sz w:val="24"/>
          <w:szCs w:val="24"/>
        </w:rPr>
        <w:t> </w:t>
      </w:r>
      <w:r>
        <w:rPr>
          <w:sz w:val="24"/>
          <w:szCs w:val="24"/>
        </w:rPr>
        <w:t>29a zákona o rozpočtových pravidlách sa informácia o plnení limitu verejných výdavkov zverejňuje v Súhrnnej výročnej správe, ktorá obsahuje údaje na základe jesennej notifikácie výsledkov hospodárenia v metodike ESA (druhé kolo spresňujúce predbežné výsledky prezentované v Štátnom záverečnom účte na základe jarnej notifikáci</w:t>
      </w:r>
      <w:r w:rsidR="00B62F98">
        <w:rPr>
          <w:sz w:val="24"/>
          <w:szCs w:val="24"/>
        </w:rPr>
        <w:t>e</w:t>
      </w:r>
      <w:r>
        <w:rPr>
          <w:sz w:val="24"/>
          <w:szCs w:val="24"/>
        </w:rPr>
        <w:t>), ktorú Ministerst</w:t>
      </w:r>
      <w:r w:rsidR="00C35517">
        <w:rPr>
          <w:sz w:val="24"/>
          <w:szCs w:val="24"/>
        </w:rPr>
        <w:t>vo financií SR zostavuje do 31. </w:t>
      </w:r>
      <w:r>
        <w:rPr>
          <w:sz w:val="24"/>
          <w:szCs w:val="24"/>
        </w:rPr>
        <w:t xml:space="preserve">októbra bežného rozpočtového roka. </w:t>
      </w:r>
      <w:r w:rsidRPr="00051AED">
        <w:rPr>
          <w:sz w:val="24"/>
          <w:szCs w:val="24"/>
          <w:u w:val="single"/>
        </w:rPr>
        <w:t>Hodnot</w:t>
      </w:r>
      <w:r>
        <w:rPr>
          <w:sz w:val="24"/>
          <w:szCs w:val="24"/>
          <w:u w:val="single"/>
        </w:rPr>
        <w:t>a</w:t>
      </w:r>
      <w:r w:rsidRPr="00051AED">
        <w:rPr>
          <w:sz w:val="24"/>
          <w:szCs w:val="24"/>
          <w:u w:val="single"/>
        </w:rPr>
        <w:t xml:space="preserve"> verejných výdavkov spadajúcich pod limit verejných výdavkov prezentovan</w:t>
      </w:r>
      <w:r>
        <w:rPr>
          <w:sz w:val="24"/>
          <w:szCs w:val="24"/>
          <w:u w:val="single"/>
        </w:rPr>
        <w:t>á</w:t>
      </w:r>
      <w:r w:rsidRPr="00051AED">
        <w:rPr>
          <w:sz w:val="24"/>
          <w:szCs w:val="24"/>
          <w:u w:val="single"/>
        </w:rPr>
        <w:t xml:space="preserve"> v tomto Štátnom záverečnom účte </w:t>
      </w:r>
      <w:r>
        <w:rPr>
          <w:sz w:val="24"/>
          <w:szCs w:val="24"/>
          <w:u w:val="single"/>
        </w:rPr>
        <w:t>vychádza z predbežných údajov</w:t>
      </w:r>
      <w:r w:rsidR="00CD3619">
        <w:rPr>
          <w:sz w:val="24"/>
          <w:szCs w:val="24"/>
          <w:u w:val="single"/>
        </w:rPr>
        <w:t>, ktorá sa bude následne spresňovať.</w:t>
      </w:r>
    </w:p>
    <w:p w14:paraId="4EE3BFB9" w14:textId="77777777" w:rsidR="009A05C7" w:rsidRPr="00557EE6" w:rsidRDefault="009A05C7" w:rsidP="009A05C7">
      <w:pPr>
        <w:spacing w:line="240" w:lineRule="auto"/>
        <w:rPr>
          <w:b/>
          <w:bCs/>
          <w:sz w:val="24"/>
          <w:szCs w:val="24"/>
        </w:rPr>
      </w:pPr>
      <w:r>
        <w:rPr>
          <w:b/>
          <w:bCs/>
          <w:sz w:val="24"/>
          <w:szCs w:val="24"/>
        </w:rPr>
        <w:t>Verejné výdavky spadajúce pod l</w:t>
      </w:r>
      <w:r w:rsidRPr="00557EE6">
        <w:rPr>
          <w:b/>
          <w:bCs/>
          <w:sz w:val="24"/>
          <w:szCs w:val="24"/>
        </w:rPr>
        <w:t xml:space="preserve">imit verejných výdavkov </w:t>
      </w:r>
      <w:r>
        <w:rPr>
          <w:b/>
          <w:bCs/>
          <w:sz w:val="24"/>
          <w:szCs w:val="24"/>
        </w:rPr>
        <w:t>dosiahli v roku</w:t>
      </w:r>
      <w:r w:rsidRPr="00557EE6">
        <w:rPr>
          <w:b/>
          <w:bCs/>
          <w:sz w:val="24"/>
          <w:szCs w:val="24"/>
        </w:rPr>
        <w:t xml:space="preserve"> 2024 </w:t>
      </w:r>
      <w:r>
        <w:rPr>
          <w:b/>
          <w:bCs/>
          <w:sz w:val="24"/>
          <w:szCs w:val="24"/>
        </w:rPr>
        <w:t>celkovú hodnotu</w:t>
      </w:r>
      <w:r w:rsidRPr="00557EE6">
        <w:rPr>
          <w:b/>
          <w:bCs/>
          <w:sz w:val="24"/>
          <w:szCs w:val="24"/>
        </w:rPr>
        <w:t xml:space="preserve"> </w:t>
      </w:r>
      <w:r w:rsidRPr="004A0F6C">
        <w:rPr>
          <w:b/>
          <w:bCs/>
          <w:sz w:val="24"/>
          <w:szCs w:val="24"/>
        </w:rPr>
        <w:t>57</w:t>
      </w:r>
      <w:r>
        <w:rPr>
          <w:b/>
          <w:bCs/>
          <w:sz w:val="24"/>
          <w:szCs w:val="24"/>
        </w:rPr>
        <w:t> 605 108 </w:t>
      </w:r>
      <w:r w:rsidRPr="00557EE6">
        <w:rPr>
          <w:b/>
          <w:bCs/>
          <w:sz w:val="24"/>
          <w:szCs w:val="24"/>
        </w:rPr>
        <w:t>tis. eur, čo predstavuje úsporu oproti zákonom stanovenému limitu o 111 903 tis. eur.</w:t>
      </w:r>
    </w:p>
    <w:p w14:paraId="71065732" w14:textId="5DCDB7E7" w:rsidR="00E575C6" w:rsidRDefault="00E575C6" w:rsidP="00E575C6">
      <w:pPr>
        <w:pStyle w:val="Popis"/>
        <w:keepNext/>
        <w:spacing w:after="120"/>
      </w:pPr>
      <w:bookmarkStart w:id="79" w:name="_Toc196313646"/>
      <w:bookmarkStart w:id="80" w:name="_Toc196389267"/>
      <w:r w:rsidRPr="00E575C6">
        <w:rPr>
          <w:rFonts w:eastAsia="Times New Roman" w:cs="Times New Roman"/>
          <w:b/>
          <w:bCs/>
          <w:i w:val="0"/>
          <w:iCs w:val="0"/>
          <w:color w:val="5B9BD5" w:themeColor="accent1"/>
          <w:sz w:val="20"/>
          <w:szCs w:val="20"/>
          <w:lang w:eastAsia="sk-SK"/>
        </w:rPr>
        <w:t xml:space="preserve">Tabuľka </w:t>
      </w:r>
      <w:r w:rsidRPr="00E575C6">
        <w:rPr>
          <w:rFonts w:eastAsia="Times New Roman" w:cs="Times New Roman"/>
          <w:b/>
          <w:bCs/>
          <w:i w:val="0"/>
          <w:iCs w:val="0"/>
          <w:color w:val="5B9BD5" w:themeColor="accent1"/>
          <w:sz w:val="20"/>
          <w:szCs w:val="20"/>
          <w:lang w:eastAsia="sk-SK"/>
        </w:rPr>
        <w:fldChar w:fldCharType="begin"/>
      </w:r>
      <w:r w:rsidRPr="00E575C6">
        <w:rPr>
          <w:rFonts w:eastAsia="Times New Roman" w:cs="Times New Roman"/>
          <w:b/>
          <w:bCs/>
          <w:i w:val="0"/>
          <w:iCs w:val="0"/>
          <w:color w:val="5B9BD5" w:themeColor="accent1"/>
          <w:sz w:val="20"/>
          <w:szCs w:val="20"/>
          <w:lang w:eastAsia="sk-SK"/>
        </w:rPr>
        <w:instrText xml:space="preserve"> SEQ Tabuľka \* ARABIC </w:instrText>
      </w:r>
      <w:r w:rsidRPr="00E575C6">
        <w:rPr>
          <w:rFonts w:eastAsia="Times New Roman" w:cs="Times New Roman"/>
          <w:b/>
          <w:bCs/>
          <w:i w:val="0"/>
          <w:iCs w:val="0"/>
          <w:color w:val="5B9BD5" w:themeColor="accent1"/>
          <w:sz w:val="20"/>
          <w:szCs w:val="20"/>
          <w:lang w:eastAsia="sk-SK"/>
        </w:rPr>
        <w:fldChar w:fldCharType="separate"/>
      </w:r>
      <w:r w:rsidR="00C64CBA">
        <w:rPr>
          <w:rFonts w:eastAsia="Times New Roman" w:cs="Times New Roman"/>
          <w:b/>
          <w:bCs/>
          <w:i w:val="0"/>
          <w:iCs w:val="0"/>
          <w:noProof/>
          <w:color w:val="5B9BD5" w:themeColor="accent1"/>
          <w:sz w:val="20"/>
          <w:szCs w:val="20"/>
          <w:lang w:eastAsia="sk-SK"/>
        </w:rPr>
        <w:t>20</w:t>
      </w:r>
      <w:r w:rsidRPr="00E575C6">
        <w:rPr>
          <w:rFonts w:eastAsia="Times New Roman" w:cs="Times New Roman"/>
          <w:b/>
          <w:bCs/>
          <w:i w:val="0"/>
          <w:iCs w:val="0"/>
          <w:color w:val="5B9BD5" w:themeColor="accent1"/>
          <w:sz w:val="20"/>
          <w:szCs w:val="20"/>
          <w:lang w:eastAsia="sk-SK"/>
        </w:rPr>
        <w:fldChar w:fldCharType="end"/>
      </w:r>
      <w:r w:rsidRPr="00E575C6">
        <w:rPr>
          <w:rFonts w:eastAsia="Times New Roman" w:cs="Times New Roman"/>
          <w:b/>
          <w:bCs/>
          <w:i w:val="0"/>
          <w:iCs w:val="0"/>
          <w:color w:val="5B9BD5" w:themeColor="accent1"/>
          <w:sz w:val="20"/>
          <w:szCs w:val="20"/>
          <w:lang w:eastAsia="sk-SK"/>
        </w:rPr>
        <w:t xml:space="preserve"> - Výdavky verejnej správy spadajúce pod LVV – skutočnosť 2024</w:t>
      </w:r>
      <w:bookmarkEnd w:id="79"/>
      <w:bookmarkEnd w:id="80"/>
    </w:p>
    <w:tbl>
      <w:tblPr>
        <w:tblW w:w="5000" w:type="pct"/>
        <w:tblCellMar>
          <w:left w:w="70" w:type="dxa"/>
          <w:right w:w="70" w:type="dxa"/>
        </w:tblCellMar>
        <w:tblLook w:val="04A0" w:firstRow="1" w:lastRow="0" w:firstColumn="1" w:lastColumn="0" w:noHBand="0" w:noVBand="1"/>
      </w:tblPr>
      <w:tblGrid>
        <w:gridCol w:w="7312"/>
        <w:gridCol w:w="1618"/>
      </w:tblGrid>
      <w:tr w:rsidR="009A05C7" w:rsidRPr="00CF1DEA" w14:paraId="56693EBF" w14:textId="77777777" w:rsidTr="000240DA">
        <w:trPr>
          <w:trHeight w:val="290"/>
          <w:tblHeader/>
        </w:trPr>
        <w:tc>
          <w:tcPr>
            <w:tcW w:w="4094" w:type="pct"/>
            <w:tcBorders>
              <w:top w:val="single" w:sz="4" w:space="0" w:color="auto"/>
              <w:left w:val="nil"/>
              <w:bottom w:val="single" w:sz="4" w:space="0" w:color="auto"/>
              <w:right w:val="nil"/>
            </w:tcBorders>
            <w:shd w:val="clear" w:color="auto" w:fill="auto"/>
            <w:vAlign w:val="center"/>
            <w:hideMark/>
          </w:tcPr>
          <w:p w14:paraId="08838264" w14:textId="77777777" w:rsidR="009A05C7" w:rsidRPr="00CF1DEA" w:rsidRDefault="009A05C7" w:rsidP="000240DA">
            <w:pPr>
              <w:spacing w:after="0" w:line="240" w:lineRule="auto"/>
              <w:jc w:val="left"/>
              <w:rPr>
                <w:rFonts w:eastAsia="Times New Roman" w:cs="Times New Roman"/>
                <w:color w:val="000000"/>
                <w:sz w:val="18"/>
                <w:szCs w:val="18"/>
                <w:lang w:eastAsia="sk-SK"/>
              </w:rPr>
            </w:pPr>
            <w:r w:rsidRPr="00CF1DEA">
              <w:rPr>
                <w:rFonts w:eastAsia="Times New Roman" w:cs="Times New Roman"/>
                <w:color w:val="000000"/>
                <w:sz w:val="18"/>
                <w:szCs w:val="18"/>
                <w:lang w:eastAsia="sk-SK"/>
              </w:rPr>
              <w:t>(v tis. eur; na akruálnej a konsolidovanej báze)</w:t>
            </w:r>
          </w:p>
        </w:tc>
        <w:tc>
          <w:tcPr>
            <w:tcW w:w="906" w:type="pct"/>
            <w:tcBorders>
              <w:top w:val="single" w:sz="4" w:space="0" w:color="auto"/>
              <w:left w:val="nil"/>
              <w:bottom w:val="single" w:sz="4" w:space="0" w:color="auto"/>
              <w:right w:val="nil"/>
            </w:tcBorders>
            <w:shd w:val="clear" w:color="auto" w:fill="auto"/>
            <w:vAlign w:val="center"/>
            <w:hideMark/>
          </w:tcPr>
          <w:p w14:paraId="382DF6FE" w14:textId="77777777" w:rsidR="009A05C7" w:rsidRPr="00CF1DEA" w:rsidRDefault="009A05C7" w:rsidP="000240DA">
            <w:pPr>
              <w:spacing w:after="0" w:line="240" w:lineRule="auto"/>
              <w:jc w:val="left"/>
              <w:rPr>
                <w:rFonts w:eastAsia="Times New Roman" w:cs="Times New Roman"/>
                <w:color w:val="000000"/>
                <w:sz w:val="18"/>
                <w:szCs w:val="18"/>
                <w:lang w:eastAsia="sk-SK"/>
              </w:rPr>
            </w:pPr>
            <w:r w:rsidRPr="00CF1DEA">
              <w:rPr>
                <w:rFonts w:eastAsia="Times New Roman" w:cs="Times New Roman"/>
                <w:color w:val="000000"/>
                <w:sz w:val="18"/>
                <w:szCs w:val="18"/>
                <w:lang w:eastAsia="sk-SK"/>
              </w:rPr>
              <w:t> </w:t>
            </w:r>
          </w:p>
        </w:tc>
      </w:tr>
      <w:tr w:rsidR="009A05C7" w:rsidRPr="00CF1DEA" w14:paraId="763622D1" w14:textId="77777777" w:rsidTr="000240DA">
        <w:trPr>
          <w:trHeight w:val="300"/>
        </w:trPr>
        <w:tc>
          <w:tcPr>
            <w:tcW w:w="4094" w:type="pct"/>
            <w:tcBorders>
              <w:top w:val="nil"/>
              <w:left w:val="nil"/>
              <w:bottom w:val="nil"/>
              <w:right w:val="nil"/>
            </w:tcBorders>
            <w:shd w:val="clear" w:color="auto" w:fill="auto"/>
            <w:noWrap/>
            <w:vAlign w:val="center"/>
            <w:hideMark/>
          </w:tcPr>
          <w:p w14:paraId="1E990260" w14:textId="77777777" w:rsidR="009A05C7" w:rsidRPr="00CF1DEA" w:rsidRDefault="009A05C7" w:rsidP="000240DA">
            <w:pPr>
              <w:spacing w:after="0" w:line="240" w:lineRule="auto"/>
              <w:jc w:val="left"/>
              <w:rPr>
                <w:rFonts w:eastAsia="Times New Roman" w:cs="Times New Roman"/>
                <w:color w:val="000000"/>
                <w:sz w:val="18"/>
                <w:szCs w:val="18"/>
                <w:lang w:eastAsia="sk-SK"/>
              </w:rPr>
            </w:pPr>
            <w:r w:rsidRPr="00CF1DEA">
              <w:rPr>
                <w:rFonts w:eastAsia="Times New Roman" w:cs="Times New Roman"/>
                <w:color w:val="000000"/>
                <w:sz w:val="18"/>
                <w:szCs w:val="18"/>
                <w:lang w:eastAsia="sk-SK"/>
              </w:rPr>
              <w:t>Výdavky rozpočtu verejnej správy</w:t>
            </w:r>
          </w:p>
        </w:tc>
        <w:tc>
          <w:tcPr>
            <w:tcW w:w="906" w:type="pct"/>
            <w:tcBorders>
              <w:top w:val="nil"/>
              <w:left w:val="nil"/>
              <w:bottom w:val="nil"/>
              <w:right w:val="nil"/>
            </w:tcBorders>
            <w:shd w:val="clear" w:color="auto" w:fill="auto"/>
            <w:noWrap/>
            <w:vAlign w:val="center"/>
            <w:hideMark/>
          </w:tcPr>
          <w:p w14:paraId="6EFCE04F" w14:textId="77777777" w:rsidR="009A05C7" w:rsidRPr="00CF1DEA" w:rsidRDefault="009A05C7" w:rsidP="000240DA">
            <w:pPr>
              <w:spacing w:after="0" w:line="240" w:lineRule="auto"/>
              <w:jc w:val="right"/>
              <w:rPr>
                <w:rFonts w:eastAsia="Times New Roman" w:cs="Times New Roman"/>
                <w:color w:val="000000"/>
                <w:sz w:val="18"/>
                <w:szCs w:val="18"/>
                <w:lang w:eastAsia="sk-SK"/>
              </w:rPr>
            </w:pPr>
            <w:r w:rsidRPr="00CF1DEA">
              <w:rPr>
                <w:rFonts w:eastAsia="Times New Roman" w:cs="Times New Roman"/>
                <w:color w:val="000000"/>
                <w:sz w:val="18"/>
                <w:szCs w:val="18"/>
                <w:lang w:eastAsia="sk-SK"/>
              </w:rPr>
              <w:t>61 713 964</w:t>
            </w:r>
          </w:p>
        </w:tc>
      </w:tr>
      <w:tr w:rsidR="009A05C7" w:rsidRPr="00CF1DEA" w14:paraId="0EEB1989" w14:textId="77777777" w:rsidTr="000240DA">
        <w:trPr>
          <w:trHeight w:val="290"/>
        </w:trPr>
        <w:tc>
          <w:tcPr>
            <w:tcW w:w="4094" w:type="pct"/>
            <w:tcBorders>
              <w:top w:val="nil"/>
              <w:left w:val="nil"/>
              <w:bottom w:val="nil"/>
              <w:right w:val="nil"/>
            </w:tcBorders>
            <w:shd w:val="clear" w:color="auto" w:fill="auto"/>
            <w:noWrap/>
            <w:vAlign w:val="center"/>
            <w:hideMark/>
          </w:tcPr>
          <w:p w14:paraId="15E2B054" w14:textId="77777777" w:rsidR="009A05C7" w:rsidRPr="00CF1DEA" w:rsidRDefault="009A05C7" w:rsidP="000240DA">
            <w:pPr>
              <w:spacing w:after="0" w:line="240" w:lineRule="auto"/>
              <w:jc w:val="left"/>
              <w:rPr>
                <w:rFonts w:eastAsia="Times New Roman" w:cs="Times New Roman"/>
                <w:color w:val="000000"/>
                <w:sz w:val="18"/>
                <w:szCs w:val="18"/>
                <w:lang w:eastAsia="sk-SK"/>
              </w:rPr>
            </w:pPr>
            <w:r w:rsidRPr="00CF1DEA">
              <w:rPr>
                <w:rFonts w:eastAsia="Times New Roman" w:cs="Times New Roman"/>
                <w:color w:val="000000"/>
                <w:sz w:val="18"/>
                <w:szCs w:val="18"/>
                <w:lang w:eastAsia="sk-SK"/>
              </w:rPr>
              <w:t>Úrokové náklady</w:t>
            </w:r>
          </w:p>
        </w:tc>
        <w:tc>
          <w:tcPr>
            <w:tcW w:w="906" w:type="pct"/>
            <w:tcBorders>
              <w:top w:val="nil"/>
              <w:left w:val="nil"/>
              <w:bottom w:val="nil"/>
              <w:right w:val="nil"/>
            </w:tcBorders>
            <w:shd w:val="clear" w:color="auto" w:fill="auto"/>
            <w:noWrap/>
            <w:vAlign w:val="center"/>
            <w:hideMark/>
          </w:tcPr>
          <w:p w14:paraId="3493387E" w14:textId="77777777" w:rsidR="009A05C7" w:rsidRPr="00CF1DEA" w:rsidRDefault="009A05C7" w:rsidP="000240DA">
            <w:pPr>
              <w:spacing w:after="0" w:line="240" w:lineRule="auto"/>
              <w:jc w:val="right"/>
              <w:rPr>
                <w:rFonts w:eastAsia="Times New Roman" w:cs="Times New Roman"/>
                <w:color w:val="000000"/>
                <w:sz w:val="18"/>
                <w:szCs w:val="18"/>
                <w:lang w:eastAsia="sk-SK"/>
              </w:rPr>
            </w:pPr>
            <w:r w:rsidRPr="00CF1DEA">
              <w:rPr>
                <w:rFonts w:eastAsia="Times New Roman" w:cs="Times New Roman"/>
                <w:color w:val="000000"/>
                <w:sz w:val="18"/>
                <w:szCs w:val="18"/>
                <w:lang w:eastAsia="sk-SK"/>
              </w:rPr>
              <w:t>-1 848 880</w:t>
            </w:r>
          </w:p>
        </w:tc>
      </w:tr>
      <w:tr w:rsidR="009A05C7" w:rsidRPr="00CF1DEA" w14:paraId="530B05AF" w14:textId="77777777" w:rsidTr="000240DA">
        <w:trPr>
          <w:trHeight w:val="290"/>
        </w:trPr>
        <w:tc>
          <w:tcPr>
            <w:tcW w:w="4094" w:type="pct"/>
            <w:tcBorders>
              <w:top w:val="nil"/>
              <w:left w:val="nil"/>
              <w:bottom w:val="nil"/>
              <w:right w:val="nil"/>
            </w:tcBorders>
            <w:shd w:val="clear" w:color="auto" w:fill="auto"/>
            <w:noWrap/>
            <w:vAlign w:val="center"/>
            <w:hideMark/>
          </w:tcPr>
          <w:p w14:paraId="6C3F557D" w14:textId="77777777" w:rsidR="009A05C7" w:rsidRPr="00CF1DEA" w:rsidRDefault="009A05C7" w:rsidP="000240DA">
            <w:pPr>
              <w:spacing w:after="0" w:line="240" w:lineRule="auto"/>
              <w:jc w:val="left"/>
              <w:rPr>
                <w:rFonts w:eastAsia="Times New Roman" w:cs="Times New Roman"/>
                <w:color w:val="000000"/>
                <w:sz w:val="18"/>
                <w:szCs w:val="18"/>
                <w:lang w:eastAsia="sk-SK"/>
              </w:rPr>
            </w:pPr>
            <w:r w:rsidRPr="00CF1DEA">
              <w:rPr>
                <w:rFonts w:eastAsia="Times New Roman" w:cs="Times New Roman"/>
                <w:color w:val="000000"/>
                <w:sz w:val="18"/>
                <w:szCs w:val="18"/>
                <w:lang w:eastAsia="sk-SK"/>
              </w:rPr>
              <w:t>Prostriedky z rozpočtu Európskej únie</w:t>
            </w:r>
          </w:p>
        </w:tc>
        <w:tc>
          <w:tcPr>
            <w:tcW w:w="906" w:type="pct"/>
            <w:tcBorders>
              <w:top w:val="nil"/>
              <w:left w:val="nil"/>
              <w:bottom w:val="nil"/>
              <w:right w:val="nil"/>
            </w:tcBorders>
            <w:shd w:val="clear" w:color="auto" w:fill="auto"/>
            <w:noWrap/>
            <w:vAlign w:val="center"/>
            <w:hideMark/>
          </w:tcPr>
          <w:p w14:paraId="54BF8981" w14:textId="77777777" w:rsidR="009A05C7" w:rsidRPr="00CF1DEA" w:rsidRDefault="009A05C7" w:rsidP="000240DA">
            <w:pPr>
              <w:spacing w:after="0" w:line="240" w:lineRule="auto"/>
              <w:jc w:val="right"/>
              <w:rPr>
                <w:rFonts w:eastAsia="Times New Roman" w:cs="Times New Roman"/>
                <w:color w:val="000000"/>
                <w:sz w:val="18"/>
                <w:szCs w:val="18"/>
                <w:lang w:eastAsia="sk-SK"/>
              </w:rPr>
            </w:pPr>
            <w:r w:rsidRPr="00CF1DEA">
              <w:rPr>
                <w:rFonts w:eastAsia="Times New Roman" w:cs="Times New Roman"/>
                <w:color w:val="000000"/>
                <w:sz w:val="18"/>
                <w:szCs w:val="18"/>
                <w:lang w:eastAsia="sk-SK"/>
              </w:rPr>
              <w:t>-1 395 069</w:t>
            </w:r>
          </w:p>
        </w:tc>
      </w:tr>
      <w:tr w:rsidR="009A05C7" w:rsidRPr="00CF1DEA" w14:paraId="68AFCEC7" w14:textId="77777777" w:rsidTr="000240DA">
        <w:trPr>
          <w:trHeight w:val="290"/>
        </w:trPr>
        <w:tc>
          <w:tcPr>
            <w:tcW w:w="4094" w:type="pct"/>
            <w:tcBorders>
              <w:top w:val="nil"/>
              <w:left w:val="nil"/>
              <w:bottom w:val="nil"/>
              <w:right w:val="nil"/>
            </w:tcBorders>
            <w:shd w:val="clear" w:color="auto" w:fill="auto"/>
            <w:noWrap/>
            <w:vAlign w:val="center"/>
            <w:hideMark/>
          </w:tcPr>
          <w:p w14:paraId="68E5F306" w14:textId="77777777" w:rsidR="009A05C7" w:rsidRPr="00CF1DEA" w:rsidRDefault="009A05C7" w:rsidP="000240DA">
            <w:pPr>
              <w:spacing w:after="0" w:line="240" w:lineRule="auto"/>
              <w:jc w:val="left"/>
              <w:rPr>
                <w:rFonts w:eastAsia="Times New Roman" w:cs="Times New Roman"/>
                <w:color w:val="000000"/>
                <w:sz w:val="18"/>
                <w:szCs w:val="18"/>
                <w:lang w:eastAsia="sk-SK"/>
              </w:rPr>
            </w:pPr>
            <w:r w:rsidRPr="00CF1DEA">
              <w:rPr>
                <w:rFonts w:eastAsia="Times New Roman" w:cs="Times New Roman"/>
                <w:color w:val="000000"/>
                <w:sz w:val="18"/>
                <w:szCs w:val="18"/>
                <w:lang w:eastAsia="sk-SK"/>
              </w:rPr>
              <w:t>Prostriedky mechanizmu na podporu obnovy a odolnosti</w:t>
            </w:r>
          </w:p>
        </w:tc>
        <w:tc>
          <w:tcPr>
            <w:tcW w:w="906" w:type="pct"/>
            <w:tcBorders>
              <w:top w:val="nil"/>
              <w:left w:val="nil"/>
              <w:bottom w:val="nil"/>
              <w:right w:val="nil"/>
            </w:tcBorders>
            <w:shd w:val="clear" w:color="auto" w:fill="auto"/>
            <w:noWrap/>
            <w:vAlign w:val="center"/>
            <w:hideMark/>
          </w:tcPr>
          <w:p w14:paraId="58A90EF6" w14:textId="77777777" w:rsidR="009A05C7" w:rsidRPr="00CF1DEA" w:rsidRDefault="009A05C7" w:rsidP="000240DA">
            <w:pPr>
              <w:spacing w:after="0" w:line="240" w:lineRule="auto"/>
              <w:jc w:val="right"/>
              <w:rPr>
                <w:rFonts w:eastAsia="Times New Roman" w:cs="Times New Roman"/>
                <w:color w:val="000000"/>
                <w:sz w:val="18"/>
                <w:szCs w:val="18"/>
                <w:lang w:eastAsia="sk-SK"/>
              </w:rPr>
            </w:pPr>
            <w:r w:rsidRPr="00CF1DEA">
              <w:rPr>
                <w:rFonts w:eastAsia="Times New Roman" w:cs="Times New Roman"/>
                <w:color w:val="000000"/>
                <w:sz w:val="18"/>
                <w:szCs w:val="18"/>
                <w:lang w:eastAsia="sk-SK"/>
              </w:rPr>
              <w:t>-859 655</w:t>
            </w:r>
          </w:p>
        </w:tc>
      </w:tr>
      <w:tr w:rsidR="009A05C7" w:rsidRPr="00CF1DEA" w14:paraId="1DDF39E5" w14:textId="77777777" w:rsidTr="000240DA">
        <w:trPr>
          <w:trHeight w:val="290"/>
        </w:trPr>
        <w:tc>
          <w:tcPr>
            <w:tcW w:w="4094" w:type="pct"/>
            <w:tcBorders>
              <w:top w:val="nil"/>
              <w:left w:val="nil"/>
              <w:bottom w:val="nil"/>
              <w:right w:val="nil"/>
            </w:tcBorders>
            <w:shd w:val="clear" w:color="auto" w:fill="auto"/>
            <w:noWrap/>
            <w:vAlign w:val="center"/>
            <w:hideMark/>
          </w:tcPr>
          <w:p w14:paraId="3B9C9936" w14:textId="77777777" w:rsidR="009A05C7" w:rsidRPr="00CF1DEA" w:rsidRDefault="009A05C7" w:rsidP="000240DA">
            <w:pPr>
              <w:spacing w:after="0" w:line="240" w:lineRule="auto"/>
              <w:jc w:val="left"/>
              <w:rPr>
                <w:rFonts w:eastAsia="Times New Roman" w:cs="Times New Roman"/>
                <w:color w:val="000000"/>
                <w:sz w:val="18"/>
                <w:szCs w:val="18"/>
                <w:lang w:eastAsia="sk-SK"/>
              </w:rPr>
            </w:pPr>
            <w:r w:rsidRPr="00CF1DEA">
              <w:rPr>
                <w:rFonts w:eastAsia="Times New Roman" w:cs="Times New Roman"/>
                <w:color w:val="000000"/>
                <w:sz w:val="18"/>
                <w:szCs w:val="18"/>
                <w:lang w:eastAsia="sk-SK"/>
              </w:rPr>
              <w:t xml:space="preserve">Cyklické výdavky na dávky v nezamestnanosti </w:t>
            </w:r>
          </w:p>
        </w:tc>
        <w:tc>
          <w:tcPr>
            <w:tcW w:w="906" w:type="pct"/>
            <w:tcBorders>
              <w:top w:val="nil"/>
              <w:left w:val="nil"/>
              <w:bottom w:val="nil"/>
              <w:right w:val="nil"/>
            </w:tcBorders>
            <w:shd w:val="clear" w:color="auto" w:fill="auto"/>
            <w:noWrap/>
            <w:vAlign w:val="center"/>
            <w:hideMark/>
          </w:tcPr>
          <w:p w14:paraId="01AE7C32" w14:textId="77777777" w:rsidR="009A05C7" w:rsidRPr="00CF1DEA" w:rsidRDefault="009A05C7" w:rsidP="000240DA">
            <w:pPr>
              <w:spacing w:after="0" w:line="240" w:lineRule="auto"/>
              <w:jc w:val="right"/>
              <w:rPr>
                <w:rFonts w:eastAsia="Times New Roman" w:cs="Times New Roman"/>
                <w:color w:val="000000"/>
                <w:sz w:val="18"/>
                <w:szCs w:val="18"/>
                <w:lang w:eastAsia="sk-SK"/>
              </w:rPr>
            </w:pPr>
            <w:r w:rsidRPr="00CF1DEA">
              <w:rPr>
                <w:rFonts w:eastAsia="Times New Roman" w:cs="Times New Roman"/>
                <w:color w:val="000000"/>
                <w:sz w:val="18"/>
                <w:szCs w:val="18"/>
                <w:lang w:eastAsia="sk-SK"/>
              </w:rPr>
              <w:t>-5 252</w:t>
            </w:r>
          </w:p>
        </w:tc>
      </w:tr>
      <w:tr w:rsidR="009A05C7" w:rsidRPr="00CF1DEA" w14:paraId="30685DF7" w14:textId="77777777" w:rsidTr="000240DA">
        <w:trPr>
          <w:trHeight w:val="290"/>
        </w:trPr>
        <w:tc>
          <w:tcPr>
            <w:tcW w:w="4094" w:type="pct"/>
            <w:tcBorders>
              <w:top w:val="nil"/>
              <w:left w:val="nil"/>
              <w:bottom w:val="single" w:sz="4" w:space="0" w:color="auto"/>
              <w:right w:val="nil"/>
            </w:tcBorders>
            <w:shd w:val="clear" w:color="auto" w:fill="auto"/>
            <w:noWrap/>
            <w:vAlign w:val="center"/>
            <w:hideMark/>
          </w:tcPr>
          <w:p w14:paraId="17BCD4B9" w14:textId="77777777" w:rsidR="009A05C7" w:rsidRPr="00CF1DEA" w:rsidRDefault="009A05C7" w:rsidP="000240DA">
            <w:pPr>
              <w:spacing w:after="0" w:line="240" w:lineRule="auto"/>
              <w:jc w:val="left"/>
              <w:rPr>
                <w:rFonts w:eastAsia="Times New Roman" w:cs="Times New Roman"/>
                <w:color w:val="000000"/>
                <w:sz w:val="18"/>
                <w:szCs w:val="18"/>
                <w:lang w:eastAsia="sk-SK"/>
              </w:rPr>
            </w:pPr>
            <w:r w:rsidRPr="00CF1DEA">
              <w:rPr>
                <w:rFonts w:eastAsia="Times New Roman" w:cs="Times New Roman"/>
                <w:color w:val="000000"/>
                <w:sz w:val="18"/>
                <w:szCs w:val="18"/>
                <w:lang w:eastAsia="sk-SK"/>
              </w:rPr>
              <w:t>Jednorazové výdavky</w:t>
            </w:r>
          </w:p>
        </w:tc>
        <w:tc>
          <w:tcPr>
            <w:tcW w:w="906" w:type="pct"/>
            <w:tcBorders>
              <w:top w:val="nil"/>
              <w:left w:val="nil"/>
              <w:bottom w:val="single" w:sz="4" w:space="0" w:color="auto"/>
              <w:right w:val="nil"/>
            </w:tcBorders>
            <w:shd w:val="clear" w:color="auto" w:fill="auto"/>
            <w:noWrap/>
            <w:vAlign w:val="center"/>
            <w:hideMark/>
          </w:tcPr>
          <w:p w14:paraId="42396F1C" w14:textId="77777777" w:rsidR="009A05C7" w:rsidRPr="00CF1DEA" w:rsidRDefault="009A05C7" w:rsidP="000240DA">
            <w:pPr>
              <w:spacing w:after="0" w:line="240" w:lineRule="auto"/>
              <w:jc w:val="right"/>
              <w:rPr>
                <w:rFonts w:eastAsia="Times New Roman" w:cs="Times New Roman"/>
                <w:color w:val="000000"/>
                <w:sz w:val="18"/>
                <w:szCs w:val="18"/>
                <w:lang w:eastAsia="sk-SK"/>
              </w:rPr>
            </w:pPr>
            <w:r w:rsidRPr="00CF1DEA">
              <w:rPr>
                <w:rFonts w:eastAsia="Times New Roman" w:cs="Times New Roman"/>
                <w:color w:val="000000"/>
                <w:sz w:val="18"/>
                <w:szCs w:val="18"/>
                <w:lang w:eastAsia="sk-SK"/>
              </w:rPr>
              <w:t>0</w:t>
            </w:r>
          </w:p>
        </w:tc>
      </w:tr>
      <w:tr w:rsidR="009A05C7" w:rsidRPr="00F60902" w14:paraId="17BE0BD3" w14:textId="77777777" w:rsidTr="000240DA">
        <w:trPr>
          <w:trHeight w:val="290"/>
        </w:trPr>
        <w:tc>
          <w:tcPr>
            <w:tcW w:w="4094" w:type="pct"/>
            <w:tcBorders>
              <w:top w:val="single" w:sz="4" w:space="0" w:color="auto"/>
              <w:left w:val="nil"/>
              <w:bottom w:val="single" w:sz="4" w:space="0" w:color="auto"/>
              <w:right w:val="nil"/>
            </w:tcBorders>
            <w:shd w:val="clear" w:color="auto" w:fill="auto"/>
            <w:noWrap/>
            <w:vAlign w:val="center"/>
            <w:hideMark/>
          </w:tcPr>
          <w:p w14:paraId="2EE98993" w14:textId="77777777" w:rsidR="009A05C7" w:rsidRPr="00F60902" w:rsidRDefault="009A05C7" w:rsidP="000240DA">
            <w:pPr>
              <w:spacing w:after="0" w:line="240" w:lineRule="auto"/>
              <w:jc w:val="left"/>
              <w:rPr>
                <w:rFonts w:eastAsia="Times New Roman" w:cs="Times New Roman"/>
                <w:b/>
                <w:bCs/>
                <w:color w:val="000000"/>
                <w:sz w:val="18"/>
                <w:szCs w:val="18"/>
                <w:lang w:eastAsia="sk-SK"/>
              </w:rPr>
            </w:pPr>
            <w:r w:rsidRPr="00F60902">
              <w:rPr>
                <w:rFonts w:eastAsia="Times New Roman" w:cs="Times New Roman"/>
                <w:b/>
                <w:bCs/>
                <w:sz w:val="18"/>
                <w:szCs w:val="18"/>
                <w:lang w:eastAsia="sk-SK"/>
              </w:rPr>
              <w:t>Výdavky verejnej správy spadajúce pod LVV</w:t>
            </w:r>
          </w:p>
        </w:tc>
        <w:tc>
          <w:tcPr>
            <w:tcW w:w="906" w:type="pct"/>
            <w:tcBorders>
              <w:top w:val="single" w:sz="4" w:space="0" w:color="auto"/>
              <w:left w:val="nil"/>
              <w:bottom w:val="single" w:sz="4" w:space="0" w:color="auto"/>
              <w:right w:val="nil"/>
            </w:tcBorders>
            <w:shd w:val="clear" w:color="auto" w:fill="auto"/>
            <w:noWrap/>
            <w:vAlign w:val="center"/>
            <w:hideMark/>
          </w:tcPr>
          <w:p w14:paraId="504F92C2" w14:textId="77777777" w:rsidR="009A05C7" w:rsidRPr="00F60902" w:rsidRDefault="009A05C7" w:rsidP="000240DA">
            <w:pPr>
              <w:spacing w:after="0" w:line="240" w:lineRule="auto"/>
              <w:jc w:val="right"/>
              <w:rPr>
                <w:rFonts w:eastAsia="Times New Roman" w:cs="Times New Roman"/>
                <w:b/>
                <w:bCs/>
                <w:color w:val="000000"/>
                <w:sz w:val="18"/>
                <w:szCs w:val="18"/>
                <w:lang w:eastAsia="sk-SK"/>
              </w:rPr>
            </w:pPr>
            <w:r w:rsidRPr="00F60902">
              <w:rPr>
                <w:rFonts w:eastAsia="Times New Roman" w:cs="Times New Roman"/>
                <w:b/>
                <w:bCs/>
                <w:color w:val="000000"/>
                <w:sz w:val="18"/>
                <w:szCs w:val="18"/>
                <w:lang w:eastAsia="sk-SK"/>
              </w:rPr>
              <w:t>57 605 108</w:t>
            </w:r>
          </w:p>
        </w:tc>
      </w:tr>
      <w:tr w:rsidR="009A05C7" w:rsidRPr="00CF1DEA" w14:paraId="38A33D60" w14:textId="77777777" w:rsidTr="000240DA">
        <w:trPr>
          <w:trHeight w:val="290"/>
        </w:trPr>
        <w:tc>
          <w:tcPr>
            <w:tcW w:w="4094" w:type="pct"/>
            <w:tcBorders>
              <w:top w:val="single" w:sz="4" w:space="0" w:color="auto"/>
              <w:left w:val="nil"/>
              <w:bottom w:val="single" w:sz="4" w:space="0" w:color="auto"/>
              <w:right w:val="nil"/>
            </w:tcBorders>
            <w:shd w:val="clear" w:color="auto" w:fill="auto"/>
            <w:noWrap/>
            <w:vAlign w:val="center"/>
            <w:hideMark/>
          </w:tcPr>
          <w:p w14:paraId="70D84DFA" w14:textId="77777777" w:rsidR="009A05C7" w:rsidRPr="00CF1DEA" w:rsidRDefault="009A05C7" w:rsidP="000240DA">
            <w:pPr>
              <w:spacing w:after="0" w:line="240" w:lineRule="auto"/>
              <w:jc w:val="left"/>
              <w:rPr>
                <w:rFonts w:eastAsia="Times New Roman" w:cs="Times New Roman"/>
                <w:color w:val="000000"/>
                <w:sz w:val="18"/>
                <w:szCs w:val="18"/>
                <w:lang w:eastAsia="sk-SK"/>
              </w:rPr>
            </w:pPr>
            <w:r w:rsidRPr="00CF1DEA">
              <w:rPr>
                <w:rFonts w:eastAsia="Times New Roman" w:cs="Times New Roman"/>
                <w:color w:val="000000"/>
                <w:sz w:val="18"/>
                <w:szCs w:val="18"/>
                <w:lang w:eastAsia="sk-SK"/>
              </w:rPr>
              <w:t>Zákonom stanovený limit verejných výdavkov na rok 2024</w:t>
            </w:r>
          </w:p>
        </w:tc>
        <w:tc>
          <w:tcPr>
            <w:tcW w:w="906" w:type="pct"/>
            <w:tcBorders>
              <w:top w:val="single" w:sz="4" w:space="0" w:color="auto"/>
              <w:left w:val="nil"/>
              <w:bottom w:val="single" w:sz="4" w:space="0" w:color="auto"/>
              <w:right w:val="nil"/>
            </w:tcBorders>
            <w:shd w:val="clear" w:color="auto" w:fill="auto"/>
            <w:noWrap/>
            <w:vAlign w:val="center"/>
            <w:hideMark/>
          </w:tcPr>
          <w:p w14:paraId="35347618" w14:textId="77777777" w:rsidR="009A05C7" w:rsidRPr="00CF1DEA" w:rsidRDefault="009A05C7" w:rsidP="000240DA">
            <w:pPr>
              <w:spacing w:after="0" w:line="240" w:lineRule="auto"/>
              <w:jc w:val="right"/>
              <w:rPr>
                <w:rFonts w:eastAsia="Times New Roman" w:cs="Times New Roman"/>
                <w:color w:val="000000"/>
                <w:sz w:val="18"/>
                <w:szCs w:val="18"/>
                <w:lang w:eastAsia="sk-SK"/>
              </w:rPr>
            </w:pPr>
            <w:r w:rsidRPr="00CF1DEA">
              <w:rPr>
                <w:rFonts w:eastAsia="Times New Roman" w:cs="Times New Roman"/>
                <w:color w:val="000000"/>
                <w:sz w:val="18"/>
                <w:szCs w:val="18"/>
                <w:lang w:eastAsia="sk-SK"/>
              </w:rPr>
              <w:t>57 717 011</w:t>
            </w:r>
          </w:p>
        </w:tc>
      </w:tr>
      <w:tr w:rsidR="009A05C7" w:rsidRPr="00CF1DEA" w14:paraId="55DA527C" w14:textId="77777777" w:rsidTr="000240DA">
        <w:trPr>
          <w:trHeight w:val="290"/>
        </w:trPr>
        <w:tc>
          <w:tcPr>
            <w:tcW w:w="4094" w:type="pct"/>
            <w:tcBorders>
              <w:top w:val="nil"/>
              <w:left w:val="nil"/>
              <w:bottom w:val="single" w:sz="4" w:space="0" w:color="auto"/>
              <w:right w:val="nil"/>
            </w:tcBorders>
            <w:shd w:val="clear" w:color="auto" w:fill="auto"/>
            <w:noWrap/>
            <w:vAlign w:val="center"/>
            <w:hideMark/>
          </w:tcPr>
          <w:p w14:paraId="697670BA" w14:textId="77777777" w:rsidR="009A05C7" w:rsidRPr="00CF1DEA" w:rsidRDefault="009A05C7" w:rsidP="000240DA">
            <w:pPr>
              <w:spacing w:after="0" w:line="240" w:lineRule="auto"/>
              <w:jc w:val="left"/>
              <w:rPr>
                <w:rFonts w:eastAsia="Times New Roman" w:cs="Times New Roman"/>
                <w:b/>
                <w:bCs/>
                <w:color w:val="000000"/>
                <w:sz w:val="18"/>
                <w:szCs w:val="18"/>
                <w:lang w:eastAsia="sk-SK"/>
              </w:rPr>
            </w:pPr>
            <w:r w:rsidRPr="00CF1DEA">
              <w:rPr>
                <w:rFonts w:eastAsia="Times New Roman" w:cs="Times New Roman"/>
                <w:b/>
                <w:bCs/>
                <w:color w:val="000000"/>
                <w:sz w:val="18"/>
                <w:szCs w:val="18"/>
                <w:lang w:eastAsia="sk-SK"/>
              </w:rPr>
              <w:t>Rozdiel (+/-)</w:t>
            </w:r>
          </w:p>
        </w:tc>
        <w:tc>
          <w:tcPr>
            <w:tcW w:w="906" w:type="pct"/>
            <w:tcBorders>
              <w:top w:val="nil"/>
              <w:left w:val="nil"/>
              <w:bottom w:val="single" w:sz="4" w:space="0" w:color="auto"/>
              <w:right w:val="nil"/>
            </w:tcBorders>
            <w:shd w:val="clear" w:color="auto" w:fill="auto"/>
            <w:noWrap/>
            <w:vAlign w:val="center"/>
            <w:hideMark/>
          </w:tcPr>
          <w:p w14:paraId="7FCF7C23" w14:textId="77777777" w:rsidR="009A05C7" w:rsidRPr="00CF1DEA" w:rsidRDefault="009A05C7" w:rsidP="000240DA">
            <w:pPr>
              <w:spacing w:after="0" w:line="240" w:lineRule="auto"/>
              <w:jc w:val="right"/>
              <w:rPr>
                <w:rFonts w:eastAsia="Times New Roman" w:cs="Times New Roman"/>
                <w:b/>
                <w:bCs/>
                <w:color w:val="000000"/>
                <w:sz w:val="18"/>
                <w:szCs w:val="18"/>
                <w:lang w:eastAsia="sk-SK"/>
              </w:rPr>
            </w:pPr>
            <w:r w:rsidRPr="00CF1DEA">
              <w:rPr>
                <w:rFonts w:eastAsia="Times New Roman" w:cs="Times New Roman"/>
                <w:b/>
                <w:bCs/>
                <w:color w:val="000000"/>
                <w:sz w:val="18"/>
                <w:szCs w:val="18"/>
                <w:lang w:eastAsia="sk-SK"/>
              </w:rPr>
              <w:t>-111 903</w:t>
            </w:r>
          </w:p>
        </w:tc>
      </w:tr>
    </w:tbl>
    <w:p w14:paraId="339B3DFB" w14:textId="7AA54922" w:rsidR="009A05C7" w:rsidRDefault="009A05C7" w:rsidP="00083DC3">
      <w:pPr>
        <w:keepLines/>
        <w:spacing w:line="240" w:lineRule="auto"/>
        <w:rPr>
          <w:rFonts w:cs="Times New Roman"/>
          <w:sz w:val="18"/>
          <w:szCs w:val="18"/>
        </w:rPr>
      </w:pPr>
      <w:r w:rsidRPr="00CF1DEA">
        <w:rPr>
          <w:rFonts w:cs="Times New Roman"/>
          <w:sz w:val="18"/>
          <w:szCs w:val="18"/>
        </w:rPr>
        <w:t>(+) znamená suma nad LVV a (-) znamená suma pod LVV</w:t>
      </w:r>
      <w:r w:rsidRPr="00CF1DEA">
        <w:rPr>
          <w:rFonts w:cs="Times New Roman"/>
          <w:sz w:val="18"/>
          <w:szCs w:val="18"/>
        </w:rPr>
        <w:tab/>
      </w:r>
      <w:r w:rsidRPr="00CF1DEA">
        <w:rPr>
          <w:rFonts w:cs="Times New Roman"/>
          <w:sz w:val="18"/>
          <w:szCs w:val="18"/>
        </w:rPr>
        <w:tab/>
      </w:r>
      <w:r w:rsidRPr="00CF1DEA">
        <w:rPr>
          <w:rFonts w:cs="Times New Roman"/>
          <w:sz w:val="18"/>
          <w:szCs w:val="18"/>
        </w:rPr>
        <w:tab/>
      </w:r>
      <w:r w:rsidRPr="00CF1DEA">
        <w:rPr>
          <w:rFonts w:cs="Times New Roman"/>
          <w:sz w:val="18"/>
          <w:szCs w:val="18"/>
        </w:rPr>
        <w:tab/>
      </w:r>
      <w:r w:rsidRPr="00CF1DEA">
        <w:rPr>
          <w:rFonts w:cs="Times New Roman"/>
          <w:sz w:val="18"/>
          <w:szCs w:val="18"/>
        </w:rPr>
        <w:tab/>
      </w:r>
      <w:r>
        <w:rPr>
          <w:rFonts w:cs="Times New Roman"/>
          <w:sz w:val="18"/>
          <w:szCs w:val="18"/>
        </w:rPr>
        <w:t xml:space="preserve">    </w:t>
      </w:r>
      <w:r w:rsidR="00C35517">
        <w:rPr>
          <w:rFonts w:cs="Times New Roman"/>
          <w:sz w:val="18"/>
          <w:szCs w:val="18"/>
        </w:rPr>
        <w:t xml:space="preserve">    </w:t>
      </w:r>
      <w:r>
        <w:rPr>
          <w:rFonts w:cs="Times New Roman"/>
          <w:sz w:val="18"/>
          <w:szCs w:val="18"/>
        </w:rPr>
        <w:t xml:space="preserve">      </w:t>
      </w:r>
      <w:r w:rsidRPr="00CF1DEA">
        <w:rPr>
          <w:rFonts w:cs="Times New Roman"/>
          <w:sz w:val="18"/>
          <w:szCs w:val="18"/>
        </w:rPr>
        <w:t>Zdroj: MF SR</w:t>
      </w:r>
      <w:r>
        <w:rPr>
          <w:rFonts w:cs="Times New Roman"/>
          <w:sz w:val="18"/>
          <w:szCs w:val="18"/>
        </w:rPr>
        <w:t>, ŠÚ SR</w:t>
      </w:r>
    </w:p>
    <w:p w14:paraId="56DBDB3F" w14:textId="75014689" w:rsidR="00D72D2B" w:rsidRPr="00557EE6" w:rsidRDefault="00D72D2B" w:rsidP="00D72D2B">
      <w:pPr>
        <w:spacing w:line="240" w:lineRule="auto"/>
        <w:rPr>
          <w:rFonts w:cs="Times New Roman"/>
          <w:sz w:val="24"/>
          <w:szCs w:val="24"/>
        </w:rPr>
      </w:pPr>
      <w:r w:rsidRPr="00557EE6">
        <w:rPr>
          <w:rFonts w:cs="Times New Roman"/>
          <w:b/>
          <w:bCs/>
          <w:sz w:val="24"/>
          <w:szCs w:val="24"/>
        </w:rPr>
        <w:t>Štátny rozpočet</w:t>
      </w:r>
      <w:r w:rsidRPr="00557EE6">
        <w:rPr>
          <w:rFonts w:cs="Times New Roman"/>
          <w:sz w:val="24"/>
          <w:szCs w:val="24"/>
        </w:rPr>
        <w:t xml:space="preserve"> dosiahol nižšie čisté výdavk</w:t>
      </w:r>
      <w:r>
        <w:rPr>
          <w:rFonts w:cs="Times New Roman"/>
          <w:sz w:val="24"/>
          <w:szCs w:val="24"/>
        </w:rPr>
        <w:t>y oproti stanovenému limitu o 1 </w:t>
      </w:r>
      <w:r w:rsidRPr="00557EE6">
        <w:rPr>
          <w:rFonts w:cs="Times New Roman"/>
          <w:sz w:val="24"/>
          <w:szCs w:val="24"/>
        </w:rPr>
        <w:t>222</w:t>
      </w:r>
      <w:r>
        <w:rPr>
          <w:rFonts w:cs="Times New Roman"/>
          <w:sz w:val="24"/>
          <w:szCs w:val="24"/>
        </w:rPr>
        <w:t> 500</w:t>
      </w:r>
      <w:r w:rsidRPr="00557EE6">
        <w:rPr>
          <w:rFonts w:cs="Times New Roman"/>
          <w:sz w:val="24"/>
          <w:szCs w:val="24"/>
        </w:rPr>
        <w:t> </w:t>
      </w:r>
      <w:r>
        <w:rPr>
          <w:rFonts w:cs="Times New Roman"/>
          <w:sz w:val="24"/>
          <w:szCs w:val="24"/>
        </w:rPr>
        <w:t>tis</w:t>
      </w:r>
      <w:r w:rsidRPr="00557EE6">
        <w:rPr>
          <w:rFonts w:cs="Times New Roman"/>
          <w:sz w:val="24"/>
          <w:szCs w:val="24"/>
        </w:rPr>
        <w:t>. eur. Na tomto rozdiele sa podieľali najmä nižšie výdavky v rezorte obrany, a to čiastočne na</w:t>
      </w:r>
      <w:r>
        <w:rPr>
          <w:rFonts w:cs="Times New Roman"/>
          <w:sz w:val="24"/>
          <w:szCs w:val="24"/>
        </w:rPr>
        <w:t> </w:t>
      </w:r>
      <w:r w:rsidRPr="00557EE6">
        <w:rPr>
          <w:rFonts w:cs="Times New Roman"/>
          <w:sz w:val="24"/>
          <w:szCs w:val="24"/>
        </w:rPr>
        <w:t>hotovostnej báze, ale hlavne po zohľadnení časovo rozlíšených výdavkov vyplatených na</w:t>
      </w:r>
      <w:r>
        <w:rPr>
          <w:rFonts w:cs="Times New Roman"/>
          <w:sz w:val="24"/>
          <w:szCs w:val="24"/>
        </w:rPr>
        <w:t> </w:t>
      </w:r>
      <w:r w:rsidRPr="00557EE6">
        <w:rPr>
          <w:rFonts w:cs="Times New Roman"/>
          <w:sz w:val="24"/>
          <w:szCs w:val="24"/>
        </w:rPr>
        <w:t>bežné a kapitálové preddavky na obstaranie vojenskej techniky. Vplyv akru</w:t>
      </w:r>
      <w:r>
        <w:rPr>
          <w:rFonts w:cs="Times New Roman"/>
          <w:sz w:val="24"/>
          <w:szCs w:val="24"/>
        </w:rPr>
        <w:t>álneho zaznamenania výdavkov na </w:t>
      </w:r>
      <w:r w:rsidRPr="00557EE6">
        <w:rPr>
          <w:rFonts w:cs="Times New Roman"/>
          <w:sz w:val="24"/>
          <w:szCs w:val="24"/>
        </w:rPr>
        <w:t>vojenskú techniku</w:t>
      </w:r>
      <w:r>
        <w:rPr>
          <w:rFonts w:cs="Times New Roman"/>
          <w:sz w:val="24"/>
          <w:szCs w:val="24"/>
        </w:rPr>
        <w:t xml:space="preserve"> dosiahol oproti rozpočtu 606 500 tis</w:t>
      </w:r>
      <w:r w:rsidRPr="00557EE6">
        <w:rPr>
          <w:rFonts w:cs="Times New Roman"/>
          <w:sz w:val="24"/>
          <w:szCs w:val="24"/>
        </w:rPr>
        <w:t>.</w:t>
      </w:r>
      <w:r>
        <w:rPr>
          <w:rFonts w:cs="Times New Roman"/>
          <w:sz w:val="24"/>
          <w:szCs w:val="24"/>
        </w:rPr>
        <w:t> </w:t>
      </w:r>
      <w:r w:rsidRPr="00557EE6">
        <w:rPr>
          <w:rFonts w:cs="Times New Roman"/>
          <w:sz w:val="24"/>
          <w:szCs w:val="24"/>
        </w:rPr>
        <w:t>eur. Ďalej v štátnom rozpočte bol významný vplyv nižši</w:t>
      </w:r>
      <w:r>
        <w:rPr>
          <w:rFonts w:cs="Times New Roman"/>
          <w:sz w:val="24"/>
          <w:szCs w:val="24"/>
        </w:rPr>
        <w:t>eho odvodu do rozpočtu EU o 250 </w:t>
      </w:r>
      <w:r w:rsidRPr="00557EE6">
        <w:rPr>
          <w:rFonts w:cs="Times New Roman"/>
          <w:sz w:val="24"/>
          <w:szCs w:val="24"/>
        </w:rPr>
        <w:t>2</w:t>
      </w:r>
      <w:r>
        <w:rPr>
          <w:rFonts w:cs="Times New Roman"/>
          <w:sz w:val="24"/>
          <w:szCs w:val="24"/>
        </w:rPr>
        <w:t>00 tis</w:t>
      </w:r>
      <w:r w:rsidRPr="00557EE6">
        <w:rPr>
          <w:rFonts w:cs="Times New Roman"/>
          <w:sz w:val="24"/>
          <w:szCs w:val="24"/>
        </w:rPr>
        <w:t>.</w:t>
      </w:r>
      <w:r>
        <w:rPr>
          <w:rFonts w:cs="Times New Roman"/>
          <w:sz w:val="24"/>
          <w:szCs w:val="24"/>
        </w:rPr>
        <w:t> </w:t>
      </w:r>
      <w:r w:rsidRPr="00557EE6">
        <w:rPr>
          <w:rFonts w:cs="Times New Roman"/>
          <w:sz w:val="24"/>
          <w:szCs w:val="24"/>
        </w:rPr>
        <w:t>eur.</w:t>
      </w:r>
    </w:p>
    <w:p w14:paraId="4B76D1B5" w14:textId="00FEE265" w:rsidR="00D72D2B" w:rsidRPr="00557EE6" w:rsidRDefault="00D72D2B" w:rsidP="00D72D2B">
      <w:pPr>
        <w:spacing w:line="240" w:lineRule="auto"/>
        <w:rPr>
          <w:rFonts w:cs="Times New Roman"/>
          <w:sz w:val="24"/>
          <w:szCs w:val="24"/>
        </w:rPr>
      </w:pPr>
      <w:r w:rsidRPr="00557EE6">
        <w:rPr>
          <w:rFonts w:cs="Times New Roman"/>
          <w:b/>
          <w:bCs/>
          <w:sz w:val="24"/>
          <w:szCs w:val="24"/>
        </w:rPr>
        <w:t>V rámci ostatných zložiek verejnej správy</w:t>
      </w:r>
      <w:r w:rsidRPr="00557EE6">
        <w:rPr>
          <w:rFonts w:cs="Times New Roman"/>
          <w:sz w:val="24"/>
          <w:szCs w:val="24"/>
        </w:rPr>
        <w:t xml:space="preserve"> došlo k prekročeniu limitu výdavkov napríklad u </w:t>
      </w:r>
      <w:r w:rsidRPr="006D50A1">
        <w:rPr>
          <w:rFonts w:cs="Times New Roman"/>
          <w:sz w:val="24"/>
          <w:szCs w:val="24"/>
          <w:u w:val="single"/>
        </w:rPr>
        <w:t>Sociálnej poisťovni</w:t>
      </w:r>
      <w:r w:rsidRPr="006D50A1">
        <w:rPr>
          <w:rFonts w:cs="Times New Roman"/>
          <w:sz w:val="24"/>
          <w:szCs w:val="24"/>
        </w:rPr>
        <w:t>, z dôvodu vyšších výdavkov na vyplácania predča</w:t>
      </w:r>
      <w:r w:rsidR="00074282">
        <w:rPr>
          <w:rFonts w:cs="Times New Roman"/>
          <w:sz w:val="24"/>
          <w:szCs w:val="24"/>
        </w:rPr>
        <w:t>sných starobných dôchodkov o 184</w:t>
      </w:r>
      <w:r w:rsidRPr="006D50A1">
        <w:rPr>
          <w:rFonts w:cs="Times New Roman"/>
          <w:sz w:val="24"/>
          <w:szCs w:val="24"/>
        </w:rPr>
        <w:t> 548 tis.</w:t>
      </w:r>
      <w:r>
        <w:rPr>
          <w:rFonts w:cs="Times New Roman"/>
          <w:sz w:val="24"/>
          <w:szCs w:val="24"/>
        </w:rPr>
        <w:t> </w:t>
      </w:r>
      <w:r w:rsidRPr="006D50A1">
        <w:rPr>
          <w:rFonts w:cs="Times New Roman"/>
          <w:sz w:val="24"/>
          <w:szCs w:val="24"/>
        </w:rPr>
        <w:t>eur z dôvodu zmeny podmienok ako aj výdavkov na riadne starobné dôchodky o 130 045 tis.</w:t>
      </w:r>
      <w:r>
        <w:rPr>
          <w:rFonts w:cs="Times New Roman"/>
          <w:sz w:val="24"/>
          <w:szCs w:val="24"/>
        </w:rPr>
        <w:t> </w:t>
      </w:r>
      <w:r w:rsidRPr="006D50A1">
        <w:rPr>
          <w:rFonts w:cs="Times New Roman"/>
          <w:sz w:val="24"/>
          <w:szCs w:val="24"/>
        </w:rPr>
        <w:t xml:space="preserve">eur. Pozitívny efekt malo zníženie výdavkov základného fondu nemocenského poistenia </w:t>
      </w:r>
      <w:r w:rsidRPr="007A31D4">
        <w:rPr>
          <w:rFonts w:cs="Times New Roman"/>
          <w:sz w:val="24"/>
          <w:szCs w:val="24"/>
        </w:rPr>
        <w:t>o 104 </w:t>
      </w:r>
      <w:r>
        <w:rPr>
          <w:rFonts w:cs="Times New Roman"/>
          <w:sz w:val="24"/>
          <w:szCs w:val="24"/>
        </w:rPr>
        <w:t>498 tis</w:t>
      </w:r>
      <w:r w:rsidRPr="006D50A1">
        <w:rPr>
          <w:rFonts w:cs="Times New Roman"/>
          <w:sz w:val="24"/>
          <w:szCs w:val="24"/>
        </w:rPr>
        <w:t>.</w:t>
      </w:r>
      <w:r>
        <w:rPr>
          <w:rFonts w:cs="Times New Roman"/>
          <w:sz w:val="24"/>
          <w:szCs w:val="24"/>
        </w:rPr>
        <w:t> </w:t>
      </w:r>
      <w:r w:rsidRPr="006D50A1">
        <w:rPr>
          <w:rFonts w:cs="Times New Roman"/>
          <w:sz w:val="24"/>
          <w:szCs w:val="24"/>
        </w:rPr>
        <w:t>eur.</w:t>
      </w:r>
    </w:p>
    <w:p w14:paraId="2857F415" w14:textId="77777777" w:rsidR="00D72D2B" w:rsidRPr="00557EE6" w:rsidRDefault="00D72D2B" w:rsidP="00D72D2B">
      <w:pPr>
        <w:spacing w:line="240" w:lineRule="auto"/>
        <w:rPr>
          <w:rFonts w:cs="Times New Roman"/>
          <w:sz w:val="24"/>
          <w:szCs w:val="24"/>
        </w:rPr>
      </w:pPr>
      <w:r w:rsidRPr="00557EE6">
        <w:rPr>
          <w:rFonts w:cs="Times New Roman"/>
          <w:sz w:val="24"/>
          <w:szCs w:val="24"/>
          <w:u w:val="single"/>
        </w:rPr>
        <w:t>Obce a VÚC</w:t>
      </w:r>
      <w:r w:rsidRPr="00557EE6">
        <w:rPr>
          <w:rFonts w:cs="Times New Roman"/>
          <w:sz w:val="24"/>
          <w:szCs w:val="24"/>
        </w:rPr>
        <w:t xml:space="preserve"> spolu prekročili l</w:t>
      </w:r>
      <w:r>
        <w:rPr>
          <w:rFonts w:cs="Times New Roman"/>
          <w:sz w:val="24"/>
          <w:szCs w:val="24"/>
        </w:rPr>
        <w:t>imit verejných výdavkov o 263 715 tis</w:t>
      </w:r>
      <w:r w:rsidRPr="00557EE6">
        <w:rPr>
          <w:rFonts w:cs="Times New Roman"/>
          <w:sz w:val="24"/>
          <w:szCs w:val="24"/>
        </w:rPr>
        <w:t>.</w:t>
      </w:r>
      <w:r>
        <w:rPr>
          <w:rFonts w:cs="Times New Roman"/>
          <w:sz w:val="24"/>
          <w:szCs w:val="24"/>
        </w:rPr>
        <w:t> </w:t>
      </w:r>
      <w:r w:rsidRPr="00557EE6">
        <w:rPr>
          <w:rFonts w:cs="Times New Roman"/>
          <w:sz w:val="24"/>
          <w:szCs w:val="24"/>
        </w:rPr>
        <w:t>eur, pričo</w:t>
      </w:r>
      <w:r>
        <w:rPr>
          <w:rFonts w:cs="Times New Roman"/>
          <w:sz w:val="24"/>
          <w:szCs w:val="24"/>
        </w:rPr>
        <w:t>m obce prekročili limit o 311 653 tis</w:t>
      </w:r>
      <w:r w:rsidRPr="00557EE6">
        <w:rPr>
          <w:rFonts w:cs="Times New Roman"/>
          <w:sz w:val="24"/>
          <w:szCs w:val="24"/>
        </w:rPr>
        <w:t>.</w:t>
      </w:r>
      <w:r>
        <w:rPr>
          <w:rFonts w:cs="Times New Roman"/>
          <w:sz w:val="24"/>
          <w:szCs w:val="24"/>
        </w:rPr>
        <w:t> </w:t>
      </w:r>
      <w:r w:rsidRPr="00557EE6">
        <w:rPr>
          <w:rFonts w:cs="Times New Roman"/>
          <w:sz w:val="24"/>
          <w:szCs w:val="24"/>
        </w:rPr>
        <w:t>eur a VUC dosiahli v</w:t>
      </w:r>
      <w:r>
        <w:rPr>
          <w:rFonts w:cs="Times New Roman"/>
          <w:sz w:val="24"/>
          <w:szCs w:val="24"/>
        </w:rPr>
        <w:t>ýdavky pod stanovený limit o 47 </w:t>
      </w:r>
      <w:r w:rsidRPr="00557EE6">
        <w:rPr>
          <w:rFonts w:cs="Times New Roman"/>
          <w:sz w:val="24"/>
          <w:szCs w:val="24"/>
        </w:rPr>
        <w:t>9</w:t>
      </w:r>
      <w:r>
        <w:rPr>
          <w:rFonts w:cs="Times New Roman"/>
          <w:sz w:val="24"/>
          <w:szCs w:val="24"/>
        </w:rPr>
        <w:t>38 tis. </w:t>
      </w:r>
      <w:r w:rsidRPr="00557EE6">
        <w:rPr>
          <w:rFonts w:cs="Times New Roman"/>
          <w:sz w:val="24"/>
          <w:szCs w:val="24"/>
        </w:rPr>
        <w:t>eur. Za</w:t>
      </w:r>
      <w:r>
        <w:rPr>
          <w:rFonts w:cs="Times New Roman"/>
          <w:sz w:val="24"/>
          <w:szCs w:val="24"/>
        </w:rPr>
        <w:t> </w:t>
      </w:r>
      <w:r w:rsidRPr="00557EE6">
        <w:rPr>
          <w:rFonts w:cs="Times New Roman"/>
          <w:sz w:val="24"/>
          <w:szCs w:val="24"/>
        </w:rPr>
        <w:t xml:space="preserve">nárastom výdavkov sú najmä vyššie mzdy, výdavky na tovary,  služby </w:t>
      </w:r>
      <w:r w:rsidRPr="00557EE6">
        <w:rPr>
          <w:rFonts w:cs="Times New Roman"/>
          <w:sz w:val="24"/>
          <w:szCs w:val="24"/>
        </w:rPr>
        <w:lastRenderedPageBreak/>
        <w:t>a kapitálové výdavky</w:t>
      </w:r>
      <w:r>
        <w:rPr>
          <w:rFonts w:cs="Times New Roman"/>
          <w:sz w:val="24"/>
          <w:szCs w:val="24"/>
        </w:rPr>
        <w:t xml:space="preserve"> kryté aj z kapitálových transferov štátneho rozpočtu poskytnutých samosprávam počas roka.</w:t>
      </w:r>
    </w:p>
    <w:p w14:paraId="513B8F9C" w14:textId="77777777" w:rsidR="00D72D2B" w:rsidRDefault="00D72D2B" w:rsidP="00D72D2B">
      <w:pPr>
        <w:spacing w:line="240" w:lineRule="auto"/>
        <w:rPr>
          <w:rFonts w:cs="Times New Roman"/>
          <w:sz w:val="24"/>
          <w:szCs w:val="24"/>
        </w:rPr>
      </w:pPr>
      <w:r w:rsidRPr="00557EE6">
        <w:rPr>
          <w:rFonts w:cs="Times New Roman"/>
          <w:sz w:val="24"/>
          <w:szCs w:val="24"/>
          <w:u w:val="single"/>
        </w:rPr>
        <w:t>Ostatné miestne jednotky</w:t>
      </w:r>
      <w:r w:rsidRPr="00557EE6">
        <w:rPr>
          <w:rFonts w:cs="Times New Roman"/>
          <w:sz w:val="24"/>
          <w:szCs w:val="24"/>
        </w:rPr>
        <w:t xml:space="preserve"> (napr. záujmové združenia, neziskové organizácie), ktoré neboli z objektívnych dôvodov zahrnuté do rozpočtu ovplyvnili negatívne l</w:t>
      </w:r>
      <w:r>
        <w:rPr>
          <w:rFonts w:cs="Times New Roman"/>
          <w:sz w:val="24"/>
          <w:szCs w:val="24"/>
        </w:rPr>
        <w:t>imit verejných výdavkov o 182 269 tis</w:t>
      </w:r>
      <w:r w:rsidRPr="00557EE6">
        <w:rPr>
          <w:rFonts w:cs="Times New Roman"/>
          <w:sz w:val="24"/>
          <w:szCs w:val="24"/>
        </w:rPr>
        <w:t>.</w:t>
      </w:r>
      <w:r>
        <w:rPr>
          <w:rFonts w:cs="Times New Roman"/>
          <w:sz w:val="24"/>
          <w:szCs w:val="24"/>
        </w:rPr>
        <w:t> </w:t>
      </w:r>
      <w:r w:rsidRPr="00557EE6">
        <w:rPr>
          <w:rFonts w:cs="Times New Roman"/>
          <w:sz w:val="24"/>
          <w:szCs w:val="24"/>
        </w:rPr>
        <w:t>eur. Vo výdavkoch sa prejavili najmä personálne náklady, výdavky na</w:t>
      </w:r>
      <w:r>
        <w:rPr>
          <w:rFonts w:cs="Times New Roman"/>
          <w:sz w:val="24"/>
          <w:szCs w:val="24"/>
        </w:rPr>
        <w:t> </w:t>
      </w:r>
      <w:r w:rsidRPr="00557EE6">
        <w:rPr>
          <w:rFonts w:cs="Times New Roman"/>
          <w:sz w:val="24"/>
          <w:szCs w:val="24"/>
        </w:rPr>
        <w:t>tovary a služby ako aj kapitálové výdavky na budovanie cestnej infraštruktúry, kanalizácie a rozvojových projektov v oblasti mobility a rekreácie (cyklotrasy).</w:t>
      </w:r>
    </w:p>
    <w:p w14:paraId="1EC4EEAC" w14:textId="23BE530B" w:rsidR="009A05C7" w:rsidRPr="00C5676D" w:rsidRDefault="009A05C7" w:rsidP="0088597C">
      <w:pPr>
        <w:pStyle w:val="Nadpis2"/>
        <w:spacing w:before="240"/>
        <w:ind w:left="567" w:hanging="578"/>
      </w:pPr>
      <w:bookmarkStart w:id="81" w:name="_Toc196314130"/>
      <w:r w:rsidRPr="00C5676D">
        <w:t>Porovnanie salda a dlhu verejnej správy v Európskej únii</w:t>
      </w:r>
      <w:bookmarkEnd w:id="77"/>
      <w:bookmarkEnd w:id="78"/>
      <w:bookmarkEnd w:id="81"/>
    </w:p>
    <w:p w14:paraId="0404FDD3" w14:textId="77777777" w:rsidR="009A05C7" w:rsidRPr="00C5676D" w:rsidRDefault="009A05C7" w:rsidP="009A05C7">
      <w:pPr>
        <w:spacing w:line="240" w:lineRule="auto"/>
        <w:rPr>
          <w:b/>
          <w:sz w:val="24"/>
          <w:szCs w:val="24"/>
        </w:rPr>
      </w:pPr>
      <w:r w:rsidRPr="00C5676D">
        <w:rPr>
          <w:sz w:val="24"/>
          <w:szCs w:val="24"/>
        </w:rPr>
        <w:t xml:space="preserve">V rámci Európskej únie (27 krajín) v roku 2024 </w:t>
      </w:r>
      <w:r w:rsidRPr="00C5676D">
        <w:rPr>
          <w:b/>
          <w:sz w:val="24"/>
          <w:szCs w:val="24"/>
        </w:rPr>
        <w:t>priemerný schodok EÚ 27 bol 3,2 % HDP a priemerný dlh verejnej správy EÚ 27 bol 81,0 % HDP.</w:t>
      </w:r>
    </w:p>
    <w:p w14:paraId="7520522A" w14:textId="4FE3AEA9" w:rsidR="00CC68FA" w:rsidRPr="00CC68FA" w:rsidRDefault="00CC68FA" w:rsidP="00CC68FA">
      <w:pPr>
        <w:pStyle w:val="Popis"/>
        <w:keepNext/>
        <w:spacing w:after="120"/>
        <w:rPr>
          <w:rFonts w:eastAsia="Times New Roman" w:cs="Times New Roman"/>
          <w:b/>
          <w:bCs/>
          <w:i w:val="0"/>
          <w:iCs w:val="0"/>
          <w:color w:val="5B9BD5" w:themeColor="accent1"/>
          <w:sz w:val="20"/>
          <w:szCs w:val="20"/>
          <w:lang w:eastAsia="sk-SK"/>
        </w:rPr>
      </w:pPr>
      <w:bookmarkStart w:id="82" w:name="_Toc196313647"/>
      <w:bookmarkStart w:id="83" w:name="_Toc196389268"/>
      <w:r w:rsidRPr="00CC68FA">
        <w:rPr>
          <w:rFonts w:eastAsia="Times New Roman" w:cs="Times New Roman"/>
          <w:b/>
          <w:bCs/>
          <w:i w:val="0"/>
          <w:iCs w:val="0"/>
          <w:color w:val="5B9BD5" w:themeColor="accent1"/>
          <w:sz w:val="20"/>
          <w:szCs w:val="20"/>
          <w:lang w:eastAsia="sk-SK"/>
        </w:rPr>
        <w:t xml:space="preserve">Tabuľka </w:t>
      </w:r>
      <w:r w:rsidRPr="00CC68FA">
        <w:rPr>
          <w:rFonts w:eastAsia="Times New Roman" w:cs="Times New Roman"/>
          <w:b/>
          <w:bCs/>
          <w:i w:val="0"/>
          <w:iCs w:val="0"/>
          <w:color w:val="5B9BD5" w:themeColor="accent1"/>
          <w:sz w:val="20"/>
          <w:szCs w:val="20"/>
          <w:lang w:eastAsia="sk-SK"/>
        </w:rPr>
        <w:fldChar w:fldCharType="begin"/>
      </w:r>
      <w:r w:rsidRPr="00CC68FA">
        <w:rPr>
          <w:rFonts w:eastAsia="Times New Roman" w:cs="Times New Roman"/>
          <w:b/>
          <w:bCs/>
          <w:i w:val="0"/>
          <w:iCs w:val="0"/>
          <w:color w:val="5B9BD5" w:themeColor="accent1"/>
          <w:sz w:val="20"/>
          <w:szCs w:val="20"/>
          <w:lang w:eastAsia="sk-SK"/>
        </w:rPr>
        <w:instrText xml:space="preserve"> SEQ Tabuľka \* ARABIC </w:instrText>
      </w:r>
      <w:r w:rsidRPr="00CC68FA">
        <w:rPr>
          <w:rFonts w:eastAsia="Times New Roman" w:cs="Times New Roman"/>
          <w:b/>
          <w:bCs/>
          <w:i w:val="0"/>
          <w:iCs w:val="0"/>
          <w:color w:val="5B9BD5" w:themeColor="accent1"/>
          <w:sz w:val="20"/>
          <w:szCs w:val="20"/>
          <w:lang w:eastAsia="sk-SK"/>
        </w:rPr>
        <w:fldChar w:fldCharType="separate"/>
      </w:r>
      <w:r w:rsidR="00C64CBA">
        <w:rPr>
          <w:rFonts w:eastAsia="Times New Roman" w:cs="Times New Roman"/>
          <w:b/>
          <w:bCs/>
          <w:i w:val="0"/>
          <w:iCs w:val="0"/>
          <w:noProof/>
          <w:color w:val="5B9BD5" w:themeColor="accent1"/>
          <w:sz w:val="20"/>
          <w:szCs w:val="20"/>
          <w:lang w:eastAsia="sk-SK"/>
        </w:rPr>
        <w:t>21</w:t>
      </w:r>
      <w:r w:rsidRPr="00CC68FA">
        <w:rPr>
          <w:rFonts w:eastAsia="Times New Roman" w:cs="Times New Roman"/>
          <w:b/>
          <w:bCs/>
          <w:i w:val="0"/>
          <w:iCs w:val="0"/>
          <w:color w:val="5B9BD5" w:themeColor="accent1"/>
          <w:sz w:val="20"/>
          <w:szCs w:val="20"/>
          <w:lang w:eastAsia="sk-SK"/>
        </w:rPr>
        <w:fldChar w:fldCharType="end"/>
      </w:r>
      <w:r w:rsidRPr="00CC68FA">
        <w:rPr>
          <w:rFonts w:eastAsia="Times New Roman" w:cs="Times New Roman"/>
          <w:b/>
          <w:bCs/>
          <w:i w:val="0"/>
          <w:iCs w:val="0"/>
          <w:color w:val="5B9BD5" w:themeColor="accent1"/>
          <w:sz w:val="20"/>
          <w:szCs w:val="20"/>
          <w:lang w:eastAsia="sk-SK"/>
        </w:rPr>
        <w:t xml:space="preserve"> - Saldo a dlh v EÚ 27 (% HDP)</w:t>
      </w:r>
      <w:r w:rsidRPr="00CC68FA">
        <w:rPr>
          <w:rFonts w:eastAsia="Times New Roman" w:cs="Times New Roman"/>
          <w:b/>
          <w:bCs/>
          <w:i w:val="0"/>
          <w:iCs w:val="0"/>
          <w:color w:val="5B9BD5" w:themeColor="accent1"/>
          <w:sz w:val="20"/>
          <w:szCs w:val="20"/>
          <w:vertAlign w:val="superscript"/>
          <w:lang w:eastAsia="sk-SK"/>
        </w:rPr>
        <w:t>1)</w:t>
      </w:r>
      <w:bookmarkEnd w:id="82"/>
      <w:bookmarkEnd w:id="83"/>
    </w:p>
    <w:tbl>
      <w:tblPr>
        <w:tblW w:w="5000" w:type="pct"/>
        <w:tblCellMar>
          <w:left w:w="70" w:type="dxa"/>
          <w:right w:w="70" w:type="dxa"/>
        </w:tblCellMar>
        <w:tblLook w:val="04A0" w:firstRow="1" w:lastRow="0" w:firstColumn="1" w:lastColumn="0" w:noHBand="0" w:noVBand="1"/>
      </w:tblPr>
      <w:tblGrid>
        <w:gridCol w:w="1305"/>
        <w:gridCol w:w="727"/>
        <w:gridCol w:w="727"/>
        <w:gridCol w:w="728"/>
        <w:gridCol w:w="728"/>
        <w:gridCol w:w="1305"/>
        <w:gridCol w:w="858"/>
        <w:gridCol w:w="858"/>
        <w:gridCol w:w="858"/>
        <w:gridCol w:w="826"/>
      </w:tblGrid>
      <w:tr w:rsidR="009A05C7" w:rsidRPr="00973B5D" w14:paraId="38E3D3CC" w14:textId="77777777" w:rsidTr="00CC68FA">
        <w:trPr>
          <w:trHeight w:val="280"/>
          <w:tblHeader/>
        </w:trPr>
        <w:tc>
          <w:tcPr>
            <w:tcW w:w="2363"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2A4A18CC" w14:textId="77777777" w:rsidR="009A05C7" w:rsidRPr="00973B5D" w:rsidRDefault="009A05C7" w:rsidP="000240DA">
            <w:pPr>
              <w:spacing w:after="0" w:line="240" w:lineRule="auto"/>
              <w:jc w:val="center"/>
              <w:rPr>
                <w:rFonts w:eastAsia="Times New Roman" w:cs="Times New Roman"/>
                <w:b/>
                <w:bCs/>
                <w:sz w:val="18"/>
                <w:szCs w:val="18"/>
                <w:lang w:eastAsia="sk-SK"/>
              </w:rPr>
            </w:pPr>
            <w:r w:rsidRPr="00973B5D">
              <w:rPr>
                <w:rFonts w:eastAsia="Times New Roman" w:cs="Times New Roman"/>
                <w:b/>
                <w:bCs/>
                <w:sz w:val="18"/>
                <w:szCs w:val="18"/>
                <w:lang w:eastAsia="sk-SK"/>
              </w:rPr>
              <w:t xml:space="preserve">Saldo verejnej správy </w:t>
            </w:r>
          </w:p>
        </w:tc>
        <w:tc>
          <w:tcPr>
            <w:tcW w:w="2637" w:type="pct"/>
            <w:gridSpan w:val="5"/>
            <w:tcBorders>
              <w:top w:val="single" w:sz="4" w:space="0" w:color="auto"/>
              <w:left w:val="nil"/>
              <w:bottom w:val="single" w:sz="4" w:space="0" w:color="auto"/>
              <w:right w:val="single" w:sz="4" w:space="0" w:color="auto"/>
            </w:tcBorders>
            <w:shd w:val="clear" w:color="auto" w:fill="auto"/>
            <w:vAlign w:val="center"/>
            <w:hideMark/>
          </w:tcPr>
          <w:p w14:paraId="77A610EA" w14:textId="77777777" w:rsidR="009A05C7" w:rsidRPr="00973B5D" w:rsidRDefault="009A05C7" w:rsidP="000240DA">
            <w:pPr>
              <w:spacing w:after="0" w:line="240" w:lineRule="auto"/>
              <w:jc w:val="center"/>
              <w:rPr>
                <w:rFonts w:eastAsia="Times New Roman" w:cs="Times New Roman"/>
                <w:b/>
                <w:bCs/>
                <w:sz w:val="18"/>
                <w:szCs w:val="18"/>
                <w:lang w:eastAsia="sk-SK"/>
              </w:rPr>
            </w:pPr>
            <w:r w:rsidRPr="00973B5D">
              <w:rPr>
                <w:rFonts w:eastAsia="Times New Roman" w:cs="Times New Roman"/>
                <w:b/>
                <w:bCs/>
                <w:sz w:val="18"/>
                <w:szCs w:val="18"/>
                <w:lang w:eastAsia="sk-SK"/>
              </w:rPr>
              <w:t xml:space="preserve">Hrubý dlh verejnej správy </w:t>
            </w:r>
          </w:p>
        </w:tc>
      </w:tr>
      <w:tr w:rsidR="009A05C7" w:rsidRPr="00973B5D" w14:paraId="5913A945" w14:textId="77777777" w:rsidTr="000240DA">
        <w:trPr>
          <w:trHeight w:val="520"/>
          <w:tblHeader/>
        </w:trPr>
        <w:tc>
          <w:tcPr>
            <w:tcW w:w="719" w:type="pct"/>
            <w:tcBorders>
              <w:top w:val="nil"/>
              <w:left w:val="single" w:sz="4" w:space="0" w:color="auto"/>
              <w:bottom w:val="single" w:sz="4" w:space="0" w:color="auto"/>
              <w:right w:val="nil"/>
            </w:tcBorders>
            <w:shd w:val="clear" w:color="auto" w:fill="auto"/>
            <w:vAlign w:val="center"/>
            <w:hideMark/>
          </w:tcPr>
          <w:p w14:paraId="17411D71" w14:textId="77777777" w:rsidR="009A05C7" w:rsidRPr="00973B5D" w:rsidRDefault="009A05C7" w:rsidP="000240DA">
            <w:pPr>
              <w:spacing w:after="0" w:line="240" w:lineRule="auto"/>
              <w:jc w:val="left"/>
              <w:rPr>
                <w:rFonts w:eastAsia="Times New Roman" w:cs="Times New Roman"/>
                <w:b/>
                <w:bCs/>
                <w:sz w:val="18"/>
                <w:szCs w:val="18"/>
                <w:lang w:eastAsia="sk-SK"/>
              </w:rPr>
            </w:pPr>
            <w:r w:rsidRPr="00973B5D">
              <w:rPr>
                <w:rFonts w:eastAsia="Times New Roman" w:cs="Times New Roman"/>
                <w:b/>
                <w:bCs/>
                <w:sz w:val="18"/>
                <w:szCs w:val="18"/>
                <w:lang w:eastAsia="sk-SK"/>
              </w:rPr>
              <w:t> </w:t>
            </w:r>
          </w:p>
        </w:tc>
        <w:tc>
          <w:tcPr>
            <w:tcW w:w="411" w:type="pct"/>
            <w:tcBorders>
              <w:top w:val="nil"/>
              <w:left w:val="nil"/>
              <w:bottom w:val="single" w:sz="4" w:space="0" w:color="auto"/>
              <w:right w:val="nil"/>
            </w:tcBorders>
            <w:shd w:val="clear" w:color="auto" w:fill="auto"/>
            <w:vAlign w:val="center"/>
            <w:hideMark/>
          </w:tcPr>
          <w:p w14:paraId="381333D8" w14:textId="77777777" w:rsidR="009A05C7" w:rsidRPr="00973B5D" w:rsidRDefault="009A05C7" w:rsidP="000240DA">
            <w:pPr>
              <w:spacing w:after="0" w:line="240" w:lineRule="auto"/>
              <w:jc w:val="center"/>
              <w:rPr>
                <w:rFonts w:eastAsia="Times New Roman" w:cs="Times New Roman"/>
                <w:b/>
                <w:bCs/>
                <w:sz w:val="18"/>
                <w:szCs w:val="18"/>
                <w:lang w:eastAsia="sk-SK"/>
              </w:rPr>
            </w:pPr>
            <w:r w:rsidRPr="00973B5D">
              <w:rPr>
                <w:rFonts w:eastAsia="Times New Roman" w:cs="Times New Roman"/>
                <w:b/>
                <w:bCs/>
                <w:sz w:val="18"/>
                <w:szCs w:val="18"/>
                <w:lang w:eastAsia="sk-SK"/>
              </w:rPr>
              <w:t>2022</w:t>
            </w:r>
          </w:p>
        </w:tc>
        <w:tc>
          <w:tcPr>
            <w:tcW w:w="411" w:type="pct"/>
            <w:tcBorders>
              <w:top w:val="nil"/>
              <w:left w:val="nil"/>
              <w:bottom w:val="single" w:sz="4" w:space="0" w:color="auto"/>
              <w:right w:val="nil"/>
            </w:tcBorders>
            <w:shd w:val="clear" w:color="auto" w:fill="auto"/>
            <w:vAlign w:val="center"/>
            <w:hideMark/>
          </w:tcPr>
          <w:p w14:paraId="53B8BD5C" w14:textId="77777777" w:rsidR="009A05C7" w:rsidRPr="00973B5D" w:rsidRDefault="009A05C7" w:rsidP="000240DA">
            <w:pPr>
              <w:spacing w:after="0" w:line="240" w:lineRule="auto"/>
              <w:jc w:val="center"/>
              <w:rPr>
                <w:rFonts w:eastAsia="Times New Roman" w:cs="Times New Roman"/>
                <w:b/>
                <w:bCs/>
                <w:sz w:val="18"/>
                <w:szCs w:val="18"/>
                <w:lang w:eastAsia="sk-SK"/>
              </w:rPr>
            </w:pPr>
            <w:r w:rsidRPr="00973B5D">
              <w:rPr>
                <w:rFonts w:eastAsia="Times New Roman" w:cs="Times New Roman"/>
                <w:b/>
                <w:bCs/>
                <w:sz w:val="18"/>
                <w:szCs w:val="18"/>
                <w:lang w:eastAsia="sk-SK"/>
              </w:rPr>
              <w:t>2023</w:t>
            </w:r>
          </w:p>
        </w:tc>
        <w:tc>
          <w:tcPr>
            <w:tcW w:w="411" w:type="pct"/>
            <w:tcBorders>
              <w:top w:val="nil"/>
              <w:left w:val="nil"/>
              <w:bottom w:val="single" w:sz="4" w:space="0" w:color="auto"/>
              <w:right w:val="nil"/>
            </w:tcBorders>
            <w:shd w:val="clear" w:color="auto" w:fill="auto"/>
            <w:vAlign w:val="center"/>
            <w:hideMark/>
          </w:tcPr>
          <w:p w14:paraId="71454EBB" w14:textId="77777777" w:rsidR="009A05C7" w:rsidRPr="00973B5D" w:rsidRDefault="009A05C7" w:rsidP="000240DA">
            <w:pPr>
              <w:spacing w:after="0" w:line="240" w:lineRule="auto"/>
              <w:jc w:val="center"/>
              <w:rPr>
                <w:rFonts w:eastAsia="Times New Roman" w:cs="Times New Roman"/>
                <w:b/>
                <w:bCs/>
                <w:sz w:val="18"/>
                <w:szCs w:val="18"/>
                <w:lang w:eastAsia="sk-SK"/>
              </w:rPr>
            </w:pPr>
            <w:r w:rsidRPr="00973B5D">
              <w:rPr>
                <w:rFonts w:eastAsia="Times New Roman" w:cs="Times New Roman"/>
                <w:b/>
                <w:bCs/>
                <w:sz w:val="18"/>
                <w:szCs w:val="18"/>
                <w:lang w:eastAsia="sk-SK"/>
              </w:rPr>
              <w:t>2024</w:t>
            </w:r>
          </w:p>
        </w:tc>
        <w:tc>
          <w:tcPr>
            <w:tcW w:w="411" w:type="pct"/>
            <w:tcBorders>
              <w:top w:val="nil"/>
              <w:left w:val="nil"/>
              <w:bottom w:val="single" w:sz="4" w:space="0" w:color="auto"/>
              <w:right w:val="nil"/>
            </w:tcBorders>
            <w:shd w:val="clear" w:color="auto" w:fill="auto"/>
            <w:vAlign w:val="center"/>
            <w:hideMark/>
          </w:tcPr>
          <w:p w14:paraId="0AEA53BF" w14:textId="77777777" w:rsidR="009A05C7" w:rsidRPr="00973B5D" w:rsidRDefault="009A05C7" w:rsidP="000240DA">
            <w:pPr>
              <w:spacing w:after="0" w:line="240" w:lineRule="auto"/>
              <w:jc w:val="center"/>
              <w:rPr>
                <w:rFonts w:eastAsia="Times New Roman" w:cs="Times New Roman"/>
                <w:b/>
                <w:bCs/>
                <w:sz w:val="18"/>
                <w:szCs w:val="18"/>
                <w:lang w:eastAsia="sk-SK"/>
              </w:rPr>
            </w:pPr>
            <w:r w:rsidRPr="00973B5D">
              <w:rPr>
                <w:rFonts w:eastAsia="Times New Roman" w:cs="Times New Roman"/>
                <w:b/>
                <w:bCs/>
                <w:sz w:val="18"/>
                <w:szCs w:val="18"/>
                <w:lang w:eastAsia="sk-SK"/>
              </w:rPr>
              <w:t>Δ 2024-2023</w:t>
            </w:r>
          </w:p>
        </w:tc>
        <w:tc>
          <w:tcPr>
            <w:tcW w:w="719" w:type="pct"/>
            <w:tcBorders>
              <w:top w:val="single" w:sz="4" w:space="0" w:color="auto"/>
              <w:left w:val="single" w:sz="4" w:space="0" w:color="auto"/>
              <w:bottom w:val="single" w:sz="4" w:space="0" w:color="auto"/>
              <w:right w:val="nil"/>
            </w:tcBorders>
            <w:shd w:val="clear" w:color="auto" w:fill="auto"/>
            <w:noWrap/>
            <w:vAlign w:val="center"/>
            <w:hideMark/>
          </w:tcPr>
          <w:p w14:paraId="5A9B8AF2" w14:textId="77777777" w:rsidR="009A05C7" w:rsidRPr="00973B5D" w:rsidRDefault="009A05C7" w:rsidP="000240DA">
            <w:pPr>
              <w:spacing w:after="0" w:line="240" w:lineRule="auto"/>
              <w:ind w:firstLineChars="100" w:firstLine="181"/>
              <w:jc w:val="right"/>
              <w:rPr>
                <w:rFonts w:eastAsia="Times New Roman" w:cs="Times New Roman"/>
                <w:b/>
                <w:bCs/>
                <w:sz w:val="18"/>
                <w:szCs w:val="18"/>
                <w:lang w:eastAsia="sk-SK"/>
              </w:rPr>
            </w:pPr>
            <w:r w:rsidRPr="00973B5D">
              <w:rPr>
                <w:rFonts w:eastAsia="Times New Roman" w:cs="Times New Roman"/>
                <w:b/>
                <w:bCs/>
                <w:sz w:val="18"/>
                <w:szCs w:val="18"/>
                <w:lang w:eastAsia="sk-SK"/>
              </w:rPr>
              <w:t> </w:t>
            </w:r>
          </w:p>
        </w:tc>
        <w:tc>
          <w:tcPr>
            <w:tcW w:w="484" w:type="pct"/>
            <w:tcBorders>
              <w:top w:val="single" w:sz="4" w:space="0" w:color="auto"/>
              <w:left w:val="nil"/>
              <w:bottom w:val="single" w:sz="4" w:space="0" w:color="auto"/>
              <w:right w:val="nil"/>
            </w:tcBorders>
            <w:shd w:val="clear" w:color="auto" w:fill="auto"/>
            <w:vAlign w:val="center"/>
            <w:hideMark/>
          </w:tcPr>
          <w:p w14:paraId="1C2E4779" w14:textId="77777777" w:rsidR="009A05C7" w:rsidRPr="00973B5D" w:rsidRDefault="009A05C7" w:rsidP="000240DA">
            <w:pPr>
              <w:spacing w:after="0" w:line="240" w:lineRule="auto"/>
              <w:jc w:val="center"/>
              <w:rPr>
                <w:rFonts w:eastAsia="Times New Roman" w:cs="Times New Roman"/>
                <w:b/>
                <w:bCs/>
                <w:sz w:val="18"/>
                <w:szCs w:val="18"/>
                <w:lang w:eastAsia="sk-SK"/>
              </w:rPr>
            </w:pPr>
            <w:r w:rsidRPr="00973B5D">
              <w:rPr>
                <w:rFonts w:eastAsia="Times New Roman" w:cs="Times New Roman"/>
                <w:b/>
                <w:bCs/>
                <w:sz w:val="18"/>
                <w:szCs w:val="18"/>
                <w:lang w:eastAsia="sk-SK"/>
              </w:rPr>
              <w:t>2022</w:t>
            </w:r>
          </w:p>
        </w:tc>
        <w:tc>
          <w:tcPr>
            <w:tcW w:w="484" w:type="pct"/>
            <w:tcBorders>
              <w:top w:val="single" w:sz="4" w:space="0" w:color="auto"/>
              <w:left w:val="nil"/>
              <w:bottom w:val="single" w:sz="4" w:space="0" w:color="auto"/>
              <w:right w:val="nil"/>
            </w:tcBorders>
            <w:shd w:val="clear" w:color="auto" w:fill="auto"/>
            <w:vAlign w:val="center"/>
            <w:hideMark/>
          </w:tcPr>
          <w:p w14:paraId="3678B377" w14:textId="77777777" w:rsidR="009A05C7" w:rsidRPr="00973B5D" w:rsidRDefault="009A05C7" w:rsidP="000240DA">
            <w:pPr>
              <w:spacing w:after="0" w:line="240" w:lineRule="auto"/>
              <w:jc w:val="center"/>
              <w:rPr>
                <w:rFonts w:eastAsia="Times New Roman" w:cs="Times New Roman"/>
                <w:b/>
                <w:bCs/>
                <w:sz w:val="18"/>
                <w:szCs w:val="18"/>
                <w:lang w:eastAsia="sk-SK"/>
              </w:rPr>
            </w:pPr>
            <w:r w:rsidRPr="00973B5D">
              <w:rPr>
                <w:rFonts w:eastAsia="Times New Roman" w:cs="Times New Roman"/>
                <w:b/>
                <w:bCs/>
                <w:sz w:val="18"/>
                <w:szCs w:val="18"/>
                <w:lang w:eastAsia="sk-SK"/>
              </w:rPr>
              <w:t>2023</w:t>
            </w:r>
          </w:p>
        </w:tc>
        <w:tc>
          <w:tcPr>
            <w:tcW w:w="484" w:type="pct"/>
            <w:tcBorders>
              <w:top w:val="single" w:sz="4" w:space="0" w:color="auto"/>
              <w:left w:val="nil"/>
              <w:bottom w:val="single" w:sz="4" w:space="0" w:color="auto"/>
              <w:right w:val="nil"/>
            </w:tcBorders>
            <w:shd w:val="clear" w:color="auto" w:fill="auto"/>
            <w:vAlign w:val="center"/>
            <w:hideMark/>
          </w:tcPr>
          <w:p w14:paraId="4F89B326" w14:textId="77777777" w:rsidR="009A05C7" w:rsidRPr="00973B5D" w:rsidRDefault="009A05C7" w:rsidP="000240DA">
            <w:pPr>
              <w:spacing w:after="0" w:line="240" w:lineRule="auto"/>
              <w:jc w:val="center"/>
              <w:rPr>
                <w:rFonts w:eastAsia="Times New Roman" w:cs="Times New Roman"/>
                <w:b/>
                <w:bCs/>
                <w:sz w:val="18"/>
                <w:szCs w:val="18"/>
                <w:lang w:eastAsia="sk-SK"/>
              </w:rPr>
            </w:pPr>
            <w:r w:rsidRPr="00973B5D">
              <w:rPr>
                <w:rFonts w:eastAsia="Times New Roman" w:cs="Times New Roman"/>
                <w:b/>
                <w:bCs/>
                <w:sz w:val="18"/>
                <w:szCs w:val="18"/>
                <w:lang w:eastAsia="sk-SK"/>
              </w:rPr>
              <w:t>2024</w:t>
            </w:r>
          </w:p>
        </w:tc>
        <w:tc>
          <w:tcPr>
            <w:tcW w:w="466" w:type="pct"/>
            <w:tcBorders>
              <w:top w:val="single" w:sz="4" w:space="0" w:color="auto"/>
              <w:left w:val="nil"/>
              <w:bottom w:val="single" w:sz="4" w:space="0" w:color="auto"/>
              <w:right w:val="single" w:sz="4" w:space="0" w:color="auto"/>
            </w:tcBorders>
            <w:shd w:val="clear" w:color="auto" w:fill="auto"/>
            <w:vAlign w:val="center"/>
            <w:hideMark/>
          </w:tcPr>
          <w:p w14:paraId="70AA8741" w14:textId="77777777" w:rsidR="009A05C7" w:rsidRPr="00973B5D" w:rsidRDefault="009A05C7" w:rsidP="000240DA">
            <w:pPr>
              <w:spacing w:after="0" w:line="240" w:lineRule="auto"/>
              <w:jc w:val="center"/>
              <w:rPr>
                <w:rFonts w:eastAsia="Times New Roman" w:cs="Times New Roman"/>
                <w:b/>
                <w:bCs/>
                <w:sz w:val="18"/>
                <w:szCs w:val="18"/>
                <w:lang w:eastAsia="sk-SK"/>
              </w:rPr>
            </w:pPr>
            <w:r w:rsidRPr="00973B5D">
              <w:rPr>
                <w:rFonts w:eastAsia="Times New Roman" w:cs="Times New Roman"/>
                <w:b/>
                <w:bCs/>
                <w:sz w:val="18"/>
                <w:szCs w:val="18"/>
                <w:lang w:eastAsia="sk-SK"/>
              </w:rPr>
              <w:t>Δ 2024-2023</w:t>
            </w:r>
          </w:p>
        </w:tc>
      </w:tr>
      <w:tr w:rsidR="009A05C7" w:rsidRPr="00973B5D" w14:paraId="6319B0EC" w14:textId="77777777" w:rsidTr="000240DA">
        <w:trPr>
          <w:trHeight w:val="280"/>
        </w:trPr>
        <w:tc>
          <w:tcPr>
            <w:tcW w:w="719" w:type="pct"/>
            <w:tcBorders>
              <w:top w:val="nil"/>
              <w:left w:val="single" w:sz="4" w:space="0" w:color="auto"/>
              <w:bottom w:val="nil"/>
              <w:right w:val="nil"/>
            </w:tcBorders>
            <w:shd w:val="clear" w:color="auto" w:fill="auto"/>
            <w:noWrap/>
            <w:vAlign w:val="center"/>
            <w:hideMark/>
          </w:tcPr>
          <w:p w14:paraId="6251A231" w14:textId="77777777" w:rsidR="009A05C7" w:rsidRPr="00973B5D" w:rsidRDefault="009A05C7" w:rsidP="000240DA">
            <w:pPr>
              <w:spacing w:after="0" w:line="240" w:lineRule="auto"/>
              <w:jc w:val="left"/>
              <w:rPr>
                <w:rFonts w:eastAsia="Times New Roman" w:cs="Times New Roman"/>
                <w:b/>
                <w:bCs/>
                <w:sz w:val="18"/>
                <w:szCs w:val="18"/>
                <w:lang w:eastAsia="sk-SK"/>
              </w:rPr>
            </w:pPr>
            <w:r w:rsidRPr="00973B5D">
              <w:rPr>
                <w:rFonts w:eastAsia="Times New Roman" w:cs="Times New Roman"/>
                <w:b/>
                <w:bCs/>
                <w:sz w:val="18"/>
                <w:szCs w:val="18"/>
                <w:lang w:eastAsia="sk-SK"/>
              </w:rPr>
              <w:t>EÚ (27 krajín)</w:t>
            </w:r>
          </w:p>
        </w:tc>
        <w:tc>
          <w:tcPr>
            <w:tcW w:w="411" w:type="pct"/>
            <w:tcBorders>
              <w:top w:val="nil"/>
              <w:left w:val="nil"/>
              <w:bottom w:val="nil"/>
              <w:right w:val="nil"/>
            </w:tcBorders>
            <w:shd w:val="clear" w:color="auto" w:fill="auto"/>
            <w:noWrap/>
            <w:vAlign w:val="center"/>
            <w:hideMark/>
          </w:tcPr>
          <w:p w14:paraId="70C821BE" w14:textId="77777777" w:rsidR="009A05C7" w:rsidRPr="00973B5D" w:rsidRDefault="009A05C7" w:rsidP="000240DA">
            <w:pPr>
              <w:spacing w:after="0" w:line="240" w:lineRule="auto"/>
              <w:ind w:firstLineChars="100" w:firstLine="181"/>
              <w:jc w:val="right"/>
              <w:rPr>
                <w:rFonts w:eastAsia="Times New Roman" w:cs="Times New Roman"/>
                <w:b/>
                <w:bCs/>
                <w:color w:val="000000"/>
                <w:sz w:val="18"/>
                <w:szCs w:val="18"/>
                <w:lang w:eastAsia="sk-SK"/>
              </w:rPr>
            </w:pPr>
            <w:r w:rsidRPr="00973B5D">
              <w:rPr>
                <w:rFonts w:eastAsia="Times New Roman" w:cs="Times New Roman"/>
                <w:b/>
                <w:bCs/>
                <w:color w:val="000000"/>
                <w:sz w:val="18"/>
                <w:szCs w:val="18"/>
                <w:lang w:eastAsia="sk-SK"/>
              </w:rPr>
              <w:t>-3,2</w:t>
            </w:r>
          </w:p>
        </w:tc>
        <w:tc>
          <w:tcPr>
            <w:tcW w:w="411" w:type="pct"/>
            <w:tcBorders>
              <w:top w:val="nil"/>
              <w:left w:val="nil"/>
              <w:bottom w:val="nil"/>
              <w:right w:val="nil"/>
            </w:tcBorders>
            <w:shd w:val="clear" w:color="auto" w:fill="auto"/>
            <w:noWrap/>
            <w:vAlign w:val="center"/>
            <w:hideMark/>
          </w:tcPr>
          <w:p w14:paraId="48C35E19" w14:textId="77777777" w:rsidR="009A05C7" w:rsidRPr="00973B5D" w:rsidRDefault="009A05C7" w:rsidP="000240DA">
            <w:pPr>
              <w:spacing w:after="0" w:line="240" w:lineRule="auto"/>
              <w:ind w:firstLineChars="100" w:firstLine="181"/>
              <w:jc w:val="right"/>
              <w:rPr>
                <w:rFonts w:eastAsia="Times New Roman" w:cs="Times New Roman"/>
                <w:b/>
                <w:bCs/>
                <w:color w:val="000000"/>
                <w:sz w:val="18"/>
                <w:szCs w:val="18"/>
                <w:lang w:eastAsia="sk-SK"/>
              </w:rPr>
            </w:pPr>
            <w:r w:rsidRPr="00973B5D">
              <w:rPr>
                <w:rFonts w:eastAsia="Times New Roman" w:cs="Times New Roman"/>
                <w:b/>
                <w:bCs/>
                <w:color w:val="000000"/>
                <w:sz w:val="18"/>
                <w:szCs w:val="18"/>
                <w:lang w:eastAsia="sk-SK"/>
              </w:rPr>
              <w:t>-3,5</w:t>
            </w:r>
          </w:p>
        </w:tc>
        <w:tc>
          <w:tcPr>
            <w:tcW w:w="411" w:type="pct"/>
            <w:tcBorders>
              <w:top w:val="nil"/>
              <w:left w:val="nil"/>
              <w:bottom w:val="nil"/>
              <w:right w:val="nil"/>
            </w:tcBorders>
            <w:shd w:val="clear" w:color="auto" w:fill="auto"/>
            <w:noWrap/>
            <w:vAlign w:val="center"/>
            <w:hideMark/>
          </w:tcPr>
          <w:p w14:paraId="09FDCA77" w14:textId="77777777" w:rsidR="009A05C7" w:rsidRPr="00201A56" w:rsidRDefault="009A05C7" w:rsidP="000240DA">
            <w:pPr>
              <w:spacing w:after="0" w:line="240" w:lineRule="auto"/>
              <w:ind w:firstLineChars="100" w:firstLine="181"/>
              <w:jc w:val="right"/>
              <w:rPr>
                <w:rFonts w:eastAsia="Times New Roman" w:cs="Times New Roman"/>
                <w:b/>
                <w:bCs/>
                <w:sz w:val="18"/>
                <w:szCs w:val="18"/>
                <w:lang w:eastAsia="sk-SK"/>
              </w:rPr>
            </w:pPr>
            <w:r w:rsidRPr="00201A56">
              <w:rPr>
                <w:rFonts w:eastAsia="Times New Roman" w:cs="Times New Roman"/>
                <w:b/>
                <w:bCs/>
                <w:sz w:val="18"/>
                <w:szCs w:val="18"/>
                <w:lang w:eastAsia="sk-SK"/>
              </w:rPr>
              <w:t>-3,2</w:t>
            </w:r>
          </w:p>
        </w:tc>
        <w:tc>
          <w:tcPr>
            <w:tcW w:w="411" w:type="pct"/>
            <w:tcBorders>
              <w:top w:val="nil"/>
              <w:left w:val="nil"/>
              <w:bottom w:val="nil"/>
              <w:right w:val="nil"/>
            </w:tcBorders>
            <w:shd w:val="clear" w:color="auto" w:fill="auto"/>
            <w:noWrap/>
            <w:vAlign w:val="center"/>
            <w:hideMark/>
          </w:tcPr>
          <w:p w14:paraId="684CE17D" w14:textId="77777777" w:rsidR="009A05C7" w:rsidRPr="00201A56" w:rsidRDefault="009A05C7" w:rsidP="000240DA">
            <w:pPr>
              <w:spacing w:after="0" w:line="240" w:lineRule="auto"/>
              <w:ind w:firstLineChars="100" w:firstLine="181"/>
              <w:jc w:val="right"/>
              <w:rPr>
                <w:rFonts w:eastAsia="Times New Roman" w:cs="Times New Roman"/>
                <w:b/>
                <w:bCs/>
                <w:sz w:val="18"/>
                <w:szCs w:val="18"/>
                <w:lang w:eastAsia="sk-SK"/>
              </w:rPr>
            </w:pPr>
            <w:r w:rsidRPr="00201A56">
              <w:rPr>
                <w:rFonts w:eastAsia="Times New Roman" w:cs="Times New Roman"/>
                <w:b/>
                <w:bCs/>
                <w:sz w:val="18"/>
                <w:szCs w:val="18"/>
                <w:lang w:eastAsia="sk-SK"/>
              </w:rPr>
              <w:t>0,3</w:t>
            </w:r>
          </w:p>
        </w:tc>
        <w:tc>
          <w:tcPr>
            <w:tcW w:w="719" w:type="pct"/>
            <w:tcBorders>
              <w:top w:val="nil"/>
              <w:left w:val="single" w:sz="4" w:space="0" w:color="auto"/>
              <w:bottom w:val="nil"/>
              <w:right w:val="nil"/>
            </w:tcBorders>
            <w:shd w:val="clear" w:color="auto" w:fill="auto"/>
            <w:noWrap/>
            <w:vAlign w:val="center"/>
            <w:hideMark/>
          </w:tcPr>
          <w:p w14:paraId="68736355" w14:textId="77777777" w:rsidR="009A05C7" w:rsidRPr="00201A56" w:rsidRDefault="009A05C7" w:rsidP="000240DA">
            <w:pPr>
              <w:spacing w:after="0" w:line="240" w:lineRule="auto"/>
              <w:jc w:val="left"/>
              <w:rPr>
                <w:rFonts w:eastAsia="Times New Roman" w:cs="Times New Roman"/>
                <w:b/>
                <w:bCs/>
                <w:sz w:val="18"/>
                <w:szCs w:val="18"/>
                <w:lang w:eastAsia="sk-SK"/>
              </w:rPr>
            </w:pPr>
            <w:r w:rsidRPr="00201A56">
              <w:rPr>
                <w:rFonts w:eastAsia="Times New Roman" w:cs="Times New Roman"/>
                <w:b/>
                <w:bCs/>
                <w:sz w:val="18"/>
                <w:szCs w:val="18"/>
                <w:lang w:eastAsia="sk-SK"/>
              </w:rPr>
              <w:t>EÚ (27 krajín)</w:t>
            </w:r>
          </w:p>
        </w:tc>
        <w:tc>
          <w:tcPr>
            <w:tcW w:w="484" w:type="pct"/>
            <w:tcBorders>
              <w:top w:val="nil"/>
              <w:left w:val="nil"/>
              <w:bottom w:val="nil"/>
              <w:right w:val="nil"/>
            </w:tcBorders>
            <w:shd w:val="clear" w:color="auto" w:fill="auto"/>
            <w:noWrap/>
            <w:vAlign w:val="center"/>
            <w:hideMark/>
          </w:tcPr>
          <w:p w14:paraId="2DB69570" w14:textId="77777777" w:rsidR="009A05C7" w:rsidRPr="00201A56" w:rsidRDefault="009A05C7" w:rsidP="000240DA">
            <w:pPr>
              <w:spacing w:after="0" w:line="240" w:lineRule="auto"/>
              <w:ind w:firstLineChars="100" w:firstLine="181"/>
              <w:jc w:val="right"/>
              <w:rPr>
                <w:rFonts w:eastAsia="Times New Roman" w:cs="Times New Roman"/>
                <w:b/>
                <w:bCs/>
                <w:sz w:val="18"/>
                <w:szCs w:val="18"/>
                <w:lang w:eastAsia="sk-SK"/>
              </w:rPr>
            </w:pPr>
            <w:r w:rsidRPr="00201A56">
              <w:rPr>
                <w:rFonts w:eastAsia="Times New Roman" w:cs="Times New Roman"/>
                <w:b/>
                <w:bCs/>
                <w:sz w:val="18"/>
                <w:szCs w:val="18"/>
                <w:lang w:eastAsia="sk-SK"/>
              </w:rPr>
              <w:t>82,5</w:t>
            </w:r>
          </w:p>
        </w:tc>
        <w:tc>
          <w:tcPr>
            <w:tcW w:w="484" w:type="pct"/>
            <w:tcBorders>
              <w:top w:val="nil"/>
              <w:left w:val="nil"/>
              <w:bottom w:val="nil"/>
              <w:right w:val="nil"/>
            </w:tcBorders>
            <w:shd w:val="clear" w:color="auto" w:fill="auto"/>
            <w:noWrap/>
            <w:vAlign w:val="center"/>
            <w:hideMark/>
          </w:tcPr>
          <w:p w14:paraId="508FB032" w14:textId="77777777" w:rsidR="009A05C7" w:rsidRPr="00201A56" w:rsidRDefault="009A05C7" w:rsidP="000240DA">
            <w:pPr>
              <w:spacing w:after="0" w:line="240" w:lineRule="auto"/>
              <w:ind w:firstLineChars="100" w:firstLine="181"/>
              <w:jc w:val="right"/>
              <w:rPr>
                <w:rFonts w:eastAsia="Times New Roman" w:cs="Times New Roman"/>
                <w:b/>
                <w:bCs/>
                <w:sz w:val="18"/>
                <w:szCs w:val="18"/>
                <w:lang w:eastAsia="sk-SK"/>
              </w:rPr>
            </w:pPr>
            <w:r w:rsidRPr="00201A56">
              <w:rPr>
                <w:rFonts w:eastAsia="Times New Roman" w:cs="Times New Roman"/>
                <w:b/>
                <w:bCs/>
                <w:sz w:val="18"/>
                <w:szCs w:val="18"/>
                <w:lang w:eastAsia="sk-SK"/>
              </w:rPr>
              <w:t>80,8</w:t>
            </w:r>
          </w:p>
        </w:tc>
        <w:tc>
          <w:tcPr>
            <w:tcW w:w="484" w:type="pct"/>
            <w:tcBorders>
              <w:top w:val="nil"/>
              <w:left w:val="nil"/>
              <w:bottom w:val="nil"/>
            </w:tcBorders>
            <w:shd w:val="clear" w:color="auto" w:fill="auto"/>
            <w:noWrap/>
            <w:vAlign w:val="center"/>
            <w:hideMark/>
          </w:tcPr>
          <w:p w14:paraId="33674515" w14:textId="77777777" w:rsidR="009A05C7" w:rsidRPr="00201A56" w:rsidRDefault="009A05C7" w:rsidP="000240DA">
            <w:pPr>
              <w:spacing w:after="0" w:line="240" w:lineRule="auto"/>
              <w:ind w:firstLineChars="100" w:firstLine="181"/>
              <w:jc w:val="right"/>
              <w:rPr>
                <w:rFonts w:eastAsia="Times New Roman" w:cs="Times New Roman"/>
                <w:b/>
                <w:bCs/>
                <w:sz w:val="18"/>
                <w:szCs w:val="18"/>
                <w:lang w:eastAsia="sk-SK"/>
              </w:rPr>
            </w:pPr>
            <w:r w:rsidRPr="00201A56">
              <w:rPr>
                <w:rFonts w:eastAsia="Times New Roman" w:cs="Times New Roman"/>
                <w:b/>
                <w:bCs/>
                <w:sz w:val="18"/>
                <w:szCs w:val="18"/>
                <w:lang w:eastAsia="sk-SK"/>
              </w:rPr>
              <w:t>81,0</w:t>
            </w:r>
          </w:p>
        </w:tc>
        <w:tc>
          <w:tcPr>
            <w:tcW w:w="466" w:type="pct"/>
            <w:tcBorders>
              <w:top w:val="single" w:sz="4" w:space="0" w:color="auto"/>
              <w:bottom w:val="nil"/>
              <w:right w:val="single" w:sz="4" w:space="0" w:color="auto"/>
            </w:tcBorders>
            <w:shd w:val="clear" w:color="auto" w:fill="auto"/>
            <w:noWrap/>
            <w:vAlign w:val="center"/>
            <w:hideMark/>
          </w:tcPr>
          <w:p w14:paraId="1BD20515" w14:textId="77777777" w:rsidR="009A05C7" w:rsidRPr="00201A56" w:rsidRDefault="009A05C7" w:rsidP="000240DA">
            <w:pPr>
              <w:spacing w:after="0" w:line="240" w:lineRule="auto"/>
              <w:ind w:firstLineChars="100" w:firstLine="181"/>
              <w:jc w:val="right"/>
              <w:rPr>
                <w:rFonts w:eastAsia="Times New Roman" w:cs="Times New Roman"/>
                <w:b/>
                <w:bCs/>
                <w:sz w:val="18"/>
                <w:szCs w:val="18"/>
                <w:lang w:eastAsia="sk-SK"/>
              </w:rPr>
            </w:pPr>
            <w:r w:rsidRPr="00201A56">
              <w:rPr>
                <w:rFonts w:eastAsia="Times New Roman" w:cs="Times New Roman"/>
                <w:b/>
                <w:bCs/>
                <w:sz w:val="18"/>
                <w:szCs w:val="18"/>
                <w:lang w:eastAsia="sk-SK"/>
              </w:rPr>
              <w:t>0,2</w:t>
            </w:r>
          </w:p>
        </w:tc>
      </w:tr>
      <w:tr w:rsidR="009A05C7" w:rsidRPr="00973B5D" w14:paraId="20E0EDEF" w14:textId="77777777" w:rsidTr="000240DA">
        <w:trPr>
          <w:trHeight w:val="280"/>
        </w:trPr>
        <w:tc>
          <w:tcPr>
            <w:tcW w:w="719" w:type="pct"/>
            <w:tcBorders>
              <w:top w:val="nil"/>
              <w:left w:val="single" w:sz="4" w:space="0" w:color="auto"/>
              <w:bottom w:val="nil"/>
              <w:right w:val="nil"/>
            </w:tcBorders>
            <w:shd w:val="clear" w:color="auto" w:fill="auto"/>
            <w:noWrap/>
            <w:vAlign w:val="center"/>
            <w:hideMark/>
          </w:tcPr>
          <w:p w14:paraId="6BA533B6" w14:textId="77777777" w:rsidR="009A05C7" w:rsidRPr="00973B5D" w:rsidRDefault="009A05C7" w:rsidP="000240DA">
            <w:pPr>
              <w:spacing w:after="0" w:line="240" w:lineRule="auto"/>
              <w:jc w:val="left"/>
              <w:rPr>
                <w:rFonts w:eastAsia="Times New Roman" w:cs="Times New Roman"/>
                <w:b/>
                <w:bCs/>
                <w:sz w:val="18"/>
                <w:szCs w:val="18"/>
                <w:lang w:eastAsia="sk-SK"/>
              </w:rPr>
            </w:pPr>
            <w:r w:rsidRPr="00973B5D">
              <w:rPr>
                <w:rFonts w:eastAsia="Times New Roman" w:cs="Times New Roman"/>
                <w:b/>
                <w:bCs/>
                <w:sz w:val="18"/>
                <w:szCs w:val="18"/>
                <w:lang w:eastAsia="sk-SK"/>
              </w:rPr>
              <w:t>Euro zóna (20)</w:t>
            </w:r>
          </w:p>
        </w:tc>
        <w:tc>
          <w:tcPr>
            <w:tcW w:w="411" w:type="pct"/>
            <w:tcBorders>
              <w:top w:val="nil"/>
              <w:left w:val="nil"/>
              <w:bottom w:val="nil"/>
              <w:right w:val="nil"/>
            </w:tcBorders>
            <w:shd w:val="clear" w:color="auto" w:fill="auto"/>
            <w:noWrap/>
            <w:vAlign w:val="center"/>
            <w:hideMark/>
          </w:tcPr>
          <w:p w14:paraId="3BBDAF20" w14:textId="77777777" w:rsidR="009A05C7" w:rsidRPr="00973B5D" w:rsidRDefault="009A05C7" w:rsidP="000240DA">
            <w:pPr>
              <w:spacing w:after="0" w:line="240" w:lineRule="auto"/>
              <w:ind w:firstLineChars="100" w:firstLine="181"/>
              <w:jc w:val="right"/>
              <w:rPr>
                <w:rFonts w:eastAsia="Times New Roman" w:cs="Times New Roman"/>
                <w:b/>
                <w:bCs/>
                <w:color w:val="000000"/>
                <w:sz w:val="18"/>
                <w:szCs w:val="18"/>
                <w:lang w:eastAsia="sk-SK"/>
              </w:rPr>
            </w:pPr>
            <w:r w:rsidRPr="00973B5D">
              <w:rPr>
                <w:rFonts w:eastAsia="Times New Roman" w:cs="Times New Roman"/>
                <w:b/>
                <w:bCs/>
                <w:color w:val="000000"/>
                <w:sz w:val="18"/>
                <w:szCs w:val="18"/>
                <w:lang w:eastAsia="sk-SK"/>
              </w:rPr>
              <w:t>-3,5</w:t>
            </w:r>
          </w:p>
        </w:tc>
        <w:tc>
          <w:tcPr>
            <w:tcW w:w="411" w:type="pct"/>
            <w:tcBorders>
              <w:top w:val="nil"/>
              <w:left w:val="nil"/>
              <w:bottom w:val="nil"/>
              <w:right w:val="nil"/>
            </w:tcBorders>
            <w:shd w:val="clear" w:color="auto" w:fill="auto"/>
            <w:noWrap/>
            <w:vAlign w:val="center"/>
            <w:hideMark/>
          </w:tcPr>
          <w:p w14:paraId="76F42894" w14:textId="77777777" w:rsidR="009A05C7" w:rsidRPr="00973B5D" w:rsidRDefault="009A05C7" w:rsidP="000240DA">
            <w:pPr>
              <w:spacing w:after="0" w:line="240" w:lineRule="auto"/>
              <w:ind w:firstLineChars="100" w:firstLine="181"/>
              <w:jc w:val="right"/>
              <w:rPr>
                <w:rFonts w:eastAsia="Times New Roman" w:cs="Times New Roman"/>
                <w:b/>
                <w:bCs/>
                <w:color w:val="000000"/>
                <w:sz w:val="18"/>
                <w:szCs w:val="18"/>
                <w:lang w:eastAsia="sk-SK"/>
              </w:rPr>
            </w:pPr>
            <w:r w:rsidRPr="00973B5D">
              <w:rPr>
                <w:rFonts w:eastAsia="Times New Roman" w:cs="Times New Roman"/>
                <w:b/>
                <w:bCs/>
                <w:color w:val="000000"/>
                <w:sz w:val="18"/>
                <w:szCs w:val="18"/>
                <w:lang w:eastAsia="sk-SK"/>
              </w:rPr>
              <w:t>-3,5</w:t>
            </w:r>
          </w:p>
        </w:tc>
        <w:tc>
          <w:tcPr>
            <w:tcW w:w="411" w:type="pct"/>
            <w:tcBorders>
              <w:top w:val="nil"/>
              <w:left w:val="nil"/>
              <w:bottom w:val="nil"/>
              <w:right w:val="nil"/>
            </w:tcBorders>
            <w:shd w:val="clear" w:color="auto" w:fill="auto"/>
            <w:noWrap/>
            <w:vAlign w:val="center"/>
            <w:hideMark/>
          </w:tcPr>
          <w:p w14:paraId="0FC59A53" w14:textId="77777777" w:rsidR="009A05C7" w:rsidRPr="00201A56" w:rsidRDefault="009A05C7" w:rsidP="000240DA">
            <w:pPr>
              <w:spacing w:after="0" w:line="240" w:lineRule="auto"/>
              <w:ind w:firstLineChars="100" w:firstLine="181"/>
              <w:jc w:val="right"/>
              <w:rPr>
                <w:rFonts w:eastAsia="Times New Roman" w:cs="Times New Roman"/>
                <w:b/>
                <w:bCs/>
                <w:sz w:val="18"/>
                <w:szCs w:val="18"/>
                <w:lang w:eastAsia="sk-SK"/>
              </w:rPr>
            </w:pPr>
            <w:r w:rsidRPr="00201A56">
              <w:rPr>
                <w:rFonts w:eastAsia="Times New Roman" w:cs="Times New Roman"/>
                <w:b/>
                <w:bCs/>
                <w:sz w:val="18"/>
                <w:szCs w:val="18"/>
                <w:lang w:eastAsia="sk-SK"/>
              </w:rPr>
              <w:t>-3,1</w:t>
            </w:r>
          </w:p>
        </w:tc>
        <w:tc>
          <w:tcPr>
            <w:tcW w:w="411" w:type="pct"/>
            <w:tcBorders>
              <w:top w:val="nil"/>
              <w:left w:val="nil"/>
              <w:bottom w:val="nil"/>
              <w:right w:val="nil"/>
            </w:tcBorders>
            <w:shd w:val="clear" w:color="auto" w:fill="auto"/>
            <w:noWrap/>
            <w:vAlign w:val="center"/>
            <w:hideMark/>
          </w:tcPr>
          <w:p w14:paraId="2ABE0CA3" w14:textId="77777777" w:rsidR="009A05C7" w:rsidRPr="00201A56" w:rsidRDefault="009A05C7" w:rsidP="000240DA">
            <w:pPr>
              <w:spacing w:after="0" w:line="240" w:lineRule="auto"/>
              <w:ind w:firstLineChars="100" w:firstLine="181"/>
              <w:jc w:val="right"/>
              <w:rPr>
                <w:rFonts w:eastAsia="Times New Roman" w:cs="Times New Roman"/>
                <w:b/>
                <w:bCs/>
                <w:sz w:val="18"/>
                <w:szCs w:val="18"/>
                <w:lang w:eastAsia="sk-SK"/>
              </w:rPr>
            </w:pPr>
            <w:r w:rsidRPr="00201A56">
              <w:rPr>
                <w:rFonts w:eastAsia="Times New Roman" w:cs="Times New Roman"/>
                <w:b/>
                <w:bCs/>
                <w:sz w:val="18"/>
                <w:szCs w:val="18"/>
                <w:lang w:eastAsia="sk-SK"/>
              </w:rPr>
              <w:t>0,4</w:t>
            </w:r>
          </w:p>
        </w:tc>
        <w:tc>
          <w:tcPr>
            <w:tcW w:w="719" w:type="pct"/>
            <w:tcBorders>
              <w:top w:val="nil"/>
              <w:left w:val="single" w:sz="4" w:space="0" w:color="auto"/>
              <w:bottom w:val="nil"/>
              <w:right w:val="nil"/>
            </w:tcBorders>
            <w:shd w:val="clear" w:color="auto" w:fill="auto"/>
            <w:noWrap/>
            <w:vAlign w:val="center"/>
            <w:hideMark/>
          </w:tcPr>
          <w:p w14:paraId="57F7A2AE" w14:textId="77777777" w:rsidR="009A05C7" w:rsidRPr="00201A56" w:rsidRDefault="009A05C7" w:rsidP="000240DA">
            <w:pPr>
              <w:spacing w:after="0" w:line="240" w:lineRule="auto"/>
              <w:jc w:val="left"/>
              <w:rPr>
                <w:rFonts w:eastAsia="Times New Roman" w:cs="Times New Roman"/>
                <w:b/>
                <w:bCs/>
                <w:sz w:val="18"/>
                <w:szCs w:val="18"/>
                <w:lang w:eastAsia="sk-SK"/>
              </w:rPr>
            </w:pPr>
            <w:r w:rsidRPr="00201A56">
              <w:rPr>
                <w:rFonts w:eastAsia="Times New Roman" w:cs="Times New Roman"/>
                <w:b/>
                <w:bCs/>
                <w:sz w:val="18"/>
                <w:szCs w:val="18"/>
                <w:lang w:eastAsia="sk-SK"/>
              </w:rPr>
              <w:t>Euro zóna (20)</w:t>
            </w:r>
          </w:p>
        </w:tc>
        <w:tc>
          <w:tcPr>
            <w:tcW w:w="484" w:type="pct"/>
            <w:tcBorders>
              <w:top w:val="nil"/>
              <w:left w:val="nil"/>
              <w:bottom w:val="nil"/>
              <w:right w:val="nil"/>
            </w:tcBorders>
            <w:shd w:val="clear" w:color="auto" w:fill="auto"/>
            <w:noWrap/>
            <w:vAlign w:val="center"/>
            <w:hideMark/>
          </w:tcPr>
          <w:p w14:paraId="5228C267" w14:textId="77777777" w:rsidR="009A05C7" w:rsidRPr="00201A56" w:rsidRDefault="009A05C7" w:rsidP="000240DA">
            <w:pPr>
              <w:spacing w:after="0" w:line="240" w:lineRule="auto"/>
              <w:ind w:firstLineChars="100" w:firstLine="181"/>
              <w:jc w:val="right"/>
              <w:rPr>
                <w:rFonts w:eastAsia="Times New Roman" w:cs="Times New Roman"/>
                <w:b/>
                <w:bCs/>
                <w:sz w:val="18"/>
                <w:szCs w:val="18"/>
                <w:lang w:eastAsia="sk-SK"/>
              </w:rPr>
            </w:pPr>
            <w:r w:rsidRPr="00201A56">
              <w:rPr>
                <w:rFonts w:eastAsia="Times New Roman" w:cs="Times New Roman"/>
                <w:b/>
                <w:bCs/>
                <w:sz w:val="18"/>
                <w:szCs w:val="18"/>
                <w:lang w:eastAsia="sk-SK"/>
              </w:rPr>
              <w:t>89,5</w:t>
            </w:r>
          </w:p>
        </w:tc>
        <w:tc>
          <w:tcPr>
            <w:tcW w:w="484" w:type="pct"/>
            <w:tcBorders>
              <w:top w:val="nil"/>
              <w:left w:val="nil"/>
              <w:bottom w:val="nil"/>
              <w:right w:val="nil"/>
            </w:tcBorders>
            <w:shd w:val="clear" w:color="auto" w:fill="auto"/>
            <w:noWrap/>
            <w:vAlign w:val="center"/>
            <w:hideMark/>
          </w:tcPr>
          <w:p w14:paraId="00B6D76B" w14:textId="77777777" w:rsidR="009A05C7" w:rsidRPr="00201A56" w:rsidRDefault="009A05C7" w:rsidP="000240DA">
            <w:pPr>
              <w:spacing w:after="0" w:line="240" w:lineRule="auto"/>
              <w:ind w:firstLineChars="100" w:firstLine="181"/>
              <w:jc w:val="right"/>
              <w:rPr>
                <w:rFonts w:eastAsia="Times New Roman" w:cs="Times New Roman"/>
                <w:b/>
                <w:bCs/>
                <w:sz w:val="18"/>
                <w:szCs w:val="18"/>
                <w:lang w:eastAsia="sk-SK"/>
              </w:rPr>
            </w:pPr>
            <w:r w:rsidRPr="00201A56">
              <w:rPr>
                <w:rFonts w:eastAsia="Times New Roman" w:cs="Times New Roman"/>
                <w:b/>
                <w:bCs/>
                <w:sz w:val="18"/>
                <w:szCs w:val="18"/>
                <w:lang w:eastAsia="sk-SK"/>
              </w:rPr>
              <w:t>87,3</w:t>
            </w:r>
          </w:p>
        </w:tc>
        <w:tc>
          <w:tcPr>
            <w:tcW w:w="484" w:type="pct"/>
            <w:tcBorders>
              <w:top w:val="nil"/>
              <w:left w:val="nil"/>
              <w:bottom w:val="nil"/>
            </w:tcBorders>
            <w:shd w:val="clear" w:color="auto" w:fill="auto"/>
            <w:noWrap/>
            <w:vAlign w:val="center"/>
            <w:hideMark/>
          </w:tcPr>
          <w:p w14:paraId="0172C9DD" w14:textId="77777777" w:rsidR="009A05C7" w:rsidRPr="00201A56" w:rsidRDefault="009A05C7" w:rsidP="000240DA">
            <w:pPr>
              <w:spacing w:after="0" w:line="240" w:lineRule="auto"/>
              <w:ind w:firstLineChars="100" w:firstLine="181"/>
              <w:jc w:val="right"/>
              <w:rPr>
                <w:rFonts w:eastAsia="Times New Roman" w:cs="Times New Roman"/>
                <w:b/>
                <w:bCs/>
                <w:sz w:val="18"/>
                <w:szCs w:val="18"/>
                <w:lang w:eastAsia="sk-SK"/>
              </w:rPr>
            </w:pPr>
            <w:r w:rsidRPr="00201A56">
              <w:rPr>
                <w:rFonts w:eastAsia="Times New Roman" w:cs="Times New Roman"/>
                <w:b/>
                <w:bCs/>
                <w:sz w:val="18"/>
                <w:szCs w:val="18"/>
                <w:lang w:eastAsia="sk-SK"/>
              </w:rPr>
              <w:t>87,4</w:t>
            </w:r>
          </w:p>
        </w:tc>
        <w:tc>
          <w:tcPr>
            <w:tcW w:w="466" w:type="pct"/>
            <w:tcBorders>
              <w:top w:val="nil"/>
              <w:bottom w:val="nil"/>
              <w:right w:val="single" w:sz="4" w:space="0" w:color="auto"/>
            </w:tcBorders>
            <w:shd w:val="clear" w:color="auto" w:fill="auto"/>
            <w:noWrap/>
            <w:vAlign w:val="center"/>
            <w:hideMark/>
          </w:tcPr>
          <w:p w14:paraId="2BB6DA49" w14:textId="77777777" w:rsidR="009A05C7" w:rsidRPr="00201A56" w:rsidRDefault="009A05C7" w:rsidP="000240DA">
            <w:pPr>
              <w:spacing w:after="0" w:line="240" w:lineRule="auto"/>
              <w:ind w:firstLineChars="100" w:firstLine="181"/>
              <w:jc w:val="right"/>
              <w:rPr>
                <w:rFonts w:eastAsia="Times New Roman" w:cs="Times New Roman"/>
                <w:b/>
                <w:bCs/>
                <w:sz w:val="18"/>
                <w:szCs w:val="18"/>
                <w:lang w:eastAsia="sk-SK"/>
              </w:rPr>
            </w:pPr>
            <w:r w:rsidRPr="00201A56">
              <w:rPr>
                <w:rFonts w:eastAsia="Times New Roman" w:cs="Times New Roman"/>
                <w:b/>
                <w:bCs/>
                <w:sz w:val="18"/>
                <w:szCs w:val="18"/>
                <w:lang w:eastAsia="sk-SK"/>
              </w:rPr>
              <w:t>0,1</w:t>
            </w:r>
          </w:p>
        </w:tc>
      </w:tr>
      <w:tr w:rsidR="009A05C7" w:rsidRPr="00973B5D" w14:paraId="7B37A149" w14:textId="77777777" w:rsidTr="000240DA">
        <w:trPr>
          <w:trHeight w:val="280"/>
        </w:trPr>
        <w:tc>
          <w:tcPr>
            <w:tcW w:w="719" w:type="pct"/>
            <w:tcBorders>
              <w:top w:val="nil"/>
              <w:left w:val="single" w:sz="4" w:space="0" w:color="auto"/>
              <w:bottom w:val="nil"/>
              <w:right w:val="nil"/>
            </w:tcBorders>
            <w:shd w:val="clear" w:color="auto" w:fill="auto"/>
            <w:noWrap/>
            <w:vAlign w:val="center"/>
            <w:hideMark/>
          </w:tcPr>
          <w:p w14:paraId="7014B8FC" w14:textId="77777777" w:rsidR="009A05C7" w:rsidRPr="00973B5D" w:rsidRDefault="009A05C7" w:rsidP="000240DA">
            <w:pPr>
              <w:spacing w:after="0" w:line="240" w:lineRule="auto"/>
              <w:jc w:val="left"/>
              <w:rPr>
                <w:rFonts w:eastAsia="Times New Roman" w:cs="Times New Roman"/>
                <w:sz w:val="18"/>
                <w:szCs w:val="18"/>
                <w:lang w:eastAsia="sk-SK"/>
              </w:rPr>
            </w:pPr>
            <w:r w:rsidRPr="00973B5D">
              <w:rPr>
                <w:rFonts w:eastAsia="Times New Roman" w:cs="Times New Roman"/>
                <w:sz w:val="18"/>
                <w:szCs w:val="18"/>
                <w:lang w:eastAsia="sk-SK"/>
              </w:rPr>
              <w:t>Rumunsko</w:t>
            </w:r>
          </w:p>
        </w:tc>
        <w:tc>
          <w:tcPr>
            <w:tcW w:w="411" w:type="pct"/>
            <w:tcBorders>
              <w:top w:val="nil"/>
              <w:left w:val="nil"/>
              <w:bottom w:val="nil"/>
              <w:right w:val="nil"/>
            </w:tcBorders>
            <w:shd w:val="clear" w:color="auto" w:fill="auto"/>
            <w:noWrap/>
            <w:vAlign w:val="center"/>
            <w:hideMark/>
          </w:tcPr>
          <w:p w14:paraId="660984DB"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-6,4</w:t>
            </w:r>
          </w:p>
        </w:tc>
        <w:tc>
          <w:tcPr>
            <w:tcW w:w="411" w:type="pct"/>
            <w:tcBorders>
              <w:top w:val="nil"/>
              <w:left w:val="nil"/>
              <w:bottom w:val="nil"/>
              <w:right w:val="nil"/>
            </w:tcBorders>
            <w:shd w:val="clear" w:color="auto" w:fill="auto"/>
            <w:noWrap/>
            <w:vAlign w:val="center"/>
            <w:hideMark/>
          </w:tcPr>
          <w:p w14:paraId="163ABDF9"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-6,6</w:t>
            </w:r>
          </w:p>
        </w:tc>
        <w:tc>
          <w:tcPr>
            <w:tcW w:w="411" w:type="pct"/>
            <w:tcBorders>
              <w:top w:val="nil"/>
              <w:left w:val="nil"/>
              <w:bottom w:val="nil"/>
              <w:right w:val="nil"/>
            </w:tcBorders>
            <w:shd w:val="clear" w:color="auto" w:fill="auto"/>
            <w:noWrap/>
            <w:vAlign w:val="center"/>
            <w:hideMark/>
          </w:tcPr>
          <w:p w14:paraId="6696A8F6"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-9,3</w:t>
            </w:r>
          </w:p>
        </w:tc>
        <w:tc>
          <w:tcPr>
            <w:tcW w:w="411" w:type="pct"/>
            <w:tcBorders>
              <w:top w:val="nil"/>
              <w:left w:val="nil"/>
              <w:bottom w:val="nil"/>
              <w:right w:val="nil"/>
            </w:tcBorders>
            <w:shd w:val="clear" w:color="auto" w:fill="auto"/>
            <w:noWrap/>
            <w:vAlign w:val="center"/>
            <w:hideMark/>
          </w:tcPr>
          <w:p w14:paraId="3CDCC55A"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-2,7</w:t>
            </w:r>
          </w:p>
        </w:tc>
        <w:tc>
          <w:tcPr>
            <w:tcW w:w="719" w:type="pct"/>
            <w:tcBorders>
              <w:top w:val="nil"/>
              <w:left w:val="single" w:sz="4" w:space="0" w:color="auto"/>
              <w:bottom w:val="nil"/>
              <w:right w:val="nil"/>
            </w:tcBorders>
            <w:shd w:val="clear" w:color="auto" w:fill="auto"/>
            <w:noWrap/>
            <w:vAlign w:val="center"/>
            <w:hideMark/>
          </w:tcPr>
          <w:p w14:paraId="7C8BDB51" w14:textId="77777777" w:rsidR="009A05C7" w:rsidRPr="00201A56" w:rsidRDefault="009A05C7" w:rsidP="000240DA">
            <w:pPr>
              <w:spacing w:after="0" w:line="240" w:lineRule="auto"/>
              <w:jc w:val="left"/>
              <w:rPr>
                <w:rFonts w:eastAsia="Times New Roman" w:cs="Times New Roman"/>
                <w:sz w:val="18"/>
                <w:szCs w:val="18"/>
                <w:lang w:eastAsia="sk-SK"/>
              </w:rPr>
            </w:pPr>
            <w:r w:rsidRPr="00201A56">
              <w:rPr>
                <w:rFonts w:eastAsia="Times New Roman" w:cs="Times New Roman"/>
                <w:sz w:val="18"/>
                <w:szCs w:val="18"/>
                <w:lang w:eastAsia="sk-SK"/>
              </w:rPr>
              <w:t>Grécko</w:t>
            </w:r>
          </w:p>
        </w:tc>
        <w:tc>
          <w:tcPr>
            <w:tcW w:w="484" w:type="pct"/>
            <w:tcBorders>
              <w:top w:val="nil"/>
              <w:left w:val="nil"/>
              <w:bottom w:val="nil"/>
              <w:right w:val="nil"/>
            </w:tcBorders>
            <w:shd w:val="clear" w:color="auto" w:fill="auto"/>
            <w:noWrap/>
            <w:vAlign w:val="center"/>
            <w:hideMark/>
          </w:tcPr>
          <w:p w14:paraId="1C69B986"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177,0</w:t>
            </w:r>
          </w:p>
        </w:tc>
        <w:tc>
          <w:tcPr>
            <w:tcW w:w="484" w:type="pct"/>
            <w:tcBorders>
              <w:top w:val="nil"/>
              <w:left w:val="nil"/>
              <w:bottom w:val="nil"/>
              <w:right w:val="nil"/>
            </w:tcBorders>
            <w:shd w:val="clear" w:color="auto" w:fill="auto"/>
            <w:noWrap/>
            <w:vAlign w:val="center"/>
            <w:hideMark/>
          </w:tcPr>
          <w:p w14:paraId="1EFF1057"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163,9</w:t>
            </w:r>
          </w:p>
        </w:tc>
        <w:tc>
          <w:tcPr>
            <w:tcW w:w="484" w:type="pct"/>
            <w:tcBorders>
              <w:top w:val="nil"/>
              <w:left w:val="nil"/>
              <w:bottom w:val="nil"/>
            </w:tcBorders>
            <w:shd w:val="clear" w:color="auto" w:fill="auto"/>
            <w:noWrap/>
            <w:vAlign w:val="center"/>
            <w:hideMark/>
          </w:tcPr>
          <w:p w14:paraId="3A229819"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153,6</w:t>
            </w:r>
          </w:p>
        </w:tc>
        <w:tc>
          <w:tcPr>
            <w:tcW w:w="466" w:type="pct"/>
            <w:tcBorders>
              <w:top w:val="nil"/>
              <w:bottom w:val="nil"/>
              <w:right w:val="single" w:sz="4" w:space="0" w:color="auto"/>
            </w:tcBorders>
            <w:shd w:val="clear" w:color="auto" w:fill="auto"/>
            <w:noWrap/>
            <w:vAlign w:val="center"/>
            <w:hideMark/>
          </w:tcPr>
          <w:p w14:paraId="5C31BD4A"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-10,3</w:t>
            </w:r>
          </w:p>
        </w:tc>
      </w:tr>
      <w:tr w:rsidR="009A05C7" w:rsidRPr="00973B5D" w14:paraId="6B58B187" w14:textId="77777777" w:rsidTr="000240DA">
        <w:trPr>
          <w:trHeight w:val="280"/>
        </w:trPr>
        <w:tc>
          <w:tcPr>
            <w:tcW w:w="719" w:type="pct"/>
            <w:tcBorders>
              <w:top w:val="nil"/>
              <w:left w:val="single" w:sz="4" w:space="0" w:color="auto"/>
              <w:bottom w:val="nil"/>
              <w:right w:val="nil"/>
            </w:tcBorders>
            <w:shd w:val="clear" w:color="auto" w:fill="auto"/>
            <w:noWrap/>
            <w:vAlign w:val="center"/>
            <w:hideMark/>
          </w:tcPr>
          <w:p w14:paraId="203372D2" w14:textId="77777777" w:rsidR="009A05C7" w:rsidRPr="00973B5D" w:rsidRDefault="009A05C7" w:rsidP="000240DA">
            <w:pPr>
              <w:spacing w:after="0" w:line="240" w:lineRule="auto"/>
              <w:jc w:val="left"/>
              <w:rPr>
                <w:rFonts w:eastAsia="Times New Roman" w:cs="Times New Roman"/>
                <w:sz w:val="18"/>
                <w:szCs w:val="18"/>
                <w:lang w:eastAsia="sk-SK"/>
              </w:rPr>
            </w:pPr>
            <w:r w:rsidRPr="00973B5D">
              <w:rPr>
                <w:rFonts w:eastAsia="Times New Roman" w:cs="Times New Roman"/>
                <w:sz w:val="18"/>
                <w:szCs w:val="18"/>
                <w:lang w:eastAsia="sk-SK"/>
              </w:rPr>
              <w:t>Poľsko</w:t>
            </w:r>
          </w:p>
        </w:tc>
        <w:tc>
          <w:tcPr>
            <w:tcW w:w="411" w:type="pct"/>
            <w:tcBorders>
              <w:top w:val="nil"/>
              <w:left w:val="nil"/>
              <w:bottom w:val="nil"/>
              <w:right w:val="nil"/>
            </w:tcBorders>
            <w:shd w:val="clear" w:color="auto" w:fill="auto"/>
            <w:noWrap/>
            <w:vAlign w:val="center"/>
            <w:hideMark/>
          </w:tcPr>
          <w:p w14:paraId="70C89B28"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-3,4</w:t>
            </w:r>
          </w:p>
        </w:tc>
        <w:tc>
          <w:tcPr>
            <w:tcW w:w="411" w:type="pct"/>
            <w:tcBorders>
              <w:top w:val="nil"/>
              <w:left w:val="nil"/>
              <w:bottom w:val="nil"/>
              <w:right w:val="nil"/>
            </w:tcBorders>
            <w:shd w:val="clear" w:color="auto" w:fill="auto"/>
            <w:noWrap/>
            <w:vAlign w:val="center"/>
            <w:hideMark/>
          </w:tcPr>
          <w:p w14:paraId="5AF54890"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-5,3</w:t>
            </w:r>
          </w:p>
        </w:tc>
        <w:tc>
          <w:tcPr>
            <w:tcW w:w="411" w:type="pct"/>
            <w:tcBorders>
              <w:top w:val="nil"/>
              <w:left w:val="nil"/>
              <w:bottom w:val="nil"/>
              <w:right w:val="nil"/>
            </w:tcBorders>
            <w:shd w:val="clear" w:color="auto" w:fill="auto"/>
            <w:noWrap/>
            <w:vAlign w:val="center"/>
            <w:hideMark/>
          </w:tcPr>
          <w:p w14:paraId="0EEDA00C"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-6,6</w:t>
            </w:r>
          </w:p>
        </w:tc>
        <w:tc>
          <w:tcPr>
            <w:tcW w:w="411" w:type="pct"/>
            <w:tcBorders>
              <w:top w:val="nil"/>
              <w:left w:val="nil"/>
              <w:bottom w:val="nil"/>
              <w:right w:val="nil"/>
            </w:tcBorders>
            <w:shd w:val="clear" w:color="auto" w:fill="auto"/>
            <w:noWrap/>
            <w:vAlign w:val="center"/>
            <w:hideMark/>
          </w:tcPr>
          <w:p w14:paraId="4D2196C5"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-1,3</w:t>
            </w:r>
          </w:p>
        </w:tc>
        <w:tc>
          <w:tcPr>
            <w:tcW w:w="719" w:type="pct"/>
            <w:tcBorders>
              <w:top w:val="nil"/>
              <w:left w:val="single" w:sz="4" w:space="0" w:color="auto"/>
              <w:bottom w:val="nil"/>
              <w:right w:val="nil"/>
            </w:tcBorders>
            <w:shd w:val="clear" w:color="auto" w:fill="auto"/>
            <w:noWrap/>
            <w:vAlign w:val="center"/>
            <w:hideMark/>
          </w:tcPr>
          <w:p w14:paraId="1CA1D611" w14:textId="77777777" w:rsidR="009A05C7" w:rsidRPr="00201A56" w:rsidRDefault="009A05C7" w:rsidP="000240DA">
            <w:pPr>
              <w:spacing w:after="0" w:line="240" w:lineRule="auto"/>
              <w:jc w:val="left"/>
              <w:rPr>
                <w:rFonts w:eastAsia="Times New Roman" w:cs="Times New Roman"/>
                <w:sz w:val="18"/>
                <w:szCs w:val="18"/>
                <w:lang w:eastAsia="sk-SK"/>
              </w:rPr>
            </w:pPr>
            <w:r w:rsidRPr="00201A56">
              <w:rPr>
                <w:rFonts w:eastAsia="Times New Roman" w:cs="Times New Roman"/>
                <w:sz w:val="18"/>
                <w:szCs w:val="18"/>
                <w:lang w:eastAsia="sk-SK"/>
              </w:rPr>
              <w:t>Taliansko</w:t>
            </w:r>
          </w:p>
        </w:tc>
        <w:tc>
          <w:tcPr>
            <w:tcW w:w="484" w:type="pct"/>
            <w:tcBorders>
              <w:top w:val="nil"/>
              <w:left w:val="nil"/>
              <w:bottom w:val="nil"/>
              <w:right w:val="nil"/>
            </w:tcBorders>
            <w:shd w:val="clear" w:color="auto" w:fill="auto"/>
            <w:noWrap/>
            <w:vAlign w:val="center"/>
            <w:hideMark/>
          </w:tcPr>
          <w:p w14:paraId="079DFD21"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138,3</w:t>
            </w:r>
          </w:p>
        </w:tc>
        <w:tc>
          <w:tcPr>
            <w:tcW w:w="484" w:type="pct"/>
            <w:tcBorders>
              <w:top w:val="nil"/>
              <w:left w:val="nil"/>
              <w:bottom w:val="nil"/>
              <w:right w:val="nil"/>
            </w:tcBorders>
            <w:shd w:val="clear" w:color="auto" w:fill="auto"/>
            <w:noWrap/>
            <w:vAlign w:val="center"/>
            <w:hideMark/>
          </w:tcPr>
          <w:p w14:paraId="5304A23F"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134,6</w:t>
            </w:r>
          </w:p>
        </w:tc>
        <w:tc>
          <w:tcPr>
            <w:tcW w:w="484" w:type="pct"/>
            <w:tcBorders>
              <w:top w:val="nil"/>
              <w:left w:val="nil"/>
              <w:bottom w:val="nil"/>
            </w:tcBorders>
            <w:shd w:val="clear" w:color="auto" w:fill="auto"/>
            <w:noWrap/>
            <w:vAlign w:val="center"/>
            <w:hideMark/>
          </w:tcPr>
          <w:p w14:paraId="73D11AC2"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135,3</w:t>
            </w:r>
          </w:p>
        </w:tc>
        <w:tc>
          <w:tcPr>
            <w:tcW w:w="466" w:type="pct"/>
            <w:tcBorders>
              <w:top w:val="nil"/>
              <w:bottom w:val="nil"/>
              <w:right w:val="single" w:sz="4" w:space="0" w:color="auto"/>
            </w:tcBorders>
            <w:shd w:val="clear" w:color="auto" w:fill="auto"/>
            <w:noWrap/>
            <w:vAlign w:val="center"/>
            <w:hideMark/>
          </w:tcPr>
          <w:p w14:paraId="37FC7671"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0,7</w:t>
            </w:r>
          </w:p>
        </w:tc>
      </w:tr>
      <w:tr w:rsidR="009A05C7" w:rsidRPr="00973B5D" w14:paraId="72AE395A" w14:textId="77777777" w:rsidTr="000240DA">
        <w:trPr>
          <w:trHeight w:val="280"/>
        </w:trPr>
        <w:tc>
          <w:tcPr>
            <w:tcW w:w="719" w:type="pct"/>
            <w:tcBorders>
              <w:top w:val="nil"/>
              <w:left w:val="single" w:sz="4" w:space="0" w:color="auto"/>
              <w:bottom w:val="nil"/>
              <w:right w:val="nil"/>
            </w:tcBorders>
            <w:shd w:val="clear" w:color="auto" w:fill="auto"/>
            <w:noWrap/>
            <w:vAlign w:val="center"/>
            <w:hideMark/>
          </w:tcPr>
          <w:p w14:paraId="449F7823" w14:textId="77777777" w:rsidR="009A05C7" w:rsidRPr="00973B5D" w:rsidRDefault="009A05C7" w:rsidP="000240DA">
            <w:pPr>
              <w:spacing w:after="0" w:line="240" w:lineRule="auto"/>
              <w:jc w:val="left"/>
              <w:rPr>
                <w:rFonts w:eastAsia="Times New Roman" w:cs="Times New Roman"/>
                <w:sz w:val="18"/>
                <w:szCs w:val="18"/>
                <w:lang w:eastAsia="sk-SK"/>
              </w:rPr>
            </w:pPr>
            <w:r w:rsidRPr="00973B5D">
              <w:rPr>
                <w:rFonts w:eastAsia="Times New Roman" w:cs="Times New Roman"/>
                <w:sz w:val="18"/>
                <w:szCs w:val="18"/>
                <w:lang w:eastAsia="sk-SK"/>
              </w:rPr>
              <w:t>Francúzsko</w:t>
            </w:r>
          </w:p>
        </w:tc>
        <w:tc>
          <w:tcPr>
            <w:tcW w:w="411" w:type="pct"/>
            <w:tcBorders>
              <w:top w:val="nil"/>
              <w:left w:val="nil"/>
              <w:bottom w:val="nil"/>
              <w:right w:val="nil"/>
            </w:tcBorders>
            <w:shd w:val="clear" w:color="auto" w:fill="auto"/>
            <w:noWrap/>
            <w:vAlign w:val="center"/>
            <w:hideMark/>
          </w:tcPr>
          <w:p w14:paraId="34D0A65D"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-4,7</w:t>
            </w:r>
          </w:p>
        </w:tc>
        <w:tc>
          <w:tcPr>
            <w:tcW w:w="411" w:type="pct"/>
            <w:tcBorders>
              <w:top w:val="nil"/>
              <w:left w:val="nil"/>
              <w:bottom w:val="nil"/>
              <w:right w:val="nil"/>
            </w:tcBorders>
            <w:shd w:val="clear" w:color="auto" w:fill="auto"/>
            <w:noWrap/>
            <w:vAlign w:val="center"/>
            <w:hideMark/>
          </w:tcPr>
          <w:p w14:paraId="438B1AD9"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-5,4</w:t>
            </w:r>
          </w:p>
        </w:tc>
        <w:tc>
          <w:tcPr>
            <w:tcW w:w="411" w:type="pct"/>
            <w:tcBorders>
              <w:top w:val="nil"/>
              <w:left w:val="nil"/>
              <w:bottom w:val="nil"/>
              <w:right w:val="nil"/>
            </w:tcBorders>
            <w:shd w:val="clear" w:color="auto" w:fill="auto"/>
            <w:noWrap/>
            <w:vAlign w:val="center"/>
            <w:hideMark/>
          </w:tcPr>
          <w:p w14:paraId="4A91C13C"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-5,8</w:t>
            </w:r>
          </w:p>
        </w:tc>
        <w:tc>
          <w:tcPr>
            <w:tcW w:w="411" w:type="pct"/>
            <w:tcBorders>
              <w:top w:val="nil"/>
              <w:left w:val="nil"/>
              <w:bottom w:val="nil"/>
              <w:right w:val="nil"/>
            </w:tcBorders>
            <w:shd w:val="clear" w:color="auto" w:fill="auto"/>
            <w:noWrap/>
            <w:vAlign w:val="center"/>
            <w:hideMark/>
          </w:tcPr>
          <w:p w14:paraId="54AF02CC"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-0,4</w:t>
            </w:r>
          </w:p>
        </w:tc>
        <w:tc>
          <w:tcPr>
            <w:tcW w:w="719" w:type="pct"/>
            <w:tcBorders>
              <w:top w:val="nil"/>
              <w:left w:val="single" w:sz="4" w:space="0" w:color="auto"/>
              <w:bottom w:val="nil"/>
              <w:right w:val="nil"/>
            </w:tcBorders>
            <w:shd w:val="clear" w:color="auto" w:fill="auto"/>
            <w:noWrap/>
            <w:vAlign w:val="center"/>
            <w:hideMark/>
          </w:tcPr>
          <w:p w14:paraId="590B2A71" w14:textId="77777777" w:rsidR="009A05C7" w:rsidRPr="00201A56" w:rsidRDefault="009A05C7" w:rsidP="000240DA">
            <w:pPr>
              <w:spacing w:after="0" w:line="240" w:lineRule="auto"/>
              <w:jc w:val="left"/>
              <w:rPr>
                <w:rFonts w:eastAsia="Times New Roman" w:cs="Times New Roman"/>
                <w:sz w:val="18"/>
                <w:szCs w:val="18"/>
                <w:lang w:eastAsia="sk-SK"/>
              </w:rPr>
            </w:pPr>
            <w:r w:rsidRPr="00201A56">
              <w:rPr>
                <w:rFonts w:eastAsia="Times New Roman" w:cs="Times New Roman"/>
                <w:sz w:val="18"/>
                <w:szCs w:val="18"/>
                <w:lang w:eastAsia="sk-SK"/>
              </w:rPr>
              <w:t>Francúzsko</w:t>
            </w:r>
          </w:p>
        </w:tc>
        <w:tc>
          <w:tcPr>
            <w:tcW w:w="484" w:type="pct"/>
            <w:tcBorders>
              <w:top w:val="nil"/>
              <w:left w:val="nil"/>
              <w:bottom w:val="nil"/>
              <w:right w:val="nil"/>
            </w:tcBorders>
            <w:shd w:val="clear" w:color="auto" w:fill="auto"/>
            <w:noWrap/>
            <w:vAlign w:val="center"/>
            <w:hideMark/>
          </w:tcPr>
          <w:p w14:paraId="1C682531"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111,4</w:t>
            </w:r>
          </w:p>
        </w:tc>
        <w:tc>
          <w:tcPr>
            <w:tcW w:w="484" w:type="pct"/>
            <w:tcBorders>
              <w:top w:val="nil"/>
              <w:left w:val="nil"/>
              <w:bottom w:val="nil"/>
              <w:right w:val="nil"/>
            </w:tcBorders>
            <w:shd w:val="clear" w:color="auto" w:fill="auto"/>
            <w:noWrap/>
            <w:vAlign w:val="center"/>
            <w:hideMark/>
          </w:tcPr>
          <w:p w14:paraId="6267911B"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109,8</w:t>
            </w:r>
          </w:p>
        </w:tc>
        <w:tc>
          <w:tcPr>
            <w:tcW w:w="484" w:type="pct"/>
            <w:tcBorders>
              <w:top w:val="nil"/>
              <w:left w:val="nil"/>
              <w:bottom w:val="nil"/>
            </w:tcBorders>
            <w:shd w:val="clear" w:color="auto" w:fill="auto"/>
            <w:noWrap/>
            <w:vAlign w:val="center"/>
            <w:hideMark/>
          </w:tcPr>
          <w:p w14:paraId="3A369D83"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113,0</w:t>
            </w:r>
          </w:p>
        </w:tc>
        <w:tc>
          <w:tcPr>
            <w:tcW w:w="466" w:type="pct"/>
            <w:tcBorders>
              <w:top w:val="nil"/>
              <w:bottom w:val="nil"/>
              <w:right w:val="single" w:sz="4" w:space="0" w:color="auto"/>
            </w:tcBorders>
            <w:shd w:val="clear" w:color="auto" w:fill="auto"/>
            <w:noWrap/>
            <w:vAlign w:val="center"/>
            <w:hideMark/>
          </w:tcPr>
          <w:p w14:paraId="5C458939"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3,2</w:t>
            </w:r>
          </w:p>
        </w:tc>
      </w:tr>
      <w:tr w:rsidR="009A05C7" w:rsidRPr="00973B5D" w14:paraId="76FBCABE" w14:textId="77777777" w:rsidTr="000240DA">
        <w:trPr>
          <w:trHeight w:val="280"/>
        </w:trPr>
        <w:tc>
          <w:tcPr>
            <w:tcW w:w="719" w:type="pct"/>
            <w:tcBorders>
              <w:top w:val="nil"/>
              <w:left w:val="single" w:sz="4" w:space="0" w:color="auto"/>
              <w:bottom w:val="nil"/>
              <w:right w:val="nil"/>
            </w:tcBorders>
            <w:shd w:val="clear" w:color="auto" w:fill="auto"/>
            <w:noWrap/>
            <w:vAlign w:val="center"/>
            <w:hideMark/>
          </w:tcPr>
          <w:p w14:paraId="20DB363F" w14:textId="77777777" w:rsidR="009A05C7" w:rsidRPr="00973B5D" w:rsidRDefault="009A05C7" w:rsidP="000240DA">
            <w:pPr>
              <w:spacing w:after="0" w:line="240" w:lineRule="auto"/>
              <w:jc w:val="left"/>
              <w:rPr>
                <w:rFonts w:eastAsia="Times New Roman" w:cs="Times New Roman"/>
                <w:b/>
                <w:bCs/>
                <w:sz w:val="18"/>
                <w:szCs w:val="18"/>
                <w:lang w:eastAsia="sk-SK"/>
              </w:rPr>
            </w:pPr>
            <w:r w:rsidRPr="00973B5D">
              <w:rPr>
                <w:rFonts w:eastAsia="Times New Roman" w:cs="Times New Roman"/>
                <w:b/>
                <w:bCs/>
                <w:sz w:val="18"/>
                <w:szCs w:val="18"/>
                <w:lang w:eastAsia="sk-SK"/>
              </w:rPr>
              <w:t>Slovensko</w:t>
            </w:r>
          </w:p>
        </w:tc>
        <w:tc>
          <w:tcPr>
            <w:tcW w:w="411" w:type="pct"/>
            <w:tcBorders>
              <w:top w:val="nil"/>
              <w:left w:val="nil"/>
              <w:bottom w:val="nil"/>
              <w:right w:val="nil"/>
            </w:tcBorders>
            <w:shd w:val="clear" w:color="auto" w:fill="auto"/>
            <w:noWrap/>
            <w:vAlign w:val="center"/>
            <w:hideMark/>
          </w:tcPr>
          <w:p w14:paraId="14BCCECE" w14:textId="77777777" w:rsidR="009A05C7" w:rsidRPr="00973B5D" w:rsidRDefault="009A05C7" w:rsidP="000240DA">
            <w:pPr>
              <w:spacing w:after="0" w:line="240" w:lineRule="auto"/>
              <w:ind w:firstLineChars="100" w:firstLine="181"/>
              <w:jc w:val="right"/>
              <w:rPr>
                <w:rFonts w:eastAsia="Times New Roman" w:cs="Times New Roman"/>
                <w:b/>
                <w:bCs/>
                <w:color w:val="000000"/>
                <w:sz w:val="18"/>
                <w:szCs w:val="18"/>
                <w:lang w:eastAsia="sk-SK"/>
              </w:rPr>
            </w:pPr>
            <w:r w:rsidRPr="00973B5D">
              <w:rPr>
                <w:rFonts w:eastAsia="Times New Roman" w:cs="Times New Roman"/>
                <w:b/>
                <w:bCs/>
                <w:color w:val="000000"/>
                <w:sz w:val="18"/>
                <w:szCs w:val="18"/>
                <w:lang w:eastAsia="sk-SK"/>
              </w:rPr>
              <w:t>-1,7</w:t>
            </w:r>
          </w:p>
        </w:tc>
        <w:tc>
          <w:tcPr>
            <w:tcW w:w="411" w:type="pct"/>
            <w:tcBorders>
              <w:top w:val="nil"/>
              <w:left w:val="nil"/>
              <w:bottom w:val="nil"/>
              <w:right w:val="nil"/>
            </w:tcBorders>
            <w:shd w:val="clear" w:color="auto" w:fill="auto"/>
            <w:noWrap/>
            <w:vAlign w:val="center"/>
            <w:hideMark/>
          </w:tcPr>
          <w:p w14:paraId="2A5665FE" w14:textId="77777777" w:rsidR="009A05C7" w:rsidRPr="00973B5D" w:rsidRDefault="009A05C7" w:rsidP="000240DA">
            <w:pPr>
              <w:spacing w:after="0" w:line="240" w:lineRule="auto"/>
              <w:ind w:firstLineChars="100" w:firstLine="181"/>
              <w:jc w:val="right"/>
              <w:rPr>
                <w:rFonts w:eastAsia="Times New Roman" w:cs="Times New Roman"/>
                <w:b/>
                <w:bCs/>
                <w:color w:val="000000"/>
                <w:sz w:val="18"/>
                <w:szCs w:val="18"/>
                <w:lang w:eastAsia="sk-SK"/>
              </w:rPr>
            </w:pPr>
            <w:r w:rsidRPr="00973B5D">
              <w:rPr>
                <w:rFonts w:eastAsia="Times New Roman" w:cs="Times New Roman"/>
                <w:b/>
                <w:bCs/>
                <w:color w:val="000000"/>
                <w:sz w:val="18"/>
                <w:szCs w:val="18"/>
                <w:lang w:eastAsia="sk-SK"/>
              </w:rPr>
              <w:t>-5,2</w:t>
            </w:r>
          </w:p>
        </w:tc>
        <w:tc>
          <w:tcPr>
            <w:tcW w:w="411" w:type="pct"/>
            <w:tcBorders>
              <w:top w:val="nil"/>
              <w:left w:val="nil"/>
              <w:bottom w:val="nil"/>
              <w:right w:val="nil"/>
            </w:tcBorders>
            <w:shd w:val="clear" w:color="auto" w:fill="auto"/>
            <w:noWrap/>
            <w:vAlign w:val="center"/>
            <w:hideMark/>
          </w:tcPr>
          <w:p w14:paraId="4F937ABE" w14:textId="77777777" w:rsidR="009A05C7" w:rsidRPr="00201A56" w:rsidRDefault="009A05C7" w:rsidP="000240DA">
            <w:pPr>
              <w:spacing w:after="0" w:line="240" w:lineRule="auto"/>
              <w:ind w:firstLineChars="100" w:firstLine="181"/>
              <w:jc w:val="right"/>
              <w:rPr>
                <w:rFonts w:eastAsia="Times New Roman" w:cs="Times New Roman"/>
                <w:b/>
                <w:bCs/>
                <w:sz w:val="18"/>
                <w:szCs w:val="18"/>
                <w:lang w:eastAsia="sk-SK"/>
              </w:rPr>
            </w:pPr>
            <w:r w:rsidRPr="00201A56">
              <w:rPr>
                <w:rFonts w:eastAsia="Times New Roman" w:cs="Times New Roman"/>
                <w:b/>
                <w:bCs/>
                <w:sz w:val="18"/>
                <w:szCs w:val="18"/>
                <w:lang w:eastAsia="sk-SK"/>
              </w:rPr>
              <w:t>-5,3</w:t>
            </w:r>
          </w:p>
        </w:tc>
        <w:tc>
          <w:tcPr>
            <w:tcW w:w="411" w:type="pct"/>
            <w:tcBorders>
              <w:top w:val="nil"/>
              <w:left w:val="nil"/>
              <w:bottom w:val="nil"/>
              <w:right w:val="nil"/>
            </w:tcBorders>
            <w:shd w:val="clear" w:color="auto" w:fill="auto"/>
            <w:noWrap/>
            <w:vAlign w:val="center"/>
            <w:hideMark/>
          </w:tcPr>
          <w:p w14:paraId="67D8B113"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-0,1</w:t>
            </w:r>
          </w:p>
        </w:tc>
        <w:tc>
          <w:tcPr>
            <w:tcW w:w="719" w:type="pct"/>
            <w:tcBorders>
              <w:top w:val="nil"/>
              <w:left w:val="single" w:sz="4" w:space="0" w:color="auto"/>
              <w:bottom w:val="nil"/>
              <w:right w:val="nil"/>
            </w:tcBorders>
            <w:shd w:val="clear" w:color="auto" w:fill="auto"/>
            <w:noWrap/>
            <w:vAlign w:val="center"/>
            <w:hideMark/>
          </w:tcPr>
          <w:p w14:paraId="7F0E0EE0" w14:textId="77777777" w:rsidR="009A05C7" w:rsidRPr="00201A56" w:rsidRDefault="009A05C7" w:rsidP="000240DA">
            <w:pPr>
              <w:spacing w:after="0" w:line="240" w:lineRule="auto"/>
              <w:jc w:val="left"/>
              <w:rPr>
                <w:rFonts w:eastAsia="Times New Roman" w:cs="Times New Roman"/>
                <w:sz w:val="18"/>
                <w:szCs w:val="18"/>
                <w:lang w:eastAsia="sk-SK"/>
              </w:rPr>
            </w:pPr>
            <w:r w:rsidRPr="00201A56">
              <w:rPr>
                <w:rFonts w:eastAsia="Times New Roman" w:cs="Times New Roman"/>
                <w:sz w:val="18"/>
                <w:szCs w:val="18"/>
                <w:lang w:eastAsia="sk-SK"/>
              </w:rPr>
              <w:t>Belgicko</w:t>
            </w:r>
          </w:p>
        </w:tc>
        <w:tc>
          <w:tcPr>
            <w:tcW w:w="484" w:type="pct"/>
            <w:tcBorders>
              <w:top w:val="nil"/>
              <w:left w:val="nil"/>
              <w:bottom w:val="nil"/>
              <w:right w:val="nil"/>
            </w:tcBorders>
            <w:shd w:val="clear" w:color="auto" w:fill="auto"/>
            <w:noWrap/>
            <w:vAlign w:val="center"/>
            <w:hideMark/>
          </w:tcPr>
          <w:p w14:paraId="595D9392"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102,7</w:t>
            </w:r>
          </w:p>
        </w:tc>
        <w:tc>
          <w:tcPr>
            <w:tcW w:w="484" w:type="pct"/>
            <w:tcBorders>
              <w:top w:val="nil"/>
              <w:left w:val="nil"/>
              <w:bottom w:val="nil"/>
              <w:right w:val="nil"/>
            </w:tcBorders>
            <w:shd w:val="clear" w:color="auto" w:fill="auto"/>
            <w:noWrap/>
            <w:vAlign w:val="center"/>
            <w:hideMark/>
          </w:tcPr>
          <w:p w14:paraId="75F32CF7"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103,2</w:t>
            </w:r>
          </w:p>
        </w:tc>
        <w:tc>
          <w:tcPr>
            <w:tcW w:w="484" w:type="pct"/>
            <w:tcBorders>
              <w:top w:val="nil"/>
              <w:left w:val="nil"/>
              <w:bottom w:val="nil"/>
            </w:tcBorders>
            <w:shd w:val="clear" w:color="auto" w:fill="auto"/>
            <w:noWrap/>
            <w:vAlign w:val="center"/>
            <w:hideMark/>
          </w:tcPr>
          <w:p w14:paraId="0D10F346"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104,7</w:t>
            </w:r>
          </w:p>
        </w:tc>
        <w:tc>
          <w:tcPr>
            <w:tcW w:w="466" w:type="pct"/>
            <w:tcBorders>
              <w:top w:val="nil"/>
              <w:bottom w:val="nil"/>
              <w:right w:val="single" w:sz="4" w:space="0" w:color="auto"/>
            </w:tcBorders>
            <w:shd w:val="clear" w:color="auto" w:fill="auto"/>
            <w:noWrap/>
            <w:vAlign w:val="center"/>
            <w:hideMark/>
          </w:tcPr>
          <w:p w14:paraId="5E517B80"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1,5</w:t>
            </w:r>
          </w:p>
        </w:tc>
      </w:tr>
      <w:tr w:rsidR="009A05C7" w:rsidRPr="00973B5D" w14:paraId="78EB4FCA" w14:textId="77777777" w:rsidTr="000240DA">
        <w:trPr>
          <w:trHeight w:val="280"/>
        </w:trPr>
        <w:tc>
          <w:tcPr>
            <w:tcW w:w="719" w:type="pct"/>
            <w:tcBorders>
              <w:top w:val="nil"/>
              <w:left w:val="single" w:sz="4" w:space="0" w:color="auto"/>
              <w:bottom w:val="nil"/>
              <w:right w:val="nil"/>
            </w:tcBorders>
            <w:shd w:val="clear" w:color="auto" w:fill="auto"/>
            <w:noWrap/>
            <w:vAlign w:val="center"/>
            <w:hideMark/>
          </w:tcPr>
          <w:p w14:paraId="349DD4C8" w14:textId="77777777" w:rsidR="009A05C7" w:rsidRPr="00973B5D" w:rsidRDefault="009A05C7" w:rsidP="000240DA">
            <w:pPr>
              <w:spacing w:after="0" w:line="240" w:lineRule="auto"/>
              <w:jc w:val="left"/>
              <w:rPr>
                <w:rFonts w:eastAsia="Times New Roman" w:cs="Times New Roman"/>
                <w:sz w:val="18"/>
                <w:szCs w:val="18"/>
                <w:lang w:eastAsia="sk-SK"/>
              </w:rPr>
            </w:pPr>
            <w:r w:rsidRPr="00973B5D">
              <w:rPr>
                <w:rFonts w:eastAsia="Times New Roman" w:cs="Times New Roman"/>
                <w:sz w:val="18"/>
                <w:szCs w:val="18"/>
                <w:lang w:eastAsia="sk-SK"/>
              </w:rPr>
              <w:t>Maďarsko</w:t>
            </w:r>
          </w:p>
        </w:tc>
        <w:tc>
          <w:tcPr>
            <w:tcW w:w="411" w:type="pct"/>
            <w:tcBorders>
              <w:top w:val="nil"/>
              <w:left w:val="nil"/>
              <w:bottom w:val="nil"/>
              <w:right w:val="nil"/>
            </w:tcBorders>
            <w:shd w:val="clear" w:color="auto" w:fill="auto"/>
            <w:noWrap/>
            <w:vAlign w:val="center"/>
            <w:hideMark/>
          </w:tcPr>
          <w:p w14:paraId="25F8DCF1"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-6,2</w:t>
            </w:r>
          </w:p>
        </w:tc>
        <w:tc>
          <w:tcPr>
            <w:tcW w:w="411" w:type="pct"/>
            <w:tcBorders>
              <w:top w:val="nil"/>
              <w:left w:val="nil"/>
              <w:bottom w:val="nil"/>
              <w:right w:val="nil"/>
            </w:tcBorders>
            <w:shd w:val="clear" w:color="auto" w:fill="auto"/>
            <w:noWrap/>
            <w:vAlign w:val="center"/>
            <w:hideMark/>
          </w:tcPr>
          <w:p w14:paraId="5740CCAF"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-6,7</w:t>
            </w:r>
          </w:p>
        </w:tc>
        <w:tc>
          <w:tcPr>
            <w:tcW w:w="411" w:type="pct"/>
            <w:tcBorders>
              <w:top w:val="nil"/>
              <w:left w:val="nil"/>
              <w:bottom w:val="nil"/>
              <w:right w:val="nil"/>
            </w:tcBorders>
            <w:shd w:val="clear" w:color="auto" w:fill="auto"/>
            <w:noWrap/>
            <w:vAlign w:val="center"/>
            <w:hideMark/>
          </w:tcPr>
          <w:p w14:paraId="6BF94C2F"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-4,9</w:t>
            </w:r>
          </w:p>
        </w:tc>
        <w:tc>
          <w:tcPr>
            <w:tcW w:w="411" w:type="pct"/>
            <w:tcBorders>
              <w:top w:val="nil"/>
              <w:left w:val="nil"/>
              <w:bottom w:val="nil"/>
              <w:right w:val="nil"/>
            </w:tcBorders>
            <w:shd w:val="clear" w:color="auto" w:fill="auto"/>
            <w:noWrap/>
            <w:vAlign w:val="center"/>
            <w:hideMark/>
          </w:tcPr>
          <w:p w14:paraId="55EC9584"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1,8</w:t>
            </w:r>
          </w:p>
        </w:tc>
        <w:tc>
          <w:tcPr>
            <w:tcW w:w="719" w:type="pct"/>
            <w:tcBorders>
              <w:top w:val="nil"/>
              <w:left w:val="single" w:sz="4" w:space="0" w:color="auto"/>
              <w:bottom w:val="nil"/>
              <w:right w:val="nil"/>
            </w:tcBorders>
            <w:shd w:val="clear" w:color="auto" w:fill="auto"/>
            <w:noWrap/>
            <w:vAlign w:val="center"/>
            <w:hideMark/>
          </w:tcPr>
          <w:p w14:paraId="7030DF43" w14:textId="77777777" w:rsidR="009A05C7" w:rsidRPr="00201A56" w:rsidRDefault="009A05C7" w:rsidP="000240DA">
            <w:pPr>
              <w:spacing w:after="0" w:line="240" w:lineRule="auto"/>
              <w:jc w:val="left"/>
              <w:rPr>
                <w:rFonts w:eastAsia="Times New Roman" w:cs="Times New Roman"/>
                <w:sz w:val="18"/>
                <w:szCs w:val="18"/>
                <w:lang w:eastAsia="sk-SK"/>
              </w:rPr>
            </w:pPr>
            <w:r w:rsidRPr="00201A56">
              <w:rPr>
                <w:rFonts w:eastAsia="Times New Roman" w:cs="Times New Roman"/>
                <w:sz w:val="18"/>
                <w:szCs w:val="18"/>
                <w:lang w:eastAsia="sk-SK"/>
              </w:rPr>
              <w:t>Španielsko</w:t>
            </w:r>
          </w:p>
        </w:tc>
        <w:tc>
          <w:tcPr>
            <w:tcW w:w="484" w:type="pct"/>
            <w:tcBorders>
              <w:top w:val="nil"/>
              <w:left w:val="nil"/>
              <w:bottom w:val="nil"/>
              <w:right w:val="nil"/>
            </w:tcBorders>
            <w:shd w:val="clear" w:color="auto" w:fill="auto"/>
            <w:noWrap/>
            <w:vAlign w:val="center"/>
            <w:hideMark/>
          </w:tcPr>
          <w:p w14:paraId="1DF20647"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109,5</w:t>
            </w:r>
          </w:p>
        </w:tc>
        <w:tc>
          <w:tcPr>
            <w:tcW w:w="484" w:type="pct"/>
            <w:tcBorders>
              <w:top w:val="nil"/>
              <w:left w:val="nil"/>
              <w:bottom w:val="nil"/>
              <w:right w:val="nil"/>
            </w:tcBorders>
            <w:shd w:val="clear" w:color="auto" w:fill="auto"/>
            <w:noWrap/>
            <w:vAlign w:val="center"/>
            <w:hideMark/>
          </w:tcPr>
          <w:p w14:paraId="68E78BDC"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105,1</w:t>
            </w:r>
          </w:p>
        </w:tc>
        <w:tc>
          <w:tcPr>
            <w:tcW w:w="484" w:type="pct"/>
            <w:tcBorders>
              <w:top w:val="nil"/>
              <w:left w:val="nil"/>
              <w:bottom w:val="nil"/>
            </w:tcBorders>
            <w:shd w:val="clear" w:color="auto" w:fill="auto"/>
            <w:noWrap/>
            <w:vAlign w:val="center"/>
            <w:hideMark/>
          </w:tcPr>
          <w:p w14:paraId="15ED6E5C"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101,8</w:t>
            </w:r>
          </w:p>
        </w:tc>
        <w:tc>
          <w:tcPr>
            <w:tcW w:w="466" w:type="pct"/>
            <w:tcBorders>
              <w:top w:val="nil"/>
              <w:bottom w:val="nil"/>
              <w:right w:val="single" w:sz="4" w:space="0" w:color="auto"/>
            </w:tcBorders>
            <w:shd w:val="clear" w:color="auto" w:fill="auto"/>
            <w:noWrap/>
            <w:vAlign w:val="center"/>
            <w:hideMark/>
          </w:tcPr>
          <w:p w14:paraId="50AF876D"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-3,3</w:t>
            </w:r>
          </w:p>
        </w:tc>
      </w:tr>
      <w:tr w:rsidR="009A05C7" w:rsidRPr="00973B5D" w14:paraId="66FCBC27" w14:textId="77777777" w:rsidTr="000240DA">
        <w:trPr>
          <w:trHeight w:val="280"/>
        </w:trPr>
        <w:tc>
          <w:tcPr>
            <w:tcW w:w="719" w:type="pct"/>
            <w:tcBorders>
              <w:top w:val="nil"/>
              <w:left w:val="single" w:sz="4" w:space="0" w:color="auto"/>
              <w:bottom w:val="nil"/>
              <w:right w:val="nil"/>
            </w:tcBorders>
            <w:shd w:val="clear" w:color="auto" w:fill="auto"/>
            <w:noWrap/>
            <w:vAlign w:val="center"/>
            <w:hideMark/>
          </w:tcPr>
          <w:p w14:paraId="7660E780" w14:textId="77777777" w:rsidR="009A05C7" w:rsidRPr="00973B5D" w:rsidRDefault="009A05C7" w:rsidP="000240DA">
            <w:pPr>
              <w:spacing w:after="0" w:line="240" w:lineRule="auto"/>
              <w:jc w:val="left"/>
              <w:rPr>
                <w:rFonts w:eastAsia="Times New Roman" w:cs="Times New Roman"/>
                <w:sz w:val="18"/>
                <w:szCs w:val="18"/>
                <w:lang w:eastAsia="sk-SK"/>
              </w:rPr>
            </w:pPr>
            <w:r w:rsidRPr="00973B5D">
              <w:rPr>
                <w:rFonts w:eastAsia="Times New Roman" w:cs="Times New Roman"/>
                <w:sz w:val="18"/>
                <w:szCs w:val="18"/>
                <w:lang w:eastAsia="sk-SK"/>
              </w:rPr>
              <w:t>Rakúsko</w:t>
            </w:r>
          </w:p>
        </w:tc>
        <w:tc>
          <w:tcPr>
            <w:tcW w:w="411" w:type="pct"/>
            <w:tcBorders>
              <w:top w:val="nil"/>
              <w:left w:val="nil"/>
              <w:bottom w:val="nil"/>
              <w:right w:val="nil"/>
            </w:tcBorders>
            <w:shd w:val="clear" w:color="auto" w:fill="auto"/>
            <w:noWrap/>
            <w:vAlign w:val="center"/>
            <w:hideMark/>
          </w:tcPr>
          <w:p w14:paraId="7E9E01B9"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-3,4</w:t>
            </w:r>
          </w:p>
        </w:tc>
        <w:tc>
          <w:tcPr>
            <w:tcW w:w="411" w:type="pct"/>
            <w:tcBorders>
              <w:top w:val="nil"/>
              <w:left w:val="nil"/>
              <w:bottom w:val="nil"/>
              <w:right w:val="nil"/>
            </w:tcBorders>
            <w:shd w:val="clear" w:color="auto" w:fill="auto"/>
            <w:noWrap/>
            <w:vAlign w:val="center"/>
            <w:hideMark/>
          </w:tcPr>
          <w:p w14:paraId="0EB50986"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-2,6</w:t>
            </w:r>
          </w:p>
        </w:tc>
        <w:tc>
          <w:tcPr>
            <w:tcW w:w="411" w:type="pct"/>
            <w:tcBorders>
              <w:top w:val="nil"/>
              <w:left w:val="nil"/>
              <w:bottom w:val="nil"/>
              <w:right w:val="nil"/>
            </w:tcBorders>
            <w:shd w:val="clear" w:color="auto" w:fill="auto"/>
            <w:noWrap/>
            <w:vAlign w:val="center"/>
            <w:hideMark/>
          </w:tcPr>
          <w:p w14:paraId="523B2222"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-4,7</w:t>
            </w:r>
          </w:p>
        </w:tc>
        <w:tc>
          <w:tcPr>
            <w:tcW w:w="411" w:type="pct"/>
            <w:tcBorders>
              <w:top w:val="nil"/>
              <w:left w:val="nil"/>
              <w:bottom w:val="nil"/>
              <w:right w:val="nil"/>
            </w:tcBorders>
            <w:shd w:val="clear" w:color="auto" w:fill="auto"/>
            <w:noWrap/>
            <w:vAlign w:val="center"/>
            <w:hideMark/>
          </w:tcPr>
          <w:p w14:paraId="419964FE"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-2,1</w:t>
            </w:r>
          </w:p>
        </w:tc>
        <w:tc>
          <w:tcPr>
            <w:tcW w:w="719" w:type="pct"/>
            <w:tcBorders>
              <w:top w:val="nil"/>
              <w:left w:val="single" w:sz="4" w:space="0" w:color="auto"/>
              <w:bottom w:val="nil"/>
              <w:right w:val="nil"/>
            </w:tcBorders>
            <w:shd w:val="clear" w:color="auto" w:fill="auto"/>
            <w:noWrap/>
            <w:vAlign w:val="center"/>
            <w:hideMark/>
          </w:tcPr>
          <w:p w14:paraId="34C43AAB" w14:textId="77777777" w:rsidR="009A05C7" w:rsidRPr="00201A56" w:rsidRDefault="009A05C7" w:rsidP="000240DA">
            <w:pPr>
              <w:spacing w:after="0" w:line="240" w:lineRule="auto"/>
              <w:jc w:val="left"/>
              <w:rPr>
                <w:rFonts w:eastAsia="Times New Roman" w:cs="Times New Roman"/>
                <w:sz w:val="18"/>
                <w:szCs w:val="18"/>
                <w:lang w:eastAsia="sk-SK"/>
              </w:rPr>
            </w:pPr>
            <w:r w:rsidRPr="00201A56">
              <w:rPr>
                <w:rFonts w:eastAsia="Times New Roman" w:cs="Times New Roman"/>
                <w:sz w:val="18"/>
                <w:szCs w:val="18"/>
                <w:lang w:eastAsia="sk-SK"/>
              </w:rPr>
              <w:t>Portugalsko</w:t>
            </w:r>
          </w:p>
        </w:tc>
        <w:tc>
          <w:tcPr>
            <w:tcW w:w="484" w:type="pct"/>
            <w:tcBorders>
              <w:top w:val="nil"/>
              <w:left w:val="nil"/>
              <w:bottom w:val="nil"/>
              <w:right w:val="nil"/>
            </w:tcBorders>
            <w:shd w:val="clear" w:color="auto" w:fill="auto"/>
            <w:noWrap/>
            <w:vAlign w:val="center"/>
            <w:hideMark/>
          </w:tcPr>
          <w:p w14:paraId="670B7627"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111,2</w:t>
            </w:r>
          </w:p>
        </w:tc>
        <w:tc>
          <w:tcPr>
            <w:tcW w:w="484" w:type="pct"/>
            <w:tcBorders>
              <w:top w:val="nil"/>
              <w:left w:val="nil"/>
              <w:bottom w:val="nil"/>
              <w:right w:val="nil"/>
            </w:tcBorders>
            <w:shd w:val="clear" w:color="auto" w:fill="auto"/>
            <w:noWrap/>
            <w:vAlign w:val="center"/>
            <w:hideMark/>
          </w:tcPr>
          <w:p w14:paraId="3DC0B3AC"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97,7</w:t>
            </w:r>
          </w:p>
        </w:tc>
        <w:tc>
          <w:tcPr>
            <w:tcW w:w="484" w:type="pct"/>
            <w:tcBorders>
              <w:top w:val="nil"/>
              <w:left w:val="nil"/>
              <w:bottom w:val="nil"/>
            </w:tcBorders>
            <w:shd w:val="clear" w:color="auto" w:fill="auto"/>
            <w:noWrap/>
            <w:vAlign w:val="center"/>
            <w:hideMark/>
          </w:tcPr>
          <w:p w14:paraId="24B9B0D7"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94,9</w:t>
            </w:r>
          </w:p>
        </w:tc>
        <w:tc>
          <w:tcPr>
            <w:tcW w:w="466" w:type="pct"/>
            <w:tcBorders>
              <w:top w:val="nil"/>
              <w:bottom w:val="nil"/>
              <w:right w:val="single" w:sz="4" w:space="0" w:color="auto"/>
            </w:tcBorders>
            <w:shd w:val="clear" w:color="auto" w:fill="auto"/>
            <w:noWrap/>
            <w:vAlign w:val="center"/>
            <w:hideMark/>
          </w:tcPr>
          <w:p w14:paraId="02C1FC67"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-2,8</w:t>
            </w:r>
          </w:p>
        </w:tc>
      </w:tr>
      <w:tr w:rsidR="009A05C7" w:rsidRPr="00973B5D" w14:paraId="31221C06" w14:textId="77777777" w:rsidTr="000240DA">
        <w:trPr>
          <w:trHeight w:val="280"/>
        </w:trPr>
        <w:tc>
          <w:tcPr>
            <w:tcW w:w="719" w:type="pct"/>
            <w:tcBorders>
              <w:top w:val="nil"/>
              <w:left w:val="single" w:sz="4" w:space="0" w:color="auto"/>
              <w:bottom w:val="nil"/>
              <w:right w:val="nil"/>
            </w:tcBorders>
            <w:shd w:val="clear" w:color="auto" w:fill="auto"/>
            <w:noWrap/>
            <w:vAlign w:val="center"/>
            <w:hideMark/>
          </w:tcPr>
          <w:p w14:paraId="08CB21FB" w14:textId="77777777" w:rsidR="009A05C7" w:rsidRPr="00973B5D" w:rsidRDefault="009A05C7" w:rsidP="000240DA">
            <w:pPr>
              <w:spacing w:after="0" w:line="240" w:lineRule="auto"/>
              <w:jc w:val="left"/>
              <w:rPr>
                <w:rFonts w:eastAsia="Times New Roman" w:cs="Times New Roman"/>
                <w:sz w:val="18"/>
                <w:szCs w:val="18"/>
                <w:lang w:eastAsia="sk-SK"/>
              </w:rPr>
            </w:pPr>
            <w:r w:rsidRPr="00973B5D">
              <w:rPr>
                <w:rFonts w:eastAsia="Times New Roman" w:cs="Times New Roman"/>
                <w:sz w:val="18"/>
                <w:szCs w:val="18"/>
                <w:lang w:eastAsia="sk-SK"/>
              </w:rPr>
              <w:t>Belgicko</w:t>
            </w:r>
          </w:p>
        </w:tc>
        <w:tc>
          <w:tcPr>
            <w:tcW w:w="411" w:type="pct"/>
            <w:tcBorders>
              <w:top w:val="nil"/>
              <w:left w:val="nil"/>
              <w:bottom w:val="nil"/>
              <w:right w:val="nil"/>
            </w:tcBorders>
            <w:shd w:val="clear" w:color="auto" w:fill="auto"/>
            <w:noWrap/>
            <w:vAlign w:val="center"/>
            <w:hideMark/>
          </w:tcPr>
          <w:p w14:paraId="73E33D52"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-3,6</w:t>
            </w:r>
          </w:p>
        </w:tc>
        <w:tc>
          <w:tcPr>
            <w:tcW w:w="411" w:type="pct"/>
            <w:tcBorders>
              <w:top w:val="nil"/>
              <w:left w:val="nil"/>
              <w:bottom w:val="nil"/>
              <w:right w:val="nil"/>
            </w:tcBorders>
            <w:shd w:val="clear" w:color="auto" w:fill="auto"/>
            <w:noWrap/>
            <w:vAlign w:val="center"/>
            <w:hideMark/>
          </w:tcPr>
          <w:p w14:paraId="6FB47A42"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-4,1</w:t>
            </w:r>
          </w:p>
        </w:tc>
        <w:tc>
          <w:tcPr>
            <w:tcW w:w="411" w:type="pct"/>
            <w:tcBorders>
              <w:top w:val="nil"/>
              <w:left w:val="nil"/>
              <w:bottom w:val="nil"/>
              <w:right w:val="nil"/>
            </w:tcBorders>
            <w:shd w:val="clear" w:color="auto" w:fill="auto"/>
            <w:noWrap/>
            <w:vAlign w:val="center"/>
            <w:hideMark/>
          </w:tcPr>
          <w:p w14:paraId="79C31F66"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-4,5</w:t>
            </w:r>
          </w:p>
        </w:tc>
        <w:tc>
          <w:tcPr>
            <w:tcW w:w="411" w:type="pct"/>
            <w:tcBorders>
              <w:top w:val="nil"/>
              <w:left w:val="nil"/>
              <w:bottom w:val="nil"/>
              <w:right w:val="nil"/>
            </w:tcBorders>
            <w:shd w:val="clear" w:color="auto" w:fill="auto"/>
            <w:noWrap/>
            <w:vAlign w:val="center"/>
            <w:hideMark/>
          </w:tcPr>
          <w:p w14:paraId="4D987BC6"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-0,4</w:t>
            </w:r>
          </w:p>
        </w:tc>
        <w:tc>
          <w:tcPr>
            <w:tcW w:w="719" w:type="pct"/>
            <w:tcBorders>
              <w:top w:val="nil"/>
              <w:left w:val="single" w:sz="4" w:space="0" w:color="auto"/>
              <w:bottom w:val="nil"/>
              <w:right w:val="nil"/>
            </w:tcBorders>
            <w:shd w:val="clear" w:color="auto" w:fill="auto"/>
            <w:noWrap/>
            <w:vAlign w:val="center"/>
            <w:hideMark/>
          </w:tcPr>
          <w:p w14:paraId="6DD12E2C" w14:textId="77777777" w:rsidR="009A05C7" w:rsidRPr="00201A56" w:rsidRDefault="009A05C7" w:rsidP="000240DA">
            <w:pPr>
              <w:spacing w:after="0" w:line="240" w:lineRule="auto"/>
              <w:jc w:val="left"/>
              <w:rPr>
                <w:rFonts w:eastAsia="Times New Roman" w:cs="Times New Roman"/>
                <w:sz w:val="18"/>
                <w:szCs w:val="18"/>
                <w:lang w:eastAsia="sk-SK"/>
              </w:rPr>
            </w:pPr>
            <w:r w:rsidRPr="00201A56">
              <w:rPr>
                <w:rFonts w:eastAsia="Times New Roman" w:cs="Times New Roman"/>
                <w:sz w:val="18"/>
                <w:szCs w:val="18"/>
                <w:lang w:eastAsia="sk-SK"/>
              </w:rPr>
              <w:t>Fínsko</w:t>
            </w:r>
          </w:p>
        </w:tc>
        <w:tc>
          <w:tcPr>
            <w:tcW w:w="484" w:type="pct"/>
            <w:tcBorders>
              <w:top w:val="nil"/>
              <w:left w:val="nil"/>
              <w:bottom w:val="nil"/>
              <w:right w:val="nil"/>
            </w:tcBorders>
            <w:shd w:val="clear" w:color="auto" w:fill="auto"/>
            <w:noWrap/>
            <w:vAlign w:val="center"/>
            <w:hideMark/>
          </w:tcPr>
          <w:p w14:paraId="0CE5469F"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74,0</w:t>
            </w:r>
          </w:p>
        </w:tc>
        <w:tc>
          <w:tcPr>
            <w:tcW w:w="484" w:type="pct"/>
            <w:tcBorders>
              <w:top w:val="nil"/>
              <w:left w:val="nil"/>
              <w:bottom w:val="nil"/>
              <w:right w:val="nil"/>
            </w:tcBorders>
            <w:shd w:val="clear" w:color="auto" w:fill="auto"/>
            <w:noWrap/>
            <w:vAlign w:val="center"/>
            <w:hideMark/>
          </w:tcPr>
          <w:p w14:paraId="52D30652"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77,5</w:t>
            </w:r>
          </w:p>
        </w:tc>
        <w:tc>
          <w:tcPr>
            <w:tcW w:w="484" w:type="pct"/>
            <w:tcBorders>
              <w:top w:val="nil"/>
              <w:left w:val="nil"/>
              <w:bottom w:val="nil"/>
            </w:tcBorders>
            <w:shd w:val="clear" w:color="auto" w:fill="auto"/>
            <w:noWrap/>
            <w:vAlign w:val="center"/>
            <w:hideMark/>
          </w:tcPr>
          <w:p w14:paraId="04A6595A"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82,1</w:t>
            </w:r>
          </w:p>
        </w:tc>
        <w:tc>
          <w:tcPr>
            <w:tcW w:w="466" w:type="pct"/>
            <w:tcBorders>
              <w:top w:val="nil"/>
              <w:bottom w:val="nil"/>
              <w:right w:val="single" w:sz="4" w:space="0" w:color="auto"/>
            </w:tcBorders>
            <w:shd w:val="clear" w:color="auto" w:fill="auto"/>
            <w:noWrap/>
            <w:vAlign w:val="center"/>
            <w:hideMark/>
          </w:tcPr>
          <w:p w14:paraId="7CBE71D6"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4,6</w:t>
            </w:r>
          </w:p>
        </w:tc>
      </w:tr>
      <w:tr w:rsidR="009A05C7" w:rsidRPr="00973B5D" w14:paraId="12AF41DD" w14:textId="77777777" w:rsidTr="000240DA">
        <w:trPr>
          <w:trHeight w:val="280"/>
        </w:trPr>
        <w:tc>
          <w:tcPr>
            <w:tcW w:w="719" w:type="pct"/>
            <w:tcBorders>
              <w:top w:val="nil"/>
              <w:left w:val="single" w:sz="4" w:space="0" w:color="auto"/>
              <w:bottom w:val="nil"/>
              <w:right w:val="nil"/>
            </w:tcBorders>
            <w:shd w:val="clear" w:color="auto" w:fill="auto"/>
            <w:noWrap/>
            <w:vAlign w:val="center"/>
            <w:hideMark/>
          </w:tcPr>
          <w:p w14:paraId="0499E0A2" w14:textId="77777777" w:rsidR="009A05C7" w:rsidRPr="00973B5D" w:rsidRDefault="009A05C7" w:rsidP="000240DA">
            <w:pPr>
              <w:spacing w:after="0" w:line="240" w:lineRule="auto"/>
              <w:jc w:val="left"/>
              <w:rPr>
                <w:rFonts w:eastAsia="Times New Roman" w:cs="Times New Roman"/>
                <w:sz w:val="18"/>
                <w:szCs w:val="18"/>
                <w:lang w:eastAsia="sk-SK"/>
              </w:rPr>
            </w:pPr>
            <w:r w:rsidRPr="00973B5D">
              <w:rPr>
                <w:rFonts w:eastAsia="Times New Roman" w:cs="Times New Roman"/>
                <w:sz w:val="18"/>
                <w:szCs w:val="18"/>
                <w:lang w:eastAsia="sk-SK"/>
              </w:rPr>
              <w:t>Fínsko</w:t>
            </w:r>
          </w:p>
        </w:tc>
        <w:tc>
          <w:tcPr>
            <w:tcW w:w="411" w:type="pct"/>
            <w:tcBorders>
              <w:top w:val="nil"/>
              <w:left w:val="nil"/>
              <w:bottom w:val="nil"/>
              <w:right w:val="nil"/>
            </w:tcBorders>
            <w:shd w:val="clear" w:color="auto" w:fill="auto"/>
            <w:noWrap/>
            <w:vAlign w:val="center"/>
            <w:hideMark/>
          </w:tcPr>
          <w:p w14:paraId="1E4B6126"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-0,2</w:t>
            </w:r>
          </w:p>
        </w:tc>
        <w:tc>
          <w:tcPr>
            <w:tcW w:w="411" w:type="pct"/>
            <w:tcBorders>
              <w:top w:val="nil"/>
              <w:left w:val="nil"/>
              <w:bottom w:val="nil"/>
              <w:right w:val="nil"/>
            </w:tcBorders>
            <w:shd w:val="clear" w:color="auto" w:fill="auto"/>
            <w:noWrap/>
            <w:vAlign w:val="center"/>
            <w:hideMark/>
          </w:tcPr>
          <w:p w14:paraId="4CDAAE6B"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-3,0</w:t>
            </w:r>
          </w:p>
        </w:tc>
        <w:tc>
          <w:tcPr>
            <w:tcW w:w="411" w:type="pct"/>
            <w:tcBorders>
              <w:top w:val="nil"/>
              <w:left w:val="nil"/>
              <w:bottom w:val="nil"/>
              <w:right w:val="nil"/>
            </w:tcBorders>
            <w:shd w:val="clear" w:color="auto" w:fill="auto"/>
            <w:noWrap/>
            <w:vAlign w:val="center"/>
            <w:hideMark/>
          </w:tcPr>
          <w:p w14:paraId="7C6220E0"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-4,4</w:t>
            </w:r>
          </w:p>
        </w:tc>
        <w:tc>
          <w:tcPr>
            <w:tcW w:w="411" w:type="pct"/>
            <w:tcBorders>
              <w:top w:val="nil"/>
              <w:left w:val="nil"/>
              <w:bottom w:val="nil"/>
              <w:right w:val="nil"/>
            </w:tcBorders>
            <w:shd w:val="clear" w:color="auto" w:fill="auto"/>
            <w:noWrap/>
            <w:vAlign w:val="center"/>
            <w:hideMark/>
          </w:tcPr>
          <w:p w14:paraId="5B9421B1"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-1,4</w:t>
            </w:r>
          </w:p>
        </w:tc>
        <w:tc>
          <w:tcPr>
            <w:tcW w:w="719" w:type="pct"/>
            <w:tcBorders>
              <w:top w:val="nil"/>
              <w:left w:val="single" w:sz="4" w:space="0" w:color="auto"/>
              <w:bottom w:val="nil"/>
              <w:right w:val="nil"/>
            </w:tcBorders>
            <w:shd w:val="clear" w:color="auto" w:fill="auto"/>
            <w:noWrap/>
            <w:vAlign w:val="center"/>
            <w:hideMark/>
          </w:tcPr>
          <w:p w14:paraId="5CDD67EE" w14:textId="77777777" w:rsidR="009A05C7" w:rsidRPr="00201A56" w:rsidRDefault="009A05C7" w:rsidP="000240DA">
            <w:pPr>
              <w:spacing w:after="0" w:line="240" w:lineRule="auto"/>
              <w:jc w:val="left"/>
              <w:rPr>
                <w:rFonts w:eastAsia="Times New Roman" w:cs="Times New Roman"/>
                <w:sz w:val="18"/>
                <w:szCs w:val="18"/>
                <w:lang w:eastAsia="sk-SK"/>
              </w:rPr>
            </w:pPr>
            <w:r w:rsidRPr="00201A56">
              <w:rPr>
                <w:rFonts w:eastAsia="Times New Roman" w:cs="Times New Roman"/>
                <w:sz w:val="18"/>
                <w:szCs w:val="18"/>
                <w:lang w:eastAsia="sk-SK"/>
              </w:rPr>
              <w:t>Rakúsko</w:t>
            </w:r>
          </w:p>
        </w:tc>
        <w:tc>
          <w:tcPr>
            <w:tcW w:w="484" w:type="pct"/>
            <w:tcBorders>
              <w:top w:val="nil"/>
              <w:left w:val="nil"/>
              <w:bottom w:val="nil"/>
              <w:right w:val="nil"/>
            </w:tcBorders>
            <w:shd w:val="clear" w:color="auto" w:fill="auto"/>
            <w:noWrap/>
            <w:vAlign w:val="center"/>
            <w:hideMark/>
          </w:tcPr>
          <w:p w14:paraId="34E8ED21"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78,4</w:t>
            </w:r>
          </w:p>
        </w:tc>
        <w:tc>
          <w:tcPr>
            <w:tcW w:w="484" w:type="pct"/>
            <w:tcBorders>
              <w:top w:val="nil"/>
              <w:left w:val="nil"/>
              <w:bottom w:val="nil"/>
              <w:right w:val="nil"/>
            </w:tcBorders>
            <w:shd w:val="clear" w:color="auto" w:fill="auto"/>
            <w:noWrap/>
            <w:vAlign w:val="center"/>
            <w:hideMark/>
          </w:tcPr>
          <w:p w14:paraId="66DDD265"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78,5</w:t>
            </w:r>
          </w:p>
        </w:tc>
        <w:tc>
          <w:tcPr>
            <w:tcW w:w="484" w:type="pct"/>
            <w:tcBorders>
              <w:top w:val="nil"/>
              <w:left w:val="nil"/>
              <w:bottom w:val="nil"/>
            </w:tcBorders>
            <w:shd w:val="clear" w:color="auto" w:fill="auto"/>
            <w:noWrap/>
            <w:vAlign w:val="center"/>
            <w:hideMark/>
          </w:tcPr>
          <w:p w14:paraId="66DD4A80"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81,8</w:t>
            </w:r>
          </w:p>
        </w:tc>
        <w:tc>
          <w:tcPr>
            <w:tcW w:w="466" w:type="pct"/>
            <w:tcBorders>
              <w:top w:val="nil"/>
              <w:bottom w:val="nil"/>
              <w:right w:val="single" w:sz="4" w:space="0" w:color="auto"/>
            </w:tcBorders>
            <w:shd w:val="clear" w:color="auto" w:fill="auto"/>
            <w:noWrap/>
            <w:vAlign w:val="center"/>
            <w:hideMark/>
          </w:tcPr>
          <w:p w14:paraId="527FFA39"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3,3</w:t>
            </w:r>
          </w:p>
        </w:tc>
      </w:tr>
      <w:tr w:rsidR="009A05C7" w:rsidRPr="00973B5D" w14:paraId="541E2F84" w14:textId="77777777" w:rsidTr="000240DA">
        <w:trPr>
          <w:trHeight w:val="280"/>
        </w:trPr>
        <w:tc>
          <w:tcPr>
            <w:tcW w:w="719" w:type="pct"/>
            <w:tcBorders>
              <w:top w:val="nil"/>
              <w:left w:val="single" w:sz="4" w:space="0" w:color="auto"/>
              <w:bottom w:val="nil"/>
              <w:right w:val="nil"/>
            </w:tcBorders>
            <w:shd w:val="clear" w:color="auto" w:fill="auto"/>
            <w:noWrap/>
            <w:vAlign w:val="center"/>
            <w:hideMark/>
          </w:tcPr>
          <w:p w14:paraId="687E7700" w14:textId="77777777" w:rsidR="009A05C7" w:rsidRPr="00973B5D" w:rsidRDefault="009A05C7" w:rsidP="000240DA">
            <w:pPr>
              <w:spacing w:after="0" w:line="240" w:lineRule="auto"/>
              <w:jc w:val="left"/>
              <w:rPr>
                <w:rFonts w:eastAsia="Times New Roman" w:cs="Times New Roman"/>
                <w:sz w:val="18"/>
                <w:szCs w:val="18"/>
                <w:lang w:eastAsia="sk-SK"/>
              </w:rPr>
            </w:pPr>
            <w:r w:rsidRPr="00973B5D">
              <w:rPr>
                <w:rFonts w:eastAsia="Times New Roman" w:cs="Times New Roman"/>
                <w:sz w:val="18"/>
                <w:szCs w:val="18"/>
                <w:lang w:eastAsia="sk-SK"/>
              </w:rPr>
              <w:t>Malta</w:t>
            </w:r>
          </w:p>
        </w:tc>
        <w:tc>
          <w:tcPr>
            <w:tcW w:w="411" w:type="pct"/>
            <w:tcBorders>
              <w:top w:val="nil"/>
              <w:left w:val="nil"/>
              <w:bottom w:val="nil"/>
              <w:right w:val="nil"/>
            </w:tcBorders>
            <w:shd w:val="clear" w:color="auto" w:fill="auto"/>
            <w:noWrap/>
            <w:vAlign w:val="center"/>
            <w:hideMark/>
          </w:tcPr>
          <w:p w14:paraId="56A83249"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-5,2</w:t>
            </w:r>
          </w:p>
        </w:tc>
        <w:tc>
          <w:tcPr>
            <w:tcW w:w="411" w:type="pct"/>
            <w:tcBorders>
              <w:top w:val="nil"/>
              <w:left w:val="nil"/>
              <w:bottom w:val="nil"/>
              <w:right w:val="nil"/>
            </w:tcBorders>
            <w:shd w:val="clear" w:color="auto" w:fill="auto"/>
            <w:noWrap/>
            <w:vAlign w:val="center"/>
            <w:hideMark/>
          </w:tcPr>
          <w:p w14:paraId="0D9DFAF5"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-4,7</w:t>
            </w:r>
          </w:p>
        </w:tc>
        <w:tc>
          <w:tcPr>
            <w:tcW w:w="411" w:type="pct"/>
            <w:tcBorders>
              <w:top w:val="nil"/>
              <w:left w:val="nil"/>
              <w:bottom w:val="nil"/>
              <w:right w:val="nil"/>
            </w:tcBorders>
            <w:shd w:val="clear" w:color="auto" w:fill="auto"/>
            <w:noWrap/>
            <w:vAlign w:val="center"/>
            <w:hideMark/>
          </w:tcPr>
          <w:p w14:paraId="00B133B8"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-3,7</w:t>
            </w:r>
          </w:p>
        </w:tc>
        <w:tc>
          <w:tcPr>
            <w:tcW w:w="411" w:type="pct"/>
            <w:tcBorders>
              <w:top w:val="nil"/>
              <w:left w:val="nil"/>
              <w:bottom w:val="nil"/>
              <w:right w:val="nil"/>
            </w:tcBorders>
            <w:shd w:val="clear" w:color="auto" w:fill="auto"/>
            <w:noWrap/>
            <w:vAlign w:val="center"/>
            <w:hideMark/>
          </w:tcPr>
          <w:p w14:paraId="2919BB7D"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1,0</w:t>
            </w:r>
          </w:p>
        </w:tc>
        <w:tc>
          <w:tcPr>
            <w:tcW w:w="719" w:type="pct"/>
            <w:tcBorders>
              <w:top w:val="nil"/>
              <w:left w:val="single" w:sz="4" w:space="0" w:color="auto"/>
              <w:bottom w:val="nil"/>
              <w:right w:val="nil"/>
            </w:tcBorders>
            <w:shd w:val="clear" w:color="auto" w:fill="auto"/>
            <w:noWrap/>
            <w:vAlign w:val="center"/>
            <w:hideMark/>
          </w:tcPr>
          <w:p w14:paraId="5B3A733E" w14:textId="77777777" w:rsidR="009A05C7" w:rsidRPr="00201A56" w:rsidRDefault="009A05C7" w:rsidP="000240DA">
            <w:pPr>
              <w:spacing w:after="0" w:line="240" w:lineRule="auto"/>
              <w:jc w:val="left"/>
              <w:rPr>
                <w:rFonts w:eastAsia="Times New Roman" w:cs="Times New Roman"/>
                <w:sz w:val="18"/>
                <w:szCs w:val="18"/>
                <w:lang w:eastAsia="sk-SK"/>
              </w:rPr>
            </w:pPr>
            <w:r w:rsidRPr="00201A56">
              <w:rPr>
                <w:rFonts w:eastAsia="Times New Roman" w:cs="Times New Roman"/>
                <w:sz w:val="18"/>
                <w:szCs w:val="18"/>
                <w:lang w:eastAsia="sk-SK"/>
              </w:rPr>
              <w:t>Maďarsko</w:t>
            </w:r>
          </w:p>
        </w:tc>
        <w:tc>
          <w:tcPr>
            <w:tcW w:w="484" w:type="pct"/>
            <w:tcBorders>
              <w:top w:val="nil"/>
              <w:left w:val="nil"/>
              <w:bottom w:val="nil"/>
              <w:right w:val="nil"/>
            </w:tcBorders>
            <w:shd w:val="clear" w:color="auto" w:fill="auto"/>
            <w:noWrap/>
            <w:vAlign w:val="center"/>
            <w:hideMark/>
          </w:tcPr>
          <w:p w14:paraId="6C63E5C7"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73,9</w:t>
            </w:r>
          </w:p>
        </w:tc>
        <w:tc>
          <w:tcPr>
            <w:tcW w:w="484" w:type="pct"/>
            <w:tcBorders>
              <w:top w:val="nil"/>
              <w:left w:val="nil"/>
              <w:bottom w:val="nil"/>
              <w:right w:val="nil"/>
            </w:tcBorders>
            <w:shd w:val="clear" w:color="auto" w:fill="auto"/>
            <w:noWrap/>
            <w:vAlign w:val="center"/>
            <w:hideMark/>
          </w:tcPr>
          <w:p w14:paraId="4F72FA21"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73,0</w:t>
            </w:r>
          </w:p>
        </w:tc>
        <w:tc>
          <w:tcPr>
            <w:tcW w:w="484" w:type="pct"/>
            <w:tcBorders>
              <w:top w:val="nil"/>
              <w:left w:val="nil"/>
              <w:bottom w:val="nil"/>
            </w:tcBorders>
            <w:shd w:val="clear" w:color="auto" w:fill="auto"/>
            <w:noWrap/>
            <w:vAlign w:val="center"/>
            <w:hideMark/>
          </w:tcPr>
          <w:p w14:paraId="08F2A121"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73,5</w:t>
            </w:r>
          </w:p>
        </w:tc>
        <w:tc>
          <w:tcPr>
            <w:tcW w:w="466" w:type="pct"/>
            <w:tcBorders>
              <w:top w:val="nil"/>
              <w:bottom w:val="nil"/>
              <w:right w:val="single" w:sz="4" w:space="0" w:color="auto"/>
            </w:tcBorders>
            <w:shd w:val="clear" w:color="auto" w:fill="auto"/>
            <w:noWrap/>
            <w:vAlign w:val="center"/>
            <w:hideMark/>
          </w:tcPr>
          <w:p w14:paraId="5F1C19FF"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0,5</w:t>
            </w:r>
          </w:p>
        </w:tc>
      </w:tr>
      <w:tr w:rsidR="009A05C7" w:rsidRPr="00973B5D" w14:paraId="4FAD5CE7" w14:textId="77777777" w:rsidTr="000240DA">
        <w:trPr>
          <w:trHeight w:val="280"/>
        </w:trPr>
        <w:tc>
          <w:tcPr>
            <w:tcW w:w="719" w:type="pct"/>
            <w:tcBorders>
              <w:top w:val="nil"/>
              <w:left w:val="single" w:sz="4" w:space="0" w:color="auto"/>
              <w:bottom w:val="nil"/>
              <w:right w:val="nil"/>
            </w:tcBorders>
            <w:shd w:val="clear" w:color="auto" w:fill="auto"/>
            <w:noWrap/>
            <w:vAlign w:val="center"/>
            <w:hideMark/>
          </w:tcPr>
          <w:p w14:paraId="2511B9AA" w14:textId="77777777" w:rsidR="009A05C7" w:rsidRPr="00973B5D" w:rsidRDefault="009A05C7" w:rsidP="000240DA">
            <w:pPr>
              <w:spacing w:after="0" w:line="240" w:lineRule="auto"/>
              <w:jc w:val="left"/>
              <w:rPr>
                <w:rFonts w:eastAsia="Times New Roman" w:cs="Times New Roman"/>
                <w:sz w:val="18"/>
                <w:szCs w:val="18"/>
                <w:lang w:eastAsia="sk-SK"/>
              </w:rPr>
            </w:pPr>
            <w:r w:rsidRPr="00973B5D">
              <w:rPr>
                <w:rFonts w:eastAsia="Times New Roman" w:cs="Times New Roman"/>
                <w:sz w:val="18"/>
                <w:szCs w:val="18"/>
                <w:lang w:eastAsia="sk-SK"/>
              </w:rPr>
              <w:t>Taliansko</w:t>
            </w:r>
          </w:p>
        </w:tc>
        <w:tc>
          <w:tcPr>
            <w:tcW w:w="411" w:type="pct"/>
            <w:tcBorders>
              <w:top w:val="nil"/>
              <w:left w:val="nil"/>
              <w:bottom w:val="nil"/>
              <w:right w:val="nil"/>
            </w:tcBorders>
            <w:shd w:val="clear" w:color="auto" w:fill="auto"/>
            <w:noWrap/>
            <w:vAlign w:val="center"/>
            <w:hideMark/>
          </w:tcPr>
          <w:p w14:paraId="340C7903"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-8,1</w:t>
            </w:r>
          </w:p>
        </w:tc>
        <w:tc>
          <w:tcPr>
            <w:tcW w:w="411" w:type="pct"/>
            <w:tcBorders>
              <w:top w:val="nil"/>
              <w:left w:val="nil"/>
              <w:bottom w:val="nil"/>
              <w:right w:val="nil"/>
            </w:tcBorders>
            <w:shd w:val="clear" w:color="auto" w:fill="auto"/>
            <w:noWrap/>
            <w:vAlign w:val="center"/>
            <w:hideMark/>
          </w:tcPr>
          <w:p w14:paraId="5D8B4227"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-7,2</w:t>
            </w:r>
          </w:p>
        </w:tc>
        <w:tc>
          <w:tcPr>
            <w:tcW w:w="411" w:type="pct"/>
            <w:tcBorders>
              <w:top w:val="nil"/>
              <w:left w:val="nil"/>
              <w:bottom w:val="nil"/>
              <w:right w:val="nil"/>
            </w:tcBorders>
            <w:shd w:val="clear" w:color="auto" w:fill="auto"/>
            <w:noWrap/>
            <w:vAlign w:val="center"/>
            <w:hideMark/>
          </w:tcPr>
          <w:p w14:paraId="4275B8BF"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-3,4</w:t>
            </w:r>
          </w:p>
        </w:tc>
        <w:tc>
          <w:tcPr>
            <w:tcW w:w="411" w:type="pct"/>
            <w:tcBorders>
              <w:top w:val="nil"/>
              <w:left w:val="nil"/>
              <w:bottom w:val="nil"/>
              <w:right w:val="nil"/>
            </w:tcBorders>
            <w:shd w:val="clear" w:color="auto" w:fill="auto"/>
            <w:noWrap/>
            <w:vAlign w:val="center"/>
            <w:hideMark/>
          </w:tcPr>
          <w:p w14:paraId="393D446A"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3,8</w:t>
            </w:r>
          </w:p>
        </w:tc>
        <w:tc>
          <w:tcPr>
            <w:tcW w:w="719" w:type="pct"/>
            <w:tcBorders>
              <w:top w:val="nil"/>
              <w:left w:val="single" w:sz="4" w:space="0" w:color="auto"/>
              <w:bottom w:val="nil"/>
              <w:right w:val="nil"/>
            </w:tcBorders>
            <w:shd w:val="clear" w:color="auto" w:fill="auto"/>
            <w:noWrap/>
            <w:vAlign w:val="center"/>
            <w:hideMark/>
          </w:tcPr>
          <w:p w14:paraId="7E7665DA" w14:textId="77777777" w:rsidR="009A05C7" w:rsidRPr="00201A56" w:rsidRDefault="009A05C7" w:rsidP="000240DA">
            <w:pPr>
              <w:spacing w:after="0" w:line="240" w:lineRule="auto"/>
              <w:jc w:val="left"/>
              <w:rPr>
                <w:rFonts w:eastAsia="Times New Roman" w:cs="Times New Roman"/>
                <w:sz w:val="18"/>
                <w:szCs w:val="18"/>
                <w:lang w:eastAsia="sk-SK"/>
              </w:rPr>
            </w:pPr>
            <w:r w:rsidRPr="00201A56">
              <w:rPr>
                <w:rFonts w:eastAsia="Times New Roman" w:cs="Times New Roman"/>
                <w:sz w:val="18"/>
                <w:szCs w:val="18"/>
                <w:lang w:eastAsia="sk-SK"/>
              </w:rPr>
              <w:t>Slovinsko</w:t>
            </w:r>
          </w:p>
        </w:tc>
        <w:tc>
          <w:tcPr>
            <w:tcW w:w="484" w:type="pct"/>
            <w:tcBorders>
              <w:top w:val="nil"/>
              <w:left w:val="nil"/>
              <w:bottom w:val="nil"/>
              <w:right w:val="nil"/>
            </w:tcBorders>
            <w:shd w:val="clear" w:color="auto" w:fill="auto"/>
            <w:noWrap/>
            <w:vAlign w:val="center"/>
            <w:hideMark/>
          </w:tcPr>
          <w:p w14:paraId="1F2E6A1D"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72,7</w:t>
            </w:r>
          </w:p>
        </w:tc>
        <w:tc>
          <w:tcPr>
            <w:tcW w:w="484" w:type="pct"/>
            <w:tcBorders>
              <w:top w:val="nil"/>
              <w:left w:val="nil"/>
              <w:bottom w:val="nil"/>
              <w:right w:val="nil"/>
            </w:tcBorders>
            <w:shd w:val="clear" w:color="auto" w:fill="auto"/>
            <w:noWrap/>
            <w:vAlign w:val="center"/>
            <w:hideMark/>
          </w:tcPr>
          <w:p w14:paraId="52A98F35"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68,4</w:t>
            </w:r>
          </w:p>
        </w:tc>
        <w:tc>
          <w:tcPr>
            <w:tcW w:w="484" w:type="pct"/>
            <w:tcBorders>
              <w:top w:val="nil"/>
              <w:left w:val="nil"/>
              <w:bottom w:val="nil"/>
            </w:tcBorders>
            <w:shd w:val="clear" w:color="auto" w:fill="auto"/>
            <w:noWrap/>
            <w:vAlign w:val="center"/>
            <w:hideMark/>
          </w:tcPr>
          <w:p w14:paraId="4DE7D8B1"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67,0</w:t>
            </w:r>
          </w:p>
        </w:tc>
        <w:tc>
          <w:tcPr>
            <w:tcW w:w="466" w:type="pct"/>
            <w:tcBorders>
              <w:top w:val="nil"/>
              <w:bottom w:val="nil"/>
              <w:right w:val="single" w:sz="4" w:space="0" w:color="auto"/>
            </w:tcBorders>
            <w:shd w:val="clear" w:color="auto" w:fill="auto"/>
            <w:noWrap/>
            <w:vAlign w:val="center"/>
            <w:hideMark/>
          </w:tcPr>
          <w:p w14:paraId="5270E27B"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-1,4</w:t>
            </w:r>
          </w:p>
        </w:tc>
      </w:tr>
      <w:tr w:rsidR="009A05C7" w:rsidRPr="00973B5D" w14:paraId="3BF41013" w14:textId="77777777" w:rsidTr="000240DA">
        <w:trPr>
          <w:trHeight w:val="280"/>
        </w:trPr>
        <w:tc>
          <w:tcPr>
            <w:tcW w:w="719" w:type="pct"/>
            <w:tcBorders>
              <w:top w:val="nil"/>
              <w:left w:val="single" w:sz="4" w:space="0" w:color="auto"/>
              <w:bottom w:val="nil"/>
              <w:right w:val="nil"/>
            </w:tcBorders>
            <w:shd w:val="clear" w:color="auto" w:fill="auto"/>
            <w:noWrap/>
            <w:vAlign w:val="center"/>
            <w:hideMark/>
          </w:tcPr>
          <w:p w14:paraId="48D1EA0D" w14:textId="77777777" w:rsidR="009A05C7" w:rsidRPr="00973B5D" w:rsidRDefault="009A05C7" w:rsidP="000240DA">
            <w:pPr>
              <w:spacing w:after="0" w:line="240" w:lineRule="auto"/>
              <w:jc w:val="left"/>
              <w:rPr>
                <w:rFonts w:eastAsia="Times New Roman" w:cs="Times New Roman"/>
                <w:sz w:val="18"/>
                <w:szCs w:val="18"/>
                <w:lang w:eastAsia="sk-SK"/>
              </w:rPr>
            </w:pPr>
            <w:r w:rsidRPr="00973B5D">
              <w:rPr>
                <w:rFonts w:eastAsia="Times New Roman" w:cs="Times New Roman"/>
                <w:sz w:val="18"/>
                <w:szCs w:val="18"/>
                <w:lang w:eastAsia="sk-SK"/>
              </w:rPr>
              <w:t>Španielsko</w:t>
            </w:r>
          </w:p>
        </w:tc>
        <w:tc>
          <w:tcPr>
            <w:tcW w:w="411" w:type="pct"/>
            <w:tcBorders>
              <w:top w:val="nil"/>
              <w:left w:val="nil"/>
              <w:bottom w:val="nil"/>
              <w:right w:val="nil"/>
            </w:tcBorders>
            <w:shd w:val="clear" w:color="auto" w:fill="auto"/>
            <w:noWrap/>
            <w:vAlign w:val="center"/>
            <w:hideMark/>
          </w:tcPr>
          <w:p w14:paraId="380CD049"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-4,6</w:t>
            </w:r>
          </w:p>
        </w:tc>
        <w:tc>
          <w:tcPr>
            <w:tcW w:w="411" w:type="pct"/>
            <w:tcBorders>
              <w:top w:val="nil"/>
              <w:left w:val="nil"/>
              <w:bottom w:val="nil"/>
              <w:right w:val="nil"/>
            </w:tcBorders>
            <w:shd w:val="clear" w:color="auto" w:fill="auto"/>
            <w:noWrap/>
            <w:vAlign w:val="center"/>
            <w:hideMark/>
          </w:tcPr>
          <w:p w14:paraId="5E9F5902"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-3,5</w:t>
            </w:r>
          </w:p>
        </w:tc>
        <w:tc>
          <w:tcPr>
            <w:tcW w:w="411" w:type="pct"/>
            <w:tcBorders>
              <w:top w:val="nil"/>
              <w:left w:val="nil"/>
              <w:bottom w:val="nil"/>
              <w:right w:val="nil"/>
            </w:tcBorders>
            <w:shd w:val="clear" w:color="auto" w:fill="auto"/>
            <w:noWrap/>
            <w:vAlign w:val="center"/>
            <w:hideMark/>
          </w:tcPr>
          <w:p w14:paraId="22268F6C"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-3,2</w:t>
            </w:r>
          </w:p>
        </w:tc>
        <w:tc>
          <w:tcPr>
            <w:tcW w:w="411" w:type="pct"/>
            <w:tcBorders>
              <w:top w:val="nil"/>
              <w:left w:val="nil"/>
              <w:bottom w:val="nil"/>
              <w:right w:val="nil"/>
            </w:tcBorders>
            <w:shd w:val="clear" w:color="auto" w:fill="auto"/>
            <w:noWrap/>
            <w:vAlign w:val="center"/>
            <w:hideMark/>
          </w:tcPr>
          <w:p w14:paraId="3C58F914"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0,3</w:t>
            </w:r>
          </w:p>
        </w:tc>
        <w:tc>
          <w:tcPr>
            <w:tcW w:w="719" w:type="pct"/>
            <w:tcBorders>
              <w:top w:val="nil"/>
              <w:left w:val="single" w:sz="4" w:space="0" w:color="auto"/>
              <w:bottom w:val="nil"/>
              <w:right w:val="nil"/>
            </w:tcBorders>
            <w:shd w:val="clear" w:color="auto" w:fill="auto"/>
            <w:noWrap/>
            <w:vAlign w:val="center"/>
            <w:hideMark/>
          </w:tcPr>
          <w:p w14:paraId="3C583BBF" w14:textId="77777777" w:rsidR="009A05C7" w:rsidRPr="00201A56" w:rsidRDefault="009A05C7" w:rsidP="000240DA">
            <w:pPr>
              <w:spacing w:after="0" w:line="240" w:lineRule="auto"/>
              <w:jc w:val="left"/>
              <w:rPr>
                <w:rFonts w:eastAsia="Times New Roman" w:cs="Times New Roman"/>
                <w:sz w:val="18"/>
                <w:szCs w:val="18"/>
                <w:lang w:eastAsia="sk-SK"/>
              </w:rPr>
            </w:pPr>
            <w:r w:rsidRPr="00201A56">
              <w:rPr>
                <w:rFonts w:eastAsia="Times New Roman" w:cs="Times New Roman"/>
                <w:sz w:val="18"/>
                <w:szCs w:val="18"/>
                <w:lang w:eastAsia="sk-SK"/>
              </w:rPr>
              <w:t>Cyprus</w:t>
            </w:r>
          </w:p>
        </w:tc>
        <w:tc>
          <w:tcPr>
            <w:tcW w:w="484" w:type="pct"/>
            <w:tcBorders>
              <w:top w:val="nil"/>
              <w:left w:val="nil"/>
              <w:bottom w:val="nil"/>
              <w:right w:val="nil"/>
            </w:tcBorders>
            <w:shd w:val="clear" w:color="auto" w:fill="auto"/>
            <w:noWrap/>
            <w:vAlign w:val="center"/>
            <w:hideMark/>
          </w:tcPr>
          <w:p w14:paraId="1FF8F32B"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81,1</w:t>
            </w:r>
          </w:p>
        </w:tc>
        <w:tc>
          <w:tcPr>
            <w:tcW w:w="484" w:type="pct"/>
            <w:tcBorders>
              <w:top w:val="nil"/>
              <w:left w:val="nil"/>
              <w:bottom w:val="nil"/>
              <w:right w:val="nil"/>
            </w:tcBorders>
            <w:shd w:val="clear" w:color="auto" w:fill="auto"/>
            <w:noWrap/>
            <w:vAlign w:val="center"/>
            <w:hideMark/>
          </w:tcPr>
          <w:p w14:paraId="2C9577DD"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73,6</w:t>
            </w:r>
          </w:p>
        </w:tc>
        <w:tc>
          <w:tcPr>
            <w:tcW w:w="484" w:type="pct"/>
            <w:tcBorders>
              <w:top w:val="nil"/>
              <w:left w:val="nil"/>
              <w:bottom w:val="nil"/>
            </w:tcBorders>
            <w:shd w:val="clear" w:color="auto" w:fill="auto"/>
            <w:noWrap/>
            <w:vAlign w:val="center"/>
            <w:hideMark/>
          </w:tcPr>
          <w:p w14:paraId="7D241872"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65,0</w:t>
            </w:r>
          </w:p>
        </w:tc>
        <w:tc>
          <w:tcPr>
            <w:tcW w:w="466" w:type="pct"/>
            <w:tcBorders>
              <w:top w:val="nil"/>
              <w:bottom w:val="nil"/>
              <w:right w:val="single" w:sz="4" w:space="0" w:color="auto"/>
            </w:tcBorders>
            <w:shd w:val="clear" w:color="auto" w:fill="auto"/>
            <w:noWrap/>
            <w:vAlign w:val="center"/>
            <w:hideMark/>
          </w:tcPr>
          <w:p w14:paraId="6CCAD256"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-8,6</w:t>
            </w:r>
          </w:p>
        </w:tc>
      </w:tr>
      <w:tr w:rsidR="009A05C7" w:rsidRPr="00973B5D" w14:paraId="45A2FC8B" w14:textId="77777777" w:rsidTr="000240DA">
        <w:trPr>
          <w:trHeight w:val="280"/>
        </w:trPr>
        <w:tc>
          <w:tcPr>
            <w:tcW w:w="719" w:type="pct"/>
            <w:tcBorders>
              <w:top w:val="nil"/>
              <w:left w:val="single" w:sz="4" w:space="0" w:color="auto"/>
              <w:bottom w:val="nil"/>
              <w:right w:val="nil"/>
            </w:tcBorders>
            <w:shd w:val="clear" w:color="auto" w:fill="auto"/>
            <w:noWrap/>
            <w:vAlign w:val="center"/>
            <w:hideMark/>
          </w:tcPr>
          <w:p w14:paraId="1D1972DC" w14:textId="77777777" w:rsidR="009A05C7" w:rsidRPr="00973B5D" w:rsidRDefault="009A05C7" w:rsidP="000240DA">
            <w:pPr>
              <w:spacing w:after="0" w:line="240" w:lineRule="auto"/>
              <w:jc w:val="left"/>
              <w:rPr>
                <w:rFonts w:eastAsia="Times New Roman" w:cs="Times New Roman"/>
                <w:sz w:val="18"/>
                <w:szCs w:val="18"/>
                <w:lang w:eastAsia="sk-SK"/>
              </w:rPr>
            </w:pPr>
            <w:r w:rsidRPr="00973B5D">
              <w:rPr>
                <w:rFonts w:eastAsia="Times New Roman" w:cs="Times New Roman"/>
                <w:sz w:val="18"/>
                <w:szCs w:val="18"/>
                <w:lang w:eastAsia="sk-SK"/>
              </w:rPr>
              <w:t>Bulharsko</w:t>
            </w:r>
          </w:p>
        </w:tc>
        <w:tc>
          <w:tcPr>
            <w:tcW w:w="411" w:type="pct"/>
            <w:tcBorders>
              <w:top w:val="nil"/>
              <w:left w:val="nil"/>
              <w:bottom w:val="nil"/>
              <w:right w:val="nil"/>
            </w:tcBorders>
            <w:shd w:val="clear" w:color="auto" w:fill="auto"/>
            <w:noWrap/>
            <w:vAlign w:val="center"/>
            <w:hideMark/>
          </w:tcPr>
          <w:p w14:paraId="7458201C"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-3,0</w:t>
            </w:r>
          </w:p>
        </w:tc>
        <w:tc>
          <w:tcPr>
            <w:tcW w:w="411" w:type="pct"/>
            <w:tcBorders>
              <w:top w:val="nil"/>
              <w:left w:val="nil"/>
              <w:bottom w:val="nil"/>
              <w:right w:val="nil"/>
            </w:tcBorders>
            <w:shd w:val="clear" w:color="auto" w:fill="auto"/>
            <w:noWrap/>
            <w:vAlign w:val="center"/>
            <w:hideMark/>
          </w:tcPr>
          <w:p w14:paraId="73D4C93B"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-2,0</w:t>
            </w:r>
          </w:p>
        </w:tc>
        <w:tc>
          <w:tcPr>
            <w:tcW w:w="411" w:type="pct"/>
            <w:tcBorders>
              <w:top w:val="nil"/>
              <w:left w:val="nil"/>
              <w:bottom w:val="nil"/>
              <w:right w:val="nil"/>
            </w:tcBorders>
            <w:shd w:val="clear" w:color="auto" w:fill="auto"/>
            <w:noWrap/>
            <w:vAlign w:val="center"/>
            <w:hideMark/>
          </w:tcPr>
          <w:p w14:paraId="4538CE66"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-3,0</w:t>
            </w:r>
          </w:p>
        </w:tc>
        <w:tc>
          <w:tcPr>
            <w:tcW w:w="411" w:type="pct"/>
            <w:tcBorders>
              <w:top w:val="nil"/>
              <w:left w:val="nil"/>
              <w:bottom w:val="nil"/>
              <w:right w:val="nil"/>
            </w:tcBorders>
            <w:shd w:val="clear" w:color="auto" w:fill="auto"/>
            <w:noWrap/>
            <w:vAlign w:val="center"/>
            <w:hideMark/>
          </w:tcPr>
          <w:p w14:paraId="2F530389"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-1,0</w:t>
            </w:r>
          </w:p>
        </w:tc>
        <w:tc>
          <w:tcPr>
            <w:tcW w:w="719" w:type="pct"/>
            <w:tcBorders>
              <w:top w:val="nil"/>
              <w:left w:val="single" w:sz="4" w:space="0" w:color="auto"/>
              <w:bottom w:val="nil"/>
              <w:right w:val="nil"/>
            </w:tcBorders>
            <w:shd w:val="clear" w:color="auto" w:fill="auto"/>
            <w:noWrap/>
            <w:vAlign w:val="center"/>
            <w:hideMark/>
          </w:tcPr>
          <w:p w14:paraId="1EBB6880" w14:textId="77777777" w:rsidR="009A05C7" w:rsidRPr="00201A56" w:rsidRDefault="009A05C7" w:rsidP="000240DA">
            <w:pPr>
              <w:spacing w:after="0" w:line="240" w:lineRule="auto"/>
              <w:jc w:val="left"/>
              <w:rPr>
                <w:rFonts w:eastAsia="Times New Roman" w:cs="Times New Roman"/>
                <w:sz w:val="18"/>
                <w:szCs w:val="18"/>
                <w:lang w:eastAsia="sk-SK"/>
              </w:rPr>
            </w:pPr>
            <w:r w:rsidRPr="00201A56">
              <w:rPr>
                <w:rFonts w:eastAsia="Times New Roman" w:cs="Times New Roman"/>
                <w:sz w:val="18"/>
                <w:szCs w:val="18"/>
                <w:lang w:eastAsia="sk-SK"/>
              </w:rPr>
              <w:t>Nemecko</w:t>
            </w:r>
          </w:p>
        </w:tc>
        <w:tc>
          <w:tcPr>
            <w:tcW w:w="484" w:type="pct"/>
            <w:tcBorders>
              <w:top w:val="nil"/>
              <w:left w:val="nil"/>
              <w:bottom w:val="nil"/>
              <w:right w:val="nil"/>
            </w:tcBorders>
            <w:shd w:val="clear" w:color="auto" w:fill="auto"/>
            <w:noWrap/>
            <w:vAlign w:val="center"/>
            <w:hideMark/>
          </w:tcPr>
          <w:p w14:paraId="16A4C627"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65,0</w:t>
            </w:r>
          </w:p>
        </w:tc>
        <w:tc>
          <w:tcPr>
            <w:tcW w:w="484" w:type="pct"/>
            <w:tcBorders>
              <w:top w:val="nil"/>
              <w:left w:val="nil"/>
              <w:bottom w:val="nil"/>
              <w:right w:val="nil"/>
            </w:tcBorders>
            <w:shd w:val="clear" w:color="auto" w:fill="auto"/>
            <w:noWrap/>
            <w:vAlign w:val="center"/>
            <w:hideMark/>
          </w:tcPr>
          <w:p w14:paraId="4A527CDE"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62,9</w:t>
            </w:r>
          </w:p>
        </w:tc>
        <w:tc>
          <w:tcPr>
            <w:tcW w:w="484" w:type="pct"/>
            <w:tcBorders>
              <w:top w:val="nil"/>
              <w:left w:val="nil"/>
              <w:bottom w:val="nil"/>
            </w:tcBorders>
            <w:shd w:val="clear" w:color="auto" w:fill="auto"/>
            <w:noWrap/>
            <w:vAlign w:val="center"/>
            <w:hideMark/>
          </w:tcPr>
          <w:p w14:paraId="598D1B0D"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62,5</w:t>
            </w:r>
          </w:p>
        </w:tc>
        <w:tc>
          <w:tcPr>
            <w:tcW w:w="466" w:type="pct"/>
            <w:tcBorders>
              <w:top w:val="nil"/>
              <w:bottom w:val="nil"/>
              <w:right w:val="single" w:sz="4" w:space="0" w:color="auto"/>
            </w:tcBorders>
            <w:shd w:val="clear" w:color="auto" w:fill="auto"/>
            <w:noWrap/>
            <w:vAlign w:val="center"/>
            <w:hideMark/>
          </w:tcPr>
          <w:p w14:paraId="1553A9BA"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-0,4</w:t>
            </w:r>
          </w:p>
        </w:tc>
      </w:tr>
      <w:tr w:rsidR="009A05C7" w:rsidRPr="00973B5D" w14:paraId="7D36E01E" w14:textId="77777777" w:rsidTr="000240DA">
        <w:trPr>
          <w:trHeight w:val="280"/>
        </w:trPr>
        <w:tc>
          <w:tcPr>
            <w:tcW w:w="719" w:type="pct"/>
            <w:tcBorders>
              <w:top w:val="nil"/>
              <w:left w:val="single" w:sz="4" w:space="0" w:color="auto"/>
              <w:bottom w:val="nil"/>
              <w:right w:val="nil"/>
            </w:tcBorders>
            <w:shd w:val="clear" w:color="auto" w:fill="auto"/>
            <w:noWrap/>
            <w:vAlign w:val="center"/>
            <w:hideMark/>
          </w:tcPr>
          <w:p w14:paraId="18BF2E46" w14:textId="77777777" w:rsidR="009A05C7" w:rsidRPr="00973B5D" w:rsidRDefault="009A05C7" w:rsidP="000240DA">
            <w:pPr>
              <w:spacing w:after="0" w:line="240" w:lineRule="auto"/>
              <w:jc w:val="left"/>
              <w:rPr>
                <w:rFonts w:eastAsia="Times New Roman" w:cs="Times New Roman"/>
                <w:sz w:val="18"/>
                <w:szCs w:val="18"/>
                <w:lang w:eastAsia="sk-SK"/>
              </w:rPr>
            </w:pPr>
            <w:r w:rsidRPr="00973B5D">
              <w:rPr>
                <w:rFonts w:eastAsia="Times New Roman" w:cs="Times New Roman"/>
                <w:sz w:val="18"/>
                <w:szCs w:val="18"/>
                <w:lang w:eastAsia="sk-SK"/>
              </w:rPr>
              <w:t>Nemecko</w:t>
            </w:r>
          </w:p>
        </w:tc>
        <w:tc>
          <w:tcPr>
            <w:tcW w:w="411" w:type="pct"/>
            <w:tcBorders>
              <w:top w:val="nil"/>
              <w:left w:val="nil"/>
              <w:bottom w:val="nil"/>
              <w:right w:val="nil"/>
            </w:tcBorders>
            <w:shd w:val="clear" w:color="auto" w:fill="auto"/>
            <w:noWrap/>
            <w:vAlign w:val="center"/>
            <w:hideMark/>
          </w:tcPr>
          <w:p w14:paraId="795EFBBB"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-2,1</w:t>
            </w:r>
          </w:p>
        </w:tc>
        <w:tc>
          <w:tcPr>
            <w:tcW w:w="411" w:type="pct"/>
            <w:tcBorders>
              <w:top w:val="nil"/>
              <w:left w:val="nil"/>
              <w:bottom w:val="nil"/>
              <w:right w:val="nil"/>
            </w:tcBorders>
            <w:shd w:val="clear" w:color="auto" w:fill="auto"/>
            <w:noWrap/>
            <w:vAlign w:val="center"/>
            <w:hideMark/>
          </w:tcPr>
          <w:p w14:paraId="4BEC4000"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-2,5</w:t>
            </w:r>
          </w:p>
        </w:tc>
        <w:tc>
          <w:tcPr>
            <w:tcW w:w="411" w:type="pct"/>
            <w:tcBorders>
              <w:top w:val="nil"/>
              <w:left w:val="nil"/>
              <w:bottom w:val="nil"/>
              <w:right w:val="nil"/>
            </w:tcBorders>
            <w:shd w:val="clear" w:color="auto" w:fill="auto"/>
            <w:noWrap/>
            <w:vAlign w:val="center"/>
            <w:hideMark/>
          </w:tcPr>
          <w:p w14:paraId="41601EA2"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-2,8</w:t>
            </w:r>
          </w:p>
        </w:tc>
        <w:tc>
          <w:tcPr>
            <w:tcW w:w="411" w:type="pct"/>
            <w:tcBorders>
              <w:top w:val="nil"/>
              <w:left w:val="nil"/>
              <w:bottom w:val="nil"/>
              <w:right w:val="nil"/>
            </w:tcBorders>
            <w:shd w:val="clear" w:color="auto" w:fill="auto"/>
            <w:noWrap/>
            <w:vAlign w:val="center"/>
            <w:hideMark/>
          </w:tcPr>
          <w:p w14:paraId="1F841681"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-0,3</w:t>
            </w:r>
          </w:p>
        </w:tc>
        <w:tc>
          <w:tcPr>
            <w:tcW w:w="719" w:type="pct"/>
            <w:tcBorders>
              <w:top w:val="nil"/>
              <w:left w:val="single" w:sz="4" w:space="0" w:color="auto"/>
              <w:bottom w:val="nil"/>
              <w:right w:val="nil"/>
            </w:tcBorders>
            <w:shd w:val="clear" w:color="auto" w:fill="auto"/>
            <w:noWrap/>
            <w:vAlign w:val="center"/>
            <w:hideMark/>
          </w:tcPr>
          <w:p w14:paraId="29600AB0" w14:textId="77777777" w:rsidR="009A05C7" w:rsidRPr="00201A56" w:rsidRDefault="009A05C7" w:rsidP="000240DA">
            <w:pPr>
              <w:spacing w:after="0" w:line="240" w:lineRule="auto"/>
              <w:jc w:val="left"/>
              <w:rPr>
                <w:rFonts w:eastAsia="Times New Roman" w:cs="Times New Roman"/>
                <w:b/>
                <w:bCs/>
                <w:sz w:val="18"/>
                <w:szCs w:val="18"/>
                <w:lang w:eastAsia="sk-SK"/>
              </w:rPr>
            </w:pPr>
            <w:r w:rsidRPr="00201A56">
              <w:rPr>
                <w:rFonts w:eastAsia="Times New Roman" w:cs="Times New Roman"/>
                <w:b/>
                <w:bCs/>
                <w:sz w:val="18"/>
                <w:szCs w:val="18"/>
                <w:lang w:eastAsia="sk-SK"/>
              </w:rPr>
              <w:t>Slovensko</w:t>
            </w:r>
          </w:p>
        </w:tc>
        <w:tc>
          <w:tcPr>
            <w:tcW w:w="484" w:type="pct"/>
            <w:tcBorders>
              <w:top w:val="nil"/>
              <w:left w:val="nil"/>
              <w:bottom w:val="nil"/>
              <w:right w:val="nil"/>
            </w:tcBorders>
            <w:shd w:val="clear" w:color="auto" w:fill="auto"/>
            <w:noWrap/>
            <w:vAlign w:val="center"/>
            <w:hideMark/>
          </w:tcPr>
          <w:p w14:paraId="6486C1C6" w14:textId="77777777" w:rsidR="009A05C7" w:rsidRPr="00201A56" w:rsidRDefault="009A05C7" w:rsidP="000240DA">
            <w:pPr>
              <w:spacing w:after="0" w:line="240" w:lineRule="auto"/>
              <w:ind w:firstLineChars="100" w:firstLine="181"/>
              <w:jc w:val="right"/>
              <w:rPr>
                <w:rFonts w:eastAsia="Times New Roman" w:cs="Times New Roman"/>
                <w:b/>
                <w:bCs/>
                <w:sz w:val="18"/>
                <w:szCs w:val="18"/>
                <w:lang w:eastAsia="sk-SK"/>
              </w:rPr>
            </w:pPr>
            <w:r w:rsidRPr="00201A56">
              <w:rPr>
                <w:rFonts w:eastAsia="Times New Roman" w:cs="Times New Roman"/>
                <w:b/>
                <w:bCs/>
                <w:sz w:val="18"/>
                <w:szCs w:val="18"/>
                <w:lang w:eastAsia="sk-SK"/>
              </w:rPr>
              <w:t>57,7</w:t>
            </w:r>
          </w:p>
        </w:tc>
        <w:tc>
          <w:tcPr>
            <w:tcW w:w="484" w:type="pct"/>
            <w:tcBorders>
              <w:top w:val="nil"/>
              <w:left w:val="nil"/>
              <w:bottom w:val="nil"/>
              <w:right w:val="nil"/>
            </w:tcBorders>
            <w:shd w:val="clear" w:color="auto" w:fill="auto"/>
            <w:noWrap/>
            <w:vAlign w:val="center"/>
            <w:hideMark/>
          </w:tcPr>
          <w:p w14:paraId="20C4BFD8" w14:textId="77777777" w:rsidR="009A05C7" w:rsidRPr="00201A56" w:rsidRDefault="009A05C7" w:rsidP="000240DA">
            <w:pPr>
              <w:spacing w:after="0" w:line="240" w:lineRule="auto"/>
              <w:ind w:firstLineChars="100" w:firstLine="181"/>
              <w:jc w:val="right"/>
              <w:rPr>
                <w:rFonts w:eastAsia="Times New Roman" w:cs="Times New Roman"/>
                <w:b/>
                <w:bCs/>
                <w:sz w:val="18"/>
                <w:szCs w:val="18"/>
                <w:lang w:eastAsia="sk-SK"/>
              </w:rPr>
            </w:pPr>
            <w:r w:rsidRPr="00201A56">
              <w:rPr>
                <w:rFonts w:eastAsia="Times New Roman" w:cs="Times New Roman"/>
                <w:b/>
                <w:bCs/>
                <w:sz w:val="18"/>
                <w:szCs w:val="18"/>
                <w:lang w:eastAsia="sk-SK"/>
              </w:rPr>
              <w:t>55,6</w:t>
            </w:r>
          </w:p>
        </w:tc>
        <w:tc>
          <w:tcPr>
            <w:tcW w:w="484" w:type="pct"/>
            <w:tcBorders>
              <w:top w:val="nil"/>
              <w:left w:val="nil"/>
              <w:bottom w:val="nil"/>
            </w:tcBorders>
            <w:shd w:val="clear" w:color="auto" w:fill="auto"/>
            <w:noWrap/>
            <w:vAlign w:val="center"/>
            <w:hideMark/>
          </w:tcPr>
          <w:p w14:paraId="37007F10" w14:textId="77777777" w:rsidR="009A05C7" w:rsidRPr="00201A56" w:rsidRDefault="009A05C7" w:rsidP="000240DA">
            <w:pPr>
              <w:spacing w:after="0" w:line="240" w:lineRule="auto"/>
              <w:ind w:firstLineChars="100" w:firstLine="181"/>
              <w:jc w:val="right"/>
              <w:rPr>
                <w:rFonts w:eastAsia="Times New Roman" w:cs="Times New Roman"/>
                <w:b/>
                <w:bCs/>
                <w:sz w:val="18"/>
                <w:szCs w:val="18"/>
                <w:lang w:eastAsia="sk-SK"/>
              </w:rPr>
            </w:pPr>
            <w:r w:rsidRPr="00201A56">
              <w:rPr>
                <w:rFonts w:eastAsia="Times New Roman" w:cs="Times New Roman"/>
                <w:b/>
                <w:bCs/>
                <w:sz w:val="18"/>
                <w:szCs w:val="18"/>
                <w:lang w:eastAsia="sk-SK"/>
              </w:rPr>
              <w:t>59,3</w:t>
            </w:r>
          </w:p>
        </w:tc>
        <w:tc>
          <w:tcPr>
            <w:tcW w:w="466" w:type="pct"/>
            <w:tcBorders>
              <w:top w:val="nil"/>
              <w:bottom w:val="nil"/>
              <w:right w:val="single" w:sz="4" w:space="0" w:color="auto"/>
            </w:tcBorders>
            <w:shd w:val="clear" w:color="auto" w:fill="auto"/>
            <w:noWrap/>
            <w:vAlign w:val="center"/>
            <w:hideMark/>
          </w:tcPr>
          <w:p w14:paraId="29174821"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3,7</w:t>
            </w:r>
          </w:p>
        </w:tc>
      </w:tr>
      <w:tr w:rsidR="009A05C7" w:rsidRPr="00973B5D" w14:paraId="1110289E" w14:textId="77777777" w:rsidTr="000240DA">
        <w:trPr>
          <w:trHeight w:val="280"/>
        </w:trPr>
        <w:tc>
          <w:tcPr>
            <w:tcW w:w="719" w:type="pct"/>
            <w:tcBorders>
              <w:top w:val="nil"/>
              <w:left w:val="single" w:sz="4" w:space="0" w:color="auto"/>
              <w:bottom w:val="nil"/>
              <w:right w:val="nil"/>
            </w:tcBorders>
            <w:shd w:val="clear" w:color="auto" w:fill="auto"/>
            <w:noWrap/>
            <w:vAlign w:val="center"/>
            <w:hideMark/>
          </w:tcPr>
          <w:p w14:paraId="3D40DFB3" w14:textId="77777777" w:rsidR="009A05C7" w:rsidRPr="00973B5D" w:rsidRDefault="009A05C7" w:rsidP="000240DA">
            <w:pPr>
              <w:spacing w:after="0" w:line="240" w:lineRule="auto"/>
              <w:jc w:val="left"/>
              <w:rPr>
                <w:rFonts w:eastAsia="Times New Roman" w:cs="Times New Roman"/>
                <w:sz w:val="18"/>
                <w:szCs w:val="18"/>
                <w:lang w:eastAsia="sk-SK"/>
              </w:rPr>
            </w:pPr>
            <w:r w:rsidRPr="00973B5D">
              <w:rPr>
                <w:rFonts w:eastAsia="Times New Roman" w:cs="Times New Roman"/>
                <w:sz w:val="18"/>
                <w:szCs w:val="18"/>
                <w:lang w:eastAsia="sk-SK"/>
              </w:rPr>
              <w:t>Chorvátsko</w:t>
            </w:r>
          </w:p>
        </w:tc>
        <w:tc>
          <w:tcPr>
            <w:tcW w:w="411" w:type="pct"/>
            <w:tcBorders>
              <w:top w:val="nil"/>
              <w:left w:val="nil"/>
              <w:bottom w:val="nil"/>
              <w:right w:val="nil"/>
            </w:tcBorders>
            <w:shd w:val="clear" w:color="auto" w:fill="auto"/>
            <w:noWrap/>
            <w:vAlign w:val="center"/>
            <w:hideMark/>
          </w:tcPr>
          <w:p w14:paraId="7CD2B927"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0,1</w:t>
            </w:r>
          </w:p>
        </w:tc>
        <w:tc>
          <w:tcPr>
            <w:tcW w:w="411" w:type="pct"/>
            <w:tcBorders>
              <w:top w:val="nil"/>
              <w:left w:val="nil"/>
              <w:bottom w:val="nil"/>
              <w:right w:val="nil"/>
            </w:tcBorders>
            <w:shd w:val="clear" w:color="auto" w:fill="auto"/>
            <w:noWrap/>
            <w:vAlign w:val="center"/>
            <w:hideMark/>
          </w:tcPr>
          <w:p w14:paraId="3B161949"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-0,8</w:t>
            </w:r>
          </w:p>
        </w:tc>
        <w:tc>
          <w:tcPr>
            <w:tcW w:w="411" w:type="pct"/>
            <w:tcBorders>
              <w:top w:val="nil"/>
              <w:left w:val="nil"/>
              <w:bottom w:val="nil"/>
              <w:right w:val="nil"/>
            </w:tcBorders>
            <w:shd w:val="clear" w:color="auto" w:fill="auto"/>
            <w:noWrap/>
            <w:vAlign w:val="center"/>
            <w:hideMark/>
          </w:tcPr>
          <w:p w14:paraId="59D4D2C5"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-2,4</w:t>
            </w:r>
          </w:p>
        </w:tc>
        <w:tc>
          <w:tcPr>
            <w:tcW w:w="411" w:type="pct"/>
            <w:tcBorders>
              <w:top w:val="nil"/>
              <w:left w:val="nil"/>
              <w:bottom w:val="nil"/>
              <w:right w:val="nil"/>
            </w:tcBorders>
            <w:shd w:val="clear" w:color="auto" w:fill="auto"/>
            <w:noWrap/>
            <w:vAlign w:val="center"/>
            <w:hideMark/>
          </w:tcPr>
          <w:p w14:paraId="54A6B3D2"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-1,6</w:t>
            </w:r>
          </w:p>
        </w:tc>
        <w:tc>
          <w:tcPr>
            <w:tcW w:w="719" w:type="pct"/>
            <w:tcBorders>
              <w:top w:val="nil"/>
              <w:left w:val="single" w:sz="4" w:space="0" w:color="auto"/>
              <w:bottom w:val="nil"/>
              <w:right w:val="nil"/>
            </w:tcBorders>
            <w:shd w:val="clear" w:color="auto" w:fill="auto"/>
            <w:noWrap/>
            <w:vAlign w:val="center"/>
            <w:hideMark/>
          </w:tcPr>
          <w:p w14:paraId="1A4D5A7B" w14:textId="77777777" w:rsidR="009A05C7" w:rsidRPr="00201A56" w:rsidRDefault="009A05C7" w:rsidP="000240DA">
            <w:pPr>
              <w:spacing w:after="0" w:line="240" w:lineRule="auto"/>
              <w:jc w:val="left"/>
              <w:rPr>
                <w:rFonts w:eastAsia="Times New Roman" w:cs="Times New Roman"/>
                <w:sz w:val="18"/>
                <w:szCs w:val="18"/>
                <w:lang w:eastAsia="sk-SK"/>
              </w:rPr>
            </w:pPr>
            <w:r w:rsidRPr="00201A56">
              <w:rPr>
                <w:rFonts w:eastAsia="Times New Roman" w:cs="Times New Roman"/>
                <w:sz w:val="18"/>
                <w:szCs w:val="18"/>
                <w:lang w:eastAsia="sk-SK"/>
              </w:rPr>
              <w:t>Chorvátsko</w:t>
            </w:r>
          </w:p>
        </w:tc>
        <w:tc>
          <w:tcPr>
            <w:tcW w:w="484" w:type="pct"/>
            <w:tcBorders>
              <w:top w:val="nil"/>
              <w:left w:val="nil"/>
              <w:bottom w:val="nil"/>
              <w:right w:val="nil"/>
            </w:tcBorders>
            <w:shd w:val="clear" w:color="auto" w:fill="auto"/>
            <w:noWrap/>
            <w:vAlign w:val="center"/>
            <w:hideMark/>
          </w:tcPr>
          <w:p w14:paraId="2494D656"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68,5</w:t>
            </w:r>
          </w:p>
        </w:tc>
        <w:tc>
          <w:tcPr>
            <w:tcW w:w="484" w:type="pct"/>
            <w:tcBorders>
              <w:top w:val="nil"/>
              <w:left w:val="nil"/>
              <w:bottom w:val="nil"/>
              <w:right w:val="nil"/>
            </w:tcBorders>
            <w:shd w:val="clear" w:color="auto" w:fill="auto"/>
            <w:noWrap/>
            <w:vAlign w:val="center"/>
            <w:hideMark/>
          </w:tcPr>
          <w:p w14:paraId="7CEF56D0"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61,8</w:t>
            </w:r>
          </w:p>
        </w:tc>
        <w:tc>
          <w:tcPr>
            <w:tcW w:w="484" w:type="pct"/>
            <w:tcBorders>
              <w:top w:val="nil"/>
              <w:left w:val="nil"/>
              <w:bottom w:val="nil"/>
            </w:tcBorders>
            <w:shd w:val="clear" w:color="auto" w:fill="auto"/>
            <w:noWrap/>
            <w:vAlign w:val="center"/>
            <w:hideMark/>
          </w:tcPr>
          <w:p w14:paraId="04E264E6"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57,6</w:t>
            </w:r>
          </w:p>
        </w:tc>
        <w:tc>
          <w:tcPr>
            <w:tcW w:w="466" w:type="pct"/>
            <w:tcBorders>
              <w:top w:val="nil"/>
              <w:bottom w:val="nil"/>
              <w:right w:val="single" w:sz="4" w:space="0" w:color="auto"/>
            </w:tcBorders>
            <w:shd w:val="clear" w:color="auto" w:fill="auto"/>
            <w:noWrap/>
            <w:vAlign w:val="center"/>
            <w:hideMark/>
          </w:tcPr>
          <w:p w14:paraId="7C457E6D"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-4,2</w:t>
            </w:r>
          </w:p>
        </w:tc>
      </w:tr>
      <w:tr w:rsidR="009A05C7" w:rsidRPr="00973B5D" w14:paraId="3E83FEAE" w14:textId="77777777" w:rsidTr="000240DA">
        <w:trPr>
          <w:trHeight w:val="280"/>
        </w:trPr>
        <w:tc>
          <w:tcPr>
            <w:tcW w:w="719" w:type="pct"/>
            <w:tcBorders>
              <w:top w:val="nil"/>
              <w:left w:val="single" w:sz="4" w:space="0" w:color="auto"/>
              <w:bottom w:val="nil"/>
              <w:right w:val="nil"/>
            </w:tcBorders>
            <w:shd w:val="clear" w:color="auto" w:fill="auto"/>
            <w:noWrap/>
            <w:vAlign w:val="center"/>
            <w:hideMark/>
          </w:tcPr>
          <w:p w14:paraId="33F2E32E" w14:textId="77777777" w:rsidR="009A05C7" w:rsidRPr="00973B5D" w:rsidRDefault="009A05C7" w:rsidP="000240DA">
            <w:pPr>
              <w:spacing w:after="0" w:line="240" w:lineRule="auto"/>
              <w:jc w:val="left"/>
              <w:rPr>
                <w:rFonts w:eastAsia="Times New Roman" w:cs="Times New Roman"/>
                <w:sz w:val="18"/>
                <w:szCs w:val="18"/>
                <w:lang w:eastAsia="sk-SK"/>
              </w:rPr>
            </w:pPr>
            <w:r w:rsidRPr="00973B5D">
              <w:rPr>
                <w:rFonts w:eastAsia="Times New Roman" w:cs="Times New Roman"/>
                <w:sz w:val="18"/>
                <w:szCs w:val="18"/>
                <w:lang w:eastAsia="sk-SK"/>
              </w:rPr>
              <w:t>Česká republika</w:t>
            </w:r>
          </w:p>
        </w:tc>
        <w:tc>
          <w:tcPr>
            <w:tcW w:w="411" w:type="pct"/>
            <w:tcBorders>
              <w:top w:val="nil"/>
              <w:left w:val="nil"/>
              <w:bottom w:val="nil"/>
              <w:right w:val="nil"/>
            </w:tcBorders>
            <w:shd w:val="clear" w:color="auto" w:fill="auto"/>
            <w:noWrap/>
            <w:vAlign w:val="center"/>
            <w:hideMark/>
          </w:tcPr>
          <w:p w14:paraId="080234E1"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-3,1</w:t>
            </w:r>
          </w:p>
        </w:tc>
        <w:tc>
          <w:tcPr>
            <w:tcW w:w="411" w:type="pct"/>
            <w:tcBorders>
              <w:top w:val="nil"/>
              <w:left w:val="nil"/>
              <w:bottom w:val="nil"/>
              <w:right w:val="nil"/>
            </w:tcBorders>
            <w:shd w:val="clear" w:color="auto" w:fill="auto"/>
            <w:noWrap/>
            <w:vAlign w:val="center"/>
            <w:hideMark/>
          </w:tcPr>
          <w:p w14:paraId="57B3550F"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-3,8</w:t>
            </w:r>
          </w:p>
        </w:tc>
        <w:tc>
          <w:tcPr>
            <w:tcW w:w="411" w:type="pct"/>
            <w:tcBorders>
              <w:top w:val="nil"/>
              <w:left w:val="nil"/>
              <w:bottom w:val="nil"/>
              <w:right w:val="nil"/>
            </w:tcBorders>
            <w:shd w:val="clear" w:color="auto" w:fill="auto"/>
            <w:noWrap/>
            <w:vAlign w:val="center"/>
            <w:hideMark/>
          </w:tcPr>
          <w:p w14:paraId="15D2F891"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-2,2</w:t>
            </w:r>
          </w:p>
        </w:tc>
        <w:tc>
          <w:tcPr>
            <w:tcW w:w="411" w:type="pct"/>
            <w:tcBorders>
              <w:top w:val="nil"/>
              <w:left w:val="nil"/>
              <w:bottom w:val="nil"/>
              <w:right w:val="nil"/>
            </w:tcBorders>
            <w:shd w:val="clear" w:color="auto" w:fill="auto"/>
            <w:noWrap/>
            <w:vAlign w:val="center"/>
            <w:hideMark/>
          </w:tcPr>
          <w:p w14:paraId="59969D87"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1,6</w:t>
            </w:r>
          </w:p>
        </w:tc>
        <w:tc>
          <w:tcPr>
            <w:tcW w:w="719" w:type="pct"/>
            <w:tcBorders>
              <w:top w:val="nil"/>
              <w:left w:val="single" w:sz="4" w:space="0" w:color="auto"/>
              <w:bottom w:val="nil"/>
              <w:right w:val="nil"/>
            </w:tcBorders>
            <w:shd w:val="clear" w:color="auto" w:fill="auto"/>
            <w:noWrap/>
            <w:vAlign w:val="center"/>
            <w:hideMark/>
          </w:tcPr>
          <w:p w14:paraId="02262F7F" w14:textId="77777777" w:rsidR="009A05C7" w:rsidRPr="00201A56" w:rsidRDefault="009A05C7" w:rsidP="000240DA">
            <w:pPr>
              <w:spacing w:after="0" w:line="240" w:lineRule="auto"/>
              <w:jc w:val="left"/>
              <w:rPr>
                <w:rFonts w:eastAsia="Times New Roman" w:cs="Times New Roman"/>
                <w:sz w:val="18"/>
                <w:szCs w:val="18"/>
                <w:lang w:eastAsia="sk-SK"/>
              </w:rPr>
            </w:pPr>
            <w:r w:rsidRPr="00201A56">
              <w:rPr>
                <w:rFonts w:eastAsia="Times New Roman" w:cs="Times New Roman"/>
                <w:sz w:val="18"/>
                <w:szCs w:val="18"/>
                <w:lang w:eastAsia="sk-SK"/>
              </w:rPr>
              <w:t>Poľsko</w:t>
            </w:r>
          </w:p>
        </w:tc>
        <w:tc>
          <w:tcPr>
            <w:tcW w:w="484" w:type="pct"/>
            <w:tcBorders>
              <w:top w:val="nil"/>
              <w:left w:val="nil"/>
              <w:bottom w:val="nil"/>
              <w:right w:val="nil"/>
            </w:tcBorders>
            <w:shd w:val="clear" w:color="auto" w:fill="auto"/>
            <w:noWrap/>
            <w:vAlign w:val="center"/>
            <w:hideMark/>
          </w:tcPr>
          <w:p w14:paraId="0DF8BA63"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48,8</w:t>
            </w:r>
          </w:p>
        </w:tc>
        <w:tc>
          <w:tcPr>
            <w:tcW w:w="484" w:type="pct"/>
            <w:tcBorders>
              <w:top w:val="nil"/>
              <w:left w:val="nil"/>
              <w:bottom w:val="nil"/>
              <w:right w:val="nil"/>
            </w:tcBorders>
            <w:shd w:val="clear" w:color="auto" w:fill="auto"/>
            <w:noWrap/>
            <w:vAlign w:val="center"/>
            <w:hideMark/>
          </w:tcPr>
          <w:p w14:paraId="1A1311A1"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49,5</w:t>
            </w:r>
          </w:p>
        </w:tc>
        <w:tc>
          <w:tcPr>
            <w:tcW w:w="484" w:type="pct"/>
            <w:tcBorders>
              <w:top w:val="nil"/>
              <w:left w:val="nil"/>
              <w:bottom w:val="nil"/>
            </w:tcBorders>
            <w:shd w:val="clear" w:color="auto" w:fill="auto"/>
            <w:noWrap/>
            <w:vAlign w:val="center"/>
            <w:hideMark/>
          </w:tcPr>
          <w:p w14:paraId="689817AA"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55,3</w:t>
            </w:r>
          </w:p>
        </w:tc>
        <w:tc>
          <w:tcPr>
            <w:tcW w:w="466" w:type="pct"/>
            <w:tcBorders>
              <w:top w:val="nil"/>
              <w:bottom w:val="nil"/>
              <w:right w:val="single" w:sz="4" w:space="0" w:color="auto"/>
            </w:tcBorders>
            <w:shd w:val="clear" w:color="auto" w:fill="auto"/>
            <w:noWrap/>
            <w:vAlign w:val="center"/>
            <w:hideMark/>
          </w:tcPr>
          <w:p w14:paraId="2DD0CE38"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5,8</w:t>
            </w:r>
          </w:p>
        </w:tc>
      </w:tr>
      <w:tr w:rsidR="009A05C7" w:rsidRPr="00973B5D" w14:paraId="3B166117" w14:textId="77777777" w:rsidTr="000240DA">
        <w:trPr>
          <w:trHeight w:val="280"/>
        </w:trPr>
        <w:tc>
          <w:tcPr>
            <w:tcW w:w="719" w:type="pct"/>
            <w:tcBorders>
              <w:top w:val="nil"/>
              <w:left w:val="single" w:sz="4" w:space="0" w:color="auto"/>
              <w:bottom w:val="nil"/>
              <w:right w:val="nil"/>
            </w:tcBorders>
            <w:shd w:val="clear" w:color="auto" w:fill="auto"/>
            <w:noWrap/>
            <w:vAlign w:val="center"/>
            <w:hideMark/>
          </w:tcPr>
          <w:p w14:paraId="68CE25DC" w14:textId="77777777" w:rsidR="009A05C7" w:rsidRPr="00973B5D" w:rsidRDefault="009A05C7" w:rsidP="000240DA">
            <w:pPr>
              <w:spacing w:after="0" w:line="240" w:lineRule="auto"/>
              <w:jc w:val="left"/>
              <w:rPr>
                <w:rFonts w:eastAsia="Times New Roman" w:cs="Times New Roman"/>
                <w:sz w:val="18"/>
                <w:szCs w:val="18"/>
                <w:lang w:eastAsia="sk-SK"/>
              </w:rPr>
            </w:pPr>
            <w:r w:rsidRPr="00973B5D">
              <w:rPr>
                <w:rFonts w:eastAsia="Times New Roman" w:cs="Times New Roman"/>
                <w:sz w:val="18"/>
                <w:szCs w:val="18"/>
                <w:lang w:eastAsia="sk-SK"/>
              </w:rPr>
              <w:t>Lotyšsko</w:t>
            </w:r>
          </w:p>
        </w:tc>
        <w:tc>
          <w:tcPr>
            <w:tcW w:w="411" w:type="pct"/>
            <w:tcBorders>
              <w:top w:val="nil"/>
              <w:left w:val="nil"/>
              <w:bottom w:val="nil"/>
              <w:right w:val="nil"/>
            </w:tcBorders>
            <w:shd w:val="clear" w:color="auto" w:fill="auto"/>
            <w:noWrap/>
            <w:vAlign w:val="center"/>
            <w:hideMark/>
          </w:tcPr>
          <w:p w14:paraId="478F6228"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-4,9</w:t>
            </w:r>
          </w:p>
        </w:tc>
        <w:tc>
          <w:tcPr>
            <w:tcW w:w="411" w:type="pct"/>
            <w:tcBorders>
              <w:top w:val="nil"/>
              <w:left w:val="nil"/>
              <w:bottom w:val="nil"/>
              <w:right w:val="nil"/>
            </w:tcBorders>
            <w:shd w:val="clear" w:color="auto" w:fill="auto"/>
            <w:noWrap/>
            <w:vAlign w:val="center"/>
            <w:hideMark/>
          </w:tcPr>
          <w:p w14:paraId="62B56E53"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-2,4</w:t>
            </w:r>
          </w:p>
        </w:tc>
        <w:tc>
          <w:tcPr>
            <w:tcW w:w="411" w:type="pct"/>
            <w:tcBorders>
              <w:top w:val="nil"/>
              <w:left w:val="nil"/>
              <w:bottom w:val="nil"/>
              <w:right w:val="nil"/>
            </w:tcBorders>
            <w:shd w:val="clear" w:color="auto" w:fill="auto"/>
            <w:noWrap/>
            <w:vAlign w:val="center"/>
            <w:hideMark/>
          </w:tcPr>
          <w:p w14:paraId="65563F2A"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-1,8</w:t>
            </w:r>
          </w:p>
        </w:tc>
        <w:tc>
          <w:tcPr>
            <w:tcW w:w="411" w:type="pct"/>
            <w:tcBorders>
              <w:top w:val="nil"/>
              <w:left w:val="nil"/>
              <w:bottom w:val="nil"/>
              <w:right w:val="nil"/>
            </w:tcBorders>
            <w:shd w:val="clear" w:color="auto" w:fill="auto"/>
            <w:noWrap/>
            <w:vAlign w:val="center"/>
            <w:hideMark/>
          </w:tcPr>
          <w:p w14:paraId="38C2265E"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0,6</w:t>
            </w:r>
          </w:p>
        </w:tc>
        <w:tc>
          <w:tcPr>
            <w:tcW w:w="719" w:type="pct"/>
            <w:tcBorders>
              <w:top w:val="nil"/>
              <w:left w:val="single" w:sz="4" w:space="0" w:color="auto"/>
              <w:bottom w:val="nil"/>
              <w:right w:val="nil"/>
            </w:tcBorders>
            <w:shd w:val="clear" w:color="auto" w:fill="auto"/>
            <w:noWrap/>
            <w:vAlign w:val="center"/>
            <w:hideMark/>
          </w:tcPr>
          <w:p w14:paraId="0B46C482" w14:textId="77777777" w:rsidR="009A05C7" w:rsidRPr="00201A56" w:rsidRDefault="009A05C7" w:rsidP="000240DA">
            <w:pPr>
              <w:spacing w:after="0" w:line="240" w:lineRule="auto"/>
              <w:jc w:val="left"/>
              <w:rPr>
                <w:rFonts w:eastAsia="Times New Roman" w:cs="Times New Roman"/>
                <w:sz w:val="18"/>
                <w:szCs w:val="18"/>
                <w:lang w:eastAsia="sk-SK"/>
              </w:rPr>
            </w:pPr>
            <w:r w:rsidRPr="00201A56">
              <w:rPr>
                <w:rFonts w:eastAsia="Times New Roman" w:cs="Times New Roman"/>
                <w:sz w:val="18"/>
                <w:szCs w:val="18"/>
                <w:lang w:eastAsia="sk-SK"/>
              </w:rPr>
              <w:t>Rumunsko</w:t>
            </w:r>
          </w:p>
        </w:tc>
        <w:tc>
          <w:tcPr>
            <w:tcW w:w="484" w:type="pct"/>
            <w:tcBorders>
              <w:top w:val="nil"/>
              <w:left w:val="nil"/>
              <w:bottom w:val="nil"/>
              <w:right w:val="nil"/>
            </w:tcBorders>
            <w:shd w:val="clear" w:color="auto" w:fill="auto"/>
            <w:noWrap/>
            <w:vAlign w:val="center"/>
            <w:hideMark/>
          </w:tcPr>
          <w:p w14:paraId="34ED7955"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47,9</w:t>
            </w:r>
          </w:p>
        </w:tc>
        <w:tc>
          <w:tcPr>
            <w:tcW w:w="484" w:type="pct"/>
            <w:tcBorders>
              <w:top w:val="nil"/>
              <w:left w:val="nil"/>
              <w:bottom w:val="nil"/>
              <w:right w:val="nil"/>
            </w:tcBorders>
            <w:shd w:val="clear" w:color="auto" w:fill="auto"/>
            <w:noWrap/>
            <w:vAlign w:val="center"/>
            <w:hideMark/>
          </w:tcPr>
          <w:p w14:paraId="15547E02"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48,9</w:t>
            </w:r>
          </w:p>
        </w:tc>
        <w:tc>
          <w:tcPr>
            <w:tcW w:w="484" w:type="pct"/>
            <w:tcBorders>
              <w:top w:val="nil"/>
              <w:left w:val="nil"/>
              <w:bottom w:val="nil"/>
            </w:tcBorders>
            <w:shd w:val="clear" w:color="auto" w:fill="auto"/>
            <w:noWrap/>
            <w:vAlign w:val="center"/>
            <w:hideMark/>
          </w:tcPr>
          <w:p w14:paraId="6572DB2E"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54,8</w:t>
            </w:r>
          </w:p>
        </w:tc>
        <w:tc>
          <w:tcPr>
            <w:tcW w:w="466" w:type="pct"/>
            <w:tcBorders>
              <w:top w:val="nil"/>
              <w:bottom w:val="nil"/>
              <w:right w:val="single" w:sz="4" w:space="0" w:color="auto"/>
            </w:tcBorders>
            <w:shd w:val="clear" w:color="auto" w:fill="auto"/>
            <w:noWrap/>
            <w:vAlign w:val="center"/>
            <w:hideMark/>
          </w:tcPr>
          <w:p w14:paraId="024F665B"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5,9</w:t>
            </w:r>
          </w:p>
        </w:tc>
      </w:tr>
      <w:tr w:rsidR="009A05C7" w:rsidRPr="00973B5D" w14:paraId="1AED0F83" w14:textId="77777777" w:rsidTr="000240DA">
        <w:trPr>
          <w:trHeight w:val="280"/>
        </w:trPr>
        <w:tc>
          <w:tcPr>
            <w:tcW w:w="719" w:type="pct"/>
            <w:tcBorders>
              <w:top w:val="nil"/>
              <w:left w:val="single" w:sz="4" w:space="0" w:color="auto"/>
              <w:bottom w:val="nil"/>
              <w:right w:val="nil"/>
            </w:tcBorders>
            <w:shd w:val="clear" w:color="auto" w:fill="auto"/>
            <w:noWrap/>
            <w:vAlign w:val="center"/>
            <w:hideMark/>
          </w:tcPr>
          <w:p w14:paraId="64977364" w14:textId="77777777" w:rsidR="009A05C7" w:rsidRPr="00973B5D" w:rsidRDefault="009A05C7" w:rsidP="000240DA">
            <w:pPr>
              <w:spacing w:after="0" w:line="240" w:lineRule="auto"/>
              <w:jc w:val="left"/>
              <w:rPr>
                <w:rFonts w:eastAsia="Times New Roman" w:cs="Times New Roman"/>
                <w:sz w:val="18"/>
                <w:szCs w:val="18"/>
                <w:lang w:eastAsia="sk-SK"/>
              </w:rPr>
            </w:pPr>
            <w:r w:rsidRPr="00973B5D">
              <w:rPr>
                <w:rFonts w:eastAsia="Times New Roman" w:cs="Times New Roman"/>
                <w:sz w:val="18"/>
                <w:szCs w:val="18"/>
                <w:lang w:eastAsia="sk-SK"/>
              </w:rPr>
              <w:t>Estónsko</w:t>
            </w:r>
          </w:p>
        </w:tc>
        <w:tc>
          <w:tcPr>
            <w:tcW w:w="411" w:type="pct"/>
            <w:tcBorders>
              <w:top w:val="nil"/>
              <w:left w:val="nil"/>
              <w:bottom w:val="nil"/>
              <w:right w:val="nil"/>
            </w:tcBorders>
            <w:shd w:val="clear" w:color="auto" w:fill="auto"/>
            <w:noWrap/>
            <w:vAlign w:val="center"/>
            <w:hideMark/>
          </w:tcPr>
          <w:p w14:paraId="2132B17A"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-1,1</w:t>
            </w:r>
          </w:p>
        </w:tc>
        <w:tc>
          <w:tcPr>
            <w:tcW w:w="411" w:type="pct"/>
            <w:tcBorders>
              <w:top w:val="nil"/>
              <w:left w:val="nil"/>
              <w:bottom w:val="nil"/>
              <w:right w:val="nil"/>
            </w:tcBorders>
            <w:shd w:val="clear" w:color="auto" w:fill="auto"/>
            <w:noWrap/>
            <w:vAlign w:val="center"/>
            <w:hideMark/>
          </w:tcPr>
          <w:p w14:paraId="30CF493F"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-3,1</w:t>
            </w:r>
          </w:p>
        </w:tc>
        <w:tc>
          <w:tcPr>
            <w:tcW w:w="411" w:type="pct"/>
            <w:tcBorders>
              <w:top w:val="nil"/>
              <w:left w:val="nil"/>
              <w:bottom w:val="nil"/>
              <w:right w:val="nil"/>
            </w:tcBorders>
            <w:shd w:val="clear" w:color="auto" w:fill="auto"/>
            <w:noWrap/>
            <w:vAlign w:val="center"/>
            <w:hideMark/>
          </w:tcPr>
          <w:p w14:paraId="1B39CB02"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-1,5</w:t>
            </w:r>
          </w:p>
        </w:tc>
        <w:tc>
          <w:tcPr>
            <w:tcW w:w="411" w:type="pct"/>
            <w:tcBorders>
              <w:top w:val="nil"/>
              <w:left w:val="nil"/>
              <w:bottom w:val="nil"/>
              <w:right w:val="nil"/>
            </w:tcBorders>
            <w:shd w:val="clear" w:color="auto" w:fill="auto"/>
            <w:noWrap/>
            <w:vAlign w:val="center"/>
            <w:hideMark/>
          </w:tcPr>
          <w:p w14:paraId="132DCC65"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1,6</w:t>
            </w:r>
          </w:p>
        </w:tc>
        <w:tc>
          <w:tcPr>
            <w:tcW w:w="719" w:type="pct"/>
            <w:tcBorders>
              <w:top w:val="nil"/>
              <w:left w:val="single" w:sz="4" w:space="0" w:color="auto"/>
              <w:bottom w:val="nil"/>
              <w:right w:val="nil"/>
            </w:tcBorders>
            <w:shd w:val="clear" w:color="auto" w:fill="auto"/>
            <w:noWrap/>
            <w:vAlign w:val="center"/>
            <w:hideMark/>
          </w:tcPr>
          <w:p w14:paraId="5F06E8CD" w14:textId="77777777" w:rsidR="009A05C7" w:rsidRPr="00201A56" w:rsidRDefault="009A05C7" w:rsidP="000240DA">
            <w:pPr>
              <w:spacing w:after="0" w:line="240" w:lineRule="auto"/>
              <w:jc w:val="left"/>
              <w:rPr>
                <w:rFonts w:eastAsia="Times New Roman" w:cs="Times New Roman"/>
                <w:sz w:val="18"/>
                <w:szCs w:val="18"/>
                <w:lang w:eastAsia="sk-SK"/>
              </w:rPr>
            </w:pPr>
            <w:r w:rsidRPr="00201A56">
              <w:rPr>
                <w:rFonts w:eastAsia="Times New Roman" w:cs="Times New Roman"/>
                <w:sz w:val="18"/>
                <w:szCs w:val="18"/>
                <w:lang w:eastAsia="sk-SK"/>
              </w:rPr>
              <w:t>Malta</w:t>
            </w:r>
          </w:p>
        </w:tc>
        <w:tc>
          <w:tcPr>
            <w:tcW w:w="484" w:type="pct"/>
            <w:tcBorders>
              <w:top w:val="nil"/>
              <w:left w:val="nil"/>
              <w:bottom w:val="nil"/>
              <w:right w:val="nil"/>
            </w:tcBorders>
            <w:shd w:val="clear" w:color="auto" w:fill="auto"/>
            <w:noWrap/>
            <w:vAlign w:val="center"/>
            <w:hideMark/>
          </w:tcPr>
          <w:p w14:paraId="271DDD76"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49,5</w:t>
            </w:r>
          </w:p>
        </w:tc>
        <w:tc>
          <w:tcPr>
            <w:tcW w:w="484" w:type="pct"/>
            <w:tcBorders>
              <w:top w:val="nil"/>
              <w:left w:val="nil"/>
              <w:bottom w:val="nil"/>
              <w:right w:val="nil"/>
            </w:tcBorders>
            <w:shd w:val="clear" w:color="auto" w:fill="auto"/>
            <w:noWrap/>
            <w:vAlign w:val="center"/>
            <w:hideMark/>
          </w:tcPr>
          <w:p w14:paraId="3FC5BB4E"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47,9</w:t>
            </w:r>
          </w:p>
        </w:tc>
        <w:tc>
          <w:tcPr>
            <w:tcW w:w="484" w:type="pct"/>
            <w:tcBorders>
              <w:top w:val="nil"/>
              <w:left w:val="nil"/>
              <w:bottom w:val="nil"/>
            </w:tcBorders>
            <w:shd w:val="clear" w:color="auto" w:fill="auto"/>
            <w:noWrap/>
            <w:vAlign w:val="center"/>
            <w:hideMark/>
          </w:tcPr>
          <w:p w14:paraId="1FAF6519"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47,4</w:t>
            </w:r>
          </w:p>
        </w:tc>
        <w:tc>
          <w:tcPr>
            <w:tcW w:w="466" w:type="pct"/>
            <w:tcBorders>
              <w:top w:val="nil"/>
              <w:bottom w:val="nil"/>
              <w:right w:val="single" w:sz="4" w:space="0" w:color="auto"/>
            </w:tcBorders>
            <w:shd w:val="clear" w:color="auto" w:fill="auto"/>
            <w:noWrap/>
            <w:vAlign w:val="center"/>
            <w:hideMark/>
          </w:tcPr>
          <w:p w14:paraId="26C627AE"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-0,5</w:t>
            </w:r>
          </w:p>
        </w:tc>
      </w:tr>
      <w:tr w:rsidR="009A05C7" w:rsidRPr="00973B5D" w14:paraId="3E051E35" w14:textId="77777777" w:rsidTr="000240DA">
        <w:trPr>
          <w:trHeight w:val="280"/>
        </w:trPr>
        <w:tc>
          <w:tcPr>
            <w:tcW w:w="719" w:type="pct"/>
            <w:tcBorders>
              <w:top w:val="nil"/>
              <w:left w:val="single" w:sz="4" w:space="0" w:color="auto"/>
              <w:bottom w:val="nil"/>
              <w:right w:val="nil"/>
            </w:tcBorders>
            <w:shd w:val="clear" w:color="auto" w:fill="auto"/>
            <w:noWrap/>
            <w:vAlign w:val="center"/>
            <w:hideMark/>
          </w:tcPr>
          <w:p w14:paraId="1378CB24" w14:textId="77777777" w:rsidR="009A05C7" w:rsidRPr="00973B5D" w:rsidRDefault="009A05C7" w:rsidP="000240DA">
            <w:pPr>
              <w:spacing w:after="0" w:line="240" w:lineRule="auto"/>
              <w:jc w:val="left"/>
              <w:rPr>
                <w:rFonts w:eastAsia="Times New Roman" w:cs="Times New Roman"/>
                <w:sz w:val="18"/>
                <w:szCs w:val="18"/>
                <w:lang w:eastAsia="sk-SK"/>
              </w:rPr>
            </w:pPr>
            <w:r w:rsidRPr="00973B5D">
              <w:rPr>
                <w:rFonts w:eastAsia="Times New Roman" w:cs="Times New Roman"/>
                <w:sz w:val="18"/>
                <w:szCs w:val="18"/>
                <w:lang w:eastAsia="sk-SK"/>
              </w:rPr>
              <w:t>Švédsko</w:t>
            </w:r>
          </w:p>
        </w:tc>
        <w:tc>
          <w:tcPr>
            <w:tcW w:w="411" w:type="pct"/>
            <w:tcBorders>
              <w:top w:val="nil"/>
              <w:left w:val="nil"/>
              <w:bottom w:val="nil"/>
              <w:right w:val="nil"/>
            </w:tcBorders>
            <w:shd w:val="clear" w:color="auto" w:fill="auto"/>
            <w:noWrap/>
            <w:vAlign w:val="center"/>
            <w:hideMark/>
          </w:tcPr>
          <w:p w14:paraId="1C15E08C"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1,0</w:t>
            </w:r>
          </w:p>
        </w:tc>
        <w:tc>
          <w:tcPr>
            <w:tcW w:w="411" w:type="pct"/>
            <w:tcBorders>
              <w:top w:val="nil"/>
              <w:left w:val="nil"/>
              <w:bottom w:val="nil"/>
              <w:right w:val="nil"/>
            </w:tcBorders>
            <w:shd w:val="clear" w:color="auto" w:fill="auto"/>
            <w:noWrap/>
            <w:vAlign w:val="center"/>
            <w:hideMark/>
          </w:tcPr>
          <w:p w14:paraId="0E5424BE"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-0,8</w:t>
            </w:r>
          </w:p>
        </w:tc>
        <w:tc>
          <w:tcPr>
            <w:tcW w:w="411" w:type="pct"/>
            <w:tcBorders>
              <w:top w:val="nil"/>
              <w:left w:val="nil"/>
              <w:bottom w:val="nil"/>
              <w:right w:val="nil"/>
            </w:tcBorders>
            <w:shd w:val="clear" w:color="auto" w:fill="auto"/>
            <w:noWrap/>
            <w:vAlign w:val="center"/>
            <w:hideMark/>
          </w:tcPr>
          <w:p w14:paraId="4D12443F"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-1,5</w:t>
            </w:r>
          </w:p>
        </w:tc>
        <w:tc>
          <w:tcPr>
            <w:tcW w:w="411" w:type="pct"/>
            <w:tcBorders>
              <w:top w:val="nil"/>
              <w:left w:val="nil"/>
              <w:bottom w:val="nil"/>
              <w:right w:val="nil"/>
            </w:tcBorders>
            <w:shd w:val="clear" w:color="auto" w:fill="auto"/>
            <w:noWrap/>
            <w:vAlign w:val="center"/>
            <w:hideMark/>
          </w:tcPr>
          <w:p w14:paraId="50D0F9B4"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-0,7</w:t>
            </w:r>
          </w:p>
        </w:tc>
        <w:tc>
          <w:tcPr>
            <w:tcW w:w="719" w:type="pct"/>
            <w:tcBorders>
              <w:top w:val="nil"/>
              <w:left w:val="single" w:sz="4" w:space="0" w:color="auto"/>
              <w:bottom w:val="nil"/>
              <w:right w:val="nil"/>
            </w:tcBorders>
            <w:shd w:val="clear" w:color="auto" w:fill="auto"/>
            <w:noWrap/>
            <w:vAlign w:val="center"/>
            <w:hideMark/>
          </w:tcPr>
          <w:p w14:paraId="7C085FE7" w14:textId="77777777" w:rsidR="009A05C7" w:rsidRPr="00201A56" w:rsidRDefault="009A05C7" w:rsidP="000240DA">
            <w:pPr>
              <w:spacing w:after="0" w:line="240" w:lineRule="auto"/>
              <w:jc w:val="left"/>
              <w:rPr>
                <w:rFonts w:eastAsia="Times New Roman" w:cs="Times New Roman"/>
                <w:sz w:val="18"/>
                <w:szCs w:val="18"/>
                <w:lang w:eastAsia="sk-SK"/>
              </w:rPr>
            </w:pPr>
            <w:r w:rsidRPr="00201A56">
              <w:rPr>
                <w:rFonts w:eastAsia="Times New Roman" w:cs="Times New Roman"/>
                <w:sz w:val="18"/>
                <w:szCs w:val="18"/>
                <w:lang w:eastAsia="sk-SK"/>
              </w:rPr>
              <w:t>Lotyšsko</w:t>
            </w:r>
          </w:p>
        </w:tc>
        <w:tc>
          <w:tcPr>
            <w:tcW w:w="484" w:type="pct"/>
            <w:tcBorders>
              <w:top w:val="nil"/>
              <w:left w:val="nil"/>
              <w:bottom w:val="nil"/>
              <w:right w:val="nil"/>
            </w:tcBorders>
            <w:shd w:val="clear" w:color="auto" w:fill="auto"/>
            <w:noWrap/>
            <w:vAlign w:val="center"/>
            <w:hideMark/>
          </w:tcPr>
          <w:p w14:paraId="6854283D"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44,4</w:t>
            </w:r>
          </w:p>
        </w:tc>
        <w:tc>
          <w:tcPr>
            <w:tcW w:w="484" w:type="pct"/>
            <w:tcBorders>
              <w:top w:val="nil"/>
              <w:left w:val="nil"/>
              <w:bottom w:val="nil"/>
              <w:right w:val="nil"/>
            </w:tcBorders>
            <w:shd w:val="clear" w:color="auto" w:fill="auto"/>
            <w:noWrap/>
            <w:vAlign w:val="center"/>
            <w:hideMark/>
          </w:tcPr>
          <w:p w14:paraId="7F9887CB"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44,6</w:t>
            </w:r>
          </w:p>
        </w:tc>
        <w:tc>
          <w:tcPr>
            <w:tcW w:w="484" w:type="pct"/>
            <w:tcBorders>
              <w:top w:val="nil"/>
              <w:left w:val="nil"/>
              <w:bottom w:val="nil"/>
            </w:tcBorders>
            <w:shd w:val="clear" w:color="auto" w:fill="auto"/>
            <w:noWrap/>
            <w:vAlign w:val="center"/>
            <w:hideMark/>
          </w:tcPr>
          <w:p w14:paraId="199E7C92"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46,8</w:t>
            </w:r>
          </w:p>
        </w:tc>
        <w:tc>
          <w:tcPr>
            <w:tcW w:w="466" w:type="pct"/>
            <w:tcBorders>
              <w:top w:val="nil"/>
              <w:bottom w:val="nil"/>
              <w:right w:val="single" w:sz="4" w:space="0" w:color="auto"/>
            </w:tcBorders>
            <w:shd w:val="clear" w:color="auto" w:fill="auto"/>
            <w:noWrap/>
            <w:vAlign w:val="center"/>
            <w:hideMark/>
          </w:tcPr>
          <w:p w14:paraId="701DB066"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2,2</w:t>
            </w:r>
          </w:p>
        </w:tc>
      </w:tr>
      <w:tr w:rsidR="009A05C7" w:rsidRPr="00973B5D" w14:paraId="7BC3863C" w14:textId="77777777" w:rsidTr="000240DA">
        <w:trPr>
          <w:trHeight w:val="280"/>
        </w:trPr>
        <w:tc>
          <w:tcPr>
            <w:tcW w:w="719" w:type="pct"/>
            <w:tcBorders>
              <w:top w:val="nil"/>
              <w:left w:val="single" w:sz="4" w:space="0" w:color="auto"/>
              <w:bottom w:val="nil"/>
              <w:right w:val="nil"/>
            </w:tcBorders>
            <w:shd w:val="clear" w:color="auto" w:fill="auto"/>
            <w:noWrap/>
            <w:vAlign w:val="center"/>
            <w:hideMark/>
          </w:tcPr>
          <w:p w14:paraId="6564B97C" w14:textId="77777777" w:rsidR="009A05C7" w:rsidRPr="00973B5D" w:rsidRDefault="009A05C7" w:rsidP="000240DA">
            <w:pPr>
              <w:spacing w:after="0" w:line="240" w:lineRule="auto"/>
              <w:jc w:val="left"/>
              <w:rPr>
                <w:rFonts w:eastAsia="Times New Roman" w:cs="Times New Roman"/>
                <w:sz w:val="18"/>
                <w:szCs w:val="18"/>
                <w:lang w:eastAsia="sk-SK"/>
              </w:rPr>
            </w:pPr>
            <w:r w:rsidRPr="00973B5D">
              <w:rPr>
                <w:rFonts w:eastAsia="Times New Roman" w:cs="Times New Roman"/>
                <w:sz w:val="18"/>
                <w:szCs w:val="18"/>
                <w:lang w:eastAsia="sk-SK"/>
              </w:rPr>
              <w:t>Litva</w:t>
            </w:r>
          </w:p>
        </w:tc>
        <w:tc>
          <w:tcPr>
            <w:tcW w:w="411" w:type="pct"/>
            <w:tcBorders>
              <w:top w:val="nil"/>
              <w:left w:val="nil"/>
              <w:bottom w:val="nil"/>
              <w:right w:val="nil"/>
            </w:tcBorders>
            <w:shd w:val="clear" w:color="auto" w:fill="auto"/>
            <w:noWrap/>
            <w:vAlign w:val="center"/>
            <w:hideMark/>
          </w:tcPr>
          <w:p w14:paraId="642CA8E7"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-0,7</w:t>
            </w:r>
          </w:p>
        </w:tc>
        <w:tc>
          <w:tcPr>
            <w:tcW w:w="411" w:type="pct"/>
            <w:tcBorders>
              <w:top w:val="nil"/>
              <w:left w:val="nil"/>
              <w:bottom w:val="nil"/>
              <w:right w:val="nil"/>
            </w:tcBorders>
            <w:shd w:val="clear" w:color="auto" w:fill="auto"/>
            <w:noWrap/>
            <w:vAlign w:val="center"/>
            <w:hideMark/>
          </w:tcPr>
          <w:p w14:paraId="2058A479"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-0,7</w:t>
            </w:r>
          </w:p>
        </w:tc>
        <w:tc>
          <w:tcPr>
            <w:tcW w:w="411" w:type="pct"/>
            <w:tcBorders>
              <w:top w:val="nil"/>
              <w:left w:val="nil"/>
              <w:bottom w:val="nil"/>
              <w:right w:val="nil"/>
            </w:tcBorders>
            <w:shd w:val="clear" w:color="auto" w:fill="auto"/>
            <w:noWrap/>
            <w:vAlign w:val="center"/>
            <w:hideMark/>
          </w:tcPr>
          <w:p w14:paraId="03AA87C8"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-1,3</w:t>
            </w:r>
          </w:p>
        </w:tc>
        <w:tc>
          <w:tcPr>
            <w:tcW w:w="411" w:type="pct"/>
            <w:tcBorders>
              <w:top w:val="nil"/>
              <w:left w:val="nil"/>
              <w:bottom w:val="nil"/>
              <w:right w:val="nil"/>
            </w:tcBorders>
            <w:shd w:val="clear" w:color="auto" w:fill="auto"/>
            <w:noWrap/>
            <w:vAlign w:val="center"/>
            <w:hideMark/>
          </w:tcPr>
          <w:p w14:paraId="4027C49F"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-0,6</w:t>
            </w:r>
          </w:p>
        </w:tc>
        <w:tc>
          <w:tcPr>
            <w:tcW w:w="719" w:type="pct"/>
            <w:tcBorders>
              <w:top w:val="nil"/>
              <w:left w:val="single" w:sz="4" w:space="0" w:color="auto"/>
              <w:bottom w:val="nil"/>
              <w:right w:val="nil"/>
            </w:tcBorders>
            <w:shd w:val="clear" w:color="auto" w:fill="auto"/>
            <w:noWrap/>
            <w:vAlign w:val="center"/>
            <w:hideMark/>
          </w:tcPr>
          <w:p w14:paraId="50AECDBE" w14:textId="77777777" w:rsidR="009A05C7" w:rsidRPr="00201A56" w:rsidRDefault="009A05C7" w:rsidP="000240DA">
            <w:pPr>
              <w:spacing w:after="0" w:line="240" w:lineRule="auto"/>
              <w:jc w:val="left"/>
              <w:rPr>
                <w:rFonts w:eastAsia="Times New Roman" w:cs="Times New Roman"/>
                <w:sz w:val="18"/>
                <w:szCs w:val="18"/>
                <w:lang w:eastAsia="sk-SK"/>
              </w:rPr>
            </w:pPr>
            <w:r w:rsidRPr="00201A56">
              <w:rPr>
                <w:rFonts w:eastAsia="Times New Roman" w:cs="Times New Roman"/>
                <w:sz w:val="18"/>
                <w:szCs w:val="18"/>
                <w:lang w:eastAsia="sk-SK"/>
              </w:rPr>
              <w:t>Česká republika</w:t>
            </w:r>
          </w:p>
        </w:tc>
        <w:tc>
          <w:tcPr>
            <w:tcW w:w="484" w:type="pct"/>
            <w:tcBorders>
              <w:top w:val="nil"/>
              <w:left w:val="nil"/>
              <w:bottom w:val="nil"/>
              <w:right w:val="nil"/>
            </w:tcBorders>
            <w:shd w:val="clear" w:color="auto" w:fill="auto"/>
            <w:noWrap/>
            <w:vAlign w:val="center"/>
            <w:hideMark/>
          </w:tcPr>
          <w:p w14:paraId="5D17E4E3"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42,5</w:t>
            </w:r>
          </w:p>
        </w:tc>
        <w:tc>
          <w:tcPr>
            <w:tcW w:w="484" w:type="pct"/>
            <w:tcBorders>
              <w:top w:val="nil"/>
              <w:left w:val="nil"/>
              <w:bottom w:val="nil"/>
              <w:right w:val="nil"/>
            </w:tcBorders>
            <w:shd w:val="clear" w:color="auto" w:fill="auto"/>
            <w:noWrap/>
            <w:vAlign w:val="center"/>
            <w:hideMark/>
          </w:tcPr>
          <w:p w14:paraId="78B4C3C2"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42,5</w:t>
            </w:r>
          </w:p>
        </w:tc>
        <w:tc>
          <w:tcPr>
            <w:tcW w:w="484" w:type="pct"/>
            <w:tcBorders>
              <w:top w:val="nil"/>
              <w:left w:val="nil"/>
              <w:bottom w:val="nil"/>
            </w:tcBorders>
            <w:shd w:val="clear" w:color="auto" w:fill="auto"/>
            <w:noWrap/>
            <w:vAlign w:val="center"/>
            <w:hideMark/>
          </w:tcPr>
          <w:p w14:paraId="49C6EDE0"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43,6</w:t>
            </w:r>
          </w:p>
        </w:tc>
        <w:tc>
          <w:tcPr>
            <w:tcW w:w="466" w:type="pct"/>
            <w:tcBorders>
              <w:top w:val="nil"/>
              <w:bottom w:val="nil"/>
              <w:right w:val="single" w:sz="4" w:space="0" w:color="auto"/>
            </w:tcBorders>
            <w:shd w:val="clear" w:color="auto" w:fill="auto"/>
            <w:noWrap/>
            <w:vAlign w:val="center"/>
            <w:hideMark/>
          </w:tcPr>
          <w:p w14:paraId="6FA082B6"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1,1</w:t>
            </w:r>
          </w:p>
        </w:tc>
      </w:tr>
      <w:tr w:rsidR="009A05C7" w:rsidRPr="00973B5D" w14:paraId="04853FB2" w14:textId="77777777" w:rsidTr="000240DA">
        <w:trPr>
          <w:trHeight w:val="280"/>
        </w:trPr>
        <w:tc>
          <w:tcPr>
            <w:tcW w:w="719" w:type="pct"/>
            <w:tcBorders>
              <w:top w:val="nil"/>
              <w:left w:val="single" w:sz="4" w:space="0" w:color="auto"/>
              <w:bottom w:val="nil"/>
              <w:right w:val="nil"/>
            </w:tcBorders>
            <w:shd w:val="clear" w:color="auto" w:fill="auto"/>
            <w:noWrap/>
            <w:vAlign w:val="center"/>
            <w:hideMark/>
          </w:tcPr>
          <w:p w14:paraId="1701B166" w14:textId="77777777" w:rsidR="009A05C7" w:rsidRPr="00973B5D" w:rsidRDefault="009A05C7" w:rsidP="000240DA">
            <w:pPr>
              <w:spacing w:after="0" w:line="240" w:lineRule="auto"/>
              <w:jc w:val="left"/>
              <w:rPr>
                <w:rFonts w:eastAsia="Times New Roman" w:cs="Times New Roman"/>
                <w:sz w:val="18"/>
                <w:szCs w:val="18"/>
                <w:lang w:eastAsia="sk-SK"/>
              </w:rPr>
            </w:pPr>
            <w:r w:rsidRPr="00973B5D">
              <w:rPr>
                <w:rFonts w:eastAsia="Times New Roman" w:cs="Times New Roman"/>
                <w:sz w:val="18"/>
                <w:szCs w:val="18"/>
                <w:lang w:eastAsia="sk-SK"/>
              </w:rPr>
              <w:t>Holandsko</w:t>
            </w:r>
          </w:p>
        </w:tc>
        <w:tc>
          <w:tcPr>
            <w:tcW w:w="411" w:type="pct"/>
            <w:tcBorders>
              <w:top w:val="nil"/>
              <w:left w:val="nil"/>
              <w:bottom w:val="nil"/>
              <w:right w:val="nil"/>
            </w:tcBorders>
            <w:shd w:val="clear" w:color="auto" w:fill="auto"/>
            <w:noWrap/>
            <w:vAlign w:val="center"/>
            <w:hideMark/>
          </w:tcPr>
          <w:p w14:paraId="36FF4470"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0,0</w:t>
            </w:r>
          </w:p>
        </w:tc>
        <w:tc>
          <w:tcPr>
            <w:tcW w:w="411" w:type="pct"/>
            <w:tcBorders>
              <w:top w:val="nil"/>
              <w:left w:val="nil"/>
              <w:bottom w:val="nil"/>
              <w:right w:val="nil"/>
            </w:tcBorders>
            <w:shd w:val="clear" w:color="auto" w:fill="auto"/>
            <w:noWrap/>
            <w:vAlign w:val="center"/>
            <w:hideMark/>
          </w:tcPr>
          <w:p w14:paraId="79F140DE"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-0,4</w:t>
            </w:r>
          </w:p>
        </w:tc>
        <w:tc>
          <w:tcPr>
            <w:tcW w:w="411" w:type="pct"/>
            <w:tcBorders>
              <w:top w:val="nil"/>
              <w:left w:val="nil"/>
              <w:bottom w:val="nil"/>
              <w:right w:val="nil"/>
            </w:tcBorders>
            <w:shd w:val="clear" w:color="auto" w:fill="auto"/>
            <w:noWrap/>
            <w:vAlign w:val="center"/>
            <w:hideMark/>
          </w:tcPr>
          <w:p w14:paraId="37529017"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-0,9</w:t>
            </w:r>
          </w:p>
        </w:tc>
        <w:tc>
          <w:tcPr>
            <w:tcW w:w="411" w:type="pct"/>
            <w:tcBorders>
              <w:top w:val="nil"/>
              <w:left w:val="nil"/>
              <w:bottom w:val="nil"/>
              <w:right w:val="nil"/>
            </w:tcBorders>
            <w:shd w:val="clear" w:color="auto" w:fill="auto"/>
            <w:noWrap/>
            <w:vAlign w:val="center"/>
            <w:hideMark/>
          </w:tcPr>
          <w:p w14:paraId="756E9D8A"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-0,5</w:t>
            </w:r>
          </w:p>
        </w:tc>
        <w:tc>
          <w:tcPr>
            <w:tcW w:w="719" w:type="pct"/>
            <w:tcBorders>
              <w:top w:val="nil"/>
              <w:left w:val="single" w:sz="4" w:space="0" w:color="auto"/>
              <w:bottom w:val="nil"/>
              <w:right w:val="nil"/>
            </w:tcBorders>
            <w:shd w:val="clear" w:color="auto" w:fill="auto"/>
            <w:noWrap/>
            <w:vAlign w:val="center"/>
            <w:hideMark/>
          </w:tcPr>
          <w:p w14:paraId="2F9EB982" w14:textId="77777777" w:rsidR="009A05C7" w:rsidRPr="00201A56" w:rsidRDefault="009A05C7" w:rsidP="000240DA">
            <w:pPr>
              <w:spacing w:after="0" w:line="240" w:lineRule="auto"/>
              <w:jc w:val="left"/>
              <w:rPr>
                <w:rFonts w:eastAsia="Times New Roman" w:cs="Times New Roman"/>
                <w:sz w:val="18"/>
                <w:szCs w:val="18"/>
                <w:lang w:eastAsia="sk-SK"/>
              </w:rPr>
            </w:pPr>
            <w:r w:rsidRPr="00201A56">
              <w:rPr>
                <w:rFonts w:eastAsia="Times New Roman" w:cs="Times New Roman"/>
                <w:sz w:val="18"/>
                <w:szCs w:val="18"/>
                <w:lang w:eastAsia="sk-SK"/>
              </w:rPr>
              <w:t>Holandsko</w:t>
            </w:r>
          </w:p>
        </w:tc>
        <w:tc>
          <w:tcPr>
            <w:tcW w:w="484" w:type="pct"/>
            <w:tcBorders>
              <w:top w:val="nil"/>
              <w:left w:val="nil"/>
              <w:bottom w:val="nil"/>
              <w:right w:val="nil"/>
            </w:tcBorders>
            <w:shd w:val="clear" w:color="auto" w:fill="auto"/>
            <w:noWrap/>
            <w:vAlign w:val="center"/>
            <w:hideMark/>
          </w:tcPr>
          <w:p w14:paraId="773F8C29"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48,4</w:t>
            </w:r>
          </w:p>
        </w:tc>
        <w:tc>
          <w:tcPr>
            <w:tcW w:w="484" w:type="pct"/>
            <w:tcBorders>
              <w:top w:val="nil"/>
              <w:left w:val="nil"/>
              <w:bottom w:val="nil"/>
              <w:right w:val="nil"/>
            </w:tcBorders>
            <w:shd w:val="clear" w:color="auto" w:fill="auto"/>
            <w:noWrap/>
            <w:vAlign w:val="center"/>
            <w:hideMark/>
          </w:tcPr>
          <w:p w14:paraId="5BF0FC3A"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45,2</w:t>
            </w:r>
          </w:p>
        </w:tc>
        <w:tc>
          <w:tcPr>
            <w:tcW w:w="484" w:type="pct"/>
            <w:tcBorders>
              <w:top w:val="nil"/>
              <w:left w:val="nil"/>
              <w:bottom w:val="nil"/>
            </w:tcBorders>
            <w:shd w:val="clear" w:color="auto" w:fill="auto"/>
            <w:noWrap/>
            <w:vAlign w:val="center"/>
            <w:hideMark/>
          </w:tcPr>
          <w:p w14:paraId="4709164F"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43,3</w:t>
            </w:r>
          </w:p>
        </w:tc>
        <w:tc>
          <w:tcPr>
            <w:tcW w:w="466" w:type="pct"/>
            <w:tcBorders>
              <w:top w:val="nil"/>
              <w:bottom w:val="nil"/>
              <w:right w:val="single" w:sz="4" w:space="0" w:color="auto"/>
            </w:tcBorders>
            <w:shd w:val="clear" w:color="auto" w:fill="auto"/>
            <w:noWrap/>
            <w:vAlign w:val="center"/>
            <w:hideMark/>
          </w:tcPr>
          <w:p w14:paraId="42A9BB5A"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-1,9</w:t>
            </w:r>
          </w:p>
        </w:tc>
      </w:tr>
      <w:tr w:rsidR="009A05C7" w:rsidRPr="00973B5D" w14:paraId="5A4E3467" w14:textId="77777777" w:rsidTr="000240DA">
        <w:trPr>
          <w:trHeight w:val="280"/>
        </w:trPr>
        <w:tc>
          <w:tcPr>
            <w:tcW w:w="719" w:type="pct"/>
            <w:tcBorders>
              <w:top w:val="nil"/>
              <w:left w:val="single" w:sz="4" w:space="0" w:color="auto"/>
              <w:bottom w:val="nil"/>
              <w:right w:val="nil"/>
            </w:tcBorders>
            <w:shd w:val="clear" w:color="auto" w:fill="auto"/>
            <w:noWrap/>
            <w:vAlign w:val="center"/>
            <w:hideMark/>
          </w:tcPr>
          <w:p w14:paraId="06E93488" w14:textId="77777777" w:rsidR="009A05C7" w:rsidRPr="00973B5D" w:rsidRDefault="009A05C7" w:rsidP="000240DA">
            <w:pPr>
              <w:spacing w:after="0" w:line="240" w:lineRule="auto"/>
              <w:jc w:val="left"/>
              <w:rPr>
                <w:rFonts w:eastAsia="Times New Roman" w:cs="Times New Roman"/>
                <w:sz w:val="18"/>
                <w:szCs w:val="18"/>
                <w:lang w:eastAsia="sk-SK"/>
              </w:rPr>
            </w:pPr>
            <w:r w:rsidRPr="00973B5D">
              <w:rPr>
                <w:rFonts w:eastAsia="Times New Roman" w:cs="Times New Roman"/>
                <w:sz w:val="18"/>
                <w:szCs w:val="18"/>
                <w:lang w:eastAsia="sk-SK"/>
              </w:rPr>
              <w:t>Slovinsko</w:t>
            </w:r>
          </w:p>
        </w:tc>
        <w:tc>
          <w:tcPr>
            <w:tcW w:w="411" w:type="pct"/>
            <w:tcBorders>
              <w:top w:val="nil"/>
              <w:left w:val="nil"/>
              <w:bottom w:val="nil"/>
              <w:right w:val="nil"/>
            </w:tcBorders>
            <w:shd w:val="clear" w:color="auto" w:fill="auto"/>
            <w:noWrap/>
            <w:vAlign w:val="center"/>
            <w:hideMark/>
          </w:tcPr>
          <w:p w14:paraId="3B9106F8"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-3,0</w:t>
            </w:r>
          </w:p>
        </w:tc>
        <w:tc>
          <w:tcPr>
            <w:tcW w:w="411" w:type="pct"/>
            <w:tcBorders>
              <w:top w:val="nil"/>
              <w:left w:val="nil"/>
              <w:bottom w:val="nil"/>
              <w:right w:val="nil"/>
            </w:tcBorders>
            <w:shd w:val="clear" w:color="auto" w:fill="auto"/>
            <w:noWrap/>
            <w:vAlign w:val="center"/>
            <w:hideMark/>
          </w:tcPr>
          <w:p w14:paraId="45C52F76"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-2,6</w:t>
            </w:r>
          </w:p>
        </w:tc>
        <w:tc>
          <w:tcPr>
            <w:tcW w:w="411" w:type="pct"/>
            <w:tcBorders>
              <w:top w:val="nil"/>
              <w:left w:val="nil"/>
              <w:bottom w:val="nil"/>
              <w:right w:val="nil"/>
            </w:tcBorders>
            <w:shd w:val="clear" w:color="auto" w:fill="auto"/>
            <w:noWrap/>
            <w:vAlign w:val="center"/>
            <w:hideMark/>
          </w:tcPr>
          <w:p w14:paraId="38BA93C4"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-0,9</w:t>
            </w:r>
          </w:p>
        </w:tc>
        <w:tc>
          <w:tcPr>
            <w:tcW w:w="411" w:type="pct"/>
            <w:tcBorders>
              <w:top w:val="nil"/>
              <w:left w:val="nil"/>
              <w:bottom w:val="nil"/>
              <w:right w:val="nil"/>
            </w:tcBorders>
            <w:shd w:val="clear" w:color="auto" w:fill="auto"/>
            <w:noWrap/>
            <w:vAlign w:val="center"/>
            <w:hideMark/>
          </w:tcPr>
          <w:p w14:paraId="68C38E22"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1,7</w:t>
            </w:r>
          </w:p>
        </w:tc>
        <w:tc>
          <w:tcPr>
            <w:tcW w:w="719" w:type="pct"/>
            <w:tcBorders>
              <w:top w:val="nil"/>
              <w:left w:val="single" w:sz="4" w:space="0" w:color="auto"/>
              <w:bottom w:val="nil"/>
              <w:right w:val="nil"/>
            </w:tcBorders>
            <w:shd w:val="clear" w:color="auto" w:fill="auto"/>
            <w:noWrap/>
            <w:vAlign w:val="center"/>
            <w:hideMark/>
          </w:tcPr>
          <w:p w14:paraId="31309694" w14:textId="77777777" w:rsidR="009A05C7" w:rsidRPr="00201A56" w:rsidRDefault="009A05C7" w:rsidP="000240DA">
            <w:pPr>
              <w:spacing w:after="0" w:line="240" w:lineRule="auto"/>
              <w:jc w:val="left"/>
              <w:rPr>
                <w:rFonts w:eastAsia="Times New Roman" w:cs="Times New Roman"/>
                <w:sz w:val="18"/>
                <w:szCs w:val="18"/>
                <w:lang w:eastAsia="sk-SK"/>
              </w:rPr>
            </w:pPr>
            <w:r w:rsidRPr="00201A56">
              <w:rPr>
                <w:rFonts w:eastAsia="Times New Roman" w:cs="Times New Roman"/>
                <w:sz w:val="18"/>
                <w:szCs w:val="18"/>
                <w:lang w:eastAsia="sk-SK"/>
              </w:rPr>
              <w:t>Írsko</w:t>
            </w:r>
          </w:p>
        </w:tc>
        <w:tc>
          <w:tcPr>
            <w:tcW w:w="484" w:type="pct"/>
            <w:tcBorders>
              <w:top w:val="nil"/>
              <w:left w:val="nil"/>
              <w:bottom w:val="nil"/>
              <w:right w:val="nil"/>
            </w:tcBorders>
            <w:shd w:val="clear" w:color="auto" w:fill="auto"/>
            <w:noWrap/>
            <w:vAlign w:val="center"/>
            <w:hideMark/>
          </w:tcPr>
          <w:p w14:paraId="300D78A5"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43,1</w:t>
            </w:r>
          </w:p>
        </w:tc>
        <w:tc>
          <w:tcPr>
            <w:tcW w:w="484" w:type="pct"/>
            <w:tcBorders>
              <w:top w:val="nil"/>
              <w:left w:val="nil"/>
              <w:bottom w:val="nil"/>
              <w:right w:val="nil"/>
            </w:tcBorders>
            <w:shd w:val="clear" w:color="auto" w:fill="auto"/>
            <w:noWrap/>
            <w:vAlign w:val="center"/>
            <w:hideMark/>
          </w:tcPr>
          <w:p w14:paraId="0FDA135B"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43,3</w:t>
            </w:r>
          </w:p>
        </w:tc>
        <w:tc>
          <w:tcPr>
            <w:tcW w:w="484" w:type="pct"/>
            <w:tcBorders>
              <w:top w:val="nil"/>
              <w:left w:val="nil"/>
              <w:bottom w:val="nil"/>
            </w:tcBorders>
            <w:shd w:val="clear" w:color="auto" w:fill="auto"/>
            <w:noWrap/>
            <w:vAlign w:val="center"/>
            <w:hideMark/>
          </w:tcPr>
          <w:p w14:paraId="3C25537D"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40,9</w:t>
            </w:r>
          </w:p>
        </w:tc>
        <w:tc>
          <w:tcPr>
            <w:tcW w:w="466" w:type="pct"/>
            <w:tcBorders>
              <w:top w:val="nil"/>
              <w:bottom w:val="nil"/>
              <w:right w:val="single" w:sz="4" w:space="0" w:color="auto"/>
            </w:tcBorders>
            <w:shd w:val="clear" w:color="auto" w:fill="auto"/>
            <w:noWrap/>
            <w:vAlign w:val="center"/>
            <w:hideMark/>
          </w:tcPr>
          <w:p w14:paraId="7F00BC8C"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-2,4</w:t>
            </w:r>
          </w:p>
        </w:tc>
      </w:tr>
      <w:tr w:rsidR="009A05C7" w:rsidRPr="00973B5D" w14:paraId="25732532" w14:textId="77777777" w:rsidTr="000240DA">
        <w:trPr>
          <w:trHeight w:val="280"/>
        </w:trPr>
        <w:tc>
          <w:tcPr>
            <w:tcW w:w="719" w:type="pct"/>
            <w:tcBorders>
              <w:top w:val="nil"/>
              <w:left w:val="single" w:sz="4" w:space="0" w:color="auto"/>
              <w:bottom w:val="nil"/>
              <w:right w:val="nil"/>
            </w:tcBorders>
            <w:shd w:val="clear" w:color="auto" w:fill="auto"/>
            <w:noWrap/>
            <w:vAlign w:val="center"/>
            <w:hideMark/>
          </w:tcPr>
          <w:p w14:paraId="053D42D7" w14:textId="77777777" w:rsidR="009A05C7" w:rsidRPr="00973B5D" w:rsidRDefault="009A05C7" w:rsidP="000240DA">
            <w:pPr>
              <w:spacing w:after="0" w:line="240" w:lineRule="auto"/>
              <w:jc w:val="left"/>
              <w:rPr>
                <w:rFonts w:eastAsia="Times New Roman" w:cs="Times New Roman"/>
                <w:sz w:val="18"/>
                <w:szCs w:val="18"/>
                <w:lang w:eastAsia="sk-SK"/>
              </w:rPr>
            </w:pPr>
            <w:r w:rsidRPr="00973B5D">
              <w:rPr>
                <w:rFonts w:eastAsia="Times New Roman" w:cs="Times New Roman"/>
                <w:sz w:val="18"/>
                <w:szCs w:val="18"/>
                <w:lang w:eastAsia="sk-SK"/>
              </w:rPr>
              <w:t>Portugalsko</w:t>
            </w:r>
          </w:p>
        </w:tc>
        <w:tc>
          <w:tcPr>
            <w:tcW w:w="411" w:type="pct"/>
            <w:tcBorders>
              <w:top w:val="nil"/>
              <w:left w:val="nil"/>
              <w:bottom w:val="nil"/>
              <w:right w:val="nil"/>
            </w:tcBorders>
            <w:shd w:val="clear" w:color="auto" w:fill="auto"/>
            <w:noWrap/>
            <w:vAlign w:val="center"/>
            <w:hideMark/>
          </w:tcPr>
          <w:p w14:paraId="1A39E968"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-0,3</w:t>
            </w:r>
          </w:p>
        </w:tc>
        <w:tc>
          <w:tcPr>
            <w:tcW w:w="411" w:type="pct"/>
            <w:tcBorders>
              <w:top w:val="nil"/>
              <w:left w:val="nil"/>
              <w:bottom w:val="nil"/>
              <w:right w:val="nil"/>
            </w:tcBorders>
            <w:shd w:val="clear" w:color="auto" w:fill="auto"/>
            <w:noWrap/>
            <w:vAlign w:val="center"/>
            <w:hideMark/>
          </w:tcPr>
          <w:p w14:paraId="3ABBF035"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1,2</w:t>
            </w:r>
          </w:p>
        </w:tc>
        <w:tc>
          <w:tcPr>
            <w:tcW w:w="411" w:type="pct"/>
            <w:tcBorders>
              <w:top w:val="nil"/>
              <w:left w:val="nil"/>
              <w:bottom w:val="nil"/>
              <w:right w:val="nil"/>
            </w:tcBorders>
            <w:shd w:val="clear" w:color="auto" w:fill="auto"/>
            <w:noWrap/>
            <w:vAlign w:val="center"/>
            <w:hideMark/>
          </w:tcPr>
          <w:p w14:paraId="56FAE849"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0,7</w:t>
            </w:r>
          </w:p>
        </w:tc>
        <w:tc>
          <w:tcPr>
            <w:tcW w:w="411" w:type="pct"/>
            <w:tcBorders>
              <w:top w:val="nil"/>
              <w:left w:val="nil"/>
              <w:bottom w:val="nil"/>
              <w:right w:val="nil"/>
            </w:tcBorders>
            <w:shd w:val="clear" w:color="auto" w:fill="auto"/>
            <w:noWrap/>
            <w:vAlign w:val="center"/>
            <w:hideMark/>
          </w:tcPr>
          <w:p w14:paraId="72AE19D9"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-0,5</w:t>
            </w:r>
          </w:p>
        </w:tc>
        <w:tc>
          <w:tcPr>
            <w:tcW w:w="719" w:type="pct"/>
            <w:tcBorders>
              <w:top w:val="nil"/>
              <w:left w:val="single" w:sz="4" w:space="0" w:color="auto"/>
              <w:bottom w:val="nil"/>
              <w:right w:val="nil"/>
            </w:tcBorders>
            <w:shd w:val="clear" w:color="auto" w:fill="auto"/>
            <w:noWrap/>
            <w:vAlign w:val="center"/>
            <w:hideMark/>
          </w:tcPr>
          <w:p w14:paraId="1C22982A" w14:textId="77777777" w:rsidR="009A05C7" w:rsidRPr="00201A56" w:rsidRDefault="009A05C7" w:rsidP="000240DA">
            <w:pPr>
              <w:spacing w:after="0" w:line="240" w:lineRule="auto"/>
              <w:jc w:val="left"/>
              <w:rPr>
                <w:rFonts w:eastAsia="Times New Roman" w:cs="Times New Roman"/>
                <w:sz w:val="18"/>
                <w:szCs w:val="18"/>
                <w:lang w:eastAsia="sk-SK"/>
              </w:rPr>
            </w:pPr>
            <w:r w:rsidRPr="00201A56">
              <w:rPr>
                <w:rFonts w:eastAsia="Times New Roman" w:cs="Times New Roman"/>
                <w:sz w:val="18"/>
                <w:szCs w:val="18"/>
                <w:lang w:eastAsia="sk-SK"/>
              </w:rPr>
              <w:t>Litva</w:t>
            </w:r>
          </w:p>
        </w:tc>
        <w:tc>
          <w:tcPr>
            <w:tcW w:w="484" w:type="pct"/>
            <w:tcBorders>
              <w:top w:val="nil"/>
              <w:left w:val="nil"/>
              <w:bottom w:val="nil"/>
              <w:right w:val="nil"/>
            </w:tcBorders>
            <w:shd w:val="clear" w:color="auto" w:fill="auto"/>
            <w:noWrap/>
            <w:vAlign w:val="center"/>
            <w:hideMark/>
          </w:tcPr>
          <w:p w14:paraId="76344052"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38,1</w:t>
            </w:r>
          </w:p>
        </w:tc>
        <w:tc>
          <w:tcPr>
            <w:tcW w:w="484" w:type="pct"/>
            <w:tcBorders>
              <w:top w:val="nil"/>
              <w:left w:val="nil"/>
              <w:bottom w:val="nil"/>
              <w:right w:val="nil"/>
            </w:tcBorders>
            <w:shd w:val="clear" w:color="auto" w:fill="auto"/>
            <w:noWrap/>
            <w:vAlign w:val="center"/>
            <w:hideMark/>
          </w:tcPr>
          <w:p w14:paraId="4D948B6A"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37,3</w:t>
            </w:r>
          </w:p>
        </w:tc>
        <w:tc>
          <w:tcPr>
            <w:tcW w:w="484" w:type="pct"/>
            <w:tcBorders>
              <w:top w:val="nil"/>
              <w:left w:val="nil"/>
              <w:bottom w:val="nil"/>
            </w:tcBorders>
            <w:shd w:val="clear" w:color="auto" w:fill="auto"/>
            <w:noWrap/>
            <w:vAlign w:val="center"/>
            <w:hideMark/>
          </w:tcPr>
          <w:p w14:paraId="56B544A3"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38,2</w:t>
            </w:r>
          </w:p>
        </w:tc>
        <w:tc>
          <w:tcPr>
            <w:tcW w:w="466" w:type="pct"/>
            <w:tcBorders>
              <w:top w:val="nil"/>
              <w:bottom w:val="nil"/>
              <w:right w:val="single" w:sz="4" w:space="0" w:color="auto"/>
            </w:tcBorders>
            <w:shd w:val="clear" w:color="auto" w:fill="auto"/>
            <w:noWrap/>
            <w:vAlign w:val="center"/>
            <w:hideMark/>
          </w:tcPr>
          <w:p w14:paraId="031706F9"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0,9</w:t>
            </w:r>
          </w:p>
        </w:tc>
      </w:tr>
      <w:tr w:rsidR="009A05C7" w:rsidRPr="00973B5D" w14:paraId="107F8614" w14:textId="77777777" w:rsidTr="000240DA">
        <w:trPr>
          <w:trHeight w:val="280"/>
        </w:trPr>
        <w:tc>
          <w:tcPr>
            <w:tcW w:w="719" w:type="pct"/>
            <w:tcBorders>
              <w:top w:val="nil"/>
              <w:left w:val="single" w:sz="4" w:space="0" w:color="auto"/>
              <w:bottom w:val="nil"/>
              <w:right w:val="nil"/>
            </w:tcBorders>
            <w:shd w:val="clear" w:color="auto" w:fill="auto"/>
            <w:noWrap/>
            <w:vAlign w:val="center"/>
            <w:hideMark/>
          </w:tcPr>
          <w:p w14:paraId="4D66C57C" w14:textId="77777777" w:rsidR="009A05C7" w:rsidRPr="00973B5D" w:rsidRDefault="009A05C7" w:rsidP="000240DA">
            <w:pPr>
              <w:spacing w:after="0" w:line="240" w:lineRule="auto"/>
              <w:jc w:val="left"/>
              <w:rPr>
                <w:rFonts w:eastAsia="Times New Roman" w:cs="Times New Roman"/>
                <w:sz w:val="18"/>
                <w:szCs w:val="18"/>
                <w:lang w:eastAsia="sk-SK"/>
              </w:rPr>
            </w:pPr>
            <w:r w:rsidRPr="00973B5D">
              <w:rPr>
                <w:rFonts w:eastAsia="Times New Roman" w:cs="Times New Roman"/>
                <w:sz w:val="18"/>
                <w:szCs w:val="18"/>
                <w:lang w:eastAsia="sk-SK"/>
              </w:rPr>
              <w:t>Luxembursko</w:t>
            </w:r>
          </w:p>
        </w:tc>
        <w:tc>
          <w:tcPr>
            <w:tcW w:w="411" w:type="pct"/>
            <w:tcBorders>
              <w:top w:val="nil"/>
              <w:left w:val="nil"/>
              <w:bottom w:val="nil"/>
              <w:right w:val="nil"/>
            </w:tcBorders>
            <w:shd w:val="clear" w:color="auto" w:fill="auto"/>
            <w:noWrap/>
            <w:vAlign w:val="center"/>
            <w:hideMark/>
          </w:tcPr>
          <w:p w14:paraId="7AB2FA1D"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0,2</w:t>
            </w:r>
          </w:p>
        </w:tc>
        <w:tc>
          <w:tcPr>
            <w:tcW w:w="411" w:type="pct"/>
            <w:tcBorders>
              <w:top w:val="nil"/>
              <w:left w:val="nil"/>
              <w:bottom w:val="nil"/>
              <w:right w:val="nil"/>
            </w:tcBorders>
            <w:shd w:val="clear" w:color="auto" w:fill="auto"/>
            <w:noWrap/>
            <w:vAlign w:val="center"/>
            <w:hideMark/>
          </w:tcPr>
          <w:p w14:paraId="3F322318"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-0,8</w:t>
            </w:r>
          </w:p>
        </w:tc>
        <w:tc>
          <w:tcPr>
            <w:tcW w:w="411" w:type="pct"/>
            <w:tcBorders>
              <w:top w:val="nil"/>
              <w:left w:val="nil"/>
              <w:bottom w:val="nil"/>
              <w:right w:val="nil"/>
            </w:tcBorders>
            <w:shd w:val="clear" w:color="auto" w:fill="auto"/>
            <w:noWrap/>
            <w:vAlign w:val="center"/>
            <w:hideMark/>
          </w:tcPr>
          <w:p w14:paraId="0179339A"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1,0</w:t>
            </w:r>
          </w:p>
        </w:tc>
        <w:tc>
          <w:tcPr>
            <w:tcW w:w="411" w:type="pct"/>
            <w:tcBorders>
              <w:top w:val="nil"/>
              <w:left w:val="nil"/>
              <w:bottom w:val="nil"/>
              <w:right w:val="nil"/>
            </w:tcBorders>
            <w:shd w:val="clear" w:color="auto" w:fill="auto"/>
            <w:noWrap/>
            <w:vAlign w:val="center"/>
            <w:hideMark/>
          </w:tcPr>
          <w:p w14:paraId="21BD534B"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1,8</w:t>
            </w:r>
          </w:p>
        </w:tc>
        <w:tc>
          <w:tcPr>
            <w:tcW w:w="719" w:type="pct"/>
            <w:tcBorders>
              <w:top w:val="nil"/>
              <w:left w:val="single" w:sz="4" w:space="0" w:color="auto"/>
              <w:bottom w:val="nil"/>
              <w:right w:val="nil"/>
            </w:tcBorders>
            <w:shd w:val="clear" w:color="auto" w:fill="auto"/>
            <w:noWrap/>
            <w:vAlign w:val="center"/>
            <w:hideMark/>
          </w:tcPr>
          <w:p w14:paraId="77312E80" w14:textId="77777777" w:rsidR="009A05C7" w:rsidRPr="00201A56" w:rsidRDefault="009A05C7" w:rsidP="000240DA">
            <w:pPr>
              <w:spacing w:after="0" w:line="240" w:lineRule="auto"/>
              <w:jc w:val="left"/>
              <w:rPr>
                <w:rFonts w:eastAsia="Times New Roman" w:cs="Times New Roman"/>
                <w:sz w:val="18"/>
                <w:szCs w:val="18"/>
                <w:lang w:eastAsia="sk-SK"/>
              </w:rPr>
            </w:pPr>
            <w:r w:rsidRPr="00201A56">
              <w:rPr>
                <w:rFonts w:eastAsia="Times New Roman" w:cs="Times New Roman"/>
                <w:sz w:val="18"/>
                <w:szCs w:val="18"/>
                <w:lang w:eastAsia="sk-SK"/>
              </w:rPr>
              <w:t>Švédsko</w:t>
            </w:r>
          </w:p>
        </w:tc>
        <w:tc>
          <w:tcPr>
            <w:tcW w:w="484" w:type="pct"/>
            <w:tcBorders>
              <w:top w:val="nil"/>
              <w:left w:val="nil"/>
              <w:bottom w:val="nil"/>
              <w:right w:val="nil"/>
            </w:tcBorders>
            <w:shd w:val="clear" w:color="auto" w:fill="auto"/>
            <w:noWrap/>
            <w:vAlign w:val="center"/>
            <w:hideMark/>
          </w:tcPr>
          <w:p w14:paraId="34D1CA11"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33,8</w:t>
            </w:r>
          </w:p>
        </w:tc>
        <w:tc>
          <w:tcPr>
            <w:tcW w:w="484" w:type="pct"/>
            <w:tcBorders>
              <w:top w:val="nil"/>
              <w:left w:val="nil"/>
              <w:bottom w:val="nil"/>
              <w:right w:val="nil"/>
            </w:tcBorders>
            <w:shd w:val="clear" w:color="auto" w:fill="auto"/>
            <w:noWrap/>
            <w:vAlign w:val="center"/>
            <w:hideMark/>
          </w:tcPr>
          <w:p w14:paraId="6F41BD13"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31,6</w:t>
            </w:r>
          </w:p>
        </w:tc>
        <w:tc>
          <w:tcPr>
            <w:tcW w:w="484" w:type="pct"/>
            <w:tcBorders>
              <w:top w:val="nil"/>
              <w:left w:val="nil"/>
              <w:bottom w:val="nil"/>
            </w:tcBorders>
            <w:shd w:val="clear" w:color="auto" w:fill="auto"/>
            <w:noWrap/>
            <w:vAlign w:val="center"/>
            <w:hideMark/>
          </w:tcPr>
          <w:p w14:paraId="47FF6602"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33,5</w:t>
            </w:r>
          </w:p>
        </w:tc>
        <w:tc>
          <w:tcPr>
            <w:tcW w:w="466" w:type="pct"/>
            <w:tcBorders>
              <w:top w:val="nil"/>
              <w:bottom w:val="nil"/>
              <w:right w:val="single" w:sz="4" w:space="0" w:color="auto"/>
            </w:tcBorders>
            <w:shd w:val="clear" w:color="auto" w:fill="auto"/>
            <w:noWrap/>
            <w:vAlign w:val="center"/>
            <w:hideMark/>
          </w:tcPr>
          <w:p w14:paraId="2BF927FB"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1,9</w:t>
            </w:r>
          </w:p>
        </w:tc>
      </w:tr>
      <w:tr w:rsidR="009A05C7" w:rsidRPr="00973B5D" w14:paraId="1E2A94E1" w14:textId="77777777" w:rsidTr="000240DA">
        <w:trPr>
          <w:trHeight w:val="280"/>
        </w:trPr>
        <w:tc>
          <w:tcPr>
            <w:tcW w:w="719" w:type="pct"/>
            <w:tcBorders>
              <w:top w:val="nil"/>
              <w:left w:val="single" w:sz="4" w:space="0" w:color="auto"/>
              <w:bottom w:val="nil"/>
              <w:right w:val="nil"/>
            </w:tcBorders>
            <w:shd w:val="clear" w:color="auto" w:fill="auto"/>
            <w:noWrap/>
            <w:vAlign w:val="center"/>
            <w:hideMark/>
          </w:tcPr>
          <w:p w14:paraId="07476218" w14:textId="77777777" w:rsidR="009A05C7" w:rsidRPr="00973B5D" w:rsidRDefault="009A05C7" w:rsidP="000240DA">
            <w:pPr>
              <w:spacing w:after="0" w:line="240" w:lineRule="auto"/>
              <w:jc w:val="left"/>
              <w:rPr>
                <w:rFonts w:eastAsia="Times New Roman" w:cs="Times New Roman"/>
                <w:sz w:val="18"/>
                <w:szCs w:val="18"/>
                <w:lang w:eastAsia="sk-SK"/>
              </w:rPr>
            </w:pPr>
            <w:r w:rsidRPr="00973B5D">
              <w:rPr>
                <w:rFonts w:eastAsia="Times New Roman" w:cs="Times New Roman"/>
                <w:sz w:val="18"/>
                <w:szCs w:val="18"/>
                <w:lang w:eastAsia="sk-SK"/>
              </w:rPr>
              <w:t>Grécko</w:t>
            </w:r>
          </w:p>
        </w:tc>
        <w:tc>
          <w:tcPr>
            <w:tcW w:w="411" w:type="pct"/>
            <w:tcBorders>
              <w:top w:val="nil"/>
              <w:left w:val="nil"/>
              <w:bottom w:val="nil"/>
              <w:right w:val="nil"/>
            </w:tcBorders>
            <w:shd w:val="clear" w:color="auto" w:fill="auto"/>
            <w:noWrap/>
            <w:vAlign w:val="center"/>
            <w:hideMark/>
          </w:tcPr>
          <w:p w14:paraId="588AE85E"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-2,5</w:t>
            </w:r>
          </w:p>
        </w:tc>
        <w:tc>
          <w:tcPr>
            <w:tcW w:w="411" w:type="pct"/>
            <w:tcBorders>
              <w:top w:val="nil"/>
              <w:left w:val="nil"/>
              <w:bottom w:val="nil"/>
              <w:right w:val="nil"/>
            </w:tcBorders>
            <w:shd w:val="clear" w:color="auto" w:fill="auto"/>
            <w:noWrap/>
            <w:vAlign w:val="center"/>
            <w:hideMark/>
          </w:tcPr>
          <w:p w14:paraId="64013A15"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-1,4</w:t>
            </w:r>
          </w:p>
        </w:tc>
        <w:tc>
          <w:tcPr>
            <w:tcW w:w="411" w:type="pct"/>
            <w:tcBorders>
              <w:top w:val="nil"/>
              <w:left w:val="nil"/>
              <w:bottom w:val="nil"/>
              <w:right w:val="nil"/>
            </w:tcBorders>
            <w:shd w:val="clear" w:color="auto" w:fill="auto"/>
            <w:noWrap/>
            <w:vAlign w:val="center"/>
            <w:hideMark/>
          </w:tcPr>
          <w:p w14:paraId="1E1E32F7"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1,3</w:t>
            </w:r>
          </w:p>
        </w:tc>
        <w:tc>
          <w:tcPr>
            <w:tcW w:w="411" w:type="pct"/>
            <w:tcBorders>
              <w:top w:val="nil"/>
              <w:left w:val="nil"/>
              <w:bottom w:val="nil"/>
              <w:right w:val="nil"/>
            </w:tcBorders>
            <w:shd w:val="clear" w:color="auto" w:fill="auto"/>
            <w:noWrap/>
            <w:vAlign w:val="center"/>
            <w:hideMark/>
          </w:tcPr>
          <w:p w14:paraId="0795E076"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2,7</w:t>
            </w:r>
          </w:p>
        </w:tc>
        <w:tc>
          <w:tcPr>
            <w:tcW w:w="719" w:type="pct"/>
            <w:tcBorders>
              <w:top w:val="nil"/>
              <w:left w:val="single" w:sz="4" w:space="0" w:color="auto"/>
              <w:bottom w:val="nil"/>
              <w:right w:val="nil"/>
            </w:tcBorders>
            <w:shd w:val="clear" w:color="auto" w:fill="auto"/>
            <w:noWrap/>
            <w:vAlign w:val="center"/>
            <w:hideMark/>
          </w:tcPr>
          <w:p w14:paraId="1BD0C139" w14:textId="77777777" w:rsidR="009A05C7" w:rsidRPr="00201A56" w:rsidRDefault="009A05C7" w:rsidP="000240DA">
            <w:pPr>
              <w:spacing w:after="0" w:line="240" w:lineRule="auto"/>
              <w:jc w:val="left"/>
              <w:rPr>
                <w:rFonts w:eastAsia="Times New Roman" w:cs="Times New Roman"/>
                <w:sz w:val="18"/>
                <w:szCs w:val="18"/>
                <w:lang w:eastAsia="sk-SK"/>
              </w:rPr>
            </w:pPr>
            <w:r w:rsidRPr="00201A56">
              <w:rPr>
                <w:rFonts w:eastAsia="Times New Roman" w:cs="Times New Roman"/>
                <w:sz w:val="18"/>
                <w:szCs w:val="18"/>
                <w:lang w:eastAsia="sk-SK"/>
              </w:rPr>
              <w:t>Dánsko</w:t>
            </w:r>
          </w:p>
        </w:tc>
        <w:tc>
          <w:tcPr>
            <w:tcW w:w="484" w:type="pct"/>
            <w:tcBorders>
              <w:top w:val="nil"/>
              <w:left w:val="nil"/>
              <w:bottom w:val="nil"/>
              <w:right w:val="nil"/>
            </w:tcBorders>
            <w:shd w:val="clear" w:color="auto" w:fill="auto"/>
            <w:noWrap/>
            <w:vAlign w:val="center"/>
            <w:hideMark/>
          </w:tcPr>
          <w:p w14:paraId="32915D95"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34,1</w:t>
            </w:r>
          </w:p>
        </w:tc>
        <w:tc>
          <w:tcPr>
            <w:tcW w:w="484" w:type="pct"/>
            <w:tcBorders>
              <w:top w:val="nil"/>
              <w:left w:val="nil"/>
              <w:bottom w:val="nil"/>
              <w:right w:val="nil"/>
            </w:tcBorders>
            <w:shd w:val="clear" w:color="auto" w:fill="auto"/>
            <w:noWrap/>
            <w:vAlign w:val="center"/>
            <w:hideMark/>
          </w:tcPr>
          <w:p w14:paraId="0DBFE79C"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33,6</w:t>
            </w:r>
          </w:p>
        </w:tc>
        <w:tc>
          <w:tcPr>
            <w:tcW w:w="484" w:type="pct"/>
            <w:tcBorders>
              <w:top w:val="nil"/>
              <w:left w:val="nil"/>
              <w:bottom w:val="nil"/>
            </w:tcBorders>
            <w:shd w:val="clear" w:color="auto" w:fill="auto"/>
            <w:noWrap/>
            <w:vAlign w:val="center"/>
            <w:hideMark/>
          </w:tcPr>
          <w:p w14:paraId="16251448"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31,1</w:t>
            </w:r>
          </w:p>
        </w:tc>
        <w:tc>
          <w:tcPr>
            <w:tcW w:w="466" w:type="pct"/>
            <w:tcBorders>
              <w:top w:val="nil"/>
              <w:bottom w:val="nil"/>
              <w:right w:val="single" w:sz="4" w:space="0" w:color="auto"/>
            </w:tcBorders>
            <w:shd w:val="clear" w:color="auto" w:fill="auto"/>
            <w:noWrap/>
            <w:vAlign w:val="center"/>
            <w:hideMark/>
          </w:tcPr>
          <w:p w14:paraId="2787C202"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-2,5</w:t>
            </w:r>
          </w:p>
        </w:tc>
      </w:tr>
      <w:tr w:rsidR="009A05C7" w:rsidRPr="00973B5D" w14:paraId="35F4052F" w14:textId="77777777" w:rsidTr="000240DA">
        <w:trPr>
          <w:trHeight w:val="280"/>
        </w:trPr>
        <w:tc>
          <w:tcPr>
            <w:tcW w:w="719" w:type="pct"/>
            <w:tcBorders>
              <w:top w:val="nil"/>
              <w:left w:val="single" w:sz="4" w:space="0" w:color="auto"/>
              <w:bottom w:val="nil"/>
              <w:right w:val="nil"/>
            </w:tcBorders>
            <w:shd w:val="clear" w:color="auto" w:fill="auto"/>
            <w:noWrap/>
            <w:vAlign w:val="center"/>
            <w:hideMark/>
          </w:tcPr>
          <w:p w14:paraId="629E4085" w14:textId="77777777" w:rsidR="009A05C7" w:rsidRPr="00973B5D" w:rsidRDefault="009A05C7" w:rsidP="000240DA">
            <w:pPr>
              <w:spacing w:after="0" w:line="240" w:lineRule="auto"/>
              <w:jc w:val="left"/>
              <w:rPr>
                <w:rFonts w:eastAsia="Times New Roman" w:cs="Times New Roman"/>
                <w:sz w:val="18"/>
                <w:szCs w:val="18"/>
                <w:lang w:eastAsia="sk-SK"/>
              </w:rPr>
            </w:pPr>
            <w:r w:rsidRPr="00973B5D">
              <w:rPr>
                <w:rFonts w:eastAsia="Times New Roman" w:cs="Times New Roman"/>
                <w:sz w:val="18"/>
                <w:szCs w:val="18"/>
                <w:lang w:eastAsia="sk-SK"/>
              </w:rPr>
              <w:t>Írsko</w:t>
            </w:r>
          </w:p>
        </w:tc>
        <w:tc>
          <w:tcPr>
            <w:tcW w:w="411" w:type="pct"/>
            <w:tcBorders>
              <w:top w:val="nil"/>
              <w:left w:val="nil"/>
              <w:bottom w:val="nil"/>
              <w:right w:val="nil"/>
            </w:tcBorders>
            <w:shd w:val="clear" w:color="auto" w:fill="auto"/>
            <w:noWrap/>
            <w:vAlign w:val="center"/>
            <w:hideMark/>
          </w:tcPr>
          <w:p w14:paraId="6C1E24C7"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1,7</w:t>
            </w:r>
          </w:p>
        </w:tc>
        <w:tc>
          <w:tcPr>
            <w:tcW w:w="411" w:type="pct"/>
            <w:tcBorders>
              <w:top w:val="nil"/>
              <w:left w:val="nil"/>
              <w:bottom w:val="nil"/>
              <w:right w:val="nil"/>
            </w:tcBorders>
            <w:shd w:val="clear" w:color="auto" w:fill="auto"/>
            <w:noWrap/>
            <w:vAlign w:val="center"/>
            <w:hideMark/>
          </w:tcPr>
          <w:p w14:paraId="5B75C6CD"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1,5</w:t>
            </w:r>
          </w:p>
        </w:tc>
        <w:tc>
          <w:tcPr>
            <w:tcW w:w="411" w:type="pct"/>
            <w:tcBorders>
              <w:top w:val="nil"/>
              <w:left w:val="nil"/>
              <w:bottom w:val="nil"/>
              <w:right w:val="nil"/>
            </w:tcBorders>
            <w:shd w:val="clear" w:color="auto" w:fill="auto"/>
            <w:noWrap/>
            <w:vAlign w:val="center"/>
            <w:hideMark/>
          </w:tcPr>
          <w:p w14:paraId="50587E83"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4,3</w:t>
            </w:r>
          </w:p>
        </w:tc>
        <w:tc>
          <w:tcPr>
            <w:tcW w:w="411" w:type="pct"/>
            <w:tcBorders>
              <w:top w:val="nil"/>
              <w:left w:val="nil"/>
              <w:bottom w:val="nil"/>
              <w:right w:val="nil"/>
            </w:tcBorders>
            <w:shd w:val="clear" w:color="auto" w:fill="auto"/>
            <w:noWrap/>
            <w:vAlign w:val="center"/>
            <w:hideMark/>
          </w:tcPr>
          <w:p w14:paraId="6DFA51D6"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2,8</w:t>
            </w:r>
          </w:p>
        </w:tc>
        <w:tc>
          <w:tcPr>
            <w:tcW w:w="719" w:type="pct"/>
            <w:tcBorders>
              <w:top w:val="nil"/>
              <w:left w:val="single" w:sz="4" w:space="0" w:color="auto"/>
              <w:bottom w:val="nil"/>
              <w:right w:val="nil"/>
            </w:tcBorders>
            <w:shd w:val="clear" w:color="auto" w:fill="auto"/>
            <w:noWrap/>
            <w:vAlign w:val="center"/>
            <w:hideMark/>
          </w:tcPr>
          <w:p w14:paraId="37226E50" w14:textId="77777777" w:rsidR="009A05C7" w:rsidRPr="00201A56" w:rsidRDefault="009A05C7" w:rsidP="000240DA">
            <w:pPr>
              <w:spacing w:after="0" w:line="240" w:lineRule="auto"/>
              <w:jc w:val="left"/>
              <w:rPr>
                <w:rFonts w:eastAsia="Times New Roman" w:cs="Times New Roman"/>
                <w:sz w:val="18"/>
                <w:szCs w:val="18"/>
                <w:lang w:eastAsia="sk-SK"/>
              </w:rPr>
            </w:pPr>
            <w:r w:rsidRPr="00201A56">
              <w:rPr>
                <w:rFonts w:eastAsia="Times New Roman" w:cs="Times New Roman"/>
                <w:sz w:val="18"/>
                <w:szCs w:val="18"/>
                <w:lang w:eastAsia="sk-SK"/>
              </w:rPr>
              <w:t>Luxembursko</w:t>
            </w:r>
          </w:p>
        </w:tc>
        <w:tc>
          <w:tcPr>
            <w:tcW w:w="484" w:type="pct"/>
            <w:tcBorders>
              <w:top w:val="nil"/>
              <w:left w:val="nil"/>
              <w:bottom w:val="nil"/>
              <w:right w:val="nil"/>
            </w:tcBorders>
            <w:shd w:val="clear" w:color="auto" w:fill="auto"/>
            <w:noWrap/>
            <w:vAlign w:val="center"/>
            <w:hideMark/>
          </w:tcPr>
          <w:p w14:paraId="3EEEB85F"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24,9</w:t>
            </w:r>
          </w:p>
        </w:tc>
        <w:tc>
          <w:tcPr>
            <w:tcW w:w="484" w:type="pct"/>
            <w:tcBorders>
              <w:top w:val="nil"/>
              <w:left w:val="nil"/>
              <w:bottom w:val="nil"/>
              <w:right w:val="nil"/>
            </w:tcBorders>
            <w:shd w:val="clear" w:color="auto" w:fill="auto"/>
            <w:noWrap/>
            <w:vAlign w:val="center"/>
            <w:hideMark/>
          </w:tcPr>
          <w:p w14:paraId="6723EF06"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25,0</w:t>
            </w:r>
          </w:p>
        </w:tc>
        <w:tc>
          <w:tcPr>
            <w:tcW w:w="484" w:type="pct"/>
            <w:tcBorders>
              <w:top w:val="nil"/>
              <w:left w:val="nil"/>
              <w:bottom w:val="nil"/>
            </w:tcBorders>
            <w:shd w:val="clear" w:color="auto" w:fill="auto"/>
            <w:noWrap/>
            <w:vAlign w:val="center"/>
            <w:hideMark/>
          </w:tcPr>
          <w:p w14:paraId="6895A333"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26,3</w:t>
            </w:r>
          </w:p>
        </w:tc>
        <w:tc>
          <w:tcPr>
            <w:tcW w:w="466" w:type="pct"/>
            <w:tcBorders>
              <w:top w:val="nil"/>
              <w:bottom w:val="nil"/>
              <w:right w:val="single" w:sz="4" w:space="0" w:color="auto"/>
            </w:tcBorders>
            <w:shd w:val="clear" w:color="auto" w:fill="auto"/>
            <w:noWrap/>
            <w:vAlign w:val="center"/>
            <w:hideMark/>
          </w:tcPr>
          <w:p w14:paraId="4FA2DC8E"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1,3</w:t>
            </w:r>
          </w:p>
        </w:tc>
      </w:tr>
      <w:tr w:rsidR="009A05C7" w:rsidRPr="00973B5D" w14:paraId="1CDE5FF3" w14:textId="77777777" w:rsidTr="000240DA">
        <w:trPr>
          <w:trHeight w:val="280"/>
        </w:trPr>
        <w:tc>
          <w:tcPr>
            <w:tcW w:w="719" w:type="pct"/>
            <w:tcBorders>
              <w:top w:val="nil"/>
              <w:left w:val="single" w:sz="4" w:space="0" w:color="auto"/>
              <w:bottom w:val="nil"/>
              <w:right w:val="nil"/>
            </w:tcBorders>
            <w:shd w:val="clear" w:color="auto" w:fill="auto"/>
            <w:noWrap/>
            <w:vAlign w:val="center"/>
            <w:hideMark/>
          </w:tcPr>
          <w:p w14:paraId="6D77AE7E" w14:textId="77777777" w:rsidR="009A05C7" w:rsidRPr="00973B5D" w:rsidRDefault="009A05C7" w:rsidP="000240DA">
            <w:pPr>
              <w:spacing w:after="0" w:line="240" w:lineRule="auto"/>
              <w:jc w:val="left"/>
              <w:rPr>
                <w:rFonts w:eastAsia="Times New Roman" w:cs="Times New Roman"/>
                <w:sz w:val="18"/>
                <w:szCs w:val="18"/>
                <w:lang w:eastAsia="sk-SK"/>
              </w:rPr>
            </w:pPr>
            <w:r w:rsidRPr="00973B5D">
              <w:rPr>
                <w:rFonts w:eastAsia="Times New Roman" w:cs="Times New Roman"/>
                <w:sz w:val="18"/>
                <w:szCs w:val="18"/>
                <w:lang w:eastAsia="sk-SK"/>
              </w:rPr>
              <w:t>Cyprus</w:t>
            </w:r>
          </w:p>
        </w:tc>
        <w:tc>
          <w:tcPr>
            <w:tcW w:w="411" w:type="pct"/>
            <w:tcBorders>
              <w:top w:val="nil"/>
              <w:left w:val="nil"/>
              <w:bottom w:val="nil"/>
              <w:right w:val="nil"/>
            </w:tcBorders>
            <w:shd w:val="clear" w:color="auto" w:fill="auto"/>
            <w:noWrap/>
            <w:vAlign w:val="center"/>
            <w:hideMark/>
          </w:tcPr>
          <w:p w14:paraId="236E107C"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2,7</w:t>
            </w:r>
          </w:p>
        </w:tc>
        <w:tc>
          <w:tcPr>
            <w:tcW w:w="411" w:type="pct"/>
            <w:tcBorders>
              <w:top w:val="nil"/>
              <w:left w:val="nil"/>
              <w:bottom w:val="nil"/>
              <w:right w:val="nil"/>
            </w:tcBorders>
            <w:shd w:val="clear" w:color="auto" w:fill="auto"/>
            <w:noWrap/>
            <w:vAlign w:val="center"/>
            <w:hideMark/>
          </w:tcPr>
          <w:p w14:paraId="507B3080"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1,7</w:t>
            </w:r>
          </w:p>
        </w:tc>
        <w:tc>
          <w:tcPr>
            <w:tcW w:w="411" w:type="pct"/>
            <w:tcBorders>
              <w:top w:val="nil"/>
              <w:left w:val="nil"/>
              <w:bottom w:val="nil"/>
              <w:right w:val="nil"/>
            </w:tcBorders>
            <w:shd w:val="clear" w:color="auto" w:fill="auto"/>
            <w:noWrap/>
            <w:vAlign w:val="center"/>
            <w:hideMark/>
          </w:tcPr>
          <w:p w14:paraId="210074F8"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4,3</w:t>
            </w:r>
          </w:p>
        </w:tc>
        <w:tc>
          <w:tcPr>
            <w:tcW w:w="411" w:type="pct"/>
            <w:tcBorders>
              <w:top w:val="nil"/>
              <w:left w:val="nil"/>
              <w:bottom w:val="nil"/>
              <w:right w:val="nil"/>
            </w:tcBorders>
            <w:shd w:val="clear" w:color="auto" w:fill="auto"/>
            <w:noWrap/>
            <w:vAlign w:val="center"/>
            <w:hideMark/>
          </w:tcPr>
          <w:p w14:paraId="29941919"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2,6</w:t>
            </w:r>
          </w:p>
        </w:tc>
        <w:tc>
          <w:tcPr>
            <w:tcW w:w="719" w:type="pct"/>
            <w:tcBorders>
              <w:top w:val="nil"/>
              <w:left w:val="single" w:sz="4" w:space="0" w:color="auto"/>
              <w:bottom w:val="nil"/>
              <w:right w:val="nil"/>
            </w:tcBorders>
            <w:shd w:val="clear" w:color="auto" w:fill="auto"/>
            <w:noWrap/>
            <w:vAlign w:val="center"/>
            <w:hideMark/>
          </w:tcPr>
          <w:p w14:paraId="3193A71B" w14:textId="77777777" w:rsidR="009A05C7" w:rsidRPr="00201A56" w:rsidRDefault="009A05C7" w:rsidP="000240DA">
            <w:pPr>
              <w:spacing w:after="0" w:line="240" w:lineRule="auto"/>
              <w:jc w:val="left"/>
              <w:rPr>
                <w:rFonts w:eastAsia="Times New Roman" w:cs="Times New Roman"/>
                <w:sz w:val="18"/>
                <w:szCs w:val="18"/>
                <w:lang w:eastAsia="sk-SK"/>
              </w:rPr>
            </w:pPr>
            <w:r w:rsidRPr="00201A56">
              <w:rPr>
                <w:rFonts w:eastAsia="Times New Roman" w:cs="Times New Roman"/>
                <w:sz w:val="18"/>
                <w:szCs w:val="18"/>
                <w:lang w:eastAsia="sk-SK"/>
              </w:rPr>
              <w:t>Bulharsko</w:t>
            </w:r>
          </w:p>
        </w:tc>
        <w:tc>
          <w:tcPr>
            <w:tcW w:w="484" w:type="pct"/>
            <w:tcBorders>
              <w:top w:val="nil"/>
              <w:left w:val="nil"/>
              <w:bottom w:val="nil"/>
              <w:right w:val="nil"/>
            </w:tcBorders>
            <w:shd w:val="clear" w:color="auto" w:fill="auto"/>
            <w:noWrap/>
            <w:vAlign w:val="center"/>
            <w:hideMark/>
          </w:tcPr>
          <w:p w14:paraId="087E742E"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22,5</w:t>
            </w:r>
          </w:p>
        </w:tc>
        <w:tc>
          <w:tcPr>
            <w:tcW w:w="484" w:type="pct"/>
            <w:tcBorders>
              <w:top w:val="nil"/>
              <w:left w:val="nil"/>
              <w:bottom w:val="nil"/>
              <w:right w:val="nil"/>
            </w:tcBorders>
            <w:shd w:val="clear" w:color="auto" w:fill="auto"/>
            <w:noWrap/>
            <w:vAlign w:val="center"/>
            <w:hideMark/>
          </w:tcPr>
          <w:p w14:paraId="763BB31E"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22,9</w:t>
            </w:r>
          </w:p>
        </w:tc>
        <w:tc>
          <w:tcPr>
            <w:tcW w:w="484" w:type="pct"/>
            <w:tcBorders>
              <w:top w:val="nil"/>
              <w:left w:val="nil"/>
            </w:tcBorders>
            <w:shd w:val="clear" w:color="auto" w:fill="auto"/>
            <w:noWrap/>
            <w:vAlign w:val="center"/>
            <w:hideMark/>
          </w:tcPr>
          <w:p w14:paraId="6B537EC1"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24,1</w:t>
            </w:r>
          </w:p>
        </w:tc>
        <w:tc>
          <w:tcPr>
            <w:tcW w:w="466" w:type="pct"/>
            <w:tcBorders>
              <w:top w:val="nil"/>
              <w:right w:val="single" w:sz="4" w:space="0" w:color="auto"/>
            </w:tcBorders>
            <w:shd w:val="clear" w:color="auto" w:fill="auto"/>
            <w:noWrap/>
            <w:vAlign w:val="center"/>
            <w:hideMark/>
          </w:tcPr>
          <w:p w14:paraId="7D32B1DD"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1,2</w:t>
            </w:r>
          </w:p>
        </w:tc>
      </w:tr>
      <w:tr w:rsidR="009A05C7" w:rsidRPr="00973B5D" w14:paraId="359930FC" w14:textId="77777777" w:rsidTr="000240DA">
        <w:trPr>
          <w:trHeight w:val="280"/>
        </w:trPr>
        <w:tc>
          <w:tcPr>
            <w:tcW w:w="719" w:type="pct"/>
            <w:tcBorders>
              <w:top w:val="nil"/>
              <w:left w:val="single" w:sz="4" w:space="0" w:color="auto"/>
              <w:bottom w:val="single" w:sz="4" w:space="0" w:color="auto"/>
              <w:right w:val="nil"/>
            </w:tcBorders>
            <w:shd w:val="clear" w:color="auto" w:fill="auto"/>
            <w:noWrap/>
            <w:vAlign w:val="center"/>
            <w:hideMark/>
          </w:tcPr>
          <w:p w14:paraId="1A13C013" w14:textId="77777777" w:rsidR="009A05C7" w:rsidRPr="00973B5D" w:rsidRDefault="009A05C7" w:rsidP="000240DA">
            <w:pPr>
              <w:spacing w:after="0" w:line="240" w:lineRule="auto"/>
              <w:jc w:val="left"/>
              <w:rPr>
                <w:rFonts w:eastAsia="Times New Roman" w:cs="Times New Roman"/>
                <w:sz w:val="18"/>
                <w:szCs w:val="18"/>
                <w:lang w:eastAsia="sk-SK"/>
              </w:rPr>
            </w:pPr>
            <w:r w:rsidRPr="00973B5D">
              <w:rPr>
                <w:rFonts w:eastAsia="Times New Roman" w:cs="Times New Roman"/>
                <w:sz w:val="18"/>
                <w:szCs w:val="18"/>
                <w:lang w:eastAsia="sk-SK"/>
              </w:rPr>
              <w:t>Dánsko</w:t>
            </w:r>
          </w:p>
        </w:tc>
        <w:tc>
          <w:tcPr>
            <w:tcW w:w="411" w:type="pct"/>
            <w:tcBorders>
              <w:top w:val="nil"/>
              <w:left w:val="nil"/>
              <w:bottom w:val="single" w:sz="4" w:space="0" w:color="auto"/>
              <w:right w:val="nil"/>
            </w:tcBorders>
            <w:shd w:val="clear" w:color="auto" w:fill="auto"/>
            <w:noWrap/>
            <w:vAlign w:val="center"/>
            <w:hideMark/>
          </w:tcPr>
          <w:p w14:paraId="02BC67BB"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3,4</w:t>
            </w:r>
          </w:p>
        </w:tc>
        <w:tc>
          <w:tcPr>
            <w:tcW w:w="411" w:type="pct"/>
            <w:tcBorders>
              <w:top w:val="nil"/>
              <w:left w:val="nil"/>
              <w:bottom w:val="single" w:sz="4" w:space="0" w:color="auto"/>
              <w:right w:val="nil"/>
            </w:tcBorders>
            <w:shd w:val="clear" w:color="auto" w:fill="auto"/>
            <w:noWrap/>
            <w:vAlign w:val="center"/>
            <w:hideMark/>
          </w:tcPr>
          <w:p w14:paraId="10E427B6" w14:textId="77777777" w:rsidR="009A05C7" w:rsidRPr="00973B5D" w:rsidRDefault="009A05C7" w:rsidP="000240DA">
            <w:pPr>
              <w:spacing w:after="0" w:line="240" w:lineRule="auto"/>
              <w:ind w:firstLineChars="100" w:firstLine="180"/>
              <w:jc w:val="right"/>
              <w:rPr>
                <w:rFonts w:eastAsia="Times New Roman" w:cs="Times New Roman"/>
                <w:color w:val="000000"/>
                <w:sz w:val="18"/>
                <w:szCs w:val="18"/>
                <w:lang w:eastAsia="sk-SK"/>
              </w:rPr>
            </w:pPr>
            <w:r w:rsidRPr="00973B5D">
              <w:rPr>
                <w:rFonts w:eastAsia="Times New Roman" w:cs="Times New Roman"/>
                <w:color w:val="000000"/>
                <w:sz w:val="18"/>
                <w:szCs w:val="18"/>
                <w:lang w:eastAsia="sk-SK"/>
              </w:rPr>
              <w:t>3,3</w:t>
            </w:r>
          </w:p>
        </w:tc>
        <w:tc>
          <w:tcPr>
            <w:tcW w:w="411" w:type="pct"/>
            <w:tcBorders>
              <w:top w:val="nil"/>
              <w:left w:val="nil"/>
              <w:bottom w:val="single" w:sz="4" w:space="0" w:color="auto"/>
              <w:right w:val="nil"/>
            </w:tcBorders>
            <w:shd w:val="clear" w:color="auto" w:fill="auto"/>
            <w:noWrap/>
            <w:vAlign w:val="center"/>
            <w:hideMark/>
          </w:tcPr>
          <w:p w14:paraId="1BD41C22"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4,5</w:t>
            </w:r>
          </w:p>
        </w:tc>
        <w:tc>
          <w:tcPr>
            <w:tcW w:w="411" w:type="pct"/>
            <w:tcBorders>
              <w:top w:val="nil"/>
              <w:left w:val="nil"/>
              <w:bottom w:val="single" w:sz="4" w:space="0" w:color="auto"/>
              <w:right w:val="single" w:sz="4" w:space="0" w:color="auto"/>
            </w:tcBorders>
            <w:shd w:val="clear" w:color="auto" w:fill="auto"/>
            <w:noWrap/>
            <w:vAlign w:val="center"/>
            <w:hideMark/>
          </w:tcPr>
          <w:p w14:paraId="3347F282"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1,2</w:t>
            </w:r>
          </w:p>
        </w:tc>
        <w:tc>
          <w:tcPr>
            <w:tcW w:w="719" w:type="pct"/>
            <w:tcBorders>
              <w:top w:val="nil"/>
              <w:left w:val="nil"/>
              <w:bottom w:val="single" w:sz="4" w:space="0" w:color="auto"/>
              <w:right w:val="nil"/>
            </w:tcBorders>
            <w:shd w:val="clear" w:color="auto" w:fill="auto"/>
            <w:noWrap/>
            <w:vAlign w:val="center"/>
            <w:hideMark/>
          </w:tcPr>
          <w:p w14:paraId="6A2F3ADE" w14:textId="77777777" w:rsidR="009A05C7" w:rsidRPr="00201A56" w:rsidRDefault="009A05C7" w:rsidP="000240DA">
            <w:pPr>
              <w:spacing w:after="0" w:line="240" w:lineRule="auto"/>
              <w:jc w:val="left"/>
              <w:rPr>
                <w:rFonts w:eastAsia="Times New Roman" w:cs="Times New Roman"/>
                <w:sz w:val="18"/>
                <w:szCs w:val="18"/>
                <w:lang w:eastAsia="sk-SK"/>
              </w:rPr>
            </w:pPr>
            <w:r w:rsidRPr="00201A56">
              <w:rPr>
                <w:rFonts w:eastAsia="Times New Roman" w:cs="Times New Roman"/>
                <w:sz w:val="18"/>
                <w:szCs w:val="18"/>
                <w:lang w:eastAsia="sk-SK"/>
              </w:rPr>
              <w:t>Estónsko</w:t>
            </w:r>
          </w:p>
        </w:tc>
        <w:tc>
          <w:tcPr>
            <w:tcW w:w="484" w:type="pct"/>
            <w:tcBorders>
              <w:top w:val="nil"/>
              <w:left w:val="nil"/>
              <w:bottom w:val="single" w:sz="4" w:space="0" w:color="auto"/>
              <w:right w:val="nil"/>
            </w:tcBorders>
            <w:shd w:val="clear" w:color="auto" w:fill="auto"/>
            <w:noWrap/>
            <w:vAlign w:val="center"/>
            <w:hideMark/>
          </w:tcPr>
          <w:p w14:paraId="30F24817"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19,1</w:t>
            </w:r>
          </w:p>
        </w:tc>
        <w:tc>
          <w:tcPr>
            <w:tcW w:w="484" w:type="pct"/>
            <w:tcBorders>
              <w:top w:val="nil"/>
              <w:left w:val="nil"/>
              <w:bottom w:val="single" w:sz="4" w:space="0" w:color="auto"/>
              <w:right w:val="nil"/>
            </w:tcBorders>
            <w:shd w:val="clear" w:color="auto" w:fill="auto"/>
            <w:noWrap/>
            <w:vAlign w:val="center"/>
            <w:hideMark/>
          </w:tcPr>
          <w:p w14:paraId="59C47458"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20,2</w:t>
            </w:r>
          </w:p>
        </w:tc>
        <w:tc>
          <w:tcPr>
            <w:tcW w:w="484" w:type="pct"/>
            <w:tcBorders>
              <w:top w:val="nil"/>
              <w:left w:val="nil"/>
              <w:bottom w:val="single" w:sz="4" w:space="0" w:color="auto"/>
            </w:tcBorders>
            <w:shd w:val="clear" w:color="auto" w:fill="auto"/>
            <w:noWrap/>
            <w:vAlign w:val="center"/>
            <w:hideMark/>
          </w:tcPr>
          <w:p w14:paraId="60B03393"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23,6</w:t>
            </w:r>
          </w:p>
        </w:tc>
        <w:tc>
          <w:tcPr>
            <w:tcW w:w="466" w:type="pct"/>
            <w:tcBorders>
              <w:top w:val="nil"/>
              <w:bottom w:val="single" w:sz="4" w:space="0" w:color="auto"/>
              <w:right w:val="single" w:sz="4" w:space="0" w:color="auto"/>
            </w:tcBorders>
            <w:shd w:val="clear" w:color="auto" w:fill="auto"/>
            <w:noWrap/>
            <w:vAlign w:val="center"/>
            <w:hideMark/>
          </w:tcPr>
          <w:p w14:paraId="62B785E9" w14:textId="77777777" w:rsidR="009A05C7" w:rsidRPr="00201A56" w:rsidRDefault="009A05C7" w:rsidP="000240DA">
            <w:pPr>
              <w:spacing w:after="0" w:line="240" w:lineRule="auto"/>
              <w:ind w:firstLineChars="100" w:firstLine="180"/>
              <w:jc w:val="right"/>
              <w:rPr>
                <w:rFonts w:eastAsia="Times New Roman" w:cs="Times New Roman"/>
                <w:sz w:val="18"/>
                <w:szCs w:val="18"/>
                <w:lang w:eastAsia="sk-SK"/>
              </w:rPr>
            </w:pPr>
            <w:r w:rsidRPr="00201A56">
              <w:rPr>
                <w:rFonts w:eastAsia="Times New Roman" w:cs="Times New Roman"/>
                <w:sz w:val="18"/>
                <w:szCs w:val="18"/>
                <w:lang w:eastAsia="sk-SK"/>
              </w:rPr>
              <w:t>3,4</w:t>
            </w:r>
          </w:p>
        </w:tc>
      </w:tr>
    </w:tbl>
    <w:p w14:paraId="50F8F841" w14:textId="17747DCB" w:rsidR="009A05C7" w:rsidRPr="00323EB7" w:rsidRDefault="009A05C7" w:rsidP="009A05C7">
      <w:pPr>
        <w:tabs>
          <w:tab w:val="left" w:pos="714"/>
          <w:tab w:val="right" w:pos="9214"/>
        </w:tabs>
        <w:spacing w:line="240" w:lineRule="auto"/>
        <w:jc w:val="left"/>
        <w:rPr>
          <w:rFonts w:eastAsia="Times New Roman" w:cs="Times New Roman"/>
          <w:iCs/>
          <w:color w:val="000000"/>
          <w:sz w:val="18"/>
          <w:szCs w:val="18"/>
          <w:lang w:eastAsia="sk-SK"/>
        </w:rPr>
      </w:pPr>
      <w:r>
        <w:rPr>
          <w:rFonts w:eastAsia="Times New Roman" w:cs="Times New Roman"/>
          <w:iCs/>
          <w:color w:val="000000"/>
          <w:sz w:val="16"/>
          <w:szCs w:val="16"/>
          <w:lang w:eastAsia="sk-SK"/>
        </w:rPr>
        <w:tab/>
        <w:t xml:space="preserve">                                                                                                                                                                  </w:t>
      </w:r>
      <w:r w:rsidR="00C35517">
        <w:rPr>
          <w:rFonts w:eastAsia="Times New Roman" w:cs="Times New Roman"/>
          <w:iCs/>
          <w:color w:val="000000"/>
          <w:sz w:val="16"/>
          <w:szCs w:val="16"/>
          <w:lang w:eastAsia="sk-SK"/>
        </w:rPr>
        <w:t xml:space="preserve">          </w:t>
      </w:r>
      <w:r>
        <w:rPr>
          <w:rFonts w:eastAsia="Times New Roman" w:cs="Times New Roman"/>
          <w:iCs/>
          <w:color w:val="000000"/>
          <w:sz w:val="16"/>
          <w:szCs w:val="16"/>
          <w:lang w:eastAsia="sk-SK"/>
        </w:rPr>
        <w:t xml:space="preserve">     </w:t>
      </w:r>
      <w:r w:rsidRPr="00973B5D">
        <w:rPr>
          <w:rFonts w:cs="Times New Roman"/>
          <w:sz w:val="18"/>
          <w:szCs w:val="18"/>
        </w:rPr>
        <w:t>Zdroj: Eurostat</w:t>
      </w:r>
    </w:p>
    <w:p w14:paraId="7A58C51A" w14:textId="4C84FF1A" w:rsidR="009A05C7" w:rsidRPr="00323EB7" w:rsidRDefault="009A05C7" w:rsidP="009A05C7">
      <w:pPr>
        <w:pStyle w:val="Odsekzoznamu"/>
        <w:numPr>
          <w:ilvl w:val="0"/>
          <w:numId w:val="26"/>
        </w:numPr>
        <w:spacing w:after="160" w:line="259" w:lineRule="auto"/>
        <w:ind w:left="142" w:hanging="142"/>
        <w:rPr>
          <w:sz w:val="24"/>
          <w:szCs w:val="24"/>
        </w:rPr>
      </w:pPr>
      <w:r w:rsidRPr="00323EB7">
        <w:rPr>
          <w:rFonts w:ascii="Times New Roman" w:eastAsia="Times New Roman" w:hAnsi="Times New Roman"/>
          <w:iCs/>
          <w:color w:val="000000"/>
          <w:sz w:val="18"/>
          <w:szCs w:val="18"/>
          <w:lang w:eastAsia="sk-SK"/>
        </w:rPr>
        <w:t xml:space="preserve">Predchádzajúce obdobia sú zrevidované podľa aktuálneho press release (22.4.2025). Údaje sú usporiadané podľa poradia deficitu/dlhu v poslednom sledovanom období od najvyššieho (vzostupne). </w:t>
      </w:r>
    </w:p>
    <w:p w14:paraId="08087D6F" w14:textId="67C8940D" w:rsidR="009A05C7" w:rsidRPr="00C5676D" w:rsidRDefault="009A05C7" w:rsidP="009A05C7">
      <w:pPr>
        <w:spacing w:line="240" w:lineRule="auto"/>
        <w:rPr>
          <w:sz w:val="24"/>
          <w:szCs w:val="24"/>
        </w:rPr>
      </w:pPr>
      <w:r w:rsidRPr="00E9699E">
        <w:rPr>
          <w:rFonts w:cs="Times New Roman"/>
          <w:sz w:val="24"/>
          <w:szCs w:val="24"/>
        </w:rPr>
        <w:lastRenderedPageBreak/>
        <w:t>V rámci krajín EÚ 27 došlo k nárastu HDP o 741 514 mil. eur (o</w:t>
      </w:r>
      <w:r w:rsidR="00083DC3">
        <w:rPr>
          <w:rFonts w:cs="Times New Roman"/>
          <w:sz w:val="24"/>
          <w:szCs w:val="24"/>
        </w:rPr>
        <w:t> </w:t>
      </w:r>
      <w:r w:rsidRPr="00E9699E">
        <w:rPr>
          <w:rFonts w:cs="Times New Roman"/>
          <w:sz w:val="24"/>
          <w:szCs w:val="24"/>
        </w:rPr>
        <w:t>4,3 %) a nár</w:t>
      </w:r>
      <w:r w:rsidR="00C0056F">
        <w:rPr>
          <w:rFonts w:cs="Times New Roman"/>
          <w:sz w:val="24"/>
          <w:szCs w:val="24"/>
        </w:rPr>
        <w:t>astu dlhu o 642 45</w:t>
      </w:r>
      <w:r w:rsidR="00083DC3">
        <w:rPr>
          <w:rFonts w:cs="Times New Roman"/>
          <w:sz w:val="24"/>
          <w:szCs w:val="24"/>
        </w:rPr>
        <w:t>7 mil. eur (o </w:t>
      </w:r>
      <w:r w:rsidRPr="00E9699E">
        <w:rPr>
          <w:rFonts w:cs="Times New Roman"/>
          <w:sz w:val="24"/>
          <w:szCs w:val="24"/>
        </w:rPr>
        <w:t>4,6 %). Slovenská republika dosiahla v porovnaní s priemerom krajín EÚ aj Eurozóny horšie</w:t>
      </w:r>
      <w:r w:rsidRPr="00C5676D">
        <w:rPr>
          <w:sz w:val="24"/>
          <w:szCs w:val="24"/>
        </w:rPr>
        <w:t xml:space="preserve"> hodnoty </w:t>
      </w:r>
      <w:r w:rsidRPr="0097479D">
        <w:rPr>
          <w:sz w:val="24"/>
          <w:szCs w:val="24"/>
        </w:rPr>
        <w:t>deficitu a priemerné hodnoty dlhu.</w:t>
      </w:r>
    </w:p>
    <w:p w14:paraId="48C0B356" w14:textId="77777777" w:rsidR="009A05C7" w:rsidRDefault="009A05C7" w:rsidP="009A05C7">
      <w:pPr>
        <w:spacing w:line="240" w:lineRule="auto"/>
        <w:rPr>
          <w:sz w:val="24"/>
          <w:szCs w:val="24"/>
          <w:highlight w:val="yellow"/>
        </w:rPr>
      </w:pPr>
      <w:r w:rsidRPr="00AE6A37">
        <w:rPr>
          <w:sz w:val="24"/>
          <w:szCs w:val="24"/>
        </w:rPr>
        <w:t xml:space="preserve">V roku 2024 v Eurozóne </w:t>
      </w:r>
      <w:r w:rsidRPr="00780020">
        <w:rPr>
          <w:sz w:val="24"/>
          <w:szCs w:val="24"/>
        </w:rPr>
        <w:t>(20) ako aj v rámci všetkých krajín EU v porovnaní s rokom 2023 percentuálne poklesol vládny schodok a mierne vzrástol vládny dlh.</w:t>
      </w:r>
    </w:p>
    <w:p w14:paraId="23ACC3EF" w14:textId="77777777" w:rsidR="009A05C7" w:rsidRPr="00B132E5" w:rsidRDefault="009A05C7" w:rsidP="009A05C7">
      <w:pPr>
        <w:spacing w:line="240" w:lineRule="auto"/>
        <w:rPr>
          <w:sz w:val="24"/>
          <w:szCs w:val="24"/>
        </w:rPr>
      </w:pPr>
      <w:r w:rsidRPr="00B132E5">
        <w:rPr>
          <w:sz w:val="24"/>
          <w:szCs w:val="24"/>
        </w:rPr>
        <w:t>V Eurozóne (20) podiel deficitu k HDP klesol zo 3,5</w:t>
      </w:r>
      <w:r>
        <w:rPr>
          <w:sz w:val="24"/>
          <w:szCs w:val="24"/>
        </w:rPr>
        <w:t> </w:t>
      </w:r>
      <w:r w:rsidRPr="00B132E5">
        <w:rPr>
          <w:sz w:val="24"/>
          <w:szCs w:val="24"/>
        </w:rPr>
        <w:t>% v roku 2023 na 3,1</w:t>
      </w:r>
      <w:r>
        <w:rPr>
          <w:sz w:val="24"/>
          <w:szCs w:val="24"/>
        </w:rPr>
        <w:t> </w:t>
      </w:r>
      <w:r w:rsidRPr="00B132E5">
        <w:rPr>
          <w:sz w:val="24"/>
          <w:szCs w:val="24"/>
        </w:rPr>
        <w:t>% HDP v roku 2024</w:t>
      </w:r>
      <w:r>
        <w:rPr>
          <w:sz w:val="24"/>
          <w:szCs w:val="24"/>
        </w:rPr>
        <w:t xml:space="preserve"> (t. j. zlepšenie o </w:t>
      </w:r>
      <w:r w:rsidRPr="00B132E5">
        <w:rPr>
          <w:sz w:val="24"/>
          <w:szCs w:val="24"/>
        </w:rPr>
        <w:t>0,4</w:t>
      </w:r>
      <w:r>
        <w:rPr>
          <w:sz w:val="24"/>
          <w:szCs w:val="24"/>
        </w:rPr>
        <w:t> p. </w:t>
      </w:r>
      <w:r w:rsidRPr="00B132E5">
        <w:rPr>
          <w:sz w:val="24"/>
          <w:szCs w:val="24"/>
        </w:rPr>
        <w:t xml:space="preserve">b.) a v rámci EÚ </w:t>
      </w:r>
      <w:r>
        <w:rPr>
          <w:sz w:val="24"/>
          <w:szCs w:val="24"/>
        </w:rPr>
        <w:t>kleso</w:t>
      </w:r>
      <w:r w:rsidRPr="00B132E5">
        <w:rPr>
          <w:sz w:val="24"/>
          <w:szCs w:val="24"/>
        </w:rPr>
        <w:t>l z 3,5 % HDP na 3,2</w:t>
      </w:r>
      <w:r>
        <w:rPr>
          <w:sz w:val="24"/>
          <w:szCs w:val="24"/>
        </w:rPr>
        <w:t> </w:t>
      </w:r>
      <w:r w:rsidRPr="00B132E5">
        <w:rPr>
          <w:sz w:val="24"/>
          <w:szCs w:val="24"/>
        </w:rPr>
        <w:t>% HDP (t.</w:t>
      </w:r>
      <w:r>
        <w:rPr>
          <w:sz w:val="24"/>
          <w:szCs w:val="24"/>
        </w:rPr>
        <w:t> </w:t>
      </w:r>
      <w:r w:rsidRPr="00B132E5">
        <w:rPr>
          <w:sz w:val="24"/>
          <w:szCs w:val="24"/>
        </w:rPr>
        <w:t xml:space="preserve">j. </w:t>
      </w:r>
      <w:r>
        <w:rPr>
          <w:sz w:val="24"/>
          <w:szCs w:val="24"/>
        </w:rPr>
        <w:t>zlep</w:t>
      </w:r>
      <w:r w:rsidRPr="00B132E5">
        <w:rPr>
          <w:sz w:val="24"/>
          <w:szCs w:val="24"/>
        </w:rPr>
        <w:t>šenie o 0,3 </w:t>
      </w:r>
      <w:r>
        <w:rPr>
          <w:sz w:val="24"/>
          <w:szCs w:val="24"/>
        </w:rPr>
        <w:t>p. </w:t>
      </w:r>
      <w:r w:rsidRPr="00B132E5">
        <w:rPr>
          <w:sz w:val="24"/>
          <w:szCs w:val="24"/>
        </w:rPr>
        <w:t>b.).</w:t>
      </w:r>
    </w:p>
    <w:p w14:paraId="139ECF47" w14:textId="74BAC947" w:rsidR="00087221" w:rsidRDefault="009A05C7" w:rsidP="003B03E0">
      <w:pPr>
        <w:spacing w:line="240" w:lineRule="auto"/>
        <w:rPr>
          <w:sz w:val="24"/>
          <w:szCs w:val="24"/>
        </w:rPr>
      </w:pPr>
      <w:r w:rsidRPr="00B132E5">
        <w:rPr>
          <w:sz w:val="24"/>
          <w:szCs w:val="24"/>
        </w:rPr>
        <w:t xml:space="preserve">V Eurozóne (20) podiel vládneho dlhu k HDP </w:t>
      </w:r>
      <w:r>
        <w:rPr>
          <w:sz w:val="24"/>
          <w:szCs w:val="24"/>
        </w:rPr>
        <w:t>vzrástol</w:t>
      </w:r>
      <w:r w:rsidRPr="00B132E5">
        <w:rPr>
          <w:sz w:val="24"/>
          <w:szCs w:val="24"/>
        </w:rPr>
        <w:t xml:space="preserve"> z 87,3 % ku koncu roka 2023</w:t>
      </w:r>
      <w:r>
        <w:rPr>
          <w:sz w:val="24"/>
          <w:szCs w:val="24"/>
        </w:rPr>
        <w:t xml:space="preserve"> na </w:t>
      </w:r>
      <w:r w:rsidRPr="00B132E5">
        <w:rPr>
          <w:sz w:val="24"/>
          <w:szCs w:val="24"/>
        </w:rPr>
        <w:t>87,4 % HDP ku koncu roka 2024</w:t>
      </w:r>
      <w:r>
        <w:rPr>
          <w:sz w:val="24"/>
          <w:szCs w:val="24"/>
        </w:rPr>
        <w:t xml:space="preserve"> (t. </w:t>
      </w:r>
      <w:r w:rsidRPr="00B132E5">
        <w:rPr>
          <w:sz w:val="24"/>
          <w:szCs w:val="24"/>
        </w:rPr>
        <w:t>j. z</w:t>
      </w:r>
      <w:r>
        <w:rPr>
          <w:sz w:val="24"/>
          <w:szCs w:val="24"/>
        </w:rPr>
        <w:t>hor</w:t>
      </w:r>
      <w:r w:rsidRPr="00B132E5">
        <w:rPr>
          <w:sz w:val="24"/>
          <w:szCs w:val="24"/>
        </w:rPr>
        <w:t>šenie o 0,1</w:t>
      </w:r>
      <w:r>
        <w:rPr>
          <w:sz w:val="24"/>
          <w:szCs w:val="24"/>
        </w:rPr>
        <w:t> </w:t>
      </w:r>
      <w:r w:rsidRPr="00B132E5">
        <w:rPr>
          <w:sz w:val="24"/>
          <w:szCs w:val="24"/>
        </w:rPr>
        <w:t>p.</w:t>
      </w:r>
      <w:r>
        <w:rPr>
          <w:sz w:val="24"/>
          <w:szCs w:val="24"/>
        </w:rPr>
        <w:t> </w:t>
      </w:r>
      <w:r w:rsidRPr="00B132E5">
        <w:rPr>
          <w:sz w:val="24"/>
          <w:szCs w:val="24"/>
        </w:rPr>
        <w:t>b.) a v rámci EÚ vzrástol dlh z</w:t>
      </w:r>
      <w:r w:rsidR="00927B94">
        <w:rPr>
          <w:sz w:val="24"/>
          <w:szCs w:val="24"/>
        </w:rPr>
        <w:t> </w:t>
      </w:r>
      <w:r w:rsidRPr="00B132E5">
        <w:rPr>
          <w:sz w:val="24"/>
          <w:szCs w:val="24"/>
        </w:rPr>
        <w:t>úrovne 80,8 % HDP na 81,0</w:t>
      </w:r>
      <w:r>
        <w:rPr>
          <w:sz w:val="24"/>
          <w:szCs w:val="24"/>
        </w:rPr>
        <w:t> % HDP (t. </w:t>
      </w:r>
      <w:r w:rsidRPr="00B132E5">
        <w:rPr>
          <w:sz w:val="24"/>
          <w:szCs w:val="24"/>
        </w:rPr>
        <w:t>j. zhoršenie o 0,2</w:t>
      </w:r>
      <w:r>
        <w:rPr>
          <w:sz w:val="24"/>
          <w:szCs w:val="24"/>
        </w:rPr>
        <w:t> p. </w:t>
      </w:r>
      <w:r w:rsidRPr="00B132E5">
        <w:rPr>
          <w:sz w:val="24"/>
          <w:szCs w:val="24"/>
        </w:rPr>
        <w:t>b.).</w:t>
      </w:r>
    </w:p>
    <w:p w14:paraId="601594CE" w14:textId="7797AE46" w:rsidR="00F72725" w:rsidRDefault="00F72725">
      <w:pPr>
        <w:spacing w:after="160" w:line="259" w:lineRule="auto"/>
        <w:jc w:val="left"/>
        <w:rPr>
          <w:sz w:val="24"/>
          <w:szCs w:val="24"/>
          <w:highlight w:val="yellow"/>
        </w:rPr>
      </w:pPr>
      <w:r>
        <w:rPr>
          <w:sz w:val="24"/>
          <w:szCs w:val="24"/>
          <w:highlight w:val="yellow"/>
        </w:rPr>
        <w:br w:type="page"/>
      </w:r>
    </w:p>
    <w:p w14:paraId="25C934C7" w14:textId="24986CE5" w:rsidR="008254BE" w:rsidRPr="0020774D" w:rsidRDefault="008254BE" w:rsidP="008D5E94">
      <w:pPr>
        <w:pStyle w:val="Nadpis1"/>
        <w:ind w:left="709"/>
      </w:pPr>
      <w:bookmarkStart w:id="84" w:name="_Toc196314131"/>
      <w:r w:rsidRPr="0020774D">
        <w:lastRenderedPageBreak/>
        <w:t>Hospodárenie štátneho rozpočtu na hotovostn</w:t>
      </w:r>
      <w:r w:rsidR="00476126" w:rsidRPr="0020774D">
        <w:t>om</w:t>
      </w:r>
      <w:r w:rsidRPr="0020774D">
        <w:t xml:space="preserve"> </w:t>
      </w:r>
      <w:r w:rsidR="00476126" w:rsidRPr="0020774D">
        <w:t>princípe</w:t>
      </w:r>
      <w:bookmarkEnd w:id="34"/>
      <w:bookmarkEnd w:id="84"/>
    </w:p>
    <w:p w14:paraId="6F3C3E28" w14:textId="328A4092" w:rsidR="004D69BF" w:rsidRPr="00F00311" w:rsidRDefault="004D69BF" w:rsidP="004D69BF">
      <w:pPr>
        <w:spacing w:line="240" w:lineRule="auto"/>
        <w:rPr>
          <w:sz w:val="24"/>
          <w:szCs w:val="24"/>
        </w:rPr>
      </w:pPr>
      <w:r w:rsidRPr="00F00311">
        <w:rPr>
          <w:sz w:val="24"/>
          <w:szCs w:val="24"/>
        </w:rPr>
        <w:t>Štátny rozpočet je základnou súčasťou rozpočtu verejnej správy a zabezpečuje sa ním financovanie hlavných funkcií štátu v príslušnom rozpočtovom roku. Štátny rozpočet schvaľuje parlament zákonom o štátnom rozpočte, ktorým sa určuje najmä výška príjmov štátneho rozpočtu, limit výdavkov štátneho rozpočtu, maximálna výška rozpočtovaného schodku alebo minimálna výška rozpočtovaného prebytku štátne</w:t>
      </w:r>
      <w:r w:rsidR="00134CE1">
        <w:rPr>
          <w:sz w:val="24"/>
          <w:szCs w:val="24"/>
        </w:rPr>
        <w:t>ho rozpočtu, ak nie sú príjmy a </w:t>
      </w:r>
      <w:r w:rsidRPr="00F00311">
        <w:rPr>
          <w:sz w:val="24"/>
          <w:szCs w:val="24"/>
        </w:rPr>
        <w:t>výdavky vyrovnané.</w:t>
      </w:r>
    </w:p>
    <w:p w14:paraId="75296449" w14:textId="4CBAA80B" w:rsidR="004D69BF" w:rsidRPr="00F00311" w:rsidRDefault="004D69BF" w:rsidP="004D69BF">
      <w:pPr>
        <w:spacing w:line="240" w:lineRule="auto"/>
        <w:rPr>
          <w:sz w:val="24"/>
          <w:szCs w:val="24"/>
        </w:rPr>
      </w:pPr>
      <w:r w:rsidRPr="00F00311">
        <w:rPr>
          <w:sz w:val="24"/>
          <w:szCs w:val="24"/>
        </w:rPr>
        <w:t>Plnenie príjmov štátneho rozpočtu, ako aj realizácia výdavkov štátneho rozpočtu v</w:t>
      </w:r>
      <w:r w:rsidR="0070263C">
        <w:rPr>
          <w:sz w:val="24"/>
          <w:szCs w:val="24"/>
        </w:rPr>
        <w:t> </w:t>
      </w:r>
      <w:r w:rsidRPr="00F00311">
        <w:rPr>
          <w:sz w:val="24"/>
          <w:szCs w:val="24"/>
        </w:rPr>
        <w:t>hotovostnom vyjadrení významne ovplyvňuje aj hospodárenie celej verejnej správy v</w:t>
      </w:r>
      <w:r w:rsidR="0070263C">
        <w:rPr>
          <w:sz w:val="24"/>
          <w:szCs w:val="24"/>
        </w:rPr>
        <w:t> </w:t>
      </w:r>
      <w:r w:rsidRPr="00F00311">
        <w:rPr>
          <w:sz w:val="24"/>
          <w:szCs w:val="24"/>
        </w:rPr>
        <w:t>metodike ESA 2010. Legislatívne zmeny, prijaté opatrenia a zámery vlády</w:t>
      </w:r>
      <w:r w:rsidR="00134CE1">
        <w:rPr>
          <w:sz w:val="24"/>
          <w:szCs w:val="24"/>
        </w:rPr>
        <w:t xml:space="preserve"> SR uvedené v</w:t>
      </w:r>
      <w:r w:rsidR="0070263C">
        <w:rPr>
          <w:sz w:val="24"/>
          <w:szCs w:val="24"/>
        </w:rPr>
        <w:t> </w:t>
      </w:r>
      <w:r w:rsidR="00134CE1">
        <w:rPr>
          <w:sz w:val="24"/>
          <w:szCs w:val="24"/>
        </w:rPr>
        <w:t>kapitole 2, sa vo </w:t>
      </w:r>
      <w:r w:rsidRPr="00F00311">
        <w:rPr>
          <w:sz w:val="24"/>
          <w:szCs w:val="24"/>
        </w:rPr>
        <w:t>väčšine prípadov realizujú práve cez príjmy a výdavky štátneho rozpočtu (napr. financovanie podporných schém</w:t>
      </w:r>
      <w:r>
        <w:rPr>
          <w:sz w:val="24"/>
          <w:szCs w:val="24"/>
        </w:rPr>
        <w:t xml:space="preserve">, valorizácia platov a odmeňovanie vo verejnej správe, poskytovanie grantov a transferov </w:t>
      </w:r>
      <w:r w:rsidRPr="00F00311">
        <w:rPr>
          <w:sz w:val="24"/>
          <w:szCs w:val="24"/>
        </w:rPr>
        <w:t>a podobne).</w:t>
      </w:r>
    </w:p>
    <w:p w14:paraId="4FF94A1E" w14:textId="2176D462" w:rsidR="004D69BF" w:rsidRPr="00F00311" w:rsidRDefault="004D69BF" w:rsidP="004D69BF">
      <w:pPr>
        <w:spacing w:line="240" w:lineRule="auto"/>
        <w:rPr>
          <w:sz w:val="24"/>
          <w:szCs w:val="24"/>
        </w:rPr>
      </w:pPr>
      <w:r w:rsidRPr="00F00311">
        <w:rPr>
          <w:sz w:val="24"/>
          <w:szCs w:val="24"/>
        </w:rPr>
        <w:t>Schválený rozpo</w:t>
      </w:r>
      <w:r w:rsidR="00134CE1">
        <w:rPr>
          <w:sz w:val="24"/>
          <w:szCs w:val="24"/>
        </w:rPr>
        <w:t>čet je uvádzaný podľa zákona č. </w:t>
      </w:r>
      <w:r w:rsidRPr="00F00311">
        <w:rPr>
          <w:sz w:val="24"/>
          <w:szCs w:val="24"/>
        </w:rPr>
        <w:t>5</w:t>
      </w:r>
      <w:r>
        <w:rPr>
          <w:sz w:val="24"/>
          <w:szCs w:val="24"/>
        </w:rPr>
        <w:t>34</w:t>
      </w:r>
      <w:r w:rsidRPr="00F00311">
        <w:rPr>
          <w:sz w:val="24"/>
          <w:szCs w:val="24"/>
        </w:rPr>
        <w:t>/202</w:t>
      </w:r>
      <w:r>
        <w:rPr>
          <w:sz w:val="24"/>
          <w:szCs w:val="24"/>
        </w:rPr>
        <w:t>3</w:t>
      </w:r>
      <w:r w:rsidR="00134CE1">
        <w:rPr>
          <w:sz w:val="24"/>
          <w:szCs w:val="24"/>
        </w:rPr>
        <w:t> </w:t>
      </w:r>
      <w:r w:rsidRPr="00F00311">
        <w:rPr>
          <w:sz w:val="24"/>
          <w:szCs w:val="24"/>
        </w:rPr>
        <w:t>Z.</w:t>
      </w:r>
      <w:r w:rsidR="00134CE1">
        <w:rPr>
          <w:sz w:val="24"/>
          <w:szCs w:val="24"/>
        </w:rPr>
        <w:t> </w:t>
      </w:r>
      <w:r w:rsidRPr="00F00311">
        <w:rPr>
          <w:sz w:val="24"/>
          <w:szCs w:val="24"/>
        </w:rPr>
        <w:t>z. o štátnom rozpočte na</w:t>
      </w:r>
      <w:r w:rsidR="0070263C">
        <w:rPr>
          <w:sz w:val="24"/>
          <w:szCs w:val="24"/>
        </w:rPr>
        <w:t> </w:t>
      </w:r>
      <w:r w:rsidRPr="00F00311">
        <w:rPr>
          <w:sz w:val="24"/>
          <w:szCs w:val="24"/>
        </w:rPr>
        <w:t>rok 202</w:t>
      </w:r>
      <w:r>
        <w:rPr>
          <w:sz w:val="24"/>
          <w:szCs w:val="24"/>
        </w:rPr>
        <w:t>4</w:t>
      </w:r>
      <w:r w:rsidRPr="00F00311">
        <w:rPr>
          <w:sz w:val="24"/>
          <w:szCs w:val="24"/>
        </w:rPr>
        <w:t xml:space="preserve"> (ďalej len „zákon o štátnom rozpočte“)</w:t>
      </w:r>
      <w:r>
        <w:rPr>
          <w:sz w:val="24"/>
          <w:szCs w:val="24"/>
        </w:rPr>
        <w:t>, s</w:t>
      </w:r>
      <w:r w:rsidR="00134CE1">
        <w:rPr>
          <w:sz w:val="24"/>
          <w:szCs w:val="24"/>
        </w:rPr>
        <w:t>chváleným Národnou radou SR 21. </w:t>
      </w:r>
      <w:r>
        <w:rPr>
          <w:sz w:val="24"/>
          <w:szCs w:val="24"/>
        </w:rPr>
        <w:t>decembra 2023.</w:t>
      </w:r>
    </w:p>
    <w:p w14:paraId="299D35A5" w14:textId="6724055D" w:rsidR="004D69BF" w:rsidRPr="00F00311" w:rsidRDefault="004D69BF" w:rsidP="004D69BF">
      <w:pPr>
        <w:spacing w:line="240" w:lineRule="auto"/>
        <w:rPr>
          <w:sz w:val="24"/>
          <w:szCs w:val="24"/>
        </w:rPr>
      </w:pPr>
      <w:r w:rsidRPr="00E21F53">
        <w:rPr>
          <w:b/>
          <w:bCs/>
          <w:sz w:val="24"/>
          <w:szCs w:val="24"/>
        </w:rPr>
        <w:t>Schodok štátneho rozpočtu na hotovostnej báze bol r</w:t>
      </w:r>
      <w:r w:rsidR="00134CE1">
        <w:rPr>
          <w:b/>
          <w:bCs/>
          <w:sz w:val="24"/>
          <w:szCs w:val="24"/>
        </w:rPr>
        <w:t>ozpočtovaný na úrovni 7 615 931 </w:t>
      </w:r>
      <w:r w:rsidRPr="00E21F53">
        <w:rPr>
          <w:b/>
          <w:bCs/>
          <w:sz w:val="24"/>
          <w:szCs w:val="24"/>
        </w:rPr>
        <w:t>tis.</w:t>
      </w:r>
      <w:r w:rsidR="00134CE1">
        <w:rPr>
          <w:b/>
          <w:bCs/>
          <w:sz w:val="24"/>
          <w:szCs w:val="24"/>
        </w:rPr>
        <w:t> </w:t>
      </w:r>
      <w:r w:rsidRPr="00E21F53">
        <w:rPr>
          <w:b/>
          <w:bCs/>
          <w:sz w:val="24"/>
          <w:szCs w:val="24"/>
        </w:rPr>
        <w:t>eur a v skutočnosti dosiahol 6 366</w:t>
      </w:r>
      <w:r w:rsidR="00134CE1">
        <w:rPr>
          <w:b/>
          <w:bCs/>
          <w:sz w:val="24"/>
          <w:szCs w:val="24"/>
        </w:rPr>
        <w:t> </w:t>
      </w:r>
      <w:r w:rsidRPr="00E21F53">
        <w:rPr>
          <w:b/>
          <w:bCs/>
          <w:sz w:val="24"/>
          <w:szCs w:val="24"/>
        </w:rPr>
        <w:t>120</w:t>
      </w:r>
      <w:r w:rsidR="00134CE1">
        <w:rPr>
          <w:b/>
          <w:bCs/>
          <w:sz w:val="24"/>
          <w:szCs w:val="24"/>
        </w:rPr>
        <w:t> </w:t>
      </w:r>
      <w:r w:rsidRPr="00E21F53">
        <w:rPr>
          <w:b/>
          <w:bCs/>
          <w:sz w:val="24"/>
          <w:szCs w:val="24"/>
        </w:rPr>
        <w:t>tis.</w:t>
      </w:r>
      <w:r w:rsidR="00134CE1">
        <w:rPr>
          <w:b/>
          <w:bCs/>
          <w:sz w:val="24"/>
          <w:szCs w:val="24"/>
        </w:rPr>
        <w:t> </w:t>
      </w:r>
      <w:r w:rsidRPr="00E21F53">
        <w:rPr>
          <w:b/>
          <w:bCs/>
          <w:sz w:val="24"/>
          <w:szCs w:val="24"/>
        </w:rPr>
        <w:t>eur.</w:t>
      </w:r>
      <w:r>
        <w:rPr>
          <w:sz w:val="24"/>
          <w:szCs w:val="24"/>
        </w:rPr>
        <w:t xml:space="preserve"> Dosiahnutý schodok </w:t>
      </w:r>
      <w:r w:rsidRPr="00F00311">
        <w:rPr>
          <w:sz w:val="24"/>
          <w:szCs w:val="24"/>
        </w:rPr>
        <w:t>je vo</w:t>
      </w:r>
      <w:r w:rsidR="00134CE1">
        <w:rPr>
          <w:sz w:val="24"/>
          <w:szCs w:val="24"/>
        </w:rPr>
        <w:t> </w:t>
      </w:r>
      <w:r w:rsidRPr="00F00311">
        <w:rPr>
          <w:sz w:val="24"/>
          <w:szCs w:val="24"/>
        </w:rPr>
        <w:t>vzťahu k schválenému rozpočtu nižší o</w:t>
      </w:r>
      <w:r w:rsidR="00134CE1">
        <w:rPr>
          <w:sz w:val="24"/>
          <w:szCs w:val="24"/>
        </w:rPr>
        <w:t> 1 249 811 tis. </w:t>
      </w:r>
      <w:r>
        <w:rPr>
          <w:sz w:val="24"/>
          <w:szCs w:val="24"/>
        </w:rPr>
        <w:t>eur</w:t>
      </w:r>
      <w:r w:rsidRPr="00F00311">
        <w:rPr>
          <w:sz w:val="24"/>
          <w:szCs w:val="24"/>
        </w:rPr>
        <w:t xml:space="preserve"> a vo vzťahu k upravenému rozpočtu je vykázaný schodok nižší o</w:t>
      </w:r>
      <w:r>
        <w:rPr>
          <w:sz w:val="24"/>
          <w:szCs w:val="24"/>
        </w:rPr>
        <w:t> 1 311</w:t>
      </w:r>
      <w:r w:rsidR="00134CE1">
        <w:rPr>
          <w:sz w:val="24"/>
          <w:szCs w:val="24"/>
        </w:rPr>
        <w:t> </w:t>
      </w:r>
      <w:r>
        <w:rPr>
          <w:sz w:val="24"/>
          <w:szCs w:val="24"/>
        </w:rPr>
        <w:t>071</w:t>
      </w:r>
      <w:r w:rsidR="00134CE1">
        <w:rPr>
          <w:sz w:val="24"/>
          <w:szCs w:val="24"/>
        </w:rPr>
        <w:t> </w:t>
      </w:r>
      <w:r w:rsidRPr="00F00311">
        <w:rPr>
          <w:sz w:val="24"/>
          <w:szCs w:val="24"/>
        </w:rPr>
        <w:t>tis. eur.</w:t>
      </w:r>
    </w:p>
    <w:p w14:paraId="0F1FBF21" w14:textId="5F2FFFCB" w:rsidR="004D69BF" w:rsidRPr="00F00311" w:rsidRDefault="004D69BF" w:rsidP="004D69BF">
      <w:pPr>
        <w:spacing w:line="240" w:lineRule="auto"/>
        <w:rPr>
          <w:rFonts w:ascii="Calibri" w:eastAsia="Times New Roman" w:hAnsi="Calibri" w:cs="Calibri"/>
          <w:color w:val="000000"/>
          <w:lang w:eastAsia="sk-SK"/>
        </w:rPr>
      </w:pPr>
      <w:r w:rsidRPr="00F00311">
        <w:rPr>
          <w:sz w:val="24"/>
          <w:szCs w:val="24"/>
        </w:rPr>
        <w:t xml:space="preserve">Skutočné dosiahnuté hotovostné príjmy štátneho rozpočtu vo výške </w:t>
      </w:r>
      <w:r w:rsidR="00145663">
        <w:rPr>
          <w:sz w:val="24"/>
          <w:szCs w:val="24"/>
        </w:rPr>
        <w:t>24 457 </w:t>
      </w:r>
      <w:r>
        <w:rPr>
          <w:sz w:val="24"/>
          <w:szCs w:val="24"/>
        </w:rPr>
        <w:t>784</w:t>
      </w:r>
      <w:r w:rsidRPr="00F00311">
        <w:rPr>
          <w:sz w:val="24"/>
          <w:szCs w:val="24"/>
        </w:rPr>
        <w:t xml:space="preserve"> tis. eur boli oproti schválenému rozpočtu </w:t>
      </w:r>
      <w:r>
        <w:rPr>
          <w:sz w:val="24"/>
          <w:szCs w:val="24"/>
        </w:rPr>
        <w:t>vyššie</w:t>
      </w:r>
      <w:r w:rsidRPr="00F00311">
        <w:rPr>
          <w:sz w:val="24"/>
          <w:szCs w:val="24"/>
        </w:rPr>
        <w:t xml:space="preserve"> o</w:t>
      </w:r>
      <w:r w:rsidR="00134CE1">
        <w:rPr>
          <w:sz w:val="24"/>
          <w:szCs w:val="24"/>
        </w:rPr>
        <w:t> 1 755 </w:t>
      </w:r>
      <w:r>
        <w:rPr>
          <w:sz w:val="24"/>
          <w:szCs w:val="24"/>
        </w:rPr>
        <w:t>823</w:t>
      </w:r>
      <w:r w:rsidRPr="00F00311">
        <w:rPr>
          <w:sz w:val="24"/>
          <w:szCs w:val="24"/>
        </w:rPr>
        <w:t> tis. eur a oproti skutočnosti roku 202</w:t>
      </w:r>
      <w:r>
        <w:rPr>
          <w:sz w:val="24"/>
          <w:szCs w:val="24"/>
        </w:rPr>
        <w:t>3</w:t>
      </w:r>
      <w:r w:rsidRPr="00F00311">
        <w:rPr>
          <w:sz w:val="24"/>
          <w:szCs w:val="24"/>
        </w:rPr>
        <w:t xml:space="preserve"> boli vyššie o</w:t>
      </w:r>
      <w:r w:rsidR="00134CE1">
        <w:rPr>
          <w:sz w:val="24"/>
          <w:szCs w:val="24"/>
        </w:rPr>
        <w:t> </w:t>
      </w:r>
      <w:r>
        <w:rPr>
          <w:sz w:val="24"/>
          <w:szCs w:val="24"/>
        </w:rPr>
        <w:t>769</w:t>
      </w:r>
      <w:r w:rsidR="00134CE1">
        <w:rPr>
          <w:sz w:val="24"/>
          <w:szCs w:val="24"/>
        </w:rPr>
        <w:t> </w:t>
      </w:r>
      <w:r>
        <w:rPr>
          <w:sz w:val="24"/>
          <w:szCs w:val="24"/>
        </w:rPr>
        <w:t>138</w:t>
      </w:r>
      <w:r w:rsidR="00134CE1">
        <w:rPr>
          <w:sz w:val="24"/>
          <w:szCs w:val="24"/>
        </w:rPr>
        <w:t> tis. </w:t>
      </w:r>
      <w:r w:rsidRPr="00F00311">
        <w:rPr>
          <w:sz w:val="24"/>
          <w:szCs w:val="24"/>
        </w:rPr>
        <w:t xml:space="preserve">eur. Plnenie celkových príjmov štátneho rozpočtu dosiahlo </w:t>
      </w:r>
      <w:r>
        <w:rPr>
          <w:sz w:val="24"/>
          <w:szCs w:val="24"/>
        </w:rPr>
        <w:t>107,7</w:t>
      </w:r>
      <w:r w:rsidR="00134CE1">
        <w:rPr>
          <w:sz w:val="24"/>
          <w:szCs w:val="24"/>
        </w:rPr>
        <w:t> %.</w:t>
      </w:r>
    </w:p>
    <w:p w14:paraId="4FF413B4" w14:textId="45A8DCD2" w:rsidR="004D69BF" w:rsidRPr="00F00311" w:rsidRDefault="004D69BF" w:rsidP="004D69BF">
      <w:pPr>
        <w:spacing w:line="240" w:lineRule="auto"/>
        <w:rPr>
          <w:sz w:val="24"/>
          <w:szCs w:val="24"/>
        </w:rPr>
      </w:pPr>
      <w:r w:rsidRPr="00F00311">
        <w:rPr>
          <w:sz w:val="24"/>
          <w:szCs w:val="24"/>
        </w:rPr>
        <w:t xml:space="preserve">Skutočné dosiahnuté hotovostné výdavky štátneho rozpočtu vo výške </w:t>
      </w:r>
      <w:r w:rsidR="00134CE1">
        <w:rPr>
          <w:sz w:val="24"/>
          <w:szCs w:val="24"/>
        </w:rPr>
        <w:t>30 823 </w:t>
      </w:r>
      <w:r>
        <w:rPr>
          <w:sz w:val="24"/>
          <w:szCs w:val="24"/>
        </w:rPr>
        <w:t>904</w:t>
      </w:r>
      <w:r w:rsidRPr="00F00311">
        <w:rPr>
          <w:sz w:val="24"/>
          <w:szCs w:val="24"/>
        </w:rPr>
        <w:t xml:space="preserve"> tis. eur boli </w:t>
      </w:r>
      <w:r>
        <w:rPr>
          <w:sz w:val="24"/>
          <w:szCs w:val="24"/>
        </w:rPr>
        <w:t xml:space="preserve">vyššie </w:t>
      </w:r>
      <w:r w:rsidRPr="00F00311">
        <w:rPr>
          <w:sz w:val="24"/>
          <w:szCs w:val="24"/>
        </w:rPr>
        <w:t>ako v schválenom rozpočte, a to o</w:t>
      </w:r>
      <w:r w:rsidR="00134CE1">
        <w:rPr>
          <w:sz w:val="24"/>
          <w:szCs w:val="24"/>
        </w:rPr>
        <w:t> </w:t>
      </w:r>
      <w:r>
        <w:rPr>
          <w:sz w:val="24"/>
          <w:szCs w:val="24"/>
        </w:rPr>
        <w:t>506</w:t>
      </w:r>
      <w:r w:rsidR="00134CE1">
        <w:rPr>
          <w:sz w:val="24"/>
          <w:szCs w:val="24"/>
        </w:rPr>
        <w:t> </w:t>
      </w:r>
      <w:r>
        <w:rPr>
          <w:sz w:val="24"/>
          <w:szCs w:val="24"/>
        </w:rPr>
        <w:t>012</w:t>
      </w:r>
      <w:r w:rsidRPr="00F00311">
        <w:rPr>
          <w:sz w:val="24"/>
          <w:szCs w:val="24"/>
        </w:rPr>
        <w:t xml:space="preserve"> tis. eur </w:t>
      </w:r>
      <w:r>
        <w:rPr>
          <w:sz w:val="24"/>
          <w:szCs w:val="24"/>
        </w:rPr>
        <w:t xml:space="preserve">a v medziročnom porovnaní sú nižšie </w:t>
      </w:r>
      <w:r w:rsidRPr="00F00311">
        <w:rPr>
          <w:sz w:val="24"/>
          <w:szCs w:val="24"/>
        </w:rPr>
        <w:t>o</w:t>
      </w:r>
      <w:r w:rsidR="00134CE1">
        <w:rPr>
          <w:sz w:val="24"/>
          <w:szCs w:val="24"/>
        </w:rPr>
        <w:t> </w:t>
      </w:r>
      <w:r>
        <w:rPr>
          <w:sz w:val="24"/>
          <w:szCs w:val="24"/>
        </w:rPr>
        <w:t>540</w:t>
      </w:r>
      <w:r w:rsidR="00134CE1">
        <w:rPr>
          <w:sz w:val="24"/>
          <w:szCs w:val="24"/>
        </w:rPr>
        <w:t> </w:t>
      </w:r>
      <w:r>
        <w:rPr>
          <w:sz w:val="24"/>
          <w:szCs w:val="24"/>
        </w:rPr>
        <w:t>079</w:t>
      </w:r>
      <w:r w:rsidRPr="00F00311">
        <w:rPr>
          <w:sz w:val="24"/>
          <w:szCs w:val="24"/>
        </w:rPr>
        <w:t xml:space="preserve"> tis. eur. Plnenie celkových výdavkov štátneho rozpočtu tak dosiahlo </w:t>
      </w:r>
      <w:r>
        <w:rPr>
          <w:sz w:val="24"/>
          <w:szCs w:val="24"/>
        </w:rPr>
        <w:t>101,6</w:t>
      </w:r>
      <w:r w:rsidRPr="00F00311">
        <w:rPr>
          <w:sz w:val="24"/>
          <w:szCs w:val="24"/>
        </w:rPr>
        <w:t> % ich rozpočtovanej hodnoty.</w:t>
      </w:r>
    </w:p>
    <w:p w14:paraId="61A4BB80" w14:textId="77118CAA" w:rsidR="004D69BF" w:rsidRDefault="004D69BF" w:rsidP="004D69BF">
      <w:pPr>
        <w:spacing w:line="240" w:lineRule="auto"/>
        <w:rPr>
          <w:sz w:val="24"/>
          <w:szCs w:val="24"/>
        </w:rPr>
      </w:pPr>
      <w:r w:rsidRPr="00F00311">
        <w:rPr>
          <w:sz w:val="24"/>
          <w:szCs w:val="24"/>
        </w:rPr>
        <w:t xml:space="preserve">Súhrnný prehľad o rozpočtovaných a skutočne dosiahnutých </w:t>
      </w:r>
      <w:r>
        <w:rPr>
          <w:sz w:val="24"/>
          <w:szCs w:val="24"/>
        </w:rPr>
        <w:t>príjmov a výdavkov (na</w:t>
      </w:r>
      <w:r w:rsidR="0070263C">
        <w:rPr>
          <w:sz w:val="24"/>
          <w:szCs w:val="24"/>
        </w:rPr>
        <w:t> </w:t>
      </w:r>
      <w:r>
        <w:rPr>
          <w:sz w:val="24"/>
          <w:szCs w:val="24"/>
        </w:rPr>
        <w:t xml:space="preserve">hotovostnej báze) v členení na </w:t>
      </w:r>
      <w:r w:rsidRPr="00F00311">
        <w:rPr>
          <w:sz w:val="24"/>
          <w:szCs w:val="24"/>
        </w:rPr>
        <w:t>základn</w:t>
      </w:r>
      <w:r>
        <w:rPr>
          <w:sz w:val="24"/>
          <w:szCs w:val="24"/>
        </w:rPr>
        <w:t>é</w:t>
      </w:r>
      <w:r w:rsidRPr="00F00311">
        <w:rPr>
          <w:sz w:val="24"/>
          <w:szCs w:val="24"/>
        </w:rPr>
        <w:t xml:space="preserve"> </w:t>
      </w:r>
      <w:r>
        <w:rPr>
          <w:sz w:val="24"/>
          <w:szCs w:val="24"/>
        </w:rPr>
        <w:t>ekonomické kategórie</w:t>
      </w:r>
      <w:r w:rsidRPr="00F00311">
        <w:rPr>
          <w:sz w:val="24"/>
          <w:szCs w:val="24"/>
        </w:rPr>
        <w:t xml:space="preserve"> </w:t>
      </w:r>
      <w:r>
        <w:rPr>
          <w:sz w:val="24"/>
          <w:szCs w:val="24"/>
        </w:rPr>
        <w:t xml:space="preserve">za rok 2024 </w:t>
      </w:r>
      <w:r w:rsidRPr="00F00311">
        <w:rPr>
          <w:sz w:val="24"/>
          <w:szCs w:val="24"/>
        </w:rPr>
        <w:t>a</w:t>
      </w:r>
      <w:r w:rsidR="0070263C">
        <w:rPr>
          <w:sz w:val="24"/>
          <w:szCs w:val="24"/>
        </w:rPr>
        <w:t> </w:t>
      </w:r>
      <w:r w:rsidRPr="00F00311">
        <w:rPr>
          <w:sz w:val="24"/>
          <w:szCs w:val="24"/>
        </w:rPr>
        <w:t>za</w:t>
      </w:r>
      <w:r w:rsidR="0070263C">
        <w:rPr>
          <w:sz w:val="24"/>
          <w:szCs w:val="24"/>
        </w:rPr>
        <w:t> </w:t>
      </w:r>
      <w:r w:rsidRPr="00F00311">
        <w:rPr>
          <w:sz w:val="24"/>
          <w:szCs w:val="24"/>
        </w:rPr>
        <w:t>predchádzajúce dva roky poskytuj</w:t>
      </w:r>
      <w:r>
        <w:rPr>
          <w:sz w:val="24"/>
          <w:szCs w:val="24"/>
        </w:rPr>
        <w:t>e</w:t>
      </w:r>
      <w:r w:rsidRPr="00F00311">
        <w:rPr>
          <w:sz w:val="24"/>
          <w:szCs w:val="24"/>
        </w:rPr>
        <w:t xml:space="preserve"> nasledovn</w:t>
      </w:r>
      <w:r>
        <w:rPr>
          <w:sz w:val="24"/>
          <w:szCs w:val="24"/>
        </w:rPr>
        <w:t>á tabuľka</w:t>
      </w:r>
      <w:r w:rsidRPr="00F00311">
        <w:rPr>
          <w:sz w:val="24"/>
          <w:szCs w:val="24"/>
        </w:rPr>
        <w:t>:</w:t>
      </w:r>
    </w:p>
    <w:tbl>
      <w:tblPr>
        <w:tblW w:w="9214" w:type="dxa"/>
        <w:tblCellMar>
          <w:left w:w="70" w:type="dxa"/>
          <w:right w:w="70" w:type="dxa"/>
        </w:tblCellMar>
        <w:tblLook w:val="04A0" w:firstRow="1" w:lastRow="0" w:firstColumn="1" w:lastColumn="0" w:noHBand="0" w:noVBand="1"/>
      </w:tblPr>
      <w:tblGrid>
        <w:gridCol w:w="9214"/>
      </w:tblGrid>
      <w:tr w:rsidR="004D69BF" w:rsidRPr="009726A1" w14:paraId="1C5D2C80" w14:textId="77777777" w:rsidTr="000240DA">
        <w:trPr>
          <w:trHeight w:val="259"/>
        </w:trPr>
        <w:tc>
          <w:tcPr>
            <w:tcW w:w="9214" w:type="dxa"/>
          </w:tcPr>
          <w:p w14:paraId="5743C025" w14:textId="3D1EBE9A" w:rsidR="00D96E6C" w:rsidRPr="00145663" w:rsidRDefault="00D96E6C" w:rsidP="00145663">
            <w:pPr>
              <w:pStyle w:val="Popis"/>
              <w:keepNext/>
              <w:spacing w:after="120"/>
              <w:rPr>
                <w:rFonts w:eastAsia="Times New Roman" w:cs="Times New Roman"/>
                <w:b/>
                <w:bCs/>
                <w:i w:val="0"/>
                <w:iCs w:val="0"/>
                <w:color w:val="5B9BD5" w:themeColor="accent1"/>
                <w:sz w:val="20"/>
                <w:szCs w:val="20"/>
                <w:lang w:eastAsia="sk-SK"/>
              </w:rPr>
            </w:pPr>
            <w:bookmarkStart w:id="85" w:name="_Toc196313648"/>
            <w:bookmarkStart w:id="86" w:name="_Toc196389269"/>
            <w:r w:rsidRPr="00145663">
              <w:rPr>
                <w:rFonts w:eastAsia="Times New Roman" w:cs="Times New Roman"/>
                <w:b/>
                <w:bCs/>
                <w:i w:val="0"/>
                <w:iCs w:val="0"/>
                <w:color w:val="5B9BD5" w:themeColor="accent1"/>
                <w:sz w:val="20"/>
                <w:szCs w:val="20"/>
                <w:lang w:eastAsia="sk-SK"/>
              </w:rPr>
              <w:t xml:space="preserve">Tabuľka </w:t>
            </w:r>
            <w:r w:rsidR="003B7AF0" w:rsidRPr="00145663">
              <w:rPr>
                <w:rFonts w:eastAsia="Times New Roman" w:cs="Times New Roman"/>
                <w:b/>
                <w:bCs/>
                <w:i w:val="0"/>
                <w:iCs w:val="0"/>
                <w:color w:val="5B9BD5" w:themeColor="accent1"/>
                <w:sz w:val="20"/>
                <w:szCs w:val="20"/>
                <w:lang w:eastAsia="sk-SK"/>
              </w:rPr>
              <w:fldChar w:fldCharType="begin"/>
            </w:r>
            <w:r w:rsidR="003B7AF0" w:rsidRPr="00145663">
              <w:rPr>
                <w:rFonts w:eastAsia="Times New Roman" w:cs="Times New Roman"/>
                <w:b/>
                <w:bCs/>
                <w:i w:val="0"/>
                <w:iCs w:val="0"/>
                <w:color w:val="5B9BD5" w:themeColor="accent1"/>
                <w:sz w:val="20"/>
                <w:szCs w:val="20"/>
                <w:lang w:eastAsia="sk-SK"/>
              </w:rPr>
              <w:instrText xml:space="preserve"> SEQ Tabuľka \* ARABIC </w:instrText>
            </w:r>
            <w:r w:rsidR="003B7AF0" w:rsidRPr="00145663">
              <w:rPr>
                <w:rFonts w:eastAsia="Times New Roman" w:cs="Times New Roman"/>
                <w:b/>
                <w:bCs/>
                <w:i w:val="0"/>
                <w:iCs w:val="0"/>
                <w:color w:val="5B9BD5" w:themeColor="accent1"/>
                <w:sz w:val="20"/>
                <w:szCs w:val="20"/>
                <w:lang w:eastAsia="sk-SK"/>
              </w:rPr>
              <w:fldChar w:fldCharType="separate"/>
            </w:r>
            <w:r w:rsidR="00C64CBA">
              <w:rPr>
                <w:rFonts w:eastAsia="Times New Roman" w:cs="Times New Roman"/>
                <w:b/>
                <w:bCs/>
                <w:i w:val="0"/>
                <w:iCs w:val="0"/>
                <w:noProof/>
                <w:color w:val="5B9BD5" w:themeColor="accent1"/>
                <w:sz w:val="20"/>
                <w:szCs w:val="20"/>
                <w:lang w:eastAsia="sk-SK"/>
              </w:rPr>
              <w:t>22</w:t>
            </w:r>
            <w:r w:rsidR="003B7AF0" w:rsidRPr="00145663">
              <w:rPr>
                <w:rFonts w:eastAsia="Times New Roman" w:cs="Times New Roman"/>
                <w:b/>
                <w:bCs/>
                <w:i w:val="0"/>
                <w:iCs w:val="0"/>
                <w:color w:val="5B9BD5" w:themeColor="accent1"/>
                <w:sz w:val="20"/>
                <w:szCs w:val="20"/>
                <w:lang w:eastAsia="sk-SK"/>
              </w:rPr>
              <w:fldChar w:fldCharType="end"/>
            </w:r>
            <w:r w:rsidRPr="00145663">
              <w:rPr>
                <w:rFonts w:eastAsia="Times New Roman" w:cs="Times New Roman"/>
                <w:b/>
                <w:bCs/>
                <w:i w:val="0"/>
                <w:iCs w:val="0"/>
                <w:color w:val="5B9BD5" w:themeColor="accent1"/>
                <w:sz w:val="20"/>
                <w:szCs w:val="20"/>
                <w:lang w:eastAsia="sk-SK"/>
              </w:rPr>
              <w:t xml:space="preserve"> - Štátny rozpočet na hotovostnej báze</w:t>
            </w:r>
            <w:bookmarkEnd w:id="85"/>
            <w:bookmarkEnd w:id="86"/>
          </w:p>
          <w:tbl>
            <w:tblPr>
              <w:tblW w:w="5000" w:type="pct"/>
              <w:tblCellMar>
                <w:left w:w="70" w:type="dxa"/>
                <w:right w:w="70" w:type="dxa"/>
              </w:tblCellMar>
              <w:tblLook w:val="04A0" w:firstRow="1" w:lastRow="0" w:firstColumn="1" w:lastColumn="0" w:noHBand="0" w:noVBand="1"/>
            </w:tblPr>
            <w:tblGrid>
              <w:gridCol w:w="2432"/>
              <w:gridCol w:w="1109"/>
              <w:gridCol w:w="1107"/>
              <w:gridCol w:w="1107"/>
              <w:gridCol w:w="1107"/>
              <w:gridCol w:w="1107"/>
              <w:gridCol w:w="1105"/>
            </w:tblGrid>
            <w:tr w:rsidR="004D69BF" w:rsidRPr="00D0395E" w14:paraId="5ED3EF82" w14:textId="77777777" w:rsidTr="003F4BCE">
              <w:trPr>
                <w:trHeight w:val="289"/>
              </w:trPr>
              <w:tc>
                <w:tcPr>
                  <w:tcW w:w="1340" w:type="pct"/>
                  <w:vMerge w:val="restart"/>
                  <w:tcBorders>
                    <w:top w:val="single" w:sz="4" w:space="0" w:color="auto"/>
                    <w:left w:val="nil"/>
                    <w:bottom w:val="single" w:sz="8" w:space="0" w:color="000000"/>
                    <w:right w:val="nil"/>
                  </w:tcBorders>
                  <w:shd w:val="clear" w:color="auto" w:fill="auto"/>
                  <w:vAlign w:val="center"/>
                  <w:hideMark/>
                </w:tcPr>
                <w:p w14:paraId="095A5C58" w14:textId="77777777" w:rsidR="004D69BF" w:rsidRPr="00D0395E" w:rsidRDefault="004D69BF" w:rsidP="000240DA">
                  <w:pPr>
                    <w:spacing w:after="0" w:line="240" w:lineRule="auto"/>
                    <w:jc w:val="lef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v tis. eur</w:t>
                  </w:r>
                </w:p>
              </w:tc>
              <w:tc>
                <w:tcPr>
                  <w:tcW w:w="611" w:type="pct"/>
                  <w:tcBorders>
                    <w:top w:val="single" w:sz="4" w:space="0" w:color="auto"/>
                    <w:left w:val="nil"/>
                    <w:bottom w:val="nil"/>
                    <w:right w:val="nil"/>
                  </w:tcBorders>
                  <w:shd w:val="clear" w:color="auto" w:fill="auto"/>
                  <w:vAlign w:val="center"/>
                  <w:hideMark/>
                </w:tcPr>
                <w:p w14:paraId="6A954A32"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2022 S</w:t>
                  </w:r>
                </w:p>
              </w:tc>
              <w:tc>
                <w:tcPr>
                  <w:tcW w:w="610" w:type="pct"/>
                  <w:tcBorders>
                    <w:top w:val="single" w:sz="4" w:space="0" w:color="auto"/>
                    <w:left w:val="nil"/>
                    <w:bottom w:val="nil"/>
                    <w:right w:val="nil"/>
                  </w:tcBorders>
                  <w:shd w:val="clear" w:color="auto" w:fill="auto"/>
                  <w:vAlign w:val="center"/>
                  <w:hideMark/>
                </w:tcPr>
                <w:p w14:paraId="7C4C6323"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2023 S</w:t>
                  </w:r>
                </w:p>
              </w:tc>
              <w:tc>
                <w:tcPr>
                  <w:tcW w:w="610" w:type="pct"/>
                  <w:tcBorders>
                    <w:top w:val="single" w:sz="4" w:space="0" w:color="auto"/>
                    <w:left w:val="nil"/>
                    <w:bottom w:val="nil"/>
                    <w:right w:val="nil"/>
                  </w:tcBorders>
                  <w:shd w:val="clear" w:color="auto" w:fill="auto"/>
                  <w:vAlign w:val="center"/>
                  <w:hideMark/>
                </w:tcPr>
                <w:p w14:paraId="1984230A"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2024 R</w:t>
                  </w:r>
                </w:p>
              </w:tc>
              <w:tc>
                <w:tcPr>
                  <w:tcW w:w="610" w:type="pct"/>
                  <w:tcBorders>
                    <w:top w:val="single" w:sz="4" w:space="0" w:color="auto"/>
                    <w:left w:val="nil"/>
                    <w:bottom w:val="nil"/>
                    <w:right w:val="nil"/>
                  </w:tcBorders>
                  <w:shd w:val="clear" w:color="auto" w:fill="auto"/>
                  <w:vAlign w:val="center"/>
                  <w:hideMark/>
                </w:tcPr>
                <w:p w14:paraId="7D40EAB4"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2024 UR</w:t>
                  </w:r>
                </w:p>
              </w:tc>
              <w:tc>
                <w:tcPr>
                  <w:tcW w:w="610" w:type="pct"/>
                  <w:tcBorders>
                    <w:top w:val="single" w:sz="4" w:space="0" w:color="auto"/>
                    <w:left w:val="nil"/>
                    <w:bottom w:val="nil"/>
                    <w:right w:val="nil"/>
                  </w:tcBorders>
                  <w:shd w:val="clear" w:color="auto" w:fill="auto"/>
                  <w:vAlign w:val="center"/>
                  <w:hideMark/>
                </w:tcPr>
                <w:p w14:paraId="3E7904CF"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2024 S</w:t>
                  </w:r>
                </w:p>
              </w:tc>
              <w:tc>
                <w:tcPr>
                  <w:tcW w:w="609" w:type="pct"/>
                  <w:tcBorders>
                    <w:top w:val="single" w:sz="4" w:space="0" w:color="auto"/>
                    <w:left w:val="nil"/>
                    <w:bottom w:val="nil"/>
                    <w:right w:val="nil"/>
                  </w:tcBorders>
                  <w:shd w:val="clear" w:color="auto" w:fill="auto"/>
                  <w:vAlign w:val="center"/>
                  <w:hideMark/>
                </w:tcPr>
                <w:p w14:paraId="43BA5822"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Rozdiel</w:t>
                  </w:r>
                </w:p>
              </w:tc>
            </w:tr>
            <w:tr w:rsidR="004D69BF" w:rsidRPr="00D0395E" w14:paraId="72879F69" w14:textId="77777777" w:rsidTr="003F4BCE">
              <w:trPr>
                <w:trHeight w:val="345"/>
              </w:trPr>
              <w:tc>
                <w:tcPr>
                  <w:tcW w:w="1340" w:type="pct"/>
                  <w:vMerge/>
                  <w:tcBorders>
                    <w:top w:val="single" w:sz="8" w:space="0" w:color="auto"/>
                    <w:left w:val="nil"/>
                    <w:bottom w:val="single" w:sz="4" w:space="0" w:color="auto"/>
                    <w:right w:val="nil"/>
                  </w:tcBorders>
                  <w:vAlign w:val="center"/>
                  <w:hideMark/>
                </w:tcPr>
                <w:p w14:paraId="0398424B" w14:textId="77777777" w:rsidR="004D69BF" w:rsidRPr="00D0395E" w:rsidRDefault="004D69BF" w:rsidP="000240DA">
                  <w:pPr>
                    <w:spacing w:after="0" w:line="240" w:lineRule="auto"/>
                    <w:jc w:val="left"/>
                    <w:rPr>
                      <w:rFonts w:eastAsia="Times New Roman" w:cs="Times New Roman"/>
                      <w:b/>
                      <w:bCs/>
                      <w:color w:val="000000"/>
                      <w:sz w:val="18"/>
                      <w:szCs w:val="18"/>
                      <w:lang w:eastAsia="sk-SK"/>
                    </w:rPr>
                  </w:pPr>
                </w:p>
              </w:tc>
              <w:tc>
                <w:tcPr>
                  <w:tcW w:w="611" w:type="pct"/>
                  <w:tcBorders>
                    <w:top w:val="nil"/>
                    <w:left w:val="nil"/>
                    <w:bottom w:val="single" w:sz="4" w:space="0" w:color="auto"/>
                    <w:right w:val="nil"/>
                  </w:tcBorders>
                  <w:shd w:val="clear" w:color="auto" w:fill="auto"/>
                  <w:vAlign w:val="center"/>
                  <w:hideMark/>
                </w:tcPr>
                <w:p w14:paraId="0333F896"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w:t>
                  </w:r>
                </w:p>
              </w:tc>
              <w:tc>
                <w:tcPr>
                  <w:tcW w:w="610" w:type="pct"/>
                  <w:tcBorders>
                    <w:top w:val="nil"/>
                    <w:left w:val="nil"/>
                    <w:bottom w:val="single" w:sz="4" w:space="0" w:color="auto"/>
                    <w:right w:val="nil"/>
                  </w:tcBorders>
                  <w:shd w:val="clear" w:color="auto" w:fill="auto"/>
                  <w:vAlign w:val="center"/>
                  <w:hideMark/>
                </w:tcPr>
                <w:p w14:paraId="7BD454F3"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w:t>
                  </w:r>
                </w:p>
              </w:tc>
              <w:tc>
                <w:tcPr>
                  <w:tcW w:w="610" w:type="pct"/>
                  <w:tcBorders>
                    <w:top w:val="nil"/>
                    <w:left w:val="nil"/>
                    <w:bottom w:val="single" w:sz="4" w:space="0" w:color="auto"/>
                    <w:right w:val="nil"/>
                  </w:tcBorders>
                  <w:shd w:val="clear" w:color="auto" w:fill="auto"/>
                  <w:vAlign w:val="center"/>
                  <w:hideMark/>
                </w:tcPr>
                <w:p w14:paraId="1BCBF2E8"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w:t>
                  </w:r>
                </w:p>
              </w:tc>
              <w:tc>
                <w:tcPr>
                  <w:tcW w:w="610" w:type="pct"/>
                  <w:tcBorders>
                    <w:top w:val="nil"/>
                    <w:left w:val="nil"/>
                    <w:bottom w:val="single" w:sz="4" w:space="0" w:color="auto"/>
                    <w:right w:val="nil"/>
                  </w:tcBorders>
                  <w:shd w:val="clear" w:color="auto" w:fill="auto"/>
                  <w:vAlign w:val="center"/>
                  <w:hideMark/>
                </w:tcPr>
                <w:p w14:paraId="7A3265CD"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4</w:t>
                  </w:r>
                </w:p>
              </w:tc>
              <w:tc>
                <w:tcPr>
                  <w:tcW w:w="610" w:type="pct"/>
                  <w:tcBorders>
                    <w:top w:val="nil"/>
                    <w:left w:val="nil"/>
                    <w:bottom w:val="single" w:sz="4" w:space="0" w:color="auto"/>
                    <w:right w:val="nil"/>
                  </w:tcBorders>
                  <w:shd w:val="clear" w:color="auto" w:fill="auto"/>
                  <w:vAlign w:val="center"/>
                  <w:hideMark/>
                </w:tcPr>
                <w:p w14:paraId="7A785A29"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5</w:t>
                  </w:r>
                </w:p>
              </w:tc>
              <w:tc>
                <w:tcPr>
                  <w:tcW w:w="609" w:type="pct"/>
                  <w:tcBorders>
                    <w:top w:val="nil"/>
                    <w:left w:val="nil"/>
                    <w:bottom w:val="single" w:sz="4" w:space="0" w:color="auto"/>
                    <w:right w:val="nil"/>
                  </w:tcBorders>
                  <w:shd w:val="clear" w:color="auto" w:fill="auto"/>
                  <w:vAlign w:val="center"/>
                  <w:hideMark/>
                </w:tcPr>
                <w:p w14:paraId="7627DE49"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6=5-3</w:t>
                  </w:r>
                </w:p>
              </w:tc>
            </w:tr>
            <w:tr w:rsidR="004D69BF" w:rsidRPr="00D0395E" w14:paraId="7A0A3465" w14:textId="77777777" w:rsidTr="003F4BCE">
              <w:trPr>
                <w:trHeight w:val="330"/>
              </w:trPr>
              <w:tc>
                <w:tcPr>
                  <w:tcW w:w="1340" w:type="pct"/>
                  <w:tcBorders>
                    <w:top w:val="single" w:sz="4" w:space="0" w:color="auto"/>
                    <w:left w:val="nil"/>
                    <w:bottom w:val="nil"/>
                    <w:right w:val="nil"/>
                  </w:tcBorders>
                  <w:shd w:val="clear" w:color="auto" w:fill="auto"/>
                  <w:noWrap/>
                  <w:vAlign w:val="center"/>
                  <w:hideMark/>
                </w:tcPr>
                <w:p w14:paraId="57FB79F3" w14:textId="77777777" w:rsidR="004D69BF" w:rsidRPr="00D0395E" w:rsidRDefault="004D69BF" w:rsidP="000240DA">
                  <w:pPr>
                    <w:spacing w:after="0"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Príjmy spolu</w:t>
                  </w:r>
                </w:p>
              </w:tc>
              <w:tc>
                <w:tcPr>
                  <w:tcW w:w="611" w:type="pct"/>
                  <w:tcBorders>
                    <w:top w:val="single" w:sz="4" w:space="0" w:color="auto"/>
                    <w:left w:val="nil"/>
                    <w:bottom w:val="nil"/>
                    <w:right w:val="nil"/>
                  </w:tcBorders>
                  <w:shd w:val="clear" w:color="auto" w:fill="auto"/>
                  <w:noWrap/>
                  <w:vAlign w:val="center"/>
                  <w:hideMark/>
                </w:tcPr>
                <w:p w14:paraId="65825463"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19 029 702</w:t>
                  </w:r>
                </w:p>
              </w:tc>
              <w:tc>
                <w:tcPr>
                  <w:tcW w:w="610" w:type="pct"/>
                  <w:tcBorders>
                    <w:top w:val="single" w:sz="4" w:space="0" w:color="auto"/>
                    <w:left w:val="nil"/>
                    <w:bottom w:val="nil"/>
                    <w:right w:val="nil"/>
                  </w:tcBorders>
                  <w:shd w:val="clear" w:color="auto" w:fill="auto"/>
                  <w:noWrap/>
                  <w:vAlign w:val="center"/>
                  <w:hideMark/>
                </w:tcPr>
                <w:p w14:paraId="53EC567F"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23 688 646</w:t>
                  </w:r>
                </w:p>
              </w:tc>
              <w:tc>
                <w:tcPr>
                  <w:tcW w:w="610" w:type="pct"/>
                  <w:tcBorders>
                    <w:top w:val="single" w:sz="4" w:space="0" w:color="auto"/>
                    <w:left w:val="nil"/>
                    <w:bottom w:val="nil"/>
                    <w:right w:val="nil"/>
                  </w:tcBorders>
                  <w:shd w:val="clear" w:color="auto" w:fill="auto"/>
                  <w:noWrap/>
                  <w:vAlign w:val="center"/>
                  <w:hideMark/>
                </w:tcPr>
                <w:p w14:paraId="2CBF1BA2"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22 701 961</w:t>
                  </w:r>
                </w:p>
              </w:tc>
              <w:tc>
                <w:tcPr>
                  <w:tcW w:w="610" w:type="pct"/>
                  <w:tcBorders>
                    <w:top w:val="single" w:sz="4" w:space="0" w:color="auto"/>
                    <w:left w:val="nil"/>
                    <w:bottom w:val="nil"/>
                    <w:right w:val="nil"/>
                  </w:tcBorders>
                  <w:shd w:val="clear" w:color="auto" w:fill="auto"/>
                  <w:noWrap/>
                  <w:vAlign w:val="center"/>
                  <w:hideMark/>
                </w:tcPr>
                <w:p w14:paraId="3A93D2FE"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24 266 662</w:t>
                  </w:r>
                </w:p>
              </w:tc>
              <w:tc>
                <w:tcPr>
                  <w:tcW w:w="610" w:type="pct"/>
                  <w:tcBorders>
                    <w:top w:val="single" w:sz="4" w:space="0" w:color="auto"/>
                    <w:left w:val="nil"/>
                    <w:bottom w:val="nil"/>
                    <w:right w:val="nil"/>
                  </w:tcBorders>
                  <w:shd w:val="clear" w:color="auto" w:fill="auto"/>
                  <w:noWrap/>
                  <w:vAlign w:val="center"/>
                  <w:hideMark/>
                </w:tcPr>
                <w:p w14:paraId="54123C81"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24 457 784</w:t>
                  </w:r>
                </w:p>
              </w:tc>
              <w:tc>
                <w:tcPr>
                  <w:tcW w:w="609" w:type="pct"/>
                  <w:tcBorders>
                    <w:top w:val="single" w:sz="4" w:space="0" w:color="auto"/>
                    <w:left w:val="nil"/>
                    <w:bottom w:val="nil"/>
                    <w:right w:val="nil"/>
                  </w:tcBorders>
                  <w:shd w:val="clear" w:color="auto" w:fill="auto"/>
                  <w:noWrap/>
                  <w:vAlign w:val="center"/>
                  <w:hideMark/>
                </w:tcPr>
                <w:p w14:paraId="5AA7FFB9"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1 755 823</w:t>
                  </w:r>
                </w:p>
              </w:tc>
            </w:tr>
            <w:tr w:rsidR="004D69BF" w:rsidRPr="00D0395E" w14:paraId="3AA76567" w14:textId="77777777" w:rsidTr="003F4BCE">
              <w:trPr>
                <w:trHeight w:val="330"/>
              </w:trPr>
              <w:tc>
                <w:tcPr>
                  <w:tcW w:w="1340" w:type="pct"/>
                  <w:tcBorders>
                    <w:top w:val="nil"/>
                    <w:left w:val="nil"/>
                    <w:bottom w:val="nil"/>
                    <w:right w:val="nil"/>
                  </w:tcBorders>
                  <w:shd w:val="clear" w:color="auto" w:fill="auto"/>
                  <w:noWrap/>
                  <w:vAlign w:val="center"/>
                  <w:hideMark/>
                </w:tcPr>
                <w:p w14:paraId="7488FEE0"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v tom: daňové príjmy</w:t>
                  </w:r>
                </w:p>
              </w:tc>
              <w:tc>
                <w:tcPr>
                  <w:tcW w:w="611" w:type="pct"/>
                  <w:tcBorders>
                    <w:top w:val="nil"/>
                    <w:left w:val="nil"/>
                    <w:bottom w:val="nil"/>
                    <w:right w:val="nil"/>
                  </w:tcBorders>
                  <w:shd w:val="clear" w:color="auto" w:fill="auto"/>
                  <w:noWrap/>
                  <w:vAlign w:val="center"/>
                  <w:hideMark/>
                </w:tcPr>
                <w:p w14:paraId="46A6BEB3"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15 517 036</w:t>
                  </w:r>
                </w:p>
              </w:tc>
              <w:tc>
                <w:tcPr>
                  <w:tcW w:w="610" w:type="pct"/>
                  <w:tcBorders>
                    <w:top w:val="nil"/>
                    <w:left w:val="nil"/>
                    <w:bottom w:val="nil"/>
                    <w:right w:val="nil"/>
                  </w:tcBorders>
                  <w:shd w:val="clear" w:color="auto" w:fill="auto"/>
                  <w:noWrap/>
                  <w:vAlign w:val="center"/>
                  <w:hideMark/>
                </w:tcPr>
                <w:p w14:paraId="05EEC574"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17 440 976</w:t>
                  </w:r>
                </w:p>
              </w:tc>
              <w:tc>
                <w:tcPr>
                  <w:tcW w:w="610" w:type="pct"/>
                  <w:tcBorders>
                    <w:top w:val="nil"/>
                    <w:left w:val="nil"/>
                    <w:bottom w:val="nil"/>
                    <w:right w:val="nil"/>
                  </w:tcBorders>
                  <w:shd w:val="clear" w:color="auto" w:fill="auto"/>
                  <w:noWrap/>
                  <w:vAlign w:val="center"/>
                  <w:hideMark/>
                </w:tcPr>
                <w:p w14:paraId="3419A040"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18 633 856</w:t>
                  </w:r>
                </w:p>
              </w:tc>
              <w:tc>
                <w:tcPr>
                  <w:tcW w:w="610" w:type="pct"/>
                  <w:tcBorders>
                    <w:top w:val="nil"/>
                    <w:left w:val="nil"/>
                    <w:bottom w:val="nil"/>
                    <w:right w:val="nil"/>
                  </w:tcBorders>
                  <w:shd w:val="clear" w:color="auto" w:fill="auto"/>
                  <w:noWrap/>
                  <w:vAlign w:val="center"/>
                  <w:hideMark/>
                </w:tcPr>
                <w:p w14:paraId="56257810"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18 633 856</w:t>
                  </w:r>
                </w:p>
              </w:tc>
              <w:tc>
                <w:tcPr>
                  <w:tcW w:w="610" w:type="pct"/>
                  <w:tcBorders>
                    <w:top w:val="nil"/>
                    <w:left w:val="nil"/>
                    <w:bottom w:val="nil"/>
                    <w:right w:val="nil"/>
                  </w:tcBorders>
                  <w:shd w:val="clear" w:color="auto" w:fill="auto"/>
                  <w:noWrap/>
                  <w:vAlign w:val="center"/>
                  <w:hideMark/>
                </w:tcPr>
                <w:p w14:paraId="767BDC38"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18 350 788</w:t>
                  </w:r>
                </w:p>
              </w:tc>
              <w:tc>
                <w:tcPr>
                  <w:tcW w:w="609" w:type="pct"/>
                  <w:tcBorders>
                    <w:top w:val="nil"/>
                    <w:left w:val="nil"/>
                    <w:bottom w:val="nil"/>
                    <w:right w:val="nil"/>
                  </w:tcBorders>
                  <w:shd w:val="clear" w:color="auto" w:fill="auto"/>
                  <w:noWrap/>
                  <w:vAlign w:val="center"/>
                  <w:hideMark/>
                </w:tcPr>
                <w:p w14:paraId="08BC4B74"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-283 068</w:t>
                  </w:r>
                </w:p>
              </w:tc>
            </w:tr>
            <w:tr w:rsidR="004D69BF" w:rsidRPr="00D0395E" w14:paraId="5EE35E81" w14:textId="77777777" w:rsidTr="003F4BCE">
              <w:trPr>
                <w:trHeight w:val="330"/>
              </w:trPr>
              <w:tc>
                <w:tcPr>
                  <w:tcW w:w="1340" w:type="pct"/>
                  <w:tcBorders>
                    <w:top w:val="nil"/>
                    <w:left w:val="nil"/>
                    <w:bottom w:val="nil"/>
                    <w:right w:val="nil"/>
                  </w:tcBorders>
                  <w:shd w:val="clear" w:color="auto" w:fill="auto"/>
                  <w:noWrap/>
                  <w:vAlign w:val="center"/>
                  <w:hideMark/>
                </w:tcPr>
                <w:p w14:paraId="42E9E61A"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nedaňové príjmy</w:t>
                  </w:r>
                </w:p>
              </w:tc>
              <w:tc>
                <w:tcPr>
                  <w:tcW w:w="611" w:type="pct"/>
                  <w:tcBorders>
                    <w:top w:val="nil"/>
                    <w:left w:val="nil"/>
                    <w:bottom w:val="nil"/>
                    <w:right w:val="nil"/>
                  </w:tcBorders>
                  <w:shd w:val="clear" w:color="auto" w:fill="auto"/>
                  <w:noWrap/>
                  <w:vAlign w:val="center"/>
                  <w:hideMark/>
                </w:tcPr>
                <w:p w14:paraId="222D4A70"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1 285 089</w:t>
                  </w:r>
                </w:p>
              </w:tc>
              <w:tc>
                <w:tcPr>
                  <w:tcW w:w="610" w:type="pct"/>
                  <w:tcBorders>
                    <w:top w:val="nil"/>
                    <w:left w:val="nil"/>
                    <w:bottom w:val="nil"/>
                    <w:right w:val="nil"/>
                  </w:tcBorders>
                  <w:shd w:val="clear" w:color="auto" w:fill="auto"/>
                  <w:noWrap/>
                  <w:vAlign w:val="center"/>
                  <w:hideMark/>
                </w:tcPr>
                <w:p w14:paraId="3E8D801B"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1 738 326</w:t>
                  </w:r>
                </w:p>
              </w:tc>
              <w:tc>
                <w:tcPr>
                  <w:tcW w:w="610" w:type="pct"/>
                  <w:tcBorders>
                    <w:top w:val="nil"/>
                    <w:left w:val="nil"/>
                    <w:bottom w:val="nil"/>
                    <w:right w:val="nil"/>
                  </w:tcBorders>
                  <w:shd w:val="clear" w:color="auto" w:fill="auto"/>
                  <w:noWrap/>
                  <w:vAlign w:val="center"/>
                  <w:hideMark/>
                </w:tcPr>
                <w:p w14:paraId="55786858"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1 549 566</w:t>
                  </w:r>
                </w:p>
              </w:tc>
              <w:tc>
                <w:tcPr>
                  <w:tcW w:w="610" w:type="pct"/>
                  <w:tcBorders>
                    <w:top w:val="nil"/>
                    <w:left w:val="nil"/>
                    <w:bottom w:val="nil"/>
                    <w:right w:val="nil"/>
                  </w:tcBorders>
                  <w:shd w:val="clear" w:color="auto" w:fill="auto"/>
                  <w:noWrap/>
                  <w:vAlign w:val="center"/>
                  <w:hideMark/>
                </w:tcPr>
                <w:p w14:paraId="0747DE53"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1 549 739</w:t>
                  </w:r>
                </w:p>
              </w:tc>
              <w:tc>
                <w:tcPr>
                  <w:tcW w:w="610" w:type="pct"/>
                  <w:tcBorders>
                    <w:top w:val="nil"/>
                    <w:left w:val="nil"/>
                    <w:bottom w:val="nil"/>
                    <w:right w:val="nil"/>
                  </w:tcBorders>
                  <w:shd w:val="clear" w:color="auto" w:fill="auto"/>
                  <w:noWrap/>
                  <w:vAlign w:val="center"/>
                  <w:hideMark/>
                </w:tcPr>
                <w:p w14:paraId="6B28CE4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1 909 893</w:t>
                  </w:r>
                </w:p>
              </w:tc>
              <w:tc>
                <w:tcPr>
                  <w:tcW w:w="609" w:type="pct"/>
                  <w:tcBorders>
                    <w:top w:val="nil"/>
                    <w:left w:val="nil"/>
                    <w:bottom w:val="nil"/>
                    <w:right w:val="nil"/>
                  </w:tcBorders>
                  <w:shd w:val="clear" w:color="auto" w:fill="auto"/>
                  <w:noWrap/>
                  <w:vAlign w:val="center"/>
                  <w:hideMark/>
                </w:tcPr>
                <w:p w14:paraId="177E2F2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360 327</w:t>
                  </w:r>
                </w:p>
              </w:tc>
            </w:tr>
            <w:tr w:rsidR="004D69BF" w:rsidRPr="00D0395E" w14:paraId="5815C675" w14:textId="77777777" w:rsidTr="003F4BCE">
              <w:trPr>
                <w:trHeight w:val="330"/>
              </w:trPr>
              <w:tc>
                <w:tcPr>
                  <w:tcW w:w="1340" w:type="pct"/>
                  <w:tcBorders>
                    <w:top w:val="nil"/>
                    <w:left w:val="nil"/>
                    <w:bottom w:val="nil"/>
                    <w:right w:val="nil"/>
                  </w:tcBorders>
                  <w:shd w:val="clear" w:color="auto" w:fill="auto"/>
                  <w:noWrap/>
                  <w:vAlign w:val="center"/>
                  <w:hideMark/>
                </w:tcPr>
                <w:p w14:paraId="53AD6051"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granty a transfery</w:t>
                  </w:r>
                </w:p>
              </w:tc>
              <w:tc>
                <w:tcPr>
                  <w:tcW w:w="611" w:type="pct"/>
                  <w:tcBorders>
                    <w:top w:val="nil"/>
                    <w:left w:val="nil"/>
                    <w:bottom w:val="nil"/>
                    <w:right w:val="nil"/>
                  </w:tcBorders>
                  <w:shd w:val="clear" w:color="auto" w:fill="auto"/>
                  <w:noWrap/>
                  <w:vAlign w:val="center"/>
                  <w:hideMark/>
                </w:tcPr>
                <w:p w14:paraId="3D54DB04"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2 227 577</w:t>
                  </w:r>
                </w:p>
              </w:tc>
              <w:tc>
                <w:tcPr>
                  <w:tcW w:w="610" w:type="pct"/>
                  <w:tcBorders>
                    <w:top w:val="nil"/>
                    <w:left w:val="nil"/>
                    <w:bottom w:val="nil"/>
                    <w:right w:val="nil"/>
                  </w:tcBorders>
                  <w:shd w:val="clear" w:color="auto" w:fill="auto"/>
                  <w:noWrap/>
                  <w:vAlign w:val="center"/>
                  <w:hideMark/>
                </w:tcPr>
                <w:p w14:paraId="7B630F40"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4 509 344</w:t>
                  </w:r>
                </w:p>
              </w:tc>
              <w:tc>
                <w:tcPr>
                  <w:tcW w:w="610" w:type="pct"/>
                  <w:tcBorders>
                    <w:top w:val="nil"/>
                    <w:left w:val="nil"/>
                    <w:bottom w:val="nil"/>
                    <w:right w:val="nil"/>
                  </w:tcBorders>
                  <w:shd w:val="clear" w:color="auto" w:fill="auto"/>
                  <w:noWrap/>
                  <w:vAlign w:val="center"/>
                  <w:hideMark/>
                </w:tcPr>
                <w:p w14:paraId="224D128C"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2 518 539</w:t>
                  </w:r>
                </w:p>
              </w:tc>
              <w:tc>
                <w:tcPr>
                  <w:tcW w:w="610" w:type="pct"/>
                  <w:tcBorders>
                    <w:top w:val="nil"/>
                    <w:left w:val="nil"/>
                    <w:bottom w:val="nil"/>
                    <w:right w:val="nil"/>
                  </w:tcBorders>
                  <w:shd w:val="clear" w:color="auto" w:fill="auto"/>
                  <w:noWrap/>
                  <w:vAlign w:val="center"/>
                  <w:hideMark/>
                </w:tcPr>
                <w:p w14:paraId="01CD47ED"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4 083 067</w:t>
                  </w:r>
                </w:p>
              </w:tc>
              <w:tc>
                <w:tcPr>
                  <w:tcW w:w="610" w:type="pct"/>
                  <w:tcBorders>
                    <w:top w:val="nil"/>
                    <w:left w:val="nil"/>
                    <w:bottom w:val="nil"/>
                    <w:right w:val="nil"/>
                  </w:tcBorders>
                  <w:shd w:val="clear" w:color="auto" w:fill="auto"/>
                  <w:noWrap/>
                  <w:vAlign w:val="center"/>
                  <w:hideMark/>
                </w:tcPr>
                <w:p w14:paraId="3B4CF204"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4 197 103</w:t>
                  </w:r>
                </w:p>
              </w:tc>
              <w:tc>
                <w:tcPr>
                  <w:tcW w:w="609" w:type="pct"/>
                  <w:tcBorders>
                    <w:top w:val="nil"/>
                    <w:left w:val="nil"/>
                    <w:bottom w:val="nil"/>
                    <w:right w:val="nil"/>
                  </w:tcBorders>
                  <w:shd w:val="clear" w:color="auto" w:fill="auto"/>
                  <w:noWrap/>
                  <w:vAlign w:val="center"/>
                  <w:hideMark/>
                </w:tcPr>
                <w:p w14:paraId="11ED4FA9"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1 678 564</w:t>
                  </w:r>
                </w:p>
              </w:tc>
            </w:tr>
            <w:tr w:rsidR="004D69BF" w:rsidRPr="00D0395E" w14:paraId="45069FB5" w14:textId="77777777" w:rsidTr="003F4BCE">
              <w:trPr>
                <w:trHeight w:val="330"/>
              </w:trPr>
              <w:tc>
                <w:tcPr>
                  <w:tcW w:w="1340" w:type="pct"/>
                  <w:tcBorders>
                    <w:top w:val="nil"/>
                    <w:left w:val="nil"/>
                    <w:bottom w:val="nil"/>
                    <w:right w:val="nil"/>
                  </w:tcBorders>
                  <w:shd w:val="clear" w:color="auto" w:fill="auto"/>
                  <w:noWrap/>
                  <w:vAlign w:val="center"/>
                  <w:hideMark/>
                </w:tcPr>
                <w:p w14:paraId="566B5BF5" w14:textId="77777777" w:rsidR="004D69BF" w:rsidRPr="00D0395E" w:rsidRDefault="004D69BF" w:rsidP="000240DA">
                  <w:pPr>
                    <w:spacing w:after="0"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Výdavky spolu</w:t>
                  </w:r>
                </w:p>
              </w:tc>
              <w:tc>
                <w:tcPr>
                  <w:tcW w:w="611" w:type="pct"/>
                  <w:tcBorders>
                    <w:top w:val="nil"/>
                    <w:left w:val="nil"/>
                    <w:bottom w:val="nil"/>
                    <w:right w:val="nil"/>
                  </w:tcBorders>
                  <w:shd w:val="clear" w:color="auto" w:fill="auto"/>
                  <w:noWrap/>
                  <w:vAlign w:val="center"/>
                  <w:hideMark/>
                </w:tcPr>
                <w:p w14:paraId="6FB39D98"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23 554 555</w:t>
                  </w:r>
                </w:p>
              </w:tc>
              <w:tc>
                <w:tcPr>
                  <w:tcW w:w="610" w:type="pct"/>
                  <w:tcBorders>
                    <w:top w:val="nil"/>
                    <w:left w:val="nil"/>
                    <w:bottom w:val="nil"/>
                    <w:right w:val="nil"/>
                  </w:tcBorders>
                  <w:shd w:val="clear" w:color="auto" w:fill="auto"/>
                  <w:noWrap/>
                  <w:vAlign w:val="center"/>
                  <w:hideMark/>
                </w:tcPr>
                <w:p w14:paraId="58B1B705"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31 363 983</w:t>
                  </w:r>
                </w:p>
              </w:tc>
              <w:tc>
                <w:tcPr>
                  <w:tcW w:w="610" w:type="pct"/>
                  <w:tcBorders>
                    <w:top w:val="nil"/>
                    <w:left w:val="nil"/>
                    <w:bottom w:val="nil"/>
                    <w:right w:val="nil"/>
                  </w:tcBorders>
                  <w:shd w:val="clear" w:color="auto" w:fill="auto"/>
                  <w:noWrap/>
                  <w:vAlign w:val="center"/>
                  <w:hideMark/>
                </w:tcPr>
                <w:p w14:paraId="34C71CC0"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30 317 892</w:t>
                  </w:r>
                </w:p>
              </w:tc>
              <w:tc>
                <w:tcPr>
                  <w:tcW w:w="610" w:type="pct"/>
                  <w:tcBorders>
                    <w:top w:val="nil"/>
                    <w:left w:val="nil"/>
                    <w:bottom w:val="nil"/>
                    <w:right w:val="nil"/>
                  </w:tcBorders>
                  <w:shd w:val="clear" w:color="auto" w:fill="auto"/>
                  <w:noWrap/>
                  <w:vAlign w:val="center"/>
                  <w:hideMark/>
                </w:tcPr>
                <w:p w14:paraId="55A6B4BC"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31 943 853</w:t>
                  </w:r>
                </w:p>
              </w:tc>
              <w:tc>
                <w:tcPr>
                  <w:tcW w:w="610" w:type="pct"/>
                  <w:tcBorders>
                    <w:top w:val="nil"/>
                    <w:left w:val="nil"/>
                    <w:bottom w:val="nil"/>
                    <w:right w:val="nil"/>
                  </w:tcBorders>
                  <w:shd w:val="clear" w:color="auto" w:fill="auto"/>
                  <w:noWrap/>
                  <w:vAlign w:val="center"/>
                  <w:hideMark/>
                </w:tcPr>
                <w:p w14:paraId="777078F8"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30 823 904</w:t>
                  </w:r>
                </w:p>
              </w:tc>
              <w:tc>
                <w:tcPr>
                  <w:tcW w:w="609" w:type="pct"/>
                  <w:tcBorders>
                    <w:top w:val="nil"/>
                    <w:left w:val="nil"/>
                    <w:bottom w:val="nil"/>
                    <w:right w:val="nil"/>
                  </w:tcBorders>
                  <w:shd w:val="clear" w:color="auto" w:fill="auto"/>
                  <w:noWrap/>
                  <w:vAlign w:val="center"/>
                  <w:hideMark/>
                </w:tcPr>
                <w:p w14:paraId="30DDB8C8"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506 012</w:t>
                  </w:r>
                </w:p>
              </w:tc>
            </w:tr>
            <w:tr w:rsidR="004D69BF" w:rsidRPr="00D0395E" w14:paraId="69FCE368" w14:textId="77777777" w:rsidTr="003F4BCE">
              <w:trPr>
                <w:trHeight w:val="330"/>
              </w:trPr>
              <w:tc>
                <w:tcPr>
                  <w:tcW w:w="1340" w:type="pct"/>
                  <w:tcBorders>
                    <w:top w:val="nil"/>
                    <w:left w:val="nil"/>
                    <w:bottom w:val="nil"/>
                    <w:right w:val="nil"/>
                  </w:tcBorders>
                  <w:shd w:val="clear" w:color="auto" w:fill="auto"/>
                  <w:noWrap/>
                  <w:vAlign w:val="center"/>
                  <w:hideMark/>
                </w:tcPr>
                <w:p w14:paraId="2A29AE6F"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v tom: bežné výdavky</w:t>
                  </w:r>
                </w:p>
              </w:tc>
              <w:tc>
                <w:tcPr>
                  <w:tcW w:w="611" w:type="pct"/>
                  <w:tcBorders>
                    <w:top w:val="nil"/>
                    <w:left w:val="nil"/>
                    <w:bottom w:val="nil"/>
                    <w:right w:val="nil"/>
                  </w:tcBorders>
                  <w:shd w:val="clear" w:color="auto" w:fill="auto"/>
                  <w:noWrap/>
                  <w:vAlign w:val="center"/>
                  <w:hideMark/>
                </w:tcPr>
                <w:p w14:paraId="1C159D56"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20 847 550</w:t>
                  </w:r>
                </w:p>
              </w:tc>
              <w:tc>
                <w:tcPr>
                  <w:tcW w:w="610" w:type="pct"/>
                  <w:tcBorders>
                    <w:top w:val="nil"/>
                    <w:left w:val="nil"/>
                    <w:bottom w:val="nil"/>
                    <w:right w:val="nil"/>
                  </w:tcBorders>
                  <w:shd w:val="clear" w:color="auto" w:fill="auto"/>
                  <w:noWrap/>
                  <w:vAlign w:val="center"/>
                  <w:hideMark/>
                </w:tcPr>
                <w:p w14:paraId="0441AAE3"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26 649 828</w:t>
                  </w:r>
                </w:p>
              </w:tc>
              <w:tc>
                <w:tcPr>
                  <w:tcW w:w="610" w:type="pct"/>
                  <w:tcBorders>
                    <w:top w:val="nil"/>
                    <w:left w:val="nil"/>
                    <w:bottom w:val="nil"/>
                    <w:right w:val="nil"/>
                  </w:tcBorders>
                  <w:shd w:val="clear" w:color="auto" w:fill="auto"/>
                  <w:noWrap/>
                  <w:vAlign w:val="center"/>
                  <w:hideMark/>
                </w:tcPr>
                <w:p w14:paraId="6645743E"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27 190 658</w:t>
                  </w:r>
                </w:p>
              </w:tc>
              <w:tc>
                <w:tcPr>
                  <w:tcW w:w="610" w:type="pct"/>
                  <w:tcBorders>
                    <w:top w:val="nil"/>
                    <w:left w:val="nil"/>
                    <w:bottom w:val="nil"/>
                    <w:right w:val="nil"/>
                  </w:tcBorders>
                  <w:shd w:val="clear" w:color="auto" w:fill="auto"/>
                  <w:noWrap/>
                  <w:vAlign w:val="center"/>
                  <w:hideMark/>
                </w:tcPr>
                <w:p w14:paraId="11896E0E"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28 045 294</w:t>
                  </w:r>
                </w:p>
              </w:tc>
              <w:tc>
                <w:tcPr>
                  <w:tcW w:w="610" w:type="pct"/>
                  <w:tcBorders>
                    <w:top w:val="nil"/>
                    <w:left w:val="nil"/>
                    <w:bottom w:val="nil"/>
                    <w:right w:val="nil"/>
                  </w:tcBorders>
                  <w:shd w:val="clear" w:color="auto" w:fill="auto"/>
                  <w:noWrap/>
                  <w:vAlign w:val="center"/>
                  <w:hideMark/>
                </w:tcPr>
                <w:p w14:paraId="604FC868"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26 985 766</w:t>
                  </w:r>
                </w:p>
              </w:tc>
              <w:tc>
                <w:tcPr>
                  <w:tcW w:w="609" w:type="pct"/>
                  <w:tcBorders>
                    <w:top w:val="nil"/>
                    <w:left w:val="nil"/>
                    <w:bottom w:val="nil"/>
                    <w:right w:val="nil"/>
                  </w:tcBorders>
                  <w:shd w:val="clear" w:color="auto" w:fill="auto"/>
                  <w:noWrap/>
                  <w:vAlign w:val="center"/>
                  <w:hideMark/>
                </w:tcPr>
                <w:p w14:paraId="6FC815E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-204 892</w:t>
                  </w:r>
                </w:p>
              </w:tc>
            </w:tr>
            <w:tr w:rsidR="004D69BF" w:rsidRPr="00D0395E" w14:paraId="4BDE6AAB" w14:textId="77777777" w:rsidTr="003F4BCE">
              <w:trPr>
                <w:trHeight w:val="345"/>
              </w:trPr>
              <w:tc>
                <w:tcPr>
                  <w:tcW w:w="1340" w:type="pct"/>
                  <w:tcBorders>
                    <w:top w:val="nil"/>
                    <w:left w:val="nil"/>
                    <w:bottom w:val="single" w:sz="4" w:space="0" w:color="auto"/>
                    <w:right w:val="nil"/>
                  </w:tcBorders>
                  <w:shd w:val="clear" w:color="auto" w:fill="auto"/>
                  <w:noWrap/>
                  <w:vAlign w:val="center"/>
                  <w:hideMark/>
                </w:tcPr>
                <w:p w14:paraId="25ACF84E"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kapitálové výdavky</w:t>
                  </w:r>
                </w:p>
              </w:tc>
              <w:tc>
                <w:tcPr>
                  <w:tcW w:w="611" w:type="pct"/>
                  <w:tcBorders>
                    <w:top w:val="nil"/>
                    <w:left w:val="nil"/>
                    <w:bottom w:val="single" w:sz="4" w:space="0" w:color="auto"/>
                    <w:right w:val="nil"/>
                  </w:tcBorders>
                  <w:shd w:val="clear" w:color="auto" w:fill="auto"/>
                  <w:noWrap/>
                  <w:vAlign w:val="center"/>
                  <w:hideMark/>
                </w:tcPr>
                <w:p w14:paraId="77BE94E9"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2 707 004</w:t>
                  </w:r>
                </w:p>
              </w:tc>
              <w:tc>
                <w:tcPr>
                  <w:tcW w:w="610" w:type="pct"/>
                  <w:tcBorders>
                    <w:top w:val="nil"/>
                    <w:left w:val="nil"/>
                    <w:bottom w:val="single" w:sz="4" w:space="0" w:color="auto"/>
                    <w:right w:val="nil"/>
                  </w:tcBorders>
                  <w:shd w:val="clear" w:color="auto" w:fill="auto"/>
                  <w:noWrap/>
                  <w:vAlign w:val="center"/>
                  <w:hideMark/>
                </w:tcPr>
                <w:p w14:paraId="6563A0E9"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4 714 155</w:t>
                  </w:r>
                </w:p>
              </w:tc>
              <w:tc>
                <w:tcPr>
                  <w:tcW w:w="610" w:type="pct"/>
                  <w:tcBorders>
                    <w:top w:val="nil"/>
                    <w:left w:val="nil"/>
                    <w:bottom w:val="single" w:sz="4" w:space="0" w:color="auto"/>
                    <w:right w:val="nil"/>
                  </w:tcBorders>
                  <w:shd w:val="clear" w:color="auto" w:fill="auto"/>
                  <w:noWrap/>
                  <w:vAlign w:val="center"/>
                  <w:hideMark/>
                </w:tcPr>
                <w:p w14:paraId="3A20E4A2"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3 127 234</w:t>
                  </w:r>
                </w:p>
              </w:tc>
              <w:tc>
                <w:tcPr>
                  <w:tcW w:w="610" w:type="pct"/>
                  <w:tcBorders>
                    <w:top w:val="nil"/>
                    <w:left w:val="nil"/>
                    <w:bottom w:val="single" w:sz="4" w:space="0" w:color="auto"/>
                    <w:right w:val="nil"/>
                  </w:tcBorders>
                  <w:shd w:val="clear" w:color="auto" w:fill="auto"/>
                  <w:noWrap/>
                  <w:vAlign w:val="center"/>
                  <w:hideMark/>
                </w:tcPr>
                <w:p w14:paraId="1AEFFA76"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3 898 559</w:t>
                  </w:r>
                </w:p>
              </w:tc>
              <w:tc>
                <w:tcPr>
                  <w:tcW w:w="610" w:type="pct"/>
                  <w:tcBorders>
                    <w:top w:val="nil"/>
                    <w:left w:val="nil"/>
                    <w:bottom w:val="single" w:sz="4" w:space="0" w:color="auto"/>
                    <w:right w:val="nil"/>
                  </w:tcBorders>
                  <w:shd w:val="clear" w:color="auto" w:fill="auto"/>
                  <w:noWrap/>
                  <w:vAlign w:val="center"/>
                  <w:hideMark/>
                </w:tcPr>
                <w:p w14:paraId="0368520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3 838 138</w:t>
                  </w:r>
                </w:p>
              </w:tc>
              <w:tc>
                <w:tcPr>
                  <w:tcW w:w="609" w:type="pct"/>
                  <w:tcBorders>
                    <w:top w:val="nil"/>
                    <w:left w:val="nil"/>
                    <w:bottom w:val="single" w:sz="4" w:space="0" w:color="auto"/>
                    <w:right w:val="nil"/>
                  </w:tcBorders>
                  <w:shd w:val="clear" w:color="auto" w:fill="auto"/>
                  <w:noWrap/>
                  <w:vAlign w:val="center"/>
                  <w:hideMark/>
                </w:tcPr>
                <w:p w14:paraId="541F326D"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710 904</w:t>
                  </w:r>
                </w:p>
              </w:tc>
            </w:tr>
            <w:tr w:rsidR="004D69BF" w:rsidRPr="00D0395E" w14:paraId="4F0A4991" w14:textId="77777777" w:rsidTr="003F4BCE">
              <w:trPr>
                <w:trHeight w:val="345"/>
              </w:trPr>
              <w:tc>
                <w:tcPr>
                  <w:tcW w:w="1340" w:type="pct"/>
                  <w:tcBorders>
                    <w:top w:val="single" w:sz="4" w:space="0" w:color="auto"/>
                    <w:left w:val="nil"/>
                    <w:bottom w:val="single" w:sz="4" w:space="0" w:color="auto"/>
                    <w:right w:val="nil"/>
                  </w:tcBorders>
                  <w:shd w:val="clear" w:color="auto" w:fill="auto"/>
                  <w:noWrap/>
                  <w:vAlign w:val="center"/>
                  <w:hideMark/>
                </w:tcPr>
                <w:p w14:paraId="2EAF119E" w14:textId="77777777" w:rsidR="004D69BF" w:rsidRPr="00D0395E" w:rsidRDefault="004D69BF" w:rsidP="000240DA">
                  <w:pPr>
                    <w:spacing w:after="0"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Schodok (-)</w:t>
                  </w:r>
                </w:p>
              </w:tc>
              <w:tc>
                <w:tcPr>
                  <w:tcW w:w="611" w:type="pct"/>
                  <w:tcBorders>
                    <w:top w:val="single" w:sz="4" w:space="0" w:color="auto"/>
                    <w:left w:val="nil"/>
                    <w:bottom w:val="single" w:sz="4" w:space="0" w:color="auto"/>
                    <w:right w:val="nil"/>
                  </w:tcBorders>
                  <w:shd w:val="clear" w:color="auto" w:fill="auto"/>
                  <w:noWrap/>
                  <w:vAlign w:val="center"/>
                  <w:hideMark/>
                </w:tcPr>
                <w:p w14:paraId="0D4398AB"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-4 524 853</w:t>
                  </w:r>
                </w:p>
              </w:tc>
              <w:tc>
                <w:tcPr>
                  <w:tcW w:w="610" w:type="pct"/>
                  <w:tcBorders>
                    <w:top w:val="single" w:sz="4" w:space="0" w:color="auto"/>
                    <w:left w:val="nil"/>
                    <w:bottom w:val="single" w:sz="4" w:space="0" w:color="auto"/>
                    <w:right w:val="nil"/>
                  </w:tcBorders>
                  <w:shd w:val="clear" w:color="auto" w:fill="auto"/>
                  <w:noWrap/>
                  <w:vAlign w:val="center"/>
                  <w:hideMark/>
                </w:tcPr>
                <w:p w14:paraId="7544896C"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-7 675 337</w:t>
                  </w:r>
                </w:p>
              </w:tc>
              <w:tc>
                <w:tcPr>
                  <w:tcW w:w="610" w:type="pct"/>
                  <w:tcBorders>
                    <w:top w:val="single" w:sz="4" w:space="0" w:color="auto"/>
                    <w:left w:val="nil"/>
                    <w:bottom w:val="single" w:sz="4" w:space="0" w:color="auto"/>
                    <w:right w:val="nil"/>
                  </w:tcBorders>
                  <w:shd w:val="clear" w:color="auto" w:fill="auto"/>
                  <w:noWrap/>
                  <w:vAlign w:val="center"/>
                  <w:hideMark/>
                </w:tcPr>
                <w:p w14:paraId="6158E201"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-7 615 931</w:t>
                  </w:r>
                </w:p>
              </w:tc>
              <w:tc>
                <w:tcPr>
                  <w:tcW w:w="610" w:type="pct"/>
                  <w:tcBorders>
                    <w:top w:val="single" w:sz="4" w:space="0" w:color="auto"/>
                    <w:left w:val="nil"/>
                    <w:bottom w:val="single" w:sz="4" w:space="0" w:color="auto"/>
                    <w:right w:val="nil"/>
                  </w:tcBorders>
                  <w:shd w:val="clear" w:color="auto" w:fill="auto"/>
                  <w:noWrap/>
                  <w:vAlign w:val="center"/>
                  <w:hideMark/>
                </w:tcPr>
                <w:p w14:paraId="29E31E40"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-7 677 191</w:t>
                  </w:r>
                </w:p>
              </w:tc>
              <w:tc>
                <w:tcPr>
                  <w:tcW w:w="610" w:type="pct"/>
                  <w:tcBorders>
                    <w:top w:val="single" w:sz="4" w:space="0" w:color="auto"/>
                    <w:left w:val="nil"/>
                    <w:bottom w:val="single" w:sz="4" w:space="0" w:color="auto"/>
                    <w:right w:val="nil"/>
                  </w:tcBorders>
                  <w:shd w:val="clear" w:color="auto" w:fill="auto"/>
                  <w:noWrap/>
                  <w:vAlign w:val="center"/>
                  <w:hideMark/>
                </w:tcPr>
                <w:p w14:paraId="090C4795"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-6 366 120</w:t>
                  </w:r>
                </w:p>
              </w:tc>
              <w:tc>
                <w:tcPr>
                  <w:tcW w:w="609" w:type="pct"/>
                  <w:tcBorders>
                    <w:top w:val="single" w:sz="4" w:space="0" w:color="auto"/>
                    <w:left w:val="nil"/>
                    <w:bottom w:val="single" w:sz="4" w:space="0" w:color="auto"/>
                    <w:right w:val="nil"/>
                  </w:tcBorders>
                  <w:shd w:val="clear" w:color="auto" w:fill="auto"/>
                  <w:noWrap/>
                  <w:vAlign w:val="center"/>
                  <w:hideMark/>
                </w:tcPr>
                <w:p w14:paraId="3722D9CC"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1 249 811</w:t>
                  </w:r>
                </w:p>
              </w:tc>
            </w:tr>
          </w:tbl>
          <w:p w14:paraId="652A21BD" w14:textId="77777777" w:rsidR="004D69BF" w:rsidRPr="000B69FA" w:rsidRDefault="004D69BF" w:rsidP="000240DA">
            <w:pPr>
              <w:spacing w:line="240" w:lineRule="auto"/>
              <w:jc w:val="left"/>
              <w:rPr>
                <w:rFonts w:eastAsia="Times New Roman" w:cs="Times New Roman"/>
                <w:b/>
                <w:bCs/>
                <w:color w:val="2F75B5"/>
                <w:sz w:val="20"/>
                <w:szCs w:val="20"/>
                <w:lang w:eastAsia="sk-SK"/>
              </w:rPr>
            </w:pPr>
          </w:p>
        </w:tc>
      </w:tr>
    </w:tbl>
    <w:p w14:paraId="3D80E000" w14:textId="15A7583E" w:rsidR="004D69BF" w:rsidRPr="00792687" w:rsidRDefault="00792687" w:rsidP="00792687">
      <w:pPr>
        <w:spacing w:after="0" w:line="240" w:lineRule="auto"/>
        <w:rPr>
          <w:sz w:val="18"/>
          <w:szCs w:val="18"/>
        </w:rPr>
      </w:pPr>
      <w:r w:rsidRPr="00792687">
        <w:rPr>
          <w:sz w:val="18"/>
          <w:szCs w:val="18"/>
        </w:rPr>
        <w:t>S – skutočnosť</w:t>
      </w:r>
      <w:r>
        <w:rPr>
          <w:sz w:val="18"/>
          <w:szCs w:val="18"/>
        </w:rPr>
        <w:t xml:space="preserve"> </w:t>
      </w:r>
      <w:r w:rsidR="003B03E0">
        <w:rPr>
          <w:sz w:val="18"/>
          <w:szCs w:val="18"/>
        </w:rPr>
        <w:t xml:space="preserve">/ </w:t>
      </w:r>
      <w:r w:rsidR="003B03E0" w:rsidRPr="00792687">
        <w:rPr>
          <w:sz w:val="18"/>
          <w:szCs w:val="18"/>
        </w:rPr>
        <w:t>R – schválený rozpočet</w:t>
      </w:r>
      <w:r w:rsidR="003B03E0">
        <w:rPr>
          <w:sz w:val="18"/>
          <w:szCs w:val="18"/>
        </w:rPr>
        <w:t xml:space="preserve"> / </w:t>
      </w:r>
      <w:r w:rsidR="003B03E0" w:rsidRPr="00792687">
        <w:rPr>
          <w:sz w:val="18"/>
          <w:szCs w:val="18"/>
        </w:rPr>
        <w:t>UR – upravený rozpočet</w:t>
      </w:r>
      <w:r>
        <w:rPr>
          <w:sz w:val="18"/>
          <w:szCs w:val="18"/>
        </w:rPr>
        <w:tab/>
      </w:r>
      <w:r>
        <w:rPr>
          <w:sz w:val="18"/>
          <w:szCs w:val="18"/>
        </w:rPr>
        <w:tab/>
      </w:r>
      <w:r>
        <w:rPr>
          <w:sz w:val="18"/>
          <w:szCs w:val="18"/>
        </w:rPr>
        <w:tab/>
      </w:r>
      <w:r>
        <w:rPr>
          <w:sz w:val="18"/>
          <w:szCs w:val="18"/>
        </w:rPr>
        <w:tab/>
      </w:r>
      <w:r w:rsidR="0070263C">
        <w:rPr>
          <w:sz w:val="18"/>
          <w:szCs w:val="18"/>
        </w:rPr>
        <w:t xml:space="preserve">           </w:t>
      </w:r>
      <w:r>
        <w:rPr>
          <w:sz w:val="18"/>
          <w:szCs w:val="18"/>
        </w:rPr>
        <w:tab/>
      </w:r>
      <w:r>
        <w:rPr>
          <w:sz w:val="18"/>
          <w:szCs w:val="18"/>
        </w:rPr>
        <w:tab/>
      </w:r>
      <w:r w:rsidR="00000ACF">
        <w:rPr>
          <w:sz w:val="18"/>
          <w:szCs w:val="18"/>
        </w:rPr>
        <w:t xml:space="preserve">     </w:t>
      </w:r>
      <w:r>
        <w:rPr>
          <w:sz w:val="18"/>
          <w:szCs w:val="18"/>
        </w:rPr>
        <w:t>Zdroj: MF SR</w:t>
      </w:r>
    </w:p>
    <w:p w14:paraId="141E2E01" w14:textId="05EF18DF" w:rsidR="004D69BF" w:rsidRDefault="004D69BF" w:rsidP="004D69BF">
      <w:pPr>
        <w:spacing w:before="120" w:line="240" w:lineRule="auto"/>
        <w:rPr>
          <w:sz w:val="24"/>
          <w:szCs w:val="24"/>
        </w:rPr>
      </w:pPr>
      <w:r>
        <w:rPr>
          <w:sz w:val="24"/>
          <w:szCs w:val="24"/>
        </w:rPr>
        <w:lastRenderedPageBreak/>
        <w:t>Tak ako v celkovom rozpočte verejnej správy SR, tak aj v štátnom rozpočte sa odzrkadlila potreba premietnuť konsolidačné opatrenia do príjmov a výdavkov pri zohľadnení výdavkov udržujúcich sociálny štandard porovnateľný s predchádzajúcim obdobím s cieľom minimalizovať negatívny vplyv fiškálnej konsolidácie na zraniteľné skupiny obyvateľstva školstvo, zdravotníctvo, sociálne veci a rodinnú politiku či oblasť bývania. Rozpočtovanie príjmov a výdavkov zohľadňovalo aj očakávaný vývoj HDP, zamestnanosti a poklesu cen</w:t>
      </w:r>
      <w:r w:rsidR="00145663">
        <w:rPr>
          <w:sz w:val="24"/>
          <w:szCs w:val="24"/>
        </w:rPr>
        <w:t>ovej inflácie oproti roku 2023.</w:t>
      </w:r>
    </w:p>
    <w:p w14:paraId="64D79335" w14:textId="7B837CAC" w:rsidR="004D69BF" w:rsidRDefault="004D69BF" w:rsidP="004D69BF">
      <w:pPr>
        <w:spacing w:before="120" w:line="240" w:lineRule="auto"/>
        <w:rPr>
          <w:sz w:val="24"/>
          <w:szCs w:val="24"/>
        </w:rPr>
      </w:pPr>
      <w:r w:rsidRPr="00F00311">
        <w:rPr>
          <w:sz w:val="24"/>
          <w:szCs w:val="24"/>
        </w:rPr>
        <w:t>Schválené príjmy štátneho rozpočtu na rok 202</w:t>
      </w:r>
      <w:r>
        <w:rPr>
          <w:sz w:val="24"/>
          <w:szCs w:val="24"/>
        </w:rPr>
        <w:t>4</w:t>
      </w:r>
      <w:r w:rsidRPr="00F00311">
        <w:rPr>
          <w:sz w:val="24"/>
          <w:szCs w:val="24"/>
        </w:rPr>
        <w:t xml:space="preserve"> boli oproti schváleným príjmom na rok 202</w:t>
      </w:r>
      <w:r>
        <w:rPr>
          <w:sz w:val="24"/>
          <w:szCs w:val="24"/>
        </w:rPr>
        <w:t>3</w:t>
      </w:r>
      <w:r w:rsidRPr="00F00311">
        <w:rPr>
          <w:sz w:val="24"/>
          <w:szCs w:val="24"/>
        </w:rPr>
        <w:t xml:space="preserve"> </w:t>
      </w:r>
      <w:r>
        <w:rPr>
          <w:sz w:val="24"/>
          <w:szCs w:val="24"/>
        </w:rPr>
        <w:t>nižšie</w:t>
      </w:r>
      <w:r w:rsidRPr="00F00311">
        <w:rPr>
          <w:sz w:val="24"/>
          <w:szCs w:val="24"/>
        </w:rPr>
        <w:t xml:space="preserve"> úhrnom o</w:t>
      </w:r>
      <w:r w:rsidR="00145663">
        <w:rPr>
          <w:sz w:val="24"/>
          <w:szCs w:val="24"/>
        </w:rPr>
        <w:t> 3 997 223 </w:t>
      </w:r>
      <w:r>
        <w:rPr>
          <w:sz w:val="24"/>
          <w:szCs w:val="24"/>
        </w:rPr>
        <w:t>tis.</w:t>
      </w:r>
      <w:r w:rsidR="00145663">
        <w:rPr>
          <w:sz w:val="24"/>
          <w:szCs w:val="24"/>
        </w:rPr>
        <w:t> </w:t>
      </w:r>
      <w:r>
        <w:rPr>
          <w:sz w:val="24"/>
          <w:szCs w:val="24"/>
        </w:rPr>
        <w:t>eur</w:t>
      </w:r>
      <w:r w:rsidRPr="00F00311">
        <w:rPr>
          <w:sz w:val="24"/>
          <w:szCs w:val="24"/>
        </w:rPr>
        <w:t xml:space="preserve">, pričom </w:t>
      </w:r>
      <w:r>
        <w:rPr>
          <w:sz w:val="24"/>
          <w:szCs w:val="24"/>
        </w:rPr>
        <w:t>pokles bol spôs</w:t>
      </w:r>
      <w:r w:rsidR="00145663">
        <w:rPr>
          <w:sz w:val="24"/>
          <w:szCs w:val="24"/>
        </w:rPr>
        <w:t>obený najmä nižšími príjmami zo </w:t>
      </w:r>
      <w:r>
        <w:rPr>
          <w:sz w:val="24"/>
          <w:szCs w:val="24"/>
        </w:rPr>
        <w:t>zahraničných transferov o 5 276</w:t>
      </w:r>
      <w:r w:rsidR="00145663">
        <w:rPr>
          <w:sz w:val="24"/>
          <w:szCs w:val="24"/>
        </w:rPr>
        <w:t> </w:t>
      </w:r>
      <w:r>
        <w:rPr>
          <w:sz w:val="24"/>
          <w:szCs w:val="24"/>
        </w:rPr>
        <w:t>164</w:t>
      </w:r>
      <w:r w:rsidR="00145663">
        <w:rPr>
          <w:sz w:val="24"/>
          <w:szCs w:val="24"/>
        </w:rPr>
        <w:t> </w:t>
      </w:r>
      <w:r>
        <w:rPr>
          <w:sz w:val="24"/>
          <w:szCs w:val="24"/>
        </w:rPr>
        <w:t>tis</w:t>
      </w:r>
      <w:r w:rsidR="00145663">
        <w:rPr>
          <w:sz w:val="24"/>
          <w:szCs w:val="24"/>
        </w:rPr>
        <w:t> </w:t>
      </w:r>
      <w:r>
        <w:rPr>
          <w:sz w:val="24"/>
          <w:szCs w:val="24"/>
        </w:rPr>
        <w:t>eur (po silnom čerpaní eurofondov v roku 2023) kompenzovaný vyššími rozpočtov</w:t>
      </w:r>
      <w:r w:rsidR="00145663">
        <w:rPr>
          <w:sz w:val="24"/>
          <w:szCs w:val="24"/>
        </w:rPr>
        <w:t>anými daňovými príjmami o 1 838 447 </w:t>
      </w:r>
      <w:r>
        <w:rPr>
          <w:sz w:val="24"/>
          <w:szCs w:val="24"/>
        </w:rPr>
        <w:t>tis.</w:t>
      </w:r>
      <w:r w:rsidR="00145663">
        <w:rPr>
          <w:sz w:val="24"/>
          <w:szCs w:val="24"/>
        </w:rPr>
        <w:t> </w:t>
      </w:r>
      <w:r>
        <w:rPr>
          <w:sz w:val="24"/>
          <w:szCs w:val="24"/>
        </w:rPr>
        <w:t>eur. V náraste daňových príjmov sa prejavilo aj rozpočtovanie solidárneho príspevku z činností v odvetviach ropy, zemného plynu, uhlia a rafinérií (354</w:t>
      </w:r>
      <w:r w:rsidR="00145663">
        <w:rPr>
          <w:sz w:val="24"/>
          <w:szCs w:val="24"/>
        </w:rPr>
        <w:t> </w:t>
      </w:r>
      <w:r>
        <w:rPr>
          <w:sz w:val="24"/>
          <w:szCs w:val="24"/>
        </w:rPr>
        <w:t>113</w:t>
      </w:r>
      <w:r w:rsidR="00145663">
        <w:rPr>
          <w:sz w:val="24"/>
          <w:szCs w:val="24"/>
        </w:rPr>
        <w:t> </w:t>
      </w:r>
      <w:r>
        <w:rPr>
          <w:sz w:val="24"/>
          <w:szCs w:val="24"/>
        </w:rPr>
        <w:t>tis.</w:t>
      </w:r>
      <w:r w:rsidR="00145663">
        <w:rPr>
          <w:sz w:val="24"/>
          <w:szCs w:val="24"/>
        </w:rPr>
        <w:t> </w:t>
      </w:r>
      <w:r>
        <w:rPr>
          <w:sz w:val="24"/>
          <w:szCs w:val="24"/>
        </w:rPr>
        <w:t>eur), ktorý bol v roku 2023 rozpočtovaný v rámci nedaňových príjmov. V rámci nedaňových príjmov sa medziročne počítalo s vyššími príjmami z administratívny</w:t>
      </w:r>
      <w:r w:rsidR="00145663">
        <w:rPr>
          <w:sz w:val="24"/>
          <w:szCs w:val="24"/>
        </w:rPr>
        <w:t>ch poplatkov a platieb o 42 851 </w:t>
      </w:r>
      <w:r>
        <w:rPr>
          <w:sz w:val="24"/>
          <w:szCs w:val="24"/>
        </w:rPr>
        <w:t>tis.</w:t>
      </w:r>
      <w:r w:rsidR="00145663">
        <w:rPr>
          <w:sz w:val="24"/>
          <w:szCs w:val="24"/>
        </w:rPr>
        <w:t> </w:t>
      </w:r>
      <w:r>
        <w:rPr>
          <w:sz w:val="24"/>
          <w:szCs w:val="24"/>
        </w:rPr>
        <w:t>eur.</w:t>
      </w:r>
    </w:p>
    <w:p w14:paraId="3D3756F5" w14:textId="2BFE0E66" w:rsidR="004D69BF" w:rsidRPr="002F35BA" w:rsidRDefault="004D69BF" w:rsidP="004D69BF">
      <w:pPr>
        <w:spacing w:before="120" w:line="240" w:lineRule="auto"/>
        <w:rPr>
          <w:b/>
          <w:bCs/>
          <w:sz w:val="24"/>
          <w:szCs w:val="24"/>
        </w:rPr>
      </w:pPr>
      <w:r w:rsidRPr="000C6738">
        <w:rPr>
          <w:sz w:val="24"/>
          <w:szCs w:val="24"/>
        </w:rPr>
        <w:t>Výdavky štátneho rozpočtu 2024 boli plánované medziročne nižšie o 4 722</w:t>
      </w:r>
      <w:r w:rsidR="0070263C">
        <w:rPr>
          <w:sz w:val="24"/>
          <w:szCs w:val="24"/>
        </w:rPr>
        <w:t> </w:t>
      </w:r>
      <w:r w:rsidRPr="000C6738">
        <w:rPr>
          <w:sz w:val="24"/>
          <w:szCs w:val="24"/>
        </w:rPr>
        <w:t>664</w:t>
      </w:r>
      <w:r w:rsidR="0070263C">
        <w:rPr>
          <w:sz w:val="24"/>
          <w:szCs w:val="24"/>
        </w:rPr>
        <w:t> </w:t>
      </w:r>
      <w:r w:rsidRPr="000C6738">
        <w:rPr>
          <w:sz w:val="24"/>
          <w:szCs w:val="24"/>
        </w:rPr>
        <w:t>tis.</w:t>
      </w:r>
      <w:r w:rsidR="0070263C">
        <w:rPr>
          <w:sz w:val="24"/>
          <w:szCs w:val="24"/>
        </w:rPr>
        <w:t> </w:t>
      </w:r>
      <w:r w:rsidRPr="000C6738">
        <w:rPr>
          <w:sz w:val="24"/>
          <w:szCs w:val="24"/>
        </w:rPr>
        <w:t>eur, pričom nižšie sa rozpočtovali kapitálové výdavky o 2 818</w:t>
      </w:r>
      <w:r w:rsidR="00145663">
        <w:rPr>
          <w:sz w:val="24"/>
          <w:szCs w:val="24"/>
        </w:rPr>
        <w:t> </w:t>
      </w:r>
      <w:r w:rsidRPr="000C6738">
        <w:rPr>
          <w:sz w:val="24"/>
          <w:szCs w:val="24"/>
        </w:rPr>
        <w:t>861</w:t>
      </w:r>
      <w:r w:rsidR="00145663">
        <w:rPr>
          <w:sz w:val="24"/>
          <w:szCs w:val="24"/>
        </w:rPr>
        <w:t> </w:t>
      </w:r>
      <w:r w:rsidRPr="000C6738">
        <w:rPr>
          <w:sz w:val="24"/>
          <w:szCs w:val="24"/>
        </w:rPr>
        <w:t>tis.</w:t>
      </w:r>
      <w:r w:rsidR="00145663">
        <w:rPr>
          <w:sz w:val="24"/>
          <w:szCs w:val="24"/>
        </w:rPr>
        <w:t> </w:t>
      </w:r>
      <w:r w:rsidRPr="000C6738">
        <w:rPr>
          <w:sz w:val="24"/>
          <w:szCs w:val="24"/>
        </w:rPr>
        <w:t>eur (naviazané najmä na</w:t>
      </w:r>
      <w:r w:rsidR="00145663">
        <w:rPr>
          <w:sz w:val="24"/>
          <w:szCs w:val="24"/>
        </w:rPr>
        <w:t> </w:t>
      </w:r>
      <w:r w:rsidRPr="000C6738">
        <w:rPr>
          <w:sz w:val="24"/>
          <w:szCs w:val="24"/>
        </w:rPr>
        <w:t>nižšie očakávané príjmy z rozpočtu EÚ) a b</w:t>
      </w:r>
      <w:r w:rsidR="00145663">
        <w:rPr>
          <w:sz w:val="24"/>
          <w:szCs w:val="24"/>
        </w:rPr>
        <w:t>ežné výdavky nižšie o 1 903 802 </w:t>
      </w:r>
      <w:r w:rsidRPr="000C6738">
        <w:rPr>
          <w:sz w:val="24"/>
          <w:szCs w:val="24"/>
        </w:rPr>
        <w:t>tis.</w:t>
      </w:r>
      <w:r w:rsidR="00145663">
        <w:rPr>
          <w:sz w:val="24"/>
          <w:szCs w:val="24"/>
        </w:rPr>
        <w:t> </w:t>
      </w:r>
      <w:r w:rsidRPr="000C6738">
        <w:rPr>
          <w:sz w:val="24"/>
          <w:szCs w:val="24"/>
        </w:rPr>
        <w:t xml:space="preserve">eur. </w:t>
      </w:r>
      <w:r w:rsidRPr="000C6738">
        <w:rPr>
          <w:b/>
          <w:bCs/>
          <w:sz w:val="24"/>
          <w:szCs w:val="24"/>
        </w:rPr>
        <w:t xml:space="preserve">Rozpočtované hotovostné saldo štátneho rozpočtu </w:t>
      </w:r>
      <w:r>
        <w:rPr>
          <w:b/>
          <w:bCs/>
          <w:sz w:val="24"/>
          <w:szCs w:val="24"/>
        </w:rPr>
        <w:t xml:space="preserve">2024 </w:t>
      </w:r>
      <w:r w:rsidRPr="000C6738">
        <w:rPr>
          <w:b/>
          <w:bCs/>
          <w:sz w:val="24"/>
          <w:szCs w:val="24"/>
        </w:rPr>
        <w:t>tak bolo oproti roku 2023 nižšie úhrnom o 725</w:t>
      </w:r>
      <w:r w:rsidR="00145663">
        <w:rPr>
          <w:b/>
          <w:bCs/>
          <w:sz w:val="24"/>
          <w:szCs w:val="24"/>
        </w:rPr>
        <w:t> </w:t>
      </w:r>
      <w:r w:rsidRPr="000C6738">
        <w:rPr>
          <w:b/>
          <w:bCs/>
          <w:sz w:val="24"/>
          <w:szCs w:val="24"/>
        </w:rPr>
        <w:t>441</w:t>
      </w:r>
      <w:r w:rsidR="00145663">
        <w:rPr>
          <w:b/>
          <w:bCs/>
          <w:sz w:val="24"/>
          <w:szCs w:val="24"/>
        </w:rPr>
        <w:t> </w:t>
      </w:r>
      <w:r w:rsidRPr="000C6738">
        <w:rPr>
          <w:b/>
          <w:bCs/>
          <w:sz w:val="24"/>
          <w:szCs w:val="24"/>
        </w:rPr>
        <w:t>tis.</w:t>
      </w:r>
      <w:r w:rsidR="00145663">
        <w:rPr>
          <w:b/>
          <w:bCs/>
          <w:sz w:val="24"/>
          <w:szCs w:val="24"/>
        </w:rPr>
        <w:t> </w:t>
      </w:r>
      <w:r w:rsidRPr="000C6738">
        <w:rPr>
          <w:b/>
          <w:bCs/>
          <w:sz w:val="24"/>
          <w:szCs w:val="24"/>
        </w:rPr>
        <w:t>eur.</w:t>
      </w:r>
    </w:p>
    <w:p w14:paraId="0F0FD4C4" w14:textId="141D35BC" w:rsidR="004D69BF" w:rsidRPr="00F00311" w:rsidRDefault="004D69BF" w:rsidP="004D69BF">
      <w:pPr>
        <w:spacing w:line="240" w:lineRule="auto"/>
        <w:rPr>
          <w:sz w:val="24"/>
          <w:szCs w:val="24"/>
        </w:rPr>
      </w:pPr>
      <w:r w:rsidRPr="00F00311">
        <w:rPr>
          <w:sz w:val="24"/>
          <w:szCs w:val="24"/>
        </w:rPr>
        <w:t>Úpravy rozpočtu sa realizovali na základe aktualizovaných informácií o plnení úloh a</w:t>
      </w:r>
      <w:r w:rsidR="00145663">
        <w:rPr>
          <w:sz w:val="24"/>
          <w:szCs w:val="24"/>
        </w:rPr>
        <w:t> </w:t>
      </w:r>
      <w:r w:rsidRPr="00F00311">
        <w:rPr>
          <w:sz w:val="24"/>
          <w:szCs w:val="24"/>
        </w:rPr>
        <w:t>požiadaviek jednotlivých kapitol ŠR počas rozpočtového roku, legislatívnych zmien, ktoré môžu priniesť zmenu v príjmoch alebo výdavkoch, ako aj na základe aktuálneho vývoja ekonomiky a verejných financií.</w:t>
      </w:r>
    </w:p>
    <w:p w14:paraId="6D621BEC" w14:textId="605131AB" w:rsidR="004D69BF" w:rsidRDefault="004D69BF" w:rsidP="004D69BF">
      <w:pPr>
        <w:spacing w:line="240" w:lineRule="auto"/>
        <w:rPr>
          <w:bCs/>
          <w:sz w:val="24"/>
          <w:szCs w:val="24"/>
        </w:rPr>
      </w:pPr>
      <w:r w:rsidRPr="00B65422">
        <w:rPr>
          <w:bCs/>
          <w:sz w:val="24"/>
          <w:szCs w:val="24"/>
        </w:rPr>
        <w:t>V priebehu rozpočtového roka 202</w:t>
      </w:r>
      <w:r>
        <w:rPr>
          <w:bCs/>
          <w:sz w:val="24"/>
          <w:szCs w:val="24"/>
        </w:rPr>
        <w:t>4</w:t>
      </w:r>
      <w:r w:rsidRPr="00B65422">
        <w:rPr>
          <w:bCs/>
          <w:sz w:val="24"/>
          <w:szCs w:val="24"/>
        </w:rPr>
        <w:t xml:space="preserve"> sa vykonali v súlade s rozpočtovými pravidlami rozpočtové opatrenia, ktoré </w:t>
      </w:r>
      <w:r>
        <w:rPr>
          <w:bCs/>
          <w:sz w:val="24"/>
          <w:szCs w:val="24"/>
        </w:rPr>
        <w:t>znížili schodok úhrnom o 61</w:t>
      </w:r>
      <w:r w:rsidR="00E545A8">
        <w:rPr>
          <w:bCs/>
          <w:sz w:val="24"/>
          <w:szCs w:val="24"/>
        </w:rPr>
        <w:t> </w:t>
      </w:r>
      <w:r>
        <w:rPr>
          <w:bCs/>
          <w:sz w:val="24"/>
          <w:szCs w:val="24"/>
        </w:rPr>
        <w:t>260</w:t>
      </w:r>
      <w:r w:rsidR="00E545A8">
        <w:rPr>
          <w:bCs/>
          <w:sz w:val="24"/>
          <w:szCs w:val="24"/>
        </w:rPr>
        <w:t> </w:t>
      </w:r>
      <w:r>
        <w:rPr>
          <w:bCs/>
          <w:sz w:val="24"/>
          <w:szCs w:val="24"/>
        </w:rPr>
        <w:t>tis.</w:t>
      </w:r>
      <w:r w:rsidR="00E545A8">
        <w:rPr>
          <w:bCs/>
          <w:sz w:val="24"/>
          <w:szCs w:val="24"/>
        </w:rPr>
        <w:t> </w:t>
      </w:r>
      <w:r>
        <w:rPr>
          <w:bCs/>
          <w:sz w:val="24"/>
          <w:szCs w:val="24"/>
        </w:rPr>
        <w:t>eur. Na základe priebežného čerpania príjmov z rozpočtu EU (vrátane zdroja POO), ktoré sa upravili smerom nahor o 1 564</w:t>
      </w:r>
      <w:r w:rsidR="00E545A8">
        <w:rPr>
          <w:bCs/>
          <w:sz w:val="24"/>
          <w:szCs w:val="24"/>
        </w:rPr>
        <w:t> </w:t>
      </w:r>
      <w:r>
        <w:rPr>
          <w:bCs/>
          <w:sz w:val="24"/>
          <w:szCs w:val="24"/>
        </w:rPr>
        <w:t>528</w:t>
      </w:r>
      <w:r w:rsidR="00E545A8">
        <w:rPr>
          <w:bCs/>
          <w:sz w:val="24"/>
          <w:szCs w:val="24"/>
        </w:rPr>
        <w:t> </w:t>
      </w:r>
      <w:r>
        <w:rPr>
          <w:bCs/>
          <w:sz w:val="24"/>
          <w:szCs w:val="24"/>
        </w:rPr>
        <w:t>tis.</w:t>
      </w:r>
      <w:r w:rsidR="00E545A8">
        <w:rPr>
          <w:bCs/>
          <w:sz w:val="24"/>
          <w:szCs w:val="24"/>
        </w:rPr>
        <w:t> </w:t>
      </w:r>
      <w:r>
        <w:rPr>
          <w:bCs/>
          <w:sz w:val="24"/>
          <w:szCs w:val="24"/>
        </w:rPr>
        <w:t>eur sa upravili aj výdavky, najmä na kapit</w:t>
      </w:r>
      <w:r w:rsidR="00E545A8">
        <w:rPr>
          <w:bCs/>
          <w:sz w:val="24"/>
          <w:szCs w:val="24"/>
        </w:rPr>
        <w:t>álových transferoch o 1 367 682 tis. </w:t>
      </w:r>
      <w:r>
        <w:rPr>
          <w:bCs/>
          <w:sz w:val="24"/>
          <w:szCs w:val="24"/>
        </w:rPr>
        <w:t>eur. Schválené daňové príjmy neboli úpravou rozpočtu menené, nedaňové príjmy boli zvýšené len minimálne. Z bežných výdavkov boli ďalej upravené mzdy a platy o 153</w:t>
      </w:r>
      <w:r w:rsidR="00E545A8">
        <w:rPr>
          <w:bCs/>
          <w:sz w:val="24"/>
          <w:szCs w:val="24"/>
        </w:rPr>
        <w:t> </w:t>
      </w:r>
      <w:r>
        <w:rPr>
          <w:bCs/>
          <w:sz w:val="24"/>
          <w:szCs w:val="24"/>
        </w:rPr>
        <w:t>656</w:t>
      </w:r>
      <w:r w:rsidR="00E545A8">
        <w:rPr>
          <w:bCs/>
          <w:sz w:val="24"/>
          <w:szCs w:val="24"/>
        </w:rPr>
        <w:t> </w:t>
      </w:r>
      <w:r>
        <w:rPr>
          <w:bCs/>
          <w:sz w:val="24"/>
          <w:szCs w:val="24"/>
        </w:rPr>
        <w:t>tis.</w:t>
      </w:r>
      <w:r w:rsidR="00E545A8">
        <w:rPr>
          <w:bCs/>
          <w:sz w:val="24"/>
          <w:szCs w:val="24"/>
        </w:rPr>
        <w:t> </w:t>
      </w:r>
      <w:r>
        <w:rPr>
          <w:bCs/>
          <w:sz w:val="24"/>
          <w:szCs w:val="24"/>
        </w:rPr>
        <w:t>eur a s tým aj poistné</w:t>
      </w:r>
      <w:r w:rsidR="00E545A8">
        <w:rPr>
          <w:bCs/>
          <w:sz w:val="24"/>
          <w:szCs w:val="24"/>
        </w:rPr>
        <w:t xml:space="preserve"> a príspevok do poisťovní o 50 004 </w:t>
      </w:r>
      <w:r>
        <w:rPr>
          <w:bCs/>
          <w:sz w:val="24"/>
          <w:szCs w:val="24"/>
        </w:rPr>
        <w:t>tis.</w:t>
      </w:r>
      <w:r w:rsidR="00E545A8">
        <w:rPr>
          <w:bCs/>
          <w:sz w:val="24"/>
          <w:szCs w:val="24"/>
        </w:rPr>
        <w:t> </w:t>
      </w:r>
      <w:r>
        <w:rPr>
          <w:bCs/>
          <w:sz w:val="24"/>
          <w:szCs w:val="24"/>
        </w:rPr>
        <w:t>eur.</w:t>
      </w:r>
    </w:p>
    <w:p w14:paraId="67D619D4" w14:textId="152908F1" w:rsidR="004D69BF" w:rsidRDefault="004D69BF" w:rsidP="004D69BF">
      <w:pPr>
        <w:spacing w:line="240" w:lineRule="auto"/>
        <w:rPr>
          <w:sz w:val="24"/>
          <w:szCs w:val="24"/>
        </w:rPr>
      </w:pPr>
      <w:r w:rsidRPr="00F00311">
        <w:rPr>
          <w:sz w:val="24"/>
          <w:szCs w:val="24"/>
        </w:rPr>
        <w:t>Prehľad o rozpočtovaných a skutočne dosiahnutých vybraných rozpočtových ukazovateľoch</w:t>
      </w:r>
      <w:r>
        <w:rPr>
          <w:sz w:val="24"/>
          <w:szCs w:val="24"/>
        </w:rPr>
        <w:t xml:space="preserve"> v podobe tzv. základného rámca štátneho rozpočtu</w:t>
      </w:r>
      <w:r w:rsidRPr="00F00311">
        <w:rPr>
          <w:sz w:val="24"/>
          <w:szCs w:val="24"/>
        </w:rPr>
        <w:t xml:space="preserve"> poskytuje nasledujúca tabuľka:</w:t>
      </w:r>
    </w:p>
    <w:p w14:paraId="64248BE6" w14:textId="2F21B10F" w:rsidR="00E545A8" w:rsidRPr="00E545A8" w:rsidRDefault="00E545A8" w:rsidP="00E545A8">
      <w:pPr>
        <w:pStyle w:val="Popis"/>
        <w:keepNext/>
        <w:spacing w:after="120"/>
        <w:rPr>
          <w:rFonts w:eastAsia="Times New Roman" w:cs="Times New Roman"/>
          <w:b/>
          <w:bCs/>
          <w:i w:val="0"/>
          <w:iCs w:val="0"/>
          <w:color w:val="5B9BD5"/>
          <w:sz w:val="20"/>
          <w:szCs w:val="20"/>
          <w:lang w:eastAsia="sk-SK"/>
        </w:rPr>
      </w:pPr>
      <w:bookmarkStart w:id="87" w:name="_Toc196313649"/>
      <w:bookmarkStart w:id="88" w:name="_Toc196389270"/>
      <w:r w:rsidRPr="00E545A8">
        <w:rPr>
          <w:rFonts w:eastAsia="Times New Roman" w:cs="Times New Roman"/>
          <w:b/>
          <w:bCs/>
          <w:i w:val="0"/>
          <w:iCs w:val="0"/>
          <w:color w:val="5B9BD5"/>
          <w:sz w:val="20"/>
          <w:szCs w:val="20"/>
          <w:lang w:eastAsia="sk-SK"/>
        </w:rPr>
        <w:t xml:space="preserve">Tabuľka </w:t>
      </w:r>
      <w:r w:rsidRPr="00E545A8">
        <w:rPr>
          <w:rFonts w:eastAsia="Times New Roman" w:cs="Times New Roman"/>
          <w:b/>
          <w:bCs/>
          <w:i w:val="0"/>
          <w:iCs w:val="0"/>
          <w:color w:val="5B9BD5"/>
          <w:sz w:val="20"/>
          <w:szCs w:val="20"/>
          <w:lang w:eastAsia="sk-SK"/>
        </w:rPr>
        <w:fldChar w:fldCharType="begin"/>
      </w:r>
      <w:r w:rsidRPr="00E545A8">
        <w:rPr>
          <w:rFonts w:eastAsia="Times New Roman" w:cs="Times New Roman"/>
          <w:b/>
          <w:bCs/>
          <w:i w:val="0"/>
          <w:iCs w:val="0"/>
          <w:color w:val="5B9BD5"/>
          <w:sz w:val="20"/>
          <w:szCs w:val="20"/>
          <w:lang w:eastAsia="sk-SK"/>
        </w:rPr>
        <w:instrText xml:space="preserve"> SEQ Tabuľka \* ARABIC </w:instrText>
      </w:r>
      <w:r w:rsidRPr="00E545A8">
        <w:rPr>
          <w:rFonts w:eastAsia="Times New Roman" w:cs="Times New Roman"/>
          <w:b/>
          <w:bCs/>
          <w:i w:val="0"/>
          <w:iCs w:val="0"/>
          <w:color w:val="5B9BD5"/>
          <w:sz w:val="20"/>
          <w:szCs w:val="20"/>
          <w:lang w:eastAsia="sk-SK"/>
        </w:rPr>
        <w:fldChar w:fldCharType="separate"/>
      </w:r>
      <w:r w:rsidR="00C64CBA">
        <w:rPr>
          <w:rFonts w:eastAsia="Times New Roman" w:cs="Times New Roman"/>
          <w:b/>
          <w:bCs/>
          <w:i w:val="0"/>
          <w:iCs w:val="0"/>
          <w:noProof/>
          <w:color w:val="5B9BD5"/>
          <w:sz w:val="20"/>
          <w:szCs w:val="20"/>
          <w:lang w:eastAsia="sk-SK"/>
        </w:rPr>
        <w:t>23</w:t>
      </w:r>
      <w:r w:rsidRPr="00E545A8">
        <w:rPr>
          <w:rFonts w:eastAsia="Times New Roman" w:cs="Times New Roman"/>
          <w:b/>
          <w:bCs/>
          <w:i w:val="0"/>
          <w:iCs w:val="0"/>
          <w:color w:val="5B9BD5"/>
          <w:sz w:val="20"/>
          <w:szCs w:val="20"/>
          <w:lang w:eastAsia="sk-SK"/>
        </w:rPr>
        <w:fldChar w:fldCharType="end"/>
      </w:r>
      <w:r w:rsidRPr="00E545A8">
        <w:rPr>
          <w:rFonts w:eastAsia="Times New Roman" w:cs="Times New Roman"/>
          <w:b/>
          <w:bCs/>
          <w:i w:val="0"/>
          <w:iCs w:val="0"/>
          <w:color w:val="5B9BD5"/>
          <w:sz w:val="20"/>
          <w:szCs w:val="20"/>
          <w:lang w:eastAsia="sk-SK"/>
        </w:rPr>
        <w:t xml:space="preserve"> - Základný rámec štátneho rozpočtu</w:t>
      </w:r>
      <w:bookmarkEnd w:id="87"/>
      <w:bookmarkEnd w:id="88"/>
    </w:p>
    <w:tbl>
      <w:tblPr>
        <w:tblW w:w="5000" w:type="pct"/>
        <w:tblCellMar>
          <w:left w:w="70" w:type="dxa"/>
          <w:right w:w="70" w:type="dxa"/>
        </w:tblCellMar>
        <w:tblLook w:val="04A0" w:firstRow="1" w:lastRow="0" w:firstColumn="1" w:lastColumn="0" w:noHBand="0" w:noVBand="1"/>
      </w:tblPr>
      <w:tblGrid>
        <w:gridCol w:w="3909"/>
        <w:gridCol w:w="950"/>
        <w:gridCol w:w="950"/>
        <w:gridCol w:w="950"/>
        <w:gridCol w:w="1251"/>
        <w:gridCol w:w="920"/>
      </w:tblGrid>
      <w:tr w:rsidR="00E545A8" w:rsidRPr="00D0395E" w14:paraId="67BC7986" w14:textId="77777777" w:rsidTr="003F4BCE">
        <w:trPr>
          <w:trHeight w:val="280"/>
          <w:tblHeader/>
        </w:trPr>
        <w:tc>
          <w:tcPr>
            <w:tcW w:w="2221" w:type="pct"/>
            <w:vMerge w:val="restart"/>
            <w:tcBorders>
              <w:top w:val="single" w:sz="4" w:space="0" w:color="auto"/>
              <w:left w:val="nil"/>
              <w:bottom w:val="single" w:sz="8" w:space="0" w:color="000000"/>
              <w:right w:val="nil"/>
            </w:tcBorders>
            <w:shd w:val="clear" w:color="auto" w:fill="auto"/>
            <w:vAlign w:val="center"/>
            <w:hideMark/>
          </w:tcPr>
          <w:p w14:paraId="68EE9124" w14:textId="77777777" w:rsidR="00E545A8" w:rsidRPr="00D0395E" w:rsidRDefault="00E545A8" w:rsidP="00E545A8">
            <w:pPr>
              <w:spacing w:after="0" w:line="240" w:lineRule="auto"/>
              <w:jc w:val="lef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v tis. eur</w:t>
            </w:r>
          </w:p>
        </w:tc>
        <w:tc>
          <w:tcPr>
            <w:tcW w:w="516" w:type="pct"/>
            <w:tcBorders>
              <w:top w:val="single" w:sz="4" w:space="0" w:color="auto"/>
              <w:left w:val="nil"/>
              <w:bottom w:val="nil"/>
              <w:right w:val="nil"/>
            </w:tcBorders>
            <w:shd w:val="clear" w:color="auto" w:fill="auto"/>
            <w:vAlign w:val="center"/>
            <w:hideMark/>
          </w:tcPr>
          <w:p w14:paraId="23430193" w14:textId="77777777" w:rsidR="00E545A8" w:rsidRPr="00D0395E" w:rsidRDefault="00E545A8" w:rsidP="00E545A8">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2022 S</w:t>
            </w:r>
          </w:p>
        </w:tc>
        <w:tc>
          <w:tcPr>
            <w:tcW w:w="516" w:type="pct"/>
            <w:tcBorders>
              <w:top w:val="single" w:sz="4" w:space="0" w:color="auto"/>
              <w:left w:val="nil"/>
              <w:bottom w:val="nil"/>
              <w:right w:val="nil"/>
            </w:tcBorders>
            <w:shd w:val="clear" w:color="auto" w:fill="auto"/>
            <w:vAlign w:val="center"/>
            <w:hideMark/>
          </w:tcPr>
          <w:p w14:paraId="5CA022AB" w14:textId="77777777" w:rsidR="00E545A8" w:rsidRPr="00D0395E" w:rsidRDefault="00E545A8" w:rsidP="00E545A8">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2023 S</w:t>
            </w:r>
          </w:p>
        </w:tc>
        <w:tc>
          <w:tcPr>
            <w:tcW w:w="516" w:type="pct"/>
            <w:tcBorders>
              <w:top w:val="single" w:sz="4" w:space="0" w:color="auto"/>
              <w:left w:val="nil"/>
              <w:bottom w:val="nil"/>
              <w:right w:val="nil"/>
            </w:tcBorders>
            <w:shd w:val="clear" w:color="auto" w:fill="auto"/>
            <w:vAlign w:val="center"/>
            <w:hideMark/>
          </w:tcPr>
          <w:p w14:paraId="065ED1CB" w14:textId="77777777" w:rsidR="00E545A8" w:rsidRPr="00D0395E" w:rsidRDefault="00E545A8" w:rsidP="00E545A8">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2024 R</w:t>
            </w:r>
          </w:p>
        </w:tc>
        <w:tc>
          <w:tcPr>
            <w:tcW w:w="733" w:type="pct"/>
            <w:tcBorders>
              <w:top w:val="single" w:sz="4" w:space="0" w:color="auto"/>
              <w:left w:val="nil"/>
              <w:bottom w:val="nil"/>
              <w:right w:val="nil"/>
            </w:tcBorders>
            <w:shd w:val="clear" w:color="auto" w:fill="auto"/>
            <w:vAlign w:val="center"/>
            <w:hideMark/>
          </w:tcPr>
          <w:p w14:paraId="7EA2F9C9" w14:textId="77777777" w:rsidR="00E545A8" w:rsidRPr="00D0395E" w:rsidRDefault="00E545A8" w:rsidP="00E545A8">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2024 S</w:t>
            </w:r>
          </w:p>
        </w:tc>
        <w:tc>
          <w:tcPr>
            <w:tcW w:w="499" w:type="pct"/>
            <w:tcBorders>
              <w:top w:val="single" w:sz="4" w:space="0" w:color="auto"/>
              <w:left w:val="nil"/>
              <w:bottom w:val="nil"/>
              <w:right w:val="nil"/>
            </w:tcBorders>
            <w:shd w:val="clear" w:color="auto" w:fill="auto"/>
            <w:vAlign w:val="center"/>
            <w:hideMark/>
          </w:tcPr>
          <w:p w14:paraId="4D559831" w14:textId="77777777" w:rsidR="00E545A8" w:rsidRPr="00D0395E" w:rsidRDefault="00E545A8" w:rsidP="00E545A8">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Rozdiel</w:t>
            </w:r>
          </w:p>
        </w:tc>
      </w:tr>
      <w:tr w:rsidR="00E545A8" w:rsidRPr="00D0395E" w14:paraId="3FF9A78F" w14:textId="77777777" w:rsidTr="003F4BCE">
        <w:trPr>
          <w:trHeight w:val="290"/>
          <w:tblHeader/>
        </w:trPr>
        <w:tc>
          <w:tcPr>
            <w:tcW w:w="2221" w:type="pct"/>
            <w:vMerge/>
            <w:tcBorders>
              <w:top w:val="nil"/>
              <w:left w:val="nil"/>
              <w:bottom w:val="single" w:sz="4" w:space="0" w:color="auto"/>
              <w:right w:val="nil"/>
            </w:tcBorders>
            <w:vAlign w:val="center"/>
            <w:hideMark/>
          </w:tcPr>
          <w:p w14:paraId="448EEED5" w14:textId="77777777" w:rsidR="00E545A8" w:rsidRPr="00D0395E" w:rsidRDefault="00E545A8" w:rsidP="00E545A8">
            <w:pPr>
              <w:spacing w:after="0" w:line="240" w:lineRule="auto"/>
              <w:jc w:val="left"/>
              <w:rPr>
                <w:rFonts w:eastAsia="Times New Roman" w:cs="Times New Roman"/>
                <w:b/>
                <w:bCs/>
                <w:color w:val="000000"/>
                <w:sz w:val="18"/>
                <w:szCs w:val="18"/>
                <w:lang w:eastAsia="sk-SK"/>
              </w:rPr>
            </w:pPr>
          </w:p>
        </w:tc>
        <w:tc>
          <w:tcPr>
            <w:tcW w:w="516" w:type="pct"/>
            <w:tcBorders>
              <w:top w:val="nil"/>
              <w:left w:val="nil"/>
              <w:bottom w:val="single" w:sz="4" w:space="0" w:color="auto"/>
              <w:right w:val="nil"/>
            </w:tcBorders>
            <w:shd w:val="clear" w:color="auto" w:fill="auto"/>
            <w:noWrap/>
            <w:vAlign w:val="center"/>
            <w:hideMark/>
          </w:tcPr>
          <w:p w14:paraId="3A6D4376" w14:textId="77777777" w:rsidR="00E545A8" w:rsidRPr="00D0395E" w:rsidRDefault="00E545A8" w:rsidP="00E545A8">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w:t>
            </w:r>
          </w:p>
        </w:tc>
        <w:tc>
          <w:tcPr>
            <w:tcW w:w="516" w:type="pct"/>
            <w:tcBorders>
              <w:top w:val="nil"/>
              <w:left w:val="nil"/>
              <w:bottom w:val="single" w:sz="4" w:space="0" w:color="auto"/>
              <w:right w:val="nil"/>
            </w:tcBorders>
            <w:shd w:val="clear" w:color="auto" w:fill="auto"/>
            <w:noWrap/>
            <w:vAlign w:val="center"/>
            <w:hideMark/>
          </w:tcPr>
          <w:p w14:paraId="0CC1D6CB" w14:textId="77777777" w:rsidR="00E545A8" w:rsidRPr="00D0395E" w:rsidRDefault="00E545A8" w:rsidP="00E545A8">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w:t>
            </w:r>
          </w:p>
        </w:tc>
        <w:tc>
          <w:tcPr>
            <w:tcW w:w="516" w:type="pct"/>
            <w:tcBorders>
              <w:top w:val="nil"/>
              <w:left w:val="nil"/>
              <w:bottom w:val="single" w:sz="4" w:space="0" w:color="auto"/>
              <w:right w:val="nil"/>
            </w:tcBorders>
            <w:shd w:val="clear" w:color="auto" w:fill="auto"/>
            <w:noWrap/>
            <w:vAlign w:val="center"/>
            <w:hideMark/>
          </w:tcPr>
          <w:p w14:paraId="0359E3D2" w14:textId="77777777" w:rsidR="00E545A8" w:rsidRPr="00D0395E" w:rsidRDefault="00E545A8" w:rsidP="00E545A8">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w:t>
            </w:r>
          </w:p>
        </w:tc>
        <w:tc>
          <w:tcPr>
            <w:tcW w:w="733" w:type="pct"/>
            <w:tcBorders>
              <w:top w:val="nil"/>
              <w:left w:val="nil"/>
              <w:bottom w:val="single" w:sz="4" w:space="0" w:color="auto"/>
              <w:right w:val="nil"/>
            </w:tcBorders>
            <w:shd w:val="clear" w:color="auto" w:fill="auto"/>
            <w:noWrap/>
            <w:vAlign w:val="center"/>
            <w:hideMark/>
          </w:tcPr>
          <w:p w14:paraId="2A859A00" w14:textId="77777777" w:rsidR="00E545A8" w:rsidRPr="00D0395E" w:rsidRDefault="00E545A8" w:rsidP="00E545A8">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4</w:t>
            </w:r>
          </w:p>
        </w:tc>
        <w:tc>
          <w:tcPr>
            <w:tcW w:w="499" w:type="pct"/>
            <w:tcBorders>
              <w:top w:val="nil"/>
              <w:left w:val="nil"/>
              <w:bottom w:val="single" w:sz="4" w:space="0" w:color="auto"/>
              <w:right w:val="nil"/>
            </w:tcBorders>
            <w:shd w:val="clear" w:color="auto" w:fill="auto"/>
            <w:noWrap/>
            <w:vAlign w:val="center"/>
            <w:hideMark/>
          </w:tcPr>
          <w:p w14:paraId="6271BA01" w14:textId="77777777" w:rsidR="00E545A8" w:rsidRPr="00D0395E" w:rsidRDefault="00E545A8" w:rsidP="00E545A8">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5=4-3</w:t>
            </w:r>
          </w:p>
        </w:tc>
      </w:tr>
      <w:tr w:rsidR="00E545A8" w:rsidRPr="00D0395E" w14:paraId="1BFABAC2" w14:textId="77777777" w:rsidTr="003F4BCE">
        <w:trPr>
          <w:trHeight w:val="280"/>
        </w:trPr>
        <w:tc>
          <w:tcPr>
            <w:tcW w:w="2221" w:type="pct"/>
            <w:tcBorders>
              <w:top w:val="single" w:sz="4" w:space="0" w:color="auto"/>
              <w:left w:val="nil"/>
              <w:bottom w:val="nil"/>
              <w:right w:val="nil"/>
            </w:tcBorders>
            <w:shd w:val="clear" w:color="auto" w:fill="auto"/>
            <w:noWrap/>
            <w:vAlign w:val="center"/>
            <w:hideMark/>
          </w:tcPr>
          <w:p w14:paraId="679DE1B4" w14:textId="77777777" w:rsidR="00E545A8" w:rsidRPr="00D0395E" w:rsidRDefault="00E545A8" w:rsidP="00E545A8">
            <w:pPr>
              <w:spacing w:after="0" w:line="240" w:lineRule="auto"/>
              <w:jc w:val="lef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Príjmy štátneho rozpočtu</w:t>
            </w:r>
          </w:p>
        </w:tc>
        <w:tc>
          <w:tcPr>
            <w:tcW w:w="516" w:type="pct"/>
            <w:tcBorders>
              <w:top w:val="single" w:sz="4" w:space="0" w:color="auto"/>
              <w:left w:val="nil"/>
              <w:bottom w:val="nil"/>
              <w:right w:val="nil"/>
            </w:tcBorders>
            <w:shd w:val="clear" w:color="auto" w:fill="auto"/>
            <w:noWrap/>
            <w:vAlign w:val="center"/>
            <w:hideMark/>
          </w:tcPr>
          <w:p w14:paraId="2EE89E8B" w14:textId="77777777" w:rsidR="00E545A8" w:rsidRPr="00D0395E" w:rsidRDefault="00E545A8" w:rsidP="00E545A8">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19 029 702</w:t>
            </w:r>
          </w:p>
        </w:tc>
        <w:tc>
          <w:tcPr>
            <w:tcW w:w="516" w:type="pct"/>
            <w:tcBorders>
              <w:top w:val="single" w:sz="4" w:space="0" w:color="auto"/>
              <w:left w:val="nil"/>
              <w:bottom w:val="nil"/>
              <w:right w:val="nil"/>
            </w:tcBorders>
            <w:shd w:val="clear" w:color="auto" w:fill="auto"/>
            <w:noWrap/>
            <w:vAlign w:val="center"/>
            <w:hideMark/>
          </w:tcPr>
          <w:p w14:paraId="2D170068" w14:textId="77777777" w:rsidR="00E545A8" w:rsidRPr="00D0395E" w:rsidRDefault="00E545A8" w:rsidP="00E545A8">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23 688 646</w:t>
            </w:r>
          </w:p>
        </w:tc>
        <w:tc>
          <w:tcPr>
            <w:tcW w:w="516" w:type="pct"/>
            <w:tcBorders>
              <w:top w:val="single" w:sz="4" w:space="0" w:color="auto"/>
              <w:left w:val="nil"/>
              <w:bottom w:val="nil"/>
              <w:right w:val="nil"/>
            </w:tcBorders>
            <w:shd w:val="clear" w:color="auto" w:fill="auto"/>
            <w:noWrap/>
            <w:vAlign w:val="center"/>
            <w:hideMark/>
          </w:tcPr>
          <w:p w14:paraId="66775B50" w14:textId="77777777" w:rsidR="00E545A8" w:rsidRPr="00D0395E" w:rsidRDefault="00E545A8" w:rsidP="00E545A8">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22 701 961</w:t>
            </w:r>
          </w:p>
        </w:tc>
        <w:tc>
          <w:tcPr>
            <w:tcW w:w="733" w:type="pct"/>
            <w:tcBorders>
              <w:top w:val="single" w:sz="4" w:space="0" w:color="auto"/>
              <w:left w:val="nil"/>
              <w:bottom w:val="nil"/>
              <w:right w:val="nil"/>
            </w:tcBorders>
            <w:shd w:val="clear" w:color="auto" w:fill="auto"/>
            <w:noWrap/>
            <w:vAlign w:val="center"/>
            <w:hideMark/>
          </w:tcPr>
          <w:p w14:paraId="0BF6FB7C" w14:textId="77777777" w:rsidR="00E545A8" w:rsidRPr="00D0395E" w:rsidRDefault="00E545A8" w:rsidP="00E545A8">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24 457 784</w:t>
            </w:r>
          </w:p>
        </w:tc>
        <w:tc>
          <w:tcPr>
            <w:tcW w:w="499" w:type="pct"/>
            <w:tcBorders>
              <w:top w:val="single" w:sz="4" w:space="0" w:color="auto"/>
              <w:left w:val="nil"/>
              <w:bottom w:val="nil"/>
              <w:right w:val="nil"/>
            </w:tcBorders>
            <w:shd w:val="clear" w:color="auto" w:fill="auto"/>
            <w:noWrap/>
            <w:vAlign w:val="center"/>
            <w:hideMark/>
          </w:tcPr>
          <w:p w14:paraId="1D1A7B59" w14:textId="77777777" w:rsidR="00E545A8" w:rsidRPr="00D0395E" w:rsidRDefault="00E545A8" w:rsidP="00E545A8">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1 755 823</w:t>
            </w:r>
          </w:p>
        </w:tc>
      </w:tr>
      <w:tr w:rsidR="00E545A8" w:rsidRPr="00D0395E" w14:paraId="39447EA1" w14:textId="77777777" w:rsidTr="003F4BCE">
        <w:trPr>
          <w:trHeight w:val="280"/>
        </w:trPr>
        <w:tc>
          <w:tcPr>
            <w:tcW w:w="2221" w:type="pct"/>
            <w:tcBorders>
              <w:top w:val="nil"/>
              <w:left w:val="nil"/>
              <w:bottom w:val="nil"/>
              <w:right w:val="nil"/>
            </w:tcBorders>
            <w:shd w:val="clear" w:color="auto" w:fill="auto"/>
            <w:noWrap/>
            <w:vAlign w:val="center"/>
            <w:hideMark/>
          </w:tcPr>
          <w:p w14:paraId="7CDB6B81" w14:textId="77777777" w:rsidR="00E545A8" w:rsidRPr="00D0395E" w:rsidRDefault="00E545A8" w:rsidP="00E545A8">
            <w:pPr>
              <w:spacing w:after="0" w:line="240" w:lineRule="auto"/>
              <w:ind w:firstLineChars="100" w:firstLine="180"/>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Daňové príjmy</w:t>
            </w:r>
          </w:p>
        </w:tc>
        <w:tc>
          <w:tcPr>
            <w:tcW w:w="516" w:type="pct"/>
            <w:tcBorders>
              <w:top w:val="nil"/>
              <w:left w:val="nil"/>
              <w:bottom w:val="nil"/>
              <w:right w:val="nil"/>
            </w:tcBorders>
            <w:shd w:val="clear" w:color="auto" w:fill="auto"/>
            <w:noWrap/>
            <w:vAlign w:val="center"/>
            <w:hideMark/>
          </w:tcPr>
          <w:p w14:paraId="08B83B90"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15 517 036</w:t>
            </w:r>
          </w:p>
        </w:tc>
        <w:tc>
          <w:tcPr>
            <w:tcW w:w="516" w:type="pct"/>
            <w:tcBorders>
              <w:top w:val="nil"/>
              <w:left w:val="nil"/>
              <w:bottom w:val="nil"/>
              <w:right w:val="nil"/>
            </w:tcBorders>
            <w:shd w:val="clear" w:color="auto" w:fill="auto"/>
            <w:noWrap/>
            <w:vAlign w:val="center"/>
            <w:hideMark/>
          </w:tcPr>
          <w:p w14:paraId="1ED1B4FE"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17 440 976</w:t>
            </w:r>
          </w:p>
        </w:tc>
        <w:tc>
          <w:tcPr>
            <w:tcW w:w="516" w:type="pct"/>
            <w:tcBorders>
              <w:top w:val="nil"/>
              <w:left w:val="nil"/>
              <w:bottom w:val="nil"/>
              <w:right w:val="nil"/>
            </w:tcBorders>
            <w:shd w:val="clear" w:color="auto" w:fill="auto"/>
            <w:noWrap/>
            <w:vAlign w:val="center"/>
            <w:hideMark/>
          </w:tcPr>
          <w:p w14:paraId="6E193828"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18 633 856</w:t>
            </w:r>
          </w:p>
        </w:tc>
        <w:tc>
          <w:tcPr>
            <w:tcW w:w="733" w:type="pct"/>
            <w:tcBorders>
              <w:top w:val="nil"/>
              <w:left w:val="nil"/>
              <w:bottom w:val="nil"/>
              <w:right w:val="nil"/>
            </w:tcBorders>
            <w:shd w:val="clear" w:color="auto" w:fill="auto"/>
            <w:noWrap/>
            <w:vAlign w:val="center"/>
            <w:hideMark/>
          </w:tcPr>
          <w:p w14:paraId="588C4619"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18 350 788</w:t>
            </w:r>
          </w:p>
        </w:tc>
        <w:tc>
          <w:tcPr>
            <w:tcW w:w="499" w:type="pct"/>
            <w:tcBorders>
              <w:top w:val="nil"/>
              <w:left w:val="nil"/>
              <w:bottom w:val="nil"/>
              <w:right w:val="nil"/>
            </w:tcBorders>
            <w:shd w:val="clear" w:color="auto" w:fill="auto"/>
            <w:noWrap/>
            <w:vAlign w:val="center"/>
            <w:hideMark/>
          </w:tcPr>
          <w:p w14:paraId="186A18C2"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-283 068</w:t>
            </w:r>
          </w:p>
        </w:tc>
      </w:tr>
      <w:tr w:rsidR="00E545A8" w:rsidRPr="00D0395E" w14:paraId="644632EE" w14:textId="77777777" w:rsidTr="003F4BCE">
        <w:trPr>
          <w:trHeight w:val="280"/>
        </w:trPr>
        <w:tc>
          <w:tcPr>
            <w:tcW w:w="2221" w:type="pct"/>
            <w:tcBorders>
              <w:top w:val="nil"/>
              <w:left w:val="nil"/>
              <w:bottom w:val="nil"/>
              <w:right w:val="nil"/>
            </w:tcBorders>
            <w:shd w:val="clear" w:color="auto" w:fill="auto"/>
            <w:noWrap/>
            <w:vAlign w:val="center"/>
            <w:hideMark/>
          </w:tcPr>
          <w:p w14:paraId="13BAAA27" w14:textId="77777777" w:rsidR="00E545A8" w:rsidRPr="00D0395E" w:rsidRDefault="00E545A8" w:rsidP="00E545A8">
            <w:pPr>
              <w:spacing w:after="0" w:line="240" w:lineRule="auto"/>
              <w:ind w:firstLineChars="100" w:firstLine="180"/>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Plán obnovy a odolnosti - príjmy</w:t>
            </w:r>
          </w:p>
        </w:tc>
        <w:tc>
          <w:tcPr>
            <w:tcW w:w="516" w:type="pct"/>
            <w:tcBorders>
              <w:top w:val="nil"/>
              <w:left w:val="nil"/>
              <w:bottom w:val="nil"/>
              <w:right w:val="nil"/>
            </w:tcBorders>
            <w:shd w:val="clear" w:color="auto" w:fill="auto"/>
            <w:noWrap/>
            <w:vAlign w:val="center"/>
            <w:hideMark/>
          </w:tcPr>
          <w:p w14:paraId="7B1E4E77"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41 061</w:t>
            </w:r>
          </w:p>
        </w:tc>
        <w:tc>
          <w:tcPr>
            <w:tcW w:w="516" w:type="pct"/>
            <w:tcBorders>
              <w:top w:val="nil"/>
              <w:left w:val="nil"/>
              <w:bottom w:val="nil"/>
              <w:right w:val="nil"/>
            </w:tcBorders>
            <w:shd w:val="clear" w:color="auto" w:fill="auto"/>
            <w:noWrap/>
            <w:vAlign w:val="center"/>
            <w:hideMark/>
          </w:tcPr>
          <w:p w14:paraId="54B52331"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367 278</w:t>
            </w:r>
          </w:p>
        </w:tc>
        <w:tc>
          <w:tcPr>
            <w:tcW w:w="516" w:type="pct"/>
            <w:tcBorders>
              <w:top w:val="nil"/>
              <w:left w:val="nil"/>
              <w:bottom w:val="nil"/>
              <w:right w:val="nil"/>
            </w:tcBorders>
            <w:shd w:val="clear" w:color="auto" w:fill="auto"/>
            <w:noWrap/>
            <w:vAlign w:val="center"/>
            <w:hideMark/>
          </w:tcPr>
          <w:p w14:paraId="4413E14C"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1 215 402</w:t>
            </w:r>
          </w:p>
        </w:tc>
        <w:tc>
          <w:tcPr>
            <w:tcW w:w="733" w:type="pct"/>
            <w:tcBorders>
              <w:top w:val="nil"/>
              <w:left w:val="nil"/>
              <w:bottom w:val="nil"/>
              <w:right w:val="nil"/>
            </w:tcBorders>
            <w:shd w:val="clear" w:color="auto" w:fill="auto"/>
            <w:noWrap/>
            <w:vAlign w:val="center"/>
            <w:hideMark/>
          </w:tcPr>
          <w:p w14:paraId="49B6F9EC"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907 200</w:t>
            </w:r>
          </w:p>
        </w:tc>
        <w:tc>
          <w:tcPr>
            <w:tcW w:w="499" w:type="pct"/>
            <w:tcBorders>
              <w:top w:val="nil"/>
              <w:left w:val="nil"/>
              <w:bottom w:val="nil"/>
              <w:right w:val="nil"/>
            </w:tcBorders>
            <w:shd w:val="clear" w:color="auto" w:fill="auto"/>
            <w:noWrap/>
            <w:vAlign w:val="center"/>
            <w:hideMark/>
          </w:tcPr>
          <w:p w14:paraId="0B9EC05C"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-308 202</w:t>
            </w:r>
          </w:p>
        </w:tc>
      </w:tr>
      <w:tr w:rsidR="00E545A8" w:rsidRPr="00D0395E" w14:paraId="66E9033A" w14:textId="77777777" w:rsidTr="003F4BCE">
        <w:trPr>
          <w:trHeight w:val="280"/>
        </w:trPr>
        <w:tc>
          <w:tcPr>
            <w:tcW w:w="2221" w:type="pct"/>
            <w:tcBorders>
              <w:top w:val="nil"/>
              <w:left w:val="nil"/>
              <w:bottom w:val="nil"/>
              <w:right w:val="nil"/>
            </w:tcBorders>
            <w:shd w:val="clear" w:color="auto" w:fill="auto"/>
            <w:noWrap/>
            <w:vAlign w:val="center"/>
            <w:hideMark/>
          </w:tcPr>
          <w:p w14:paraId="741CC66D" w14:textId="77777777" w:rsidR="00E545A8" w:rsidRPr="00D0395E" w:rsidRDefault="00E545A8" w:rsidP="00E545A8">
            <w:pPr>
              <w:spacing w:after="0" w:line="240" w:lineRule="auto"/>
              <w:ind w:firstLineChars="100" w:firstLine="180"/>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EÚ príjmy*</w:t>
            </w:r>
          </w:p>
        </w:tc>
        <w:tc>
          <w:tcPr>
            <w:tcW w:w="516" w:type="pct"/>
            <w:tcBorders>
              <w:top w:val="nil"/>
              <w:left w:val="nil"/>
              <w:bottom w:val="nil"/>
              <w:right w:val="nil"/>
            </w:tcBorders>
            <w:shd w:val="clear" w:color="auto" w:fill="auto"/>
            <w:noWrap/>
            <w:vAlign w:val="center"/>
            <w:hideMark/>
          </w:tcPr>
          <w:p w14:paraId="0EF52801"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2 146 641</w:t>
            </w:r>
          </w:p>
        </w:tc>
        <w:tc>
          <w:tcPr>
            <w:tcW w:w="516" w:type="pct"/>
            <w:tcBorders>
              <w:top w:val="nil"/>
              <w:left w:val="nil"/>
              <w:bottom w:val="nil"/>
              <w:right w:val="nil"/>
            </w:tcBorders>
            <w:shd w:val="clear" w:color="auto" w:fill="auto"/>
            <w:noWrap/>
            <w:vAlign w:val="center"/>
            <w:hideMark/>
          </w:tcPr>
          <w:p w14:paraId="6E0C711F"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4 141 996</w:t>
            </w:r>
          </w:p>
        </w:tc>
        <w:tc>
          <w:tcPr>
            <w:tcW w:w="516" w:type="pct"/>
            <w:tcBorders>
              <w:top w:val="nil"/>
              <w:left w:val="nil"/>
              <w:bottom w:val="nil"/>
              <w:right w:val="nil"/>
            </w:tcBorders>
            <w:shd w:val="clear" w:color="auto" w:fill="auto"/>
            <w:noWrap/>
            <w:vAlign w:val="center"/>
            <w:hideMark/>
          </w:tcPr>
          <w:p w14:paraId="6E5CAC64"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1 237 239</w:t>
            </w:r>
          </w:p>
        </w:tc>
        <w:tc>
          <w:tcPr>
            <w:tcW w:w="733" w:type="pct"/>
            <w:tcBorders>
              <w:top w:val="nil"/>
              <w:left w:val="nil"/>
              <w:bottom w:val="nil"/>
              <w:right w:val="nil"/>
            </w:tcBorders>
            <w:shd w:val="clear" w:color="auto" w:fill="auto"/>
            <w:noWrap/>
            <w:vAlign w:val="center"/>
            <w:hideMark/>
          </w:tcPr>
          <w:p w14:paraId="744E7B86"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3 225 492</w:t>
            </w:r>
          </w:p>
        </w:tc>
        <w:tc>
          <w:tcPr>
            <w:tcW w:w="499" w:type="pct"/>
            <w:tcBorders>
              <w:top w:val="nil"/>
              <w:left w:val="nil"/>
              <w:bottom w:val="nil"/>
              <w:right w:val="nil"/>
            </w:tcBorders>
            <w:shd w:val="clear" w:color="auto" w:fill="auto"/>
            <w:noWrap/>
            <w:vAlign w:val="center"/>
            <w:hideMark/>
          </w:tcPr>
          <w:p w14:paraId="01E5C5FC"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1 988 253</w:t>
            </w:r>
          </w:p>
        </w:tc>
      </w:tr>
      <w:tr w:rsidR="00E545A8" w:rsidRPr="00D0395E" w14:paraId="18CB84E1" w14:textId="77777777" w:rsidTr="003F4BCE">
        <w:trPr>
          <w:trHeight w:val="280"/>
        </w:trPr>
        <w:tc>
          <w:tcPr>
            <w:tcW w:w="2221" w:type="pct"/>
            <w:tcBorders>
              <w:top w:val="nil"/>
              <w:left w:val="nil"/>
              <w:bottom w:val="nil"/>
              <w:right w:val="nil"/>
            </w:tcBorders>
            <w:shd w:val="clear" w:color="auto" w:fill="auto"/>
            <w:noWrap/>
            <w:vAlign w:val="center"/>
            <w:hideMark/>
          </w:tcPr>
          <w:p w14:paraId="142DA822" w14:textId="77777777" w:rsidR="00E545A8" w:rsidRPr="00D0395E" w:rsidRDefault="00E545A8" w:rsidP="00E545A8">
            <w:pPr>
              <w:spacing w:after="0" w:line="240" w:lineRule="auto"/>
              <w:ind w:firstLineChars="100" w:firstLine="180"/>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Dividendy a iné príjmy z podnikania</w:t>
            </w:r>
          </w:p>
        </w:tc>
        <w:tc>
          <w:tcPr>
            <w:tcW w:w="516" w:type="pct"/>
            <w:tcBorders>
              <w:top w:val="nil"/>
              <w:left w:val="nil"/>
              <w:bottom w:val="nil"/>
              <w:right w:val="nil"/>
            </w:tcBorders>
            <w:shd w:val="clear" w:color="auto" w:fill="auto"/>
            <w:noWrap/>
            <w:vAlign w:val="center"/>
            <w:hideMark/>
          </w:tcPr>
          <w:p w14:paraId="3697E596"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160 719</w:t>
            </w:r>
          </w:p>
        </w:tc>
        <w:tc>
          <w:tcPr>
            <w:tcW w:w="516" w:type="pct"/>
            <w:tcBorders>
              <w:top w:val="nil"/>
              <w:left w:val="nil"/>
              <w:bottom w:val="nil"/>
              <w:right w:val="nil"/>
            </w:tcBorders>
            <w:shd w:val="clear" w:color="auto" w:fill="auto"/>
            <w:noWrap/>
            <w:vAlign w:val="center"/>
            <w:hideMark/>
          </w:tcPr>
          <w:p w14:paraId="7C4F7F09"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592 612</w:t>
            </w:r>
          </w:p>
        </w:tc>
        <w:tc>
          <w:tcPr>
            <w:tcW w:w="516" w:type="pct"/>
            <w:tcBorders>
              <w:top w:val="nil"/>
              <w:left w:val="nil"/>
              <w:bottom w:val="nil"/>
              <w:right w:val="nil"/>
            </w:tcBorders>
            <w:shd w:val="clear" w:color="auto" w:fill="auto"/>
            <w:noWrap/>
            <w:vAlign w:val="center"/>
            <w:hideMark/>
          </w:tcPr>
          <w:p w14:paraId="10C96A6B"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516 727</w:t>
            </w:r>
          </w:p>
        </w:tc>
        <w:tc>
          <w:tcPr>
            <w:tcW w:w="733" w:type="pct"/>
            <w:tcBorders>
              <w:top w:val="nil"/>
              <w:left w:val="nil"/>
              <w:bottom w:val="nil"/>
              <w:right w:val="nil"/>
            </w:tcBorders>
            <w:shd w:val="clear" w:color="auto" w:fill="auto"/>
            <w:noWrap/>
            <w:vAlign w:val="center"/>
            <w:hideMark/>
          </w:tcPr>
          <w:p w14:paraId="1A043EF3"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528 522</w:t>
            </w:r>
          </w:p>
        </w:tc>
        <w:tc>
          <w:tcPr>
            <w:tcW w:w="499" w:type="pct"/>
            <w:tcBorders>
              <w:top w:val="nil"/>
              <w:left w:val="nil"/>
              <w:bottom w:val="nil"/>
              <w:right w:val="nil"/>
            </w:tcBorders>
            <w:shd w:val="clear" w:color="auto" w:fill="auto"/>
            <w:noWrap/>
            <w:vAlign w:val="center"/>
            <w:hideMark/>
          </w:tcPr>
          <w:p w14:paraId="2FEFACF8"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11 795</w:t>
            </w:r>
          </w:p>
        </w:tc>
      </w:tr>
      <w:tr w:rsidR="00E545A8" w:rsidRPr="00D0395E" w14:paraId="47A701F0" w14:textId="77777777" w:rsidTr="003F4BCE">
        <w:trPr>
          <w:trHeight w:val="280"/>
        </w:trPr>
        <w:tc>
          <w:tcPr>
            <w:tcW w:w="2221" w:type="pct"/>
            <w:tcBorders>
              <w:top w:val="nil"/>
              <w:left w:val="nil"/>
              <w:bottom w:val="nil"/>
              <w:right w:val="nil"/>
            </w:tcBorders>
            <w:shd w:val="clear" w:color="auto" w:fill="auto"/>
            <w:noWrap/>
            <w:vAlign w:val="center"/>
            <w:hideMark/>
          </w:tcPr>
          <w:p w14:paraId="52B57CF6" w14:textId="77777777" w:rsidR="00E545A8" w:rsidRPr="00D0395E" w:rsidRDefault="00E545A8" w:rsidP="00E545A8">
            <w:pPr>
              <w:spacing w:after="0" w:line="240" w:lineRule="auto"/>
              <w:ind w:firstLineChars="100" w:firstLine="180"/>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Ostatné príjmy</w:t>
            </w:r>
          </w:p>
        </w:tc>
        <w:tc>
          <w:tcPr>
            <w:tcW w:w="516" w:type="pct"/>
            <w:tcBorders>
              <w:top w:val="nil"/>
              <w:left w:val="nil"/>
              <w:bottom w:val="nil"/>
              <w:right w:val="nil"/>
            </w:tcBorders>
            <w:shd w:val="clear" w:color="auto" w:fill="auto"/>
            <w:noWrap/>
            <w:vAlign w:val="center"/>
            <w:hideMark/>
          </w:tcPr>
          <w:p w14:paraId="1787BF50"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1 161 955</w:t>
            </w:r>
          </w:p>
        </w:tc>
        <w:tc>
          <w:tcPr>
            <w:tcW w:w="516" w:type="pct"/>
            <w:tcBorders>
              <w:top w:val="nil"/>
              <w:left w:val="nil"/>
              <w:bottom w:val="nil"/>
              <w:right w:val="nil"/>
            </w:tcBorders>
            <w:shd w:val="clear" w:color="auto" w:fill="auto"/>
            <w:noWrap/>
            <w:vAlign w:val="center"/>
            <w:hideMark/>
          </w:tcPr>
          <w:p w14:paraId="4DC320A6"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1 143 049</w:t>
            </w:r>
          </w:p>
        </w:tc>
        <w:tc>
          <w:tcPr>
            <w:tcW w:w="516" w:type="pct"/>
            <w:tcBorders>
              <w:top w:val="nil"/>
              <w:left w:val="nil"/>
              <w:bottom w:val="nil"/>
              <w:right w:val="nil"/>
            </w:tcBorders>
            <w:shd w:val="clear" w:color="auto" w:fill="auto"/>
            <w:noWrap/>
            <w:vAlign w:val="center"/>
            <w:hideMark/>
          </w:tcPr>
          <w:p w14:paraId="51C8702C"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1 095 952</w:t>
            </w:r>
          </w:p>
        </w:tc>
        <w:tc>
          <w:tcPr>
            <w:tcW w:w="733" w:type="pct"/>
            <w:tcBorders>
              <w:top w:val="nil"/>
              <w:left w:val="nil"/>
              <w:bottom w:val="nil"/>
              <w:right w:val="nil"/>
            </w:tcBorders>
            <w:shd w:val="clear" w:color="auto" w:fill="auto"/>
            <w:noWrap/>
            <w:vAlign w:val="center"/>
            <w:hideMark/>
          </w:tcPr>
          <w:p w14:paraId="11842918"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1 441 462</w:t>
            </w:r>
          </w:p>
        </w:tc>
        <w:tc>
          <w:tcPr>
            <w:tcW w:w="499" w:type="pct"/>
            <w:tcBorders>
              <w:top w:val="nil"/>
              <w:left w:val="nil"/>
              <w:bottom w:val="nil"/>
              <w:right w:val="nil"/>
            </w:tcBorders>
            <w:shd w:val="clear" w:color="auto" w:fill="auto"/>
            <w:noWrap/>
            <w:vAlign w:val="center"/>
            <w:hideMark/>
          </w:tcPr>
          <w:p w14:paraId="162940C8"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345 510</w:t>
            </w:r>
          </w:p>
        </w:tc>
      </w:tr>
      <w:tr w:rsidR="00E545A8" w:rsidRPr="00D0395E" w14:paraId="13519AD2" w14:textId="77777777" w:rsidTr="003F4BCE">
        <w:trPr>
          <w:trHeight w:val="280"/>
        </w:trPr>
        <w:tc>
          <w:tcPr>
            <w:tcW w:w="2221" w:type="pct"/>
            <w:tcBorders>
              <w:top w:val="nil"/>
              <w:left w:val="nil"/>
              <w:bottom w:val="nil"/>
              <w:right w:val="nil"/>
            </w:tcBorders>
            <w:shd w:val="clear" w:color="auto" w:fill="auto"/>
            <w:noWrap/>
            <w:vAlign w:val="center"/>
            <w:hideMark/>
          </w:tcPr>
          <w:p w14:paraId="6D022063" w14:textId="77777777" w:rsidR="00E545A8" w:rsidRPr="00D0395E" w:rsidRDefault="00E545A8" w:rsidP="00E545A8">
            <w:pPr>
              <w:spacing w:after="0" w:line="240" w:lineRule="auto"/>
              <w:ind w:firstLineChars="100" w:firstLine="180"/>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Príjmy v zmysle § 17, ods. 4</w:t>
            </w:r>
          </w:p>
        </w:tc>
        <w:tc>
          <w:tcPr>
            <w:tcW w:w="516" w:type="pct"/>
            <w:tcBorders>
              <w:top w:val="nil"/>
              <w:left w:val="nil"/>
              <w:bottom w:val="nil"/>
              <w:right w:val="nil"/>
            </w:tcBorders>
            <w:shd w:val="clear" w:color="auto" w:fill="auto"/>
            <w:noWrap/>
            <w:vAlign w:val="center"/>
            <w:hideMark/>
          </w:tcPr>
          <w:p w14:paraId="05A16BC2"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2 290</w:t>
            </w:r>
          </w:p>
        </w:tc>
        <w:tc>
          <w:tcPr>
            <w:tcW w:w="516" w:type="pct"/>
            <w:tcBorders>
              <w:top w:val="nil"/>
              <w:left w:val="nil"/>
              <w:bottom w:val="nil"/>
              <w:right w:val="nil"/>
            </w:tcBorders>
            <w:shd w:val="clear" w:color="auto" w:fill="auto"/>
            <w:noWrap/>
            <w:vAlign w:val="center"/>
            <w:hideMark/>
          </w:tcPr>
          <w:p w14:paraId="1CAF9346"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2 735</w:t>
            </w:r>
          </w:p>
        </w:tc>
        <w:tc>
          <w:tcPr>
            <w:tcW w:w="516" w:type="pct"/>
            <w:tcBorders>
              <w:top w:val="nil"/>
              <w:left w:val="nil"/>
              <w:bottom w:val="nil"/>
              <w:right w:val="nil"/>
            </w:tcBorders>
            <w:shd w:val="clear" w:color="auto" w:fill="auto"/>
            <w:noWrap/>
            <w:vAlign w:val="center"/>
            <w:hideMark/>
          </w:tcPr>
          <w:p w14:paraId="16B194D6"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2 785</w:t>
            </w:r>
          </w:p>
        </w:tc>
        <w:tc>
          <w:tcPr>
            <w:tcW w:w="733" w:type="pct"/>
            <w:tcBorders>
              <w:top w:val="nil"/>
              <w:left w:val="nil"/>
              <w:bottom w:val="nil"/>
              <w:right w:val="nil"/>
            </w:tcBorders>
            <w:shd w:val="clear" w:color="auto" w:fill="auto"/>
            <w:noWrap/>
            <w:vAlign w:val="center"/>
            <w:hideMark/>
          </w:tcPr>
          <w:p w14:paraId="35A79642"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4 320</w:t>
            </w:r>
          </w:p>
        </w:tc>
        <w:tc>
          <w:tcPr>
            <w:tcW w:w="499" w:type="pct"/>
            <w:tcBorders>
              <w:top w:val="nil"/>
              <w:left w:val="nil"/>
              <w:bottom w:val="nil"/>
              <w:right w:val="nil"/>
            </w:tcBorders>
            <w:shd w:val="clear" w:color="auto" w:fill="auto"/>
            <w:noWrap/>
            <w:vAlign w:val="center"/>
            <w:hideMark/>
          </w:tcPr>
          <w:p w14:paraId="793C2482"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1 535</w:t>
            </w:r>
          </w:p>
        </w:tc>
      </w:tr>
      <w:tr w:rsidR="00E545A8" w:rsidRPr="00D0395E" w14:paraId="7C474FE4" w14:textId="77777777" w:rsidTr="003F4BCE">
        <w:trPr>
          <w:trHeight w:val="280"/>
        </w:trPr>
        <w:tc>
          <w:tcPr>
            <w:tcW w:w="2221" w:type="pct"/>
            <w:tcBorders>
              <w:top w:val="nil"/>
              <w:left w:val="nil"/>
              <w:bottom w:val="nil"/>
              <w:right w:val="nil"/>
            </w:tcBorders>
            <w:shd w:val="clear" w:color="auto" w:fill="auto"/>
            <w:noWrap/>
            <w:vAlign w:val="center"/>
            <w:hideMark/>
          </w:tcPr>
          <w:p w14:paraId="3CAD2D0D" w14:textId="77777777" w:rsidR="00E545A8" w:rsidRPr="00D0395E" w:rsidRDefault="00E545A8" w:rsidP="00E545A8">
            <w:pPr>
              <w:spacing w:after="0" w:line="240" w:lineRule="auto"/>
              <w:jc w:val="lef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Výdavky štátneho rozpočtu</w:t>
            </w:r>
          </w:p>
        </w:tc>
        <w:tc>
          <w:tcPr>
            <w:tcW w:w="516" w:type="pct"/>
            <w:tcBorders>
              <w:top w:val="nil"/>
              <w:left w:val="nil"/>
              <w:bottom w:val="nil"/>
              <w:right w:val="nil"/>
            </w:tcBorders>
            <w:shd w:val="clear" w:color="auto" w:fill="auto"/>
            <w:noWrap/>
            <w:vAlign w:val="center"/>
            <w:hideMark/>
          </w:tcPr>
          <w:p w14:paraId="5AA61F7E" w14:textId="77777777" w:rsidR="00E545A8" w:rsidRPr="00D0395E" w:rsidRDefault="00E545A8" w:rsidP="00E545A8">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23 554 555</w:t>
            </w:r>
          </w:p>
        </w:tc>
        <w:tc>
          <w:tcPr>
            <w:tcW w:w="516" w:type="pct"/>
            <w:tcBorders>
              <w:top w:val="nil"/>
              <w:left w:val="nil"/>
              <w:bottom w:val="nil"/>
              <w:right w:val="nil"/>
            </w:tcBorders>
            <w:shd w:val="clear" w:color="auto" w:fill="auto"/>
            <w:noWrap/>
            <w:vAlign w:val="center"/>
            <w:hideMark/>
          </w:tcPr>
          <w:p w14:paraId="32130176" w14:textId="77777777" w:rsidR="00E545A8" w:rsidRPr="00D0395E" w:rsidRDefault="00E545A8" w:rsidP="00E545A8">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31 363 983</w:t>
            </w:r>
          </w:p>
        </w:tc>
        <w:tc>
          <w:tcPr>
            <w:tcW w:w="516" w:type="pct"/>
            <w:tcBorders>
              <w:top w:val="nil"/>
              <w:left w:val="nil"/>
              <w:bottom w:val="nil"/>
              <w:right w:val="nil"/>
            </w:tcBorders>
            <w:shd w:val="clear" w:color="auto" w:fill="auto"/>
            <w:noWrap/>
            <w:vAlign w:val="center"/>
            <w:hideMark/>
          </w:tcPr>
          <w:p w14:paraId="1E2BD9CC" w14:textId="77777777" w:rsidR="00E545A8" w:rsidRPr="00D0395E" w:rsidRDefault="00E545A8" w:rsidP="00E545A8">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30 317 892</w:t>
            </w:r>
          </w:p>
        </w:tc>
        <w:tc>
          <w:tcPr>
            <w:tcW w:w="733" w:type="pct"/>
            <w:tcBorders>
              <w:top w:val="nil"/>
              <w:left w:val="nil"/>
              <w:bottom w:val="nil"/>
              <w:right w:val="nil"/>
            </w:tcBorders>
            <w:shd w:val="clear" w:color="auto" w:fill="auto"/>
            <w:noWrap/>
            <w:vAlign w:val="center"/>
            <w:hideMark/>
          </w:tcPr>
          <w:p w14:paraId="134F16FE" w14:textId="77777777" w:rsidR="00E545A8" w:rsidRPr="00D0395E" w:rsidRDefault="00E545A8" w:rsidP="00E545A8">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30 823 904</w:t>
            </w:r>
          </w:p>
        </w:tc>
        <w:tc>
          <w:tcPr>
            <w:tcW w:w="499" w:type="pct"/>
            <w:tcBorders>
              <w:top w:val="nil"/>
              <w:left w:val="nil"/>
              <w:bottom w:val="nil"/>
              <w:right w:val="nil"/>
            </w:tcBorders>
            <w:shd w:val="clear" w:color="auto" w:fill="auto"/>
            <w:noWrap/>
            <w:vAlign w:val="center"/>
            <w:hideMark/>
          </w:tcPr>
          <w:p w14:paraId="5C31C45F" w14:textId="77777777" w:rsidR="00E545A8" w:rsidRPr="00D0395E" w:rsidRDefault="00E545A8" w:rsidP="00E545A8">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506 012</w:t>
            </w:r>
          </w:p>
        </w:tc>
      </w:tr>
      <w:tr w:rsidR="00E545A8" w:rsidRPr="00D0395E" w14:paraId="55430919" w14:textId="77777777" w:rsidTr="003F4BCE">
        <w:trPr>
          <w:trHeight w:val="278"/>
        </w:trPr>
        <w:tc>
          <w:tcPr>
            <w:tcW w:w="2221" w:type="pct"/>
            <w:tcBorders>
              <w:top w:val="nil"/>
              <w:left w:val="nil"/>
              <w:bottom w:val="nil"/>
              <w:right w:val="nil"/>
            </w:tcBorders>
            <w:shd w:val="clear" w:color="auto" w:fill="auto"/>
            <w:noWrap/>
            <w:vAlign w:val="center"/>
            <w:hideMark/>
          </w:tcPr>
          <w:p w14:paraId="56D0E6CC" w14:textId="77777777" w:rsidR="00E545A8" w:rsidRPr="00D0395E" w:rsidRDefault="00E545A8" w:rsidP="00E545A8">
            <w:pPr>
              <w:spacing w:after="0" w:line="240" w:lineRule="auto"/>
              <w:ind w:firstLineChars="100" w:firstLine="180"/>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Výdavky na obsluhu štátneho dlhu</w:t>
            </w:r>
          </w:p>
        </w:tc>
        <w:tc>
          <w:tcPr>
            <w:tcW w:w="516" w:type="pct"/>
            <w:tcBorders>
              <w:top w:val="nil"/>
              <w:left w:val="nil"/>
              <w:bottom w:val="nil"/>
              <w:right w:val="nil"/>
            </w:tcBorders>
            <w:shd w:val="clear" w:color="auto" w:fill="auto"/>
            <w:noWrap/>
            <w:vAlign w:val="center"/>
            <w:hideMark/>
          </w:tcPr>
          <w:p w14:paraId="2732FB73"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1 059 061</w:t>
            </w:r>
          </w:p>
        </w:tc>
        <w:tc>
          <w:tcPr>
            <w:tcW w:w="516" w:type="pct"/>
            <w:tcBorders>
              <w:top w:val="nil"/>
              <w:left w:val="nil"/>
              <w:bottom w:val="nil"/>
              <w:right w:val="nil"/>
            </w:tcBorders>
            <w:shd w:val="clear" w:color="auto" w:fill="auto"/>
            <w:noWrap/>
            <w:vAlign w:val="center"/>
            <w:hideMark/>
          </w:tcPr>
          <w:p w14:paraId="69E52E5C"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1 073 190</w:t>
            </w:r>
          </w:p>
        </w:tc>
        <w:tc>
          <w:tcPr>
            <w:tcW w:w="516" w:type="pct"/>
            <w:tcBorders>
              <w:top w:val="nil"/>
              <w:left w:val="nil"/>
              <w:bottom w:val="nil"/>
              <w:right w:val="nil"/>
            </w:tcBorders>
            <w:shd w:val="clear" w:color="auto" w:fill="auto"/>
            <w:noWrap/>
            <w:vAlign w:val="center"/>
            <w:hideMark/>
          </w:tcPr>
          <w:p w14:paraId="1830797C"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1 356 768</w:t>
            </w:r>
          </w:p>
        </w:tc>
        <w:tc>
          <w:tcPr>
            <w:tcW w:w="733" w:type="pct"/>
            <w:tcBorders>
              <w:top w:val="nil"/>
              <w:left w:val="nil"/>
              <w:bottom w:val="nil"/>
              <w:right w:val="nil"/>
            </w:tcBorders>
            <w:shd w:val="clear" w:color="auto" w:fill="auto"/>
            <w:noWrap/>
            <w:vAlign w:val="center"/>
            <w:hideMark/>
          </w:tcPr>
          <w:p w14:paraId="16B13968"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1 189 226</w:t>
            </w:r>
          </w:p>
        </w:tc>
        <w:tc>
          <w:tcPr>
            <w:tcW w:w="499" w:type="pct"/>
            <w:tcBorders>
              <w:top w:val="nil"/>
              <w:left w:val="nil"/>
              <w:bottom w:val="nil"/>
              <w:right w:val="nil"/>
            </w:tcBorders>
            <w:shd w:val="clear" w:color="auto" w:fill="auto"/>
            <w:noWrap/>
            <w:vAlign w:val="center"/>
            <w:hideMark/>
          </w:tcPr>
          <w:p w14:paraId="27F3F677"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-167 542</w:t>
            </w:r>
          </w:p>
        </w:tc>
      </w:tr>
      <w:tr w:rsidR="00E545A8" w:rsidRPr="00D0395E" w14:paraId="6A3A00F5" w14:textId="77777777" w:rsidTr="003F4BCE">
        <w:trPr>
          <w:trHeight w:val="280"/>
        </w:trPr>
        <w:tc>
          <w:tcPr>
            <w:tcW w:w="2221" w:type="pct"/>
            <w:tcBorders>
              <w:top w:val="nil"/>
              <w:left w:val="nil"/>
              <w:bottom w:val="nil"/>
              <w:right w:val="nil"/>
            </w:tcBorders>
            <w:shd w:val="clear" w:color="auto" w:fill="auto"/>
            <w:noWrap/>
            <w:vAlign w:val="center"/>
            <w:hideMark/>
          </w:tcPr>
          <w:p w14:paraId="07C0E412" w14:textId="77777777" w:rsidR="00E545A8" w:rsidRPr="00D0395E" w:rsidRDefault="00E545A8" w:rsidP="00E545A8">
            <w:pPr>
              <w:spacing w:after="0" w:line="240" w:lineRule="auto"/>
              <w:ind w:firstLineChars="100" w:firstLine="180"/>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Plán obnovy a odolnosti - výdavky</w:t>
            </w:r>
          </w:p>
        </w:tc>
        <w:tc>
          <w:tcPr>
            <w:tcW w:w="516" w:type="pct"/>
            <w:tcBorders>
              <w:top w:val="nil"/>
              <w:left w:val="nil"/>
              <w:bottom w:val="nil"/>
              <w:right w:val="nil"/>
            </w:tcBorders>
            <w:shd w:val="clear" w:color="auto" w:fill="auto"/>
            <w:noWrap/>
            <w:vAlign w:val="center"/>
            <w:hideMark/>
          </w:tcPr>
          <w:p w14:paraId="0DFA2DCE"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48 966</w:t>
            </w:r>
          </w:p>
        </w:tc>
        <w:tc>
          <w:tcPr>
            <w:tcW w:w="516" w:type="pct"/>
            <w:tcBorders>
              <w:top w:val="nil"/>
              <w:left w:val="nil"/>
              <w:bottom w:val="nil"/>
              <w:right w:val="nil"/>
            </w:tcBorders>
            <w:shd w:val="clear" w:color="auto" w:fill="auto"/>
            <w:noWrap/>
            <w:vAlign w:val="center"/>
            <w:hideMark/>
          </w:tcPr>
          <w:p w14:paraId="51BBF234"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374 178</w:t>
            </w:r>
          </w:p>
        </w:tc>
        <w:tc>
          <w:tcPr>
            <w:tcW w:w="516" w:type="pct"/>
            <w:tcBorders>
              <w:top w:val="nil"/>
              <w:left w:val="nil"/>
              <w:bottom w:val="nil"/>
              <w:right w:val="nil"/>
            </w:tcBorders>
            <w:shd w:val="clear" w:color="auto" w:fill="auto"/>
            <w:noWrap/>
            <w:vAlign w:val="center"/>
            <w:hideMark/>
          </w:tcPr>
          <w:p w14:paraId="3247A1D6"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1 215 402</w:t>
            </w:r>
          </w:p>
        </w:tc>
        <w:tc>
          <w:tcPr>
            <w:tcW w:w="733" w:type="pct"/>
            <w:tcBorders>
              <w:top w:val="nil"/>
              <w:left w:val="nil"/>
              <w:bottom w:val="nil"/>
              <w:right w:val="nil"/>
            </w:tcBorders>
            <w:shd w:val="clear" w:color="auto" w:fill="auto"/>
            <w:noWrap/>
            <w:vAlign w:val="center"/>
            <w:hideMark/>
          </w:tcPr>
          <w:p w14:paraId="01186CA2"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936 294</w:t>
            </w:r>
          </w:p>
        </w:tc>
        <w:tc>
          <w:tcPr>
            <w:tcW w:w="499" w:type="pct"/>
            <w:tcBorders>
              <w:top w:val="nil"/>
              <w:left w:val="nil"/>
              <w:bottom w:val="nil"/>
              <w:right w:val="nil"/>
            </w:tcBorders>
            <w:shd w:val="clear" w:color="auto" w:fill="auto"/>
            <w:noWrap/>
            <w:vAlign w:val="center"/>
            <w:hideMark/>
          </w:tcPr>
          <w:p w14:paraId="210C26D2"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-279 108</w:t>
            </w:r>
          </w:p>
        </w:tc>
      </w:tr>
      <w:tr w:rsidR="00E545A8" w:rsidRPr="00D0395E" w14:paraId="0964155D" w14:textId="77777777" w:rsidTr="003F4BCE">
        <w:trPr>
          <w:trHeight w:val="280"/>
        </w:trPr>
        <w:tc>
          <w:tcPr>
            <w:tcW w:w="2221" w:type="pct"/>
            <w:tcBorders>
              <w:top w:val="nil"/>
              <w:left w:val="nil"/>
              <w:bottom w:val="nil"/>
              <w:right w:val="nil"/>
            </w:tcBorders>
            <w:shd w:val="clear" w:color="auto" w:fill="auto"/>
            <w:noWrap/>
            <w:vAlign w:val="center"/>
            <w:hideMark/>
          </w:tcPr>
          <w:p w14:paraId="4E43A4F6" w14:textId="77777777" w:rsidR="00E545A8" w:rsidRPr="00D0395E" w:rsidRDefault="00E545A8" w:rsidP="00E545A8">
            <w:pPr>
              <w:spacing w:after="0" w:line="240" w:lineRule="auto"/>
              <w:ind w:firstLineChars="100" w:firstLine="180"/>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lastRenderedPageBreak/>
              <w:t>Plán obnovy a odolnosti - výdavky na DPH</w:t>
            </w:r>
          </w:p>
        </w:tc>
        <w:tc>
          <w:tcPr>
            <w:tcW w:w="516" w:type="pct"/>
            <w:tcBorders>
              <w:top w:val="nil"/>
              <w:left w:val="nil"/>
              <w:bottom w:val="nil"/>
              <w:right w:val="nil"/>
            </w:tcBorders>
            <w:shd w:val="clear" w:color="auto" w:fill="auto"/>
            <w:noWrap/>
            <w:vAlign w:val="center"/>
            <w:hideMark/>
          </w:tcPr>
          <w:p w14:paraId="141C4D62"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2 954</w:t>
            </w:r>
          </w:p>
        </w:tc>
        <w:tc>
          <w:tcPr>
            <w:tcW w:w="516" w:type="pct"/>
            <w:tcBorders>
              <w:top w:val="nil"/>
              <w:left w:val="nil"/>
              <w:bottom w:val="nil"/>
              <w:right w:val="nil"/>
            </w:tcBorders>
            <w:shd w:val="clear" w:color="auto" w:fill="auto"/>
            <w:noWrap/>
            <w:vAlign w:val="center"/>
            <w:hideMark/>
          </w:tcPr>
          <w:p w14:paraId="1CD15E2E"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15 742</w:t>
            </w:r>
          </w:p>
        </w:tc>
        <w:tc>
          <w:tcPr>
            <w:tcW w:w="516" w:type="pct"/>
            <w:tcBorders>
              <w:top w:val="nil"/>
              <w:left w:val="nil"/>
              <w:bottom w:val="nil"/>
              <w:right w:val="nil"/>
            </w:tcBorders>
            <w:shd w:val="clear" w:color="auto" w:fill="auto"/>
            <w:noWrap/>
            <w:vAlign w:val="center"/>
            <w:hideMark/>
          </w:tcPr>
          <w:p w14:paraId="2716B951"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156 821</w:t>
            </w:r>
          </w:p>
        </w:tc>
        <w:tc>
          <w:tcPr>
            <w:tcW w:w="733" w:type="pct"/>
            <w:tcBorders>
              <w:top w:val="nil"/>
              <w:left w:val="nil"/>
              <w:bottom w:val="nil"/>
              <w:right w:val="nil"/>
            </w:tcBorders>
            <w:shd w:val="clear" w:color="auto" w:fill="auto"/>
            <w:noWrap/>
            <w:vAlign w:val="center"/>
            <w:hideMark/>
          </w:tcPr>
          <w:p w14:paraId="2DD03184"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133 143</w:t>
            </w:r>
          </w:p>
        </w:tc>
        <w:tc>
          <w:tcPr>
            <w:tcW w:w="499" w:type="pct"/>
            <w:tcBorders>
              <w:top w:val="nil"/>
              <w:left w:val="nil"/>
              <w:bottom w:val="nil"/>
              <w:right w:val="nil"/>
            </w:tcBorders>
            <w:shd w:val="clear" w:color="auto" w:fill="auto"/>
            <w:noWrap/>
            <w:vAlign w:val="center"/>
            <w:hideMark/>
          </w:tcPr>
          <w:p w14:paraId="27086DAC"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-23 678</w:t>
            </w:r>
          </w:p>
        </w:tc>
      </w:tr>
      <w:tr w:rsidR="00E545A8" w:rsidRPr="00D0395E" w14:paraId="43F54333" w14:textId="77777777" w:rsidTr="003F4BCE">
        <w:trPr>
          <w:trHeight w:val="280"/>
        </w:trPr>
        <w:tc>
          <w:tcPr>
            <w:tcW w:w="2221" w:type="pct"/>
            <w:tcBorders>
              <w:top w:val="nil"/>
              <w:left w:val="nil"/>
              <w:bottom w:val="nil"/>
              <w:right w:val="nil"/>
            </w:tcBorders>
            <w:shd w:val="clear" w:color="auto" w:fill="auto"/>
            <w:noWrap/>
            <w:vAlign w:val="center"/>
            <w:hideMark/>
          </w:tcPr>
          <w:p w14:paraId="5F9434E6" w14:textId="77777777" w:rsidR="00E545A8" w:rsidRPr="00D0395E" w:rsidRDefault="00E545A8" w:rsidP="00E545A8">
            <w:pPr>
              <w:spacing w:after="0" w:line="240" w:lineRule="auto"/>
              <w:ind w:firstLineChars="100" w:firstLine="180"/>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EÚ výdavky</w:t>
            </w:r>
          </w:p>
        </w:tc>
        <w:tc>
          <w:tcPr>
            <w:tcW w:w="516" w:type="pct"/>
            <w:tcBorders>
              <w:top w:val="nil"/>
              <w:left w:val="nil"/>
              <w:bottom w:val="nil"/>
              <w:right w:val="nil"/>
            </w:tcBorders>
            <w:shd w:val="clear" w:color="auto" w:fill="auto"/>
            <w:noWrap/>
            <w:vAlign w:val="center"/>
            <w:hideMark/>
          </w:tcPr>
          <w:p w14:paraId="53BE4A86"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2 203 315</w:t>
            </w:r>
          </w:p>
        </w:tc>
        <w:tc>
          <w:tcPr>
            <w:tcW w:w="516" w:type="pct"/>
            <w:tcBorders>
              <w:top w:val="nil"/>
              <w:left w:val="nil"/>
              <w:bottom w:val="nil"/>
              <w:right w:val="nil"/>
            </w:tcBorders>
            <w:shd w:val="clear" w:color="auto" w:fill="auto"/>
            <w:noWrap/>
            <w:vAlign w:val="center"/>
            <w:hideMark/>
          </w:tcPr>
          <w:p w14:paraId="463DD0E5"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4 906 961</w:t>
            </w:r>
          </w:p>
        </w:tc>
        <w:tc>
          <w:tcPr>
            <w:tcW w:w="516" w:type="pct"/>
            <w:tcBorders>
              <w:top w:val="nil"/>
              <w:left w:val="nil"/>
              <w:bottom w:val="nil"/>
              <w:right w:val="nil"/>
            </w:tcBorders>
            <w:shd w:val="clear" w:color="auto" w:fill="auto"/>
            <w:noWrap/>
            <w:vAlign w:val="center"/>
            <w:hideMark/>
          </w:tcPr>
          <w:p w14:paraId="4C83AF57"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1 237 239</w:t>
            </w:r>
          </w:p>
        </w:tc>
        <w:tc>
          <w:tcPr>
            <w:tcW w:w="733" w:type="pct"/>
            <w:tcBorders>
              <w:top w:val="nil"/>
              <w:left w:val="nil"/>
              <w:bottom w:val="nil"/>
              <w:right w:val="nil"/>
            </w:tcBorders>
            <w:shd w:val="clear" w:color="auto" w:fill="auto"/>
            <w:noWrap/>
            <w:vAlign w:val="center"/>
            <w:hideMark/>
          </w:tcPr>
          <w:p w14:paraId="72EA87C0"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3 009 659</w:t>
            </w:r>
          </w:p>
        </w:tc>
        <w:tc>
          <w:tcPr>
            <w:tcW w:w="499" w:type="pct"/>
            <w:tcBorders>
              <w:top w:val="nil"/>
              <w:left w:val="nil"/>
              <w:bottom w:val="nil"/>
              <w:right w:val="nil"/>
            </w:tcBorders>
            <w:shd w:val="clear" w:color="auto" w:fill="auto"/>
            <w:noWrap/>
            <w:vAlign w:val="center"/>
            <w:hideMark/>
          </w:tcPr>
          <w:p w14:paraId="2A66C737"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1 772 420</w:t>
            </w:r>
          </w:p>
        </w:tc>
      </w:tr>
      <w:tr w:rsidR="00E545A8" w:rsidRPr="00D0395E" w14:paraId="75B90914" w14:textId="77777777" w:rsidTr="003F4BCE">
        <w:trPr>
          <w:trHeight w:val="280"/>
        </w:trPr>
        <w:tc>
          <w:tcPr>
            <w:tcW w:w="2221" w:type="pct"/>
            <w:tcBorders>
              <w:top w:val="nil"/>
              <w:left w:val="nil"/>
              <w:bottom w:val="nil"/>
              <w:right w:val="nil"/>
            </w:tcBorders>
            <w:shd w:val="clear" w:color="auto" w:fill="auto"/>
            <w:noWrap/>
            <w:vAlign w:val="center"/>
            <w:hideMark/>
          </w:tcPr>
          <w:p w14:paraId="331FDA8A" w14:textId="77777777" w:rsidR="00E545A8" w:rsidRPr="00D0395E" w:rsidRDefault="00E545A8" w:rsidP="00E545A8">
            <w:pPr>
              <w:spacing w:after="0" w:line="240" w:lineRule="auto"/>
              <w:ind w:firstLineChars="100" w:firstLine="180"/>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Spolufinancovanie (EÚ)</w:t>
            </w:r>
          </w:p>
        </w:tc>
        <w:tc>
          <w:tcPr>
            <w:tcW w:w="516" w:type="pct"/>
            <w:tcBorders>
              <w:top w:val="nil"/>
              <w:left w:val="nil"/>
              <w:bottom w:val="nil"/>
              <w:right w:val="nil"/>
            </w:tcBorders>
            <w:shd w:val="clear" w:color="auto" w:fill="auto"/>
            <w:noWrap/>
            <w:vAlign w:val="center"/>
            <w:hideMark/>
          </w:tcPr>
          <w:p w14:paraId="680F9FE5"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404 819</w:t>
            </w:r>
          </w:p>
        </w:tc>
        <w:tc>
          <w:tcPr>
            <w:tcW w:w="516" w:type="pct"/>
            <w:tcBorders>
              <w:top w:val="nil"/>
              <w:left w:val="nil"/>
              <w:bottom w:val="nil"/>
              <w:right w:val="nil"/>
            </w:tcBorders>
            <w:shd w:val="clear" w:color="auto" w:fill="auto"/>
            <w:noWrap/>
            <w:vAlign w:val="center"/>
            <w:hideMark/>
          </w:tcPr>
          <w:p w14:paraId="3A760423"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731 264</w:t>
            </w:r>
          </w:p>
        </w:tc>
        <w:tc>
          <w:tcPr>
            <w:tcW w:w="516" w:type="pct"/>
            <w:tcBorders>
              <w:top w:val="nil"/>
              <w:left w:val="nil"/>
              <w:bottom w:val="nil"/>
              <w:right w:val="nil"/>
            </w:tcBorders>
            <w:shd w:val="clear" w:color="auto" w:fill="auto"/>
            <w:noWrap/>
            <w:vAlign w:val="center"/>
            <w:hideMark/>
          </w:tcPr>
          <w:p w14:paraId="5C89746D"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325 158</w:t>
            </w:r>
          </w:p>
        </w:tc>
        <w:tc>
          <w:tcPr>
            <w:tcW w:w="733" w:type="pct"/>
            <w:tcBorders>
              <w:top w:val="nil"/>
              <w:left w:val="nil"/>
              <w:bottom w:val="nil"/>
              <w:right w:val="nil"/>
            </w:tcBorders>
            <w:shd w:val="clear" w:color="auto" w:fill="auto"/>
            <w:noWrap/>
            <w:vAlign w:val="center"/>
            <w:hideMark/>
          </w:tcPr>
          <w:p w14:paraId="20445EE7"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538 592</w:t>
            </w:r>
          </w:p>
        </w:tc>
        <w:tc>
          <w:tcPr>
            <w:tcW w:w="499" w:type="pct"/>
            <w:tcBorders>
              <w:top w:val="nil"/>
              <w:left w:val="nil"/>
              <w:bottom w:val="nil"/>
              <w:right w:val="nil"/>
            </w:tcBorders>
            <w:shd w:val="clear" w:color="auto" w:fill="auto"/>
            <w:noWrap/>
            <w:vAlign w:val="center"/>
            <w:hideMark/>
          </w:tcPr>
          <w:p w14:paraId="79F98D92"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213 434</w:t>
            </w:r>
          </w:p>
        </w:tc>
      </w:tr>
      <w:tr w:rsidR="00E545A8" w:rsidRPr="00D0395E" w14:paraId="47C28A51" w14:textId="77777777" w:rsidTr="003F4BCE">
        <w:trPr>
          <w:trHeight w:val="280"/>
        </w:trPr>
        <w:tc>
          <w:tcPr>
            <w:tcW w:w="2221" w:type="pct"/>
            <w:tcBorders>
              <w:top w:val="nil"/>
              <w:left w:val="nil"/>
              <w:bottom w:val="nil"/>
              <w:right w:val="nil"/>
            </w:tcBorders>
            <w:shd w:val="clear" w:color="auto" w:fill="auto"/>
            <w:noWrap/>
            <w:vAlign w:val="center"/>
            <w:hideMark/>
          </w:tcPr>
          <w:p w14:paraId="569E4BF6" w14:textId="77777777" w:rsidR="00E545A8" w:rsidRPr="00D0395E" w:rsidRDefault="00E545A8" w:rsidP="00E545A8">
            <w:pPr>
              <w:spacing w:after="0" w:line="240" w:lineRule="auto"/>
              <w:ind w:firstLineChars="100" w:firstLine="180"/>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Odvod do rozpočtu EÚ**</w:t>
            </w:r>
          </w:p>
        </w:tc>
        <w:tc>
          <w:tcPr>
            <w:tcW w:w="516" w:type="pct"/>
            <w:tcBorders>
              <w:top w:val="nil"/>
              <w:left w:val="nil"/>
              <w:bottom w:val="nil"/>
              <w:right w:val="nil"/>
            </w:tcBorders>
            <w:shd w:val="clear" w:color="auto" w:fill="auto"/>
            <w:noWrap/>
            <w:vAlign w:val="center"/>
            <w:hideMark/>
          </w:tcPr>
          <w:p w14:paraId="11D4F469"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940 226</w:t>
            </w:r>
          </w:p>
        </w:tc>
        <w:tc>
          <w:tcPr>
            <w:tcW w:w="516" w:type="pct"/>
            <w:tcBorders>
              <w:top w:val="nil"/>
              <w:left w:val="nil"/>
              <w:bottom w:val="nil"/>
              <w:right w:val="nil"/>
            </w:tcBorders>
            <w:shd w:val="clear" w:color="auto" w:fill="auto"/>
            <w:noWrap/>
            <w:vAlign w:val="center"/>
            <w:hideMark/>
          </w:tcPr>
          <w:p w14:paraId="31B12408"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943 226</w:t>
            </w:r>
          </w:p>
        </w:tc>
        <w:tc>
          <w:tcPr>
            <w:tcW w:w="516" w:type="pct"/>
            <w:tcBorders>
              <w:top w:val="nil"/>
              <w:left w:val="nil"/>
              <w:bottom w:val="nil"/>
              <w:right w:val="nil"/>
            </w:tcBorders>
            <w:shd w:val="clear" w:color="auto" w:fill="auto"/>
            <w:noWrap/>
            <w:vAlign w:val="center"/>
            <w:hideMark/>
          </w:tcPr>
          <w:p w14:paraId="73C0101C"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1 064 710</w:t>
            </w:r>
          </w:p>
        </w:tc>
        <w:tc>
          <w:tcPr>
            <w:tcW w:w="733" w:type="pct"/>
            <w:tcBorders>
              <w:top w:val="nil"/>
              <w:left w:val="nil"/>
              <w:bottom w:val="nil"/>
              <w:right w:val="nil"/>
            </w:tcBorders>
            <w:shd w:val="clear" w:color="auto" w:fill="auto"/>
            <w:noWrap/>
            <w:vAlign w:val="center"/>
            <w:hideMark/>
          </w:tcPr>
          <w:p w14:paraId="2A36EDC5"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826 119</w:t>
            </w:r>
          </w:p>
        </w:tc>
        <w:tc>
          <w:tcPr>
            <w:tcW w:w="499" w:type="pct"/>
            <w:tcBorders>
              <w:top w:val="nil"/>
              <w:left w:val="nil"/>
              <w:bottom w:val="nil"/>
              <w:right w:val="nil"/>
            </w:tcBorders>
            <w:shd w:val="clear" w:color="auto" w:fill="auto"/>
            <w:noWrap/>
            <w:vAlign w:val="center"/>
            <w:hideMark/>
          </w:tcPr>
          <w:p w14:paraId="184C721D"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-238 591</w:t>
            </w:r>
          </w:p>
        </w:tc>
      </w:tr>
      <w:tr w:rsidR="00E545A8" w:rsidRPr="00D0395E" w14:paraId="3166EDD1" w14:textId="77777777" w:rsidTr="003F4BCE">
        <w:trPr>
          <w:trHeight w:val="280"/>
        </w:trPr>
        <w:tc>
          <w:tcPr>
            <w:tcW w:w="2221" w:type="pct"/>
            <w:tcBorders>
              <w:top w:val="nil"/>
              <w:left w:val="nil"/>
              <w:bottom w:val="nil"/>
              <w:right w:val="nil"/>
            </w:tcBorders>
            <w:shd w:val="clear" w:color="auto" w:fill="auto"/>
            <w:noWrap/>
            <w:vAlign w:val="center"/>
            <w:hideMark/>
          </w:tcPr>
          <w:p w14:paraId="0D411FB8" w14:textId="77777777" w:rsidR="00E545A8" w:rsidRPr="00D0395E" w:rsidRDefault="00E545A8" w:rsidP="00E545A8">
            <w:pPr>
              <w:spacing w:after="0" w:line="240" w:lineRule="auto"/>
              <w:ind w:firstLineChars="100" w:firstLine="180"/>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Transfer Sociálnej poisťovni</w:t>
            </w:r>
          </w:p>
        </w:tc>
        <w:tc>
          <w:tcPr>
            <w:tcW w:w="516" w:type="pct"/>
            <w:tcBorders>
              <w:top w:val="nil"/>
              <w:left w:val="nil"/>
              <w:bottom w:val="nil"/>
              <w:right w:val="nil"/>
            </w:tcBorders>
            <w:shd w:val="clear" w:color="auto" w:fill="auto"/>
            <w:noWrap/>
            <w:vAlign w:val="center"/>
            <w:hideMark/>
          </w:tcPr>
          <w:p w14:paraId="166A849A"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103 488</w:t>
            </w:r>
          </w:p>
        </w:tc>
        <w:tc>
          <w:tcPr>
            <w:tcW w:w="516" w:type="pct"/>
            <w:tcBorders>
              <w:top w:val="nil"/>
              <w:left w:val="nil"/>
              <w:bottom w:val="nil"/>
              <w:right w:val="nil"/>
            </w:tcBorders>
            <w:shd w:val="clear" w:color="auto" w:fill="auto"/>
            <w:noWrap/>
            <w:vAlign w:val="center"/>
            <w:hideMark/>
          </w:tcPr>
          <w:p w14:paraId="0F6DC89D"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1 160 000</w:t>
            </w:r>
          </w:p>
        </w:tc>
        <w:tc>
          <w:tcPr>
            <w:tcW w:w="516" w:type="pct"/>
            <w:tcBorders>
              <w:top w:val="nil"/>
              <w:left w:val="nil"/>
              <w:bottom w:val="nil"/>
              <w:right w:val="nil"/>
            </w:tcBorders>
            <w:shd w:val="clear" w:color="auto" w:fill="auto"/>
            <w:noWrap/>
            <w:vAlign w:val="center"/>
            <w:hideMark/>
          </w:tcPr>
          <w:p w14:paraId="01B5D926"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1 600 000</w:t>
            </w:r>
          </w:p>
        </w:tc>
        <w:tc>
          <w:tcPr>
            <w:tcW w:w="733" w:type="pct"/>
            <w:tcBorders>
              <w:top w:val="nil"/>
              <w:left w:val="nil"/>
              <w:bottom w:val="nil"/>
              <w:right w:val="nil"/>
            </w:tcBorders>
            <w:shd w:val="clear" w:color="auto" w:fill="auto"/>
            <w:noWrap/>
            <w:vAlign w:val="center"/>
            <w:hideMark/>
          </w:tcPr>
          <w:p w14:paraId="38583D6E"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2 720 000</w:t>
            </w:r>
          </w:p>
        </w:tc>
        <w:tc>
          <w:tcPr>
            <w:tcW w:w="499" w:type="pct"/>
            <w:tcBorders>
              <w:top w:val="nil"/>
              <w:left w:val="nil"/>
              <w:bottom w:val="nil"/>
              <w:right w:val="nil"/>
            </w:tcBorders>
            <w:shd w:val="clear" w:color="auto" w:fill="auto"/>
            <w:noWrap/>
            <w:vAlign w:val="center"/>
            <w:hideMark/>
          </w:tcPr>
          <w:p w14:paraId="2C396866"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1 120 000</w:t>
            </w:r>
          </w:p>
        </w:tc>
      </w:tr>
      <w:tr w:rsidR="00E545A8" w:rsidRPr="00D0395E" w14:paraId="38C17532" w14:textId="77777777" w:rsidTr="003F4BCE">
        <w:trPr>
          <w:trHeight w:val="280"/>
        </w:trPr>
        <w:tc>
          <w:tcPr>
            <w:tcW w:w="2221" w:type="pct"/>
            <w:tcBorders>
              <w:top w:val="nil"/>
              <w:left w:val="nil"/>
              <w:bottom w:val="nil"/>
              <w:right w:val="nil"/>
            </w:tcBorders>
            <w:shd w:val="clear" w:color="auto" w:fill="auto"/>
            <w:noWrap/>
            <w:vAlign w:val="center"/>
            <w:hideMark/>
          </w:tcPr>
          <w:p w14:paraId="54BE3FD2" w14:textId="77777777" w:rsidR="00E545A8" w:rsidRPr="00D0395E" w:rsidRDefault="00E545A8" w:rsidP="00E545A8">
            <w:pPr>
              <w:spacing w:after="0" w:line="240" w:lineRule="auto"/>
              <w:ind w:firstLineChars="100" w:firstLine="180"/>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Ďalšie výdavky štátneho rozpočtu</w:t>
            </w:r>
          </w:p>
        </w:tc>
        <w:tc>
          <w:tcPr>
            <w:tcW w:w="516" w:type="pct"/>
            <w:tcBorders>
              <w:top w:val="nil"/>
              <w:left w:val="nil"/>
              <w:bottom w:val="nil"/>
              <w:right w:val="nil"/>
            </w:tcBorders>
            <w:shd w:val="clear" w:color="auto" w:fill="auto"/>
            <w:noWrap/>
            <w:vAlign w:val="center"/>
            <w:hideMark/>
          </w:tcPr>
          <w:p w14:paraId="21A32D6A"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18 789 493</w:t>
            </w:r>
          </w:p>
        </w:tc>
        <w:tc>
          <w:tcPr>
            <w:tcW w:w="516" w:type="pct"/>
            <w:tcBorders>
              <w:top w:val="nil"/>
              <w:left w:val="nil"/>
              <w:bottom w:val="nil"/>
              <w:right w:val="nil"/>
            </w:tcBorders>
            <w:shd w:val="clear" w:color="auto" w:fill="auto"/>
            <w:noWrap/>
            <w:vAlign w:val="center"/>
            <w:hideMark/>
          </w:tcPr>
          <w:p w14:paraId="0C11F1FC"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22 156 847</w:t>
            </w:r>
          </w:p>
        </w:tc>
        <w:tc>
          <w:tcPr>
            <w:tcW w:w="516" w:type="pct"/>
            <w:tcBorders>
              <w:top w:val="nil"/>
              <w:left w:val="nil"/>
              <w:bottom w:val="nil"/>
              <w:right w:val="nil"/>
            </w:tcBorders>
            <w:shd w:val="clear" w:color="auto" w:fill="auto"/>
            <w:noWrap/>
            <w:vAlign w:val="center"/>
            <w:hideMark/>
          </w:tcPr>
          <w:p w14:paraId="277D060C"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23 359 009</w:t>
            </w:r>
          </w:p>
        </w:tc>
        <w:tc>
          <w:tcPr>
            <w:tcW w:w="733" w:type="pct"/>
            <w:tcBorders>
              <w:top w:val="nil"/>
              <w:left w:val="nil"/>
              <w:bottom w:val="nil"/>
              <w:right w:val="nil"/>
            </w:tcBorders>
            <w:shd w:val="clear" w:color="auto" w:fill="auto"/>
            <w:noWrap/>
            <w:vAlign w:val="center"/>
            <w:hideMark/>
          </w:tcPr>
          <w:p w14:paraId="025DC85D"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21 467 806</w:t>
            </w:r>
          </w:p>
        </w:tc>
        <w:tc>
          <w:tcPr>
            <w:tcW w:w="499" w:type="pct"/>
            <w:tcBorders>
              <w:top w:val="nil"/>
              <w:left w:val="nil"/>
              <w:bottom w:val="nil"/>
              <w:right w:val="nil"/>
            </w:tcBorders>
            <w:shd w:val="clear" w:color="auto" w:fill="auto"/>
            <w:noWrap/>
            <w:vAlign w:val="center"/>
            <w:hideMark/>
          </w:tcPr>
          <w:p w14:paraId="62DC4EA2"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-1 891 203</w:t>
            </w:r>
          </w:p>
        </w:tc>
      </w:tr>
      <w:tr w:rsidR="00E545A8" w:rsidRPr="00D0395E" w14:paraId="239875E2" w14:textId="77777777" w:rsidTr="003F4BCE">
        <w:trPr>
          <w:trHeight w:val="290"/>
        </w:trPr>
        <w:tc>
          <w:tcPr>
            <w:tcW w:w="2221" w:type="pct"/>
            <w:tcBorders>
              <w:top w:val="nil"/>
              <w:left w:val="nil"/>
              <w:bottom w:val="single" w:sz="4" w:space="0" w:color="auto"/>
              <w:right w:val="nil"/>
            </w:tcBorders>
            <w:shd w:val="clear" w:color="auto" w:fill="auto"/>
            <w:noWrap/>
            <w:vAlign w:val="center"/>
            <w:hideMark/>
          </w:tcPr>
          <w:p w14:paraId="70B9CF8F" w14:textId="77777777" w:rsidR="00E545A8" w:rsidRPr="00D0395E" w:rsidRDefault="00E545A8" w:rsidP="00E545A8">
            <w:pPr>
              <w:spacing w:after="0" w:line="240" w:lineRule="auto"/>
              <w:ind w:firstLineChars="100" w:firstLine="180"/>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Výdavky v zmysle § 17, ods. 4</w:t>
            </w:r>
          </w:p>
        </w:tc>
        <w:tc>
          <w:tcPr>
            <w:tcW w:w="516" w:type="pct"/>
            <w:tcBorders>
              <w:top w:val="nil"/>
              <w:left w:val="nil"/>
              <w:bottom w:val="single" w:sz="4" w:space="0" w:color="auto"/>
              <w:right w:val="nil"/>
            </w:tcBorders>
            <w:shd w:val="clear" w:color="auto" w:fill="auto"/>
            <w:noWrap/>
            <w:vAlign w:val="center"/>
            <w:hideMark/>
          </w:tcPr>
          <w:p w14:paraId="235C9D55"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2 233</w:t>
            </w:r>
          </w:p>
        </w:tc>
        <w:tc>
          <w:tcPr>
            <w:tcW w:w="516" w:type="pct"/>
            <w:tcBorders>
              <w:top w:val="nil"/>
              <w:left w:val="nil"/>
              <w:bottom w:val="single" w:sz="4" w:space="0" w:color="auto"/>
              <w:right w:val="nil"/>
            </w:tcBorders>
            <w:shd w:val="clear" w:color="auto" w:fill="auto"/>
            <w:noWrap/>
            <w:vAlign w:val="center"/>
            <w:hideMark/>
          </w:tcPr>
          <w:p w14:paraId="330C8D70"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2 575</w:t>
            </w:r>
          </w:p>
        </w:tc>
        <w:tc>
          <w:tcPr>
            <w:tcW w:w="516" w:type="pct"/>
            <w:tcBorders>
              <w:top w:val="nil"/>
              <w:left w:val="nil"/>
              <w:bottom w:val="single" w:sz="4" w:space="0" w:color="auto"/>
              <w:right w:val="nil"/>
            </w:tcBorders>
            <w:shd w:val="clear" w:color="auto" w:fill="auto"/>
            <w:noWrap/>
            <w:vAlign w:val="center"/>
            <w:hideMark/>
          </w:tcPr>
          <w:p w14:paraId="039AC713"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2 785</w:t>
            </w:r>
          </w:p>
        </w:tc>
        <w:tc>
          <w:tcPr>
            <w:tcW w:w="733" w:type="pct"/>
            <w:tcBorders>
              <w:top w:val="nil"/>
              <w:left w:val="nil"/>
              <w:bottom w:val="single" w:sz="4" w:space="0" w:color="auto"/>
              <w:right w:val="nil"/>
            </w:tcBorders>
            <w:shd w:val="clear" w:color="auto" w:fill="auto"/>
            <w:noWrap/>
            <w:vAlign w:val="center"/>
            <w:hideMark/>
          </w:tcPr>
          <w:p w14:paraId="63D3DF05"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3 065</w:t>
            </w:r>
          </w:p>
        </w:tc>
        <w:tc>
          <w:tcPr>
            <w:tcW w:w="499" w:type="pct"/>
            <w:tcBorders>
              <w:top w:val="nil"/>
              <w:left w:val="nil"/>
              <w:bottom w:val="single" w:sz="4" w:space="0" w:color="auto"/>
              <w:right w:val="nil"/>
            </w:tcBorders>
            <w:shd w:val="clear" w:color="auto" w:fill="auto"/>
            <w:noWrap/>
            <w:vAlign w:val="center"/>
            <w:hideMark/>
          </w:tcPr>
          <w:p w14:paraId="521FA8B8" w14:textId="77777777" w:rsidR="00E545A8" w:rsidRPr="00D0395E" w:rsidRDefault="00E545A8" w:rsidP="00E545A8">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280</w:t>
            </w:r>
          </w:p>
        </w:tc>
      </w:tr>
      <w:tr w:rsidR="00E545A8" w:rsidRPr="00D0395E" w14:paraId="60EE8F87" w14:textId="77777777" w:rsidTr="003F4BCE">
        <w:trPr>
          <w:trHeight w:val="290"/>
        </w:trPr>
        <w:tc>
          <w:tcPr>
            <w:tcW w:w="2221" w:type="pct"/>
            <w:tcBorders>
              <w:top w:val="single" w:sz="4" w:space="0" w:color="auto"/>
              <w:left w:val="nil"/>
              <w:bottom w:val="single" w:sz="4" w:space="0" w:color="auto"/>
              <w:right w:val="nil"/>
            </w:tcBorders>
            <w:shd w:val="clear" w:color="auto" w:fill="auto"/>
            <w:noWrap/>
            <w:vAlign w:val="center"/>
            <w:hideMark/>
          </w:tcPr>
          <w:p w14:paraId="2AEF2D2E" w14:textId="77777777" w:rsidR="00E545A8" w:rsidRPr="00D0395E" w:rsidRDefault="00E545A8" w:rsidP="00E545A8">
            <w:pPr>
              <w:spacing w:after="0" w:line="240" w:lineRule="auto"/>
              <w:jc w:val="lef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Schodok štátneho rozpočtu</w:t>
            </w:r>
          </w:p>
        </w:tc>
        <w:tc>
          <w:tcPr>
            <w:tcW w:w="516" w:type="pct"/>
            <w:tcBorders>
              <w:top w:val="single" w:sz="4" w:space="0" w:color="auto"/>
              <w:left w:val="nil"/>
              <w:bottom w:val="single" w:sz="4" w:space="0" w:color="auto"/>
              <w:right w:val="nil"/>
            </w:tcBorders>
            <w:shd w:val="clear" w:color="auto" w:fill="auto"/>
            <w:noWrap/>
            <w:vAlign w:val="center"/>
            <w:hideMark/>
          </w:tcPr>
          <w:p w14:paraId="34A4FB87" w14:textId="77777777" w:rsidR="00E545A8" w:rsidRPr="00D0395E" w:rsidRDefault="00E545A8" w:rsidP="00E545A8">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-4 524 853</w:t>
            </w:r>
          </w:p>
        </w:tc>
        <w:tc>
          <w:tcPr>
            <w:tcW w:w="516" w:type="pct"/>
            <w:tcBorders>
              <w:top w:val="single" w:sz="4" w:space="0" w:color="auto"/>
              <w:left w:val="nil"/>
              <w:bottom w:val="single" w:sz="4" w:space="0" w:color="auto"/>
              <w:right w:val="nil"/>
            </w:tcBorders>
            <w:shd w:val="clear" w:color="auto" w:fill="auto"/>
            <w:noWrap/>
            <w:vAlign w:val="center"/>
            <w:hideMark/>
          </w:tcPr>
          <w:p w14:paraId="38523E43" w14:textId="77777777" w:rsidR="00E545A8" w:rsidRPr="00D0395E" w:rsidRDefault="00E545A8" w:rsidP="00E545A8">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-7 675 337</w:t>
            </w:r>
          </w:p>
        </w:tc>
        <w:tc>
          <w:tcPr>
            <w:tcW w:w="516" w:type="pct"/>
            <w:tcBorders>
              <w:top w:val="single" w:sz="4" w:space="0" w:color="auto"/>
              <w:left w:val="nil"/>
              <w:bottom w:val="single" w:sz="4" w:space="0" w:color="auto"/>
              <w:right w:val="nil"/>
            </w:tcBorders>
            <w:shd w:val="clear" w:color="auto" w:fill="auto"/>
            <w:noWrap/>
            <w:vAlign w:val="center"/>
            <w:hideMark/>
          </w:tcPr>
          <w:p w14:paraId="462B7079" w14:textId="77777777" w:rsidR="00E545A8" w:rsidRPr="00D0395E" w:rsidRDefault="00E545A8" w:rsidP="00E545A8">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-7 615 931</w:t>
            </w:r>
          </w:p>
        </w:tc>
        <w:tc>
          <w:tcPr>
            <w:tcW w:w="733" w:type="pct"/>
            <w:tcBorders>
              <w:top w:val="single" w:sz="4" w:space="0" w:color="auto"/>
              <w:left w:val="nil"/>
              <w:bottom w:val="single" w:sz="4" w:space="0" w:color="auto"/>
              <w:right w:val="nil"/>
            </w:tcBorders>
            <w:shd w:val="clear" w:color="auto" w:fill="auto"/>
            <w:noWrap/>
            <w:vAlign w:val="center"/>
            <w:hideMark/>
          </w:tcPr>
          <w:p w14:paraId="0B86AD86" w14:textId="77777777" w:rsidR="00E545A8" w:rsidRPr="00D0395E" w:rsidRDefault="00E545A8" w:rsidP="00E545A8">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-6 366 120</w:t>
            </w:r>
          </w:p>
        </w:tc>
        <w:tc>
          <w:tcPr>
            <w:tcW w:w="499" w:type="pct"/>
            <w:tcBorders>
              <w:top w:val="single" w:sz="4" w:space="0" w:color="auto"/>
              <w:left w:val="nil"/>
              <w:bottom w:val="single" w:sz="4" w:space="0" w:color="auto"/>
              <w:right w:val="nil"/>
            </w:tcBorders>
            <w:shd w:val="clear" w:color="auto" w:fill="auto"/>
            <w:noWrap/>
            <w:vAlign w:val="center"/>
            <w:hideMark/>
          </w:tcPr>
          <w:p w14:paraId="48BB9FCE" w14:textId="77777777" w:rsidR="00E545A8" w:rsidRPr="00D0395E" w:rsidRDefault="00E545A8" w:rsidP="00E545A8">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1 249 811</w:t>
            </w:r>
          </w:p>
        </w:tc>
      </w:tr>
    </w:tbl>
    <w:p w14:paraId="2F021684" w14:textId="1A2B9C03" w:rsidR="00D66760" w:rsidRDefault="00D66760" w:rsidP="00D66760">
      <w:pPr>
        <w:spacing w:after="0" w:line="240" w:lineRule="auto"/>
        <w:rPr>
          <w:sz w:val="18"/>
          <w:szCs w:val="18"/>
        </w:rPr>
      </w:pPr>
      <w:r w:rsidRPr="00D66760">
        <w:rPr>
          <w:sz w:val="18"/>
          <w:szCs w:val="18"/>
        </w:rPr>
        <w:t>*Príjmy z rozpočtu EÚ okrem Plánu obnovy a</w:t>
      </w:r>
      <w:r>
        <w:rPr>
          <w:sz w:val="18"/>
          <w:szCs w:val="18"/>
        </w:rPr>
        <w:t> </w:t>
      </w:r>
      <w:r w:rsidRPr="00D66760">
        <w:rPr>
          <w:sz w:val="18"/>
          <w:szCs w:val="18"/>
        </w:rPr>
        <w:t>odolnosti</w:t>
      </w: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Zdroj: MF SR</w:t>
      </w:r>
    </w:p>
    <w:p w14:paraId="0BB83D52" w14:textId="04E3B777" w:rsidR="004D69BF" w:rsidRDefault="00D66760" w:rsidP="00D66760">
      <w:pPr>
        <w:spacing w:after="0" w:line="240" w:lineRule="auto"/>
      </w:pPr>
      <w:r w:rsidRPr="00D66760">
        <w:rPr>
          <w:sz w:val="18"/>
          <w:szCs w:val="18"/>
        </w:rPr>
        <w:t>** Hodnota bez tradičných vlastných zdrojov</w:t>
      </w:r>
    </w:p>
    <w:p w14:paraId="6B3D5499" w14:textId="353E3385" w:rsidR="004D69BF" w:rsidRPr="00F00311" w:rsidRDefault="004D69BF" w:rsidP="004D69BF">
      <w:pPr>
        <w:spacing w:before="120" w:line="240" w:lineRule="auto"/>
        <w:rPr>
          <w:sz w:val="24"/>
          <w:szCs w:val="24"/>
        </w:rPr>
      </w:pPr>
      <w:r w:rsidRPr="00F00311">
        <w:rPr>
          <w:sz w:val="24"/>
          <w:szCs w:val="24"/>
        </w:rPr>
        <w:t>Nasledujúc</w:t>
      </w:r>
      <w:r>
        <w:rPr>
          <w:sz w:val="24"/>
          <w:szCs w:val="24"/>
        </w:rPr>
        <w:t>i</w:t>
      </w:r>
      <w:r w:rsidRPr="00F00311">
        <w:rPr>
          <w:sz w:val="24"/>
          <w:szCs w:val="24"/>
        </w:rPr>
        <w:t xml:space="preserve"> </w:t>
      </w:r>
      <w:r>
        <w:rPr>
          <w:sz w:val="24"/>
          <w:szCs w:val="24"/>
        </w:rPr>
        <w:t xml:space="preserve">opis </w:t>
      </w:r>
      <w:r w:rsidRPr="00F00311">
        <w:rPr>
          <w:sz w:val="24"/>
          <w:szCs w:val="24"/>
        </w:rPr>
        <w:t>príjmo</w:t>
      </w:r>
      <w:r>
        <w:rPr>
          <w:sz w:val="24"/>
          <w:szCs w:val="24"/>
        </w:rPr>
        <w:t>v</w:t>
      </w:r>
      <w:r w:rsidRPr="00F00311">
        <w:rPr>
          <w:sz w:val="24"/>
          <w:szCs w:val="24"/>
        </w:rPr>
        <w:t xml:space="preserve"> a výdavko</w:t>
      </w:r>
      <w:r>
        <w:rPr>
          <w:sz w:val="24"/>
          <w:szCs w:val="24"/>
        </w:rPr>
        <w:t>v</w:t>
      </w:r>
      <w:r w:rsidRPr="00F00311">
        <w:rPr>
          <w:sz w:val="24"/>
          <w:szCs w:val="24"/>
        </w:rPr>
        <w:t xml:space="preserve"> štátneho rozpočtu </w:t>
      </w:r>
      <w:r>
        <w:rPr>
          <w:sz w:val="24"/>
          <w:szCs w:val="24"/>
        </w:rPr>
        <w:t>je založený na údajoch predložených štátnymi rozpočtovými organizáciami Ministerstvu financií SR, prostredníctvom finančných</w:t>
      </w:r>
      <w:r>
        <w:rPr>
          <w:rStyle w:val="Odkaznapoznmkupodiarou"/>
          <w:sz w:val="24"/>
          <w:szCs w:val="24"/>
        </w:rPr>
        <w:footnoteReference w:id="24"/>
      </w:r>
      <w:r w:rsidR="00D66760">
        <w:rPr>
          <w:sz w:val="24"/>
          <w:szCs w:val="24"/>
        </w:rPr>
        <w:t xml:space="preserve"> a účtovných výkazov k 31. </w:t>
      </w:r>
      <w:r>
        <w:rPr>
          <w:sz w:val="24"/>
          <w:szCs w:val="24"/>
        </w:rPr>
        <w:t>decembru 2024, ako aj dodatočných informácií poskytnutých od</w:t>
      </w:r>
      <w:r w:rsidR="00D66760">
        <w:rPr>
          <w:sz w:val="24"/>
          <w:szCs w:val="24"/>
        </w:rPr>
        <w:t> </w:t>
      </w:r>
      <w:r>
        <w:rPr>
          <w:sz w:val="24"/>
          <w:szCs w:val="24"/>
        </w:rPr>
        <w:t xml:space="preserve">správcov kapitol štátneho rozpočtu. </w:t>
      </w:r>
      <w:r w:rsidRPr="00F00311">
        <w:rPr>
          <w:sz w:val="24"/>
          <w:szCs w:val="24"/>
        </w:rPr>
        <w:t>Komentár k </w:t>
      </w:r>
      <w:r>
        <w:rPr>
          <w:sz w:val="24"/>
          <w:szCs w:val="24"/>
        </w:rPr>
        <w:t>vybraným</w:t>
      </w:r>
      <w:r w:rsidRPr="00F00311">
        <w:rPr>
          <w:sz w:val="24"/>
          <w:szCs w:val="24"/>
        </w:rPr>
        <w:t xml:space="preserve"> položkám príjmov a výdavkov sa sústredí na opis faktorov majúcich </w:t>
      </w:r>
      <w:r>
        <w:rPr>
          <w:sz w:val="24"/>
          <w:szCs w:val="24"/>
        </w:rPr>
        <w:t xml:space="preserve">významný </w:t>
      </w:r>
      <w:r w:rsidRPr="00F00311">
        <w:rPr>
          <w:sz w:val="24"/>
          <w:szCs w:val="24"/>
        </w:rPr>
        <w:t>vplyv na ich hotovostné plnenie</w:t>
      </w:r>
      <w:r>
        <w:rPr>
          <w:sz w:val="24"/>
          <w:szCs w:val="24"/>
        </w:rPr>
        <w:t xml:space="preserve"> alebo medziročné porovnanie.</w:t>
      </w:r>
    </w:p>
    <w:p w14:paraId="2AE36B0B" w14:textId="03EA6919" w:rsidR="004D69BF" w:rsidRDefault="004D69BF" w:rsidP="004D69BF">
      <w:pPr>
        <w:spacing w:line="240" w:lineRule="auto"/>
        <w:rPr>
          <w:sz w:val="24"/>
          <w:szCs w:val="24"/>
        </w:rPr>
      </w:pPr>
      <w:r w:rsidRPr="00F00311">
        <w:rPr>
          <w:sz w:val="24"/>
          <w:szCs w:val="24"/>
        </w:rPr>
        <w:t xml:space="preserve">Súčasťou Štátneho záverečného účtu SR je aj tabuľková príloha, ktorá dopĺňa opisnú časť </w:t>
      </w:r>
      <w:r>
        <w:rPr>
          <w:sz w:val="24"/>
          <w:szCs w:val="24"/>
        </w:rPr>
        <w:t>kapitoly č. 3.</w:t>
      </w:r>
      <w:r>
        <w:rPr>
          <w:rStyle w:val="Odkaznapoznmkupodiarou"/>
          <w:sz w:val="24"/>
          <w:szCs w:val="24"/>
        </w:rPr>
        <w:footnoteReference w:id="25"/>
      </w:r>
    </w:p>
    <w:p w14:paraId="718E4967" w14:textId="785B09D0" w:rsidR="004D69BF" w:rsidRDefault="004D69BF" w:rsidP="004D69BF">
      <w:pPr>
        <w:spacing w:line="240" w:lineRule="auto"/>
        <w:rPr>
          <w:sz w:val="24"/>
          <w:szCs w:val="24"/>
        </w:rPr>
      </w:pPr>
      <w:r>
        <w:rPr>
          <w:b/>
          <w:bCs/>
          <w:sz w:val="24"/>
          <w:szCs w:val="24"/>
        </w:rPr>
        <w:t>Detailné</w:t>
      </w:r>
      <w:r w:rsidRPr="000C4F93">
        <w:rPr>
          <w:b/>
          <w:bCs/>
          <w:sz w:val="24"/>
          <w:szCs w:val="24"/>
        </w:rPr>
        <w:t xml:space="preserve"> informácie o</w:t>
      </w:r>
      <w:r>
        <w:rPr>
          <w:b/>
          <w:bCs/>
          <w:sz w:val="24"/>
          <w:szCs w:val="24"/>
        </w:rPr>
        <w:t> plnení rozpočtu</w:t>
      </w:r>
      <w:r w:rsidRPr="000C4F93">
        <w:rPr>
          <w:b/>
          <w:bCs/>
          <w:sz w:val="24"/>
          <w:szCs w:val="24"/>
        </w:rPr>
        <w:t> príjmo</w:t>
      </w:r>
      <w:r>
        <w:rPr>
          <w:b/>
          <w:bCs/>
          <w:sz w:val="24"/>
          <w:szCs w:val="24"/>
        </w:rPr>
        <w:t>v</w:t>
      </w:r>
      <w:r w:rsidRPr="000C4F93">
        <w:rPr>
          <w:b/>
          <w:bCs/>
          <w:sz w:val="24"/>
          <w:szCs w:val="24"/>
        </w:rPr>
        <w:t xml:space="preserve"> a výdavko</w:t>
      </w:r>
      <w:r>
        <w:rPr>
          <w:b/>
          <w:bCs/>
          <w:sz w:val="24"/>
          <w:szCs w:val="24"/>
        </w:rPr>
        <w:t>v</w:t>
      </w:r>
      <w:r w:rsidRPr="000C4F93">
        <w:rPr>
          <w:b/>
          <w:bCs/>
          <w:sz w:val="24"/>
          <w:szCs w:val="24"/>
        </w:rPr>
        <w:t xml:space="preserve"> </w:t>
      </w:r>
      <w:r>
        <w:rPr>
          <w:b/>
          <w:bCs/>
          <w:sz w:val="24"/>
          <w:szCs w:val="24"/>
        </w:rPr>
        <w:t>štátnych rozpočtových organizácií sú uvádzané v</w:t>
      </w:r>
      <w:r w:rsidRPr="000C4F93">
        <w:rPr>
          <w:b/>
          <w:bCs/>
          <w:sz w:val="24"/>
          <w:szCs w:val="24"/>
        </w:rPr>
        <w:t> záverečných účtoch kapitol</w:t>
      </w:r>
      <w:r>
        <w:rPr>
          <w:rStyle w:val="Odkaznapoznmkupodiarou"/>
          <w:b/>
          <w:bCs/>
          <w:sz w:val="24"/>
          <w:szCs w:val="24"/>
        </w:rPr>
        <w:footnoteReference w:id="26"/>
      </w:r>
      <w:r w:rsidRPr="000C4F93">
        <w:rPr>
          <w:b/>
          <w:bCs/>
          <w:sz w:val="24"/>
          <w:szCs w:val="24"/>
        </w:rPr>
        <w:t>, ktoré sa zverejňujú na</w:t>
      </w:r>
      <w:r w:rsidR="00D66760">
        <w:rPr>
          <w:b/>
          <w:bCs/>
          <w:sz w:val="24"/>
          <w:szCs w:val="24"/>
        </w:rPr>
        <w:t> </w:t>
      </w:r>
      <w:r w:rsidRPr="000C4F93">
        <w:rPr>
          <w:b/>
          <w:bCs/>
          <w:sz w:val="24"/>
          <w:szCs w:val="24"/>
        </w:rPr>
        <w:t>ich webovom sídle.</w:t>
      </w:r>
    </w:p>
    <w:p w14:paraId="57A0B42B" w14:textId="160CDDCF" w:rsidR="004D69BF" w:rsidRPr="0023497E" w:rsidRDefault="004D69BF" w:rsidP="0070263C">
      <w:pPr>
        <w:pStyle w:val="Nadpis2"/>
        <w:ind w:left="567" w:hanging="567"/>
      </w:pPr>
      <w:bookmarkStart w:id="89" w:name="_Toc6415641"/>
      <w:bookmarkStart w:id="90" w:name="_Toc196314132"/>
      <w:r w:rsidRPr="0023497E">
        <w:t>Príjmy štátneho rozpočtu</w:t>
      </w:r>
      <w:bookmarkEnd w:id="89"/>
      <w:bookmarkEnd w:id="90"/>
    </w:p>
    <w:p w14:paraId="4B2CABDD" w14:textId="77777777" w:rsidR="004D69BF" w:rsidRPr="0023497E" w:rsidRDefault="004D69BF" w:rsidP="004D69BF">
      <w:pPr>
        <w:pStyle w:val="Nadpis3"/>
      </w:pPr>
      <w:bookmarkStart w:id="91" w:name="_Toc6415642"/>
      <w:bookmarkStart w:id="92" w:name="_Toc196314133"/>
      <w:r w:rsidRPr="0023497E">
        <w:t>Daňové príjmy</w:t>
      </w:r>
      <w:bookmarkEnd w:id="91"/>
      <w:bookmarkEnd w:id="92"/>
    </w:p>
    <w:p w14:paraId="0BCA19C0" w14:textId="19ADFEA8" w:rsidR="004D69BF" w:rsidRPr="000444EB" w:rsidRDefault="004D69BF" w:rsidP="004D69BF">
      <w:pPr>
        <w:spacing w:line="240" w:lineRule="auto"/>
        <w:rPr>
          <w:sz w:val="24"/>
          <w:szCs w:val="24"/>
        </w:rPr>
      </w:pPr>
      <w:r w:rsidRPr="000444EB">
        <w:rPr>
          <w:sz w:val="24"/>
          <w:szCs w:val="24"/>
        </w:rPr>
        <w:t>Hotovostné daňové príjmy štátneho rozpočtu n</w:t>
      </w:r>
      <w:r w:rsidR="00D66760">
        <w:rPr>
          <w:sz w:val="24"/>
          <w:szCs w:val="24"/>
        </w:rPr>
        <w:t>a rok 2024 boli rozpočtované vo </w:t>
      </w:r>
      <w:r w:rsidRPr="000444EB">
        <w:rPr>
          <w:sz w:val="24"/>
          <w:szCs w:val="24"/>
        </w:rPr>
        <w:t>výške 18 633 856 tis. eur. V sk</w:t>
      </w:r>
      <w:r w:rsidR="00D66760">
        <w:rPr>
          <w:sz w:val="24"/>
          <w:szCs w:val="24"/>
        </w:rPr>
        <w:t>utočnosti boli nižšie o 283 068 tis. </w:t>
      </w:r>
      <w:r w:rsidRPr="000444EB">
        <w:rPr>
          <w:sz w:val="24"/>
          <w:szCs w:val="24"/>
        </w:rPr>
        <w:t>eur (resp. 1,5 %) a dosiahli výšku 18 350 788 tis. eur. Za nižším výnosom je najmä výpadok príjmu zo solidárn</w:t>
      </w:r>
      <w:r>
        <w:rPr>
          <w:sz w:val="24"/>
          <w:szCs w:val="24"/>
        </w:rPr>
        <w:t>eho</w:t>
      </w:r>
      <w:r w:rsidRPr="000444EB">
        <w:rPr>
          <w:sz w:val="24"/>
          <w:szCs w:val="24"/>
        </w:rPr>
        <w:t xml:space="preserve"> príspevk</w:t>
      </w:r>
      <w:r>
        <w:rPr>
          <w:sz w:val="24"/>
          <w:szCs w:val="24"/>
        </w:rPr>
        <w:t>u</w:t>
      </w:r>
      <w:r w:rsidRPr="000444EB">
        <w:rPr>
          <w:sz w:val="24"/>
          <w:szCs w:val="24"/>
        </w:rPr>
        <w:t xml:space="preserve"> z činností v odvetviach ropy, zemného plynu, uhlia a rafinérií.</w:t>
      </w:r>
    </w:p>
    <w:p w14:paraId="634A93C5" w14:textId="77777777" w:rsidR="004D69BF" w:rsidRDefault="004D69BF" w:rsidP="004D69BF">
      <w:pPr>
        <w:spacing w:line="240" w:lineRule="auto"/>
        <w:rPr>
          <w:sz w:val="24"/>
          <w:szCs w:val="24"/>
        </w:rPr>
      </w:pPr>
      <w:r w:rsidRPr="00695239">
        <w:rPr>
          <w:sz w:val="24"/>
          <w:szCs w:val="24"/>
        </w:rPr>
        <w:t>Prehľad o plnení daňových príjmov štátneho rozpočtu poskytujú nasledovné údaje:</w:t>
      </w:r>
    </w:p>
    <w:p w14:paraId="24C9BF7C" w14:textId="6FD1DA93" w:rsidR="00D66760" w:rsidRPr="00D66760" w:rsidRDefault="00D66760" w:rsidP="00D66760">
      <w:pPr>
        <w:pStyle w:val="Popis"/>
        <w:keepNext/>
        <w:spacing w:after="120"/>
        <w:rPr>
          <w:rFonts w:eastAsia="Times New Roman" w:cs="Times New Roman"/>
          <w:b/>
          <w:bCs/>
          <w:i w:val="0"/>
          <w:iCs w:val="0"/>
          <w:color w:val="5B9BD5"/>
          <w:sz w:val="20"/>
          <w:szCs w:val="20"/>
          <w:lang w:eastAsia="sk-SK"/>
        </w:rPr>
      </w:pPr>
      <w:bookmarkStart w:id="93" w:name="_Toc196313650"/>
      <w:bookmarkStart w:id="94" w:name="_Toc196389271"/>
      <w:r w:rsidRPr="00D66760">
        <w:rPr>
          <w:rFonts w:eastAsia="Times New Roman" w:cs="Times New Roman"/>
          <w:b/>
          <w:bCs/>
          <w:i w:val="0"/>
          <w:iCs w:val="0"/>
          <w:color w:val="5B9BD5"/>
          <w:sz w:val="20"/>
          <w:szCs w:val="20"/>
          <w:lang w:eastAsia="sk-SK"/>
        </w:rPr>
        <w:t xml:space="preserve">Tabuľka </w:t>
      </w:r>
      <w:r w:rsidRPr="00D66760">
        <w:rPr>
          <w:rFonts w:eastAsia="Times New Roman" w:cs="Times New Roman"/>
          <w:b/>
          <w:bCs/>
          <w:i w:val="0"/>
          <w:iCs w:val="0"/>
          <w:color w:val="5B9BD5"/>
          <w:sz w:val="20"/>
          <w:szCs w:val="20"/>
          <w:lang w:eastAsia="sk-SK"/>
        </w:rPr>
        <w:fldChar w:fldCharType="begin"/>
      </w:r>
      <w:r w:rsidRPr="00D66760">
        <w:rPr>
          <w:rFonts w:eastAsia="Times New Roman" w:cs="Times New Roman"/>
          <w:b/>
          <w:bCs/>
          <w:i w:val="0"/>
          <w:iCs w:val="0"/>
          <w:color w:val="5B9BD5"/>
          <w:sz w:val="20"/>
          <w:szCs w:val="20"/>
          <w:lang w:eastAsia="sk-SK"/>
        </w:rPr>
        <w:instrText xml:space="preserve"> SEQ Tabuľka \* ARABIC </w:instrText>
      </w:r>
      <w:r w:rsidRPr="00D66760">
        <w:rPr>
          <w:rFonts w:eastAsia="Times New Roman" w:cs="Times New Roman"/>
          <w:b/>
          <w:bCs/>
          <w:i w:val="0"/>
          <w:iCs w:val="0"/>
          <w:color w:val="5B9BD5"/>
          <w:sz w:val="20"/>
          <w:szCs w:val="20"/>
          <w:lang w:eastAsia="sk-SK"/>
        </w:rPr>
        <w:fldChar w:fldCharType="separate"/>
      </w:r>
      <w:r w:rsidR="00C64CBA">
        <w:rPr>
          <w:rFonts w:eastAsia="Times New Roman" w:cs="Times New Roman"/>
          <w:b/>
          <w:bCs/>
          <w:i w:val="0"/>
          <w:iCs w:val="0"/>
          <w:noProof/>
          <w:color w:val="5B9BD5"/>
          <w:sz w:val="20"/>
          <w:szCs w:val="20"/>
          <w:lang w:eastAsia="sk-SK"/>
        </w:rPr>
        <w:t>24</w:t>
      </w:r>
      <w:r w:rsidRPr="00D66760">
        <w:rPr>
          <w:rFonts w:eastAsia="Times New Roman" w:cs="Times New Roman"/>
          <w:b/>
          <w:bCs/>
          <w:i w:val="0"/>
          <w:iCs w:val="0"/>
          <w:color w:val="5B9BD5"/>
          <w:sz w:val="20"/>
          <w:szCs w:val="20"/>
          <w:lang w:eastAsia="sk-SK"/>
        </w:rPr>
        <w:fldChar w:fldCharType="end"/>
      </w:r>
      <w:r w:rsidRPr="00D66760">
        <w:rPr>
          <w:rFonts w:eastAsia="Times New Roman" w:cs="Times New Roman"/>
          <w:b/>
          <w:bCs/>
          <w:i w:val="0"/>
          <w:iCs w:val="0"/>
          <w:color w:val="5B9BD5"/>
          <w:sz w:val="20"/>
          <w:szCs w:val="20"/>
          <w:lang w:eastAsia="sk-SK"/>
        </w:rPr>
        <w:t xml:space="preserve"> - Daňové príjmy štátneho rozpočtu na hotovostnej báze</w:t>
      </w:r>
      <w:bookmarkEnd w:id="93"/>
      <w:bookmarkEnd w:id="94"/>
    </w:p>
    <w:tbl>
      <w:tblPr>
        <w:tblW w:w="5000" w:type="pct"/>
        <w:tblCellMar>
          <w:left w:w="70" w:type="dxa"/>
          <w:right w:w="70" w:type="dxa"/>
        </w:tblCellMar>
        <w:tblLook w:val="04A0" w:firstRow="1" w:lastRow="0" w:firstColumn="1" w:lastColumn="0" w:noHBand="0" w:noVBand="1"/>
      </w:tblPr>
      <w:tblGrid>
        <w:gridCol w:w="3147"/>
        <w:gridCol w:w="1383"/>
        <w:gridCol w:w="1237"/>
        <w:gridCol w:w="1100"/>
        <w:gridCol w:w="1010"/>
        <w:gridCol w:w="1053"/>
      </w:tblGrid>
      <w:tr w:rsidR="004D69BF" w:rsidRPr="00D0395E" w14:paraId="49C7FCEC" w14:textId="77777777" w:rsidTr="00D66760">
        <w:trPr>
          <w:trHeight w:val="348"/>
          <w:tblHeader/>
        </w:trPr>
        <w:tc>
          <w:tcPr>
            <w:tcW w:w="3252" w:type="dxa"/>
            <w:vMerge w:val="restart"/>
            <w:tcBorders>
              <w:top w:val="single" w:sz="4" w:space="0" w:color="auto"/>
              <w:left w:val="nil"/>
              <w:right w:val="nil"/>
            </w:tcBorders>
            <w:shd w:val="clear" w:color="auto" w:fill="auto"/>
            <w:vAlign w:val="center"/>
            <w:hideMark/>
          </w:tcPr>
          <w:p w14:paraId="75FFA652" w14:textId="77777777" w:rsidR="004D69BF" w:rsidRPr="00D0395E" w:rsidRDefault="004D69BF" w:rsidP="000240DA">
            <w:pPr>
              <w:spacing w:after="0" w:line="240" w:lineRule="auto"/>
              <w:jc w:val="left"/>
              <w:rPr>
                <w:rFonts w:eastAsia="Times New Roman" w:cs="Times New Roman"/>
                <w:b/>
                <w:bCs/>
                <w:color w:val="000000"/>
                <w:sz w:val="18"/>
                <w:szCs w:val="18"/>
                <w:lang w:eastAsia="sk-SK"/>
              </w:rPr>
            </w:pPr>
            <w:r w:rsidRPr="00D0395E">
              <w:rPr>
                <w:rFonts w:eastAsia="Times New Roman" w:cs="Times New Roman"/>
                <w:b/>
                <w:color w:val="000000"/>
                <w:sz w:val="18"/>
                <w:szCs w:val="18"/>
                <w:lang w:eastAsia="sk-SK"/>
              </w:rPr>
              <w:t>v tis. eur</w:t>
            </w:r>
          </w:p>
        </w:tc>
        <w:tc>
          <w:tcPr>
            <w:tcW w:w="1426" w:type="dxa"/>
            <w:tcBorders>
              <w:top w:val="single" w:sz="4" w:space="0" w:color="auto"/>
              <w:left w:val="nil"/>
              <w:bottom w:val="nil"/>
              <w:right w:val="nil"/>
            </w:tcBorders>
            <w:shd w:val="clear" w:color="auto" w:fill="auto"/>
            <w:vAlign w:val="center"/>
            <w:hideMark/>
          </w:tcPr>
          <w:p w14:paraId="6B9C81BC"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b/>
                <w:bCs/>
                <w:color w:val="000000"/>
                <w:sz w:val="18"/>
                <w:szCs w:val="18"/>
              </w:rPr>
              <w:t>2022 S</w:t>
            </w:r>
          </w:p>
        </w:tc>
        <w:tc>
          <w:tcPr>
            <w:tcW w:w="1276" w:type="dxa"/>
            <w:tcBorders>
              <w:top w:val="single" w:sz="4" w:space="0" w:color="auto"/>
              <w:left w:val="nil"/>
              <w:bottom w:val="nil"/>
              <w:right w:val="nil"/>
            </w:tcBorders>
            <w:shd w:val="clear" w:color="auto" w:fill="auto"/>
            <w:vAlign w:val="center"/>
            <w:hideMark/>
          </w:tcPr>
          <w:p w14:paraId="6E2A0381"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b/>
                <w:bCs/>
                <w:color w:val="000000"/>
                <w:sz w:val="18"/>
                <w:szCs w:val="18"/>
              </w:rPr>
              <w:t>2023 S</w:t>
            </w:r>
          </w:p>
        </w:tc>
        <w:tc>
          <w:tcPr>
            <w:tcW w:w="1134" w:type="dxa"/>
            <w:tcBorders>
              <w:top w:val="single" w:sz="4" w:space="0" w:color="auto"/>
              <w:left w:val="nil"/>
              <w:bottom w:val="nil"/>
              <w:right w:val="nil"/>
            </w:tcBorders>
            <w:shd w:val="clear" w:color="auto" w:fill="auto"/>
            <w:vAlign w:val="center"/>
            <w:hideMark/>
          </w:tcPr>
          <w:p w14:paraId="5CD54F97"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b/>
                <w:bCs/>
                <w:color w:val="000000"/>
                <w:sz w:val="18"/>
                <w:szCs w:val="18"/>
              </w:rPr>
              <w:t>2024 R</w:t>
            </w:r>
          </w:p>
        </w:tc>
        <w:tc>
          <w:tcPr>
            <w:tcW w:w="1041" w:type="dxa"/>
            <w:tcBorders>
              <w:top w:val="single" w:sz="4" w:space="0" w:color="auto"/>
              <w:left w:val="nil"/>
              <w:bottom w:val="nil"/>
              <w:right w:val="nil"/>
            </w:tcBorders>
            <w:shd w:val="clear" w:color="auto" w:fill="auto"/>
            <w:vAlign w:val="center"/>
            <w:hideMark/>
          </w:tcPr>
          <w:p w14:paraId="7E5B4B10"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b/>
                <w:bCs/>
                <w:color w:val="000000"/>
                <w:sz w:val="18"/>
                <w:szCs w:val="18"/>
              </w:rPr>
              <w:t>2024 S</w:t>
            </w:r>
          </w:p>
        </w:tc>
        <w:tc>
          <w:tcPr>
            <w:tcW w:w="1085" w:type="dxa"/>
            <w:tcBorders>
              <w:top w:val="single" w:sz="4" w:space="0" w:color="auto"/>
              <w:left w:val="nil"/>
              <w:bottom w:val="nil"/>
              <w:right w:val="nil"/>
            </w:tcBorders>
            <w:shd w:val="clear" w:color="auto" w:fill="auto"/>
            <w:vAlign w:val="center"/>
            <w:hideMark/>
          </w:tcPr>
          <w:p w14:paraId="0F5BA4A5"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Rozdiel</w:t>
            </w:r>
          </w:p>
        </w:tc>
      </w:tr>
      <w:tr w:rsidR="004D69BF" w:rsidRPr="00D0395E" w14:paraId="4EE232B0" w14:textId="77777777" w:rsidTr="00D66760">
        <w:trPr>
          <w:trHeight w:val="109"/>
          <w:tblHeader/>
        </w:trPr>
        <w:tc>
          <w:tcPr>
            <w:tcW w:w="3252" w:type="dxa"/>
            <w:vMerge/>
            <w:tcBorders>
              <w:left w:val="nil"/>
              <w:bottom w:val="single" w:sz="4" w:space="0" w:color="auto"/>
              <w:right w:val="nil"/>
            </w:tcBorders>
            <w:shd w:val="clear" w:color="auto" w:fill="auto"/>
            <w:vAlign w:val="center"/>
            <w:hideMark/>
          </w:tcPr>
          <w:p w14:paraId="183EBF4E" w14:textId="77777777" w:rsidR="004D69BF" w:rsidRPr="00D0395E" w:rsidRDefault="004D69BF" w:rsidP="000240DA">
            <w:pPr>
              <w:spacing w:after="0" w:line="240" w:lineRule="auto"/>
              <w:jc w:val="left"/>
              <w:rPr>
                <w:rFonts w:eastAsia="Times New Roman" w:cs="Times New Roman"/>
                <w:b/>
                <w:color w:val="000000"/>
                <w:sz w:val="18"/>
                <w:szCs w:val="18"/>
                <w:lang w:eastAsia="sk-SK"/>
              </w:rPr>
            </w:pPr>
          </w:p>
        </w:tc>
        <w:tc>
          <w:tcPr>
            <w:tcW w:w="1426" w:type="dxa"/>
            <w:tcBorders>
              <w:top w:val="nil"/>
              <w:left w:val="nil"/>
              <w:bottom w:val="single" w:sz="4" w:space="0" w:color="auto"/>
              <w:right w:val="nil"/>
            </w:tcBorders>
            <w:shd w:val="clear" w:color="auto" w:fill="auto"/>
            <w:vAlign w:val="center"/>
            <w:hideMark/>
          </w:tcPr>
          <w:p w14:paraId="3A3DD772"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w:t>
            </w:r>
          </w:p>
        </w:tc>
        <w:tc>
          <w:tcPr>
            <w:tcW w:w="1276" w:type="dxa"/>
            <w:tcBorders>
              <w:top w:val="nil"/>
              <w:left w:val="nil"/>
              <w:bottom w:val="single" w:sz="4" w:space="0" w:color="auto"/>
              <w:right w:val="nil"/>
            </w:tcBorders>
            <w:shd w:val="clear" w:color="auto" w:fill="auto"/>
            <w:vAlign w:val="center"/>
            <w:hideMark/>
          </w:tcPr>
          <w:p w14:paraId="717F0E85"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w:t>
            </w:r>
          </w:p>
        </w:tc>
        <w:tc>
          <w:tcPr>
            <w:tcW w:w="1134" w:type="dxa"/>
            <w:tcBorders>
              <w:top w:val="nil"/>
              <w:left w:val="nil"/>
              <w:bottom w:val="single" w:sz="4" w:space="0" w:color="auto"/>
              <w:right w:val="nil"/>
            </w:tcBorders>
            <w:shd w:val="clear" w:color="auto" w:fill="auto"/>
            <w:vAlign w:val="center"/>
            <w:hideMark/>
          </w:tcPr>
          <w:p w14:paraId="325D09EA"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w:t>
            </w:r>
          </w:p>
        </w:tc>
        <w:tc>
          <w:tcPr>
            <w:tcW w:w="1041" w:type="dxa"/>
            <w:tcBorders>
              <w:top w:val="nil"/>
              <w:left w:val="nil"/>
              <w:bottom w:val="single" w:sz="4" w:space="0" w:color="auto"/>
              <w:right w:val="nil"/>
            </w:tcBorders>
            <w:shd w:val="clear" w:color="auto" w:fill="auto"/>
            <w:vAlign w:val="center"/>
            <w:hideMark/>
          </w:tcPr>
          <w:p w14:paraId="36522AC1"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4</w:t>
            </w:r>
          </w:p>
        </w:tc>
        <w:tc>
          <w:tcPr>
            <w:tcW w:w="1085" w:type="dxa"/>
            <w:tcBorders>
              <w:top w:val="nil"/>
              <w:left w:val="nil"/>
              <w:bottom w:val="single" w:sz="4" w:space="0" w:color="auto"/>
              <w:right w:val="nil"/>
            </w:tcBorders>
            <w:shd w:val="clear" w:color="auto" w:fill="auto"/>
            <w:vAlign w:val="center"/>
            <w:hideMark/>
          </w:tcPr>
          <w:p w14:paraId="093EF24D"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5=4-3</w:t>
            </w:r>
          </w:p>
        </w:tc>
      </w:tr>
      <w:tr w:rsidR="004D69BF" w:rsidRPr="00D0395E" w14:paraId="3C59394E" w14:textId="77777777" w:rsidTr="000240DA">
        <w:trPr>
          <w:trHeight w:val="454"/>
        </w:trPr>
        <w:tc>
          <w:tcPr>
            <w:tcW w:w="3252" w:type="dxa"/>
            <w:tcBorders>
              <w:top w:val="nil"/>
              <w:left w:val="nil"/>
              <w:bottom w:val="nil"/>
              <w:right w:val="nil"/>
            </w:tcBorders>
            <w:shd w:val="clear" w:color="auto" w:fill="auto"/>
            <w:noWrap/>
            <w:vAlign w:val="center"/>
            <w:hideMark/>
          </w:tcPr>
          <w:p w14:paraId="56BF650D" w14:textId="77777777" w:rsidR="004D69BF" w:rsidRPr="00D0395E" w:rsidRDefault="004D69BF" w:rsidP="000240DA">
            <w:pPr>
              <w:spacing w:after="0" w:line="240" w:lineRule="auto"/>
              <w:jc w:val="lef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Dane za tovary a služby</w:t>
            </w:r>
          </w:p>
        </w:tc>
        <w:tc>
          <w:tcPr>
            <w:tcW w:w="1426" w:type="dxa"/>
            <w:tcBorders>
              <w:top w:val="nil"/>
              <w:left w:val="nil"/>
              <w:bottom w:val="nil"/>
              <w:right w:val="nil"/>
            </w:tcBorders>
            <w:shd w:val="clear" w:color="auto" w:fill="auto"/>
            <w:noWrap/>
            <w:vAlign w:val="center"/>
            <w:hideMark/>
          </w:tcPr>
          <w:p w14:paraId="079478C5"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b/>
                <w:bCs/>
                <w:color w:val="000000"/>
                <w:sz w:val="18"/>
                <w:szCs w:val="18"/>
              </w:rPr>
              <w:t>11 330 228</w:t>
            </w:r>
          </w:p>
        </w:tc>
        <w:tc>
          <w:tcPr>
            <w:tcW w:w="1276" w:type="dxa"/>
            <w:tcBorders>
              <w:top w:val="nil"/>
              <w:left w:val="nil"/>
              <w:bottom w:val="nil"/>
              <w:right w:val="nil"/>
            </w:tcBorders>
            <w:shd w:val="clear" w:color="auto" w:fill="auto"/>
            <w:noWrap/>
            <w:vAlign w:val="center"/>
            <w:hideMark/>
          </w:tcPr>
          <w:p w14:paraId="65E9D742"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b/>
                <w:bCs/>
                <w:color w:val="000000"/>
                <w:sz w:val="18"/>
                <w:szCs w:val="18"/>
              </w:rPr>
              <w:t>12 450 214</w:t>
            </w:r>
          </w:p>
        </w:tc>
        <w:tc>
          <w:tcPr>
            <w:tcW w:w="1134" w:type="dxa"/>
            <w:tcBorders>
              <w:top w:val="nil"/>
              <w:left w:val="nil"/>
              <w:bottom w:val="nil"/>
              <w:right w:val="nil"/>
            </w:tcBorders>
            <w:shd w:val="clear" w:color="000000" w:fill="FFFFFF"/>
            <w:noWrap/>
            <w:vAlign w:val="center"/>
            <w:hideMark/>
          </w:tcPr>
          <w:p w14:paraId="56F3F9EF"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b/>
                <w:bCs/>
                <w:color w:val="000000"/>
                <w:sz w:val="18"/>
                <w:szCs w:val="18"/>
              </w:rPr>
              <w:t>12 851 474</w:t>
            </w:r>
          </w:p>
        </w:tc>
        <w:tc>
          <w:tcPr>
            <w:tcW w:w="1041" w:type="dxa"/>
            <w:tcBorders>
              <w:top w:val="nil"/>
              <w:left w:val="nil"/>
              <w:bottom w:val="nil"/>
              <w:right w:val="nil"/>
            </w:tcBorders>
            <w:shd w:val="clear" w:color="auto" w:fill="auto"/>
            <w:noWrap/>
            <w:vAlign w:val="center"/>
            <w:hideMark/>
          </w:tcPr>
          <w:p w14:paraId="68C8226F"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b/>
                <w:bCs/>
                <w:color w:val="000000"/>
                <w:sz w:val="18"/>
                <w:szCs w:val="18"/>
              </w:rPr>
              <w:t>12 768 440</w:t>
            </w:r>
          </w:p>
        </w:tc>
        <w:tc>
          <w:tcPr>
            <w:tcW w:w="1085" w:type="dxa"/>
            <w:tcBorders>
              <w:top w:val="nil"/>
              <w:left w:val="nil"/>
              <w:bottom w:val="nil"/>
              <w:right w:val="nil"/>
            </w:tcBorders>
            <w:shd w:val="clear" w:color="000000" w:fill="FFFFFF"/>
            <w:vAlign w:val="center"/>
            <w:hideMark/>
          </w:tcPr>
          <w:p w14:paraId="60DDE9A5"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b/>
                <w:bCs/>
                <w:color w:val="000000"/>
                <w:sz w:val="18"/>
                <w:szCs w:val="18"/>
              </w:rPr>
              <w:t>-83 034</w:t>
            </w:r>
          </w:p>
        </w:tc>
      </w:tr>
      <w:tr w:rsidR="004D69BF" w:rsidRPr="00D0395E" w14:paraId="2BC21C0F" w14:textId="77777777" w:rsidTr="000240DA">
        <w:trPr>
          <w:trHeight w:val="288"/>
        </w:trPr>
        <w:tc>
          <w:tcPr>
            <w:tcW w:w="3252" w:type="dxa"/>
            <w:tcBorders>
              <w:top w:val="nil"/>
              <w:left w:val="nil"/>
              <w:bottom w:val="nil"/>
              <w:right w:val="nil"/>
            </w:tcBorders>
            <w:shd w:val="clear" w:color="auto" w:fill="auto"/>
            <w:noWrap/>
            <w:vAlign w:val="center"/>
            <w:hideMark/>
          </w:tcPr>
          <w:p w14:paraId="45F8416C"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v tom: </w:t>
            </w:r>
          </w:p>
        </w:tc>
        <w:tc>
          <w:tcPr>
            <w:tcW w:w="1426" w:type="dxa"/>
            <w:tcBorders>
              <w:top w:val="nil"/>
              <w:left w:val="nil"/>
              <w:bottom w:val="nil"/>
              <w:right w:val="nil"/>
            </w:tcBorders>
            <w:shd w:val="clear" w:color="auto" w:fill="auto"/>
            <w:noWrap/>
            <w:vAlign w:val="center"/>
            <w:hideMark/>
          </w:tcPr>
          <w:p w14:paraId="5FF2AF23" w14:textId="77777777" w:rsidR="004D69BF" w:rsidRPr="00D0395E" w:rsidRDefault="004D69BF" w:rsidP="000240DA">
            <w:pPr>
              <w:spacing w:after="0" w:line="240" w:lineRule="auto"/>
              <w:jc w:val="left"/>
              <w:rPr>
                <w:rFonts w:eastAsia="Times New Roman" w:cs="Times New Roman"/>
                <w:color w:val="000000"/>
                <w:sz w:val="18"/>
                <w:szCs w:val="18"/>
                <w:highlight w:val="yellow"/>
                <w:lang w:eastAsia="sk-SK"/>
              </w:rPr>
            </w:pPr>
          </w:p>
        </w:tc>
        <w:tc>
          <w:tcPr>
            <w:tcW w:w="1276" w:type="dxa"/>
            <w:tcBorders>
              <w:top w:val="nil"/>
              <w:left w:val="nil"/>
              <w:bottom w:val="nil"/>
              <w:right w:val="nil"/>
            </w:tcBorders>
            <w:shd w:val="clear" w:color="auto" w:fill="auto"/>
            <w:noWrap/>
            <w:vAlign w:val="center"/>
            <w:hideMark/>
          </w:tcPr>
          <w:p w14:paraId="7C35C8EC" w14:textId="77777777" w:rsidR="004D69BF" w:rsidRPr="00D0395E" w:rsidRDefault="004D69BF" w:rsidP="000240DA">
            <w:pPr>
              <w:spacing w:after="0" w:line="240" w:lineRule="auto"/>
              <w:jc w:val="right"/>
              <w:rPr>
                <w:rFonts w:eastAsia="Times New Roman" w:cs="Times New Roman"/>
                <w:sz w:val="18"/>
                <w:szCs w:val="18"/>
                <w:highlight w:val="yellow"/>
                <w:lang w:eastAsia="sk-SK"/>
              </w:rPr>
            </w:pPr>
          </w:p>
        </w:tc>
        <w:tc>
          <w:tcPr>
            <w:tcW w:w="1134" w:type="dxa"/>
            <w:tcBorders>
              <w:top w:val="nil"/>
              <w:left w:val="nil"/>
              <w:bottom w:val="nil"/>
              <w:right w:val="nil"/>
            </w:tcBorders>
            <w:shd w:val="clear" w:color="auto" w:fill="auto"/>
            <w:noWrap/>
            <w:vAlign w:val="center"/>
            <w:hideMark/>
          </w:tcPr>
          <w:p w14:paraId="366A0590" w14:textId="77777777" w:rsidR="004D69BF" w:rsidRPr="00D0395E" w:rsidRDefault="004D69BF" w:rsidP="000240DA">
            <w:pPr>
              <w:spacing w:after="0" w:line="240" w:lineRule="auto"/>
              <w:jc w:val="right"/>
              <w:rPr>
                <w:rFonts w:eastAsia="Times New Roman" w:cs="Times New Roman"/>
                <w:sz w:val="18"/>
                <w:szCs w:val="18"/>
                <w:highlight w:val="yellow"/>
                <w:lang w:eastAsia="sk-SK"/>
              </w:rPr>
            </w:pPr>
          </w:p>
        </w:tc>
        <w:tc>
          <w:tcPr>
            <w:tcW w:w="1041" w:type="dxa"/>
            <w:tcBorders>
              <w:top w:val="nil"/>
              <w:left w:val="nil"/>
              <w:bottom w:val="nil"/>
              <w:right w:val="nil"/>
            </w:tcBorders>
            <w:shd w:val="clear" w:color="auto" w:fill="auto"/>
            <w:noWrap/>
            <w:vAlign w:val="center"/>
            <w:hideMark/>
          </w:tcPr>
          <w:p w14:paraId="1C643AA9" w14:textId="77777777" w:rsidR="004D69BF" w:rsidRPr="00D0395E" w:rsidRDefault="004D69BF" w:rsidP="000240DA">
            <w:pPr>
              <w:spacing w:after="0" w:line="240" w:lineRule="auto"/>
              <w:jc w:val="right"/>
              <w:rPr>
                <w:rFonts w:eastAsia="Times New Roman" w:cs="Times New Roman"/>
                <w:sz w:val="18"/>
                <w:szCs w:val="18"/>
                <w:highlight w:val="yellow"/>
                <w:lang w:eastAsia="sk-SK"/>
              </w:rPr>
            </w:pPr>
          </w:p>
        </w:tc>
        <w:tc>
          <w:tcPr>
            <w:tcW w:w="1085" w:type="dxa"/>
            <w:tcBorders>
              <w:top w:val="nil"/>
              <w:left w:val="nil"/>
              <w:bottom w:val="nil"/>
              <w:right w:val="nil"/>
            </w:tcBorders>
            <w:shd w:val="clear" w:color="000000" w:fill="FFFFFF"/>
            <w:noWrap/>
            <w:vAlign w:val="center"/>
            <w:hideMark/>
          </w:tcPr>
          <w:p w14:paraId="4C2B1499" w14:textId="77777777" w:rsidR="004D69BF" w:rsidRPr="00D0395E" w:rsidRDefault="004D69BF" w:rsidP="000240DA">
            <w:pPr>
              <w:spacing w:after="0" w:line="240" w:lineRule="auto"/>
              <w:jc w:val="right"/>
              <w:rPr>
                <w:rFonts w:eastAsia="Times New Roman" w:cs="Times New Roman"/>
                <w:sz w:val="18"/>
                <w:szCs w:val="18"/>
                <w:highlight w:val="yellow"/>
                <w:lang w:eastAsia="sk-SK"/>
              </w:rPr>
            </w:pPr>
          </w:p>
        </w:tc>
      </w:tr>
      <w:tr w:rsidR="004D69BF" w:rsidRPr="00D0395E" w14:paraId="6BF96631" w14:textId="77777777" w:rsidTr="000240DA">
        <w:trPr>
          <w:trHeight w:val="288"/>
        </w:trPr>
        <w:tc>
          <w:tcPr>
            <w:tcW w:w="3252" w:type="dxa"/>
            <w:tcBorders>
              <w:top w:val="nil"/>
              <w:left w:val="nil"/>
              <w:bottom w:val="nil"/>
              <w:right w:val="nil"/>
            </w:tcBorders>
            <w:shd w:val="clear" w:color="auto" w:fill="auto"/>
            <w:noWrap/>
            <w:vAlign w:val="center"/>
            <w:hideMark/>
          </w:tcPr>
          <w:p w14:paraId="50BB2332" w14:textId="77777777" w:rsidR="004D69BF" w:rsidRPr="00D0395E" w:rsidRDefault="004D69BF" w:rsidP="000240DA">
            <w:pPr>
              <w:spacing w:after="0" w:line="240" w:lineRule="auto"/>
              <w:jc w:val="left"/>
              <w:rPr>
                <w:rFonts w:eastAsia="Times New Roman" w:cs="Times New Roman"/>
                <w:i/>
                <w:iCs/>
                <w:color w:val="000000"/>
                <w:sz w:val="18"/>
                <w:szCs w:val="18"/>
                <w:lang w:eastAsia="sk-SK"/>
              </w:rPr>
            </w:pPr>
            <w:r w:rsidRPr="00D0395E">
              <w:rPr>
                <w:rFonts w:eastAsia="Times New Roman" w:cs="Times New Roman"/>
                <w:i/>
                <w:iCs/>
                <w:color w:val="000000"/>
                <w:sz w:val="18"/>
                <w:szCs w:val="18"/>
                <w:lang w:eastAsia="sk-SK"/>
              </w:rPr>
              <w:t xml:space="preserve">     DPH</w:t>
            </w:r>
          </w:p>
        </w:tc>
        <w:tc>
          <w:tcPr>
            <w:tcW w:w="1426" w:type="dxa"/>
            <w:tcBorders>
              <w:top w:val="nil"/>
              <w:left w:val="nil"/>
              <w:bottom w:val="nil"/>
              <w:right w:val="nil"/>
            </w:tcBorders>
            <w:shd w:val="clear" w:color="auto" w:fill="auto"/>
            <w:noWrap/>
            <w:vAlign w:val="center"/>
            <w:hideMark/>
          </w:tcPr>
          <w:p w14:paraId="36421466"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8 584 936</w:t>
            </w:r>
          </w:p>
        </w:tc>
        <w:tc>
          <w:tcPr>
            <w:tcW w:w="1276" w:type="dxa"/>
            <w:tcBorders>
              <w:top w:val="nil"/>
              <w:left w:val="nil"/>
              <w:bottom w:val="nil"/>
              <w:right w:val="nil"/>
            </w:tcBorders>
            <w:shd w:val="clear" w:color="auto" w:fill="auto"/>
            <w:noWrap/>
            <w:vAlign w:val="center"/>
            <w:hideMark/>
          </w:tcPr>
          <w:p w14:paraId="201561BA"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9 649 064</w:t>
            </w:r>
          </w:p>
        </w:tc>
        <w:tc>
          <w:tcPr>
            <w:tcW w:w="1134" w:type="dxa"/>
            <w:tcBorders>
              <w:top w:val="nil"/>
              <w:left w:val="nil"/>
              <w:bottom w:val="nil"/>
              <w:right w:val="nil"/>
            </w:tcBorders>
            <w:shd w:val="clear" w:color="auto" w:fill="auto"/>
            <w:noWrap/>
            <w:vAlign w:val="center"/>
            <w:hideMark/>
          </w:tcPr>
          <w:p w14:paraId="6F52D9C9"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9 827 000</w:t>
            </w:r>
          </w:p>
        </w:tc>
        <w:tc>
          <w:tcPr>
            <w:tcW w:w="1041" w:type="dxa"/>
            <w:tcBorders>
              <w:top w:val="nil"/>
              <w:left w:val="nil"/>
              <w:bottom w:val="nil"/>
              <w:right w:val="nil"/>
            </w:tcBorders>
            <w:shd w:val="clear" w:color="auto" w:fill="auto"/>
            <w:noWrap/>
            <w:vAlign w:val="center"/>
            <w:hideMark/>
          </w:tcPr>
          <w:p w14:paraId="5879DD38"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9 815 372</w:t>
            </w:r>
          </w:p>
        </w:tc>
        <w:tc>
          <w:tcPr>
            <w:tcW w:w="1085" w:type="dxa"/>
            <w:tcBorders>
              <w:top w:val="nil"/>
              <w:left w:val="nil"/>
              <w:bottom w:val="nil"/>
              <w:right w:val="nil"/>
            </w:tcBorders>
            <w:shd w:val="clear" w:color="000000" w:fill="FFFFFF"/>
            <w:noWrap/>
            <w:vAlign w:val="center"/>
            <w:hideMark/>
          </w:tcPr>
          <w:p w14:paraId="56288815"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-11 628</w:t>
            </w:r>
          </w:p>
        </w:tc>
      </w:tr>
      <w:tr w:rsidR="004D69BF" w:rsidRPr="00D0395E" w14:paraId="5AF5E381" w14:textId="77777777" w:rsidTr="000240DA">
        <w:trPr>
          <w:trHeight w:val="288"/>
        </w:trPr>
        <w:tc>
          <w:tcPr>
            <w:tcW w:w="3252" w:type="dxa"/>
            <w:tcBorders>
              <w:top w:val="nil"/>
              <w:left w:val="nil"/>
              <w:bottom w:val="nil"/>
              <w:right w:val="nil"/>
            </w:tcBorders>
            <w:shd w:val="clear" w:color="auto" w:fill="auto"/>
            <w:noWrap/>
            <w:vAlign w:val="center"/>
            <w:hideMark/>
          </w:tcPr>
          <w:p w14:paraId="59D25A76" w14:textId="77777777" w:rsidR="004D69BF" w:rsidRPr="00D0395E" w:rsidRDefault="004D69BF" w:rsidP="000240DA">
            <w:pPr>
              <w:spacing w:after="0" w:line="240" w:lineRule="auto"/>
              <w:jc w:val="left"/>
              <w:rPr>
                <w:rFonts w:eastAsia="Times New Roman" w:cs="Times New Roman"/>
                <w:i/>
                <w:iCs/>
                <w:color w:val="000000"/>
                <w:sz w:val="18"/>
                <w:szCs w:val="18"/>
                <w:lang w:eastAsia="sk-SK"/>
              </w:rPr>
            </w:pPr>
            <w:r w:rsidRPr="00D0395E">
              <w:rPr>
                <w:rFonts w:eastAsia="Times New Roman" w:cs="Times New Roman"/>
                <w:i/>
                <w:iCs/>
                <w:color w:val="000000"/>
                <w:sz w:val="18"/>
                <w:szCs w:val="18"/>
                <w:lang w:eastAsia="sk-SK"/>
              </w:rPr>
              <w:t xml:space="preserve">     spotrebné dane</w:t>
            </w:r>
          </w:p>
        </w:tc>
        <w:tc>
          <w:tcPr>
            <w:tcW w:w="1426" w:type="dxa"/>
            <w:tcBorders>
              <w:top w:val="nil"/>
              <w:left w:val="nil"/>
              <w:bottom w:val="nil"/>
              <w:right w:val="nil"/>
            </w:tcBorders>
            <w:shd w:val="clear" w:color="auto" w:fill="auto"/>
            <w:noWrap/>
            <w:vAlign w:val="center"/>
            <w:hideMark/>
          </w:tcPr>
          <w:p w14:paraId="75E55A06"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2 524 521</w:t>
            </w:r>
          </w:p>
        </w:tc>
        <w:tc>
          <w:tcPr>
            <w:tcW w:w="1276" w:type="dxa"/>
            <w:tcBorders>
              <w:top w:val="nil"/>
              <w:left w:val="nil"/>
              <w:bottom w:val="nil"/>
              <w:right w:val="nil"/>
            </w:tcBorders>
            <w:shd w:val="clear" w:color="auto" w:fill="auto"/>
            <w:noWrap/>
            <w:vAlign w:val="center"/>
            <w:hideMark/>
          </w:tcPr>
          <w:p w14:paraId="7ABB8D5D"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2 565 078</w:t>
            </w:r>
          </w:p>
        </w:tc>
        <w:tc>
          <w:tcPr>
            <w:tcW w:w="1134" w:type="dxa"/>
            <w:tcBorders>
              <w:top w:val="nil"/>
              <w:left w:val="nil"/>
              <w:bottom w:val="nil"/>
              <w:right w:val="nil"/>
            </w:tcBorders>
            <w:shd w:val="clear" w:color="auto" w:fill="auto"/>
            <w:noWrap/>
            <w:vAlign w:val="center"/>
            <w:hideMark/>
          </w:tcPr>
          <w:p w14:paraId="082B2C4A"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2 778 568</w:t>
            </w:r>
          </w:p>
        </w:tc>
        <w:tc>
          <w:tcPr>
            <w:tcW w:w="1041" w:type="dxa"/>
            <w:tcBorders>
              <w:top w:val="nil"/>
              <w:left w:val="nil"/>
              <w:bottom w:val="nil"/>
              <w:right w:val="nil"/>
            </w:tcBorders>
            <w:shd w:val="clear" w:color="auto" w:fill="auto"/>
            <w:noWrap/>
            <w:vAlign w:val="center"/>
            <w:hideMark/>
          </w:tcPr>
          <w:p w14:paraId="7B4EBDF7"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2 701 165</w:t>
            </w:r>
          </w:p>
        </w:tc>
        <w:tc>
          <w:tcPr>
            <w:tcW w:w="1085" w:type="dxa"/>
            <w:tcBorders>
              <w:top w:val="nil"/>
              <w:left w:val="nil"/>
              <w:bottom w:val="nil"/>
              <w:right w:val="nil"/>
            </w:tcBorders>
            <w:shd w:val="clear" w:color="000000" w:fill="FFFFFF"/>
            <w:vAlign w:val="center"/>
            <w:hideMark/>
          </w:tcPr>
          <w:p w14:paraId="16DA9795"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-77 403</w:t>
            </w:r>
          </w:p>
        </w:tc>
      </w:tr>
      <w:tr w:rsidR="004D69BF" w:rsidRPr="00D0395E" w14:paraId="5645B432" w14:textId="77777777" w:rsidTr="000240DA">
        <w:trPr>
          <w:trHeight w:val="288"/>
        </w:trPr>
        <w:tc>
          <w:tcPr>
            <w:tcW w:w="3252" w:type="dxa"/>
            <w:tcBorders>
              <w:top w:val="nil"/>
              <w:left w:val="nil"/>
              <w:bottom w:val="nil"/>
              <w:right w:val="nil"/>
            </w:tcBorders>
            <w:shd w:val="clear" w:color="auto" w:fill="auto"/>
            <w:noWrap/>
            <w:vAlign w:val="center"/>
            <w:hideMark/>
          </w:tcPr>
          <w:p w14:paraId="2625A46E"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v tom: </w:t>
            </w:r>
          </w:p>
        </w:tc>
        <w:tc>
          <w:tcPr>
            <w:tcW w:w="1426" w:type="dxa"/>
            <w:tcBorders>
              <w:top w:val="nil"/>
              <w:left w:val="nil"/>
              <w:bottom w:val="nil"/>
              <w:right w:val="nil"/>
            </w:tcBorders>
            <w:shd w:val="clear" w:color="auto" w:fill="auto"/>
            <w:noWrap/>
            <w:vAlign w:val="center"/>
            <w:hideMark/>
          </w:tcPr>
          <w:p w14:paraId="0D21DE44" w14:textId="77777777" w:rsidR="004D69BF" w:rsidRPr="00D0395E" w:rsidRDefault="004D69BF" w:rsidP="000240DA">
            <w:pPr>
              <w:spacing w:after="0" w:line="240" w:lineRule="auto"/>
              <w:jc w:val="left"/>
              <w:rPr>
                <w:rFonts w:eastAsia="Times New Roman" w:cs="Times New Roman"/>
                <w:color w:val="000000"/>
                <w:sz w:val="18"/>
                <w:szCs w:val="18"/>
                <w:highlight w:val="yellow"/>
                <w:lang w:eastAsia="sk-SK"/>
              </w:rPr>
            </w:pPr>
          </w:p>
        </w:tc>
        <w:tc>
          <w:tcPr>
            <w:tcW w:w="1276" w:type="dxa"/>
            <w:tcBorders>
              <w:top w:val="nil"/>
              <w:left w:val="nil"/>
              <w:bottom w:val="nil"/>
              <w:right w:val="nil"/>
            </w:tcBorders>
            <w:shd w:val="clear" w:color="auto" w:fill="auto"/>
            <w:noWrap/>
            <w:vAlign w:val="center"/>
            <w:hideMark/>
          </w:tcPr>
          <w:p w14:paraId="6758830F" w14:textId="77777777" w:rsidR="004D69BF" w:rsidRPr="00D0395E" w:rsidRDefault="004D69BF" w:rsidP="000240DA">
            <w:pPr>
              <w:spacing w:after="0" w:line="240" w:lineRule="auto"/>
              <w:jc w:val="right"/>
              <w:rPr>
                <w:rFonts w:eastAsia="Times New Roman" w:cs="Times New Roman"/>
                <w:sz w:val="18"/>
                <w:szCs w:val="18"/>
                <w:highlight w:val="yellow"/>
                <w:lang w:eastAsia="sk-SK"/>
              </w:rPr>
            </w:pPr>
          </w:p>
        </w:tc>
        <w:tc>
          <w:tcPr>
            <w:tcW w:w="1134" w:type="dxa"/>
            <w:tcBorders>
              <w:top w:val="nil"/>
              <w:left w:val="nil"/>
              <w:bottom w:val="nil"/>
              <w:right w:val="nil"/>
            </w:tcBorders>
            <w:shd w:val="clear" w:color="auto" w:fill="auto"/>
            <w:noWrap/>
            <w:vAlign w:val="center"/>
            <w:hideMark/>
          </w:tcPr>
          <w:p w14:paraId="49A8C4AB" w14:textId="77777777" w:rsidR="004D69BF" w:rsidRPr="00D0395E" w:rsidRDefault="004D69BF" w:rsidP="000240DA">
            <w:pPr>
              <w:spacing w:after="0" w:line="240" w:lineRule="auto"/>
              <w:jc w:val="right"/>
              <w:rPr>
                <w:rFonts w:eastAsia="Times New Roman" w:cs="Times New Roman"/>
                <w:sz w:val="18"/>
                <w:szCs w:val="18"/>
                <w:highlight w:val="yellow"/>
                <w:lang w:eastAsia="sk-SK"/>
              </w:rPr>
            </w:pPr>
          </w:p>
        </w:tc>
        <w:tc>
          <w:tcPr>
            <w:tcW w:w="1041" w:type="dxa"/>
            <w:tcBorders>
              <w:top w:val="nil"/>
              <w:left w:val="nil"/>
              <w:bottom w:val="nil"/>
              <w:right w:val="nil"/>
            </w:tcBorders>
            <w:shd w:val="clear" w:color="auto" w:fill="auto"/>
            <w:noWrap/>
            <w:vAlign w:val="center"/>
            <w:hideMark/>
          </w:tcPr>
          <w:p w14:paraId="6A8DB560" w14:textId="77777777" w:rsidR="004D69BF" w:rsidRPr="00D0395E" w:rsidRDefault="004D69BF" w:rsidP="000240DA">
            <w:pPr>
              <w:spacing w:after="0" w:line="240" w:lineRule="auto"/>
              <w:jc w:val="right"/>
              <w:rPr>
                <w:rFonts w:eastAsia="Times New Roman" w:cs="Times New Roman"/>
                <w:sz w:val="18"/>
                <w:szCs w:val="18"/>
                <w:highlight w:val="yellow"/>
                <w:lang w:eastAsia="sk-SK"/>
              </w:rPr>
            </w:pPr>
          </w:p>
        </w:tc>
        <w:tc>
          <w:tcPr>
            <w:tcW w:w="1085" w:type="dxa"/>
            <w:tcBorders>
              <w:top w:val="nil"/>
              <w:left w:val="nil"/>
              <w:bottom w:val="nil"/>
              <w:right w:val="nil"/>
            </w:tcBorders>
            <w:shd w:val="clear" w:color="000000" w:fill="FFFFFF"/>
            <w:vAlign w:val="center"/>
            <w:hideMark/>
          </w:tcPr>
          <w:p w14:paraId="59741B3C"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p>
        </w:tc>
      </w:tr>
      <w:tr w:rsidR="004D69BF" w:rsidRPr="00D0395E" w14:paraId="6DF4B90F" w14:textId="77777777" w:rsidTr="000240DA">
        <w:trPr>
          <w:trHeight w:val="289"/>
        </w:trPr>
        <w:tc>
          <w:tcPr>
            <w:tcW w:w="3252" w:type="dxa"/>
            <w:tcBorders>
              <w:top w:val="nil"/>
              <w:left w:val="nil"/>
              <w:bottom w:val="nil"/>
              <w:right w:val="nil"/>
            </w:tcBorders>
            <w:shd w:val="clear" w:color="auto" w:fill="auto"/>
            <w:noWrap/>
            <w:vAlign w:val="center"/>
            <w:hideMark/>
          </w:tcPr>
          <w:p w14:paraId="4B1ED57A" w14:textId="77777777" w:rsidR="004D69BF" w:rsidRPr="00D0395E" w:rsidRDefault="004D69BF" w:rsidP="000240DA">
            <w:pPr>
              <w:spacing w:after="0" w:line="240" w:lineRule="auto"/>
              <w:ind w:firstLineChars="100" w:firstLine="180"/>
              <w:jc w:val="left"/>
              <w:rPr>
                <w:rFonts w:eastAsia="Times New Roman" w:cs="Times New Roman"/>
                <w:i/>
                <w:iCs/>
                <w:sz w:val="18"/>
                <w:szCs w:val="18"/>
                <w:lang w:eastAsia="sk-SK"/>
              </w:rPr>
            </w:pPr>
            <w:r w:rsidRPr="00D0395E">
              <w:rPr>
                <w:rFonts w:eastAsia="Times New Roman" w:cs="Times New Roman"/>
                <w:i/>
                <w:iCs/>
                <w:sz w:val="18"/>
                <w:szCs w:val="18"/>
                <w:lang w:eastAsia="sk-SK"/>
              </w:rPr>
              <w:lastRenderedPageBreak/>
              <w:t xml:space="preserve">    z minerálneho oleja</w:t>
            </w:r>
          </w:p>
        </w:tc>
        <w:tc>
          <w:tcPr>
            <w:tcW w:w="1426" w:type="dxa"/>
            <w:tcBorders>
              <w:top w:val="nil"/>
              <w:left w:val="nil"/>
              <w:bottom w:val="nil"/>
              <w:right w:val="nil"/>
            </w:tcBorders>
            <w:shd w:val="clear" w:color="auto" w:fill="auto"/>
            <w:noWrap/>
            <w:vAlign w:val="center"/>
            <w:hideMark/>
          </w:tcPr>
          <w:p w14:paraId="78F09810"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1 285 538</w:t>
            </w:r>
          </w:p>
        </w:tc>
        <w:tc>
          <w:tcPr>
            <w:tcW w:w="1276" w:type="dxa"/>
            <w:tcBorders>
              <w:top w:val="nil"/>
              <w:left w:val="nil"/>
              <w:bottom w:val="nil"/>
              <w:right w:val="nil"/>
            </w:tcBorders>
            <w:shd w:val="clear" w:color="auto" w:fill="auto"/>
            <w:noWrap/>
            <w:vAlign w:val="center"/>
            <w:hideMark/>
          </w:tcPr>
          <w:p w14:paraId="4106897C"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1 317 484</w:t>
            </w:r>
          </w:p>
        </w:tc>
        <w:tc>
          <w:tcPr>
            <w:tcW w:w="1134" w:type="dxa"/>
            <w:tcBorders>
              <w:top w:val="nil"/>
              <w:left w:val="nil"/>
              <w:bottom w:val="nil"/>
              <w:right w:val="nil"/>
            </w:tcBorders>
            <w:shd w:val="clear" w:color="auto" w:fill="auto"/>
            <w:noWrap/>
            <w:vAlign w:val="center"/>
            <w:hideMark/>
          </w:tcPr>
          <w:p w14:paraId="32D534A3"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1 344 117</w:t>
            </w:r>
          </w:p>
        </w:tc>
        <w:tc>
          <w:tcPr>
            <w:tcW w:w="1041" w:type="dxa"/>
            <w:tcBorders>
              <w:top w:val="nil"/>
              <w:left w:val="nil"/>
              <w:bottom w:val="nil"/>
              <w:right w:val="nil"/>
            </w:tcBorders>
            <w:shd w:val="clear" w:color="auto" w:fill="auto"/>
            <w:noWrap/>
            <w:vAlign w:val="center"/>
            <w:hideMark/>
          </w:tcPr>
          <w:p w14:paraId="38511BD8"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1 349 684</w:t>
            </w:r>
          </w:p>
        </w:tc>
        <w:tc>
          <w:tcPr>
            <w:tcW w:w="1085" w:type="dxa"/>
            <w:tcBorders>
              <w:top w:val="nil"/>
              <w:left w:val="nil"/>
              <w:bottom w:val="nil"/>
              <w:right w:val="nil"/>
            </w:tcBorders>
            <w:shd w:val="clear" w:color="000000" w:fill="FFFFFF"/>
            <w:vAlign w:val="center"/>
            <w:hideMark/>
          </w:tcPr>
          <w:p w14:paraId="1AA60403"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5 567</w:t>
            </w:r>
          </w:p>
        </w:tc>
      </w:tr>
      <w:tr w:rsidR="004D69BF" w:rsidRPr="00D0395E" w14:paraId="7A8B88A6" w14:textId="77777777" w:rsidTr="000240DA">
        <w:trPr>
          <w:trHeight w:val="289"/>
        </w:trPr>
        <w:tc>
          <w:tcPr>
            <w:tcW w:w="3252" w:type="dxa"/>
            <w:tcBorders>
              <w:top w:val="nil"/>
              <w:left w:val="nil"/>
              <w:bottom w:val="nil"/>
              <w:right w:val="nil"/>
            </w:tcBorders>
            <w:shd w:val="clear" w:color="auto" w:fill="auto"/>
            <w:noWrap/>
            <w:vAlign w:val="center"/>
            <w:hideMark/>
          </w:tcPr>
          <w:p w14:paraId="606C69B6" w14:textId="77777777" w:rsidR="004D69BF" w:rsidRPr="00D0395E" w:rsidRDefault="004D69BF" w:rsidP="000240DA">
            <w:pPr>
              <w:spacing w:after="0" w:line="240" w:lineRule="auto"/>
              <w:ind w:firstLineChars="100" w:firstLine="180"/>
              <w:jc w:val="left"/>
              <w:rPr>
                <w:rFonts w:eastAsia="Times New Roman" w:cs="Times New Roman"/>
                <w:i/>
                <w:iCs/>
                <w:sz w:val="18"/>
                <w:szCs w:val="18"/>
                <w:lang w:eastAsia="sk-SK"/>
              </w:rPr>
            </w:pPr>
            <w:r w:rsidRPr="00D0395E">
              <w:rPr>
                <w:rFonts w:eastAsia="Times New Roman" w:cs="Times New Roman"/>
                <w:i/>
                <w:iCs/>
                <w:sz w:val="18"/>
                <w:szCs w:val="18"/>
                <w:lang w:eastAsia="sk-SK"/>
              </w:rPr>
              <w:t xml:space="preserve">    z liehu</w:t>
            </w:r>
          </w:p>
        </w:tc>
        <w:tc>
          <w:tcPr>
            <w:tcW w:w="1426" w:type="dxa"/>
            <w:tcBorders>
              <w:top w:val="nil"/>
              <w:left w:val="nil"/>
              <w:bottom w:val="nil"/>
              <w:right w:val="nil"/>
            </w:tcBorders>
            <w:shd w:val="clear" w:color="auto" w:fill="auto"/>
            <w:noWrap/>
            <w:vAlign w:val="center"/>
            <w:hideMark/>
          </w:tcPr>
          <w:p w14:paraId="3A204F4C"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232 466</w:t>
            </w:r>
          </w:p>
        </w:tc>
        <w:tc>
          <w:tcPr>
            <w:tcW w:w="1276" w:type="dxa"/>
            <w:tcBorders>
              <w:top w:val="nil"/>
              <w:left w:val="nil"/>
              <w:bottom w:val="nil"/>
              <w:right w:val="nil"/>
            </w:tcBorders>
            <w:shd w:val="clear" w:color="auto" w:fill="auto"/>
            <w:noWrap/>
            <w:vAlign w:val="center"/>
            <w:hideMark/>
          </w:tcPr>
          <w:p w14:paraId="048EEAD5"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232 979</w:t>
            </w:r>
          </w:p>
        </w:tc>
        <w:tc>
          <w:tcPr>
            <w:tcW w:w="1134" w:type="dxa"/>
            <w:tcBorders>
              <w:top w:val="nil"/>
              <w:left w:val="nil"/>
              <w:bottom w:val="nil"/>
              <w:right w:val="nil"/>
            </w:tcBorders>
            <w:shd w:val="clear" w:color="auto" w:fill="auto"/>
            <w:noWrap/>
            <w:vAlign w:val="center"/>
            <w:hideMark/>
          </w:tcPr>
          <w:p w14:paraId="79D3A725"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307 037</w:t>
            </w:r>
          </w:p>
        </w:tc>
        <w:tc>
          <w:tcPr>
            <w:tcW w:w="1041" w:type="dxa"/>
            <w:tcBorders>
              <w:top w:val="nil"/>
              <w:left w:val="nil"/>
              <w:bottom w:val="nil"/>
              <w:right w:val="nil"/>
            </w:tcBorders>
            <w:shd w:val="clear" w:color="auto" w:fill="auto"/>
            <w:noWrap/>
            <w:vAlign w:val="center"/>
            <w:hideMark/>
          </w:tcPr>
          <w:p w14:paraId="47C0385E"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257 587</w:t>
            </w:r>
          </w:p>
        </w:tc>
        <w:tc>
          <w:tcPr>
            <w:tcW w:w="1085" w:type="dxa"/>
            <w:tcBorders>
              <w:top w:val="nil"/>
              <w:left w:val="nil"/>
              <w:bottom w:val="nil"/>
              <w:right w:val="nil"/>
            </w:tcBorders>
            <w:shd w:val="clear" w:color="000000" w:fill="FFFFFF"/>
            <w:vAlign w:val="center"/>
            <w:hideMark/>
          </w:tcPr>
          <w:p w14:paraId="343F46CA"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-49 450</w:t>
            </w:r>
          </w:p>
        </w:tc>
      </w:tr>
      <w:tr w:rsidR="004D69BF" w:rsidRPr="00D0395E" w14:paraId="1B2168AE" w14:textId="77777777" w:rsidTr="000240DA">
        <w:trPr>
          <w:trHeight w:val="288"/>
        </w:trPr>
        <w:tc>
          <w:tcPr>
            <w:tcW w:w="3252" w:type="dxa"/>
            <w:tcBorders>
              <w:top w:val="nil"/>
              <w:left w:val="nil"/>
              <w:bottom w:val="nil"/>
              <w:right w:val="nil"/>
            </w:tcBorders>
            <w:shd w:val="clear" w:color="auto" w:fill="auto"/>
            <w:noWrap/>
            <w:vAlign w:val="center"/>
            <w:hideMark/>
          </w:tcPr>
          <w:p w14:paraId="56063D44" w14:textId="77777777" w:rsidR="004D69BF" w:rsidRPr="00D0395E" w:rsidRDefault="004D69BF" w:rsidP="000240DA">
            <w:pPr>
              <w:spacing w:after="0" w:line="240" w:lineRule="auto"/>
              <w:ind w:firstLineChars="100" w:firstLine="180"/>
              <w:jc w:val="left"/>
              <w:rPr>
                <w:rFonts w:eastAsia="Times New Roman" w:cs="Times New Roman"/>
                <w:i/>
                <w:iCs/>
                <w:sz w:val="18"/>
                <w:szCs w:val="18"/>
                <w:lang w:eastAsia="sk-SK"/>
              </w:rPr>
            </w:pPr>
            <w:r w:rsidRPr="00D0395E">
              <w:rPr>
                <w:rFonts w:eastAsia="Times New Roman" w:cs="Times New Roman"/>
                <w:i/>
                <w:iCs/>
                <w:sz w:val="18"/>
                <w:szCs w:val="18"/>
                <w:lang w:eastAsia="sk-SK"/>
              </w:rPr>
              <w:t xml:space="preserve">    z piva</w:t>
            </w:r>
          </w:p>
        </w:tc>
        <w:tc>
          <w:tcPr>
            <w:tcW w:w="1426" w:type="dxa"/>
            <w:tcBorders>
              <w:top w:val="nil"/>
              <w:left w:val="nil"/>
              <w:bottom w:val="nil"/>
              <w:right w:val="nil"/>
            </w:tcBorders>
            <w:shd w:val="clear" w:color="auto" w:fill="auto"/>
            <w:noWrap/>
            <w:vAlign w:val="center"/>
            <w:hideMark/>
          </w:tcPr>
          <w:p w14:paraId="4869485F"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55 873</w:t>
            </w:r>
          </w:p>
        </w:tc>
        <w:tc>
          <w:tcPr>
            <w:tcW w:w="1276" w:type="dxa"/>
            <w:tcBorders>
              <w:top w:val="nil"/>
              <w:left w:val="nil"/>
              <w:bottom w:val="nil"/>
              <w:right w:val="nil"/>
            </w:tcBorders>
            <w:shd w:val="clear" w:color="auto" w:fill="auto"/>
            <w:noWrap/>
            <w:vAlign w:val="center"/>
            <w:hideMark/>
          </w:tcPr>
          <w:p w14:paraId="0A0A4938"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53 387</w:t>
            </w:r>
          </w:p>
        </w:tc>
        <w:tc>
          <w:tcPr>
            <w:tcW w:w="1134" w:type="dxa"/>
            <w:tcBorders>
              <w:top w:val="nil"/>
              <w:left w:val="nil"/>
              <w:bottom w:val="nil"/>
              <w:right w:val="nil"/>
            </w:tcBorders>
            <w:shd w:val="clear" w:color="auto" w:fill="auto"/>
            <w:noWrap/>
            <w:vAlign w:val="center"/>
            <w:hideMark/>
          </w:tcPr>
          <w:p w14:paraId="47A7A19D"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54 653</w:t>
            </w:r>
          </w:p>
        </w:tc>
        <w:tc>
          <w:tcPr>
            <w:tcW w:w="1041" w:type="dxa"/>
            <w:tcBorders>
              <w:top w:val="nil"/>
              <w:left w:val="nil"/>
              <w:bottom w:val="nil"/>
              <w:right w:val="nil"/>
            </w:tcBorders>
            <w:shd w:val="clear" w:color="auto" w:fill="auto"/>
            <w:noWrap/>
            <w:vAlign w:val="center"/>
            <w:hideMark/>
          </w:tcPr>
          <w:p w14:paraId="04EFEDB0"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55 966</w:t>
            </w:r>
          </w:p>
        </w:tc>
        <w:tc>
          <w:tcPr>
            <w:tcW w:w="1085" w:type="dxa"/>
            <w:tcBorders>
              <w:top w:val="nil"/>
              <w:left w:val="nil"/>
              <w:bottom w:val="nil"/>
              <w:right w:val="nil"/>
            </w:tcBorders>
            <w:shd w:val="clear" w:color="000000" w:fill="FFFFFF"/>
            <w:vAlign w:val="center"/>
            <w:hideMark/>
          </w:tcPr>
          <w:p w14:paraId="037E30C3"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1 313</w:t>
            </w:r>
          </w:p>
        </w:tc>
      </w:tr>
      <w:tr w:rsidR="004D69BF" w:rsidRPr="00D0395E" w14:paraId="4B92B5E2" w14:textId="77777777" w:rsidTr="000240DA">
        <w:trPr>
          <w:trHeight w:val="288"/>
        </w:trPr>
        <w:tc>
          <w:tcPr>
            <w:tcW w:w="3252" w:type="dxa"/>
            <w:tcBorders>
              <w:top w:val="nil"/>
              <w:left w:val="nil"/>
              <w:bottom w:val="nil"/>
              <w:right w:val="nil"/>
            </w:tcBorders>
            <w:shd w:val="clear" w:color="auto" w:fill="auto"/>
            <w:noWrap/>
            <w:vAlign w:val="center"/>
            <w:hideMark/>
          </w:tcPr>
          <w:p w14:paraId="6BB9ABC2" w14:textId="77777777" w:rsidR="004D69BF" w:rsidRPr="00D0395E" w:rsidRDefault="004D69BF" w:rsidP="000240DA">
            <w:pPr>
              <w:spacing w:after="0" w:line="240" w:lineRule="auto"/>
              <w:ind w:firstLineChars="100" w:firstLine="180"/>
              <w:jc w:val="left"/>
              <w:rPr>
                <w:rFonts w:eastAsia="Times New Roman" w:cs="Times New Roman"/>
                <w:i/>
                <w:iCs/>
                <w:sz w:val="18"/>
                <w:szCs w:val="18"/>
                <w:lang w:eastAsia="sk-SK"/>
              </w:rPr>
            </w:pPr>
            <w:r w:rsidRPr="00D0395E">
              <w:rPr>
                <w:rFonts w:eastAsia="Times New Roman" w:cs="Times New Roman"/>
                <w:i/>
                <w:iCs/>
                <w:sz w:val="18"/>
                <w:szCs w:val="18"/>
                <w:lang w:eastAsia="sk-SK"/>
              </w:rPr>
              <w:t xml:space="preserve">    z vína</w:t>
            </w:r>
          </w:p>
        </w:tc>
        <w:tc>
          <w:tcPr>
            <w:tcW w:w="1426" w:type="dxa"/>
            <w:tcBorders>
              <w:top w:val="nil"/>
              <w:left w:val="nil"/>
              <w:bottom w:val="nil"/>
              <w:right w:val="nil"/>
            </w:tcBorders>
            <w:shd w:val="clear" w:color="auto" w:fill="auto"/>
            <w:noWrap/>
            <w:vAlign w:val="center"/>
            <w:hideMark/>
          </w:tcPr>
          <w:p w14:paraId="4CFF156E"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5 013</w:t>
            </w:r>
          </w:p>
        </w:tc>
        <w:tc>
          <w:tcPr>
            <w:tcW w:w="1276" w:type="dxa"/>
            <w:tcBorders>
              <w:top w:val="nil"/>
              <w:left w:val="nil"/>
              <w:bottom w:val="nil"/>
              <w:right w:val="nil"/>
            </w:tcBorders>
            <w:shd w:val="clear" w:color="auto" w:fill="auto"/>
            <w:noWrap/>
            <w:vAlign w:val="center"/>
            <w:hideMark/>
          </w:tcPr>
          <w:p w14:paraId="70E602C9"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5 189</w:t>
            </w:r>
          </w:p>
        </w:tc>
        <w:tc>
          <w:tcPr>
            <w:tcW w:w="1134" w:type="dxa"/>
            <w:tcBorders>
              <w:top w:val="nil"/>
              <w:left w:val="nil"/>
              <w:bottom w:val="nil"/>
              <w:right w:val="nil"/>
            </w:tcBorders>
            <w:shd w:val="clear" w:color="auto" w:fill="auto"/>
            <w:noWrap/>
            <w:vAlign w:val="center"/>
            <w:hideMark/>
          </w:tcPr>
          <w:p w14:paraId="4305D374"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5 273</w:t>
            </w:r>
          </w:p>
        </w:tc>
        <w:tc>
          <w:tcPr>
            <w:tcW w:w="1041" w:type="dxa"/>
            <w:tcBorders>
              <w:top w:val="nil"/>
              <w:left w:val="nil"/>
              <w:bottom w:val="nil"/>
              <w:right w:val="nil"/>
            </w:tcBorders>
            <w:shd w:val="clear" w:color="auto" w:fill="auto"/>
            <w:noWrap/>
            <w:vAlign w:val="center"/>
            <w:hideMark/>
          </w:tcPr>
          <w:p w14:paraId="518DDB7C"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4 945</w:t>
            </w:r>
          </w:p>
        </w:tc>
        <w:tc>
          <w:tcPr>
            <w:tcW w:w="1085" w:type="dxa"/>
            <w:tcBorders>
              <w:top w:val="nil"/>
              <w:left w:val="nil"/>
              <w:bottom w:val="nil"/>
              <w:right w:val="nil"/>
            </w:tcBorders>
            <w:shd w:val="clear" w:color="000000" w:fill="FFFFFF"/>
            <w:vAlign w:val="center"/>
            <w:hideMark/>
          </w:tcPr>
          <w:p w14:paraId="4A2A15CA"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-328</w:t>
            </w:r>
          </w:p>
        </w:tc>
      </w:tr>
      <w:tr w:rsidR="004D69BF" w:rsidRPr="00D0395E" w14:paraId="1D5851B2" w14:textId="77777777" w:rsidTr="000240DA">
        <w:trPr>
          <w:trHeight w:val="288"/>
        </w:trPr>
        <w:tc>
          <w:tcPr>
            <w:tcW w:w="3252" w:type="dxa"/>
            <w:tcBorders>
              <w:top w:val="nil"/>
              <w:left w:val="nil"/>
              <w:bottom w:val="nil"/>
              <w:right w:val="nil"/>
            </w:tcBorders>
            <w:shd w:val="clear" w:color="auto" w:fill="auto"/>
            <w:noWrap/>
            <w:vAlign w:val="center"/>
            <w:hideMark/>
          </w:tcPr>
          <w:p w14:paraId="56586E3A" w14:textId="77777777" w:rsidR="004D69BF" w:rsidRPr="00D0395E" w:rsidRDefault="004D69BF" w:rsidP="000240DA">
            <w:pPr>
              <w:spacing w:after="0" w:line="240" w:lineRule="auto"/>
              <w:ind w:firstLineChars="100" w:firstLine="180"/>
              <w:jc w:val="left"/>
              <w:rPr>
                <w:rFonts w:eastAsia="Times New Roman" w:cs="Times New Roman"/>
                <w:i/>
                <w:iCs/>
                <w:sz w:val="18"/>
                <w:szCs w:val="18"/>
                <w:lang w:eastAsia="sk-SK"/>
              </w:rPr>
            </w:pPr>
            <w:r w:rsidRPr="00D0395E">
              <w:rPr>
                <w:rFonts w:eastAsia="Times New Roman" w:cs="Times New Roman"/>
                <w:i/>
                <w:iCs/>
                <w:sz w:val="18"/>
                <w:szCs w:val="18"/>
                <w:lang w:eastAsia="sk-SK"/>
              </w:rPr>
              <w:t xml:space="preserve">    z tabakových výrobkov</w:t>
            </w:r>
          </w:p>
        </w:tc>
        <w:tc>
          <w:tcPr>
            <w:tcW w:w="1426" w:type="dxa"/>
            <w:tcBorders>
              <w:top w:val="nil"/>
              <w:left w:val="nil"/>
              <w:bottom w:val="nil"/>
              <w:right w:val="nil"/>
            </w:tcBorders>
            <w:shd w:val="clear" w:color="auto" w:fill="auto"/>
            <w:noWrap/>
            <w:vAlign w:val="center"/>
            <w:hideMark/>
          </w:tcPr>
          <w:p w14:paraId="198979B8"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909 088</w:t>
            </w:r>
          </w:p>
        </w:tc>
        <w:tc>
          <w:tcPr>
            <w:tcW w:w="1276" w:type="dxa"/>
            <w:tcBorders>
              <w:top w:val="nil"/>
              <w:left w:val="nil"/>
              <w:bottom w:val="nil"/>
              <w:right w:val="nil"/>
            </w:tcBorders>
            <w:shd w:val="clear" w:color="auto" w:fill="auto"/>
            <w:noWrap/>
            <w:vAlign w:val="center"/>
            <w:hideMark/>
          </w:tcPr>
          <w:p w14:paraId="4A0F48BB"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921 778</w:t>
            </w:r>
          </w:p>
        </w:tc>
        <w:tc>
          <w:tcPr>
            <w:tcW w:w="1134" w:type="dxa"/>
            <w:tcBorders>
              <w:top w:val="nil"/>
              <w:left w:val="nil"/>
              <w:bottom w:val="nil"/>
              <w:right w:val="nil"/>
            </w:tcBorders>
            <w:shd w:val="clear" w:color="auto" w:fill="auto"/>
            <w:noWrap/>
            <w:vAlign w:val="center"/>
            <w:hideMark/>
          </w:tcPr>
          <w:p w14:paraId="47661350"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1 032 396</w:t>
            </w:r>
          </w:p>
        </w:tc>
        <w:tc>
          <w:tcPr>
            <w:tcW w:w="1041" w:type="dxa"/>
            <w:tcBorders>
              <w:top w:val="nil"/>
              <w:left w:val="nil"/>
              <w:bottom w:val="nil"/>
              <w:right w:val="nil"/>
            </w:tcBorders>
            <w:shd w:val="clear" w:color="auto" w:fill="auto"/>
            <w:noWrap/>
            <w:vAlign w:val="center"/>
            <w:hideMark/>
          </w:tcPr>
          <w:p w14:paraId="31FFB4B0"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998 933</w:t>
            </w:r>
          </w:p>
        </w:tc>
        <w:tc>
          <w:tcPr>
            <w:tcW w:w="1085" w:type="dxa"/>
            <w:tcBorders>
              <w:top w:val="nil"/>
              <w:left w:val="nil"/>
              <w:bottom w:val="nil"/>
              <w:right w:val="nil"/>
            </w:tcBorders>
            <w:shd w:val="clear" w:color="000000" w:fill="FFFFFF"/>
            <w:vAlign w:val="center"/>
            <w:hideMark/>
          </w:tcPr>
          <w:p w14:paraId="39C3887F"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-33 463</w:t>
            </w:r>
          </w:p>
        </w:tc>
      </w:tr>
      <w:tr w:rsidR="004D69BF" w:rsidRPr="00D0395E" w14:paraId="236C0102" w14:textId="77777777" w:rsidTr="000240DA">
        <w:trPr>
          <w:trHeight w:val="288"/>
        </w:trPr>
        <w:tc>
          <w:tcPr>
            <w:tcW w:w="3252" w:type="dxa"/>
            <w:tcBorders>
              <w:top w:val="nil"/>
              <w:left w:val="nil"/>
              <w:bottom w:val="nil"/>
              <w:right w:val="nil"/>
            </w:tcBorders>
            <w:shd w:val="clear" w:color="auto" w:fill="auto"/>
            <w:noWrap/>
            <w:vAlign w:val="center"/>
            <w:hideMark/>
          </w:tcPr>
          <w:p w14:paraId="6042E02C" w14:textId="77777777" w:rsidR="004D69BF" w:rsidRPr="00D0395E" w:rsidRDefault="004D69BF" w:rsidP="000240DA">
            <w:pPr>
              <w:spacing w:after="0" w:line="240" w:lineRule="auto"/>
              <w:ind w:firstLineChars="100" w:firstLine="180"/>
              <w:jc w:val="left"/>
              <w:rPr>
                <w:rFonts w:eastAsia="Times New Roman" w:cs="Times New Roman"/>
                <w:i/>
                <w:iCs/>
                <w:sz w:val="18"/>
                <w:szCs w:val="18"/>
                <w:lang w:eastAsia="sk-SK"/>
              </w:rPr>
            </w:pPr>
            <w:r w:rsidRPr="00D0395E">
              <w:rPr>
                <w:rFonts w:eastAsia="Times New Roman" w:cs="Times New Roman"/>
                <w:i/>
                <w:iCs/>
                <w:sz w:val="18"/>
                <w:szCs w:val="18"/>
                <w:lang w:eastAsia="sk-SK"/>
              </w:rPr>
              <w:t xml:space="preserve">    z elektriny</w:t>
            </w:r>
          </w:p>
        </w:tc>
        <w:tc>
          <w:tcPr>
            <w:tcW w:w="1426" w:type="dxa"/>
            <w:tcBorders>
              <w:top w:val="nil"/>
              <w:left w:val="nil"/>
              <w:bottom w:val="nil"/>
              <w:right w:val="nil"/>
            </w:tcBorders>
            <w:shd w:val="clear" w:color="auto" w:fill="auto"/>
            <w:noWrap/>
            <w:vAlign w:val="center"/>
            <w:hideMark/>
          </w:tcPr>
          <w:p w14:paraId="009ECEE8"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11 541</w:t>
            </w:r>
          </w:p>
        </w:tc>
        <w:tc>
          <w:tcPr>
            <w:tcW w:w="1276" w:type="dxa"/>
            <w:tcBorders>
              <w:top w:val="nil"/>
              <w:left w:val="nil"/>
              <w:bottom w:val="nil"/>
              <w:right w:val="nil"/>
            </w:tcBorders>
            <w:shd w:val="clear" w:color="auto" w:fill="auto"/>
            <w:noWrap/>
            <w:vAlign w:val="center"/>
            <w:hideMark/>
          </w:tcPr>
          <w:p w14:paraId="6774425E"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13 107</w:t>
            </w:r>
          </w:p>
        </w:tc>
        <w:tc>
          <w:tcPr>
            <w:tcW w:w="1134" w:type="dxa"/>
            <w:tcBorders>
              <w:top w:val="nil"/>
              <w:left w:val="nil"/>
              <w:bottom w:val="nil"/>
              <w:right w:val="nil"/>
            </w:tcBorders>
            <w:shd w:val="clear" w:color="auto" w:fill="auto"/>
            <w:noWrap/>
            <w:vAlign w:val="center"/>
            <w:hideMark/>
          </w:tcPr>
          <w:p w14:paraId="7222F0CE"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12 532</w:t>
            </w:r>
          </w:p>
        </w:tc>
        <w:tc>
          <w:tcPr>
            <w:tcW w:w="1041" w:type="dxa"/>
            <w:tcBorders>
              <w:top w:val="nil"/>
              <w:left w:val="nil"/>
              <w:bottom w:val="nil"/>
              <w:right w:val="nil"/>
            </w:tcBorders>
            <w:shd w:val="clear" w:color="auto" w:fill="auto"/>
            <w:noWrap/>
            <w:vAlign w:val="center"/>
            <w:hideMark/>
          </w:tcPr>
          <w:p w14:paraId="417D0047"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12 705</w:t>
            </w:r>
          </w:p>
        </w:tc>
        <w:tc>
          <w:tcPr>
            <w:tcW w:w="1085" w:type="dxa"/>
            <w:tcBorders>
              <w:top w:val="nil"/>
              <w:left w:val="nil"/>
              <w:bottom w:val="nil"/>
              <w:right w:val="nil"/>
            </w:tcBorders>
            <w:shd w:val="clear" w:color="000000" w:fill="FFFFFF"/>
            <w:vAlign w:val="center"/>
            <w:hideMark/>
          </w:tcPr>
          <w:p w14:paraId="73807DEE"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173</w:t>
            </w:r>
          </w:p>
        </w:tc>
      </w:tr>
      <w:tr w:rsidR="004D69BF" w:rsidRPr="00D0395E" w14:paraId="21E870FD" w14:textId="77777777" w:rsidTr="000240DA">
        <w:trPr>
          <w:trHeight w:val="288"/>
        </w:trPr>
        <w:tc>
          <w:tcPr>
            <w:tcW w:w="3252" w:type="dxa"/>
            <w:tcBorders>
              <w:top w:val="nil"/>
              <w:left w:val="nil"/>
              <w:bottom w:val="nil"/>
              <w:right w:val="nil"/>
            </w:tcBorders>
            <w:shd w:val="clear" w:color="auto" w:fill="auto"/>
            <w:noWrap/>
            <w:vAlign w:val="center"/>
            <w:hideMark/>
          </w:tcPr>
          <w:p w14:paraId="016F72C9" w14:textId="77777777" w:rsidR="004D69BF" w:rsidRPr="00D0395E" w:rsidRDefault="004D69BF" w:rsidP="000240DA">
            <w:pPr>
              <w:spacing w:after="0" w:line="240" w:lineRule="auto"/>
              <w:ind w:firstLineChars="100" w:firstLine="180"/>
              <w:jc w:val="left"/>
              <w:rPr>
                <w:rFonts w:eastAsia="Times New Roman" w:cs="Times New Roman"/>
                <w:i/>
                <w:iCs/>
                <w:sz w:val="18"/>
                <w:szCs w:val="18"/>
                <w:lang w:eastAsia="sk-SK"/>
              </w:rPr>
            </w:pPr>
            <w:r w:rsidRPr="00D0395E">
              <w:rPr>
                <w:rFonts w:eastAsia="Times New Roman" w:cs="Times New Roman"/>
                <w:i/>
                <w:iCs/>
                <w:sz w:val="18"/>
                <w:szCs w:val="18"/>
                <w:lang w:eastAsia="sk-SK"/>
              </w:rPr>
              <w:t xml:space="preserve">    z uhlia</w:t>
            </w:r>
          </w:p>
        </w:tc>
        <w:tc>
          <w:tcPr>
            <w:tcW w:w="1426" w:type="dxa"/>
            <w:tcBorders>
              <w:top w:val="nil"/>
              <w:left w:val="nil"/>
              <w:bottom w:val="nil"/>
              <w:right w:val="nil"/>
            </w:tcBorders>
            <w:shd w:val="clear" w:color="auto" w:fill="auto"/>
            <w:noWrap/>
            <w:vAlign w:val="center"/>
            <w:hideMark/>
          </w:tcPr>
          <w:p w14:paraId="2B934051"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264</w:t>
            </w:r>
          </w:p>
        </w:tc>
        <w:tc>
          <w:tcPr>
            <w:tcW w:w="1276" w:type="dxa"/>
            <w:tcBorders>
              <w:top w:val="nil"/>
              <w:left w:val="nil"/>
              <w:bottom w:val="nil"/>
              <w:right w:val="nil"/>
            </w:tcBorders>
            <w:shd w:val="clear" w:color="auto" w:fill="auto"/>
            <w:noWrap/>
            <w:vAlign w:val="center"/>
            <w:hideMark/>
          </w:tcPr>
          <w:p w14:paraId="4B173F37"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201</w:t>
            </w:r>
          </w:p>
        </w:tc>
        <w:tc>
          <w:tcPr>
            <w:tcW w:w="1134" w:type="dxa"/>
            <w:tcBorders>
              <w:top w:val="nil"/>
              <w:left w:val="nil"/>
              <w:bottom w:val="nil"/>
              <w:right w:val="nil"/>
            </w:tcBorders>
            <w:shd w:val="clear" w:color="auto" w:fill="auto"/>
            <w:noWrap/>
            <w:vAlign w:val="center"/>
            <w:hideMark/>
          </w:tcPr>
          <w:p w14:paraId="55E0F383"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153</w:t>
            </w:r>
          </w:p>
        </w:tc>
        <w:tc>
          <w:tcPr>
            <w:tcW w:w="1041" w:type="dxa"/>
            <w:tcBorders>
              <w:top w:val="nil"/>
              <w:left w:val="nil"/>
              <w:bottom w:val="nil"/>
              <w:right w:val="nil"/>
            </w:tcBorders>
            <w:shd w:val="clear" w:color="auto" w:fill="auto"/>
            <w:noWrap/>
            <w:vAlign w:val="center"/>
            <w:hideMark/>
          </w:tcPr>
          <w:p w14:paraId="31EAD889"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191</w:t>
            </w:r>
          </w:p>
        </w:tc>
        <w:tc>
          <w:tcPr>
            <w:tcW w:w="1085" w:type="dxa"/>
            <w:tcBorders>
              <w:top w:val="nil"/>
              <w:left w:val="nil"/>
              <w:bottom w:val="nil"/>
              <w:right w:val="nil"/>
            </w:tcBorders>
            <w:shd w:val="clear" w:color="000000" w:fill="FFFFFF"/>
            <w:vAlign w:val="center"/>
            <w:hideMark/>
          </w:tcPr>
          <w:p w14:paraId="1981C17C"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38</w:t>
            </w:r>
          </w:p>
        </w:tc>
      </w:tr>
      <w:tr w:rsidR="004D69BF" w:rsidRPr="00D0395E" w14:paraId="5881B727" w14:textId="77777777" w:rsidTr="000240DA">
        <w:trPr>
          <w:trHeight w:val="288"/>
        </w:trPr>
        <w:tc>
          <w:tcPr>
            <w:tcW w:w="3252" w:type="dxa"/>
            <w:tcBorders>
              <w:top w:val="nil"/>
              <w:left w:val="nil"/>
              <w:bottom w:val="nil"/>
              <w:right w:val="nil"/>
            </w:tcBorders>
            <w:shd w:val="clear" w:color="auto" w:fill="auto"/>
            <w:noWrap/>
            <w:vAlign w:val="center"/>
            <w:hideMark/>
          </w:tcPr>
          <w:p w14:paraId="6D436390" w14:textId="77777777" w:rsidR="004D69BF" w:rsidRPr="00D0395E" w:rsidRDefault="004D69BF" w:rsidP="000240DA">
            <w:pPr>
              <w:spacing w:after="0" w:line="240" w:lineRule="auto"/>
              <w:ind w:firstLineChars="100" w:firstLine="180"/>
              <w:jc w:val="left"/>
              <w:rPr>
                <w:rFonts w:eastAsia="Times New Roman" w:cs="Times New Roman"/>
                <w:i/>
                <w:iCs/>
                <w:sz w:val="18"/>
                <w:szCs w:val="18"/>
                <w:lang w:eastAsia="sk-SK"/>
              </w:rPr>
            </w:pPr>
            <w:r w:rsidRPr="00D0395E">
              <w:rPr>
                <w:rFonts w:eastAsia="Times New Roman" w:cs="Times New Roman"/>
                <w:i/>
                <w:iCs/>
                <w:sz w:val="18"/>
                <w:szCs w:val="18"/>
                <w:lang w:eastAsia="sk-SK"/>
              </w:rPr>
              <w:t xml:space="preserve">    zo zemného plynu</w:t>
            </w:r>
          </w:p>
        </w:tc>
        <w:tc>
          <w:tcPr>
            <w:tcW w:w="1426" w:type="dxa"/>
            <w:tcBorders>
              <w:top w:val="nil"/>
              <w:left w:val="nil"/>
              <w:bottom w:val="nil"/>
              <w:right w:val="nil"/>
            </w:tcBorders>
            <w:shd w:val="clear" w:color="auto" w:fill="auto"/>
            <w:noWrap/>
            <w:vAlign w:val="center"/>
            <w:hideMark/>
          </w:tcPr>
          <w:p w14:paraId="4D4F7A5B"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24 739</w:t>
            </w:r>
          </w:p>
        </w:tc>
        <w:tc>
          <w:tcPr>
            <w:tcW w:w="1276" w:type="dxa"/>
            <w:tcBorders>
              <w:top w:val="nil"/>
              <w:left w:val="nil"/>
              <w:bottom w:val="nil"/>
              <w:right w:val="nil"/>
            </w:tcBorders>
            <w:shd w:val="clear" w:color="auto" w:fill="auto"/>
            <w:noWrap/>
            <w:vAlign w:val="center"/>
            <w:hideMark/>
          </w:tcPr>
          <w:p w14:paraId="7D15D663"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20 953</w:t>
            </w:r>
          </w:p>
        </w:tc>
        <w:tc>
          <w:tcPr>
            <w:tcW w:w="1134" w:type="dxa"/>
            <w:tcBorders>
              <w:top w:val="nil"/>
              <w:left w:val="nil"/>
              <w:bottom w:val="nil"/>
              <w:right w:val="nil"/>
            </w:tcBorders>
            <w:shd w:val="clear" w:color="auto" w:fill="auto"/>
            <w:noWrap/>
            <w:vAlign w:val="center"/>
            <w:hideMark/>
          </w:tcPr>
          <w:p w14:paraId="49CE924B"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22 407</w:t>
            </w:r>
          </w:p>
        </w:tc>
        <w:tc>
          <w:tcPr>
            <w:tcW w:w="1041" w:type="dxa"/>
            <w:tcBorders>
              <w:top w:val="nil"/>
              <w:left w:val="nil"/>
              <w:bottom w:val="nil"/>
              <w:right w:val="nil"/>
            </w:tcBorders>
            <w:shd w:val="clear" w:color="auto" w:fill="auto"/>
            <w:noWrap/>
            <w:vAlign w:val="center"/>
            <w:hideMark/>
          </w:tcPr>
          <w:p w14:paraId="14CF2AAE"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21 152</w:t>
            </w:r>
          </w:p>
        </w:tc>
        <w:tc>
          <w:tcPr>
            <w:tcW w:w="1085" w:type="dxa"/>
            <w:tcBorders>
              <w:top w:val="nil"/>
              <w:left w:val="nil"/>
              <w:bottom w:val="nil"/>
              <w:right w:val="nil"/>
            </w:tcBorders>
            <w:shd w:val="clear" w:color="000000" w:fill="FFFFFF"/>
            <w:vAlign w:val="center"/>
            <w:hideMark/>
          </w:tcPr>
          <w:p w14:paraId="6AA50A1C"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-1 255</w:t>
            </w:r>
          </w:p>
        </w:tc>
      </w:tr>
      <w:tr w:rsidR="004D69BF" w:rsidRPr="00D0395E" w14:paraId="13E5E485" w14:textId="77777777" w:rsidTr="000240DA">
        <w:trPr>
          <w:trHeight w:val="492"/>
        </w:trPr>
        <w:tc>
          <w:tcPr>
            <w:tcW w:w="3252" w:type="dxa"/>
            <w:tcBorders>
              <w:top w:val="nil"/>
              <w:left w:val="nil"/>
              <w:bottom w:val="nil"/>
              <w:right w:val="nil"/>
            </w:tcBorders>
            <w:shd w:val="clear" w:color="auto" w:fill="auto"/>
            <w:noWrap/>
            <w:vAlign w:val="center"/>
            <w:hideMark/>
          </w:tcPr>
          <w:p w14:paraId="035C2AFD" w14:textId="77777777" w:rsidR="004D69BF" w:rsidRPr="00D0395E" w:rsidRDefault="004D69BF" w:rsidP="000240DA">
            <w:pPr>
              <w:spacing w:after="0" w:line="240" w:lineRule="auto"/>
              <w:jc w:val="left"/>
              <w:rPr>
                <w:rFonts w:eastAsia="Times New Roman" w:cs="Times New Roman"/>
                <w:i/>
                <w:iCs/>
                <w:color w:val="000000"/>
                <w:sz w:val="18"/>
                <w:szCs w:val="18"/>
                <w:lang w:eastAsia="sk-SK"/>
              </w:rPr>
            </w:pPr>
            <w:r w:rsidRPr="00D0395E">
              <w:rPr>
                <w:rFonts w:eastAsia="Times New Roman" w:cs="Times New Roman"/>
                <w:i/>
                <w:iCs/>
                <w:color w:val="000000"/>
                <w:sz w:val="18"/>
                <w:szCs w:val="18"/>
                <w:lang w:eastAsia="sk-SK"/>
              </w:rPr>
              <w:t xml:space="preserve">     dane z používania. tovarov a z povolenia  na výkon činnosti</w:t>
            </w:r>
          </w:p>
        </w:tc>
        <w:tc>
          <w:tcPr>
            <w:tcW w:w="1426" w:type="dxa"/>
            <w:tcBorders>
              <w:top w:val="nil"/>
              <w:left w:val="nil"/>
              <w:bottom w:val="nil"/>
              <w:right w:val="nil"/>
            </w:tcBorders>
            <w:shd w:val="clear" w:color="auto" w:fill="auto"/>
            <w:noWrap/>
            <w:vAlign w:val="center"/>
            <w:hideMark/>
          </w:tcPr>
          <w:p w14:paraId="01E9DAE5"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132 565</w:t>
            </w:r>
          </w:p>
        </w:tc>
        <w:tc>
          <w:tcPr>
            <w:tcW w:w="1276" w:type="dxa"/>
            <w:tcBorders>
              <w:top w:val="nil"/>
              <w:left w:val="nil"/>
              <w:bottom w:val="nil"/>
              <w:right w:val="nil"/>
            </w:tcBorders>
            <w:shd w:val="clear" w:color="auto" w:fill="auto"/>
            <w:noWrap/>
            <w:vAlign w:val="center"/>
            <w:hideMark/>
          </w:tcPr>
          <w:p w14:paraId="037F3266"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135 545</w:t>
            </w:r>
          </w:p>
        </w:tc>
        <w:tc>
          <w:tcPr>
            <w:tcW w:w="1134" w:type="dxa"/>
            <w:tcBorders>
              <w:top w:val="nil"/>
              <w:left w:val="nil"/>
              <w:bottom w:val="nil"/>
              <w:right w:val="nil"/>
            </w:tcBorders>
            <w:shd w:val="clear" w:color="auto" w:fill="auto"/>
            <w:noWrap/>
            <w:vAlign w:val="center"/>
            <w:hideMark/>
          </w:tcPr>
          <w:p w14:paraId="41BD372B"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138 935</w:t>
            </w:r>
          </w:p>
        </w:tc>
        <w:tc>
          <w:tcPr>
            <w:tcW w:w="1041" w:type="dxa"/>
            <w:tcBorders>
              <w:top w:val="nil"/>
              <w:left w:val="nil"/>
              <w:bottom w:val="nil"/>
              <w:right w:val="nil"/>
            </w:tcBorders>
            <w:shd w:val="clear" w:color="auto" w:fill="auto"/>
            <w:noWrap/>
            <w:vAlign w:val="center"/>
            <w:hideMark/>
          </w:tcPr>
          <w:p w14:paraId="12FA3B5D"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141 426</w:t>
            </w:r>
          </w:p>
        </w:tc>
        <w:tc>
          <w:tcPr>
            <w:tcW w:w="1085" w:type="dxa"/>
            <w:tcBorders>
              <w:top w:val="nil"/>
              <w:left w:val="nil"/>
              <w:bottom w:val="nil"/>
              <w:right w:val="nil"/>
            </w:tcBorders>
            <w:shd w:val="clear" w:color="000000" w:fill="FFFFFF"/>
            <w:vAlign w:val="center"/>
            <w:hideMark/>
          </w:tcPr>
          <w:p w14:paraId="24C425AB"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2 491</w:t>
            </w:r>
          </w:p>
        </w:tc>
      </w:tr>
      <w:tr w:rsidR="004D69BF" w:rsidRPr="00D0395E" w14:paraId="7C37F158" w14:textId="77777777" w:rsidTr="000240DA">
        <w:trPr>
          <w:trHeight w:val="480"/>
        </w:trPr>
        <w:tc>
          <w:tcPr>
            <w:tcW w:w="3252" w:type="dxa"/>
            <w:tcBorders>
              <w:top w:val="nil"/>
              <w:left w:val="nil"/>
              <w:bottom w:val="nil"/>
              <w:right w:val="nil"/>
            </w:tcBorders>
            <w:shd w:val="clear" w:color="auto" w:fill="auto"/>
            <w:vAlign w:val="center"/>
            <w:hideMark/>
          </w:tcPr>
          <w:p w14:paraId="757C7C28" w14:textId="77777777" w:rsidR="004D69BF" w:rsidRPr="00D0395E" w:rsidRDefault="004D69BF" w:rsidP="000240DA">
            <w:pPr>
              <w:spacing w:after="0" w:line="240" w:lineRule="auto"/>
              <w:jc w:val="left"/>
              <w:rPr>
                <w:rFonts w:eastAsia="Times New Roman" w:cs="Times New Roman"/>
                <w:i/>
                <w:iCs/>
                <w:color w:val="000000"/>
                <w:sz w:val="18"/>
                <w:szCs w:val="18"/>
                <w:lang w:eastAsia="sk-SK"/>
              </w:rPr>
            </w:pPr>
            <w:r w:rsidRPr="00D0395E">
              <w:rPr>
                <w:rFonts w:eastAsia="Times New Roman" w:cs="Times New Roman"/>
                <w:i/>
                <w:iCs/>
                <w:color w:val="000000"/>
                <w:sz w:val="18"/>
                <w:szCs w:val="18"/>
                <w:lang w:eastAsia="sk-SK"/>
              </w:rPr>
              <w:t xml:space="preserve">     iné dane za tovary a služby</w:t>
            </w:r>
          </w:p>
        </w:tc>
        <w:tc>
          <w:tcPr>
            <w:tcW w:w="1426" w:type="dxa"/>
            <w:tcBorders>
              <w:top w:val="nil"/>
              <w:left w:val="nil"/>
              <w:bottom w:val="nil"/>
              <w:right w:val="nil"/>
            </w:tcBorders>
            <w:shd w:val="clear" w:color="auto" w:fill="auto"/>
            <w:noWrap/>
            <w:vAlign w:val="center"/>
            <w:hideMark/>
          </w:tcPr>
          <w:p w14:paraId="43B4136D"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88 206</w:t>
            </w:r>
          </w:p>
        </w:tc>
        <w:tc>
          <w:tcPr>
            <w:tcW w:w="1276" w:type="dxa"/>
            <w:tcBorders>
              <w:top w:val="nil"/>
              <w:left w:val="nil"/>
              <w:bottom w:val="nil"/>
              <w:right w:val="nil"/>
            </w:tcBorders>
            <w:shd w:val="clear" w:color="auto" w:fill="auto"/>
            <w:noWrap/>
            <w:vAlign w:val="center"/>
            <w:hideMark/>
          </w:tcPr>
          <w:p w14:paraId="6E5A110A"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100 527</w:t>
            </w:r>
          </w:p>
        </w:tc>
        <w:tc>
          <w:tcPr>
            <w:tcW w:w="1134" w:type="dxa"/>
            <w:tcBorders>
              <w:top w:val="nil"/>
              <w:left w:val="nil"/>
              <w:bottom w:val="nil"/>
              <w:right w:val="nil"/>
            </w:tcBorders>
            <w:shd w:val="clear" w:color="auto" w:fill="auto"/>
            <w:noWrap/>
            <w:vAlign w:val="center"/>
            <w:hideMark/>
          </w:tcPr>
          <w:p w14:paraId="104CA1AD"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106 971</w:t>
            </w:r>
          </w:p>
        </w:tc>
        <w:tc>
          <w:tcPr>
            <w:tcW w:w="1041" w:type="dxa"/>
            <w:tcBorders>
              <w:top w:val="nil"/>
              <w:left w:val="nil"/>
              <w:bottom w:val="nil"/>
              <w:right w:val="nil"/>
            </w:tcBorders>
            <w:shd w:val="clear" w:color="auto" w:fill="auto"/>
            <w:noWrap/>
            <w:vAlign w:val="center"/>
            <w:hideMark/>
          </w:tcPr>
          <w:p w14:paraId="66E312D5"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110 477</w:t>
            </w:r>
          </w:p>
        </w:tc>
        <w:tc>
          <w:tcPr>
            <w:tcW w:w="1085" w:type="dxa"/>
            <w:tcBorders>
              <w:top w:val="nil"/>
              <w:left w:val="nil"/>
              <w:bottom w:val="nil"/>
              <w:right w:val="nil"/>
            </w:tcBorders>
            <w:shd w:val="clear" w:color="000000" w:fill="FFFFFF"/>
            <w:vAlign w:val="center"/>
            <w:hideMark/>
          </w:tcPr>
          <w:p w14:paraId="30565CEE"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3 506</w:t>
            </w:r>
          </w:p>
        </w:tc>
      </w:tr>
      <w:tr w:rsidR="004D69BF" w:rsidRPr="00D0395E" w14:paraId="6AA2BC0D" w14:textId="77777777" w:rsidTr="000240DA">
        <w:trPr>
          <w:trHeight w:val="288"/>
        </w:trPr>
        <w:tc>
          <w:tcPr>
            <w:tcW w:w="3252" w:type="dxa"/>
            <w:tcBorders>
              <w:top w:val="nil"/>
              <w:left w:val="nil"/>
              <w:bottom w:val="nil"/>
              <w:right w:val="nil"/>
            </w:tcBorders>
            <w:shd w:val="clear" w:color="auto" w:fill="auto"/>
            <w:noWrap/>
            <w:vAlign w:val="center"/>
            <w:hideMark/>
          </w:tcPr>
          <w:p w14:paraId="0932C9D6" w14:textId="77777777" w:rsidR="004D69BF" w:rsidRPr="00D0395E" w:rsidRDefault="004D69BF" w:rsidP="000240DA">
            <w:pPr>
              <w:spacing w:after="0" w:line="240" w:lineRule="auto"/>
              <w:jc w:val="lef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Dane z príjmov a kapitálového majetku</w:t>
            </w:r>
          </w:p>
        </w:tc>
        <w:tc>
          <w:tcPr>
            <w:tcW w:w="1426" w:type="dxa"/>
            <w:tcBorders>
              <w:top w:val="nil"/>
              <w:left w:val="nil"/>
              <w:bottom w:val="nil"/>
              <w:right w:val="nil"/>
            </w:tcBorders>
            <w:shd w:val="clear" w:color="auto" w:fill="auto"/>
            <w:noWrap/>
            <w:vAlign w:val="center"/>
            <w:hideMark/>
          </w:tcPr>
          <w:p w14:paraId="7C75DCCC"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b/>
                <w:bCs/>
                <w:color w:val="000000"/>
                <w:sz w:val="18"/>
                <w:szCs w:val="18"/>
              </w:rPr>
              <w:t>4 114 180</w:t>
            </w:r>
          </w:p>
        </w:tc>
        <w:tc>
          <w:tcPr>
            <w:tcW w:w="1276" w:type="dxa"/>
            <w:tcBorders>
              <w:top w:val="nil"/>
              <w:left w:val="nil"/>
              <w:bottom w:val="nil"/>
              <w:right w:val="nil"/>
            </w:tcBorders>
            <w:shd w:val="clear" w:color="auto" w:fill="auto"/>
            <w:noWrap/>
            <w:vAlign w:val="center"/>
            <w:hideMark/>
          </w:tcPr>
          <w:p w14:paraId="50A477F1"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b/>
                <w:bCs/>
                <w:color w:val="000000"/>
                <w:sz w:val="18"/>
                <w:szCs w:val="18"/>
              </w:rPr>
              <w:t>4 338 758</w:t>
            </w:r>
          </w:p>
        </w:tc>
        <w:tc>
          <w:tcPr>
            <w:tcW w:w="1134" w:type="dxa"/>
            <w:tcBorders>
              <w:top w:val="nil"/>
              <w:left w:val="nil"/>
              <w:bottom w:val="nil"/>
              <w:right w:val="nil"/>
            </w:tcBorders>
            <w:shd w:val="clear" w:color="auto" w:fill="auto"/>
            <w:noWrap/>
            <w:vAlign w:val="center"/>
            <w:hideMark/>
          </w:tcPr>
          <w:p w14:paraId="509A3FE0"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b/>
                <w:bCs/>
                <w:color w:val="000000"/>
                <w:sz w:val="18"/>
                <w:szCs w:val="18"/>
              </w:rPr>
              <w:t>4 867 757</w:t>
            </w:r>
          </w:p>
        </w:tc>
        <w:tc>
          <w:tcPr>
            <w:tcW w:w="1041" w:type="dxa"/>
            <w:tcBorders>
              <w:top w:val="nil"/>
              <w:left w:val="nil"/>
              <w:bottom w:val="nil"/>
              <w:right w:val="nil"/>
            </w:tcBorders>
            <w:shd w:val="clear" w:color="auto" w:fill="auto"/>
            <w:noWrap/>
            <w:vAlign w:val="center"/>
            <w:hideMark/>
          </w:tcPr>
          <w:p w14:paraId="489160B9"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b/>
                <w:bCs/>
                <w:color w:val="000000"/>
                <w:sz w:val="18"/>
                <w:szCs w:val="18"/>
              </w:rPr>
              <w:t>4 940 706</w:t>
            </w:r>
          </w:p>
        </w:tc>
        <w:tc>
          <w:tcPr>
            <w:tcW w:w="1085" w:type="dxa"/>
            <w:tcBorders>
              <w:top w:val="nil"/>
              <w:left w:val="nil"/>
              <w:bottom w:val="nil"/>
              <w:right w:val="nil"/>
            </w:tcBorders>
            <w:shd w:val="clear" w:color="000000" w:fill="FFFFFF"/>
            <w:vAlign w:val="center"/>
            <w:hideMark/>
          </w:tcPr>
          <w:p w14:paraId="0C3865B6"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b/>
                <w:bCs/>
                <w:color w:val="000000"/>
                <w:sz w:val="18"/>
                <w:szCs w:val="18"/>
              </w:rPr>
              <w:t>72 949</w:t>
            </w:r>
          </w:p>
        </w:tc>
      </w:tr>
      <w:tr w:rsidR="004D69BF" w:rsidRPr="00D0395E" w14:paraId="19727BDD" w14:textId="77777777" w:rsidTr="000240DA">
        <w:trPr>
          <w:trHeight w:val="288"/>
        </w:trPr>
        <w:tc>
          <w:tcPr>
            <w:tcW w:w="3252" w:type="dxa"/>
            <w:tcBorders>
              <w:top w:val="nil"/>
              <w:left w:val="nil"/>
              <w:bottom w:val="nil"/>
              <w:right w:val="nil"/>
            </w:tcBorders>
            <w:shd w:val="clear" w:color="auto" w:fill="auto"/>
            <w:noWrap/>
            <w:vAlign w:val="center"/>
            <w:hideMark/>
          </w:tcPr>
          <w:p w14:paraId="00151CC3"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v tom</w:t>
            </w:r>
            <w:r w:rsidRPr="00D0395E">
              <w:rPr>
                <w:rFonts w:eastAsia="Times New Roman" w:cs="Times New Roman"/>
                <w:i/>
                <w:iCs/>
                <w:color w:val="000000"/>
                <w:sz w:val="18"/>
                <w:szCs w:val="18"/>
                <w:lang w:eastAsia="sk-SK"/>
              </w:rPr>
              <w:t xml:space="preserve">: </w:t>
            </w:r>
          </w:p>
        </w:tc>
        <w:tc>
          <w:tcPr>
            <w:tcW w:w="1426" w:type="dxa"/>
            <w:tcBorders>
              <w:top w:val="nil"/>
              <w:left w:val="nil"/>
              <w:bottom w:val="nil"/>
              <w:right w:val="nil"/>
            </w:tcBorders>
            <w:shd w:val="clear" w:color="auto" w:fill="auto"/>
            <w:noWrap/>
            <w:vAlign w:val="center"/>
            <w:hideMark/>
          </w:tcPr>
          <w:p w14:paraId="44FD16BE" w14:textId="77777777" w:rsidR="004D69BF" w:rsidRPr="00D0395E" w:rsidRDefault="004D69BF" w:rsidP="000240DA">
            <w:pPr>
              <w:spacing w:after="0" w:line="240" w:lineRule="auto"/>
              <w:jc w:val="left"/>
              <w:rPr>
                <w:rFonts w:eastAsia="Times New Roman" w:cs="Times New Roman"/>
                <w:color w:val="000000"/>
                <w:sz w:val="18"/>
                <w:szCs w:val="18"/>
                <w:highlight w:val="yellow"/>
                <w:lang w:eastAsia="sk-SK"/>
              </w:rPr>
            </w:pPr>
          </w:p>
        </w:tc>
        <w:tc>
          <w:tcPr>
            <w:tcW w:w="1276" w:type="dxa"/>
            <w:tcBorders>
              <w:top w:val="nil"/>
              <w:left w:val="nil"/>
              <w:bottom w:val="nil"/>
              <w:right w:val="nil"/>
            </w:tcBorders>
            <w:shd w:val="clear" w:color="auto" w:fill="auto"/>
            <w:noWrap/>
            <w:vAlign w:val="center"/>
            <w:hideMark/>
          </w:tcPr>
          <w:p w14:paraId="3C5E4FD1" w14:textId="77777777" w:rsidR="004D69BF" w:rsidRPr="00D0395E" w:rsidRDefault="004D69BF" w:rsidP="000240DA">
            <w:pPr>
              <w:spacing w:after="0" w:line="240" w:lineRule="auto"/>
              <w:jc w:val="right"/>
              <w:rPr>
                <w:rFonts w:eastAsia="Times New Roman" w:cs="Times New Roman"/>
                <w:sz w:val="18"/>
                <w:szCs w:val="18"/>
                <w:highlight w:val="yellow"/>
                <w:lang w:eastAsia="sk-SK"/>
              </w:rPr>
            </w:pPr>
          </w:p>
        </w:tc>
        <w:tc>
          <w:tcPr>
            <w:tcW w:w="1134" w:type="dxa"/>
            <w:tcBorders>
              <w:top w:val="nil"/>
              <w:left w:val="nil"/>
              <w:bottom w:val="nil"/>
              <w:right w:val="nil"/>
            </w:tcBorders>
            <w:shd w:val="clear" w:color="auto" w:fill="auto"/>
            <w:noWrap/>
            <w:vAlign w:val="center"/>
            <w:hideMark/>
          </w:tcPr>
          <w:p w14:paraId="0928CF68" w14:textId="77777777" w:rsidR="004D69BF" w:rsidRPr="00D0395E" w:rsidRDefault="004D69BF" w:rsidP="000240DA">
            <w:pPr>
              <w:spacing w:after="0" w:line="240" w:lineRule="auto"/>
              <w:jc w:val="right"/>
              <w:rPr>
                <w:rFonts w:eastAsia="Times New Roman" w:cs="Times New Roman"/>
                <w:sz w:val="18"/>
                <w:szCs w:val="18"/>
                <w:highlight w:val="yellow"/>
                <w:lang w:eastAsia="sk-SK"/>
              </w:rPr>
            </w:pPr>
          </w:p>
        </w:tc>
        <w:tc>
          <w:tcPr>
            <w:tcW w:w="1041" w:type="dxa"/>
            <w:tcBorders>
              <w:top w:val="nil"/>
              <w:left w:val="nil"/>
              <w:bottom w:val="nil"/>
              <w:right w:val="nil"/>
            </w:tcBorders>
            <w:shd w:val="clear" w:color="auto" w:fill="auto"/>
            <w:noWrap/>
            <w:vAlign w:val="center"/>
            <w:hideMark/>
          </w:tcPr>
          <w:p w14:paraId="7DA99162" w14:textId="77777777" w:rsidR="004D69BF" w:rsidRPr="00D0395E" w:rsidRDefault="004D69BF" w:rsidP="000240DA">
            <w:pPr>
              <w:spacing w:after="0" w:line="240" w:lineRule="auto"/>
              <w:jc w:val="right"/>
              <w:rPr>
                <w:rFonts w:eastAsia="Times New Roman" w:cs="Times New Roman"/>
                <w:sz w:val="18"/>
                <w:szCs w:val="18"/>
                <w:highlight w:val="yellow"/>
                <w:lang w:eastAsia="sk-SK"/>
              </w:rPr>
            </w:pPr>
          </w:p>
        </w:tc>
        <w:tc>
          <w:tcPr>
            <w:tcW w:w="1085" w:type="dxa"/>
            <w:tcBorders>
              <w:top w:val="nil"/>
              <w:left w:val="nil"/>
              <w:bottom w:val="nil"/>
              <w:right w:val="nil"/>
            </w:tcBorders>
            <w:shd w:val="clear" w:color="000000" w:fill="FFFFFF"/>
            <w:noWrap/>
            <w:vAlign w:val="center"/>
            <w:hideMark/>
          </w:tcPr>
          <w:p w14:paraId="6D3B5D2D" w14:textId="77777777" w:rsidR="004D69BF" w:rsidRPr="00D0395E" w:rsidRDefault="004D69BF" w:rsidP="000240DA">
            <w:pPr>
              <w:spacing w:after="0" w:line="240" w:lineRule="auto"/>
              <w:jc w:val="right"/>
              <w:rPr>
                <w:rFonts w:eastAsia="Times New Roman" w:cs="Times New Roman"/>
                <w:sz w:val="18"/>
                <w:szCs w:val="18"/>
                <w:highlight w:val="yellow"/>
                <w:lang w:eastAsia="sk-SK"/>
              </w:rPr>
            </w:pPr>
          </w:p>
        </w:tc>
      </w:tr>
      <w:tr w:rsidR="004D69BF" w:rsidRPr="00D0395E" w14:paraId="61312F1F" w14:textId="77777777" w:rsidTr="000240DA">
        <w:trPr>
          <w:trHeight w:val="288"/>
        </w:trPr>
        <w:tc>
          <w:tcPr>
            <w:tcW w:w="3252" w:type="dxa"/>
            <w:tcBorders>
              <w:top w:val="nil"/>
              <w:left w:val="nil"/>
              <w:bottom w:val="nil"/>
              <w:right w:val="nil"/>
            </w:tcBorders>
            <w:shd w:val="clear" w:color="auto" w:fill="auto"/>
            <w:noWrap/>
            <w:vAlign w:val="center"/>
            <w:hideMark/>
          </w:tcPr>
          <w:p w14:paraId="58069225" w14:textId="77777777" w:rsidR="004D69BF" w:rsidRPr="00D0395E" w:rsidRDefault="004D69BF" w:rsidP="000240DA">
            <w:pPr>
              <w:spacing w:after="0" w:line="240" w:lineRule="auto"/>
              <w:jc w:val="left"/>
              <w:rPr>
                <w:rFonts w:eastAsia="Times New Roman" w:cs="Times New Roman"/>
                <w:i/>
                <w:iCs/>
                <w:color w:val="000000"/>
                <w:sz w:val="18"/>
                <w:szCs w:val="18"/>
                <w:lang w:eastAsia="sk-SK"/>
              </w:rPr>
            </w:pPr>
            <w:r w:rsidRPr="00D0395E">
              <w:rPr>
                <w:rFonts w:eastAsia="Times New Roman" w:cs="Times New Roman"/>
                <w:i/>
                <w:iCs/>
                <w:color w:val="000000"/>
                <w:sz w:val="18"/>
                <w:szCs w:val="18"/>
                <w:lang w:eastAsia="sk-SK"/>
              </w:rPr>
              <w:t xml:space="preserve">     daň z príjmov PO</w:t>
            </w:r>
          </w:p>
        </w:tc>
        <w:tc>
          <w:tcPr>
            <w:tcW w:w="1426" w:type="dxa"/>
            <w:tcBorders>
              <w:top w:val="nil"/>
              <w:left w:val="nil"/>
              <w:bottom w:val="nil"/>
              <w:right w:val="nil"/>
            </w:tcBorders>
            <w:shd w:val="clear" w:color="auto" w:fill="auto"/>
            <w:noWrap/>
            <w:vAlign w:val="center"/>
            <w:hideMark/>
          </w:tcPr>
          <w:p w14:paraId="0F216C83" w14:textId="77777777" w:rsidR="004D69BF" w:rsidRPr="00D0395E" w:rsidRDefault="004D69BF" w:rsidP="000240DA">
            <w:pPr>
              <w:spacing w:after="0" w:line="240" w:lineRule="auto"/>
              <w:jc w:val="right"/>
              <w:rPr>
                <w:rFonts w:eastAsia="Times New Roman" w:cs="Times New Roman"/>
                <w:sz w:val="18"/>
                <w:szCs w:val="18"/>
                <w:highlight w:val="yellow"/>
                <w:lang w:eastAsia="sk-SK"/>
              </w:rPr>
            </w:pPr>
            <w:r w:rsidRPr="00D0395E">
              <w:rPr>
                <w:color w:val="000000"/>
                <w:sz w:val="18"/>
                <w:szCs w:val="18"/>
              </w:rPr>
              <w:t>3 804 345</w:t>
            </w:r>
          </w:p>
        </w:tc>
        <w:tc>
          <w:tcPr>
            <w:tcW w:w="1276" w:type="dxa"/>
            <w:tcBorders>
              <w:top w:val="nil"/>
              <w:left w:val="nil"/>
              <w:bottom w:val="nil"/>
              <w:right w:val="nil"/>
            </w:tcBorders>
            <w:shd w:val="clear" w:color="auto" w:fill="auto"/>
            <w:noWrap/>
            <w:vAlign w:val="center"/>
            <w:hideMark/>
          </w:tcPr>
          <w:p w14:paraId="104C939E" w14:textId="77777777" w:rsidR="004D69BF" w:rsidRPr="00D0395E" w:rsidRDefault="004D69BF" w:rsidP="000240DA">
            <w:pPr>
              <w:spacing w:after="0" w:line="240" w:lineRule="auto"/>
              <w:jc w:val="right"/>
              <w:rPr>
                <w:rFonts w:eastAsia="Times New Roman" w:cs="Times New Roman"/>
                <w:sz w:val="18"/>
                <w:szCs w:val="18"/>
                <w:highlight w:val="yellow"/>
                <w:lang w:eastAsia="sk-SK"/>
              </w:rPr>
            </w:pPr>
            <w:r w:rsidRPr="00D0395E">
              <w:rPr>
                <w:color w:val="000000"/>
                <w:sz w:val="18"/>
                <w:szCs w:val="18"/>
              </w:rPr>
              <w:t>3 906 421</w:t>
            </w:r>
          </w:p>
        </w:tc>
        <w:tc>
          <w:tcPr>
            <w:tcW w:w="1134" w:type="dxa"/>
            <w:tcBorders>
              <w:top w:val="nil"/>
              <w:left w:val="nil"/>
              <w:bottom w:val="nil"/>
              <w:right w:val="nil"/>
            </w:tcBorders>
            <w:shd w:val="clear" w:color="auto" w:fill="auto"/>
            <w:noWrap/>
            <w:vAlign w:val="center"/>
            <w:hideMark/>
          </w:tcPr>
          <w:p w14:paraId="64C7C673" w14:textId="77777777" w:rsidR="004D69BF" w:rsidRPr="00D0395E" w:rsidRDefault="004D69BF" w:rsidP="000240DA">
            <w:pPr>
              <w:spacing w:after="0" w:line="240" w:lineRule="auto"/>
              <w:jc w:val="right"/>
              <w:rPr>
                <w:rFonts w:eastAsia="Times New Roman" w:cs="Times New Roman"/>
                <w:sz w:val="18"/>
                <w:szCs w:val="18"/>
                <w:highlight w:val="yellow"/>
                <w:lang w:eastAsia="sk-SK"/>
              </w:rPr>
            </w:pPr>
            <w:r w:rsidRPr="00D0395E">
              <w:rPr>
                <w:color w:val="000000"/>
                <w:sz w:val="18"/>
                <w:szCs w:val="18"/>
              </w:rPr>
              <w:t>4 475 610</w:t>
            </w:r>
          </w:p>
        </w:tc>
        <w:tc>
          <w:tcPr>
            <w:tcW w:w="1041" w:type="dxa"/>
            <w:tcBorders>
              <w:top w:val="nil"/>
              <w:left w:val="nil"/>
              <w:bottom w:val="nil"/>
              <w:right w:val="nil"/>
            </w:tcBorders>
            <w:shd w:val="clear" w:color="auto" w:fill="auto"/>
            <w:noWrap/>
            <w:vAlign w:val="center"/>
            <w:hideMark/>
          </w:tcPr>
          <w:p w14:paraId="5F151081" w14:textId="77777777" w:rsidR="004D69BF" w:rsidRPr="00D0395E" w:rsidRDefault="004D69BF" w:rsidP="000240DA">
            <w:pPr>
              <w:spacing w:after="0" w:line="240" w:lineRule="auto"/>
              <w:jc w:val="right"/>
              <w:rPr>
                <w:rFonts w:eastAsia="Times New Roman" w:cs="Times New Roman"/>
                <w:sz w:val="18"/>
                <w:szCs w:val="18"/>
                <w:highlight w:val="yellow"/>
                <w:lang w:eastAsia="sk-SK"/>
              </w:rPr>
            </w:pPr>
            <w:r w:rsidRPr="00D0395E">
              <w:rPr>
                <w:color w:val="000000"/>
                <w:sz w:val="18"/>
                <w:szCs w:val="18"/>
              </w:rPr>
              <w:t>4 413 168</w:t>
            </w:r>
          </w:p>
        </w:tc>
        <w:tc>
          <w:tcPr>
            <w:tcW w:w="1085" w:type="dxa"/>
            <w:tcBorders>
              <w:top w:val="nil"/>
              <w:left w:val="nil"/>
              <w:bottom w:val="nil"/>
              <w:right w:val="nil"/>
            </w:tcBorders>
            <w:shd w:val="clear" w:color="000000" w:fill="FFFFFF"/>
            <w:noWrap/>
            <w:vAlign w:val="center"/>
            <w:hideMark/>
          </w:tcPr>
          <w:p w14:paraId="4626FFD4" w14:textId="77777777" w:rsidR="004D69BF" w:rsidRPr="00D0395E" w:rsidRDefault="004D69BF" w:rsidP="000240DA">
            <w:pPr>
              <w:spacing w:after="0" w:line="240" w:lineRule="auto"/>
              <w:jc w:val="right"/>
              <w:rPr>
                <w:rFonts w:eastAsia="Times New Roman" w:cs="Times New Roman"/>
                <w:sz w:val="18"/>
                <w:szCs w:val="18"/>
                <w:highlight w:val="yellow"/>
                <w:lang w:eastAsia="sk-SK"/>
              </w:rPr>
            </w:pPr>
            <w:r w:rsidRPr="00D0395E">
              <w:rPr>
                <w:color w:val="000000"/>
                <w:sz w:val="18"/>
                <w:szCs w:val="18"/>
              </w:rPr>
              <w:t>-62 442</w:t>
            </w:r>
          </w:p>
        </w:tc>
      </w:tr>
      <w:tr w:rsidR="004D69BF" w:rsidRPr="00D0395E" w14:paraId="397E6199" w14:textId="77777777" w:rsidTr="000240DA">
        <w:trPr>
          <w:trHeight w:val="288"/>
        </w:trPr>
        <w:tc>
          <w:tcPr>
            <w:tcW w:w="3252" w:type="dxa"/>
            <w:tcBorders>
              <w:top w:val="nil"/>
              <w:left w:val="nil"/>
              <w:bottom w:val="nil"/>
              <w:right w:val="nil"/>
            </w:tcBorders>
            <w:shd w:val="clear" w:color="auto" w:fill="auto"/>
            <w:noWrap/>
            <w:vAlign w:val="center"/>
            <w:hideMark/>
          </w:tcPr>
          <w:p w14:paraId="36E9A090" w14:textId="77777777" w:rsidR="004D69BF" w:rsidRPr="00D0395E" w:rsidRDefault="004D69BF" w:rsidP="000240DA">
            <w:pPr>
              <w:spacing w:after="0" w:line="240" w:lineRule="auto"/>
              <w:jc w:val="left"/>
              <w:rPr>
                <w:rFonts w:eastAsia="Times New Roman" w:cs="Times New Roman"/>
                <w:i/>
                <w:iCs/>
                <w:color w:val="000000"/>
                <w:sz w:val="18"/>
                <w:szCs w:val="18"/>
                <w:lang w:eastAsia="sk-SK"/>
              </w:rPr>
            </w:pPr>
            <w:r w:rsidRPr="00D0395E">
              <w:rPr>
                <w:rFonts w:eastAsia="Times New Roman" w:cs="Times New Roman"/>
                <w:i/>
                <w:iCs/>
                <w:color w:val="000000"/>
                <w:sz w:val="18"/>
                <w:szCs w:val="18"/>
                <w:lang w:eastAsia="sk-SK"/>
              </w:rPr>
              <w:t xml:space="preserve">     daň z príjmov vyberaná zrážkou</w:t>
            </w:r>
          </w:p>
        </w:tc>
        <w:tc>
          <w:tcPr>
            <w:tcW w:w="1426" w:type="dxa"/>
            <w:tcBorders>
              <w:top w:val="nil"/>
              <w:left w:val="nil"/>
              <w:bottom w:val="nil"/>
              <w:right w:val="nil"/>
            </w:tcBorders>
            <w:shd w:val="clear" w:color="auto" w:fill="auto"/>
            <w:noWrap/>
            <w:vAlign w:val="center"/>
            <w:hideMark/>
          </w:tcPr>
          <w:p w14:paraId="3BC18828" w14:textId="77777777" w:rsidR="004D69BF" w:rsidRPr="00D0395E" w:rsidRDefault="004D69BF" w:rsidP="000240DA">
            <w:pPr>
              <w:spacing w:after="0" w:line="240" w:lineRule="auto"/>
              <w:jc w:val="right"/>
              <w:rPr>
                <w:rFonts w:eastAsia="Times New Roman" w:cs="Times New Roman"/>
                <w:sz w:val="18"/>
                <w:szCs w:val="18"/>
                <w:highlight w:val="yellow"/>
                <w:lang w:eastAsia="sk-SK"/>
              </w:rPr>
            </w:pPr>
            <w:r w:rsidRPr="00D0395E">
              <w:rPr>
                <w:color w:val="000000"/>
                <w:sz w:val="18"/>
                <w:szCs w:val="18"/>
              </w:rPr>
              <w:t>314 764</w:t>
            </w:r>
          </w:p>
        </w:tc>
        <w:tc>
          <w:tcPr>
            <w:tcW w:w="1276" w:type="dxa"/>
            <w:tcBorders>
              <w:top w:val="nil"/>
              <w:left w:val="nil"/>
              <w:bottom w:val="nil"/>
              <w:right w:val="nil"/>
            </w:tcBorders>
            <w:shd w:val="clear" w:color="auto" w:fill="auto"/>
            <w:noWrap/>
            <w:vAlign w:val="center"/>
            <w:hideMark/>
          </w:tcPr>
          <w:p w14:paraId="0A914A31" w14:textId="77777777" w:rsidR="004D69BF" w:rsidRPr="00D0395E" w:rsidRDefault="004D69BF" w:rsidP="000240DA">
            <w:pPr>
              <w:spacing w:after="0" w:line="240" w:lineRule="auto"/>
              <w:jc w:val="right"/>
              <w:rPr>
                <w:rFonts w:eastAsia="Times New Roman" w:cs="Times New Roman"/>
                <w:sz w:val="18"/>
                <w:szCs w:val="18"/>
                <w:highlight w:val="yellow"/>
                <w:lang w:eastAsia="sk-SK"/>
              </w:rPr>
            </w:pPr>
            <w:r w:rsidRPr="00D0395E">
              <w:rPr>
                <w:color w:val="000000"/>
                <w:sz w:val="18"/>
                <w:szCs w:val="18"/>
              </w:rPr>
              <w:t>430 574</w:t>
            </w:r>
          </w:p>
        </w:tc>
        <w:tc>
          <w:tcPr>
            <w:tcW w:w="1134" w:type="dxa"/>
            <w:tcBorders>
              <w:top w:val="nil"/>
              <w:left w:val="nil"/>
              <w:bottom w:val="nil"/>
              <w:right w:val="nil"/>
            </w:tcBorders>
            <w:shd w:val="clear" w:color="auto" w:fill="auto"/>
            <w:noWrap/>
            <w:vAlign w:val="center"/>
            <w:hideMark/>
          </w:tcPr>
          <w:p w14:paraId="02D7DD3F" w14:textId="77777777" w:rsidR="004D69BF" w:rsidRPr="00D0395E" w:rsidRDefault="004D69BF" w:rsidP="000240DA">
            <w:pPr>
              <w:spacing w:after="0" w:line="240" w:lineRule="auto"/>
              <w:jc w:val="right"/>
              <w:rPr>
                <w:rFonts w:eastAsia="Times New Roman" w:cs="Times New Roman"/>
                <w:sz w:val="18"/>
                <w:szCs w:val="18"/>
                <w:highlight w:val="yellow"/>
                <w:lang w:eastAsia="sk-SK"/>
              </w:rPr>
            </w:pPr>
            <w:r w:rsidRPr="00D0395E">
              <w:rPr>
                <w:color w:val="000000"/>
                <w:sz w:val="18"/>
                <w:szCs w:val="18"/>
              </w:rPr>
              <w:t>415 070</w:t>
            </w:r>
          </w:p>
        </w:tc>
        <w:tc>
          <w:tcPr>
            <w:tcW w:w="1041" w:type="dxa"/>
            <w:tcBorders>
              <w:top w:val="nil"/>
              <w:left w:val="nil"/>
              <w:bottom w:val="nil"/>
              <w:right w:val="nil"/>
            </w:tcBorders>
            <w:shd w:val="clear" w:color="auto" w:fill="auto"/>
            <w:noWrap/>
            <w:vAlign w:val="center"/>
            <w:hideMark/>
          </w:tcPr>
          <w:p w14:paraId="2E4F6A24" w14:textId="77777777" w:rsidR="004D69BF" w:rsidRPr="00D0395E" w:rsidRDefault="004D69BF" w:rsidP="000240DA">
            <w:pPr>
              <w:spacing w:after="0" w:line="240" w:lineRule="auto"/>
              <w:jc w:val="right"/>
              <w:rPr>
                <w:rFonts w:eastAsia="Times New Roman" w:cs="Times New Roman"/>
                <w:sz w:val="18"/>
                <w:szCs w:val="18"/>
                <w:highlight w:val="yellow"/>
                <w:lang w:eastAsia="sk-SK"/>
              </w:rPr>
            </w:pPr>
            <w:r w:rsidRPr="00D0395E">
              <w:rPr>
                <w:color w:val="000000"/>
                <w:sz w:val="18"/>
                <w:szCs w:val="18"/>
              </w:rPr>
              <w:t>529 150</w:t>
            </w:r>
          </w:p>
        </w:tc>
        <w:tc>
          <w:tcPr>
            <w:tcW w:w="1085" w:type="dxa"/>
            <w:tcBorders>
              <w:top w:val="nil"/>
              <w:left w:val="nil"/>
              <w:bottom w:val="nil"/>
              <w:right w:val="nil"/>
            </w:tcBorders>
            <w:shd w:val="clear" w:color="000000" w:fill="FFFFFF"/>
            <w:noWrap/>
            <w:vAlign w:val="center"/>
            <w:hideMark/>
          </w:tcPr>
          <w:p w14:paraId="37A7C005" w14:textId="77777777" w:rsidR="004D69BF" w:rsidRPr="00D0395E" w:rsidRDefault="004D69BF" w:rsidP="000240DA">
            <w:pPr>
              <w:spacing w:after="0" w:line="240" w:lineRule="auto"/>
              <w:jc w:val="right"/>
              <w:rPr>
                <w:rFonts w:eastAsia="Times New Roman" w:cs="Times New Roman"/>
                <w:sz w:val="18"/>
                <w:szCs w:val="18"/>
                <w:highlight w:val="yellow"/>
                <w:lang w:eastAsia="sk-SK"/>
              </w:rPr>
            </w:pPr>
            <w:r w:rsidRPr="00D0395E">
              <w:rPr>
                <w:color w:val="000000"/>
                <w:sz w:val="18"/>
                <w:szCs w:val="18"/>
              </w:rPr>
              <w:t>114 080</w:t>
            </w:r>
          </w:p>
        </w:tc>
      </w:tr>
      <w:tr w:rsidR="004D69BF" w:rsidRPr="00D0395E" w14:paraId="5F75FA1C" w14:textId="77777777" w:rsidTr="000240DA">
        <w:trPr>
          <w:trHeight w:val="230"/>
        </w:trPr>
        <w:tc>
          <w:tcPr>
            <w:tcW w:w="3252" w:type="dxa"/>
            <w:tcBorders>
              <w:top w:val="nil"/>
              <w:left w:val="nil"/>
              <w:bottom w:val="nil"/>
              <w:right w:val="nil"/>
            </w:tcBorders>
            <w:shd w:val="clear" w:color="auto" w:fill="auto"/>
            <w:noWrap/>
            <w:vAlign w:val="center"/>
            <w:hideMark/>
          </w:tcPr>
          <w:p w14:paraId="407305FF" w14:textId="77777777" w:rsidR="004D69BF" w:rsidRPr="00D0395E" w:rsidRDefault="004D69BF" w:rsidP="000240DA">
            <w:pPr>
              <w:spacing w:after="0" w:line="240" w:lineRule="auto"/>
              <w:jc w:val="left"/>
              <w:rPr>
                <w:rFonts w:eastAsia="Times New Roman" w:cs="Times New Roman"/>
                <w:i/>
                <w:iCs/>
                <w:color w:val="000000"/>
                <w:sz w:val="18"/>
                <w:szCs w:val="18"/>
                <w:lang w:eastAsia="sk-SK"/>
              </w:rPr>
            </w:pPr>
            <w:r w:rsidRPr="00D0395E">
              <w:rPr>
                <w:rFonts w:eastAsia="Times New Roman" w:cs="Times New Roman"/>
                <w:i/>
                <w:iCs/>
                <w:color w:val="000000"/>
                <w:sz w:val="18"/>
                <w:szCs w:val="18"/>
                <w:lang w:eastAsia="sk-SK"/>
              </w:rPr>
              <w:t xml:space="preserve">     daň z príjmov FO</w:t>
            </w:r>
          </w:p>
        </w:tc>
        <w:tc>
          <w:tcPr>
            <w:tcW w:w="1426" w:type="dxa"/>
            <w:tcBorders>
              <w:top w:val="nil"/>
              <w:left w:val="nil"/>
              <w:bottom w:val="nil"/>
              <w:right w:val="nil"/>
            </w:tcBorders>
            <w:shd w:val="clear" w:color="auto" w:fill="auto"/>
            <w:noWrap/>
            <w:vAlign w:val="center"/>
            <w:hideMark/>
          </w:tcPr>
          <w:p w14:paraId="17B9D231"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-4 929</w:t>
            </w:r>
          </w:p>
        </w:tc>
        <w:tc>
          <w:tcPr>
            <w:tcW w:w="1276" w:type="dxa"/>
            <w:tcBorders>
              <w:top w:val="nil"/>
              <w:left w:val="nil"/>
              <w:bottom w:val="nil"/>
              <w:right w:val="nil"/>
            </w:tcBorders>
            <w:shd w:val="clear" w:color="auto" w:fill="auto"/>
            <w:noWrap/>
            <w:vAlign w:val="center"/>
            <w:hideMark/>
          </w:tcPr>
          <w:p w14:paraId="4EC17160"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1 763</w:t>
            </w:r>
          </w:p>
        </w:tc>
        <w:tc>
          <w:tcPr>
            <w:tcW w:w="1134" w:type="dxa"/>
            <w:tcBorders>
              <w:top w:val="nil"/>
              <w:left w:val="nil"/>
              <w:bottom w:val="nil"/>
              <w:right w:val="nil"/>
            </w:tcBorders>
            <w:shd w:val="clear" w:color="auto" w:fill="auto"/>
            <w:noWrap/>
            <w:vAlign w:val="center"/>
            <w:hideMark/>
          </w:tcPr>
          <w:p w14:paraId="6E2745F7"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-22 923</w:t>
            </w:r>
          </w:p>
        </w:tc>
        <w:tc>
          <w:tcPr>
            <w:tcW w:w="1041" w:type="dxa"/>
            <w:tcBorders>
              <w:top w:val="nil"/>
              <w:left w:val="nil"/>
              <w:bottom w:val="nil"/>
              <w:right w:val="nil"/>
            </w:tcBorders>
            <w:shd w:val="clear" w:color="auto" w:fill="auto"/>
            <w:noWrap/>
            <w:vAlign w:val="center"/>
            <w:hideMark/>
          </w:tcPr>
          <w:p w14:paraId="73B4099E"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-1 612</w:t>
            </w:r>
          </w:p>
        </w:tc>
        <w:tc>
          <w:tcPr>
            <w:tcW w:w="1085" w:type="dxa"/>
            <w:tcBorders>
              <w:top w:val="nil"/>
              <w:left w:val="nil"/>
              <w:bottom w:val="nil"/>
              <w:right w:val="nil"/>
            </w:tcBorders>
            <w:shd w:val="clear" w:color="000000" w:fill="FFFFFF"/>
            <w:vAlign w:val="center"/>
            <w:hideMark/>
          </w:tcPr>
          <w:p w14:paraId="5CE1DA06" w14:textId="77777777" w:rsidR="004D69BF" w:rsidRPr="00D0395E" w:rsidRDefault="004D69BF" w:rsidP="000240DA">
            <w:pPr>
              <w:spacing w:after="0" w:line="240" w:lineRule="auto"/>
              <w:jc w:val="right"/>
              <w:rPr>
                <w:rFonts w:eastAsia="Times New Roman" w:cs="Times New Roman"/>
                <w:color w:val="000000"/>
                <w:sz w:val="18"/>
                <w:szCs w:val="18"/>
                <w:highlight w:val="yellow"/>
                <w:lang w:eastAsia="sk-SK"/>
              </w:rPr>
            </w:pPr>
            <w:r w:rsidRPr="00D0395E">
              <w:rPr>
                <w:color w:val="000000"/>
                <w:sz w:val="18"/>
                <w:szCs w:val="18"/>
              </w:rPr>
              <w:t>21 311</w:t>
            </w:r>
          </w:p>
        </w:tc>
      </w:tr>
      <w:tr w:rsidR="004D69BF" w:rsidRPr="00D0395E" w14:paraId="7CAFF066" w14:textId="77777777" w:rsidTr="000240DA">
        <w:trPr>
          <w:trHeight w:val="972"/>
        </w:trPr>
        <w:tc>
          <w:tcPr>
            <w:tcW w:w="3252" w:type="dxa"/>
            <w:tcBorders>
              <w:top w:val="nil"/>
              <w:left w:val="nil"/>
              <w:bottom w:val="nil"/>
              <w:right w:val="nil"/>
            </w:tcBorders>
            <w:shd w:val="clear" w:color="auto" w:fill="auto"/>
            <w:vAlign w:val="center"/>
            <w:hideMark/>
          </w:tcPr>
          <w:p w14:paraId="4C08ED85" w14:textId="77777777" w:rsidR="004D69BF" w:rsidRPr="00D0395E" w:rsidRDefault="004D69BF" w:rsidP="000240DA">
            <w:pPr>
              <w:spacing w:after="0" w:line="240" w:lineRule="auto"/>
              <w:jc w:val="lef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Dane z medzinárodného obchodu a transakcií</w:t>
            </w:r>
          </w:p>
        </w:tc>
        <w:tc>
          <w:tcPr>
            <w:tcW w:w="1426" w:type="dxa"/>
            <w:tcBorders>
              <w:top w:val="nil"/>
              <w:left w:val="nil"/>
              <w:bottom w:val="nil"/>
              <w:right w:val="nil"/>
            </w:tcBorders>
            <w:shd w:val="clear" w:color="auto" w:fill="auto"/>
            <w:noWrap/>
            <w:vAlign w:val="center"/>
            <w:hideMark/>
          </w:tcPr>
          <w:p w14:paraId="0D8CEFFF"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b/>
                <w:bCs/>
                <w:color w:val="000000"/>
                <w:sz w:val="18"/>
                <w:szCs w:val="18"/>
              </w:rPr>
              <w:t>39 848</w:t>
            </w:r>
          </w:p>
        </w:tc>
        <w:tc>
          <w:tcPr>
            <w:tcW w:w="1276" w:type="dxa"/>
            <w:tcBorders>
              <w:top w:val="nil"/>
              <w:left w:val="nil"/>
              <w:bottom w:val="nil"/>
              <w:right w:val="nil"/>
            </w:tcBorders>
            <w:shd w:val="clear" w:color="auto" w:fill="auto"/>
            <w:noWrap/>
            <w:vAlign w:val="center"/>
            <w:hideMark/>
          </w:tcPr>
          <w:p w14:paraId="72DFB398"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b/>
                <w:bCs/>
                <w:color w:val="000000"/>
                <w:sz w:val="18"/>
                <w:szCs w:val="18"/>
              </w:rPr>
              <w:t>37 917</w:t>
            </w:r>
          </w:p>
        </w:tc>
        <w:tc>
          <w:tcPr>
            <w:tcW w:w="1134" w:type="dxa"/>
            <w:tcBorders>
              <w:top w:val="nil"/>
              <w:left w:val="nil"/>
              <w:bottom w:val="nil"/>
              <w:right w:val="nil"/>
            </w:tcBorders>
            <w:shd w:val="clear" w:color="auto" w:fill="auto"/>
            <w:noWrap/>
            <w:vAlign w:val="center"/>
            <w:hideMark/>
          </w:tcPr>
          <w:p w14:paraId="0AF9C3A3"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b/>
                <w:bCs/>
                <w:color w:val="000000"/>
                <w:sz w:val="18"/>
                <w:szCs w:val="18"/>
              </w:rPr>
              <w:t>41 724</w:t>
            </w:r>
          </w:p>
        </w:tc>
        <w:tc>
          <w:tcPr>
            <w:tcW w:w="1041" w:type="dxa"/>
            <w:tcBorders>
              <w:top w:val="nil"/>
              <w:left w:val="nil"/>
              <w:bottom w:val="nil"/>
              <w:right w:val="nil"/>
            </w:tcBorders>
            <w:shd w:val="clear" w:color="auto" w:fill="auto"/>
            <w:noWrap/>
            <w:vAlign w:val="center"/>
            <w:hideMark/>
          </w:tcPr>
          <w:p w14:paraId="2AD2E99B"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b/>
                <w:bCs/>
                <w:color w:val="000000"/>
                <w:sz w:val="18"/>
                <w:szCs w:val="18"/>
              </w:rPr>
              <w:t>36 828</w:t>
            </w:r>
          </w:p>
        </w:tc>
        <w:tc>
          <w:tcPr>
            <w:tcW w:w="1085" w:type="dxa"/>
            <w:tcBorders>
              <w:top w:val="nil"/>
              <w:left w:val="nil"/>
              <w:bottom w:val="nil"/>
              <w:right w:val="nil"/>
            </w:tcBorders>
            <w:shd w:val="clear" w:color="000000" w:fill="FFFFFF"/>
            <w:vAlign w:val="center"/>
            <w:hideMark/>
          </w:tcPr>
          <w:p w14:paraId="7858AB48"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b/>
                <w:bCs/>
                <w:color w:val="000000"/>
                <w:sz w:val="18"/>
                <w:szCs w:val="18"/>
              </w:rPr>
              <w:t>-4 896</w:t>
            </w:r>
          </w:p>
        </w:tc>
      </w:tr>
      <w:tr w:rsidR="004D69BF" w:rsidRPr="00D0395E" w14:paraId="5F4054D6" w14:textId="77777777" w:rsidTr="000240DA">
        <w:trPr>
          <w:trHeight w:val="288"/>
        </w:trPr>
        <w:tc>
          <w:tcPr>
            <w:tcW w:w="3252" w:type="dxa"/>
            <w:tcBorders>
              <w:top w:val="nil"/>
              <w:left w:val="nil"/>
              <w:bottom w:val="nil"/>
              <w:right w:val="nil"/>
            </w:tcBorders>
            <w:shd w:val="clear" w:color="auto" w:fill="auto"/>
            <w:noWrap/>
            <w:vAlign w:val="center"/>
          </w:tcPr>
          <w:p w14:paraId="04A67404" w14:textId="77777777" w:rsidR="004D69BF" w:rsidRPr="00D0395E" w:rsidRDefault="004D69BF" w:rsidP="000240DA">
            <w:pPr>
              <w:spacing w:after="0" w:line="240" w:lineRule="auto"/>
              <w:jc w:val="lef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Ostatné dane</w:t>
            </w:r>
          </w:p>
        </w:tc>
        <w:tc>
          <w:tcPr>
            <w:tcW w:w="1426" w:type="dxa"/>
            <w:tcBorders>
              <w:top w:val="nil"/>
              <w:left w:val="nil"/>
              <w:bottom w:val="nil"/>
              <w:right w:val="nil"/>
            </w:tcBorders>
            <w:shd w:val="clear" w:color="auto" w:fill="auto"/>
            <w:noWrap/>
            <w:vAlign w:val="center"/>
          </w:tcPr>
          <w:p w14:paraId="00BD73C8"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b/>
                <w:bCs/>
                <w:color w:val="000000"/>
                <w:sz w:val="18"/>
                <w:szCs w:val="18"/>
              </w:rPr>
              <w:t>9</w:t>
            </w:r>
          </w:p>
        </w:tc>
        <w:tc>
          <w:tcPr>
            <w:tcW w:w="1276" w:type="dxa"/>
            <w:tcBorders>
              <w:top w:val="nil"/>
              <w:left w:val="nil"/>
              <w:bottom w:val="nil"/>
              <w:right w:val="nil"/>
            </w:tcBorders>
            <w:shd w:val="clear" w:color="auto" w:fill="auto"/>
            <w:noWrap/>
            <w:vAlign w:val="center"/>
          </w:tcPr>
          <w:p w14:paraId="7F0F6737"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b/>
                <w:bCs/>
                <w:color w:val="000000"/>
                <w:sz w:val="18"/>
                <w:szCs w:val="18"/>
              </w:rPr>
              <w:t>557 309</w:t>
            </w:r>
          </w:p>
        </w:tc>
        <w:tc>
          <w:tcPr>
            <w:tcW w:w="1134" w:type="dxa"/>
            <w:tcBorders>
              <w:top w:val="nil"/>
              <w:left w:val="nil"/>
              <w:bottom w:val="nil"/>
              <w:right w:val="nil"/>
            </w:tcBorders>
            <w:shd w:val="clear" w:color="auto" w:fill="auto"/>
            <w:noWrap/>
            <w:vAlign w:val="center"/>
          </w:tcPr>
          <w:p w14:paraId="0CF7A597"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b/>
                <w:bCs/>
                <w:color w:val="000000"/>
                <w:sz w:val="18"/>
                <w:szCs w:val="18"/>
              </w:rPr>
              <w:t>831 925</w:t>
            </w:r>
          </w:p>
        </w:tc>
        <w:tc>
          <w:tcPr>
            <w:tcW w:w="1041" w:type="dxa"/>
            <w:tcBorders>
              <w:top w:val="nil"/>
              <w:left w:val="nil"/>
              <w:bottom w:val="nil"/>
              <w:right w:val="nil"/>
            </w:tcBorders>
            <w:shd w:val="clear" w:color="auto" w:fill="auto"/>
            <w:noWrap/>
            <w:vAlign w:val="center"/>
          </w:tcPr>
          <w:p w14:paraId="13985392"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b/>
                <w:bCs/>
                <w:color w:val="000000"/>
                <w:sz w:val="18"/>
                <w:szCs w:val="18"/>
              </w:rPr>
              <w:t>563 705</w:t>
            </w:r>
          </w:p>
        </w:tc>
        <w:tc>
          <w:tcPr>
            <w:tcW w:w="1085" w:type="dxa"/>
            <w:tcBorders>
              <w:top w:val="nil"/>
              <w:left w:val="nil"/>
              <w:bottom w:val="nil"/>
              <w:right w:val="nil"/>
            </w:tcBorders>
            <w:shd w:val="clear" w:color="auto" w:fill="auto"/>
            <w:noWrap/>
            <w:vAlign w:val="center"/>
          </w:tcPr>
          <w:p w14:paraId="55CAC6FA"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b/>
                <w:bCs/>
                <w:color w:val="000000"/>
                <w:sz w:val="18"/>
                <w:szCs w:val="18"/>
              </w:rPr>
              <w:t>-268 220</w:t>
            </w:r>
          </w:p>
        </w:tc>
      </w:tr>
      <w:tr w:rsidR="004D69BF" w:rsidRPr="00D0395E" w14:paraId="2D2B6996" w14:textId="77777777" w:rsidTr="000240DA">
        <w:trPr>
          <w:trHeight w:val="288"/>
        </w:trPr>
        <w:tc>
          <w:tcPr>
            <w:tcW w:w="3252" w:type="dxa"/>
            <w:tcBorders>
              <w:top w:val="nil"/>
              <w:left w:val="nil"/>
              <w:bottom w:val="nil"/>
              <w:right w:val="nil"/>
            </w:tcBorders>
            <w:shd w:val="clear" w:color="auto" w:fill="auto"/>
            <w:noWrap/>
            <w:vAlign w:val="center"/>
          </w:tcPr>
          <w:p w14:paraId="420384C9" w14:textId="77777777" w:rsidR="004D69BF" w:rsidRPr="00D0395E" w:rsidRDefault="004D69BF" w:rsidP="000240DA">
            <w:pPr>
              <w:spacing w:after="0" w:line="240" w:lineRule="auto"/>
              <w:jc w:val="left"/>
              <w:rPr>
                <w:rFonts w:eastAsia="Times New Roman" w:cs="Times New Roman"/>
                <w:b/>
                <w:bCs/>
                <w:color w:val="000000"/>
                <w:sz w:val="18"/>
                <w:szCs w:val="18"/>
                <w:lang w:eastAsia="sk-SK"/>
              </w:rPr>
            </w:pPr>
            <w:r w:rsidRPr="00D0395E">
              <w:rPr>
                <w:color w:val="000000"/>
                <w:sz w:val="18"/>
                <w:szCs w:val="18"/>
              </w:rPr>
              <w:t xml:space="preserve">v tom: </w:t>
            </w:r>
          </w:p>
        </w:tc>
        <w:tc>
          <w:tcPr>
            <w:tcW w:w="1426" w:type="dxa"/>
            <w:tcBorders>
              <w:top w:val="nil"/>
              <w:left w:val="nil"/>
              <w:bottom w:val="nil"/>
              <w:right w:val="nil"/>
            </w:tcBorders>
            <w:shd w:val="clear" w:color="auto" w:fill="auto"/>
            <w:noWrap/>
            <w:vAlign w:val="center"/>
          </w:tcPr>
          <w:p w14:paraId="1C09F434"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p>
        </w:tc>
        <w:tc>
          <w:tcPr>
            <w:tcW w:w="1276" w:type="dxa"/>
            <w:tcBorders>
              <w:top w:val="nil"/>
              <w:left w:val="nil"/>
              <w:bottom w:val="nil"/>
              <w:right w:val="nil"/>
            </w:tcBorders>
            <w:shd w:val="clear" w:color="auto" w:fill="auto"/>
            <w:noWrap/>
            <w:vAlign w:val="center"/>
          </w:tcPr>
          <w:p w14:paraId="44EA38EB"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p>
        </w:tc>
        <w:tc>
          <w:tcPr>
            <w:tcW w:w="1134" w:type="dxa"/>
            <w:tcBorders>
              <w:top w:val="nil"/>
              <w:left w:val="nil"/>
              <w:bottom w:val="nil"/>
              <w:right w:val="nil"/>
            </w:tcBorders>
            <w:shd w:val="clear" w:color="auto" w:fill="auto"/>
            <w:noWrap/>
            <w:vAlign w:val="center"/>
          </w:tcPr>
          <w:p w14:paraId="68967AE4"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p>
        </w:tc>
        <w:tc>
          <w:tcPr>
            <w:tcW w:w="1041" w:type="dxa"/>
            <w:tcBorders>
              <w:top w:val="nil"/>
              <w:left w:val="nil"/>
              <w:bottom w:val="nil"/>
              <w:right w:val="nil"/>
            </w:tcBorders>
            <w:shd w:val="clear" w:color="auto" w:fill="auto"/>
            <w:noWrap/>
            <w:vAlign w:val="center"/>
          </w:tcPr>
          <w:p w14:paraId="6FF56FC4"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p>
        </w:tc>
        <w:tc>
          <w:tcPr>
            <w:tcW w:w="1085" w:type="dxa"/>
            <w:tcBorders>
              <w:top w:val="nil"/>
              <w:left w:val="nil"/>
              <w:bottom w:val="nil"/>
              <w:right w:val="nil"/>
            </w:tcBorders>
            <w:shd w:val="clear" w:color="auto" w:fill="auto"/>
            <w:noWrap/>
            <w:vAlign w:val="center"/>
          </w:tcPr>
          <w:p w14:paraId="35CDA478"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p>
        </w:tc>
      </w:tr>
      <w:tr w:rsidR="004D69BF" w:rsidRPr="00D0395E" w14:paraId="0F4945BB" w14:textId="77777777" w:rsidTr="000240DA">
        <w:trPr>
          <w:trHeight w:val="288"/>
        </w:trPr>
        <w:tc>
          <w:tcPr>
            <w:tcW w:w="3252" w:type="dxa"/>
            <w:tcBorders>
              <w:top w:val="nil"/>
              <w:left w:val="nil"/>
              <w:bottom w:val="nil"/>
              <w:right w:val="nil"/>
            </w:tcBorders>
            <w:shd w:val="clear" w:color="auto" w:fill="auto"/>
            <w:noWrap/>
            <w:vAlign w:val="center"/>
          </w:tcPr>
          <w:p w14:paraId="757E58BC" w14:textId="77777777" w:rsidR="004D69BF" w:rsidRPr="00D0395E" w:rsidRDefault="004D69BF" w:rsidP="000240DA">
            <w:pPr>
              <w:spacing w:after="0" w:line="240" w:lineRule="auto"/>
              <w:jc w:val="left"/>
              <w:rPr>
                <w:rFonts w:eastAsia="Times New Roman" w:cs="Times New Roman"/>
                <w:b/>
                <w:bCs/>
                <w:color w:val="000000"/>
                <w:sz w:val="18"/>
                <w:szCs w:val="18"/>
                <w:lang w:eastAsia="sk-SK"/>
              </w:rPr>
            </w:pPr>
            <w:r w:rsidRPr="00D0395E">
              <w:rPr>
                <w:i/>
                <w:iCs/>
                <w:color w:val="000000"/>
                <w:sz w:val="18"/>
                <w:szCs w:val="18"/>
              </w:rPr>
              <w:t xml:space="preserve">    dane z majetku</w:t>
            </w:r>
          </w:p>
        </w:tc>
        <w:tc>
          <w:tcPr>
            <w:tcW w:w="1426" w:type="dxa"/>
            <w:tcBorders>
              <w:top w:val="nil"/>
              <w:left w:val="nil"/>
              <w:bottom w:val="nil"/>
              <w:right w:val="nil"/>
            </w:tcBorders>
            <w:shd w:val="clear" w:color="auto" w:fill="auto"/>
            <w:noWrap/>
            <w:vAlign w:val="center"/>
          </w:tcPr>
          <w:p w14:paraId="0B1F1BD0"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color w:val="000000"/>
                <w:sz w:val="18"/>
                <w:szCs w:val="18"/>
              </w:rPr>
              <w:t>9</w:t>
            </w:r>
          </w:p>
        </w:tc>
        <w:tc>
          <w:tcPr>
            <w:tcW w:w="1276" w:type="dxa"/>
            <w:tcBorders>
              <w:top w:val="nil"/>
              <w:left w:val="nil"/>
              <w:bottom w:val="nil"/>
              <w:right w:val="nil"/>
            </w:tcBorders>
            <w:shd w:val="clear" w:color="auto" w:fill="auto"/>
            <w:noWrap/>
            <w:vAlign w:val="center"/>
          </w:tcPr>
          <w:p w14:paraId="437AA340"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color w:val="000000"/>
                <w:sz w:val="18"/>
                <w:szCs w:val="18"/>
              </w:rPr>
              <w:t>8</w:t>
            </w:r>
          </w:p>
        </w:tc>
        <w:tc>
          <w:tcPr>
            <w:tcW w:w="1134" w:type="dxa"/>
            <w:tcBorders>
              <w:top w:val="nil"/>
              <w:left w:val="nil"/>
              <w:bottom w:val="nil"/>
              <w:right w:val="nil"/>
            </w:tcBorders>
            <w:shd w:val="clear" w:color="auto" w:fill="auto"/>
            <w:noWrap/>
            <w:vAlign w:val="center"/>
          </w:tcPr>
          <w:p w14:paraId="52D599ED"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color w:val="000000"/>
                <w:sz w:val="18"/>
                <w:szCs w:val="18"/>
              </w:rPr>
              <w:t>0</w:t>
            </w:r>
          </w:p>
        </w:tc>
        <w:tc>
          <w:tcPr>
            <w:tcW w:w="1041" w:type="dxa"/>
            <w:tcBorders>
              <w:top w:val="nil"/>
              <w:left w:val="nil"/>
              <w:bottom w:val="nil"/>
              <w:right w:val="nil"/>
            </w:tcBorders>
            <w:shd w:val="clear" w:color="auto" w:fill="auto"/>
            <w:noWrap/>
            <w:vAlign w:val="center"/>
          </w:tcPr>
          <w:p w14:paraId="677F0478"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color w:val="000000"/>
                <w:sz w:val="18"/>
                <w:szCs w:val="18"/>
              </w:rPr>
              <w:t>11</w:t>
            </w:r>
          </w:p>
        </w:tc>
        <w:tc>
          <w:tcPr>
            <w:tcW w:w="1085" w:type="dxa"/>
            <w:tcBorders>
              <w:top w:val="nil"/>
              <w:left w:val="nil"/>
              <w:bottom w:val="nil"/>
              <w:right w:val="nil"/>
            </w:tcBorders>
            <w:shd w:val="clear" w:color="auto" w:fill="auto"/>
            <w:noWrap/>
            <w:vAlign w:val="center"/>
          </w:tcPr>
          <w:p w14:paraId="0EDB549A"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color w:val="000000"/>
                <w:sz w:val="18"/>
                <w:szCs w:val="18"/>
              </w:rPr>
              <w:t>11</w:t>
            </w:r>
          </w:p>
        </w:tc>
      </w:tr>
      <w:tr w:rsidR="004D69BF" w:rsidRPr="00D0395E" w14:paraId="72925B1B" w14:textId="77777777" w:rsidTr="000240DA">
        <w:trPr>
          <w:trHeight w:val="288"/>
        </w:trPr>
        <w:tc>
          <w:tcPr>
            <w:tcW w:w="3252" w:type="dxa"/>
            <w:tcBorders>
              <w:top w:val="nil"/>
              <w:left w:val="nil"/>
              <w:bottom w:val="nil"/>
              <w:right w:val="nil"/>
            </w:tcBorders>
            <w:shd w:val="clear" w:color="auto" w:fill="auto"/>
            <w:noWrap/>
            <w:vAlign w:val="center"/>
          </w:tcPr>
          <w:p w14:paraId="0904C9BD" w14:textId="77777777" w:rsidR="004D69BF" w:rsidRPr="00D0395E" w:rsidRDefault="004D69BF" w:rsidP="000240DA">
            <w:pPr>
              <w:spacing w:after="0" w:line="240" w:lineRule="auto"/>
              <w:jc w:val="left"/>
              <w:rPr>
                <w:rFonts w:eastAsia="Times New Roman" w:cs="Times New Roman"/>
                <w:b/>
                <w:bCs/>
                <w:color w:val="000000"/>
                <w:sz w:val="18"/>
                <w:szCs w:val="18"/>
                <w:lang w:eastAsia="sk-SK"/>
              </w:rPr>
            </w:pPr>
            <w:r w:rsidRPr="00D0395E">
              <w:rPr>
                <w:i/>
                <w:iCs/>
                <w:color w:val="000000"/>
                <w:sz w:val="18"/>
                <w:szCs w:val="18"/>
              </w:rPr>
              <w:t xml:space="preserve">    Osobitný odvod z podnikania v regulovaných </w:t>
            </w:r>
          </w:p>
        </w:tc>
        <w:tc>
          <w:tcPr>
            <w:tcW w:w="1426" w:type="dxa"/>
            <w:tcBorders>
              <w:top w:val="nil"/>
              <w:left w:val="nil"/>
              <w:bottom w:val="nil"/>
              <w:right w:val="nil"/>
            </w:tcBorders>
            <w:shd w:val="clear" w:color="auto" w:fill="auto"/>
            <w:noWrap/>
            <w:vAlign w:val="center"/>
          </w:tcPr>
          <w:p w14:paraId="17BC10FC"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color w:val="000000"/>
                <w:sz w:val="18"/>
                <w:szCs w:val="18"/>
              </w:rPr>
              <w:t>0</w:t>
            </w:r>
          </w:p>
        </w:tc>
        <w:tc>
          <w:tcPr>
            <w:tcW w:w="1276" w:type="dxa"/>
            <w:tcBorders>
              <w:top w:val="nil"/>
              <w:left w:val="nil"/>
              <w:bottom w:val="nil"/>
              <w:right w:val="nil"/>
            </w:tcBorders>
            <w:shd w:val="clear" w:color="auto" w:fill="auto"/>
            <w:noWrap/>
            <w:vAlign w:val="center"/>
          </w:tcPr>
          <w:p w14:paraId="24E4454D"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color w:val="000000"/>
                <w:sz w:val="18"/>
                <w:szCs w:val="18"/>
              </w:rPr>
              <w:t>37 624</w:t>
            </w:r>
          </w:p>
        </w:tc>
        <w:tc>
          <w:tcPr>
            <w:tcW w:w="1134" w:type="dxa"/>
            <w:tcBorders>
              <w:top w:val="nil"/>
              <w:left w:val="nil"/>
              <w:bottom w:val="nil"/>
              <w:right w:val="nil"/>
            </w:tcBorders>
            <w:shd w:val="clear" w:color="auto" w:fill="auto"/>
            <w:noWrap/>
            <w:vAlign w:val="center"/>
          </w:tcPr>
          <w:p w14:paraId="644365D3"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color w:val="000000"/>
                <w:sz w:val="18"/>
                <w:szCs w:val="18"/>
              </w:rPr>
              <w:t>477 812</w:t>
            </w:r>
          </w:p>
        </w:tc>
        <w:tc>
          <w:tcPr>
            <w:tcW w:w="1041" w:type="dxa"/>
            <w:tcBorders>
              <w:top w:val="nil"/>
              <w:left w:val="nil"/>
              <w:bottom w:val="nil"/>
              <w:right w:val="nil"/>
            </w:tcBorders>
            <w:shd w:val="clear" w:color="auto" w:fill="auto"/>
            <w:noWrap/>
            <w:vAlign w:val="center"/>
          </w:tcPr>
          <w:p w14:paraId="08A63B1A"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color w:val="000000"/>
                <w:sz w:val="18"/>
                <w:szCs w:val="18"/>
              </w:rPr>
              <w:t>561 675</w:t>
            </w:r>
          </w:p>
        </w:tc>
        <w:tc>
          <w:tcPr>
            <w:tcW w:w="1085" w:type="dxa"/>
            <w:tcBorders>
              <w:top w:val="nil"/>
              <w:left w:val="nil"/>
              <w:bottom w:val="nil"/>
              <w:right w:val="nil"/>
            </w:tcBorders>
            <w:shd w:val="clear" w:color="auto" w:fill="auto"/>
            <w:noWrap/>
            <w:vAlign w:val="center"/>
          </w:tcPr>
          <w:p w14:paraId="6C361A0D"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sz w:val="18"/>
                <w:szCs w:val="18"/>
              </w:rPr>
              <w:t>83 863</w:t>
            </w:r>
          </w:p>
        </w:tc>
      </w:tr>
      <w:tr w:rsidR="004D69BF" w:rsidRPr="00D0395E" w14:paraId="3E993532" w14:textId="77777777" w:rsidTr="000240DA">
        <w:trPr>
          <w:trHeight w:val="288"/>
        </w:trPr>
        <w:tc>
          <w:tcPr>
            <w:tcW w:w="3252" w:type="dxa"/>
            <w:tcBorders>
              <w:top w:val="nil"/>
              <w:left w:val="nil"/>
              <w:bottom w:val="nil"/>
              <w:right w:val="nil"/>
            </w:tcBorders>
            <w:shd w:val="clear" w:color="auto" w:fill="auto"/>
            <w:noWrap/>
            <w:vAlign w:val="center"/>
          </w:tcPr>
          <w:p w14:paraId="73BE1AB5" w14:textId="77777777" w:rsidR="004D69BF" w:rsidRPr="00D0395E" w:rsidRDefault="004D69BF" w:rsidP="000240DA">
            <w:pPr>
              <w:spacing w:after="0" w:line="240" w:lineRule="auto"/>
              <w:jc w:val="left"/>
              <w:rPr>
                <w:rFonts w:eastAsia="Times New Roman" w:cs="Times New Roman"/>
                <w:b/>
                <w:bCs/>
                <w:color w:val="000000"/>
                <w:sz w:val="18"/>
                <w:szCs w:val="18"/>
                <w:lang w:eastAsia="sk-SK"/>
              </w:rPr>
            </w:pPr>
            <w:r w:rsidRPr="00D0395E">
              <w:rPr>
                <w:i/>
                <w:iCs/>
                <w:color w:val="000000"/>
                <w:sz w:val="18"/>
                <w:szCs w:val="18"/>
              </w:rPr>
              <w:t xml:space="preserve">    Solidárny príspevok z činností v  odvetviach ropy, zemného plynu, uhlia a rafinérií</w:t>
            </w:r>
          </w:p>
        </w:tc>
        <w:tc>
          <w:tcPr>
            <w:tcW w:w="1426" w:type="dxa"/>
            <w:tcBorders>
              <w:top w:val="nil"/>
              <w:left w:val="nil"/>
              <w:bottom w:val="nil"/>
              <w:right w:val="nil"/>
            </w:tcBorders>
            <w:shd w:val="clear" w:color="auto" w:fill="auto"/>
            <w:noWrap/>
            <w:vAlign w:val="center"/>
          </w:tcPr>
          <w:p w14:paraId="5F13945A"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color w:val="000000"/>
                <w:sz w:val="18"/>
                <w:szCs w:val="18"/>
              </w:rPr>
              <w:t>0</w:t>
            </w:r>
          </w:p>
        </w:tc>
        <w:tc>
          <w:tcPr>
            <w:tcW w:w="1276" w:type="dxa"/>
            <w:tcBorders>
              <w:top w:val="nil"/>
              <w:left w:val="nil"/>
              <w:bottom w:val="nil"/>
              <w:right w:val="nil"/>
            </w:tcBorders>
            <w:shd w:val="clear" w:color="auto" w:fill="auto"/>
            <w:noWrap/>
            <w:vAlign w:val="center"/>
          </w:tcPr>
          <w:p w14:paraId="0D2F319E"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color w:val="000000"/>
                <w:sz w:val="18"/>
                <w:szCs w:val="18"/>
              </w:rPr>
              <w:t>519 677</w:t>
            </w:r>
          </w:p>
        </w:tc>
        <w:tc>
          <w:tcPr>
            <w:tcW w:w="1134" w:type="dxa"/>
            <w:tcBorders>
              <w:top w:val="nil"/>
              <w:left w:val="nil"/>
              <w:bottom w:val="nil"/>
              <w:right w:val="nil"/>
            </w:tcBorders>
            <w:shd w:val="clear" w:color="auto" w:fill="auto"/>
            <w:noWrap/>
            <w:vAlign w:val="center"/>
          </w:tcPr>
          <w:p w14:paraId="668F239B"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color w:val="000000"/>
                <w:sz w:val="18"/>
                <w:szCs w:val="18"/>
              </w:rPr>
              <w:t>354 113</w:t>
            </w:r>
          </w:p>
        </w:tc>
        <w:tc>
          <w:tcPr>
            <w:tcW w:w="1041" w:type="dxa"/>
            <w:tcBorders>
              <w:top w:val="nil"/>
              <w:left w:val="nil"/>
              <w:bottom w:val="nil"/>
              <w:right w:val="nil"/>
            </w:tcBorders>
            <w:shd w:val="clear" w:color="auto" w:fill="auto"/>
            <w:noWrap/>
            <w:vAlign w:val="center"/>
          </w:tcPr>
          <w:p w14:paraId="1C55EDC4"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color w:val="000000"/>
                <w:sz w:val="18"/>
                <w:szCs w:val="18"/>
              </w:rPr>
              <w:t>1 957</w:t>
            </w:r>
          </w:p>
        </w:tc>
        <w:tc>
          <w:tcPr>
            <w:tcW w:w="1085" w:type="dxa"/>
            <w:tcBorders>
              <w:top w:val="nil"/>
              <w:left w:val="nil"/>
              <w:bottom w:val="nil"/>
              <w:right w:val="nil"/>
            </w:tcBorders>
            <w:shd w:val="clear" w:color="auto" w:fill="auto"/>
            <w:noWrap/>
            <w:vAlign w:val="center"/>
          </w:tcPr>
          <w:p w14:paraId="278F46BB"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sz w:val="18"/>
                <w:szCs w:val="18"/>
              </w:rPr>
              <w:t>-352 156</w:t>
            </w:r>
          </w:p>
        </w:tc>
      </w:tr>
      <w:tr w:rsidR="004D69BF" w:rsidRPr="00D0395E" w14:paraId="26B483C3" w14:textId="77777777" w:rsidTr="000240DA">
        <w:trPr>
          <w:trHeight w:val="288"/>
        </w:trPr>
        <w:tc>
          <w:tcPr>
            <w:tcW w:w="3252" w:type="dxa"/>
            <w:tcBorders>
              <w:top w:val="nil"/>
              <w:left w:val="nil"/>
              <w:bottom w:val="nil"/>
              <w:right w:val="nil"/>
            </w:tcBorders>
            <w:shd w:val="clear" w:color="auto" w:fill="auto"/>
            <w:noWrap/>
            <w:vAlign w:val="center"/>
          </w:tcPr>
          <w:p w14:paraId="169AA106" w14:textId="77777777" w:rsidR="004D69BF" w:rsidRPr="00D0395E" w:rsidRDefault="004D69BF" w:rsidP="000240DA">
            <w:pPr>
              <w:spacing w:after="0" w:line="240" w:lineRule="auto"/>
              <w:jc w:val="left"/>
              <w:rPr>
                <w:rFonts w:eastAsia="Times New Roman" w:cs="Times New Roman"/>
                <w:b/>
                <w:bCs/>
                <w:color w:val="000000"/>
                <w:sz w:val="18"/>
                <w:szCs w:val="18"/>
                <w:lang w:eastAsia="sk-SK"/>
              </w:rPr>
            </w:pPr>
            <w:r w:rsidRPr="00D0395E">
              <w:rPr>
                <w:i/>
                <w:iCs/>
                <w:color w:val="000000"/>
                <w:sz w:val="18"/>
                <w:szCs w:val="18"/>
              </w:rPr>
              <w:t xml:space="preserve">    Ďalšie iné dane</w:t>
            </w:r>
          </w:p>
        </w:tc>
        <w:tc>
          <w:tcPr>
            <w:tcW w:w="1426" w:type="dxa"/>
            <w:tcBorders>
              <w:top w:val="nil"/>
              <w:left w:val="nil"/>
              <w:bottom w:val="nil"/>
              <w:right w:val="nil"/>
            </w:tcBorders>
            <w:shd w:val="clear" w:color="auto" w:fill="auto"/>
            <w:noWrap/>
            <w:vAlign w:val="center"/>
          </w:tcPr>
          <w:p w14:paraId="45201F32" w14:textId="77777777" w:rsidR="004D69BF" w:rsidRPr="00D0395E" w:rsidRDefault="004D69BF" w:rsidP="000240DA">
            <w:pPr>
              <w:spacing w:after="0" w:line="240" w:lineRule="auto"/>
              <w:jc w:val="right"/>
              <w:rPr>
                <w:color w:val="000000"/>
                <w:sz w:val="18"/>
                <w:szCs w:val="18"/>
              </w:rPr>
            </w:pPr>
            <w:r w:rsidRPr="00D0395E">
              <w:rPr>
                <w:color w:val="000000"/>
                <w:sz w:val="18"/>
                <w:szCs w:val="18"/>
              </w:rPr>
              <w:t>0</w:t>
            </w:r>
          </w:p>
        </w:tc>
        <w:tc>
          <w:tcPr>
            <w:tcW w:w="1276" w:type="dxa"/>
            <w:tcBorders>
              <w:top w:val="nil"/>
              <w:left w:val="nil"/>
              <w:bottom w:val="nil"/>
              <w:right w:val="nil"/>
            </w:tcBorders>
            <w:shd w:val="clear" w:color="auto" w:fill="auto"/>
            <w:noWrap/>
            <w:vAlign w:val="center"/>
          </w:tcPr>
          <w:p w14:paraId="7C59ADF5" w14:textId="77777777" w:rsidR="004D69BF" w:rsidRPr="00D0395E" w:rsidRDefault="004D69BF" w:rsidP="000240DA">
            <w:pPr>
              <w:spacing w:after="0" w:line="240" w:lineRule="auto"/>
              <w:jc w:val="right"/>
              <w:rPr>
                <w:color w:val="000000"/>
                <w:sz w:val="18"/>
                <w:szCs w:val="18"/>
              </w:rPr>
            </w:pPr>
            <w:r w:rsidRPr="00D0395E">
              <w:rPr>
                <w:color w:val="000000"/>
                <w:sz w:val="18"/>
                <w:szCs w:val="18"/>
              </w:rPr>
              <w:t>0</w:t>
            </w:r>
          </w:p>
        </w:tc>
        <w:tc>
          <w:tcPr>
            <w:tcW w:w="1134" w:type="dxa"/>
            <w:tcBorders>
              <w:top w:val="nil"/>
              <w:left w:val="nil"/>
              <w:bottom w:val="nil"/>
              <w:right w:val="nil"/>
            </w:tcBorders>
            <w:shd w:val="clear" w:color="auto" w:fill="auto"/>
            <w:noWrap/>
            <w:vAlign w:val="center"/>
          </w:tcPr>
          <w:p w14:paraId="17738652" w14:textId="77777777" w:rsidR="004D69BF" w:rsidRPr="00D0395E" w:rsidRDefault="004D69BF" w:rsidP="000240DA">
            <w:pPr>
              <w:spacing w:after="0" w:line="240" w:lineRule="auto"/>
              <w:jc w:val="right"/>
              <w:rPr>
                <w:color w:val="000000"/>
                <w:sz w:val="18"/>
                <w:szCs w:val="18"/>
              </w:rPr>
            </w:pPr>
            <w:r w:rsidRPr="00D0395E">
              <w:rPr>
                <w:color w:val="000000"/>
                <w:sz w:val="18"/>
                <w:szCs w:val="18"/>
              </w:rPr>
              <w:t>0</w:t>
            </w:r>
          </w:p>
        </w:tc>
        <w:tc>
          <w:tcPr>
            <w:tcW w:w="1041" w:type="dxa"/>
            <w:tcBorders>
              <w:top w:val="nil"/>
              <w:left w:val="nil"/>
              <w:bottom w:val="nil"/>
              <w:right w:val="nil"/>
            </w:tcBorders>
            <w:shd w:val="clear" w:color="auto" w:fill="auto"/>
            <w:noWrap/>
            <w:vAlign w:val="center"/>
          </w:tcPr>
          <w:p w14:paraId="45F4A412" w14:textId="77777777" w:rsidR="004D69BF" w:rsidRPr="00D0395E" w:rsidRDefault="004D69BF" w:rsidP="000240DA">
            <w:pPr>
              <w:spacing w:after="0" w:line="240" w:lineRule="auto"/>
              <w:jc w:val="right"/>
              <w:rPr>
                <w:color w:val="000000"/>
                <w:sz w:val="18"/>
                <w:szCs w:val="18"/>
              </w:rPr>
            </w:pPr>
            <w:r w:rsidRPr="00D0395E">
              <w:rPr>
                <w:color w:val="000000"/>
                <w:sz w:val="18"/>
                <w:szCs w:val="18"/>
              </w:rPr>
              <w:t>73</w:t>
            </w:r>
          </w:p>
        </w:tc>
        <w:tc>
          <w:tcPr>
            <w:tcW w:w="1085" w:type="dxa"/>
            <w:tcBorders>
              <w:top w:val="nil"/>
              <w:left w:val="nil"/>
              <w:bottom w:val="nil"/>
              <w:right w:val="nil"/>
            </w:tcBorders>
            <w:shd w:val="clear" w:color="auto" w:fill="auto"/>
            <w:noWrap/>
            <w:vAlign w:val="center"/>
          </w:tcPr>
          <w:p w14:paraId="55472DCA" w14:textId="77777777" w:rsidR="004D69BF" w:rsidRPr="00D0395E" w:rsidRDefault="004D69BF" w:rsidP="000240DA">
            <w:pPr>
              <w:spacing w:after="0" w:line="240" w:lineRule="auto"/>
              <w:jc w:val="right"/>
              <w:rPr>
                <w:color w:val="000000"/>
                <w:sz w:val="18"/>
                <w:szCs w:val="18"/>
              </w:rPr>
            </w:pPr>
            <w:r w:rsidRPr="00D0395E">
              <w:rPr>
                <w:sz w:val="18"/>
                <w:szCs w:val="18"/>
              </w:rPr>
              <w:t>73</w:t>
            </w:r>
          </w:p>
        </w:tc>
      </w:tr>
      <w:tr w:rsidR="004D69BF" w:rsidRPr="00D0395E" w14:paraId="23667E9C" w14:textId="77777777" w:rsidTr="000240DA">
        <w:trPr>
          <w:trHeight w:val="288"/>
        </w:trPr>
        <w:tc>
          <w:tcPr>
            <w:tcW w:w="3252" w:type="dxa"/>
            <w:tcBorders>
              <w:top w:val="nil"/>
              <w:left w:val="nil"/>
              <w:bottom w:val="nil"/>
              <w:right w:val="nil"/>
            </w:tcBorders>
            <w:shd w:val="clear" w:color="auto" w:fill="auto"/>
            <w:noWrap/>
            <w:vAlign w:val="center"/>
            <w:hideMark/>
          </w:tcPr>
          <w:p w14:paraId="762FA076" w14:textId="77777777" w:rsidR="004D69BF" w:rsidRPr="00D0395E" w:rsidRDefault="004D69BF" w:rsidP="000240DA">
            <w:pPr>
              <w:spacing w:after="0" w:line="240" w:lineRule="auto"/>
              <w:jc w:val="lef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Sankcie uložené v daňovom konaní</w:t>
            </w:r>
          </w:p>
        </w:tc>
        <w:tc>
          <w:tcPr>
            <w:tcW w:w="1426" w:type="dxa"/>
            <w:tcBorders>
              <w:top w:val="nil"/>
              <w:left w:val="nil"/>
              <w:bottom w:val="nil"/>
              <w:right w:val="nil"/>
            </w:tcBorders>
            <w:shd w:val="clear" w:color="auto" w:fill="auto"/>
            <w:noWrap/>
            <w:vAlign w:val="center"/>
            <w:hideMark/>
          </w:tcPr>
          <w:p w14:paraId="1C2BB9CB"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b/>
                <w:bCs/>
                <w:color w:val="000000"/>
                <w:sz w:val="18"/>
                <w:szCs w:val="18"/>
              </w:rPr>
              <w:t>32 771</w:t>
            </w:r>
          </w:p>
        </w:tc>
        <w:tc>
          <w:tcPr>
            <w:tcW w:w="1276" w:type="dxa"/>
            <w:tcBorders>
              <w:top w:val="nil"/>
              <w:left w:val="nil"/>
              <w:bottom w:val="nil"/>
              <w:right w:val="nil"/>
            </w:tcBorders>
            <w:shd w:val="clear" w:color="auto" w:fill="auto"/>
            <w:noWrap/>
            <w:vAlign w:val="center"/>
            <w:hideMark/>
          </w:tcPr>
          <w:p w14:paraId="54835C03"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b/>
                <w:bCs/>
                <w:color w:val="000000"/>
                <w:sz w:val="18"/>
                <w:szCs w:val="18"/>
              </w:rPr>
              <w:t>56 779</w:t>
            </w:r>
          </w:p>
        </w:tc>
        <w:tc>
          <w:tcPr>
            <w:tcW w:w="1134" w:type="dxa"/>
            <w:tcBorders>
              <w:top w:val="nil"/>
              <w:left w:val="nil"/>
              <w:bottom w:val="nil"/>
              <w:right w:val="nil"/>
            </w:tcBorders>
            <w:shd w:val="clear" w:color="auto" w:fill="auto"/>
            <w:noWrap/>
            <w:vAlign w:val="center"/>
            <w:hideMark/>
          </w:tcPr>
          <w:p w14:paraId="4E6DD2EE"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b/>
                <w:bCs/>
                <w:color w:val="000000"/>
                <w:sz w:val="18"/>
                <w:szCs w:val="18"/>
              </w:rPr>
              <w:t>40 976</w:t>
            </w:r>
          </w:p>
        </w:tc>
        <w:tc>
          <w:tcPr>
            <w:tcW w:w="1041" w:type="dxa"/>
            <w:tcBorders>
              <w:top w:val="nil"/>
              <w:left w:val="nil"/>
              <w:bottom w:val="nil"/>
              <w:right w:val="nil"/>
            </w:tcBorders>
            <w:shd w:val="clear" w:color="auto" w:fill="auto"/>
            <w:noWrap/>
            <w:vAlign w:val="center"/>
            <w:hideMark/>
          </w:tcPr>
          <w:p w14:paraId="6641C741"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b/>
                <w:bCs/>
                <w:color w:val="000000"/>
                <w:sz w:val="18"/>
                <w:szCs w:val="18"/>
              </w:rPr>
              <w:t>41 098</w:t>
            </w:r>
          </w:p>
        </w:tc>
        <w:tc>
          <w:tcPr>
            <w:tcW w:w="1085" w:type="dxa"/>
            <w:tcBorders>
              <w:top w:val="nil"/>
              <w:left w:val="nil"/>
              <w:bottom w:val="nil"/>
              <w:right w:val="nil"/>
            </w:tcBorders>
            <w:shd w:val="clear" w:color="auto" w:fill="auto"/>
            <w:noWrap/>
            <w:vAlign w:val="center"/>
            <w:hideMark/>
          </w:tcPr>
          <w:p w14:paraId="0485FDCE"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b/>
                <w:bCs/>
                <w:color w:val="000000"/>
                <w:sz w:val="18"/>
                <w:szCs w:val="18"/>
              </w:rPr>
              <w:t>122</w:t>
            </w:r>
          </w:p>
        </w:tc>
      </w:tr>
      <w:tr w:rsidR="004D69BF" w:rsidRPr="00D0395E" w14:paraId="401D7367" w14:textId="77777777" w:rsidTr="000240DA">
        <w:trPr>
          <w:trHeight w:val="288"/>
        </w:trPr>
        <w:tc>
          <w:tcPr>
            <w:tcW w:w="3252" w:type="dxa"/>
            <w:tcBorders>
              <w:top w:val="single" w:sz="4" w:space="0" w:color="auto"/>
              <w:left w:val="nil"/>
              <w:bottom w:val="single" w:sz="4" w:space="0" w:color="auto"/>
              <w:right w:val="nil"/>
            </w:tcBorders>
            <w:shd w:val="clear" w:color="000000" w:fill="FFFFFF"/>
            <w:noWrap/>
            <w:vAlign w:val="center"/>
            <w:hideMark/>
          </w:tcPr>
          <w:p w14:paraId="2E13F80C" w14:textId="77777777" w:rsidR="004D69BF" w:rsidRPr="00D0395E" w:rsidRDefault="004D69BF" w:rsidP="000240DA">
            <w:pPr>
              <w:spacing w:after="0" w:line="240" w:lineRule="auto"/>
              <w:jc w:val="lef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Spolu</w:t>
            </w:r>
          </w:p>
        </w:tc>
        <w:tc>
          <w:tcPr>
            <w:tcW w:w="1426" w:type="dxa"/>
            <w:tcBorders>
              <w:top w:val="single" w:sz="4" w:space="0" w:color="auto"/>
              <w:left w:val="nil"/>
              <w:bottom w:val="single" w:sz="4" w:space="0" w:color="auto"/>
              <w:right w:val="nil"/>
            </w:tcBorders>
            <w:shd w:val="clear" w:color="auto" w:fill="auto"/>
            <w:noWrap/>
            <w:vAlign w:val="center"/>
            <w:hideMark/>
          </w:tcPr>
          <w:p w14:paraId="4F1FA1E0"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b/>
                <w:bCs/>
                <w:color w:val="000000"/>
                <w:sz w:val="18"/>
                <w:szCs w:val="18"/>
              </w:rPr>
              <w:t>15 517 036</w:t>
            </w:r>
          </w:p>
        </w:tc>
        <w:tc>
          <w:tcPr>
            <w:tcW w:w="1276" w:type="dxa"/>
            <w:tcBorders>
              <w:top w:val="single" w:sz="4" w:space="0" w:color="auto"/>
              <w:left w:val="nil"/>
              <w:bottom w:val="single" w:sz="4" w:space="0" w:color="auto"/>
              <w:right w:val="nil"/>
            </w:tcBorders>
            <w:shd w:val="clear" w:color="auto" w:fill="auto"/>
            <w:noWrap/>
            <w:vAlign w:val="center"/>
            <w:hideMark/>
          </w:tcPr>
          <w:p w14:paraId="0B91ED16"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b/>
                <w:bCs/>
                <w:color w:val="000000"/>
                <w:sz w:val="18"/>
                <w:szCs w:val="18"/>
              </w:rPr>
              <w:t>17 440 976</w:t>
            </w:r>
          </w:p>
        </w:tc>
        <w:tc>
          <w:tcPr>
            <w:tcW w:w="1134" w:type="dxa"/>
            <w:tcBorders>
              <w:top w:val="single" w:sz="4" w:space="0" w:color="auto"/>
              <w:left w:val="nil"/>
              <w:bottom w:val="single" w:sz="4" w:space="0" w:color="auto"/>
              <w:right w:val="nil"/>
            </w:tcBorders>
            <w:shd w:val="clear" w:color="000000" w:fill="FFFFFF"/>
            <w:noWrap/>
            <w:vAlign w:val="center"/>
            <w:hideMark/>
          </w:tcPr>
          <w:p w14:paraId="78412F3E"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b/>
                <w:bCs/>
                <w:color w:val="000000"/>
                <w:sz w:val="18"/>
                <w:szCs w:val="18"/>
              </w:rPr>
              <w:t>18 633 856</w:t>
            </w:r>
          </w:p>
        </w:tc>
        <w:tc>
          <w:tcPr>
            <w:tcW w:w="1041" w:type="dxa"/>
            <w:tcBorders>
              <w:top w:val="single" w:sz="4" w:space="0" w:color="auto"/>
              <w:left w:val="nil"/>
              <w:bottom w:val="single" w:sz="4" w:space="0" w:color="auto"/>
              <w:right w:val="nil"/>
            </w:tcBorders>
            <w:shd w:val="clear" w:color="auto" w:fill="auto"/>
            <w:noWrap/>
            <w:vAlign w:val="center"/>
            <w:hideMark/>
          </w:tcPr>
          <w:p w14:paraId="77BE5DF3"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b/>
                <w:bCs/>
                <w:color w:val="000000"/>
                <w:sz w:val="18"/>
                <w:szCs w:val="18"/>
              </w:rPr>
              <w:t>18 350 788</w:t>
            </w:r>
          </w:p>
        </w:tc>
        <w:tc>
          <w:tcPr>
            <w:tcW w:w="1085" w:type="dxa"/>
            <w:tcBorders>
              <w:top w:val="single" w:sz="4" w:space="0" w:color="auto"/>
              <w:left w:val="nil"/>
              <w:bottom w:val="single" w:sz="4" w:space="0" w:color="auto"/>
              <w:right w:val="nil"/>
            </w:tcBorders>
            <w:shd w:val="clear" w:color="000000" w:fill="FFFFFF"/>
            <w:vAlign w:val="center"/>
            <w:hideMark/>
          </w:tcPr>
          <w:p w14:paraId="5D271A01" w14:textId="77777777" w:rsidR="004D69BF" w:rsidRPr="00D0395E" w:rsidRDefault="004D69BF" w:rsidP="000240DA">
            <w:pPr>
              <w:spacing w:after="0" w:line="240" w:lineRule="auto"/>
              <w:jc w:val="right"/>
              <w:rPr>
                <w:rFonts w:eastAsia="Times New Roman" w:cs="Times New Roman"/>
                <w:b/>
                <w:bCs/>
                <w:color w:val="000000"/>
                <w:sz w:val="18"/>
                <w:szCs w:val="18"/>
                <w:highlight w:val="yellow"/>
                <w:lang w:eastAsia="sk-SK"/>
              </w:rPr>
            </w:pPr>
            <w:r w:rsidRPr="00D0395E">
              <w:rPr>
                <w:b/>
                <w:bCs/>
                <w:color w:val="000000"/>
                <w:sz w:val="18"/>
                <w:szCs w:val="18"/>
              </w:rPr>
              <w:t>-283 068</w:t>
            </w:r>
          </w:p>
        </w:tc>
      </w:tr>
    </w:tbl>
    <w:p w14:paraId="64C0B4D8" w14:textId="44FD40CC" w:rsidR="00D66760" w:rsidRPr="00D66760" w:rsidRDefault="00D66760" w:rsidP="003B03E0">
      <w:pPr>
        <w:spacing w:line="240" w:lineRule="auto"/>
        <w:ind w:left="7650"/>
        <w:rPr>
          <w:sz w:val="18"/>
          <w:szCs w:val="18"/>
        </w:rPr>
      </w:pPr>
      <w:r w:rsidRPr="00D66760">
        <w:rPr>
          <w:sz w:val="18"/>
          <w:szCs w:val="18"/>
        </w:rPr>
        <w:t>Zdroj: MFSR</w:t>
      </w:r>
    </w:p>
    <w:p w14:paraId="44E1047E" w14:textId="3A0B3BDB" w:rsidR="004D69BF" w:rsidRPr="000444EB" w:rsidRDefault="004D69BF" w:rsidP="004D69BF">
      <w:pPr>
        <w:spacing w:line="240" w:lineRule="auto"/>
        <w:rPr>
          <w:sz w:val="24"/>
          <w:szCs w:val="24"/>
        </w:rPr>
      </w:pPr>
      <w:r w:rsidRPr="000444EB">
        <w:rPr>
          <w:sz w:val="24"/>
          <w:szCs w:val="24"/>
        </w:rPr>
        <w:t>V porovnaní s rokom 2023 boli celkové daňové príjmy vyššie o 909</w:t>
      </w:r>
      <w:r w:rsidR="00D66760">
        <w:rPr>
          <w:sz w:val="24"/>
          <w:szCs w:val="24"/>
        </w:rPr>
        <w:t> </w:t>
      </w:r>
      <w:r w:rsidRPr="000444EB">
        <w:rPr>
          <w:sz w:val="24"/>
          <w:szCs w:val="24"/>
        </w:rPr>
        <w:t>812</w:t>
      </w:r>
      <w:r w:rsidR="00D66760">
        <w:rPr>
          <w:sz w:val="24"/>
          <w:szCs w:val="24"/>
        </w:rPr>
        <w:t> </w:t>
      </w:r>
      <w:r w:rsidRPr="000444EB">
        <w:rPr>
          <w:sz w:val="24"/>
          <w:szCs w:val="24"/>
        </w:rPr>
        <w:t>tis.</w:t>
      </w:r>
      <w:r w:rsidR="00D66760">
        <w:rPr>
          <w:sz w:val="24"/>
          <w:szCs w:val="24"/>
        </w:rPr>
        <w:t> </w:t>
      </w:r>
      <w:r w:rsidRPr="000444EB">
        <w:rPr>
          <w:sz w:val="24"/>
          <w:szCs w:val="24"/>
        </w:rPr>
        <w:t>eur, čo zodpovedá m</w:t>
      </w:r>
      <w:r w:rsidR="00D66760">
        <w:rPr>
          <w:sz w:val="24"/>
          <w:szCs w:val="24"/>
        </w:rPr>
        <w:t>edziročnému rastu na úrovni 5,2 </w:t>
      </w:r>
      <w:r w:rsidRPr="000444EB">
        <w:rPr>
          <w:sz w:val="24"/>
          <w:szCs w:val="24"/>
        </w:rPr>
        <w:t>%. Najväčší nárast je pri dani z príjmov právnických osôb. Vyšší medziročný rast je aj z dôvodu zaradenia príjmov z</w:t>
      </w:r>
      <w:r w:rsidR="00766E41">
        <w:rPr>
          <w:sz w:val="24"/>
          <w:szCs w:val="24"/>
        </w:rPr>
        <w:t> </w:t>
      </w:r>
      <w:r w:rsidRPr="000444EB">
        <w:rPr>
          <w:sz w:val="24"/>
          <w:szCs w:val="24"/>
        </w:rPr>
        <w:t>osobitného odvodu z podnikania v regulovaných odvetviach do príjmov štátneho rozpočtu</w:t>
      </w:r>
      <w:r w:rsidR="00D66760">
        <w:rPr>
          <w:sz w:val="24"/>
          <w:szCs w:val="24"/>
        </w:rPr>
        <w:t>.</w:t>
      </w:r>
    </w:p>
    <w:p w14:paraId="077639F5" w14:textId="72FFCE98" w:rsidR="004D69BF" w:rsidRDefault="004D69BF" w:rsidP="004D69BF">
      <w:pPr>
        <w:spacing w:line="240" w:lineRule="auto"/>
        <w:rPr>
          <w:sz w:val="24"/>
          <w:szCs w:val="24"/>
        </w:rPr>
      </w:pPr>
      <w:r>
        <w:rPr>
          <w:sz w:val="24"/>
          <w:szCs w:val="24"/>
        </w:rPr>
        <w:t>Legislatívne zmeny, ktoré neboli zapracované do návrhu rozpočtu verejnej správy (uvedené v kapitole 2) sa týkali daňových a odvodových príjmov iných zložiek verejnej správy ako je štátny rozpočet. V porovnaní s rokom 2023 tak daňové príjmy ŠR neboli priamo ovplyvnené legislatívou prijatou v NR SR po zostavení návrhu rozpočtu verejnej správy na</w:t>
      </w:r>
      <w:r w:rsidR="0070263C">
        <w:rPr>
          <w:sz w:val="24"/>
          <w:szCs w:val="24"/>
        </w:rPr>
        <w:t> </w:t>
      </w:r>
      <w:r>
        <w:rPr>
          <w:sz w:val="24"/>
          <w:szCs w:val="24"/>
        </w:rPr>
        <w:t>roky 2024</w:t>
      </w:r>
      <w:r w:rsidR="00D66760">
        <w:rPr>
          <w:sz w:val="24"/>
          <w:szCs w:val="24"/>
        </w:rPr>
        <w:t> </w:t>
      </w:r>
      <w:r>
        <w:rPr>
          <w:sz w:val="24"/>
          <w:szCs w:val="24"/>
        </w:rPr>
        <w:t>-</w:t>
      </w:r>
      <w:r w:rsidR="00D66760">
        <w:rPr>
          <w:sz w:val="24"/>
          <w:szCs w:val="24"/>
        </w:rPr>
        <w:t> </w:t>
      </w:r>
      <w:r>
        <w:rPr>
          <w:sz w:val="24"/>
          <w:szCs w:val="24"/>
        </w:rPr>
        <w:t>2026.</w:t>
      </w:r>
    </w:p>
    <w:p w14:paraId="5D9A19DC" w14:textId="51793200" w:rsidR="004D69BF" w:rsidRPr="00970162" w:rsidRDefault="004D69BF" w:rsidP="004D69BF">
      <w:pPr>
        <w:spacing w:line="240" w:lineRule="auto"/>
        <w:rPr>
          <w:sz w:val="24"/>
          <w:szCs w:val="24"/>
        </w:rPr>
      </w:pPr>
      <w:r w:rsidRPr="0084585B">
        <w:rPr>
          <w:sz w:val="24"/>
          <w:szCs w:val="24"/>
        </w:rPr>
        <w:t>Tak ako v predchádzajúcich rokoch najvyšší podie</w:t>
      </w:r>
      <w:r w:rsidR="00D66760">
        <w:rPr>
          <w:sz w:val="24"/>
          <w:szCs w:val="24"/>
        </w:rPr>
        <w:t>l z daňových príjmov pripadá na </w:t>
      </w:r>
      <w:r w:rsidRPr="0084585B">
        <w:rPr>
          <w:sz w:val="24"/>
          <w:szCs w:val="24"/>
        </w:rPr>
        <w:t>dane za</w:t>
      </w:r>
      <w:r w:rsidR="00D66760">
        <w:rPr>
          <w:sz w:val="24"/>
          <w:szCs w:val="24"/>
        </w:rPr>
        <w:t> </w:t>
      </w:r>
      <w:r w:rsidRPr="0084585B">
        <w:rPr>
          <w:sz w:val="24"/>
          <w:szCs w:val="24"/>
        </w:rPr>
        <w:t>tovary a služby (</w:t>
      </w:r>
      <w:r>
        <w:rPr>
          <w:sz w:val="24"/>
          <w:szCs w:val="24"/>
        </w:rPr>
        <w:t>69,57 </w:t>
      </w:r>
      <w:r w:rsidRPr="0084585B">
        <w:rPr>
          <w:sz w:val="24"/>
          <w:szCs w:val="24"/>
        </w:rPr>
        <w:t xml:space="preserve">%) a na dane z príjmov a kapitálového majetku </w:t>
      </w:r>
      <w:r w:rsidRPr="00970162">
        <w:rPr>
          <w:sz w:val="24"/>
          <w:szCs w:val="24"/>
        </w:rPr>
        <w:t>(2</w:t>
      </w:r>
      <w:r>
        <w:rPr>
          <w:sz w:val="24"/>
          <w:szCs w:val="24"/>
        </w:rPr>
        <w:t>6,92</w:t>
      </w:r>
      <w:r w:rsidRPr="00970162">
        <w:rPr>
          <w:sz w:val="24"/>
          <w:szCs w:val="24"/>
        </w:rPr>
        <w:t> %).</w:t>
      </w:r>
    </w:p>
    <w:p w14:paraId="7BDEED0D" w14:textId="504A6A59" w:rsidR="004D69BF" w:rsidRDefault="004D69BF" w:rsidP="004D69BF">
      <w:pPr>
        <w:spacing w:line="240" w:lineRule="auto"/>
        <w:rPr>
          <w:sz w:val="24"/>
          <w:szCs w:val="24"/>
        </w:rPr>
      </w:pPr>
      <w:r w:rsidRPr="00BE3798">
        <w:rPr>
          <w:b/>
          <w:bCs/>
          <w:sz w:val="24"/>
          <w:szCs w:val="24"/>
        </w:rPr>
        <w:t>Dane za tovary a služby</w:t>
      </w:r>
      <w:r w:rsidRPr="00BE3798">
        <w:rPr>
          <w:sz w:val="24"/>
          <w:szCs w:val="24"/>
        </w:rPr>
        <w:t xml:space="preserve"> majú na celkových daňových príjmoch najvyšší podiel. Rozpočtovali sa v sume 12</w:t>
      </w:r>
      <w:r w:rsidR="00D66760">
        <w:rPr>
          <w:sz w:val="24"/>
          <w:szCs w:val="24"/>
        </w:rPr>
        <w:t> </w:t>
      </w:r>
      <w:r w:rsidRPr="00BE3798">
        <w:rPr>
          <w:sz w:val="24"/>
          <w:szCs w:val="24"/>
        </w:rPr>
        <w:t>851</w:t>
      </w:r>
      <w:r w:rsidR="00D66760">
        <w:rPr>
          <w:sz w:val="24"/>
          <w:szCs w:val="24"/>
        </w:rPr>
        <w:t> 474 </w:t>
      </w:r>
      <w:r w:rsidRPr="00BE3798">
        <w:rPr>
          <w:sz w:val="24"/>
          <w:szCs w:val="24"/>
        </w:rPr>
        <w:t>tis.</w:t>
      </w:r>
      <w:r w:rsidR="00D66760">
        <w:rPr>
          <w:sz w:val="24"/>
          <w:szCs w:val="24"/>
        </w:rPr>
        <w:t> eur. Skutočný výnos v sume 12 768 440 </w:t>
      </w:r>
      <w:r w:rsidRPr="00BE3798">
        <w:rPr>
          <w:sz w:val="24"/>
          <w:szCs w:val="24"/>
        </w:rPr>
        <w:t>tis.</w:t>
      </w:r>
      <w:r w:rsidR="00D66760">
        <w:rPr>
          <w:sz w:val="24"/>
          <w:szCs w:val="24"/>
        </w:rPr>
        <w:t> </w:t>
      </w:r>
      <w:r w:rsidRPr="00BE3798">
        <w:rPr>
          <w:sz w:val="24"/>
          <w:szCs w:val="24"/>
        </w:rPr>
        <w:t xml:space="preserve">eur je </w:t>
      </w:r>
      <w:r w:rsidRPr="00BE3798">
        <w:rPr>
          <w:sz w:val="24"/>
          <w:szCs w:val="24"/>
        </w:rPr>
        <w:lastRenderedPageBreak/>
        <w:t>oproti rozpočtu nižší o</w:t>
      </w:r>
      <w:r w:rsidR="00D66760">
        <w:rPr>
          <w:sz w:val="24"/>
          <w:szCs w:val="24"/>
        </w:rPr>
        <w:t> </w:t>
      </w:r>
      <w:r w:rsidRPr="00BE3798">
        <w:rPr>
          <w:sz w:val="24"/>
          <w:szCs w:val="24"/>
        </w:rPr>
        <w:t>83</w:t>
      </w:r>
      <w:r w:rsidR="00D66760">
        <w:rPr>
          <w:sz w:val="24"/>
          <w:szCs w:val="24"/>
        </w:rPr>
        <w:t> </w:t>
      </w:r>
      <w:r w:rsidRPr="00BE3798">
        <w:rPr>
          <w:sz w:val="24"/>
          <w:szCs w:val="24"/>
        </w:rPr>
        <w:t>034</w:t>
      </w:r>
      <w:r w:rsidR="00D66760">
        <w:rPr>
          <w:sz w:val="24"/>
          <w:szCs w:val="24"/>
        </w:rPr>
        <w:t> </w:t>
      </w:r>
      <w:r w:rsidRPr="00BE3798">
        <w:rPr>
          <w:sz w:val="24"/>
          <w:szCs w:val="24"/>
        </w:rPr>
        <w:t>tis.</w:t>
      </w:r>
      <w:r w:rsidR="00D66760">
        <w:rPr>
          <w:sz w:val="24"/>
          <w:szCs w:val="24"/>
        </w:rPr>
        <w:t> </w:t>
      </w:r>
      <w:r w:rsidRPr="00BE3798">
        <w:rPr>
          <w:sz w:val="24"/>
          <w:szCs w:val="24"/>
        </w:rPr>
        <w:t>eur, čo preds</w:t>
      </w:r>
      <w:r w:rsidR="000F7ABA">
        <w:rPr>
          <w:sz w:val="24"/>
          <w:szCs w:val="24"/>
        </w:rPr>
        <w:t>tavuje plnenie rozpočtu na </w:t>
      </w:r>
      <w:r w:rsidR="00D66760">
        <w:rPr>
          <w:sz w:val="24"/>
          <w:szCs w:val="24"/>
        </w:rPr>
        <w:t>99,4 </w:t>
      </w:r>
      <w:r w:rsidRPr="00BE3798">
        <w:rPr>
          <w:sz w:val="24"/>
          <w:szCs w:val="24"/>
        </w:rPr>
        <w:t>%.</w:t>
      </w:r>
      <w:r w:rsidR="0070263C">
        <w:rPr>
          <w:sz w:val="24"/>
          <w:szCs w:val="24"/>
        </w:rPr>
        <w:t xml:space="preserve"> </w:t>
      </w:r>
      <w:r w:rsidRPr="00BE3798">
        <w:rPr>
          <w:sz w:val="24"/>
          <w:szCs w:val="24"/>
        </w:rPr>
        <w:t>V</w:t>
      </w:r>
      <w:r w:rsidR="0070263C">
        <w:rPr>
          <w:sz w:val="24"/>
          <w:szCs w:val="24"/>
        </w:rPr>
        <w:t> </w:t>
      </w:r>
      <w:r w:rsidRPr="00BE3798">
        <w:rPr>
          <w:sz w:val="24"/>
          <w:szCs w:val="24"/>
        </w:rPr>
        <w:t xml:space="preserve">porovnaní s </w:t>
      </w:r>
      <w:r w:rsidR="00D66760">
        <w:rPr>
          <w:sz w:val="24"/>
          <w:szCs w:val="24"/>
        </w:rPr>
        <w:t>rokom 2023 je výnos vyšší o 318 </w:t>
      </w:r>
      <w:r w:rsidRPr="00BE3798">
        <w:rPr>
          <w:sz w:val="24"/>
          <w:szCs w:val="24"/>
        </w:rPr>
        <w:t>226</w:t>
      </w:r>
      <w:r w:rsidR="00D66760">
        <w:rPr>
          <w:sz w:val="24"/>
          <w:szCs w:val="24"/>
        </w:rPr>
        <w:t> </w:t>
      </w:r>
      <w:r w:rsidRPr="00BE3798">
        <w:rPr>
          <w:sz w:val="24"/>
          <w:szCs w:val="24"/>
        </w:rPr>
        <w:t>tis.</w:t>
      </w:r>
      <w:r w:rsidR="00D66760">
        <w:rPr>
          <w:sz w:val="24"/>
          <w:szCs w:val="24"/>
        </w:rPr>
        <w:t> </w:t>
      </w:r>
      <w:r w:rsidRPr="00BE3798">
        <w:rPr>
          <w:sz w:val="24"/>
          <w:szCs w:val="24"/>
        </w:rPr>
        <w:t>eur (nárast o 2,6</w:t>
      </w:r>
      <w:r w:rsidR="00D66760">
        <w:rPr>
          <w:sz w:val="24"/>
          <w:szCs w:val="24"/>
        </w:rPr>
        <w:t> </w:t>
      </w:r>
      <w:r w:rsidRPr="00BE3798">
        <w:rPr>
          <w:sz w:val="24"/>
          <w:szCs w:val="24"/>
        </w:rPr>
        <w:t>%).</w:t>
      </w:r>
    </w:p>
    <w:p w14:paraId="32390DA6" w14:textId="1184324A" w:rsidR="004D69BF" w:rsidRDefault="004D69BF" w:rsidP="004D69BF">
      <w:pPr>
        <w:spacing w:line="240" w:lineRule="auto"/>
        <w:rPr>
          <w:sz w:val="24"/>
          <w:szCs w:val="24"/>
        </w:rPr>
      </w:pPr>
      <w:r w:rsidRPr="00BE3798">
        <w:rPr>
          <w:b/>
          <w:bCs/>
          <w:sz w:val="24"/>
          <w:szCs w:val="24"/>
        </w:rPr>
        <w:t>Daň z pridanej hodnoty</w:t>
      </w:r>
      <w:r w:rsidRPr="00BE3798">
        <w:rPr>
          <w:sz w:val="24"/>
          <w:szCs w:val="24"/>
        </w:rPr>
        <w:t xml:space="preserve"> bola rozpočtovaná v sume 9</w:t>
      </w:r>
      <w:r w:rsidR="00D66760">
        <w:rPr>
          <w:sz w:val="24"/>
          <w:szCs w:val="24"/>
        </w:rPr>
        <w:t> </w:t>
      </w:r>
      <w:r w:rsidRPr="00BE3798">
        <w:rPr>
          <w:sz w:val="24"/>
          <w:szCs w:val="24"/>
        </w:rPr>
        <w:t>827</w:t>
      </w:r>
      <w:r w:rsidR="00D66760">
        <w:rPr>
          <w:sz w:val="24"/>
          <w:szCs w:val="24"/>
        </w:rPr>
        <w:t> 000 </w:t>
      </w:r>
      <w:r w:rsidRPr="00BE3798">
        <w:rPr>
          <w:sz w:val="24"/>
          <w:szCs w:val="24"/>
        </w:rPr>
        <w:t>tis.</w:t>
      </w:r>
      <w:r w:rsidR="00D66760">
        <w:rPr>
          <w:sz w:val="24"/>
          <w:szCs w:val="24"/>
        </w:rPr>
        <w:t> </w:t>
      </w:r>
      <w:r w:rsidRPr="00BE3798">
        <w:rPr>
          <w:sz w:val="24"/>
          <w:szCs w:val="24"/>
        </w:rPr>
        <w:t>eur. Skutočný výnos v</w:t>
      </w:r>
      <w:r w:rsidR="00D66760">
        <w:rPr>
          <w:sz w:val="24"/>
          <w:szCs w:val="24"/>
        </w:rPr>
        <w:t> sume 9 815 </w:t>
      </w:r>
      <w:r w:rsidRPr="00BE3798">
        <w:rPr>
          <w:sz w:val="24"/>
          <w:szCs w:val="24"/>
        </w:rPr>
        <w:t>372</w:t>
      </w:r>
      <w:r w:rsidR="00D66760">
        <w:rPr>
          <w:sz w:val="24"/>
          <w:szCs w:val="24"/>
        </w:rPr>
        <w:t> </w:t>
      </w:r>
      <w:r w:rsidRPr="00BE3798">
        <w:rPr>
          <w:sz w:val="24"/>
          <w:szCs w:val="24"/>
        </w:rPr>
        <w:t>tis.</w:t>
      </w:r>
      <w:r w:rsidR="00D66760">
        <w:rPr>
          <w:sz w:val="24"/>
          <w:szCs w:val="24"/>
        </w:rPr>
        <w:t> </w:t>
      </w:r>
      <w:r w:rsidRPr="00BE3798">
        <w:rPr>
          <w:sz w:val="24"/>
          <w:szCs w:val="24"/>
        </w:rPr>
        <w:t>eur predstavuje plnenie rozpočtu na úrovni 99,9</w:t>
      </w:r>
      <w:r w:rsidR="00D66760">
        <w:rPr>
          <w:sz w:val="24"/>
          <w:szCs w:val="24"/>
        </w:rPr>
        <w:t> </w:t>
      </w:r>
      <w:r w:rsidRPr="00BE3798">
        <w:rPr>
          <w:sz w:val="24"/>
          <w:szCs w:val="24"/>
        </w:rPr>
        <w:t xml:space="preserve">%. </w:t>
      </w:r>
      <w:r w:rsidRPr="00CF6307">
        <w:rPr>
          <w:sz w:val="24"/>
          <w:szCs w:val="24"/>
        </w:rPr>
        <w:t xml:space="preserve">Výnos najvýraznejšie ovplyvnil pozitívny príspevok </w:t>
      </w:r>
      <w:r>
        <w:rPr>
          <w:sz w:val="24"/>
          <w:szCs w:val="24"/>
        </w:rPr>
        <w:t>efektívnej daňovej sadzby. Ne</w:t>
      </w:r>
      <w:r w:rsidRPr="00CF6307">
        <w:rPr>
          <w:sz w:val="24"/>
          <w:szCs w:val="24"/>
        </w:rPr>
        <w:t xml:space="preserve">gatívne </w:t>
      </w:r>
      <w:r>
        <w:rPr>
          <w:sz w:val="24"/>
          <w:szCs w:val="24"/>
        </w:rPr>
        <w:t>vplývalo</w:t>
      </w:r>
      <w:r w:rsidRPr="00CF6307">
        <w:rPr>
          <w:sz w:val="24"/>
          <w:szCs w:val="24"/>
        </w:rPr>
        <w:t xml:space="preserve"> predovšetkým slabšie než očakávané čerpanie prostriedkov z Plánu obnovy a odolnosti.</w:t>
      </w:r>
    </w:p>
    <w:p w14:paraId="51CD71F2" w14:textId="28A999EA" w:rsidR="004D69BF" w:rsidRDefault="004D69BF" w:rsidP="004D69BF">
      <w:pPr>
        <w:spacing w:line="240" w:lineRule="auto"/>
        <w:rPr>
          <w:sz w:val="24"/>
          <w:szCs w:val="24"/>
          <w:highlight w:val="yellow"/>
        </w:rPr>
      </w:pPr>
      <w:r w:rsidRPr="00BE3798">
        <w:rPr>
          <w:b/>
          <w:bCs/>
          <w:sz w:val="24"/>
          <w:szCs w:val="24"/>
        </w:rPr>
        <w:t>Spotrebné dane</w:t>
      </w:r>
      <w:r w:rsidRPr="00BE3798">
        <w:rPr>
          <w:sz w:val="24"/>
          <w:szCs w:val="24"/>
        </w:rPr>
        <w:t xml:space="preserve"> boli rozpočtované v sume 2</w:t>
      </w:r>
      <w:r w:rsidR="00D66760">
        <w:rPr>
          <w:sz w:val="24"/>
          <w:szCs w:val="24"/>
        </w:rPr>
        <w:t> </w:t>
      </w:r>
      <w:r w:rsidRPr="00BE3798">
        <w:rPr>
          <w:sz w:val="24"/>
          <w:szCs w:val="24"/>
        </w:rPr>
        <w:t>778</w:t>
      </w:r>
      <w:r w:rsidR="00D66760">
        <w:rPr>
          <w:sz w:val="24"/>
          <w:szCs w:val="24"/>
        </w:rPr>
        <w:t> 568 </w:t>
      </w:r>
      <w:r w:rsidRPr="00BE3798">
        <w:rPr>
          <w:sz w:val="24"/>
          <w:szCs w:val="24"/>
        </w:rPr>
        <w:t>ti</w:t>
      </w:r>
      <w:r w:rsidR="00D66760">
        <w:rPr>
          <w:sz w:val="24"/>
          <w:szCs w:val="24"/>
        </w:rPr>
        <w:t>s. eur. Skutočný výnos bol o 77 </w:t>
      </w:r>
      <w:r w:rsidRPr="00BE3798">
        <w:rPr>
          <w:sz w:val="24"/>
          <w:szCs w:val="24"/>
        </w:rPr>
        <w:t>403</w:t>
      </w:r>
      <w:r w:rsidR="00D66760">
        <w:rPr>
          <w:sz w:val="24"/>
          <w:szCs w:val="24"/>
        </w:rPr>
        <w:t> </w:t>
      </w:r>
      <w:r w:rsidRPr="00BE3798">
        <w:rPr>
          <w:sz w:val="24"/>
          <w:szCs w:val="24"/>
        </w:rPr>
        <w:t>tis.</w:t>
      </w:r>
      <w:r w:rsidR="00D66760">
        <w:rPr>
          <w:sz w:val="24"/>
          <w:szCs w:val="24"/>
        </w:rPr>
        <w:t> </w:t>
      </w:r>
      <w:r w:rsidRPr="00BE3798">
        <w:rPr>
          <w:sz w:val="24"/>
          <w:szCs w:val="24"/>
        </w:rPr>
        <w:t>eur nižší a dosiahol sumu 2</w:t>
      </w:r>
      <w:r w:rsidR="00D66760">
        <w:rPr>
          <w:sz w:val="24"/>
          <w:szCs w:val="24"/>
        </w:rPr>
        <w:t> </w:t>
      </w:r>
      <w:r w:rsidRPr="00BE3798">
        <w:rPr>
          <w:sz w:val="24"/>
          <w:szCs w:val="24"/>
        </w:rPr>
        <w:t>701</w:t>
      </w:r>
      <w:r w:rsidR="00D66760">
        <w:rPr>
          <w:sz w:val="24"/>
          <w:szCs w:val="24"/>
        </w:rPr>
        <w:t> 165 tis. </w:t>
      </w:r>
      <w:r w:rsidRPr="00BE3798">
        <w:rPr>
          <w:sz w:val="24"/>
          <w:szCs w:val="24"/>
        </w:rPr>
        <w:t>eur. Medz</w:t>
      </w:r>
      <w:r w:rsidR="00D66760">
        <w:rPr>
          <w:sz w:val="24"/>
          <w:szCs w:val="24"/>
        </w:rPr>
        <w:t>iročne výnos vzrástol o 136 087 </w:t>
      </w:r>
      <w:r w:rsidRPr="00BE3798">
        <w:rPr>
          <w:sz w:val="24"/>
          <w:szCs w:val="24"/>
        </w:rPr>
        <w:t>tis.</w:t>
      </w:r>
      <w:r w:rsidR="00D66760">
        <w:rPr>
          <w:sz w:val="24"/>
          <w:szCs w:val="24"/>
        </w:rPr>
        <w:t> </w:t>
      </w:r>
      <w:r w:rsidRPr="00BE3798">
        <w:rPr>
          <w:sz w:val="24"/>
          <w:szCs w:val="24"/>
        </w:rPr>
        <w:t>eur</w:t>
      </w:r>
      <w:r w:rsidR="00D66760">
        <w:rPr>
          <w:sz w:val="24"/>
          <w:szCs w:val="24"/>
        </w:rPr>
        <w:t xml:space="preserve"> (5,3 </w:t>
      </w:r>
      <w:r w:rsidRPr="00BE3798">
        <w:rPr>
          <w:sz w:val="24"/>
          <w:szCs w:val="24"/>
        </w:rPr>
        <w:t xml:space="preserve">%). </w:t>
      </w:r>
      <w:r w:rsidRPr="00CF6307">
        <w:rPr>
          <w:sz w:val="24"/>
          <w:szCs w:val="24"/>
        </w:rPr>
        <w:t xml:space="preserve">Rozpočtované výnosy sa nenaplnili </w:t>
      </w:r>
      <w:r w:rsidR="00D66760">
        <w:rPr>
          <w:sz w:val="24"/>
          <w:szCs w:val="24"/>
        </w:rPr>
        <w:t>najmä pri spotrebných daniach z </w:t>
      </w:r>
      <w:r w:rsidRPr="00CF6307">
        <w:rPr>
          <w:sz w:val="24"/>
          <w:szCs w:val="24"/>
        </w:rPr>
        <w:t xml:space="preserve">liehu a z tabakových výrobkov. Na všetky spotrebné dane negatívne vplýval </w:t>
      </w:r>
      <w:r>
        <w:rPr>
          <w:sz w:val="24"/>
          <w:szCs w:val="24"/>
        </w:rPr>
        <w:t xml:space="preserve">mierne </w:t>
      </w:r>
      <w:r w:rsidRPr="00CF6307">
        <w:rPr>
          <w:sz w:val="24"/>
          <w:szCs w:val="24"/>
        </w:rPr>
        <w:t>horší vývoj reálnej ekonomiky ako boli predpoklady v čase zostavovania rozpočtu. Výnos spotrebnej dane z</w:t>
      </w:r>
      <w:r w:rsidR="00D66760">
        <w:rPr>
          <w:sz w:val="24"/>
          <w:szCs w:val="24"/>
        </w:rPr>
        <w:t> </w:t>
      </w:r>
      <w:r w:rsidRPr="00CF6307">
        <w:rPr>
          <w:sz w:val="24"/>
          <w:szCs w:val="24"/>
        </w:rPr>
        <w:t>liehu bol okrem toho nižší aj z dôvodu nižšieho vplyvu legislatívnych zvýšení sadzieb v</w:t>
      </w:r>
      <w:r w:rsidR="00D66760">
        <w:rPr>
          <w:sz w:val="24"/>
          <w:szCs w:val="24"/>
        </w:rPr>
        <w:t> </w:t>
      </w:r>
      <w:r w:rsidRPr="00CF6307">
        <w:rPr>
          <w:sz w:val="24"/>
          <w:szCs w:val="24"/>
        </w:rPr>
        <w:t>roku 2023 aj 2024. Pri tvorbe rozpočtu sa nepočítalo ani s predzásobením, ktoré sa udialo na</w:t>
      </w:r>
      <w:r w:rsidR="00D66760">
        <w:rPr>
          <w:sz w:val="24"/>
          <w:szCs w:val="24"/>
        </w:rPr>
        <w:t> </w:t>
      </w:r>
      <w:r w:rsidRPr="00CF6307">
        <w:rPr>
          <w:sz w:val="24"/>
          <w:szCs w:val="24"/>
        </w:rPr>
        <w:t>konci roka 2023 a ktoré tiež negatívne ovplyvnilo výnos v rok</w:t>
      </w:r>
      <w:r w:rsidR="00D66760">
        <w:rPr>
          <w:sz w:val="24"/>
          <w:szCs w:val="24"/>
        </w:rPr>
        <w:t>u 2024. Výnos spotrebnej dane z </w:t>
      </w:r>
      <w:r w:rsidRPr="00CF6307">
        <w:rPr>
          <w:sz w:val="24"/>
          <w:szCs w:val="24"/>
        </w:rPr>
        <w:t xml:space="preserve">tabakových výrobkov bol negatívne ovplyvnený </w:t>
      </w:r>
      <w:r>
        <w:rPr>
          <w:sz w:val="24"/>
          <w:szCs w:val="24"/>
        </w:rPr>
        <w:t xml:space="preserve">nižším než rozpočtovaným legislatívnym vplyvom zvýšenia sadzieb, </w:t>
      </w:r>
      <w:r w:rsidRPr="00CF6307">
        <w:rPr>
          <w:sz w:val="24"/>
          <w:szCs w:val="24"/>
        </w:rPr>
        <w:t>nižšou</w:t>
      </w:r>
      <w:r w:rsidR="00766E41">
        <w:rPr>
          <w:sz w:val="24"/>
          <w:szCs w:val="24"/>
        </w:rPr>
        <w:t xml:space="preserve"> reálnou spotrebou domácností a </w:t>
      </w:r>
      <w:r w:rsidRPr="00CF6307">
        <w:rPr>
          <w:sz w:val="24"/>
          <w:szCs w:val="24"/>
        </w:rPr>
        <w:t>nižším výnosom v decembri. Ten bol spôsobený zvýšením sadzby DPH od januára 2025, keď sa do</w:t>
      </w:r>
      <w:r w:rsidR="0070263C">
        <w:rPr>
          <w:sz w:val="24"/>
          <w:szCs w:val="24"/>
        </w:rPr>
        <w:t> </w:t>
      </w:r>
      <w:r w:rsidRPr="00CF6307">
        <w:rPr>
          <w:sz w:val="24"/>
          <w:szCs w:val="24"/>
        </w:rPr>
        <w:t>daňového voľného obehu v novembri (hotovostný výnos za december) dostalo menej cigariet a následne už v</w:t>
      </w:r>
      <w:r w:rsidR="00D66760">
        <w:rPr>
          <w:sz w:val="24"/>
          <w:szCs w:val="24"/>
        </w:rPr>
        <w:t> </w:t>
      </w:r>
      <w:r w:rsidRPr="00CF6307">
        <w:rPr>
          <w:sz w:val="24"/>
          <w:szCs w:val="24"/>
        </w:rPr>
        <w:t>ďalšom mesiaci viac cigariet za vyššiu cenu.</w:t>
      </w:r>
    </w:p>
    <w:p w14:paraId="5199262F" w14:textId="0ECFA85E" w:rsidR="004D69BF" w:rsidRPr="00BE3798" w:rsidRDefault="004D69BF" w:rsidP="004D69BF">
      <w:pPr>
        <w:spacing w:line="240" w:lineRule="auto"/>
        <w:rPr>
          <w:sz w:val="24"/>
          <w:szCs w:val="24"/>
        </w:rPr>
      </w:pPr>
      <w:r w:rsidRPr="00BE3798">
        <w:rPr>
          <w:b/>
          <w:sz w:val="24"/>
          <w:szCs w:val="24"/>
        </w:rPr>
        <w:t>Dane z používania tovarov a z povolenia na výkon činnosti</w:t>
      </w:r>
      <w:r w:rsidRPr="00BE3798">
        <w:rPr>
          <w:sz w:val="24"/>
          <w:szCs w:val="24"/>
        </w:rPr>
        <w:t xml:space="preserve"> boli rozpočtované vo</w:t>
      </w:r>
      <w:r w:rsidR="00D66760">
        <w:rPr>
          <w:sz w:val="24"/>
          <w:szCs w:val="24"/>
        </w:rPr>
        <w:t> výške 138 935 </w:t>
      </w:r>
      <w:r w:rsidRPr="00BE3798">
        <w:rPr>
          <w:sz w:val="24"/>
          <w:szCs w:val="24"/>
        </w:rPr>
        <w:t>tis.</w:t>
      </w:r>
      <w:r w:rsidR="00D66760">
        <w:rPr>
          <w:sz w:val="24"/>
          <w:szCs w:val="24"/>
        </w:rPr>
        <w:t> </w:t>
      </w:r>
      <w:r w:rsidRPr="00BE3798">
        <w:rPr>
          <w:sz w:val="24"/>
          <w:szCs w:val="24"/>
        </w:rPr>
        <w:t>eur. V skutočnosti dosiahli výnos 141</w:t>
      </w:r>
      <w:r w:rsidR="00D66760">
        <w:rPr>
          <w:sz w:val="24"/>
          <w:szCs w:val="24"/>
        </w:rPr>
        <w:t> </w:t>
      </w:r>
      <w:r>
        <w:rPr>
          <w:sz w:val="24"/>
          <w:szCs w:val="24"/>
        </w:rPr>
        <w:t>4</w:t>
      </w:r>
      <w:r w:rsidRPr="00BE3798">
        <w:rPr>
          <w:sz w:val="24"/>
          <w:szCs w:val="24"/>
        </w:rPr>
        <w:t>26</w:t>
      </w:r>
      <w:r w:rsidR="00D66760">
        <w:rPr>
          <w:sz w:val="24"/>
          <w:szCs w:val="24"/>
        </w:rPr>
        <w:t> </w:t>
      </w:r>
      <w:r w:rsidRPr="00BE3798">
        <w:rPr>
          <w:sz w:val="24"/>
          <w:szCs w:val="24"/>
        </w:rPr>
        <w:t>tis.</w:t>
      </w:r>
      <w:r w:rsidR="00D66760">
        <w:rPr>
          <w:sz w:val="24"/>
          <w:szCs w:val="24"/>
        </w:rPr>
        <w:t> </w:t>
      </w:r>
      <w:r w:rsidRPr="00BE3798">
        <w:rPr>
          <w:sz w:val="24"/>
          <w:szCs w:val="24"/>
        </w:rPr>
        <w:t>eur. Najväčšiu časť týchto daní tvorí daň z motorových vozidiel, ktorá b</w:t>
      </w:r>
      <w:r w:rsidR="00D66760">
        <w:rPr>
          <w:sz w:val="24"/>
          <w:szCs w:val="24"/>
        </w:rPr>
        <w:t>ola rozpočtovaná v sume 138 853 </w:t>
      </w:r>
      <w:r w:rsidRPr="00BE3798">
        <w:rPr>
          <w:sz w:val="24"/>
          <w:szCs w:val="24"/>
        </w:rPr>
        <w:t>tis.</w:t>
      </w:r>
      <w:r w:rsidR="00D66760">
        <w:rPr>
          <w:sz w:val="24"/>
          <w:szCs w:val="24"/>
        </w:rPr>
        <w:t> </w:t>
      </w:r>
      <w:r w:rsidRPr="00BE3798">
        <w:rPr>
          <w:sz w:val="24"/>
          <w:szCs w:val="24"/>
        </w:rPr>
        <w:t>e</w:t>
      </w:r>
      <w:r w:rsidR="00D66760">
        <w:rPr>
          <w:sz w:val="24"/>
          <w:szCs w:val="24"/>
        </w:rPr>
        <w:t>ur a skutočný výnos bol 141 344 tis. </w:t>
      </w:r>
      <w:r w:rsidRPr="00BE3798">
        <w:rPr>
          <w:sz w:val="24"/>
          <w:szCs w:val="24"/>
        </w:rPr>
        <w:t>eur.</w:t>
      </w:r>
      <w:r>
        <w:rPr>
          <w:sz w:val="24"/>
          <w:szCs w:val="24"/>
        </w:rPr>
        <w:t xml:space="preserve"> </w:t>
      </w:r>
      <w:r w:rsidRPr="00BE3798">
        <w:rPr>
          <w:sz w:val="24"/>
          <w:szCs w:val="24"/>
        </w:rPr>
        <w:t>Súčasťou týchto daní je aj daň z úhrad za dobývací priestor (82</w:t>
      </w:r>
      <w:r w:rsidR="00D66760">
        <w:rPr>
          <w:sz w:val="24"/>
          <w:szCs w:val="24"/>
        </w:rPr>
        <w:t> </w:t>
      </w:r>
      <w:r w:rsidRPr="00BE3798">
        <w:rPr>
          <w:sz w:val="24"/>
          <w:szCs w:val="24"/>
        </w:rPr>
        <w:t>tis.</w:t>
      </w:r>
      <w:r w:rsidR="00D66760">
        <w:rPr>
          <w:sz w:val="24"/>
          <w:szCs w:val="24"/>
        </w:rPr>
        <w:t> </w:t>
      </w:r>
      <w:r w:rsidRPr="00BE3798">
        <w:rPr>
          <w:sz w:val="24"/>
          <w:szCs w:val="24"/>
        </w:rPr>
        <w:t>eur).</w:t>
      </w:r>
    </w:p>
    <w:p w14:paraId="7B5AA7AC" w14:textId="37863FD3" w:rsidR="004D69BF" w:rsidRPr="00C315AE" w:rsidRDefault="004D69BF" w:rsidP="004D69BF">
      <w:pPr>
        <w:spacing w:line="240" w:lineRule="auto"/>
        <w:rPr>
          <w:sz w:val="24"/>
          <w:szCs w:val="24"/>
          <w:highlight w:val="yellow"/>
        </w:rPr>
      </w:pPr>
      <w:r w:rsidRPr="00BE3798">
        <w:rPr>
          <w:b/>
          <w:sz w:val="24"/>
          <w:szCs w:val="24"/>
        </w:rPr>
        <w:t>Iné dane za tovary a služby</w:t>
      </w:r>
      <w:r w:rsidRPr="00BE3798">
        <w:rPr>
          <w:sz w:val="24"/>
          <w:szCs w:val="24"/>
        </w:rPr>
        <w:t xml:space="preserve"> tvoria výnos dane z poistenia a výnos z odvodu č</w:t>
      </w:r>
      <w:r w:rsidR="00D66760">
        <w:rPr>
          <w:sz w:val="24"/>
          <w:szCs w:val="24"/>
        </w:rPr>
        <w:t>asti poistného z </w:t>
      </w:r>
      <w:r w:rsidRPr="00BE3798">
        <w:rPr>
          <w:sz w:val="24"/>
          <w:szCs w:val="24"/>
        </w:rPr>
        <w:t>odvetví neživotného poistenia. Daň z poistenia bol</w:t>
      </w:r>
      <w:r w:rsidR="00D66760">
        <w:rPr>
          <w:sz w:val="24"/>
          <w:szCs w:val="24"/>
        </w:rPr>
        <w:t>a rozpočtovaná v objeme 106 971 </w:t>
      </w:r>
      <w:r w:rsidRPr="00BE3798">
        <w:rPr>
          <w:sz w:val="24"/>
          <w:szCs w:val="24"/>
        </w:rPr>
        <w:t>tis.</w:t>
      </w:r>
      <w:r w:rsidR="00D66760">
        <w:rPr>
          <w:sz w:val="24"/>
          <w:szCs w:val="24"/>
        </w:rPr>
        <w:t> </w:t>
      </w:r>
      <w:r w:rsidRPr="00BE3798">
        <w:rPr>
          <w:sz w:val="24"/>
          <w:szCs w:val="24"/>
        </w:rPr>
        <w:t>eur. Skutočný výnos dane bol 110</w:t>
      </w:r>
      <w:r w:rsidR="00D66760">
        <w:rPr>
          <w:sz w:val="24"/>
          <w:szCs w:val="24"/>
        </w:rPr>
        <w:t> </w:t>
      </w:r>
      <w:r>
        <w:rPr>
          <w:sz w:val="24"/>
          <w:szCs w:val="24"/>
        </w:rPr>
        <w:t>477</w:t>
      </w:r>
      <w:r w:rsidR="00D66760">
        <w:rPr>
          <w:sz w:val="24"/>
          <w:szCs w:val="24"/>
        </w:rPr>
        <w:t> </w:t>
      </w:r>
      <w:r w:rsidRPr="00BE3798">
        <w:rPr>
          <w:sz w:val="24"/>
          <w:szCs w:val="24"/>
        </w:rPr>
        <w:t>tis.</w:t>
      </w:r>
      <w:r w:rsidR="00D66760">
        <w:rPr>
          <w:sz w:val="24"/>
          <w:szCs w:val="24"/>
        </w:rPr>
        <w:t> </w:t>
      </w:r>
      <w:r w:rsidRPr="00BE3798">
        <w:rPr>
          <w:sz w:val="24"/>
          <w:szCs w:val="24"/>
        </w:rPr>
        <w:t>eur. Odvod časti poistného z neživotného poistenia bol k</w:t>
      </w:r>
      <w:r w:rsidR="00D66760">
        <w:rPr>
          <w:sz w:val="24"/>
          <w:szCs w:val="24"/>
        </w:rPr>
        <w:t> 31. </w:t>
      </w:r>
      <w:r w:rsidRPr="00BE3798">
        <w:rPr>
          <w:sz w:val="24"/>
          <w:szCs w:val="24"/>
        </w:rPr>
        <w:t>12.</w:t>
      </w:r>
      <w:r w:rsidR="00D66760">
        <w:rPr>
          <w:sz w:val="24"/>
          <w:szCs w:val="24"/>
        </w:rPr>
        <w:t> </w:t>
      </w:r>
      <w:r w:rsidRPr="00BE3798">
        <w:rPr>
          <w:sz w:val="24"/>
          <w:szCs w:val="24"/>
        </w:rPr>
        <w:t>2018 zrušený</w:t>
      </w:r>
      <w:r>
        <w:rPr>
          <w:rStyle w:val="Odkaznapoznmkupodiarou"/>
          <w:sz w:val="24"/>
          <w:szCs w:val="24"/>
        </w:rPr>
        <w:footnoteReference w:id="27"/>
      </w:r>
      <w:r w:rsidRPr="00BE3798">
        <w:rPr>
          <w:sz w:val="24"/>
          <w:szCs w:val="24"/>
        </w:rPr>
        <w:t>.</w:t>
      </w:r>
    </w:p>
    <w:p w14:paraId="1775BD01" w14:textId="4CDC1C0B" w:rsidR="004D69BF" w:rsidRDefault="004D69BF" w:rsidP="004D69BF">
      <w:pPr>
        <w:spacing w:line="240" w:lineRule="auto"/>
        <w:rPr>
          <w:sz w:val="24"/>
          <w:szCs w:val="24"/>
          <w:highlight w:val="yellow"/>
        </w:rPr>
      </w:pPr>
      <w:r w:rsidRPr="00BE3798">
        <w:rPr>
          <w:b/>
          <w:sz w:val="24"/>
          <w:szCs w:val="24"/>
        </w:rPr>
        <w:t xml:space="preserve">Dane z </w:t>
      </w:r>
      <w:r w:rsidRPr="007F3404">
        <w:rPr>
          <w:b/>
          <w:sz w:val="24"/>
          <w:szCs w:val="24"/>
        </w:rPr>
        <w:t>príjmov a kapitálového majetku</w:t>
      </w:r>
      <w:r w:rsidR="00D66760">
        <w:rPr>
          <w:sz w:val="24"/>
          <w:szCs w:val="24"/>
        </w:rPr>
        <w:t xml:space="preserve"> sa rozpočtovali sumou 4 867 757 </w:t>
      </w:r>
      <w:r w:rsidRPr="007F3404">
        <w:rPr>
          <w:sz w:val="24"/>
          <w:szCs w:val="24"/>
        </w:rPr>
        <w:t>tis.</w:t>
      </w:r>
      <w:r w:rsidR="00D66760">
        <w:rPr>
          <w:sz w:val="24"/>
          <w:szCs w:val="24"/>
        </w:rPr>
        <w:t> </w:t>
      </w:r>
      <w:r w:rsidRPr="007F3404">
        <w:rPr>
          <w:sz w:val="24"/>
          <w:szCs w:val="24"/>
        </w:rPr>
        <w:t>eur. Sk</w:t>
      </w:r>
      <w:r w:rsidR="00D66760">
        <w:rPr>
          <w:sz w:val="24"/>
          <w:szCs w:val="24"/>
        </w:rPr>
        <w:t>utočný výnos dosiahol 4 932 412 </w:t>
      </w:r>
      <w:r w:rsidRPr="007F3404">
        <w:rPr>
          <w:sz w:val="24"/>
          <w:szCs w:val="24"/>
        </w:rPr>
        <w:t>tis.</w:t>
      </w:r>
      <w:r w:rsidR="00D66760">
        <w:rPr>
          <w:sz w:val="24"/>
          <w:szCs w:val="24"/>
        </w:rPr>
        <w:t> </w:t>
      </w:r>
      <w:r w:rsidRPr="007F3404">
        <w:rPr>
          <w:sz w:val="24"/>
          <w:szCs w:val="24"/>
        </w:rPr>
        <w:t>eur, resp. 4</w:t>
      </w:r>
      <w:r w:rsidR="00D66760">
        <w:rPr>
          <w:sz w:val="24"/>
          <w:szCs w:val="24"/>
        </w:rPr>
        <w:t> </w:t>
      </w:r>
      <w:r w:rsidRPr="007F3404">
        <w:rPr>
          <w:sz w:val="24"/>
          <w:szCs w:val="24"/>
        </w:rPr>
        <w:t>940 70</w:t>
      </w:r>
      <w:r w:rsidR="00D66760">
        <w:rPr>
          <w:sz w:val="24"/>
          <w:szCs w:val="24"/>
        </w:rPr>
        <w:t>6 tis. eur po premietnutí 8 294 tis. </w:t>
      </w:r>
      <w:r w:rsidRPr="007F3404">
        <w:rPr>
          <w:sz w:val="24"/>
          <w:szCs w:val="24"/>
        </w:rPr>
        <w:t>eur zo</w:t>
      </w:r>
      <w:r w:rsidR="0070263C">
        <w:rPr>
          <w:sz w:val="24"/>
          <w:szCs w:val="24"/>
        </w:rPr>
        <w:t> </w:t>
      </w:r>
      <w:r w:rsidRPr="007F3404">
        <w:rPr>
          <w:sz w:val="24"/>
          <w:szCs w:val="24"/>
        </w:rPr>
        <w:t>sankcií. Oproti rozpočtu tak boli vyššie o 64</w:t>
      </w:r>
      <w:r w:rsidR="00D66760">
        <w:rPr>
          <w:sz w:val="24"/>
          <w:szCs w:val="24"/>
        </w:rPr>
        <w:t> </w:t>
      </w:r>
      <w:r w:rsidRPr="007F3404">
        <w:rPr>
          <w:sz w:val="24"/>
          <w:szCs w:val="24"/>
        </w:rPr>
        <w:t>655</w:t>
      </w:r>
      <w:r w:rsidR="00D66760">
        <w:rPr>
          <w:sz w:val="24"/>
          <w:szCs w:val="24"/>
        </w:rPr>
        <w:t> </w:t>
      </w:r>
      <w:r w:rsidRPr="007F3404">
        <w:rPr>
          <w:sz w:val="24"/>
          <w:szCs w:val="24"/>
        </w:rPr>
        <w:t>tis.</w:t>
      </w:r>
      <w:r w:rsidR="00D66760">
        <w:rPr>
          <w:sz w:val="24"/>
          <w:szCs w:val="24"/>
        </w:rPr>
        <w:t> eur (resp. o 72 949 </w:t>
      </w:r>
      <w:r w:rsidRPr="007F3404">
        <w:rPr>
          <w:sz w:val="24"/>
          <w:szCs w:val="24"/>
        </w:rPr>
        <w:t>tis.</w:t>
      </w:r>
      <w:r w:rsidR="00D66760">
        <w:rPr>
          <w:sz w:val="24"/>
          <w:szCs w:val="24"/>
        </w:rPr>
        <w:t> </w:t>
      </w:r>
      <w:r w:rsidRPr="007F3404">
        <w:rPr>
          <w:sz w:val="24"/>
          <w:szCs w:val="24"/>
        </w:rPr>
        <w:t>eur).</w:t>
      </w:r>
    </w:p>
    <w:p w14:paraId="1AE08BC2" w14:textId="7AC601E2" w:rsidR="004D69BF" w:rsidRDefault="004D69BF" w:rsidP="004D69BF">
      <w:pPr>
        <w:spacing w:line="240" w:lineRule="auto"/>
        <w:rPr>
          <w:sz w:val="24"/>
          <w:szCs w:val="24"/>
        </w:rPr>
      </w:pPr>
      <w:r w:rsidRPr="007F3404">
        <w:rPr>
          <w:sz w:val="24"/>
          <w:szCs w:val="24"/>
        </w:rPr>
        <w:t xml:space="preserve">Celkový výnos podielovej </w:t>
      </w:r>
      <w:r w:rsidRPr="007F3404">
        <w:rPr>
          <w:b/>
          <w:bCs/>
          <w:sz w:val="24"/>
          <w:szCs w:val="24"/>
        </w:rPr>
        <w:t>dane z príjmov fyzických osôb</w:t>
      </w:r>
      <w:r w:rsidR="0060172E">
        <w:rPr>
          <w:sz w:val="24"/>
          <w:szCs w:val="24"/>
        </w:rPr>
        <w:t xml:space="preserve"> sa rozpočtoval v </w:t>
      </w:r>
      <w:r w:rsidRPr="007F3404">
        <w:rPr>
          <w:sz w:val="24"/>
          <w:szCs w:val="24"/>
        </w:rPr>
        <w:t>sume 3</w:t>
      </w:r>
      <w:r w:rsidR="0060172E">
        <w:rPr>
          <w:sz w:val="24"/>
          <w:szCs w:val="24"/>
        </w:rPr>
        <w:t> </w:t>
      </w:r>
      <w:r w:rsidRPr="007F3404">
        <w:rPr>
          <w:sz w:val="24"/>
          <w:szCs w:val="24"/>
        </w:rPr>
        <w:t>529</w:t>
      </w:r>
      <w:r w:rsidR="0060172E">
        <w:rPr>
          <w:sz w:val="24"/>
          <w:szCs w:val="24"/>
        </w:rPr>
        <w:t> 080 </w:t>
      </w:r>
      <w:r w:rsidRPr="007F3404">
        <w:rPr>
          <w:sz w:val="24"/>
          <w:szCs w:val="24"/>
        </w:rPr>
        <w:t>tis.</w:t>
      </w:r>
      <w:r w:rsidR="0060172E">
        <w:rPr>
          <w:sz w:val="24"/>
          <w:szCs w:val="24"/>
        </w:rPr>
        <w:t> </w:t>
      </w:r>
      <w:r w:rsidRPr="007F3404">
        <w:rPr>
          <w:sz w:val="24"/>
          <w:szCs w:val="24"/>
        </w:rPr>
        <w:t>eur, z toho 3</w:t>
      </w:r>
      <w:r w:rsidR="0060172E">
        <w:rPr>
          <w:sz w:val="24"/>
          <w:szCs w:val="24"/>
        </w:rPr>
        <w:t> 627 038 </w:t>
      </w:r>
      <w:r w:rsidRPr="007F3404">
        <w:rPr>
          <w:sz w:val="24"/>
          <w:szCs w:val="24"/>
        </w:rPr>
        <w:t>tis.</w:t>
      </w:r>
      <w:r w:rsidR="0060172E">
        <w:rPr>
          <w:sz w:val="24"/>
          <w:szCs w:val="24"/>
        </w:rPr>
        <w:t> </w:t>
      </w:r>
      <w:r w:rsidRPr="007F3404">
        <w:rPr>
          <w:sz w:val="24"/>
          <w:szCs w:val="24"/>
        </w:rPr>
        <w:t>eur tvoril výnos dane z</w:t>
      </w:r>
      <w:r w:rsidR="0060172E">
        <w:rPr>
          <w:sz w:val="24"/>
          <w:szCs w:val="24"/>
        </w:rPr>
        <w:t xml:space="preserve"> príjmov zo závislej činnosti a </w:t>
      </w:r>
      <w:r w:rsidRPr="007F3404">
        <w:rPr>
          <w:sz w:val="24"/>
          <w:szCs w:val="24"/>
        </w:rPr>
        <w:t>daň z príjmov z podnikania, z inej samo</w:t>
      </w:r>
      <w:r w:rsidR="00766E41">
        <w:rPr>
          <w:sz w:val="24"/>
          <w:szCs w:val="24"/>
        </w:rPr>
        <w:t>statnej zárobkovej činnosti a z </w:t>
      </w:r>
      <w:r w:rsidRPr="007F3404">
        <w:rPr>
          <w:sz w:val="24"/>
          <w:szCs w:val="24"/>
        </w:rPr>
        <w:t>prenájmu sa prognózovala v</w:t>
      </w:r>
      <w:r w:rsidR="0060172E">
        <w:rPr>
          <w:sz w:val="24"/>
          <w:szCs w:val="24"/>
        </w:rPr>
        <w:t> </w:t>
      </w:r>
      <w:r w:rsidRPr="007F3404">
        <w:rPr>
          <w:sz w:val="24"/>
          <w:szCs w:val="24"/>
        </w:rPr>
        <w:t xml:space="preserve">zápornej sume </w:t>
      </w:r>
      <w:r w:rsidR="0060172E">
        <w:rPr>
          <w:sz w:val="24"/>
          <w:szCs w:val="24"/>
        </w:rPr>
        <w:t>– </w:t>
      </w:r>
      <w:r w:rsidRPr="007F3404">
        <w:rPr>
          <w:sz w:val="24"/>
          <w:szCs w:val="24"/>
        </w:rPr>
        <w:t>50</w:t>
      </w:r>
      <w:r w:rsidR="0060172E">
        <w:rPr>
          <w:sz w:val="24"/>
          <w:szCs w:val="24"/>
        </w:rPr>
        <w:t> </w:t>
      </w:r>
      <w:r w:rsidRPr="007F3404">
        <w:rPr>
          <w:sz w:val="24"/>
          <w:szCs w:val="24"/>
        </w:rPr>
        <w:t>821</w:t>
      </w:r>
      <w:r w:rsidR="0060172E">
        <w:rPr>
          <w:sz w:val="24"/>
          <w:szCs w:val="24"/>
        </w:rPr>
        <w:t> </w:t>
      </w:r>
      <w:r w:rsidRPr="007F3404">
        <w:rPr>
          <w:sz w:val="24"/>
          <w:szCs w:val="24"/>
        </w:rPr>
        <w:t>tis.</w:t>
      </w:r>
      <w:r w:rsidR="0060172E">
        <w:rPr>
          <w:sz w:val="24"/>
          <w:szCs w:val="24"/>
        </w:rPr>
        <w:t> </w:t>
      </w:r>
      <w:r w:rsidRPr="007F3404">
        <w:rPr>
          <w:sz w:val="24"/>
          <w:szCs w:val="24"/>
        </w:rPr>
        <w:t>eur. Prevod prostriedkov na osobitné účely podľa zákona č.</w:t>
      </w:r>
      <w:r w:rsidR="0060172E">
        <w:rPr>
          <w:sz w:val="24"/>
          <w:szCs w:val="24"/>
        </w:rPr>
        <w:t> </w:t>
      </w:r>
      <w:r w:rsidRPr="007F3404">
        <w:rPr>
          <w:sz w:val="24"/>
          <w:szCs w:val="24"/>
        </w:rPr>
        <w:t>595/2003</w:t>
      </w:r>
      <w:r w:rsidR="0060172E">
        <w:rPr>
          <w:sz w:val="24"/>
          <w:szCs w:val="24"/>
        </w:rPr>
        <w:t> Z. </w:t>
      </w:r>
      <w:r w:rsidRPr="007F3404">
        <w:rPr>
          <w:sz w:val="24"/>
          <w:szCs w:val="24"/>
        </w:rPr>
        <w:t>z., ktorý znižuje hotovostný výnos dane z príjmov fyzických</w:t>
      </w:r>
      <w:r w:rsidR="0060172E">
        <w:rPr>
          <w:sz w:val="24"/>
          <w:szCs w:val="24"/>
        </w:rPr>
        <w:t xml:space="preserve"> osôb, bol odhadovaný v sume 47 137 </w:t>
      </w:r>
      <w:r w:rsidRPr="007F3404">
        <w:rPr>
          <w:sz w:val="24"/>
          <w:szCs w:val="24"/>
        </w:rPr>
        <w:t>tis.</w:t>
      </w:r>
      <w:r w:rsidR="0060172E">
        <w:rPr>
          <w:sz w:val="24"/>
          <w:szCs w:val="24"/>
        </w:rPr>
        <w:t> </w:t>
      </w:r>
      <w:r w:rsidRPr="007F3404">
        <w:rPr>
          <w:sz w:val="24"/>
          <w:szCs w:val="24"/>
        </w:rPr>
        <w:t>eur.</w:t>
      </w:r>
    </w:p>
    <w:p w14:paraId="335E5463" w14:textId="0AB7EFA0" w:rsidR="004D69BF" w:rsidRPr="00342406" w:rsidRDefault="004D69BF" w:rsidP="004D69BF">
      <w:pPr>
        <w:spacing w:line="240" w:lineRule="auto"/>
        <w:rPr>
          <w:sz w:val="24"/>
          <w:szCs w:val="24"/>
        </w:rPr>
      </w:pPr>
      <w:r w:rsidRPr="00342406">
        <w:rPr>
          <w:sz w:val="24"/>
          <w:szCs w:val="24"/>
        </w:rPr>
        <w:t>Skutočný výnos dane zo závislej činnosti v objeme 3</w:t>
      </w:r>
      <w:r w:rsidR="0060172E">
        <w:rPr>
          <w:sz w:val="24"/>
          <w:szCs w:val="24"/>
        </w:rPr>
        <w:t> 621 </w:t>
      </w:r>
      <w:r w:rsidRPr="00342406">
        <w:rPr>
          <w:sz w:val="24"/>
          <w:szCs w:val="24"/>
        </w:rPr>
        <w:t>992</w:t>
      </w:r>
      <w:r w:rsidR="0060172E">
        <w:rPr>
          <w:sz w:val="24"/>
          <w:szCs w:val="24"/>
        </w:rPr>
        <w:t> </w:t>
      </w:r>
      <w:r w:rsidRPr="00342406">
        <w:rPr>
          <w:sz w:val="24"/>
          <w:szCs w:val="24"/>
        </w:rPr>
        <w:t>tis.</w:t>
      </w:r>
      <w:r w:rsidR="0060172E">
        <w:rPr>
          <w:sz w:val="24"/>
          <w:szCs w:val="24"/>
        </w:rPr>
        <w:t> eur bol oproti rozpočtu nižší o </w:t>
      </w:r>
      <w:r w:rsidRPr="00342406">
        <w:rPr>
          <w:sz w:val="24"/>
          <w:szCs w:val="24"/>
        </w:rPr>
        <w:t>5</w:t>
      </w:r>
      <w:r w:rsidR="0060172E">
        <w:rPr>
          <w:sz w:val="24"/>
          <w:szCs w:val="24"/>
        </w:rPr>
        <w:t> </w:t>
      </w:r>
      <w:r w:rsidRPr="00342406">
        <w:rPr>
          <w:sz w:val="24"/>
          <w:szCs w:val="24"/>
        </w:rPr>
        <w:t>046</w:t>
      </w:r>
      <w:r w:rsidR="0060172E">
        <w:rPr>
          <w:sz w:val="24"/>
          <w:szCs w:val="24"/>
        </w:rPr>
        <w:t> </w:t>
      </w:r>
      <w:r w:rsidRPr="00342406">
        <w:rPr>
          <w:sz w:val="24"/>
          <w:szCs w:val="24"/>
        </w:rPr>
        <w:t>tis.</w:t>
      </w:r>
      <w:r w:rsidR="0060172E">
        <w:rPr>
          <w:sz w:val="24"/>
          <w:szCs w:val="24"/>
        </w:rPr>
        <w:t> eur a medziročne vzrástol o </w:t>
      </w:r>
      <w:r w:rsidRPr="00342406">
        <w:rPr>
          <w:sz w:val="24"/>
          <w:szCs w:val="24"/>
        </w:rPr>
        <w:t xml:space="preserve">2,4%. </w:t>
      </w:r>
      <w:r w:rsidRPr="00CF6307">
        <w:rPr>
          <w:sz w:val="24"/>
          <w:szCs w:val="24"/>
        </w:rPr>
        <w:t xml:space="preserve">Nižší výnos </w:t>
      </w:r>
      <w:bookmarkStart w:id="95" w:name="_Hlk193785853"/>
      <w:r w:rsidRPr="00CF6307">
        <w:rPr>
          <w:sz w:val="24"/>
          <w:szCs w:val="24"/>
        </w:rPr>
        <w:t>súvisí so slabším rastom miezd a</w:t>
      </w:r>
      <w:r w:rsidR="0060172E">
        <w:rPr>
          <w:sz w:val="24"/>
          <w:szCs w:val="24"/>
        </w:rPr>
        <w:t> </w:t>
      </w:r>
      <w:r w:rsidRPr="00CF6307">
        <w:rPr>
          <w:sz w:val="24"/>
          <w:szCs w:val="24"/>
        </w:rPr>
        <w:t>menej priaznivým výv</w:t>
      </w:r>
      <w:r>
        <w:rPr>
          <w:sz w:val="24"/>
          <w:szCs w:val="24"/>
        </w:rPr>
        <w:t>o</w:t>
      </w:r>
      <w:r w:rsidRPr="00CF6307">
        <w:rPr>
          <w:sz w:val="24"/>
          <w:szCs w:val="24"/>
        </w:rPr>
        <w:t>jom zamestnanosti v porovnaní s očakávaniami v čase prípravy rozpočtu.</w:t>
      </w:r>
      <w:bookmarkEnd w:id="95"/>
      <w:r w:rsidRPr="00CF6307">
        <w:rPr>
          <w:sz w:val="24"/>
          <w:szCs w:val="24"/>
        </w:rPr>
        <w:t xml:space="preserve"> Medziročný nárast výnosu zaostáva za rastom mzdovej základne </w:t>
      </w:r>
      <w:r w:rsidRPr="000F7ABA">
        <w:t>z</w:t>
      </w:r>
      <w:r w:rsidR="000F7ABA">
        <w:t> </w:t>
      </w:r>
      <w:r w:rsidRPr="000F7ABA">
        <w:t>dôvodu</w:t>
      </w:r>
      <w:r w:rsidRPr="00CF6307">
        <w:rPr>
          <w:sz w:val="24"/>
          <w:szCs w:val="24"/>
        </w:rPr>
        <w:t xml:space="preserve"> vysokého nárastu nezdaniteľných častí základu dane, ktoré sú naviazané na (rekordnú) nízkopríjmovú infláciu z roka 2023. </w:t>
      </w:r>
      <w:r w:rsidRPr="00342406">
        <w:rPr>
          <w:sz w:val="24"/>
          <w:szCs w:val="24"/>
        </w:rPr>
        <w:t>Na osobitné účely sa pr</w:t>
      </w:r>
      <w:r w:rsidR="0060172E">
        <w:rPr>
          <w:sz w:val="24"/>
          <w:szCs w:val="24"/>
        </w:rPr>
        <w:t>eviedli prostriedky vo výške 47 </w:t>
      </w:r>
      <w:r w:rsidRPr="00342406">
        <w:rPr>
          <w:sz w:val="24"/>
          <w:szCs w:val="24"/>
        </w:rPr>
        <w:t>705</w:t>
      </w:r>
      <w:r w:rsidR="0060172E">
        <w:rPr>
          <w:sz w:val="24"/>
          <w:szCs w:val="24"/>
        </w:rPr>
        <w:t> </w:t>
      </w:r>
      <w:r w:rsidRPr="00342406">
        <w:rPr>
          <w:sz w:val="24"/>
          <w:szCs w:val="24"/>
        </w:rPr>
        <w:t>tis.</w:t>
      </w:r>
      <w:r w:rsidR="0060172E">
        <w:rPr>
          <w:sz w:val="24"/>
          <w:szCs w:val="24"/>
        </w:rPr>
        <w:t> </w:t>
      </w:r>
      <w:r w:rsidRPr="00342406">
        <w:rPr>
          <w:sz w:val="24"/>
          <w:szCs w:val="24"/>
        </w:rPr>
        <w:t>eur.</w:t>
      </w:r>
    </w:p>
    <w:p w14:paraId="44D83BAC" w14:textId="4A8C5B17" w:rsidR="004D69BF" w:rsidRDefault="004D69BF" w:rsidP="004D69BF">
      <w:pPr>
        <w:spacing w:line="240" w:lineRule="auto"/>
        <w:rPr>
          <w:sz w:val="24"/>
          <w:szCs w:val="24"/>
        </w:rPr>
      </w:pPr>
      <w:r w:rsidRPr="00342406">
        <w:rPr>
          <w:sz w:val="24"/>
          <w:szCs w:val="24"/>
        </w:rPr>
        <w:lastRenderedPageBreak/>
        <w:t xml:space="preserve">Skutočný výnos dane z podnikania bol </w:t>
      </w:r>
      <w:r w:rsidR="0060172E">
        <w:rPr>
          <w:sz w:val="24"/>
          <w:szCs w:val="24"/>
        </w:rPr>
        <w:t>– </w:t>
      </w:r>
      <w:r w:rsidRPr="00342406">
        <w:rPr>
          <w:sz w:val="24"/>
          <w:szCs w:val="24"/>
        </w:rPr>
        <w:t>128</w:t>
      </w:r>
      <w:r w:rsidR="0060172E">
        <w:rPr>
          <w:sz w:val="24"/>
          <w:szCs w:val="24"/>
        </w:rPr>
        <w:t> 671 </w:t>
      </w:r>
      <w:r w:rsidRPr="00342406">
        <w:rPr>
          <w:sz w:val="24"/>
          <w:szCs w:val="24"/>
        </w:rPr>
        <w:t>tis.</w:t>
      </w:r>
      <w:r w:rsidR="0060172E">
        <w:rPr>
          <w:sz w:val="24"/>
          <w:szCs w:val="24"/>
        </w:rPr>
        <w:t> </w:t>
      </w:r>
      <w:r w:rsidRPr="00342406">
        <w:rPr>
          <w:sz w:val="24"/>
          <w:szCs w:val="24"/>
        </w:rPr>
        <w:t xml:space="preserve">eur. </w:t>
      </w:r>
      <w:r>
        <w:rPr>
          <w:sz w:val="24"/>
          <w:szCs w:val="24"/>
        </w:rPr>
        <w:t>O</w:t>
      </w:r>
      <w:r w:rsidRPr="00CF6307">
        <w:rPr>
          <w:sz w:val="24"/>
          <w:szCs w:val="24"/>
        </w:rPr>
        <w:t>proti minulému roku</w:t>
      </w:r>
      <w:r>
        <w:rPr>
          <w:sz w:val="24"/>
          <w:szCs w:val="24"/>
        </w:rPr>
        <w:t xml:space="preserve"> výnos</w:t>
      </w:r>
      <w:r w:rsidRPr="00CF6307">
        <w:rPr>
          <w:sz w:val="24"/>
          <w:szCs w:val="24"/>
        </w:rPr>
        <w:t xml:space="preserve"> </w:t>
      </w:r>
      <w:r>
        <w:rPr>
          <w:sz w:val="24"/>
          <w:szCs w:val="24"/>
        </w:rPr>
        <w:t>klesol o</w:t>
      </w:r>
      <w:r w:rsidR="0060172E">
        <w:rPr>
          <w:sz w:val="24"/>
          <w:szCs w:val="24"/>
        </w:rPr>
        <w:t> 162 292 </w:t>
      </w:r>
      <w:r w:rsidRPr="00CF6307">
        <w:rPr>
          <w:sz w:val="24"/>
          <w:szCs w:val="24"/>
        </w:rPr>
        <w:t>tis.</w:t>
      </w:r>
      <w:r w:rsidR="0060172E">
        <w:rPr>
          <w:sz w:val="24"/>
          <w:szCs w:val="24"/>
        </w:rPr>
        <w:t> </w:t>
      </w:r>
      <w:r w:rsidRPr="00CF6307">
        <w:rPr>
          <w:sz w:val="24"/>
          <w:szCs w:val="24"/>
        </w:rPr>
        <w:t xml:space="preserve">eur a oproti rozpočtu </w:t>
      </w:r>
      <w:r>
        <w:rPr>
          <w:sz w:val="24"/>
          <w:szCs w:val="24"/>
        </w:rPr>
        <w:t>je nižší</w:t>
      </w:r>
      <w:r w:rsidRPr="00CF6307">
        <w:rPr>
          <w:sz w:val="24"/>
          <w:szCs w:val="24"/>
        </w:rPr>
        <w:t xml:space="preserve"> o</w:t>
      </w:r>
      <w:r w:rsidR="0060172E">
        <w:rPr>
          <w:sz w:val="24"/>
          <w:szCs w:val="24"/>
        </w:rPr>
        <w:t> </w:t>
      </w:r>
      <w:r w:rsidRPr="00CF6307">
        <w:rPr>
          <w:sz w:val="24"/>
          <w:szCs w:val="24"/>
        </w:rPr>
        <w:t>77</w:t>
      </w:r>
      <w:r w:rsidR="0060172E">
        <w:rPr>
          <w:sz w:val="24"/>
          <w:szCs w:val="24"/>
        </w:rPr>
        <w:t> </w:t>
      </w:r>
      <w:r w:rsidRPr="00CF6307">
        <w:rPr>
          <w:sz w:val="24"/>
          <w:szCs w:val="24"/>
        </w:rPr>
        <w:t>850</w:t>
      </w:r>
      <w:r w:rsidR="0060172E">
        <w:rPr>
          <w:sz w:val="24"/>
          <w:szCs w:val="24"/>
        </w:rPr>
        <w:t> </w:t>
      </w:r>
      <w:r w:rsidRPr="00CF6307">
        <w:rPr>
          <w:sz w:val="24"/>
          <w:szCs w:val="24"/>
        </w:rPr>
        <w:t>tis.</w:t>
      </w:r>
      <w:r w:rsidR="0060172E">
        <w:rPr>
          <w:sz w:val="24"/>
          <w:szCs w:val="24"/>
        </w:rPr>
        <w:t> </w:t>
      </w:r>
      <w:r w:rsidRPr="00CF6307">
        <w:rPr>
          <w:sz w:val="24"/>
          <w:szCs w:val="24"/>
        </w:rPr>
        <w:t>eur. Zhoršený výnos je ovplyvnený najmä vyplateným daňový</w:t>
      </w:r>
      <w:r w:rsidR="0060172E">
        <w:rPr>
          <w:sz w:val="24"/>
          <w:szCs w:val="24"/>
        </w:rPr>
        <w:t>m bonusom na deti v hodnote 279 414 tis. </w:t>
      </w:r>
      <w:r w:rsidRPr="00CF6307">
        <w:rPr>
          <w:sz w:val="24"/>
          <w:szCs w:val="24"/>
        </w:rPr>
        <w:t>eur (oproti minulému roku bol vyšší o</w:t>
      </w:r>
      <w:r>
        <w:rPr>
          <w:sz w:val="24"/>
          <w:szCs w:val="24"/>
        </w:rPr>
        <w:t> </w:t>
      </w:r>
      <w:r w:rsidRPr="00CF6307">
        <w:rPr>
          <w:sz w:val="24"/>
          <w:szCs w:val="24"/>
        </w:rPr>
        <w:t>1</w:t>
      </w:r>
      <w:r w:rsidR="0060172E">
        <w:rPr>
          <w:sz w:val="24"/>
          <w:szCs w:val="24"/>
        </w:rPr>
        <w:t>49 631 </w:t>
      </w:r>
      <w:r>
        <w:rPr>
          <w:sz w:val="24"/>
          <w:szCs w:val="24"/>
        </w:rPr>
        <w:t>tis.</w:t>
      </w:r>
      <w:r w:rsidR="0060172E">
        <w:rPr>
          <w:sz w:val="24"/>
          <w:szCs w:val="24"/>
        </w:rPr>
        <w:t> </w:t>
      </w:r>
      <w:r w:rsidRPr="00CF6307">
        <w:rPr>
          <w:sz w:val="24"/>
          <w:szCs w:val="24"/>
        </w:rPr>
        <w:t>eur a oproti rozpočtu bol vyšší o 37</w:t>
      </w:r>
      <w:r w:rsidR="0060172E">
        <w:rPr>
          <w:sz w:val="24"/>
          <w:szCs w:val="24"/>
        </w:rPr>
        <w:t> 340 </w:t>
      </w:r>
      <w:r>
        <w:rPr>
          <w:sz w:val="24"/>
          <w:szCs w:val="24"/>
        </w:rPr>
        <w:t>tis.</w:t>
      </w:r>
      <w:r w:rsidR="0060172E">
        <w:rPr>
          <w:sz w:val="24"/>
          <w:szCs w:val="24"/>
        </w:rPr>
        <w:t> </w:t>
      </w:r>
      <w:r w:rsidRPr="00CF6307">
        <w:rPr>
          <w:sz w:val="24"/>
          <w:szCs w:val="24"/>
        </w:rPr>
        <w:t>eur). Druhým dôvodom je horšie vyrovna</w:t>
      </w:r>
      <w:r>
        <w:rPr>
          <w:sz w:val="24"/>
          <w:szCs w:val="24"/>
        </w:rPr>
        <w:t>n</w:t>
      </w:r>
      <w:r w:rsidRPr="00CF6307">
        <w:rPr>
          <w:sz w:val="24"/>
          <w:szCs w:val="24"/>
        </w:rPr>
        <w:t>ie za predchádzajúce obdobie (oproti minulému roku boli vyrovnania nižšie o</w:t>
      </w:r>
      <w:r w:rsidR="0060172E">
        <w:rPr>
          <w:sz w:val="24"/>
          <w:szCs w:val="24"/>
        </w:rPr>
        <w:t> </w:t>
      </w:r>
      <w:r w:rsidRPr="00CF6307">
        <w:rPr>
          <w:sz w:val="24"/>
          <w:szCs w:val="24"/>
        </w:rPr>
        <w:t>19</w:t>
      </w:r>
      <w:r w:rsidR="0060172E">
        <w:rPr>
          <w:sz w:val="24"/>
          <w:szCs w:val="24"/>
        </w:rPr>
        <w:t> </w:t>
      </w:r>
      <w:r w:rsidRPr="00CF6307">
        <w:rPr>
          <w:sz w:val="24"/>
          <w:szCs w:val="24"/>
        </w:rPr>
        <w:t>miliónov eur a oproti rozpočtu boli nižšie o</w:t>
      </w:r>
      <w:r>
        <w:rPr>
          <w:sz w:val="24"/>
          <w:szCs w:val="24"/>
        </w:rPr>
        <w:t> </w:t>
      </w:r>
      <w:r w:rsidRPr="00CF6307">
        <w:rPr>
          <w:sz w:val="24"/>
          <w:szCs w:val="24"/>
        </w:rPr>
        <w:t>43</w:t>
      </w:r>
      <w:r w:rsidR="0060172E">
        <w:rPr>
          <w:sz w:val="24"/>
          <w:szCs w:val="24"/>
        </w:rPr>
        <w:t> </w:t>
      </w:r>
      <w:r>
        <w:rPr>
          <w:sz w:val="24"/>
          <w:szCs w:val="24"/>
        </w:rPr>
        <w:t>445</w:t>
      </w:r>
      <w:r w:rsidR="0060172E">
        <w:rPr>
          <w:sz w:val="24"/>
          <w:szCs w:val="24"/>
        </w:rPr>
        <w:t> </w:t>
      </w:r>
      <w:r>
        <w:rPr>
          <w:sz w:val="24"/>
          <w:szCs w:val="24"/>
        </w:rPr>
        <w:t>tis.</w:t>
      </w:r>
      <w:r w:rsidR="0060172E">
        <w:rPr>
          <w:sz w:val="24"/>
          <w:szCs w:val="24"/>
        </w:rPr>
        <w:t> </w:t>
      </w:r>
      <w:r w:rsidRPr="00CF6307">
        <w:rPr>
          <w:sz w:val="24"/>
          <w:szCs w:val="24"/>
        </w:rPr>
        <w:t>eur).</w:t>
      </w:r>
    </w:p>
    <w:p w14:paraId="367609EE" w14:textId="2102DB23" w:rsidR="004D69BF" w:rsidRPr="007F3404" w:rsidRDefault="004D69BF" w:rsidP="004D69BF">
      <w:pPr>
        <w:spacing w:line="240" w:lineRule="auto"/>
        <w:rPr>
          <w:sz w:val="24"/>
          <w:szCs w:val="24"/>
        </w:rPr>
      </w:pPr>
      <w:r w:rsidRPr="007F3404">
        <w:rPr>
          <w:sz w:val="24"/>
          <w:szCs w:val="24"/>
          <w:u w:val="single"/>
        </w:rPr>
        <w:t>Daň z príjmov fyzických osôb je podielovou daňou a celý výnos dane sa prerozdeľuje stanoveným mechanizmom medzi mestá a obce a vyššie územné celky</w:t>
      </w:r>
      <w:r w:rsidRPr="007F3404">
        <w:rPr>
          <w:sz w:val="24"/>
          <w:szCs w:val="24"/>
        </w:rPr>
        <w:t>. Podiel m</w:t>
      </w:r>
      <w:r w:rsidR="00D60B38">
        <w:rPr>
          <w:sz w:val="24"/>
          <w:szCs w:val="24"/>
        </w:rPr>
        <w:t>iest a obcí na výnose je 70 </w:t>
      </w:r>
      <w:r w:rsidRPr="007F3404">
        <w:rPr>
          <w:sz w:val="24"/>
          <w:szCs w:val="24"/>
        </w:rPr>
        <w:t>%. Vyšším úze</w:t>
      </w:r>
      <w:r w:rsidR="00D60B38">
        <w:rPr>
          <w:sz w:val="24"/>
          <w:szCs w:val="24"/>
        </w:rPr>
        <w:t>mným celkom pripadá zvyšných 30 </w:t>
      </w:r>
      <w:r w:rsidR="000F7ABA">
        <w:rPr>
          <w:sz w:val="24"/>
          <w:szCs w:val="24"/>
        </w:rPr>
        <w:t>% z výnosu. Na </w:t>
      </w:r>
      <w:r w:rsidRPr="007F3404">
        <w:rPr>
          <w:sz w:val="24"/>
          <w:szCs w:val="24"/>
        </w:rPr>
        <w:t xml:space="preserve">účte štátneho rozpočtu zostávajú priebežne len časti výnosu dane z dôvodu </w:t>
      </w:r>
      <w:r w:rsidR="00D60B38">
        <w:rPr>
          <w:sz w:val="24"/>
          <w:szCs w:val="24"/>
        </w:rPr>
        <w:t>posunu medzi pripísaním dane na </w:t>
      </w:r>
      <w:r w:rsidRPr="007F3404">
        <w:rPr>
          <w:sz w:val="24"/>
          <w:szCs w:val="24"/>
        </w:rPr>
        <w:t>účet ŠR a jej prevedením na účty samosprávy.</w:t>
      </w:r>
    </w:p>
    <w:p w14:paraId="6967BE22" w14:textId="76A53944" w:rsidR="004D69BF" w:rsidRPr="007F3404" w:rsidRDefault="004D69BF" w:rsidP="004D69BF">
      <w:pPr>
        <w:spacing w:line="240" w:lineRule="auto"/>
        <w:rPr>
          <w:sz w:val="24"/>
          <w:szCs w:val="24"/>
        </w:rPr>
      </w:pPr>
      <w:r w:rsidRPr="007F3404">
        <w:rPr>
          <w:b/>
          <w:sz w:val="24"/>
          <w:szCs w:val="24"/>
        </w:rPr>
        <w:t>Príjem štátneho rozpočtu z dane z príjmov fyzických osôb</w:t>
      </w:r>
      <w:r w:rsidRPr="007F3404">
        <w:rPr>
          <w:sz w:val="24"/>
          <w:szCs w:val="24"/>
        </w:rPr>
        <w:t xml:space="preserve"> sa s ohľadom na</w:t>
      </w:r>
      <w:r w:rsidR="000F7ABA">
        <w:rPr>
          <w:sz w:val="24"/>
          <w:szCs w:val="24"/>
        </w:rPr>
        <w:t> </w:t>
      </w:r>
      <w:r w:rsidRPr="007F3404">
        <w:rPr>
          <w:sz w:val="24"/>
          <w:szCs w:val="24"/>
        </w:rPr>
        <w:t>uvedené pravidlá fiškálnej decentrali</w:t>
      </w:r>
      <w:r w:rsidR="00D60B38">
        <w:rPr>
          <w:sz w:val="24"/>
          <w:szCs w:val="24"/>
        </w:rPr>
        <w:t>zácie rozpočtoval sumou -22 923 </w:t>
      </w:r>
      <w:r w:rsidRPr="007F3404">
        <w:rPr>
          <w:sz w:val="24"/>
          <w:szCs w:val="24"/>
        </w:rPr>
        <w:t>tis.</w:t>
      </w:r>
      <w:r w:rsidR="00D60B38">
        <w:rPr>
          <w:sz w:val="24"/>
          <w:szCs w:val="24"/>
        </w:rPr>
        <w:t> </w:t>
      </w:r>
      <w:r w:rsidRPr="007F3404">
        <w:rPr>
          <w:sz w:val="24"/>
          <w:szCs w:val="24"/>
        </w:rPr>
        <w:t>eur. V skutočnosti je plnenie v</w:t>
      </w:r>
      <w:r w:rsidR="00D60B38">
        <w:rPr>
          <w:sz w:val="24"/>
          <w:szCs w:val="24"/>
        </w:rPr>
        <w:t> </w:t>
      </w:r>
      <w:r w:rsidRPr="007F3404">
        <w:rPr>
          <w:sz w:val="24"/>
          <w:szCs w:val="24"/>
        </w:rPr>
        <w:t>sume</w:t>
      </w:r>
      <w:r w:rsidR="00D60B38">
        <w:rPr>
          <w:sz w:val="24"/>
          <w:szCs w:val="24"/>
        </w:rPr>
        <w:t xml:space="preserve"> </w:t>
      </w:r>
      <w:r w:rsidRPr="007F3404">
        <w:rPr>
          <w:sz w:val="24"/>
          <w:szCs w:val="24"/>
        </w:rPr>
        <w:t>-</w:t>
      </w:r>
      <w:r w:rsidR="00D60B38">
        <w:rPr>
          <w:sz w:val="24"/>
          <w:szCs w:val="24"/>
        </w:rPr>
        <w:t> 9 907 </w:t>
      </w:r>
      <w:r w:rsidRPr="007F3404">
        <w:rPr>
          <w:sz w:val="24"/>
          <w:szCs w:val="24"/>
        </w:rPr>
        <w:t>tis.</w:t>
      </w:r>
      <w:r w:rsidR="00D60B38">
        <w:rPr>
          <w:sz w:val="24"/>
          <w:szCs w:val="24"/>
        </w:rPr>
        <w:t> </w:t>
      </w:r>
      <w:r w:rsidRPr="007F3404">
        <w:rPr>
          <w:sz w:val="24"/>
          <w:szCs w:val="24"/>
        </w:rPr>
        <w:t>eur, resp. -</w:t>
      </w:r>
      <w:r w:rsidR="00D60B38">
        <w:rPr>
          <w:sz w:val="24"/>
          <w:szCs w:val="24"/>
        </w:rPr>
        <w:t> </w:t>
      </w:r>
      <w:r w:rsidRPr="007F3404">
        <w:rPr>
          <w:sz w:val="24"/>
          <w:szCs w:val="24"/>
        </w:rPr>
        <w:t>1</w:t>
      </w:r>
      <w:r w:rsidR="00D60B38">
        <w:rPr>
          <w:sz w:val="24"/>
          <w:szCs w:val="24"/>
        </w:rPr>
        <w:t> </w:t>
      </w:r>
      <w:r w:rsidRPr="007F3404">
        <w:rPr>
          <w:sz w:val="24"/>
          <w:szCs w:val="24"/>
        </w:rPr>
        <w:t>612</w:t>
      </w:r>
      <w:r w:rsidR="00D60B38">
        <w:rPr>
          <w:sz w:val="24"/>
          <w:szCs w:val="24"/>
        </w:rPr>
        <w:t> tis. </w:t>
      </w:r>
      <w:r w:rsidRPr="007F3404">
        <w:rPr>
          <w:sz w:val="24"/>
          <w:szCs w:val="24"/>
        </w:rPr>
        <w:t>eur po presune časti sankcií.</w:t>
      </w:r>
    </w:p>
    <w:p w14:paraId="4BF613EA" w14:textId="6F653A61" w:rsidR="004D69BF" w:rsidRDefault="004D69BF" w:rsidP="004D69BF">
      <w:pPr>
        <w:spacing w:line="240" w:lineRule="auto"/>
        <w:rPr>
          <w:sz w:val="24"/>
          <w:szCs w:val="24"/>
        </w:rPr>
      </w:pPr>
      <w:r w:rsidRPr="007F3404">
        <w:rPr>
          <w:b/>
          <w:bCs/>
          <w:sz w:val="24"/>
          <w:szCs w:val="24"/>
        </w:rPr>
        <w:t>Daň z príjmov právnických osôb</w:t>
      </w:r>
      <w:r w:rsidRPr="007F3404">
        <w:rPr>
          <w:sz w:val="24"/>
          <w:szCs w:val="24"/>
        </w:rPr>
        <w:t xml:space="preserve"> sa rozpočtovala v sume 4</w:t>
      </w:r>
      <w:r w:rsidR="00D60B38">
        <w:rPr>
          <w:sz w:val="24"/>
          <w:szCs w:val="24"/>
        </w:rPr>
        <w:t> </w:t>
      </w:r>
      <w:r w:rsidRPr="007F3404">
        <w:rPr>
          <w:sz w:val="24"/>
          <w:szCs w:val="24"/>
        </w:rPr>
        <w:t>475</w:t>
      </w:r>
      <w:r w:rsidR="00D60B38">
        <w:rPr>
          <w:sz w:val="24"/>
          <w:szCs w:val="24"/>
        </w:rPr>
        <w:t> 610 </w:t>
      </w:r>
      <w:r w:rsidRPr="007F3404">
        <w:rPr>
          <w:sz w:val="24"/>
          <w:szCs w:val="24"/>
        </w:rPr>
        <w:t>tis.</w:t>
      </w:r>
      <w:r w:rsidR="00D60B38">
        <w:rPr>
          <w:sz w:val="24"/>
          <w:szCs w:val="24"/>
        </w:rPr>
        <w:t> eur. Skutočný výnos dosiahol 4 </w:t>
      </w:r>
      <w:r w:rsidRPr="007F3404">
        <w:rPr>
          <w:sz w:val="24"/>
          <w:szCs w:val="24"/>
        </w:rPr>
        <w:t>413</w:t>
      </w:r>
      <w:r w:rsidR="00D60B38">
        <w:rPr>
          <w:sz w:val="24"/>
          <w:szCs w:val="24"/>
        </w:rPr>
        <w:t> </w:t>
      </w:r>
      <w:r w:rsidRPr="007F3404">
        <w:rPr>
          <w:sz w:val="24"/>
          <w:szCs w:val="24"/>
        </w:rPr>
        <w:t>168</w:t>
      </w:r>
      <w:r w:rsidR="00D60B38">
        <w:rPr>
          <w:sz w:val="24"/>
          <w:szCs w:val="24"/>
        </w:rPr>
        <w:t> </w:t>
      </w:r>
      <w:r w:rsidRPr="007F3404">
        <w:rPr>
          <w:sz w:val="24"/>
          <w:szCs w:val="24"/>
        </w:rPr>
        <w:t>tis.</w:t>
      </w:r>
      <w:r w:rsidR="00D60B38">
        <w:rPr>
          <w:sz w:val="24"/>
          <w:szCs w:val="24"/>
        </w:rPr>
        <w:t> </w:t>
      </w:r>
      <w:r w:rsidRPr="007F3404">
        <w:rPr>
          <w:sz w:val="24"/>
          <w:szCs w:val="24"/>
        </w:rPr>
        <w:t>eur, čo preds</w:t>
      </w:r>
      <w:r w:rsidR="00D60B38">
        <w:rPr>
          <w:sz w:val="24"/>
          <w:szCs w:val="24"/>
        </w:rPr>
        <w:t>tavuje plnenie rozpočtu na 98,6 </w:t>
      </w:r>
      <w:r w:rsidRPr="007F3404">
        <w:rPr>
          <w:sz w:val="24"/>
          <w:szCs w:val="24"/>
        </w:rPr>
        <w:t>%. Výnos</w:t>
      </w:r>
      <w:r w:rsidR="00D60B38">
        <w:rPr>
          <w:sz w:val="24"/>
          <w:szCs w:val="24"/>
        </w:rPr>
        <w:t xml:space="preserve"> bol oproti rozpočtu nižší o 62 </w:t>
      </w:r>
      <w:r w:rsidRPr="007F3404">
        <w:rPr>
          <w:sz w:val="24"/>
          <w:szCs w:val="24"/>
        </w:rPr>
        <w:t>442</w:t>
      </w:r>
      <w:r w:rsidR="00D60B38">
        <w:rPr>
          <w:sz w:val="24"/>
          <w:szCs w:val="24"/>
        </w:rPr>
        <w:t> </w:t>
      </w:r>
      <w:r w:rsidRPr="007F3404">
        <w:rPr>
          <w:sz w:val="24"/>
          <w:szCs w:val="24"/>
        </w:rPr>
        <w:t>tis.</w:t>
      </w:r>
      <w:r w:rsidR="00D60B38">
        <w:rPr>
          <w:sz w:val="24"/>
          <w:szCs w:val="24"/>
        </w:rPr>
        <w:t> </w:t>
      </w:r>
      <w:r w:rsidRPr="007F3404">
        <w:rPr>
          <w:sz w:val="24"/>
          <w:szCs w:val="24"/>
        </w:rPr>
        <w:t>eur.</w:t>
      </w:r>
      <w:r>
        <w:rPr>
          <w:sz w:val="24"/>
          <w:szCs w:val="24"/>
        </w:rPr>
        <w:t xml:space="preserve"> </w:t>
      </w:r>
      <w:r w:rsidRPr="00120A8E">
        <w:rPr>
          <w:sz w:val="24"/>
          <w:szCs w:val="24"/>
        </w:rPr>
        <w:t>Za nenaplnením rozpočtu je nižší výnos z preddavkov, ktorý bol nadho</w:t>
      </w:r>
      <w:r w:rsidR="00D60B38">
        <w:rPr>
          <w:sz w:val="24"/>
          <w:szCs w:val="24"/>
        </w:rPr>
        <w:t>dnotený o 190 </w:t>
      </w:r>
      <w:r w:rsidRPr="00120A8E">
        <w:rPr>
          <w:sz w:val="24"/>
          <w:szCs w:val="24"/>
        </w:rPr>
        <w:t>065</w:t>
      </w:r>
      <w:r w:rsidR="00D60B38">
        <w:rPr>
          <w:sz w:val="24"/>
          <w:szCs w:val="24"/>
        </w:rPr>
        <w:t> </w:t>
      </w:r>
      <w:r w:rsidRPr="00120A8E">
        <w:rPr>
          <w:sz w:val="24"/>
          <w:szCs w:val="24"/>
        </w:rPr>
        <w:t>tis.</w:t>
      </w:r>
      <w:r w:rsidR="00D60B38">
        <w:rPr>
          <w:sz w:val="24"/>
          <w:szCs w:val="24"/>
        </w:rPr>
        <w:t> </w:t>
      </w:r>
      <w:r w:rsidRPr="00120A8E">
        <w:rPr>
          <w:sz w:val="24"/>
          <w:szCs w:val="24"/>
        </w:rPr>
        <w:t>eur. Nižší výnos z preddavkov bol čiastočne kompenzovaný vysokým výnosom z vyrovnania dane, ktorý prekonal očakávania a dosiahol úroveň 1</w:t>
      </w:r>
      <w:r w:rsidR="00D60B38">
        <w:rPr>
          <w:sz w:val="24"/>
          <w:szCs w:val="24"/>
        </w:rPr>
        <w:t> </w:t>
      </w:r>
      <w:r w:rsidRPr="00120A8E">
        <w:rPr>
          <w:sz w:val="24"/>
          <w:szCs w:val="24"/>
        </w:rPr>
        <w:t>313</w:t>
      </w:r>
      <w:r w:rsidR="00D60B38">
        <w:rPr>
          <w:sz w:val="24"/>
          <w:szCs w:val="24"/>
        </w:rPr>
        <w:t> </w:t>
      </w:r>
      <w:r w:rsidRPr="00120A8E">
        <w:rPr>
          <w:sz w:val="24"/>
          <w:szCs w:val="24"/>
        </w:rPr>
        <w:t>304</w:t>
      </w:r>
      <w:r w:rsidR="00D60B38">
        <w:rPr>
          <w:sz w:val="24"/>
          <w:szCs w:val="24"/>
        </w:rPr>
        <w:t> </w:t>
      </w:r>
      <w:r w:rsidRPr="00120A8E">
        <w:rPr>
          <w:sz w:val="24"/>
          <w:szCs w:val="24"/>
        </w:rPr>
        <w:t>tis.</w:t>
      </w:r>
      <w:r w:rsidR="00D60B38">
        <w:rPr>
          <w:sz w:val="24"/>
          <w:szCs w:val="24"/>
        </w:rPr>
        <w:t> </w:t>
      </w:r>
      <w:r w:rsidRPr="00120A8E">
        <w:rPr>
          <w:sz w:val="24"/>
          <w:szCs w:val="24"/>
        </w:rPr>
        <w:t>eur, č</w:t>
      </w:r>
      <w:r w:rsidR="00D60B38">
        <w:rPr>
          <w:sz w:val="24"/>
          <w:szCs w:val="24"/>
        </w:rPr>
        <w:t>o je zmena oproti rozpočtu o 96 755 </w:t>
      </w:r>
      <w:r w:rsidRPr="00120A8E">
        <w:rPr>
          <w:sz w:val="24"/>
          <w:szCs w:val="24"/>
        </w:rPr>
        <w:t>tis.</w:t>
      </w:r>
      <w:r w:rsidR="00D60B38">
        <w:rPr>
          <w:sz w:val="24"/>
          <w:szCs w:val="24"/>
        </w:rPr>
        <w:t> </w:t>
      </w:r>
      <w:r w:rsidRPr="00120A8E">
        <w:rPr>
          <w:sz w:val="24"/>
          <w:szCs w:val="24"/>
        </w:rPr>
        <w:t>e</w:t>
      </w:r>
      <w:r w:rsidR="00D60B38">
        <w:rPr>
          <w:sz w:val="24"/>
          <w:szCs w:val="24"/>
        </w:rPr>
        <w:t>ur. Hotovostný výnos dane bol v </w:t>
      </w:r>
      <w:r w:rsidRPr="00120A8E">
        <w:rPr>
          <w:sz w:val="24"/>
          <w:szCs w:val="24"/>
        </w:rPr>
        <w:t>roku 2024 (podobne ako aj v roku 2023) ponížený o p</w:t>
      </w:r>
      <w:r w:rsidR="00D60B38">
        <w:rPr>
          <w:sz w:val="24"/>
          <w:szCs w:val="24"/>
        </w:rPr>
        <w:t>revod časti výnosu v objeme 337 </w:t>
      </w:r>
      <w:r w:rsidRPr="00120A8E">
        <w:rPr>
          <w:sz w:val="24"/>
          <w:szCs w:val="24"/>
        </w:rPr>
        <w:t>923</w:t>
      </w:r>
      <w:r w:rsidR="00D60B38">
        <w:rPr>
          <w:sz w:val="24"/>
          <w:szCs w:val="24"/>
        </w:rPr>
        <w:t> </w:t>
      </w:r>
      <w:r w:rsidRPr="00120A8E">
        <w:rPr>
          <w:sz w:val="24"/>
          <w:szCs w:val="24"/>
        </w:rPr>
        <w:t>tis.</w:t>
      </w:r>
      <w:r w:rsidR="00D60B38">
        <w:rPr>
          <w:sz w:val="24"/>
          <w:szCs w:val="24"/>
        </w:rPr>
        <w:t> </w:t>
      </w:r>
      <w:r w:rsidRPr="00120A8E">
        <w:rPr>
          <w:sz w:val="24"/>
          <w:szCs w:val="24"/>
        </w:rPr>
        <w:t>eur samosprávam. Jedná sa o špecifickú ope</w:t>
      </w:r>
      <w:r w:rsidR="00D60B38">
        <w:rPr>
          <w:sz w:val="24"/>
          <w:szCs w:val="24"/>
        </w:rPr>
        <w:t>ráciu, ktorá je skôr prítomná v </w:t>
      </w:r>
      <w:r w:rsidRPr="00120A8E">
        <w:rPr>
          <w:sz w:val="24"/>
          <w:szCs w:val="24"/>
        </w:rPr>
        <w:t xml:space="preserve">DPFO, ktoré je plne podielovou daňou a celý jej výnos je prevedený samosprávam. V roku 2023 </w:t>
      </w:r>
      <w:r w:rsidR="00D60B38">
        <w:rPr>
          <w:sz w:val="24"/>
          <w:szCs w:val="24"/>
        </w:rPr>
        <w:t>bolo z </w:t>
      </w:r>
      <w:r w:rsidRPr="00120A8E">
        <w:rPr>
          <w:sz w:val="24"/>
          <w:szCs w:val="24"/>
        </w:rPr>
        <w:t>titulu nižšieho výnosu DPFO hlavne pre novelizác</w:t>
      </w:r>
      <w:r w:rsidR="00D60B38">
        <w:rPr>
          <w:sz w:val="24"/>
          <w:szCs w:val="24"/>
        </w:rPr>
        <w:t>iu daňového bonusu rozhodnuté o </w:t>
      </w:r>
      <w:r w:rsidRPr="00120A8E">
        <w:rPr>
          <w:sz w:val="24"/>
          <w:szCs w:val="24"/>
        </w:rPr>
        <w:t>dofinancovaní výpadku príjmu samospráv z DPFO cez transfer z DPPO.</w:t>
      </w:r>
    </w:p>
    <w:p w14:paraId="3A66D19F" w14:textId="5B07085E" w:rsidR="004D69BF" w:rsidRPr="00C315AE" w:rsidRDefault="004D69BF" w:rsidP="004D69BF">
      <w:pPr>
        <w:spacing w:line="240" w:lineRule="auto"/>
        <w:rPr>
          <w:sz w:val="24"/>
          <w:szCs w:val="24"/>
          <w:highlight w:val="yellow"/>
        </w:rPr>
      </w:pPr>
      <w:r w:rsidRPr="007F3404">
        <w:rPr>
          <w:sz w:val="24"/>
          <w:szCs w:val="24"/>
        </w:rPr>
        <w:t xml:space="preserve">Medziročne daň z príjmov právnických osôb vzrástla o </w:t>
      </w:r>
      <w:r w:rsidR="00D60B38">
        <w:rPr>
          <w:sz w:val="24"/>
          <w:szCs w:val="24"/>
        </w:rPr>
        <w:t>506 </w:t>
      </w:r>
      <w:r w:rsidR="00D60B38" w:rsidRPr="00D60B38">
        <w:t>747</w:t>
      </w:r>
      <w:r w:rsidRPr="00D60B38">
        <w:t>tis</w:t>
      </w:r>
      <w:r w:rsidRPr="000A3752">
        <w:rPr>
          <w:sz w:val="24"/>
          <w:szCs w:val="24"/>
        </w:rPr>
        <w:t>.</w:t>
      </w:r>
      <w:r w:rsidR="00D60B38">
        <w:rPr>
          <w:sz w:val="24"/>
          <w:szCs w:val="24"/>
        </w:rPr>
        <w:t> </w:t>
      </w:r>
      <w:r w:rsidRPr="000A3752">
        <w:rPr>
          <w:sz w:val="24"/>
          <w:szCs w:val="24"/>
        </w:rPr>
        <w:t xml:space="preserve">eur. </w:t>
      </w:r>
      <w:r w:rsidR="000F7ABA">
        <w:rPr>
          <w:sz w:val="24"/>
          <w:szCs w:val="24"/>
        </w:rPr>
        <w:t>Zlepšil sa výnos na </w:t>
      </w:r>
      <w:r w:rsidRPr="00120A8E">
        <w:rPr>
          <w:sz w:val="24"/>
          <w:szCs w:val="24"/>
        </w:rPr>
        <w:t>strane pred</w:t>
      </w:r>
      <w:r w:rsidR="00D60B38">
        <w:rPr>
          <w:sz w:val="24"/>
          <w:szCs w:val="24"/>
        </w:rPr>
        <w:t>davkov o 419 </w:t>
      </w:r>
      <w:r w:rsidRPr="00120A8E">
        <w:rPr>
          <w:sz w:val="24"/>
          <w:szCs w:val="24"/>
        </w:rPr>
        <w:t>441</w:t>
      </w:r>
      <w:r w:rsidR="00D60B38">
        <w:rPr>
          <w:sz w:val="24"/>
          <w:szCs w:val="24"/>
        </w:rPr>
        <w:t> </w:t>
      </w:r>
      <w:r w:rsidRPr="00120A8E">
        <w:rPr>
          <w:sz w:val="24"/>
          <w:szCs w:val="24"/>
        </w:rPr>
        <w:t>tis.</w:t>
      </w:r>
      <w:r w:rsidR="00D60B38">
        <w:rPr>
          <w:sz w:val="24"/>
          <w:szCs w:val="24"/>
        </w:rPr>
        <w:t> e</w:t>
      </w:r>
      <w:r w:rsidRPr="00120A8E">
        <w:rPr>
          <w:sz w:val="24"/>
          <w:szCs w:val="24"/>
        </w:rPr>
        <w:t>ur, čo predstavuje medziročný rast 14</w:t>
      </w:r>
      <w:r w:rsidR="00D60B38">
        <w:rPr>
          <w:sz w:val="24"/>
          <w:szCs w:val="24"/>
        </w:rPr>
        <w:t> </w:t>
      </w:r>
      <w:r w:rsidRPr="00120A8E">
        <w:rPr>
          <w:sz w:val="24"/>
          <w:szCs w:val="24"/>
        </w:rPr>
        <w:t>%. Vyrovnanie dane opäť prekročilo hodnotu nad 1 mld. eur a bo</w:t>
      </w:r>
      <w:r w:rsidR="00D60B38">
        <w:rPr>
          <w:sz w:val="24"/>
          <w:szCs w:val="24"/>
        </w:rPr>
        <w:t>lo oproti roku 2023 vyššie o 70 </w:t>
      </w:r>
      <w:r w:rsidRPr="00120A8E">
        <w:rPr>
          <w:sz w:val="24"/>
          <w:szCs w:val="24"/>
        </w:rPr>
        <w:t>703</w:t>
      </w:r>
      <w:r w:rsidR="00D60B38">
        <w:rPr>
          <w:sz w:val="24"/>
          <w:szCs w:val="24"/>
        </w:rPr>
        <w:t> </w:t>
      </w:r>
      <w:r w:rsidRPr="00120A8E">
        <w:rPr>
          <w:sz w:val="24"/>
          <w:szCs w:val="24"/>
        </w:rPr>
        <w:t>tis.</w:t>
      </w:r>
      <w:r w:rsidR="00D60B38">
        <w:rPr>
          <w:sz w:val="24"/>
          <w:szCs w:val="24"/>
        </w:rPr>
        <w:t> </w:t>
      </w:r>
      <w:r w:rsidRPr="00120A8E">
        <w:rPr>
          <w:sz w:val="24"/>
          <w:szCs w:val="24"/>
        </w:rPr>
        <w:t>eur. Celkový rast dane spomalil oproti RVS v dôsledku pomalšieh</w:t>
      </w:r>
      <w:r w:rsidR="000F7ABA">
        <w:rPr>
          <w:sz w:val="24"/>
          <w:szCs w:val="24"/>
        </w:rPr>
        <w:t>o rastu preddavkov, no ostal na </w:t>
      </w:r>
      <w:r w:rsidRPr="00120A8E">
        <w:rPr>
          <w:sz w:val="24"/>
          <w:szCs w:val="24"/>
        </w:rPr>
        <w:t>vysokej úrovni vďaka ziskovosti podnikov, ktorá sa podobne ako v predchádzajúcich rokoch 2022 a 2023 držala na silných úrovniach.</w:t>
      </w:r>
    </w:p>
    <w:p w14:paraId="1584A3E5" w14:textId="391035A9" w:rsidR="004D69BF" w:rsidRPr="00121623" w:rsidRDefault="004D69BF" w:rsidP="004D69BF">
      <w:pPr>
        <w:spacing w:line="240" w:lineRule="auto"/>
        <w:rPr>
          <w:sz w:val="24"/>
          <w:szCs w:val="24"/>
        </w:rPr>
      </w:pPr>
      <w:r w:rsidRPr="00121623">
        <w:rPr>
          <w:sz w:val="24"/>
          <w:szCs w:val="24"/>
        </w:rPr>
        <w:t>Rovnako ako pri fyzických osobách, aj právnické osoby majú možnosť poukázať 2</w:t>
      </w:r>
      <w:r w:rsidR="00D60B38">
        <w:rPr>
          <w:sz w:val="24"/>
          <w:szCs w:val="24"/>
        </w:rPr>
        <w:t> </w:t>
      </w:r>
      <w:r w:rsidRPr="00121623">
        <w:rPr>
          <w:sz w:val="24"/>
          <w:szCs w:val="24"/>
        </w:rPr>
        <w:t>% (v</w:t>
      </w:r>
      <w:r w:rsidR="00D60B38">
        <w:rPr>
          <w:sz w:val="24"/>
          <w:szCs w:val="24"/>
        </w:rPr>
        <w:t> špecifických prípadoch len 1 </w:t>
      </w:r>
      <w:r w:rsidRPr="00121623">
        <w:rPr>
          <w:sz w:val="24"/>
          <w:szCs w:val="24"/>
        </w:rPr>
        <w:t>%) z odvedenej da</w:t>
      </w:r>
      <w:r w:rsidR="000F7ABA">
        <w:rPr>
          <w:sz w:val="24"/>
          <w:szCs w:val="24"/>
        </w:rPr>
        <w:t>ne na verejnoprospešný účel. To </w:t>
      </w:r>
      <w:r w:rsidRPr="00121623">
        <w:rPr>
          <w:sz w:val="24"/>
          <w:szCs w:val="24"/>
        </w:rPr>
        <w:t>znižuje hotovostný výnos dane. V rozpočte sa uvaž</w:t>
      </w:r>
      <w:r w:rsidR="00D60B38">
        <w:rPr>
          <w:sz w:val="24"/>
          <w:szCs w:val="24"/>
        </w:rPr>
        <w:t>ovalo o prevode vo výške 54 679 </w:t>
      </w:r>
      <w:r w:rsidRPr="00121623">
        <w:rPr>
          <w:sz w:val="24"/>
          <w:szCs w:val="24"/>
        </w:rPr>
        <w:t>tis</w:t>
      </w:r>
      <w:r w:rsidR="00D60B38">
        <w:rPr>
          <w:sz w:val="24"/>
          <w:szCs w:val="24"/>
        </w:rPr>
        <w:t>. </w:t>
      </w:r>
      <w:r w:rsidRPr="00121623">
        <w:rPr>
          <w:sz w:val="24"/>
          <w:szCs w:val="24"/>
        </w:rPr>
        <w:t>eur, v</w:t>
      </w:r>
      <w:r w:rsidR="00D60B38">
        <w:rPr>
          <w:sz w:val="24"/>
          <w:szCs w:val="24"/>
        </w:rPr>
        <w:t> skutočnosti sa previedlo 57 548 </w:t>
      </w:r>
      <w:r w:rsidRPr="00121623">
        <w:rPr>
          <w:sz w:val="24"/>
          <w:szCs w:val="24"/>
        </w:rPr>
        <w:t>tis.</w:t>
      </w:r>
      <w:r w:rsidR="00D60B38">
        <w:rPr>
          <w:sz w:val="24"/>
          <w:szCs w:val="24"/>
        </w:rPr>
        <w:t> </w:t>
      </w:r>
      <w:r w:rsidRPr="00121623">
        <w:rPr>
          <w:sz w:val="24"/>
          <w:szCs w:val="24"/>
        </w:rPr>
        <w:t>eur.</w:t>
      </w:r>
    </w:p>
    <w:p w14:paraId="1B6FD6CF" w14:textId="01A95445" w:rsidR="00A1147F" w:rsidRPr="00A1147F" w:rsidRDefault="00A1147F" w:rsidP="00A1147F">
      <w:pPr>
        <w:pStyle w:val="Popis"/>
        <w:keepNext/>
        <w:spacing w:after="120"/>
        <w:rPr>
          <w:rFonts w:eastAsia="Times New Roman" w:cs="Times New Roman"/>
          <w:b/>
          <w:bCs/>
          <w:i w:val="0"/>
          <w:iCs w:val="0"/>
          <w:color w:val="5B9BD5"/>
          <w:sz w:val="20"/>
          <w:szCs w:val="20"/>
          <w:lang w:eastAsia="sk-SK"/>
        </w:rPr>
      </w:pPr>
      <w:bookmarkStart w:id="96" w:name="_Toc196313651"/>
      <w:bookmarkStart w:id="97" w:name="_Toc196389272"/>
      <w:r w:rsidRPr="00A1147F">
        <w:rPr>
          <w:rFonts w:eastAsia="Times New Roman" w:cs="Times New Roman"/>
          <w:b/>
          <w:bCs/>
          <w:i w:val="0"/>
          <w:iCs w:val="0"/>
          <w:color w:val="5B9BD5"/>
          <w:sz w:val="20"/>
          <w:szCs w:val="20"/>
          <w:lang w:eastAsia="sk-SK"/>
        </w:rPr>
        <w:t xml:space="preserve">Tabuľka </w:t>
      </w:r>
      <w:r w:rsidRPr="00A1147F">
        <w:rPr>
          <w:rFonts w:eastAsia="Times New Roman" w:cs="Times New Roman"/>
          <w:b/>
          <w:bCs/>
          <w:i w:val="0"/>
          <w:iCs w:val="0"/>
          <w:color w:val="5B9BD5"/>
          <w:sz w:val="20"/>
          <w:szCs w:val="20"/>
          <w:lang w:eastAsia="sk-SK"/>
        </w:rPr>
        <w:fldChar w:fldCharType="begin"/>
      </w:r>
      <w:r w:rsidRPr="00A1147F">
        <w:rPr>
          <w:rFonts w:eastAsia="Times New Roman" w:cs="Times New Roman"/>
          <w:b/>
          <w:bCs/>
          <w:i w:val="0"/>
          <w:iCs w:val="0"/>
          <w:color w:val="5B9BD5"/>
          <w:sz w:val="20"/>
          <w:szCs w:val="20"/>
          <w:lang w:eastAsia="sk-SK"/>
        </w:rPr>
        <w:instrText xml:space="preserve"> SEQ Tabuľka \* ARABIC </w:instrText>
      </w:r>
      <w:r w:rsidRPr="00A1147F">
        <w:rPr>
          <w:rFonts w:eastAsia="Times New Roman" w:cs="Times New Roman"/>
          <w:b/>
          <w:bCs/>
          <w:i w:val="0"/>
          <w:iCs w:val="0"/>
          <w:color w:val="5B9BD5"/>
          <w:sz w:val="20"/>
          <w:szCs w:val="20"/>
          <w:lang w:eastAsia="sk-SK"/>
        </w:rPr>
        <w:fldChar w:fldCharType="separate"/>
      </w:r>
      <w:r w:rsidR="00C64CBA">
        <w:rPr>
          <w:rFonts w:eastAsia="Times New Roman" w:cs="Times New Roman"/>
          <w:b/>
          <w:bCs/>
          <w:i w:val="0"/>
          <w:iCs w:val="0"/>
          <w:noProof/>
          <w:color w:val="5B9BD5"/>
          <w:sz w:val="20"/>
          <w:szCs w:val="20"/>
          <w:lang w:eastAsia="sk-SK"/>
        </w:rPr>
        <w:t>25</w:t>
      </w:r>
      <w:r w:rsidRPr="00A1147F">
        <w:rPr>
          <w:rFonts w:eastAsia="Times New Roman" w:cs="Times New Roman"/>
          <w:b/>
          <w:bCs/>
          <w:i w:val="0"/>
          <w:iCs w:val="0"/>
          <w:color w:val="5B9BD5"/>
          <w:sz w:val="20"/>
          <w:szCs w:val="20"/>
          <w:lang w:eastAsia="sk-SK"/>
        </w:rPr>
        <w:fldChar w:fldCharType="end"/>
      </w:r>
      <w:r w:rsidRPr="00A1147F">
        <w:rPr>
          <w:rFonts w:eastAsia="Times New Roman" w:cs="Times New Roman"/>
          <w:b/>
          <w:bCs/>
          <w:i w:val="0"/>
          <w:iCs w:val="0"/>
          <w:color w:val="5B9BD5"/>
          <w:sz w:val="20"/>
          <w:szCs w:val="20"/>
          <w:lang w:eastAsia="sk-SK"/>
        </w:rPr>
        <w:t xml:space="preserve"> - Prevod podielu dane na osobitný účel</w:t>
      </w:r>
      <w:bookmarkEnd w:id="96"/>
      <w:bookmarkEnd w:id="97"/>
    </w:p>
    <w:tbl>
      <w:tblPr>
        <w:tblW w:w="5000" w:type="pct"/>
        <w:tblCellMar>
          <w:left w:w="70" w:type="dxa"/>
          <w:right w:w="70" w:type="dxa"/>
        </w:tblCellMar>
        <w:tblLook w:val="04A0" w:firstRow="1" w:lastRow="0" w:firstColumn="1" w:lastColumn="0" w:noHBand="0" w:noVBand="1"/>
      </w:tblPr>
      <w:tblGrid>
        <w:gridCol w:w="4405"/>
        <w:gridCol w:w="1916"/>
        <w:gridCol w:w="1373"/>
        <w:gridCol w:w="1236"/>
      </w:tblGrid>
      <w:tr w:rsidR="004D69BF" w:rsidRPr="00D0395E" w14:paraId="0B6E1E15" w14:textId="77777777" w:rsidTr="003F4BCE">
        <w:trPr>
          <w:trHeight w:val="345"/>
          <w:tblHeader/>
        </w:trPr>
        <w:tc>
          <w:tcPr>
            <w:tcW w:w="2466" w:type="pct"/>
            <w:tcBorders>
              <w:top w:val="single" w:sz="4" w:space="0" w:color="auto"/>
              <w:left w:val="nil"/>
              <w:bottom w:val="single" w:sz="4" w:space="0" w:color="auto"/>
              <w:right w:val="nil"/>
            </w:tcBorders>
            <w:shd w:val="clear" w:color="auto" w:fill="auto"/>
            <w:noWrap/>
            <w:vAlign w:val="center"/>
            <w:hideMark/>
          </w:tcPr>
          <w:p w14:paraId="51F2CE2E" w14:textId="77777777" w:rsidR="004D69BF" w:rsidRPr="00D0395E" w:rsidRDefault="004D69BF" w:rsidP="000240DA">
            <w:pPr>
              <w:spacing w:after="0" w:line="240" w:lineRule="auto"/>
              <w:jc w:val="lef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v tis. eur</w:t>
            </w:r>
          </w:p>
        </w:tc>
        <w:tc>
          <w:tcPr>
            <w:tcW w:w="1072" w:type="pct"/>
            <w:tcBorders>
              <w:top w:val="single" w:sz="4" w:space="0" w:color="auto"/>
              <w:left w:val="nil"/>
              <w:bottom w:val="single" w:sz="4" w:space="0" w:color="auto"/>
              <w:right w:val="nil"/>
            </w:tcBorders>
            <w:shd w:val="clear" w:color="auto" w:fill="auto"/>
            <w:noWrap/>
            <w:vAlign w:val="center"/>
            <w:hideMark/>
          </w:tcPr>
          <w:p w14:paraId="6ADC95F9"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2022 S</w:t>
            </w:r>
          </w:p>
        </w:tc>
        <w:tc>
          <w:tcPr>
            <w:tcW w:w="769" w:type="pct"/>
            <w:tcBorders>
              <w:top w:val="single" w:sz="4" w:space="0" w:color="auto"/>
              <w:left w:val="nil"/>
              <w:bottom w:val="single" w:sz="4" w:space="0" w:color="auto"/>
              <w:right w:val="nil"/>
            </w:tcBorders>
            <w:shd w:val="clear" w:color="auto" w:fill="auto"/>
            <w:noWrap/>
            <w:vAlign w:val="center"/>
            <w:hideMark/>
          </w:tcPr>
          <w:p w14:paraId="2B725470"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2023 S</w:t>
            </w:r>
          </w:p>
        </w:tc>
        <w:tc>
          <w:tcPr>
            <w:tcW w:w="692" w:type="pct"/>
            <w:tcBorders>
              <w:top w:val="single" w:sz="4" w:space="0" w:color="auto"/>
              <w:left w:val="nil"/>
              <w:bottom w:val="single" w:sz="4" w:space="0" w:color="auto"/>
              <w:right w:val="nil"/>
            </w:tcBorders>
            <w:shd w:val="clear" w:color="auto" w:fill="auto"/>
            <w:noWrap/>
            <w:vAlign w:val="center"/>
            <w:hideMark/>
          </w:tcPr>
          <w:p w14:paraId="5C1E2494"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2024 S</w:t>
            </w:r>
          </w:p>
        </w:tc>
      </w:tr>
      <w:tr w:rsidR="004D69BF" w:rsidRPr="00D0395E" w14:paraId="421CD749" w14:textId="77777777" w:rsidTr="003F4BCE">
        <w:trPr>
          <w:trHeight w:val="330"/>
        </w:trPr>
        <w:tc>
          <w:tcPr>
            <w:tcW w:w="2466" w:type="pct"/>
            <w:tcBorders>
              <w:top w:val="single" w:sz="4" w:space="0" w:color="auto"/>
              <w:left w:val="nil"/>
              <w:bottom w:val="nil"/>
              <w:right w:val="nil"/>
            </w:tcBorders>
            <w:shd w:val="clear" w:color="auto" w:fill="auto"/>
            <w:noWrap/>
            <w:vAlign w:val="center"/>
            <w:hideMark/>
          </w:tcPr>
          <w:p w14:paraId="1A84B6B7"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Prevod podielu dane z príjmov FO na osobitný účel</w:t>
            </w:r>
          </w:p>
        </w:tc>
        <w:tc>
          <w:tcPr>
            <w:tcW w:w="1072" w:type="pct"/>
            <w:tcBorders>
              <w:top w:val="single" w:sz="4" w:space="0" w:color="auto"/>
              <w:left w:val="nil"/>
              <w:bottom w:val="nil"/>
              <w:right w:val="nil"/>
            </w:tcBorders>
            <w:shd w:val="clear" w:color="auto" w:fill="auto"/>
            <w:noWrap/>
            <w:vAlign w:val="center"/>
            <w:hideMark/>
          </w:tcPr>
          <w:p w14:paraId="70624EF6"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42 860</w:t>
            </w:r>
          </w:p>
        </w:tc>
        <w:tc>
          <w:tcPr>
            <w:tcW w:w="769" w:type="pct"/>
            <w:tcBorders>
              <w:top w:val="single" w:sz="4" w:space="0" w:color="auto"/>
              <w:left w:val="nil"/>
              <w:bottom w:val="nil"/>
              <w:right w:val="nil"/>
            </w:tcBorders>
            <w:shd w:val="clear" w:color="auto" w:fill="auto"/>
            <w:noWrap/>
            <w:vAlign w:val="center"/>
            <w:hideMark/>
          </w:tcPr>
          <w:p w14:paraId="067C3453"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47 965</w:t>
            </w:r>
          </w:p>
        </w:tc>
        <w:tc>
          <w:tcPr>
            <w:tcW w:w="692" w:type="pct"/>
            <w:tcBorders>
              <w:top w:val="single" w:sz="4" w:space="0" w:color="auto"/>
              <w:left w:val="nil"/>
              <w:bottom w:val="nil"/>
              <w:right w:val="nil"/>
            </w:tcBorders>
            <w:shd w:val="clear" w:color="auto" w:fill="auto"/>
            <w:noWrap/>
            <w:vAlign w:val="center"/>
            <w:hideMark/>
          </w:tcPr>
          <w:p w14:paraId="65EFF87E"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47 705</w:t>
            </w:r>
          </w:p>
        </w:tc>
      </w:tr>
      <w:tr w:rsidR="004D69BF" w:rsidRPr="00D0395E" w14:paraId="4ABBF7C4" w14:textId="77777777" w:rsidTr="003F4BCE">
        <w:trPr>
          <w:trHeight w:val="345"/>
        </w:trPr>
        <w:tc>
          <w:tcPr>
            <w:tcW w:w="2466" w:type="pct"/>
            <w:tcBorders>
              <w:top w:val="nil"/>
              <w:left w:val="nil"/>
              <w:bottom w:val="single" w:sz="4" w:space="0" w:color="auto"/>
              <w:right w:val="nil"/>
            </w:tcBorders>
            <w:shd w:val="clear" w:color="auto" w:fill="auto"/>
            <w:noWrap/>
            <w:vAlign w:val="center"/>
            <w:hideMark/>
          </w:tcPr>
          <w:p w14:paraId="677BD95E"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Prevod podielu dane z príjmov PO na osobitný účel</w:t>
            </w:r>
          </w:p>
        </w:tc>
        <w:tc>
          <w:tcPr>
            <w:tcW w:w="1072" w:type="pct"/>
            <w:tcBorders>
              <w:top w:val="nil"/>
              <w:left w:val="nil"/>
              <w:bottom w:val="single" w:sz="4" w:space="0" w:color="auto"/>
              <w:right w:val="nil"/>
            </w:tcBorders>
            <w:shd w:val="clear" w:color="auto" w:fill="auto"/>
            <w:noWrap/>
            <w:vAlign w:val="center"/>
            <w:hideMark/>
          </w:tcPr>
          <w:p w14:paraId="154EE0C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45 133</w:t>
            </w:r>
          </w:p>
        </w:tc>
        <w:tc>
          <w:tcPr>
            <w:tcW w:w="769" w:type="pct"/>
            <w:tcBorders>
              <w:top w:val="nil"/>
              <w:left w:val="nil"/>
              <w:bottom w:val="single" w:sz="4" w:space="0" w:color="auto"/>
              <w:right w:val="nil"/>
            </w:tcBorders>
            <w:shd w:val="clear" w:color="auto" w:fill="auto"/>
            <w:noWrap/>
            <w:vAlign w:val="center"/>
            <w:hideMark/>
          </w:tcPr>
          <w:p w14:paraId="0E125F9B"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52 905</w:t>
            </w:r>
          </w:p>
        </w:tc>
        <w:tc>
          <w:tcPr>
            <w:tcW w:w="692" w:type="pct"/>
            <w:tcBorders>
              <w:top w:val="nil"/>
              <w:left w:val="nil"/>
              <w:bottom w:val="single" w:sz="4" w:space="0" w:color="auto"/>
              <w:right w:val="nil"/>
            </w:tcBorders>
            <w:shd w:val="clear" w:color="auto" w:fill="auto"/>
            <w:noWrap/>
            <w:vAlign w:val="center"/>
            <w:hideMark/>
          </w:tcPr>
          <w:p w14:paraId="71EA75F4"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57 548</w:t>
            </w:r>
          </w:p>
        </w:tc>
      </w:tr>
      <w:tr w:rsidR="004D69BF" w:rsidRPr="00D0395E" w14:paraId="3F03DDC6" w14:textId="77777777" w:rsidTr="003F4BCE">
        <w:trPr>
          <w:trHeight w:val="345"/>
        </w:trPr>
        <w:tc>
          <w:tcPr>
            <w:tcW w:w="2466" w:type="pct"/>
            <w:tcBorders>
              <w:top w:val="single" w:sz="4" w:space="0" w:color="auto"/>
              <w:left w:val="nil"/>
              <w:bottom w:val="single" w:sz="4" w:space="0" w:color="auto"/>
              <w:right w:val="nil"/>
            </w:tcBorders>
            <w:shd w:val="clear" w:color="auto" w:fill="auto"/>
            <w:noWrap/>
            <w:vAlign w:val="center"/>
            <w:hideMark/>
          </w:tcPr>
          <w:p w14:paraId="281D0A39" w14:textId="77777777" w:rsidR="004D69BF" w:rsidRPr="00D0395E" w:rsidRDefault="004D69BF" w:rsidP="000240DA">
            <w:pPr>
              <w:spacing w:after="0" w:line="240" w:lineRule="auto"/>
              <w:jc w:val="lef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Spolu</w:t>
            </w:r>
          </w:p>
        </w:tc>
        <w:tc>
          <w:tcPr>
            <w:tcW w:w="1072" w:type="pct"/>
            <w:tcBorders>
              <w:top w:val="single" w:sz="4" w:space="0" w:color="auto"/>
              <w:left w:val="nil"/>
              <w:bottom w:val="single" w:sz="4" w:space="0" w:color="auto"/>
              <w:right w:val="nil"/>
            </w:tcBorders>
            <w:shd w:val="clear" w:color="auto" w:fill="auto"/>
            <w:noWrap/>
            <w:vAlign w:val="center"/>
            <w:hideMark/>
          </w:tcPr>
          <w:p w14:paraId="7D1DF562"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87 993</w:t>
            </w:r>
          </w:p>
        </w:tc>
        <w:tc>
          <w:tcPr>
            <w:tcW w:w="769" w:type="pct"/>
            <w:tcBorders>
              <w:top w:val="single" w:sz="4" w:space="0" w:color="auto"/>
              <w:left w:val="nil"/>
              <w:bottom w:val="single" w:sz="4" w:space="0" w:color="auto"/>
              <w:right w:val="nil"/>
            </w:tcBorders>
            <w:shd w:val="clear" w:color="auto" w:fill="auto"/>
            <w:noWrap/>
            <w:vAlign w:val="center"/>
            <w:hideMark/>
          </w:tcPr>
          <w:p w14:paraId="015BB827"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100 870</w:t>
            </w:r>
          </w:p>
        </w:tc>
        <w:tc>
          <w:tcPr>
            <w:tcW w:w="692" w:type="pct"/>
            <w:tcBorders>
              <w:top w:val="single" w:sz="4" w:space="0" w:color="auto"/>
              <w:left w:val="nil"/>
              <w:bottom w:val="single" w:sz="4" w:space="0" w:color="auto"/>
              <w:right w:val="nil"/>
            </w:tcBorders>
            <w:shd w:val="clear" w:color="auto" w:fill="auto"/>
            <w:noWrap/>
            <w:vAlign w:val="center"/>
            <w:hideMark/>
          </w:tcPr>
          <w:p w14:paraId="36B453E9"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105 253</w:t>
            </w:r>
          </w:p>
        </w:tc>
      </w:tr>
    </w:tbl>
    <w:p w14:paraId="53C53F15" w14:textId="2CFD795C" w:rsidR="00A1147F" w:rsidRPr="00A1147F" w:rsidRDefault="000F7ABA" w:rsidP="00A7279C">
      <w:pPr>
        <w:spacing w:line="240" w:lineRule="auto"/>
        <w:ind w:left="7650"/>
        <w:rPr>
          <w:sz w:val="18"/>
          <w:szCs w:val="18"/>
        </w:rPr>
      </w:pPr>
      <w:r>
        <w:rPr>
          <w:sz w:val="18"/>
          <w:szCs w:val="18"/>
        </w:rPr>
        <w:t xml:space="preserve">   </w:t>
      </w:r>
      <w:r w:rsidR="00A1147F" w:rsidRPr="00A1147F">
        <w:rPr>
          <w:sz w:val="18"/>
          <w:szCs w:val="18"/>
        </w:rPr>
        <w:t>Zdroj: MF SR</w:t>
      </w:r>
    </w:p>
    <w:p w14:paraId="4FCB3B8E" w14:textId="390EC90C" w:rsidR="004D69BF" w:rsidRDefault="004D69BF" w:rsidP="004D69BF">
      <w:pPr>
        <w:spacing w:line="240" w:lineRule="auto"/>
        <w:rPr>
          <w:b/>
          <w:sz w:val="24"/>
          <w:szCs w:val="24"/>
        </w:rPr>
      </w:pPr>
      <w:r w:rsidRPr="00121623">
        <w:rPr>
          <w:b/>
          <w:sz w:val="24"/>
          <w:szCs w:val="24"/>
        </w:rPr>
        <w:t xml:space="preserve">Daň z príjmov vyberaná zrážkou </w:t>
      </w:r>
      <w:r w:rsidRPr="00121623">
        <w:rPr>
          <w:bCs/>
          <w:sz w:val="24"/>
          <w:szCs w:val="24"/>
        </w:rPr>
        <w:t>sa rozpočtovala sumou 415</w:t>
      </w:r>
      <w:r w:rsidR="00D60B38">
        <w:rPr>
          <w:bCs/>
          <w:sz w:val="24"/>
          <w:szCs w:val="24"/>
        </w:rPr>
        <w:t> 070 </w:t>
      </w:r>
      <w:r w:rsidRPr="00121623">
        <w:rPr>
          <w:bCs/>
          <w:sz w:val="24"/>
          <w:szCs w:val="24"/>
        </w:rPr>
        <w:t>tis.</w:t>
      </w:r>
      <w:r w:rsidR="00D60B38">
        <w:rPr>
          <w:bCs/>
          <w:sz w:val="24"/>
          <w:szCs w:val="24"/>
        </w:rPr>
        <w:t> </w:t>
      </w:r>
      <w:r w:rsidRPr="00121623">
        <w:rPr>
          <w:bCs/>
          <w:sz w:val="24"/>
          <w:szCs w:val="24"/>
        </w:rPr>
        <w:t>eur, v skutočnosti bola o</w:t>
      </w:r>
      <w:r w:rsidR="00D60B38">
        <w:rPr>
          <w:bCs/>
          <w:sz w:val="24"/>
          <w:szCs w:val="24"/>
        </w:rPr>
        <w:t> </w:t>
      </w:r>
      <w:r w:rsidRPr="00121623">
        <w:rPr>
          <w:bCs/>
          <w:sz w:val="24"/>
          <w:szCs w:val="24"/>
        </w:rPr>
        <w:t>114</w:t>
      </w:r>
      <w:r w:rsidR="00D60B38">
        <w:rPr>
          <w:bCs/>
          <w:sz w:val="24"/>
          <w:szCs w:val="24"/>
        </w:rPr>
        <w:t> 080 </w:t>
      </w:r>
      <w:r w:rsidRPr="00121623">
        <w:rPr>
          <w:bCs/>
          <w:sz w:val="24"/>
          <w:szCs w:val="24"/>
        </w:rPr>
        <w:t>tis.</w:t>
      </w:r>
      <w:r w:rsidR="00D60B38">
        <w:rPr>
          <w:bCs/>
          <w:sz w:val="24"/>
          <w:szCs w:val="24"/>
        </w:rPr>
        <w:t> </w:t>
      </w:r>
      <w:r w:rsidRPr="00121623">
        <w:rPr>
          <w:bCs/>
          <w:sz w:val="24"/>
          <w:szCs w:val="24"/>
        </w:rPr>
        <w:t>eur vyššia. Približne tri štvrtiny vyššieho výnosu tvoria vyššie príjmy zo</w:t>
      </w:r>
      <w:r w:rsidR="00D60B38">
        <w:rPr>
          <w:bCs/>
          <w:sz w:val="24"/>
          <w:szCs w:val="24"/>
        </w:rPr>
        <w:t> </w:t>
      </w:r>
      <w:r w:rsidRPr="00121623">
        <w:rPr>
          <w:bCs/>
          <w:sz w:val="24"/>
          <w:szCs w:val="24"/>
        </w:rPr>
        <w:t>zdanenia vkladov. Úroková miera po dlhodobom poklese od roku 2022 postupn</w:t>
      </w:r>
      <w:r>
        <w:rPr>
          <w:bCs/>
          <w:sz w:val="24"/>
          <w:szCs w:val="24"/>
        </w:rPr>
        <w:t>e</w:t>
      </w:r>
      <w:r w:rsidR="000F7ABA">
        <w:rPr>
          <w:bCs/>
          <w:sz w:val="24"/>
          <w:szCs w:val="24"/>
        </w:rPr>
        <w:t xml:space="preserve"> rástla. Na </w:t>
      </w:r>
      <w:r w:rsidRPr="00121623">
        <w:rPr>
          <w:bCs/>
          <w:sz w:val="24"/>
          <w:szCs w:val="24"/>
        </w:rPr>
        <w:t>príjmoch zo</w:t>
      </w:r>
      <w:r w:rsidR="00D60B38">
        <w:rPr>
          <w:bCs/>
          <w:sz w:val="24"/>
          <w:szCs w:val="24"/>
        </w:rPr>
        <w:t> </w:t>
      </w:r>
      <w:r w:rsidRPr="00121623">
        <w:rPr>
          <w:bCs/>
          <w:sz w:val="24"/>
          <w:szCs w:val="24"/>
        </w:rPr>
        <w:t xml:space="preserve">zdanenia úrokových výnosov sa to však premietalo len postupne. </w:t>
      </w:r>
      <w:r w:rsidRPr="00121623">
        <w:rPr>
          <w:bCs/>
          <w:sz w:val="24"/>
          <w:szCs w:val="24"/>
        </w:rPr>
        <w:lastRenderedPageBreak/>
        <w:t>Kým</w:t>
      </w:r>
      <w:r w:rsidR="000F7ABA">
        <w:rPr>
          <w:bCs/>
          <w:sz w:val="24"/>
          <w:szCs w:val="24"/>
        </w:rPr>
        <w:t> </w:t>
      </w:r>
      <w:r w:rsidRPr="00121623">
        <w:rPr>
          <w:bCs/>
          <w:sz w:val="24"/>
          <w:szCs w:val="24"/>
        </w:rPr>
        <w:t>najvýraznejší rast úrokov bol už v roku 2023, najväčší nárast dane nastal v roku 2024. Výrazne vyššie boli aj príjmy zo zdanenia podielových fondov a dividend.</w:t>
      </w:r>
    </w:p>
    <w:p w14:paraId="42B89DB0" w14:textId="683151D6" w:rsidR="004D69BF" w:rsidRDefault="004D69BF" w:rsidP="004D69BF">
      <w:pPr>
        <w:spacing w:line="240" w:lineRule="auto"/>
        <w:rPr>
          <w:sz w:val="24"/>
          <w:szCs w:val="24"/>
        </w:rPr>
      </w:pPr>
      <w:r w:rsidRPr="00121623">
        <w:rPr>
          <w:b/>
          <w:sz w:val="24"/>
          <w:szCs w:val="24"/>
        </w:rPr>
        <w:t>Výnos daní z medzinárodného obchodu a transakcií</w:t>
      </w:r>
      <w:r w:rsidRPr="00121623">
        <w:rPr>
          <w:sz w:val="24"/>
          <w:szCs w:val="24"/>
        </w:rPr>
        <w:t xml:space="preserve"> sa rozpočtoval v celkovej sume 41</w:t>
      </w:r>
      <w:r w:rsidR="00A1147F">
        <w:rPr>
          <w:sz w:val="24"/>
          <w:szCs w:val="24"/>
        </w:rPr>
        <w:t> </w:t>
      </w:r>
      <w:r w:rsidRPr="00121623">
        <w:rPr>
          <w:sz w:val="24"/>
          <w:szCs w:val="24"/>
        </w:rPr>
        <w:t>724</w:t>
      </w:r>
      <w:r w:rsidR="00A1147F">
        <w:rPr>
          <w:sz w:val="24"/>
          <w:szCs w:val="24"/>
        </w:rPr>
        <w:t> </w:t>
      </w:r>
      <w:r w:rsidRPr="00121623">
        <w:rPr>
          <w:sz w:val="24"/>
          <w:szCs w:val="24"/>
        </w:rPr>
        <w:t>tis.</w:t>
      </w:r>
      <w:r w:rsidR="00D60B38">
        <w:rPr>
          <w:sz w:val="24"/>
          <w:szCs w:val="24"/>
        </w:rPr>
        <w:t> eur. V skutočnosti bol o 4 896 tis. eur nižší, v sume 36 828 tis. eur. V </w:t>
      </w:r>
      <w:r w:rsidRPr="00121623">
        <w:rPr>
          <w:sz w:val="24"/>
          <w:szCs w:val="24"/>
        </w:rPr>
        <w:t>porovnaní s</w:t>
      </w:r>
      <w:r w:rsidR="00D60B38">
        <w:rPr>
          <w:sz w:val="24"/>
          <w:szCs w:val="24"/>
        </w:rPr>
        <w:t> </w:t>
      </w:r>
      <w:r w:rsidR="000F7ABA">
        <w:rPr>
          <w:sz w:val="24"/>
          <w:szCs w:val="24"/>
        </w:rPr>
        <w:t>rokom 2022 poklesol o 2,9 </w:t>
      </w:r>
      <w:r w:rsidRPr="00121623">
        <w:rPr>
          <w:sz w:val="24"/>
          <w:szCs w:val="24"/>
        </w:rPr>
        <w:t>%. Najväčšiu časť na daniach z medzinárodného obchodu a</w:t>
      </w:r>
      <w:r w:rsidR="00D60B38">
        <w:rPr>
          <w:sz w:val="24"/>
          <w:szCs w:val="24"/>
        </w:rPr>
        <w:t> </w:t>
      </w:r>
      <w:r w:rsidRPr="00121623">
        <w:rPr>
          <w:sz w:val="24"/>
          <w:szCs w:val="24"/>
        </w:rPr>
        <w:t>transakcií tvorí výnos z podielu na vybraných p</w:t>
      </w:r>
      <w:r w:rsidR="00D60B38">
        <w:rPr>
          <w:sz w:val="24"/>
          <w:szCs w:val="24"/>
        </w:rPr>
        <w:t>rostriedkoch. Je to 25</w:t>
      </w:r>
      <w:r w:rsidR="000F7ABA">
        <w:rPr>
          <w:sz w:val="24"/>
          <w:szCs w:val="24"/>
        </w:rPr>
        <w:t> </w:t>
      </w:r>
      <w:r w:rsidR="00D60B38">
        <w:rPr>
          <w:sz w:val="24"/>
          <w:szCs w:val="24"/>
        </w:rPr>
        <w:t>% - </w:t>
      </w:r>
      <w:r w:rsidRPr="00121623">
        <w:rPr>
          <w:sz w:val="24"/>
          <w:szCs w:val="24"/>
        </w:rPr>
        <w:t>ný podiel z</w:t>
      </w:r>
      <w:r w:rsidR="00D60B38">
        <w:rPr>
          <w:sz w:val="24"/>
          <w:szCs w:val="24"/>
        </w:rPr>
        <w:t> </w:t>
      </w:r>
      <w:r w:rsidRPr="00121623">
        <w:rPr>
          <w:sz w:val="24"/>
          <w:szCs w:val="24"/>
        </w:rPr>
        <w:t>vybratého cla z tovaru dovezeného z tretích krajín, ktorý si SR ponecháva ako kompenzáciu nákladov spojených s výberom cla. Za nenaplnením rozpočtu je pokles</w:t>
      </w:r>
      <w:r w:rsidR="00D60B38">
        <w:rPr>
          <w:sz w:val="24"/>
          <w:szCs w:val="24"/>
        </w:rPr>
        <w:t xml:space="preserve"> dovozu z tretích krajín. Kým v </w:t>
      </w:r>
      <w:r w:rsidRPr="00121623">
        <w:rPr>
          <w:sz w:val="24"/>
          <w:szCs w:val="24"/>
        </w:rPr>
        <w:t>čase tvorby rozpočtu sa očakával medziročný rast dovozu 7</w:t>
      </w:r>
      <w:r w:rsidR="00D60B38">
        <w:rPr>
          <w:sz w:val="24"/>
          <w:szCs w:val="24"/>
        </w:rPr>
        <w:t> </w:t>
      </w:r>
      <w:r w:rsidR="000F7ABA">
        <w:rPr>
          <w:sz w:val="24"/>
          <w:szCs w:val="24"/>
        </w:rPr>
        <w:t>%, v </w:t>
      </w:r>
      <w:r w:rsidR="00D60B38">
        <w:rPr>
          <w:sz w:val="24"/>
          <w:szCs w:val="24"/>
        </w:rPr>
        <w:t>skutočnosti medziročne klesol o </w:t>
      </w:r>
      <w:r w:rsidRPr="00121623">
        <w:rPr>
          <w:sz w:val="24"/>
          <w:szCs w:val="24"/>
        </w:rPr>
        <w:t>14%.</w:t>
      </w:r>
    </w:p>
    <w:p w14:paraId="3F864061" w14:textId="6D2BB5BC" w:rsidR="004D69BF" w:rsidRPr="00121623" w:rsidRDefault="004D69BF" w:rsidP="004D69BF">
      <w:pPr>
        <w:spacing w:line="240" w:lineRule="auto"/>
        <w:rPr>
          <w:sz w:val="24"/>
          <w:szCs w:val="24"/>
        </w:rPr>
      </w:pPr>
      <w:r w:rsidRPr="00121623">
        <w:rPr>
          <w:sz w:val="24"/>
          <w:szCs w:val="24"/>
        </w:rPr>
        <w:t xml:space="preserve">Pod </w:t>
      </w:r>
      <w:r w:rsidRPr="00121623">
        <w:rPr>
          <w:b/>
          <w:bCs/>
          <w:sz w:val="24"/>
          <w:szCs w:val="24"/>
        </w:rPr>
        <w:t>ostatnými daňami</w:t>
      </w:r>
      <w:r w:rsidRPr="00121623">
        <w:rPr>
          <w:sz w:val="24"/>
          <w:szCs w:val="24"/>
        </w:rPr>
        <w:t xml:space="preserve"> boli rozpočtované príjmy zo Solidárneho príspevku z</w:t>
      </w:r>
      <w:r w:rsidR="00D60B38">
        <w:rPr>
          <w:sz w:val="24"/>
          <w:szCs w:val="24"/>
        </w:rPr>
        <w:t> </w:t>
      </w:r>
      <w:r w:rsidRPr="00121623">
        <w:rPr>
          <w:sz w:val="24"/>
          <w:szCs w:val="24"/>
        </w:rPr>
        <w:t>činností v</w:t>
      </w:r>
      <w:r w:rsidR="00D60B38">
        <w:rPr>
          <w:sz w:val="24"/>
          <w:szCs w:val="24"/>
        </w:rPr>
        <w:t> </w:t>
      </w:r>
      <w:r w:rsidRPr="00121623">
        <w:rPr>
          <w:sz w:val="24"/>
          <w:szCs w:val="24"/>
        </w:rPr>
        <w:t>odvetviach ropy, zemného plynu, uhlia a rafinérií a z o</w:t>
      </w:r>
      <w:r w:rsidR="00D60B38">
        <w:rPr>
          <w:sz w:val="24"/>
          <w:szCs w:val="24"/>
        </w:rPr>
        <w:t>sobitného odvodu z podnikania v </w:t>
      </w:r>
      <w:r w:rsidRPr="00121623">
        <w:rPr>
          <w:sz w:val="24"/>
          <w:szCs w:val="24"/>
        </w:rPr>
        <w:t>regulovaných odvetviach (vrátane zdanenie nadziskov elektrární).</w:t>
      </w:r>
    </w:p>
    <w:p w14:paraId="1C60A21B" w14:textId="7369EE45" w:rsidR="004D69BF" w:rsidRPr="00121623" w:rsidRDefault="004D69BF" w:rsidP="004D69BF">
      <w:pPr>
        <w:spacing w:line="240" w:lineRule="auto"/>
        <w:rPr>
          <w:sz w:val="24"/>
          <w:szCs w:val="24"/>
        </w:rPr>
      </w:pPr>
      <w:r w:rsidRPr="00121623">
        <w:rPr>
          <w:b/>
          <w:bCs/>
          <w:sz w:val="24"/>
          <w:szCs w:val="24"/>
        </w:rPr>
        <w:t>Výnos zo solidárneho príspevku</w:t>
      </w:r>
      <w:r w:rsidR="00D60B38">
        <w:rPr>
          <w:sz w:val="24"/>
          <w:szCs w:val="24"/>
        </w:rPr>
        <w:t xml:space="preserve"> sa očakával v objeme 354 </w:t>
      </w:r>
      <w:r w:rsidRPr="00121623">
        <w:rPr>
          <w:sz w:val="24"/>
          <w:szCs w:val="24"/>
        </w:rPr>
        <w:t>113</w:t>
      </w:r>
      <w:r w:rsidR="00D60B38">
        <w:rPr>
          <w:sz w:val="24"/>
          <w:szCs w:val="24"/>
        </w:rPr>
        <w:t> </w:t>
      </w:r>
      <w:r w:rsidRPr="00121623">
        <w:rPr>
          <w:sz w:val="24"/>
          <w:szCs w:val="24"/>
        </w:rPr>
        <w:t>tis.</w:t>
      </w:r>
      <w:r w:rsidR="00D60B38">
        <w:rPr>
          <w:sz w:val="24"/>
          <w:szCs w:val="24"/>
        </w:rPr>
        <w:t> </w:t>
      </w:r>
      <w:r w:rsidRPr="00121623">
        <w:rPr>
          <w:sz w:val="24"/>
          <w:szCs w:val="24"/>
        </w:rPr>
        <w:t xml:space="preserve">eur. V skutočnosti však prišlo len </w:t>
      </w:r>
      <w:r>
        <w:rPr>
          <w:sz w:val="24"/>
          <w:szCs w:val="24"/>
        </w:rPr>
        <w:t>1</w:t>
      </w:r>
      <w:r w:rsidR="00D60B38">
        <w:rPr>
          <w:sz w:val="24"/>
          <w:szCs w:val="24"/>
        </w:rPr>
        <w:t> </w:t>
      </w:r>
      <w:r>
        <w:rPr>
          <w:sz w:val="24"/>
          <w:szCs w:val="24"/>
        </w:rPr>
        <w:t>957</w:t>
      </w:r>
      <w:r w:rsidR="00D60B38">
        <w:rPr>
          <w:sz w:val="24"/>
          <w:szCs w:val="24"/>
        </w:rPr>
        <w:t> </w:t>
      </w:r>
      <w:r w:rsidRPr="00121623">
        <w:rPr>
          <w:sz w:val="24"/>
          <w:szCs w:val="24"/>
        </w:rPr>
        <w:t>tis.</w:t>
      </w:r>
      <w:r w:rsidR="00D60B38">
        <w:rPr>
          <w:sz w:val="24"/>
          <w:szCs w:val="24"/>
        </w:rPr>
        <w:t> </w:t>
      </w:r>
      <w:r w:rsidRPr="00121623">
        <w:rPr>
          <w:sz w:val="24"/>
          <w:szCs w:val="24"/>
        </w:rPr>
        <w:t>eur, čo bol len dodatočný doplatok týkajúci sa zdaňovacieho obdobia 2022. Za zdaňovacie obdobie 2023 nebol v roku 2024 príspevok zaplatený.</w:t>
      </w:r>
    </w:p>
    <w:p w14:paraId="4237A99E" w14:textId="41E87D05" w:rsidR="004D69BF" w:rsidRDefault="004D69BF" w:rsidP="004D69BF">
      <w:pPr>
        <w:spacing w:line="240" w:lineRule="auto"/>
        <w:rPr>
          <w:sz w:val="24"/>
          <w:szCs w:val="24"/>
        </w:rPr>
      </w:pPr>
      <w:r w:rsidRPr="00121623">
        <w:rPr>
          <w:b/>
          <w:bCs/>
          <w:sz w:val="24"/>
          <w:szCs w:val="24"/>
        </w:rPr>
        <w:t>Osobitný odvod z podnikania v regulovaných odvetviach</w:t>
      </w:r>
      <w:r w:rsidR="00D60B38">
        <w:rPr>
          <w:sz w:val="24"/>
          <w:szCs w:val="24"/>
        </w:rPr>
        <w:t xml:space="preserve"> je od roku 2024 v </w:t>
      </w:r>
      <w:r w:rsidRPr="00121623">
        <w:rPr>
          <w:sz w:val="24"/>
          <w:szCs w:val="24"/>
        </w:rPr>
        <w:t xml:space="preserve">plnej výške príjmom </w:t>
      </w:r>
      <w:r>
        <w:rPr>
          <w:sz w:val="24"/>
          <w:szCs w:val="24"/>
        </w:rPr>
        <w:t>štátneho rozpočtu</w:t>
      </w:r>
      <w:r w:rsidR="00D60B38">
        <w:rPr>
          <w:sz w:val="24"/>
          <w:szCs w:val="24"/>
        </w:rPr>
        <w:t>. Rozpočtoval sa v objeme 477 </w:t>
      </w:r>
      <w:r w:rsidRPr="00121623">
        <w:rPr>
          <w:sz w:val="24"/>
          <w:szCs w:val="24"/>
        </w:rPr>
        <w:t>812</w:t>
      </w:r>
      <w:r w:rsidR="00D60B38">
        <w:rPr>
          <w:sz w:val="24"/>
          <w:szCs w:val="24"/>
        </w:rPr>
        <w:t> </w:t>
      </w:r>
      <w:r w:rsidRPr="00121623">
        <w:rPr>
          <w:sz w:val="24"/>
          <w:szCs w:val="24"/>
        </w:rPr>
        <w:t>tis.</w:t>
      </w:r>
      <w:r w:rsidR="00D60B38">
        <w:rPr>
          <w:sz w:val="24"/>
          <w:szCs w:val="24"/>
        </w:rPr>
        <w:t> </w:t>
      </w:r>
      <w:r w:rsidRPr="00121623">
        <w:rPr>
          <w:sz w:val="24"/>
          <w:szCs w:val="24"/>
        </w:rPr>
        <w:t>eu</w:t>
      </w:r>
      <w:r w:rsidR="00D60B38">
        <w:rPr>
          <w:sz w:val="24"/>
          <w:szCs w:val="24"/>
        </w:rPr>
        <w:t>r. V skutočnosti bol výnos o 83 </w:t>
      </w:r>
      <w:r w:rsidRPr="00121623">
        <w:rPr>
          <w:sz w:val="24"/>
          <w:szCs w:val="24"/>
        </w:rPr>
        <w:t>863</w:t>
      </w:r>
      <w:r w:rsidR="00D60B38">
        <w:rPr>
          <w:sz w:val="24"/>
          <w:szCs w:val="24"/>
        </w:rPr>
        <w:t> </w:t>
      </w:r>
      <w:r w:rsidRPr="00121623">
        <w:rPr>
          <w:sz w:val="24"/>
          <w:szCs w:val="24"/>
        </w:rPr>
        <w:t>tis.</w:t>
      </w:r>
      <w:r w:rsidR="00D60B38">
        <w:rPr>
          <w:sz w:val="24"/>
          <w:szCs w:val="24"/>
        </w:rPr>
        <w:t> </w:t>
      </w:r>
      <w:r w:rsidRPr="00121623">
        <w:rPr>
          <w:sz w:val="24"/>
          <w:szCs w:val="24"/>
        </w:rPr>
        <w:t>eur vyšší, v sume 561</w:t>
      </w:r>
      <w:r w:rsidR="00D60B38">
        <w:rPr>
          <w:sz w:val="24"/>
          <w:szCs w:val="24"/>
        </w:rPr>
        <w:t> </w:t>
      </w:r>
      <w:r w:rsidRPr="00121623">
        <w:rPr>
          <w:sz w:val="24"/>
          <w:szCs w:val="24"/>
        </w:rPr>
        <w:t>6</w:t>
      </w:r>
      <w:r w:rsidRPr="005E0480">
        <w:rPr>
          <w:sz w:val="24"/>
          <w:szCs w:val="24"/>
        </w:rPr>
        <w:t>75</w:t>
      </w:r>
      <w:r w:rsidR="00D60B38">
        <w:rPr>
          <w:sz w:val="24"/>
          <w:szCs w:val="24"/>
        </w:rPr>
        <w:t> </w:t>
      </w:r>
      <w:r w:rsidRPr="005E0480">
        <w:rPr>
          <w:sz w:val="24"/>
          <w:szCs w:val="24"/>
        </w:rPr>
        <w:t>tis.</w:t>
      </w:r>
      <w:r w:rsidR="00D60B38">
        <w:rPr>
          <w:sz w:val="24"/>
          <w:szCs w:val="24"/>
        </w:rPr>
        <w:t> </w:t>
      </w:r>
      <w:r w:rsidRPr="005E0480">
        <w:rPr>
          <w:sz w:val="24"/>
          <w:szCs w:val="24"/>
        </w:rPr>
        <w:t>eur. Za vyšším výnosom sú predovšetkým lepšie príjmy zo sektora energetiky, kde ziskovosti firiem pomohli hlavne vyššie ceny energií.</w:t>
      </w:r>
    </w:p>
    <w:p w14:paraId="6C72FAFF" w14:textId="31F58517" w:rsidR="004D69BF" w:rsidRDefault="004D69BF" w:rsidP="004D69BF">
      <w:pPr>
        <w:spacing w:line="240" w:lineRule="auto"/>
        <w:rPr>
          <w:bCs/>
          <w:sz w:val="24"/>
          <w:szCs w:val="24"/>
        </w:rPr>
      </w:pPr>
      <w:r w:rsidRPr="00ED50F1">
        <w:rPr>
          <w:b/>
          <w:sz w:val="24"/>
          <w:szCs w:val="24"/>
        </w:rPr>
        <w:t xml:space="preserve">Sankcie uložené v daňovom konaní a sankcie súvisiace s úhradou dane </w:t>
      </w:r>
      <w:r w:rsidRPr="00ED50F1">
        <w:rPr>
          <w:bCs/>
          <w:sz w:val="24"/>
          <w:szCs w:val="24"/>
        </w:rPr>
        <w:t>sa rozpočtovali v</w:t>
      </w:r>
      <w:r w:rsidR="00D60B38">
        <w:rPr>
          <w:bCs/>
          <w:sz w:val="24"/>
          <w:szCs w:val="24"/>
        </w:rPr>
        <w:t> sume 40 976 </w:t>
      </w:r>
      <w:r w:rsidRPr="00ED50F1">
        <w:rPr>
          <w:bCs/>
          <w:sz w:val="24"/>
          <w:szCs w:val="24"/>
        </w:rPr>
        <w:t>tis.</w:t>
      </w:r>
      <w:r w:rsidR="00D60B38">
        <w:rPr>
          <w:bCs/>
          <w:sz w:val="24"/>
          <w:szCs w:val="24"/>
        </w:rPr>
        <w:t> </w:t>
      </w:r>
      <w:r w:rsidRPr="00ED50F1">
        <w:rPr>
          <w:bCs/>
          <w:sz w:val="24"/>
          <w:szCs w:val="24"/>
        </w:rPr>
        <w:t>eur. Ich skutočný objem dosiahol</w:t>
      </w:r>
      <w:r w:rsidR="00D60B38">
        <w:rPr>
          <w:bCs/>
          <w:sz w:val="24"/>
          <w:szCs w:val="24"/>
        </w:rPr>
        <w:t xml:space="preserve"> ku koncu roka 2024 sumu 49 392 </w:t>
      </w:r>
      <w:r w:rsidRPr="00ED50F1">
        <w:rPr>
          <w:bCs/>
          <w:sz w:val="24"/>
          <w:szCs w:val="24"/>
        </w:rPr>
        <w:t>tis.</w:t>
      </w:r>
      <w:r w:rsidR="00D60B38">
        <w:rPr>
          <w:bCs/>
          <w:sz w:val="24"/>
          <w:szCs w:val="24"/>
        </w:rPr>
        <w:t xml:space="preserve"> eur, resp. </w:t>
      </w:r>
      <w:r w:rsidRPr="00ED50F1">
        <w:rPr>
          <w:bCs/>
          <w:sz w:val="24"/>
          <w:szCs w:val="24"/>
        </w:rPr>
        <w:t>41</w:t>
      </w:r>
      <w:r w:rsidR="00D60B38">
        <w:rPr>
          <w:bCs/>
          <w:sz w:val="24"/>
          <w:szCs w:val="24"/>
        </w:rPr>
        <w:t> </w:t>
      </w:r>
      <w:r w:rsidRPr="00ED50F1">
        <w:rPr>
          <w:bCs/>
          <w:sz w:val="24"/>
          <w:szCs w:val="24"/>
        </w:rPr>
        <w:t>098</w:t>
      </w:r>
      <w:r w:rsidR="00D60B38">
        <w:rPr>
          <w:bCs/>
          <w:sz w:val="24"/>
          <w:szCs w:val="24"/>
        </w:rPr>
        <w:t> </w:t>
      </w:r>
      <w:r w:rsidRPr="00ED50F1">
        <w:rPr>
          <w:bCs/>
          <w:sz w:val="24"/>
          <w:szCs w:val="24"/>
        </w:rPr>
        <w:t>tis.</w:t>
      </w:r>
      <w:r w:rsidR="00D60B38">
        <w:rPr>
          <w:bCs/>
          <w:sz w:val="24"/>
          <w:szCs w:val="24"/>
        </w:rPr>
        <w:t> </w:t>
      </w:r>
      <w:r w:rsidRPr="00ED50F1">
        <w:rPr>
          <w:bCs/>
          <w:sz w:val="24"/>
          <w:szCs w:val="24"/>
        </w:rPr>
        <w:t>eur (po premietnutí sankcií samosprávam).</w:t>
      </w:r>
    </w:p>
    <w:p w14:paraId="51EAE65A" w14:textId="751A4E58" w:rsidR="00A1147F" w:rsidRPr="00A1147F" w:rsidRDefault="00A1147F" w:rsidP="00A1147F">
      <w:pPr>
        <w:pStyle w:val="Popis"/>
        <w:keepNext/>
        <w:spacing w:after="120"/>
        <w:rPr>
          <w:rFonts w:eastAsia="Times New Roman" w:cs="Times New Roman"/>
          <w:b/>
          <w:bCs/>
          <w:i w:val="0"/>
          <w:iCs w:val="0"/>
          <w:color w:val="5B9BD5" w:themeColor="accent1"/>
          <w:sz w:val="20"/>
          <w:szCs w:val="20"/>
          <w:lang w:eastAsia="sk-SK"/>
        </w:rPr>
      </w:pPr>
      <w:bookmarkStart w:id="98" w:name="_Toc196313652"/>
      <w:bookmarkStart w:id="99" w:name="_Toc196389273"/>
      <w:r w:rsidRPr="00A1147F">
        <w:rPr>
          <w:rFonts w:eastAsia="Times New Roman" w:cs="Times New Roman"/>
          <w:b/>
          <w:bCs/>
          <w:i w:val="0"/>
          <w:iCs w:val="0"/>
          <w:color w:val="5B9BD5" w:themeColor="accent1"/>
          <w:sz w:val="20"/>
          <w:szCs w:val="20"/>
          <w:lang w:eastAsia="sk-SK"/>
        </w:rPr>
        <w:t xml:space="preserve">Tabuľka </w:t>
      </w:r>
      <w:r w:rsidRPr="00A1147F">
        <w:rPr>
          <w:rFonts w:eastAsia="Times New Roman" w:cs="Times New Roman"/>
          <w:b/>
          <w:bCs/>
          <w:i w:val="0"/>
          <w:iCs w:val="0"/>
          <w:color w:val="5B9BD5" w:themeColor="accent1"/>
          <w:sz w:val="20"/>
          <w:szCs w:val="20"/>
          <w:lang w:eastAsia="sk-SK"/>
        </w:rPr>
        <w:fldChar w:fldCharType="begin"/>
      </w:r>
      <w:r w:rsidRPr="00A1147F">
        <w:rPr>
          <w:rFonts w:eastAsia="Times New Roman" w:cs="Times New Roman"/>
          <w:b/>
          <w:bCs/>
          <w:i w:val="0"/>
          <w:iCs w:val="0"/>
          <w:color w:val="5B9BD5" w:themeColor="accent1"/>
          <w:sz w:val="20"/>
          <w:szCs w:val="20"/>
          <w:lang w:eastAsia="sk-SK"/>
        </w:rPr>
        <w:instrText xml:space="preserve"> SEQ Tabuľka \* ARABIC </w:instrText>
      </w:r>
      <w:r w:rsidRPr="00A1147F">
        <w:rPr>
          <w:rFonts w:eastAsia="Times New Roman" w:cs="Times New Roman"/>
          <w:b/>
          <w:bCs/>
          <w:i w:val="0"/>
          <w:iCs w:val="0"/>
          <w:color w:val="5B9BD5" w:themeColor="accent1"/>
          <w:sz w:val="20"/>
          <w:szCs w:val="20"/>
          <w:lang w:eastAsia="sk-SK"/>
        </w:rPr>
        <w:fldChar w:fldCharType="separate"/>
      </w:r>
      <w:r w:rsidR="00C64CBA">
        <w:rPr>
          <w:rFonts w:eastAsia="Times New Roman" w:cs="Times New Roman"/>
          <w:b/>
          <w:bCs/>
          <w:i w:val="0"/>
          <w:iCs w:val="0"/>
          <w:noProof/>
          <w:color w:val="5B9BD5" w:themeColor="accent1"/>
          <w:sz w:val="20"/>
          <w:szCs w:val="20"/>
          <w:lang w:eastAsia="sk-SK"/>
        </w:rPr>
        <w:t>26</w:t>
      </w:r>
      <w:r w:rsidRPr="00A1147F">
        <w:rPr>
          <w:rFonts w:eastAsia="Times New Roman" w:cs="Times New Roman"/>
          <w:b/>
          <w:bCs/>
          <w:i w:val="0"/>
          <w:iCs w:val="0"/>
          <w:color w:val="5B9BD5" w:themeColor="accent1"/>
          <w:sz w:val="20"/>
          <w:szCs w:val="20"/>
          <w:lang w:eastAsia="sk-SK"/>
        </w:rPr>
        <w:fldChar w:fldCharType="end"/>
      </w:r>
      <w:r w:rsidRPr="00A1147F">
        <w:rPr>
          <w:rFonts w:eastAsia="Times New Roman" w:cs="Times New Roman"/>
          <w:b/>
          <w:bCs/>
          <w:i w:val="0"/>
          <w:iCs w:val="0"/>
          <w:color w:val="5B9BD5" w:themeColor="accent1"/>
          <w:sz w:val="20"/>
          <w:szCs w:val="20"/>
          <w:lang w:eastAsia="sk-SK"/>
        </w:rPr>
        <w:t xml:space="preserve"> - Povolené úľavy na dani </w:t>
      </w:r>
      <w:r w:rsidR="00A247EB">
        <w:rPr>
          <w:rFonts w:eastAsia="Times New Roman" w:cs="Times New Roman"/>
          <w:b/>
          <w:bCs/>
          <w:i w:val="0"/>
          <w:iCs w:val="0"/>
          <w:color w:val="5B9BD5" w:themeColor="accent1"/>
          <w:sz w:val="20"/>
          <w:szCs w:val="20"/>
          <w:lang w:eastAsia="sk-SK"/>
        </w:rPr>
        <w:t>a odpustenia</w:t>
      </w:r>
      <w:r w:rsidRPr="00A1147F">
        <w:rPr>
          <w:rFonts w:eastAsia="Times New Roman" w:cs="Times New Roman"/>
          <w:b/>
          <w:bCs/>
          <w:i w:val="0"/>
          <w:iCs w:val="0"/>
          <w:color w:val="5B9BD5" w:themeColor="accent1"/>
          <w:sz w:val="20"/>
          <w:szCs w:val="20"/>
          <w:lang w:eastAsia="sk-SK"/>
        </w:rPr>
        <w:t xml:space="preserve"> nedoplatku </w:t>
      </w:r>
      <w:r w:rsidR="00A247EB">
        <w:rPr>
          <w:rFonts w:eastAsia="Times New Roman" w:cs="Times New Roman"/>
          <w:b/>
          <w:bCs/>
          <w:i w:val="0"/>
          <w:iCs w:val="0"/>
          <w:color w:val="5B9BD5" w:themeColor="accent1"/>
          <w:sz w:val="20"/>
          <w:szCs w:val="20"/>
          <w:lang w:eastAsia="sk-SK"/>
        </w:rPr>
        <w:t xml:space="preserve">/ </w:t>
      </w:r>
      <w:r w:rsidRPr="00A1147F">
        <w:rPr>
          <w:rFonts w:eastAsia="Times New Roman" w:cs="Times New Roman"/>
          <w:b/>
          <w:bCs/>
          <w:i w:val="0"/>
          <w:iCs w:val="0"/>
          <w:color w:val="5B9BD5" w:themeColor="accent1"/>
          <w:sz w:val="20"/>
          <w:szCs w:val="20"/>
          <w:lang w:eastAsia="sk-SK"/>
        </w:rPr>
        <w:t>sankcie v roku 2024</w:t>
      </w:r>
      <w:bookmarkEnd w:id="98"/>
      <w:bookmarkEnd w:id="99"/>
    </w:p>
    <w:tbl>
      <w:tblPr>
        <w:tblW w:w="5000" w:type="pct"/>
        <w:tblCellMar>
          <w:left w:w="70" w:type="dxa"/>
          <w:right w:w="70" w:type="dxa"/>
        </w:tblCellMar>
        <w:tblLook w:val="04A0" w:firstRow="1" w:lastRow="0" w:firstColumn="1" w:lastColumn="0" w:noHBand="0" w:noVBand="1"/>
      </w:tblPr>
      <w:tblGrid>
        <w:gridCol w:w="2363"/>
        <w:gridCol w:w="1098"/>
        <w:gridCol w:w="1836"/>
        <w:gridCol w:w="1211"/>
        <w:gridCol w:w="2422"/>
      </w:tblGrid>
      <w:tr w:rsidR="004D69BF" w:rsidRPr="004B33ED" w14:paraId="253AB63F" w14:textId="77777777" w:rsidTr="003F4BCE">
        <w:trPr>
          <w:trHeight w:val="448"/>
          <w:tblHeader/>
        </w:trPr>
        <w:tc>
          <w:tcPr>
            <w:tcW w:w="1323" w:type="pct"/>
            <w:vMerge w:val="restart"/>
            <w:tcBorders>
              <w:top w:val="single" w:sz="4" w:space="0" w:color="auto"/>
              <w:left w:val="nil"/>
              <w:bottom w:val="nil"/>
              <w:right w:val="nil"/>
            </w:tcBorders>
            <w:shd w:val="clear" w:color="auto" w:fill="auto"/>
            <w:vAlign w:val="center"/>
            <w:hideMark/>
          </w:tcPr>
          <w:p w14:paraId="4D5FDD15" w14:textId="77777777" w:rsidR="004D69BF" w:rsidRPr="004B33ED" w:rsidRDefault="004D69BF" w:rsidP="000240DA">
            <w:pPr>
              <w:spacing w:after="0" w:line="240" w:lineRule="auto"/>
              <w:rPr>
                <w:rFonts w:eastAsia="Times New Roman" w:cs="Times New Roman"/>
                <w:b/>
                <w:bCs/>
                <w:color w:val="000000"/>
                <w:sz w:val="18"/>
                <w:szCs w:val="18"/>
                <w:lang w:eastAsia="sk-SK"/>
              </w:rPr>
            </w:pPr>
            <w:r w:rsidRPr="004B33ED">
              <w:rPr>
                <w:rFonts w:eastAsia="Times New Roman" w:cs="Times New Roman"/>
                <w:b/>
                <w:bCs/>
                <w:color w:val="000000"/>
                <w:sz w:val="18"/>
                <w:szCs w:val="18"/>
                <w:lang w:eastAsia="sk-SK"/>
              </w:rPr>
              <w:t>Finančný orgán</w:t>
            </w:r>
          </w:p>
        </w:tc>
        <w:tc>
          <w:tcPr>
            <w:tcW w:w="1643" w:type="pct"/>
            <w:gridSpan w:val="2"/>
            <w:tcBorders>
              <w:top w:val="single" w:sz="4" w:space="0" w:color="auto"/>
              <w:left w:val="nil"/>
              <w:bottom w:val="nil"/>
              <w:right w:val="nil"/>
            </w:tcBorders>
            <w:shd w:val="clear" w:color="auto" w:fill="auto"/>
            <w:hideMark/>
          </w:tcPr>
          <w:p w14:paraId="71B1423F" w14:textId="77777777" w:rsidR="004D69BF" w:rsidRPr="004B33ED" w:rsidRDefault="004D69BF" w:rsidP="000240DA">
            <w:pPr>
              <w:spacing w:after="0" w:line="240" w:lineRule="auto"/>
              <w:jc w:val="center"/>
              <w:rPr>
                <w:rFonts w:eastAsia="Times New Roman" w:cs="Times New Roman"/>
                <w:b/>
                <w:bCs/>
                <w:color w:val="000000"/>
                <w:sz w:val="18"/>
                <w:szCs w:val="18"/>
                <w:lang w:eastAsia="sk-SK"/>
              </w:rPr>
            </w:pPr>
            <w:r w:rsidRPr="004B33ED">
              <w:rPr>
                <w:rFonts w:eastAsia="Times New Roman" w:cs="Times New Roman"/>
                <w:b/>
                <w:bCs/>
                <w:color w:val="000000"/>
                <w:sz w:val="18"/>
                <w:szCs w:val="18"/>
                <w:lang w:eastAsia="sk-SK"/>
              </w:rPr>
              <w:t>Úľavy na dani alebo odpustenie daňového nedoplatku na dani</w:t>
            </w:r>
          </w:p>
        </w:tc>
        <w:tc>
          <w:tcPr>
            <w:tcW w:w="2031" w:type="pct"/>
            <w:gridSpan w:val="2"/>
            <w:tcBorders>
              <w:top w:val="single" w:sz="4" w:space="0" w:color="auto"/>
              <w:left w:val="nil"/>
              <w:bottom w:val="nil"/>
              <w:right w:val="nil"/>
            </w:tcBorders>
            <w:shd w:val="clear" w:color="auto" w:fill="auto"/>
            <w:hideMark/>
          </w:tcPr>
          <w:p w14:paraId="38476000" w14:textId="77777777" w:rsidR="004D69BF" w:rsidRPr="004B33ED" w:rsidRDefault="004D69BF" w:rsidP="000240DA">
            <w:pPr>
              <w:spacing w:after="0" w:line="240" w:lineRule="auto"/>
              <w:jc w:val="center"/>
              <w:rPr>
                <w:rFonts w:eastAsia="Times New Roman" w:cs="Times New Roman"/>
                <w:b/>
                <w:bCs/>
                <w:color w:val="000000"/>
                <w:sz w:val="18"/>
                <w:szCs w:val="18"/>
                <w:lang w:eastAsia="sk-SK"/>
              </w:rPr>
            </w:pPr>
            <w:r w:rsidRPr="004B33ED">
              <w:rPr>
                <w:rFonts w:eastAsia="Times New Roman" w:cs="Times New Roman"/>
                <w:b/>
                <w:bCs/>
                <w:color w:val="000000"/>
                <w:sz w:val="18"/>
                <w:szCs w:val="18"/>
                <w:lang w:eastAsia="sk-SK"/>
              </w:rPr>
              <w:t>Úľavy zo sankcie alebo odpustenie sankcie</w:t>
            </w:r>
          </w:p>
        </w:tc>
      </w:tr>
      <w:tr w:rsidR="004D69BF" w:rsidRPr="004B33ED" w14:paraId="525CD6D4" w14:textId="77777777" w:rsidTr="003F4BCE">
        <w:trPr>
          <w:trHeight w:val="60"/>
          <w:tblHeader/>
        </w:trPr>
        <w:tc>
          <w:tcPr>
            <w:tcW w:w="1323" w:type="pct"/>
            <w:vMerge/>
            <w:tcBorders>
              <w:top w:val="single" w:sz="4" w:space="0" w:color="auto"/>
              <w:left w:val="nil"/>
              <w:bottom w:val="nil"/>
              <w:right w:val="nil"/>
            </w:tcBorders>
            <w:vAlign w:val="center"/>
            <w:hideMark/>
          </w:tcPr>
          <w:p w14:paraId="586E44FC" w14:textId="77777777" w:rsidR="004D69BF" w:rsidRPr="004B33ED" w:rsidRDefault="004D69BF" w:rsidP="000240DA">
            <w:pPr>
              <w:spacing w:after="0" w:line="240" w:lineRule="auto"/>
              <w:jc w:val="left"/>
              <w:rPr>
                <w:rFonts w:eastAsia="Times New Roman" w:cs="Times New Roman"/>
                <w:b/>
                <w:bCs/>
                <w:color w:val="000000"/>
                <w:sz w:val="18"/>
                <w:szCs w:val="18"/>
                <w:lang w:eastAsia="sk-SK"/>
              </w:rPr>
            </w:pPr>
          </w:p>
        </w:tc>
        <w:tc>
          <w:tcPr>
            <w:tcW w:w="615" w:type="pct"/>
            <w:tcBorders>
              <w:top w:val="nil"/>
              <w:left w:val="nil"/>
              <w:bottom w:val="nil"/>
              <w:right w:val="nil"/>
            </w:tcBorders>
            <w:shd w:val="clear" w:color="auto" w:fill="auto"/>
            <w:vAlign w:val="center"/>
            <w:hideMark/>
          </w:tcPr>
          <w:p w14:paraId="195956EF" w14:textId="77777777" w:rsidR="004D69BF" w:rsidRPr="004B33ED" w:rsidRDefault="004D69BF" w:rsidP="000240DA">
            <w:pPr>
              <w:spacing w:after="0" w:line="240" w:lineRule="auto"/>
              <w:jc w:val="left"/>
              <w:rPr>
                <w:rFonts w:eastAsia="Times New Roman" w:cs="Times New Roman"/>
                <w:b/>
                <w:bCs/>
                <w:color w:val="000000"/>
                <w:sz w:val="18"/>
                <w:szCs w:val="18"/>
                <w:lang w:eastAsia="sk-SK"/>
              </w:rPr>
            </w:pPr>
            <w:r w:rsidRPr="004B33ED">
              <w:rPr>
                <w:rFonts w:eastAsia="Times New Roman" w:cs="Times New Roman"/>
                <w:b/>
                <w:bCs/>
                <w:color w:val="000000"/>
                <w:sz w:val="18"/>
                <w:szCs w:val="18"/>
                <w:lang w:eastAsia="sk-SK"/>
              </w:rPr>
              <w:t>počet</w:t>
            </w:r>
          </w:p>
        </w:tc>
        <w:tc>
          <w:tcPr>
            <w:tcW w:w="1028" w:type="pct"/>
            <w:tcBorders>
              <w:top w:val="nil"/>
              <w:left w:val="nil"/>
              <w:bottom w:val="nil"/>
              <w:right w:val="nil"/>
            </w:tcBorders>
            <w:shd w:val="clear" w:color="auto" w:fill="auto"/>
            <w:vAlign w:val="center"/>
            <w:hideMark/>
          </w:tcPr>
          <w:p w14:paraId="1368CB12" w14:textId="77777777" w:rsidR="004D69BF" w:rsidRPr="004B33ED" w:rsidRDefault="004D69BF" w:rsidP="000240DA">
            <w:pPr>
              <w:spacing w:after="0" w:line="240" w:lineRule="auto"/>
              <w:jc w:val="center"/>
              <w:rPr>
                <w:rFonts w:eastAsia="Times New Roman" w:cs="Times New Roman"/>
                <w:b/>
                <w:bCs/>
                <w:color w:val="000000"/>
                <w:sz w:val="18"/>
                <w:szCs w:val="18"/>
                <w:lang w:eastAsia="sk-SK"/>
              </w:rPr>
            </w:pPr>
            <w:r w:rsidRPr="004B33ED">
              <w:rPr>
                <w:rFonts w:eastAsia="Times New Roman" w:cs="Times New Roman"/>
                <w:b/>
                <w:bCs/>
                <w:color w:val="000000"/>
                <w:sz w:val="18"/>
                <w:szCs w:val="18"/>
                <w:lang w:eastAsia="sk-SK"/>
              </w:rPr>
              <w:t xml:space="preserve">suma </w:t>
            </w:r>
          </w:p>
        </w:tc>
        <w:tc>
          <w:tcPr>
            <w:tcW w:w="678" w:type="pct"/>
            <w:tcBorders>
              <w:top w:val="nil"/>
              <w:left w:val="nil"/>
              <w:bottom w:val="nil"/>
              <w:right w:val="nil"/>
            </w:tcBorders>
            <w:shd w:val="clear" w:color="auto" w:fill="auto"/>
            <w:vAlign w:val="center"/>
            <w:hideMark/>
          </w:tcPr>
          <w:p w14:paraId="36432684" w14:textId="77777777" w:rsidR="004D69BF" w:rsidRPr="004B33ED" w:rsidRDefault="004D69BF" w:rsidP="000240DA">
            <w:pPr>
              <w:spacing w:after="0" w:line="240" w:lineRule="auto"/>
              <w:jc w:val="center"/>
              <w:rPr>
                <w:rFonts w:eastAsia="Times New Roman" w:cs="Times New Roman"/>
                <w:b/>
                <w:bCs/>
                <w:color w:val="000000"/>
                <w:sz w:val="18"/>
                <w:szCs w:val="18"/>
                <w:lang w:eastAsia="sk-SK"/>
              </w:rPr>
            </w:pPr>
            <w:r w:rsidRPr="004B33ED">
              <w:rPr>
                <w:rFonts w:eastAsia="Times New Roman" w:cs="Times New Roman"/>
                <w:b/>
                <w:bCs/>
                <w:color w:val="000000"/>
                <w:sz w:val="18"/>
                <w:szCs w:val="18"/>
                <w:lang w:eastAsia="sk-SK"/>
              </w:rPr>
              <w:t>počet</w:t>
            </w:r>
          </w:p>
        </w:tc>
        <w:tc>
          <w:tcPr>
            <w:tcW w:w="1356" w:type="pct"/>
            <w:tcBorders>
              <w:top w:val="nil"/>
              <w:left w:val="nil"/>
              <w:bottom w:val="nil"/>
              <w:right w:val="nil"/>
            </w:tcBorders>
            <w:shd w:val="clear" w:color="auto" w:fill="auto"/>
            <w:vAlign w:val="center"/>
            <w:hideMark/>
          </w:tcPr>
          <w:p w14:paraId="4929598A" w14:textId="77777777" w:rsidR="004D69BF" w:rsidRPr="004B33ED" w:rsidRDefault="004D69BF" w:rsidP="000240DA">
            <w:pPr>
              <w:spacing w:after="0" w:line="240" w:lineRule="auto"/>
              <w:jc w:val="center"/>
              <w:rPr>
                <w:rFonts w:eastAsia="Times New Roman" w:cs="Times New Roman"/>
                <w:b/>
                <w:bCs/>
                <w:color w:val="000000"/>
                <w:sz w:val="18"/>
                <w:szCs w:val="18"/>
                <w:lang w:eastAsia="sk-SK"/>
              </w:rPr>
            </w:pPr>
            <w:r w:rsidRPr="004B33ED">
              <w:rPr>
                <w:rFonts w:eastAsia="Times New Roman" w:cs="Times New Roman"/>
                <w:b/>
                <w:bCs/>
                <w:color w:val="000000"/>
                <w:sz w:val="18"/>
                <w:szCs w:val="18"/>
                <w:lang w:eastAsia="sk-SK"/>
              </w:rPr>
              <w:t xml:space="preserve">suma </w:t>
            </w:r>
          </w:p>
        </w:tc>
      </w:tr>
      <w:tr w:rsidR="004D69BF" w:rsidRPr="004B33ED" w14:paraId="53B333AD" w14:textId="77777777" w:rsidTr="003F4BCE">
        <w:trPr>
          <w:trHeight w:val="259"/>
          <w:tblHeader/>
        </w:trPr>
        <w:tc>
          <w:tcPr>
            <w:tcW w:w="1323" w:type="pct"/>
            <w:tcBorders>
              <w:top w:val="nil"/>
              <w:left w:val="nil"/>
              <w:bottom w:val="single" w:sz="4" w:space="0" w:color="auto"/>
              <w:right w:val="nil"/>
            </w:tcBorders>
            <w:shd w:val="clear" w:color="auto" w:fill="auto"/>
            <w:vAlign w:val="center"/>
            <w:hideMark/>
          </w:tcPr>
          <w:p w14:paraId="4EAA58BC" w14:textId="77777777" w:rsidR="004D69BF" w:rsidRPr="004B33ED" w:rsidRDefault="004D69BF" w:rsidP="000240DA">
            <w:pPr>
              <w:spacing w:after="0" w:line="240" w:lineRule="auto"/>
              <w:rPr>
                <w:rFonts w:eastAsia="Times New Roman" w:cs="Times New Roman"/>
                <w:b/>
                <w:bCs/>
                <w:color w:val="000000"/>
                <w:sz w:val="18"/>
                <w:szCs w:val="18"/>
                <w:lang w:eastAsia="sk-SK"/>
              </w:rPr>
            </w:pPr>
          </w:p>
        </w:tc>
        <w:tc>
          <w:tcPr>
            <w:tcW w:w="615" w:type="pct"/>
            <w:tcBorders>
              <w:top w:val="nil"/>
              <w:left w:val="nil"/>
              <w:bottom w:val="single" w:sz="4" w:space="0" w:color="auto"/>
              <w:right w:val="nil"/>
            </w:tcBorders>
            <w:shd w:val="clear" w:color="auto" w:fill="auto"/>
            <w:vAlign w:val="center"/>
            <w:hideMark/>
          </w:tcPr>
          <w:p w14:paraId="781AF657" w14:textId="77777777" w:rsidR="004D69BF" w:rsidRPr="004B33ED" w:rsidRDefault="004D69BF" w:rsidP="000240DA">
            <w:pPr>
              <w:spacing w:after="0" w:line="240" w:lineRule="auto"/>
              <w:jc w:val="left"/>
              <w:rPr>
                <w:rFonts w:eastAsia="Times New Roman" w:cs="Times New Roman"/>
                <w:b/>
                <w:bCs/>
                <w:color w:val="000000"/>
                <w:sz w:val="18"/>
                <w:szCs w:val="18"/>
                <w:lang w:eastAsia="sk-SK"/>
              </w:rPr>
            </w:pPr>
            <w:r w:rsidRPr="004B33ED">
              <w:rPr>
                <w:rFonts w:eastAsia="Times New Roman" w:cs="Times New Roman"/>
                <w:b/>
                <w:bCs/>
                <w:color w:val="000000"/>
                <w:sz w:val="18"/>
                <w:szCs w:val="18"/>
                <w:lang w:eastAsia="sk-SK"/>
              </w:rPr>
              <w:t> </w:t>
            </w:r>
          </w:p>
        </w:tc>
        <w:tc>
          <w:tcPr>
            <w:tcW w:w="1028" w:type="pct"/>
            <w:tcBorders>
              <w:top w:val="nil"/>
              <w:left w:val="nil"/>
              <w:bottom w:val="single" w:sz="4" w:space="0" w:color="auto"/>
              <w:right w:val="nil"/>
            </w:tcBorders>
            <w:shd w:val="clear" w:color="auto" w:fill="auto"/>
            <w:vAlign w:val="center"/>
            <w:hideMark/>
          </w:tcPr>
          <w:p w14:paraId="3D6963D6" w14:textId="77777777" w:rsidR="004D69BF" w:rsidRPr="004B33ED" w:rsidRDefault="004D69BF" w:rsidP="000240DA">
            <w:pPr>
              <w:spacing w:after="0" w:line="240" w:lineRule="auto"/>
              <w:jc w:val="center"/>
              <w:rPr>
                <w:rFonts w:eastAsia="Times New Roman" w:cs="Times New Roman"/>
                <w:b/>
                <w:bCs/>
                <w:color w:val="000000"/>
                <w:sz w:val="18"/>
                <w:szCs w:val="18"/>
                <w:lang w:eastAsia="sk-SK"/>
              </w:rPr>
            </w:pPr>
            <w:r w:rsidRPr="004B33ED">
              <w:rPr>
                <w:rFonts w:eastAsia="Times New Roman" w:cs="Times New Roman"/>
                <w:b/>
                <w:bCs/>
                <w:color w:val="000000"/>
                <w:sz w:val="18"/>
                <w:szCs w:val="18"/>
                <w:lang w:eastAsia="sk-SK"/>
              </w:rPr>
              <w:t> (v tis. eur)</w:t>
            </w:r>
          </w:p>
        </w:tc>
        <w:tc>
          <w:tcPr>
            <w:tcW w:w="678" w:type="pct"/>
            <w:tcBorders>
              <w:top w:val="nil"/>
              <w:left w:val="nil"/>
              <w:bottom w:val="single" w:sz="4" w:space="0" w:color="auto"/>
              <w:right w:val="nil"/>
            </w:tcBorders>
            <w:shd w:val="clear" w:color="auto" w:fill="auto"/>
            <w:vAlign w:val="center"/>
            <w:hideMark/>
          </w:tcPr>
          <w:p w14:paraId="0F27E8E1" w14:textId="77777777" w:rsidR="004D69BF" w:rsidRPr="004B33ED" w:rsidRDefault="004D69BF" w:rsidP="000240DA">
            <w:pPr>
              <w:spacing w:after="0" w:line="240" w:lineRule="auto"/>
              <w:jc w:val="center"/>
              <w:rPr>
                <w:rFonts w:eastAsia="Times New Roman" w:cs="Times New Roman"/>
                <w:b/>
                <w:bCs/>
                <w:color w:val="000000"/>
                <w:sz w:val="18"/>
                <w:szCs w:val="18"/>
                <w:lang w:eastAsia="sk-SK"/>
              </w:rPr>
            </w:pPr>
            <w:r w:rsidRPr="004B33ED">
              <w:rPr>
                <w:rFonts w:eastAsia="Times New Roman" w:cs="Times New Roman"/>
                <w:b/>
                <w:bCs/>
                <w:color w:val="000000"/>
                <w:sz w:val="18"/>
                <w:szCs w:val="18"/>
                <w:lang w:eastAsia="sk-SK"/>
              </w:rPr>
              <w:t> </w:t>
            </w:r>
          </w:p>
        </w:tc>
        <w:tc>
          <w:tcPr>
            <w:tcW w:w="1356" w:type="pct"/>
            <w:tcBorders>
              <w:top w:val="nil"/>
              <w:left w:val="nil"/>
              <w:bottom w:val="single" w:sz="4" w:space="0" w:color="auto"/>
              <w:right w:val="nil"/>
            </w:tcBorders>
            <w:shd w:val="clear" w:color="auto" w:fill="auto"/>
            <w:vAlign w:val="center"/>
            <w:hideMark/>
          </w:tcPr>
          <w:p w14:paraId="091DB4F1" w14:textId="77777777" w:rsidR="004D69BF" w:rsidRPr="004B33ED" w:rsidRDefault="004D69BF" w:rsidP="000240DA">
            <w:pPr>
              <w:spacing w:after="0" w:line="240" w:lineRule="auto"/>
              <w:jc w:val="center"/>
              <w:rPr>
                <w:rFonts w:eastAsia="Times New Roman" w:cs="Times New Roman"/>
                <w:b/>
                <w:bCs/>
                <w:color w:val="000000"/>
                <w:sz w:val="18"/>
                <w:szCs w:val="18"/>
                <w:lang w:eastAsia="sk-SK"/>
              </w:rPr>
            </w:pPr>
            <w:r w:rsidRPr="004B33ED">
              <w:rPr>
                <w:rFonts w:eastAsia="Times New Roman" w:cs="Times New Roman"/>
                <w:b/>
                <w:bCs/>
                <w:color w:val="000000"/>
                <w:sz w:val="18"/>
                <w:szCs w:val="18"/>
                <w:lang w:eastAsia="sk-SK"/>
              </w:rPr>
              <w:t>(v tis. eur) </w:t>
            </w:r>
          </w:p>
        </w:tc>
      </w:tr>
      <w:tr w:rsidR="004D69BF" w:rsidRPr="004B33ED" w14:paraId="6C966326" w14:textId="77777777" w:rsidTr="003F4BCE">
        <w:trPr>
          <w:trHeight w:val="288"/>
        </w:trPr>
        <w:tc>
          <w:tcPr>
            <w:tcW w:w="1323" w:type="pct"/>
            <w:tcBorders>
              <w:top w:val="nil"/>
              <w:left w:val="nil"/>
              <w:bottom w:val="nil"/>
              <w:right w:val="nil"/>
            </w:tcBorders>
            <w:shd w:val="clear" w:color="auto" w:fill="auto"/>
            <w:vAlign w:val="center"/>
            <w:hideMark/>
          </w:tcPr>
          <w:p w14:paraId="1CD2618C" w14:textId="77777777" w:rsidR="004D69BF" w:rsidRPr="004B33ED" w:rsidRDefault="004D69BF" w:rsidP="000240DA">
            <w:pPr>
              <w:spacing w:after="0" w:line="240" w:lineRule="auto"/>
              <w:jc w:val="left"/>
              <w:rPr>
                <w:rFonts w:eastAsia="Times New Roman" w:cs="Times New Roman"/>
                <w:color w:val="000000"/>
                <w:sz w:val="18"/>
                <w:szCs w:val="18"/>
                <w:lang w:eastAsia="sk-SK"/>
              </w:rPr>
            </w:pPr>
            <w:r w:rsidRPr="004B33ED">
              <w:rPr>
                <w:rFonts w:eastAsia="Times New Roman" w:cs="Times New Roman"/>
                <w:color w:val="000000"/>
                <w:sz w:val="18"/>
                <w:szCs w:val="18"/>
                <w:lang w:eastAsia="sk-SK"/>
              </w:rPr>
              <w:t>Daňové úrady</w:t>
            </w:r>
          </w:p>
        </w:tc>
        <w:tc>
          <w:tcPr>
            <w:tcW w:w="615" w:type="pct"/>
            <w:tcBorders>
              <w:top w:val="nil"/>
              <w:left w:val="nil"/>
              <w:bottom w:val="nil"/>
              <w:right w:val="nil"/>
            </w:tcBorders>
            <w:shd w:val="clear" w:color="auto" w:fill="auto"/>
            <w:vAlign w:val="center"/>
            <w:hideMark/>
          </w:tcPr>
          <w:p w14:paraId="4DF4E856" w14:textId="77777777" w:rsidR="004D69BF" w:rsidRPr="004B33ED" w:rsidRDefault="004D69BF" w:rsidP="000240DA">
            <w:pPr>
              <w:spacing w:after="0" w:line="240" w:lineRule="auto"/>
              <w:jc w:val="center"/>
              <w:rPr>
                <w:rFonts w:eastAsia="Times New Roman" w:cs="Times New Roman"/>
                <w:color w:val="000000"/>
                <w:sz w:val="18"/>
                <w:szCs w:val="18"/>
                <w:lang w:eastAsia="sk-SK"/>
              </w:rPr>
            </w:pPr>
            <w:r w:rsidRPr="004B33ED">
              <w:rPr>
                <w:rFonts w:eastAsia="Times New Roman" w:cs="Times New Roman"/>
                <w:color w:val="000000"/>
                <w:sz w:val="18"/>
                <w:szCs w:val="18"/>
                <w:lang w:eastAsia="sk-SK"/>
              </w:rPr>
              <w:t>0</w:t>
            </w:r>
          </w:p>
        </w:tc>
        <w:tc>
          <w:tcPr>
            <w:tcW w:w="1028" w:type="pct"/>
            <w:tcBorders>
              <w:top w:val="nil"/>
              <w:left w:val="nil"/>
              <w:bottom w:val="nil"/>
              <w:right w:val="nil"/>
            </w:tcBorders>
            <w:shd w:val="clear" w:color="auto" w:fill="auto"/>
            <w:vAlign w:val="center"/>
            <w:hideMark/>
          </w:tcPr>
          <w:p w14:paraId="47821916" w14:textId="77777777" w:rsidR="004D69BF" w:rsidRPr="004B33ED" w:rsidRDefault="004D69BF" w:rsidP="000240DA">
            <w:pPr>
              <w:spacing w:after="0" w:line="240" w:lineRule="auto"/>
              <w:jc w:val="center"/>
              <w:rPr>
                <w:rFonts w:eastAsia="Times New Roman" w:cs="Times New Roman"/>
                <w:color w:val="000000"/>
                <w:sz w:val="18"/>
                <w:szCs w:val="18"/>
                <w:lang w:eastAsia="sk-SK"/>
              </w:rPr>
            </w:pPr>
            <w:r w:rsidRPr="004B33ED">
              <w:rPr>
                <w:rFonts w:eastAsia="Times New Roman" w:cs="Times New Roman"/>
                <w:color w:val="000000"/>
                <w:sz w:val="18"/>
                <w:szCs w:val="18"/>
                <w:lang w:eastAsia="sk-SK"/>
              </w:rPr>
              <w:t>0,0</w:t>
            </w:r>
          </w:p>
        </w:tc>
        <w:tc>
          <w:tcPr>
            <w:tcW w:w="678" w:type="pct"/>
            <w:tcBorders>
              <w:top w:val="nil"/>
              <w:left w:val="nil"/>
              <w:bottom w:val="nil"/>
              <w:right w:val="nil"/>
            </w:tcBorders>
            <w:shd w:val="clear" w:color="auto" w:fill="auto"/>
            <w:vAlign w:val="center"/>
            <w:hideMark/>
          </w:tcPr>
          <w:p w14:paraId="650945C5" w14:textId="77777777" w:rsidR="004D69BF" w:rsidRPr="004B33ED" w:rsidRDefault="004D69BF" w:rsidP="000240DA">
            <w:pPr>
              <w:spacing w:after="0" w:line="240" w:lineRule="auto"/>
              <w:jc w:val="center"/>
              <w:rPr>
                <w:rFonts w:eastAsia="Times New Roman" w:cs="Times New Roman"/>
                <w:color w:val="000000"/>
                <w:sz w:val="18"/>
                <w:szCs w:val="18"/>
                <w:lang w:eastAsia="sk-SK"/>
              </w:rPr>
            </w:pPr>
            <w:r w:rsidRPr="004B33ED">
              <w:rPr>
                <w:rFonts w:eastAsia="Times New Roman" w:cs="Times New Roman"/>
                <w:color w:val="000000"/>
                <w:sz w:val="18"/>
                <w:szCs w:val="18"/>
                <w:lang w:eastAsia="sk-SK"/>
              </w:rPr>
              <w:t>236</w:t>
            </w:r>
          </w:p>
        </w:tc>
        <w:tc>
          <w:tcPr>
            <w:tcW w:w="1356" w:type="pct"/>
            <w:tcBorders>
              <w:top w:val="nil"/>
              <w:left w:val="nil"/>
              <w:bottom w:val="nil"/>
              <w:right w:val="nil"/>
            </w:tcBorders>
            <w:shd w:val="clear" w:color="auto" w:fill="auto"/>
            <w:vAlign w:val="center"/>
            <w:hideMark/>
          </w:tcPr>
          <w:p w14:paraId="2FC67C2C" w14:textId="77777777" w:rsidR="004D69BF" w:rsidRPr="004B33ED" w:rsidRDefault="004D69BF" w:rsidP="000240DA">
            <w:pPr>
              <w:spacing w:after="0" w:line="240" w:lineRule="auto"/>
              <w:jc w:val="center"/>
              <w:rPr>
                <w:rFonts w:eastAsia="Times New Roman" w:cs="Times New Roman"/>
                <w:color w:val="000000"/>
                <w:sz w:val="18"/>
                <w:szCs w:val="18"/>
                <w:lang w:eastAsia="sk-SK"/>
              </w:rPr>
            </w:pPr>
            <w:r w:rsidRPr="004B33ED">
              <w:rPr>
                <w:rFonts w:eastAsia="Times New Roman" w:cs="Times New Roman"/>
                <w:color w:val="000000"/>
                <w:sz w:val="18"/>
                <w:szCs w:val="18"/>
                <w:lang w:eastAsia="sk-SK"/>
              </w:rPr>
              <w:t>430,73</w:t>
            </w:r>
          </w:p>
        </w:tc>
      </w:tr>
      <w:tr w:rsidR="004D69BF" w:rsidRPr="004B33ED" w14:paraId="73C63999" w14:textId="77777777" w:rsidTr="003F4BCE">
        <w:trPr>
          <w:trHeight w:val="288"/>
        </w:trPr>
        <w:tc>
          <w:tcPr>
            <w:tcW w:w="1323" w:type="pct"/>
            <w:tcBorders>
              <w:top w:val="nil"/>
              <w:left w:val="nil"/>
              <w:bottom w:val="nil"/>
              <w:right w:val="nil"/>
            </w:tcBorders>
            <w:shd w:val="clear" w:color="auto" w:fill="auto"/>
            <w:vAlign w:val="center"/>
            <w:hideMark/>
          </w:tcPr>
          <w:p w14:paraId="6066875D" w14:textId="77777777" w:rsidR="004D69BF" w:rsidRPr="004B33ED" w:rsidRDefault="004D69BF" w:rsidP="000240DA">
            <w:pPr>
              <w:spacing w:after="0" w:line="240" w:lineRule="auto"/>
              <w:jc w:val="left"/>
              <w:rPr>
                <w:rFonts w:eastAsia="Times New Roman" w:cs="Times New Roman"/>
                <w:color w:val="000000"/>
                <w:sz w:val="18"/>
                <w:szCs w:val="18"/>
                <w:lang w:eastAsia="sk-SK"/>
              </w:rPr>
            </w:pPr>
            <w:r w:rsidRPr="004B33ED">
              <w:rPr>
                <w:rFonts w:eastAsia="Times New Roman" w:cs="Times New Roman"/>
                <w:color w:val="000000"/>
                <w:sz w:val="18"/>
                <w:szCs w:val="18"/>
                <w:lang w:eastAsia="sk-SK"/>
              </w:rPr>
              <w:t xml:space="preserve">Colné úrady /* </w:t>
            </w:r>
          </w:p>
        </w:tc>
        <w:tc>
          <w:tcPr>
            <w:tcW w:w="615" w:type="pct"/>
            <w:tcBorders>
              <w:top w:val="nil"/>
              <w:left w:val="nil"/>
              <w:bottom w:val="nil"/>
              <w:right w:val="nil"/>
            </w:tcBorders>
            <w:shd w:val="clear" w:color="auto" w:fill="auto"/>
            <w:vAlign w:val="center"/>
            <w:hideMark/>
          </w:tcPr>
          <w:p w14:paraId="5863DD9D" w14:textId="77777777" w:rsidR="004D69BF" w:rsidRPr="004B33ED" w:rsidRDefault="004D69BF" w:rsidP="000240DA">
            <w:pPr>
              <w:spacing w:after="0" w:line="240" w:lineRule="auto"/>
              <w:jc w:val="center"/>
              <w:rPr>
                <w:rFonts w:eastAsia="Times New Roman" w:cs="Times New Roman"/>
                <w:color w:val="000000"/>
                <w:sz w:val="18"/>
                <w:szCs w:val="18"/>
                <w:lang w:eastAsia="sk-SK"/>
              </w:rPr>
            </w:pPr>
            <w:r w:rsidRPr="004B33ED">
              <w:rPr>
                <w:rFonts w:eastAsia="Times New Roman" w:cs="Times New Roman"/>
                <w:color w:val="000000"/>
                <w:sz w:val="18"/>
                <w:szCs w:val="18"/>
                <w:lang w:eastAsia="sk-SK"/>
              </w:rPr>
              <w:t>x</w:t>
            </w:r>
          </w:p>
        </w:tc>
        <w:tc>
          <w:tcPr>
            <w:tcW w:w="1028" w:type="pct"/>
            <w:tcBorders>
              <w:top w:val="nil"/>
              <w:left w:val="nil"/>
              <w:bottom w:val="nil"/>
              <w:right w:val="nil"/>
            </w:tcBorders>
            <w:shd w:val="clear" w:color="auto" w:fill="auto"/>
            <w:vAlign w:val="center"/>
            <w:hideMark/>
          </w:tcPr>
          <w:p w14:paraId="0A39C048" w14:textId="77777777" w:rsidR="004D69BF" w:rsidRPr="004B33ED" w:rsidRDefault="004D69BF" w:rsidP="000240DA">
            <w:pPr>
              <w:spacing w:after="0" w:line="240" w:lineRule="auto"/>
              <w:jc w:val="center"/>
              <w:rPr>
                <w:rFonts w:eastAsia="Times New Roman" w:cs="Times New Roman"/>
                <w:color w:val="000000"/>
                <w:sz w:val="18"/>
                <w:szCs w:val="18"/>
                <w:lang w:eastAsia="sk-SK"/>
              </w:rPr>
            </w:pPr>
            <w:r w:rsidRPr="004B33ED">
              <w:rPr>
                <w:rFonts w:eastAsia="Times New Roman" w:cs="Times New Roman"/>
                <w:color w:val="000000"/>
                <w:sz w:val="18"/>
                <w:szCs w:val="18"/>
                <w:lang w:eastAsia="sk-SK"/>
              </w:rPr>
              <w:t xml:space="preserve"> x</w:t>
            </w:r>
          </w:p>
        </w:tc>
        <w:tc>
          <w:tcPr>
            <w:tcW w:w="678" w:type="pct"/>
            <w:tcBorders>
              <w:top w:val="nil"/>
              <w:left w:val="nil"/>
              <w:bottom w:val="nil"/>
              <w:right w:val="nil"/>
            </w:tcBorders>
            <w:shd w:val="clear" w:color="auto" w:fill="auto"/>
            <w:vAlign w:val="center"/>
            <w:hideMark/>
          </w:tcPr>
          <w:p w14:paraId="64924160" w14:textId="77777777" w:rsidR="004D69BF" w:rsidRPr="004B33ED" w:rsidRDefault="004D69BF" w:rsidP="000240DA">
            <w:pPr>
              <w:spacing w:after="0" w:line="240" w:lineRule="auto"/>
              <w:jc w:val="center"/>
              <w:rPr>
                <w:rFonts w:eastAsia="Times New Roman" w:cs="Times New Roman"/>
                <w:color w:val="000000"/>
                <w:sz w:val="18"/>
                <w:szCs w:val="18"/>
                <w:lang w:eastAsia="sk-SK"/>
              </w:rPr>
            </w:pPr>
            <w:r w:rsidRPr="004B33ED">
              <w:rPr>
                <w:rFonts w:eastAsia="Times New Roman" w:cs="Times New Roman"/>
                <w:color w:val="000000"/>
                <w:sz w:val="18"/>
                <w:szCs w:val="18"/>
                <w:lang w:eastAsia="sk-SK"/>
              </w:rPr>
              <w:t>X</w:t>
            </w:r>
          </w:p>
        </w:tc>
        <w:tc>
          <w:tcPr>
            <w:tcW w:w="1356" w:type="pct"/>
            <w:tcBorders>
              <w:top w:val="nil"/>
              <w:left w:val="nil"/>
              <w:bottom w:val="nil"/>
              <w:right w:val="nil"/>
            </w:tcBorders>
            <w:shd w:val="clear" w:color="auto" w:fill="auto"/>
            <w:vAlign w:val="center"/>
            <w:hideMark/>
          </w:tcPr>
          <w:p w14:paraId="59E2FB0E" w14:textId="77777777" w:rsidR="004D69BF" w:rsidRPr="004B33ED" w:rsidRDefault="004D69BF" w:rsidP="000240DA">
            <w:pPr>
              <w:spacing w:after="0" w:line="240" w:lineRule="auto"/>
              <w:jc w:val="center"/>
              <w:rPr>
                <w:rFonts w:eastAsia="Times New Roman" w:cs="Times New Roman"/>
                <w:color w:val="000000"/>
                <w:sz w:val="18"/>
                <w:szCs w:val="18"/>
                <w:lang w:eastAsia="sk-SK"/>
              </w:rPr>
            </w:pPr>
            <w:r w:rsidRPr="004B33ED">
              <w:rPr>
                <w:rFonts w:eastAsia="Times New Roman" w:cs="Times New Roman"/>
                <w:color w:val="000000"/>
                <w:sz w:val="18"/>
                <w:szCs w:val="18"/>
                <w:lang w:eastAsia="sk-SK"/>
              </w:rPr>
              <w:t>x</w:t>
            </w:r>
          </w:p>
        </w:tc>
      </w:tr>
      <w:tr w:rsidR="004D69BF" w:rsidRPr="004B33ED" w14:paraId="6CBCC7EF" w14:textId="77777777" w:rsidTr="003F4BCE">
        <w:trPr>
          <w:trHeight w:val="288"/>
        </w:trPr>
        <w:tc>
          <w:tcPr>
            <w:tcW w:w="1323" w:type="pct"/>
            <w:tcBorders>
              <w:top w:val="nil"/>
              <w:left w:val="nil"/>
              <w:bottom w:val="nil"/>
              <w:right w:val="nil"/>
            </w:tcBorders>
            <w:shd w:val="clear" w:color="auto" w:fill="auto"/>
            <w:vAlign w:val="center"/>
            <w:hideMark/>
          </w:tcPr>
          <w:p w14:paraId="169CA9E8" w14:textId="77777777" w:rsidR="004D69BF" w:rsidRPr="004B33ED" w:rsidRDefault="004D69BF" w:rsidP="000240DA">
            <w:pPr>
              <w:spacing w:after="0" w:line="240" w:lineRule="auto"/>
              <w:jc w:val="left"/>
              <w:rPr>
                <w:rFonts w:eastAsia="Times New Roman" w:cs="Times New Roman"/>
                <w:color w:val="000000"/>
                <w:sz w:val="18"/>
                <w:szCs w:val="18"/>
                <w:lang w:eastAsia="sk-SK"/>
              </w:rPr>
            </w:pPr>
            <w:r w:rsidRPr="004B33ED">
              <w:rPr>
                <w:rFonts w:eastAsia="Times New Roman" w:cs="Times New Roman"/>
                <w:color w:val="000000"/>
                <w:sz w:val="18"/>
                <w:szCs w:val="18"/>
                <w:lang w:eastAsia="sk-SK"/>
              </w:rPr>
              <w:t>FR SR</w:t>
            </w:r>
          </w:p>
        </w:tc>
        <w:tc>
          <w:tcPr>
            <w:tcW w:w="615" w:type="pct"/>
            <w:tcBorders>
              <w:top w:val="nil"/>
              <w:left w:val="nil"/>
              <w:bottom w:val="nil"/>
              <w:right w:val="nil"/>
            </w:tcBorders>
            <w:shd w:val="clear" w:color="auto" w:fill="auto"/>
            <w:vAlign w:val="center"/>
            <w:hideMark/>
          </w:tcPr>
          <w:p w14:paraId="132EDE8F" w14:textId="77777777" w:rsidR="004D69BF" w:rsidRPr="004B33ED" w:rsidRDefault="004D69BF" w:rsidP="000240DA">
            <w:pPr>
              <w:spacing w:after="0" w:line="240" w:lineRule="auto"/>
              <w:jc w:val="center"/>
              <w:rPr>
                <w:rFonts w:eastAsia="Times New Roman" w:cs="Times New Roman"/>
                <w:color w:val="000000"/>
                <w:sz w:val="18"/>
                <w:szCs w:val="18"/>
                <w:lang w:eastAsia="sk-SK"/>
              </w:rPr>
            </w:pPr>
            <w:r w:rsidRPr="004B33ED">
              <w:rPr>
                <w:rFonts w:eastAsia="Times New Roman" w:cs="Times New Roman"/>
                <w:color w:val="000000"/>
                <w:sz w:val="18"/>
                <w:szCs w:val="18"/>
                <w:lang w:eastAsia="sk-SK"/>
              </w:rPr>
              <w:t>0</w:t>
            </w:r>
          </w:p>
        </w:tc>
        <w:tc>
          <w:tcPr>
            <w:tcW w:w="1028" w:type="pct"/>
            <w:tcBorders>
              <w:top w:val="nil"/>
              <w:left w:val="nil"/>
              <w:bottom w:val="nil"/>
              <w:right w:val="nil"/>
            </w:tcBorders>
            <w:shd w:val="clear" w:color="auto" w:fill="auto"/>
            <w:vAlign w:val="center"/>
            <w:hideMark/>
          </w:tcPr>
          <w:p w14:paraId="081CCD0C" w14:textId="77777777" w:rsidR="004D69BF" w:rsidRPr="004B33ED" w:rsidRDefault="004D69BF" w:rsidP="000240DA">
            <w:pPr>
              <w:spacing w:after="0" w:line="240" w:lineRule="auto"/>
              <w:jc w:val="center"/>
              <w:rPr>
                <w:rFonts w:eastAsia="Times New Roman" w:cs="Times New Roman"/>
                <w:color w:val="000000"/>
                <w:sz w:val="18"/>
                <w:szCs w:val="18"/>
                <w:lang w:eastAsia="sk-SK"/>
              </w:rPr>
            </w:pPr>
            <w:r w:rsidRPr="004B33ED">
              <w:rPr>
                <w:rFonts w:eastAsia="Times New Roman" w:cs="Times New Roman"/>
                <w:color w:val="000000"/>
                <w:sz w:val="18"/>
                <w:szCs w:val="18"/>
                <w:lang w:eastAsia="sk-SK"/>
              </w:rPr>
              <w:t>x</w:t>
            </w:r>
          </w:p>
        </w:tc>
        <w:tc>
          <w:tcPr>
            <w:tcW w:w="678" w:type="pct"/>
            <w:tcBorders>
              <w:top w:val="nil"/>
              <w:left w:val="nil"/>
              <w:bottom w:val="nil"/>
              <w:right w:val="nil"/>
            </w:tcBorders>
            <w:shd w:val="clear" w:color="auto" w:fill="auto"/>
            <w:vAlign w:val="center"/>
            <w:hideMark/>
          </w:tcPr>
          <w:p w14:paraId="53F30892" w14:textId="77777777" w:rsidR="004D69BF" w:rsidRPr="004B33ED" w:rsidRDefault="004D69BF" w:rsidP="000240DA">
            <w:pPr>
              <w:spacing w:after="0" w:line="240" w:lineRule="auto"/>
              <w:jc w:val="center"/>
              <w:rPr>
                <w:rFonts w:eastAsia="Times New Roman" w:cs="Times New Roman"/>
                <w:color w:val="000000"/>
                <w:sz w:val="18"/>
                <w:szCs w:val="18"/>
                <w:lang w:eastAsia="sk-SK"/>
              </w:rPr>
            </w:pPr>
            <w:r w:rsidRPr="004B33ED">
              <w:rPr>
                <w:rFonts w:eastAsia="Times New Roman" w:cs="Times New Roman"/>
                <w:color w:val="000000"/>
                <w:sz w:val="18"/>
                <w:szCs w:val="18"/>
                <w:lang w:eastAsia="sk-SK"/>
              </w:rPr>
              <w:t>X</w:t>
            </w:r>
          </w:p>
        </w:tc>
        <w:tc>
          <w:tcPr>
            <w:tcW w:w="1356" w:type="pct"/>
            <w:tcBorders>
              <w:top w:val="nil"/>
              <w:left w:val="nil"/>
              <w:bottom w:val="nil"/>
              <w:right w:val="nil"/>
            </w:tcBorders>
            <w:shd w:val="clear" w:color="auto" w:fill="auto"/>
            <w:vAlign w:val="center"/>
            <w:hideMark/>
          </w:tcPr>
          <w:p w14:paraId="2D9CA042" w14:textId="77777777" w:rsidR="004D69BF" w:rsidRPr="004B33ED" w:rsidRDefault="004D69BF" w:rsidP="000240DA">
            <w:pPr>
              <w:spacing w:after="0" w:line="240" w:lineRule="auto"/>
              <w:jc w:val="center"/>
              <w:rPr>
                <w:rFonts w:eastAsia="Times New Roman" w:cs="Times New Roman"/>
                <w:color w:val="000000"/>
                <w:sz w:val="18"/>
                <w:szCs w:val="18"/>
                <w:lang w:eastAsia="sk-SK"/>
              </w:rPr>
            </w:pPr>
            <w:r w:rsidRPr="004B33ED">
              <w:rPr>
                <w:rFonts w:eastAsia="Times New Roman" w:cs="Times New Roman"/>
                <w:color w:val="000000"/>
                <w:sz w:val="18"/>
                <w:szCs w:val="18"/>
                <w:lang w:eastAsia="sk-SK"/>
              </w:rPr>
              <w:t>x</w:t>
            </w:r>
          </w:p>
        </w:tc>
      </w:tr>
      <w:tr w:rsidR="004D69BF" w:rsidRPr="004B33ED" w14:paraId="0E36D73A" w14:textId="77777777" w:rsidTr="003F4BCE">
        <w:trPr>
          <w:trHeight w:val="288"/>
        </w:trPr>
        <w:tc>
          <w:tcPr>
            <w:tcW w:w="1323" w:type="pct"/>
            <w:tcBorders>
              <w:top w:val="single" w:sz="4" w:space="0" w:color="auto"/>
              <w:left w:val="nil"/>
              <w:bottom w:val="single" w:sz="4" w:space="0" w:color="auto"/>
              <w:right w:val="nil"/>
            </w:tcBorders>
            <w:shd w:val="clear" w:color="auto" w:fill="auto"/>
            <w:vAlign w:val="center"/>
            <w:hideMark/>
          </w:tcPr>
          <w:p w14:paraId="214F125D" w14:textId="77777777" w:rsidR="004D69BF" w:rsidRPr="004B33ED" w:rsidRDefault="004D69BF" w:rsidP="000240DA">
            <w:pPr>
              <w:spacing w:after="0" w:line="240" w:lineRule="auto"/>
              <w:jc w:val="left"/>
              <w:rPr>
                <w:rFonts w:eastAsia="Times New Roman" w:cs="Times New Roman"/>
                <w:b/>
                <w:bCs/>
                <w:color w:val="000000"/>
                <w:sz w:val="18"/>
                <w:szCs w:val="18"/>
                <w:lang w:eastAsia="sk-SK"/>
              </w:rPr>
            </w:pPr>
            <w:r w:rsidRPr="004B33ED">
              <w:rPr>
                <w:rFonts w:eastAsia="Times New Roman" w:cs="Times New Roman"/>
                <w:b/>
                <w:bCs/>
                <w:color w:val="000000"/>
                <w:sz w:val="18"/>
                <w:szCs w:val="18"/>
                <w:lang w:eastAsia="sk-SK"/>
              </w:rPr>
              <w:t>Spolu</w:t>
            </w:r>
          </w:p>
        </w:tc>
        <w:tc>
          <w:tcPr>
            <w:tcW w:w="615" w:type="pct"/>
            <w:tcBorders>
              <w:top w:val="single" w:sz="4" w:space="0" w:color="auto"/>
              <w:left w:val="nil"/>
              <w:bottom w:val="single" w:sz="4" w:space="0" w:color="auto"/>
              <w:right w:val="nil"/>
            </w:tcBorders>
            <w:shd w:val="clear" w:color="auto" w:fill="auto"/>
            <w:vAlign w:val="center"/>
            <w:hideMark/>
          </w:tcPr>
          <w:p w14:paraId="71803B0C" w14:textId="77777777" w:rsidR="004D69BF" w:rsidRPr="004B33ED" w:rsidRDefault="004D69BF" w:rsidP="000240DA">
            <w:pPr>
              <w:spacing w:after="0" w:line="240" w:lineRule="auto"/>
              <w:jc w:val="center"/>
              <w:rPr>
                <w:rFonts w:eastAsia="Times New Roman" w:cs="Times New Roman"/>
                <w:b/>
                <w:bCs/>
                <w:color w:val="000000"/>
                <w:sz w:val="18"/>
                <w:szCs w:val="18"/>
                <w:lang w:eastAsia="sk-SK"/>
              </w:rPr>
            </w:pPr>
            <w:r w:rsidRPr="004B33ED">
              <w:rPr>
                <w:rFonts w:eastAsia="Times New Roman" w:cs="Times New Roman"/>
                <w:b/>
                <w:bCs/>
                <w:color w:val="000000"/>
                <w:sz w:val="18"/>
                <w:szCs w:val="18"/>
                <w:lang w:eastAsia="sk-SK"/>
              </w:rPr>
              <w:t>0</w:t>
            </w:r>
          </w:p>
        </w:tc>
        <w:tc>
          <w:tcPr>
            <w:tcW w:w="1028" w:type="pct"/>
            <w:tcBorders>
              <w:top w:val="single" w:sz="4" w:space="0" w:color="auto"/>
              <w:left w:val="nil"/>
              <w:bottom w:val="single" w:sz="4" w:space="0" w:color="auto"/>
              <w:right w:val="nil"/>
            </w:tcBorders>
            <w:shd w:val="clear" w:color="auto" w:fill="auto"/>
            <w:vAlign w:val="center"/>
            <w:hideMark/>
          </w:tcPr>
          <w:p w14:paraId="5F661D37" w14:textId="77777777" w:rsidR="004D69BF" w:rsidRPr="004B33ED" w:rsidRDefault="004D69BF" w:rsidP="000240DA">
            <w:pPr>
              <w:spacing w:after="0" w:line="240" w:lineRule="auto"/>
              <w:jc w:val="center"/>
              <w:rPr>
                <w:rFonts w:eastAsia="Times New Roman" w:cs="Times New Roman"/>
                <w:b/>
                <w:bCs/>
                <w:color w:val="000000"/>
                <w:sz w:val="18"/>
                <w:szCs w:val="18"/>
                <w:lang w:eastAsia="sk-SK"/>
              </w:rPr>
            </w:pPr>
            <w:r w:rsidRPr="004B33ED">
              <w:rPr>
                <w:rFonts w:eastAsia="Times New Roman" w:cs="Times New Roman"/>
                <w:b/>
                <w:bCs/>
                <w:color w:val="000000"/>
                <w:sz w:val="18"/>
                <w:szCs w:val="18"/>
                <w:lang w:eastAsia="sk-SK"/>
              </w:rPr>
              <w:t>0,0</w:t>
            </w:r>
          </w:p>
        </w:tc>
        <w:tc>
          <w:tcPr>
            <w:tcW w:w="678" w:type="pct"/>
            <w:tcBorders>
              <w:top w:val="single" w:sz="4" w:space="0" w:color="auto"/>
              <w:left w:val="nil"/>
              <w:bottom w:val="single" w:sz="4" w:space="0" w:color="auto"/>
              <w:right w:val="nil"/>
            </w:tcBorders>
            <w:shd w:val="clear" w:color="auto" w:fill="auto"/>
            <w:vAlign w:val="center"/>
            <w:hideMark/>
          </w:tcPr>
          <w:p w14:paraId="6B7BA982" w14:textId="77777777" w:rsidR="004D69BF" w:rsidRPr="004B33ED" w:rsidRDefault="004D69BF" w:rsidP="000240DA">
            <w:pPr>
              <w:spacing w:after="0" w:line="240" w:lineRule="auto"/>
              <w:jc w:val="center"/>
              <w:rPr>
                <w:rFonts w:eastAsia="Times New Roman" w:cs="Times New Roman"/>
                <w:b/>
                <w:bCs/>
                <w:color w:val="000000"/>
                <w:sz w:val="18"/>
                <w:szCs w:val="18"/>
                <w:lang w:eastAsia="sk-SK"/>
              </w:rPr>
            </w:pPr>
            <w:r w:rsidRPr="004B33ED">
              <w:rPr>
                <w:rFonts w:eastAsia="Times New Roman" w:cs="Times New Roman"/>
                <w:b/>
                <w:bCs/>
                <w:color w:val="000000"/>
                <w:sz w:val="18"/>
                <w:szCs w:val="18"/>
                <w:lang w:eastAsia="sk-SK"/>
              </w:rPr>
              <w:t>236</w:t>
            </w:r>
          </w:p>
        </w:tc>
        <w:tc>
          <w:tcPr>
            <w:tcW w:w="1356" w:type="pct"/>
            <w:tcBorders>
              <w:top w:val="single" w:sz="4" w:space="0" w:color="auto"/>
              <w:left w:val="nil"/>
              <w:bottom w:val="single" w:sz="4" w:space="0" w:color="auto"/>
              <w:right w:val="nil"/>
            </w:tcBorders>
            <w:shd w:val="clear" w:color="auto" w:fill="auto"/>
            <w:vAlign w:val="center"/>
            <w:hideMark/>
          </w:tcPr>
          <w:p w14:paraId="0222DAF7" w14:textId="77777777" w:rsidR="004D69BF" w:rsidRPr="004B33ED" w:rsidRDefault="004D69BF" w:rsidP="000240DA">
            <w:pPr>
              <w:spacing w:after="0" w:line="240" w:lineRule="auto"/>
              <w:jc w:val="center"/>
              <w:rPr>
                <w:rFonts w:eastAsia="Times New Roman" w:cs="Times New Roman"/>
                <w:b/>
                <w:bCs/>
                <w:color w:val="000000"/>
                <w:sz w:val="18"/>
                <w:szCs w:val="18"/>
                <w:lang w:eastAsia="sk-SK"/>
              </w:rPr>
            </w:pPr>
            <w:r w:rsidRPr="004B33ED">
              <w:rPr>
                <w:rFonts w:eastAsia="Times New Roman" w:cs="Times New Roman"/>
                <w:b/>
                <w:bCs/>
                <w:color w:val="000000"/>
                <w:sz w:val="18"/>
                <w:szCs w:val="18"/>
                <w:lang w:eastAsia="sk-SK"/>
              </w:rPr>
              <w:t>430,73</w:t>
            </w:r>
          </w:p>
        </w:tc>
      </w:tr>
    </w:tbl>
    <w:p w14:paraId="68EB86F7" w14:textId="1D57F1E5" w:rsidR="004D69BF" w:rsidRPr="006D37EA" w:rsidRDefault="004D69BF" w:rsidP="008E1EF3">
      <w:pPr>
        <w:spacing w:line="240" w:lineRule="auto"/>
        <w:rPr>
          <w:b/>
          <w:i/>
          <w:sz w:val="18"/>
          <w:szCs w:val="18"/>
        </w:rPr>
      </w:pPr>
      <w:r w:rsidRPr="006D37EA">
        <w:rPr>
          <w:sz w:val="18"/>
          <w:szCs w:val="18"/>
          <w:lang w:eastAsia="sk-SK"/>
        </w:rPr>
        <w:t xml:space="preserve">*Colné úrady neposkytujú úľavy a odpustenie DN na dani v zmysle § 70 daňového poriadku            </w:t>
      </w:r>
      <w:r w:rsidR="00D60B38">
        <w:rPr>
          <w:sz w:val="18"/>
          <w:szCs w:val="18"/>
          <w:lang w:eastAsia="sk-SK"/>
        </w:rPr>
        <w:t xml:space="preserve">      </w:t>
      </w:r>
      <w:r w:rsidRPr="006D37EA">
        <w:rPr>
          <w:sz w:val="18"/>
          <w:szCs w:val="18"/>
          <w:lang w:eastAsia="sk-SK"/>
        </w:rPr>
        <w:t xml:space="preserve"> Zdroj: ISFS-SD, CÚ</w:t>
      </w:r>
    </w:p>
    <w:p w14:paraId="22077945" w14:textId="51E79E7B" w:rsidR="004D69BF" w:rsidRPr="004720C3" w:rsidRDefault="004D69BF" w:rsidP="00A7279C">
      <w:pPr>
        <w:pStyle w:val="Nadpis3"/>
        <w:spacing w:before="240"/>
      </w:pPr>
      <w:bookmarkStart w:id="100" w:name="_Toc6415643"/>
      <w:bookmarkStart w:id="101" w:name="_Toc196314134"/>
      <w:r w:rsidRPr="004720C3">
        <w:t>Nedaňové príjmy</w:t>
      </w:r>
      <w:bookmarkEnd w:id="100"/>
      <w:bookmarkEnd w:id="101"/>
    </w:p>
    <w:p w14:paraId="13C419D8" w14:textId="77777777" w:rsidR="004D69BF" w:rsidRDefault="004D69BF" w:rsidP="004D69BF">
      <w:pPr>
        <w:spacing w:line="240" w:lineRule="auto"/>
        <w:rPr>
          <w:color w:val="000000" w:themeColor="text1"/>
          <w:sz w:val="24"/>
          <w:szCs w:val="24"/>
        </w:rPr>
      </w:pPr>
      <w:r w:rsidRPr="00822E82">
        <w:rPr>
          <w:color w:val="000000" w:themeColor="text1"/>
          <w:sz w:val="24"/>
          <w:szCs w:val="24"/>
        </w:rPr>
        <w:t>Nedaňové príjmy do štátneho rozpočtu plynú najmä vo forme dividend,</w:t>
      </w:r>
      <w:r>
        <w:rPr>
          <w:color w:val="000000" w:themeColor="text1"/>
          <w:sz w:val="24"/>
          <w:szCs w:val="24"/>
        </w:rPr>
        <w:t xml:space="preserve"> administratívnych</w:t>
      </w:r>
      <w:r w:rsidRPr="00822E82">
        <w:rPr>
          <w:color w:val="000000" w:themeColor="text1"/>
          <w:sz w:val="24"/>
          <w:szCs w:val="24"/>
        </w:rPr>
        <w:t xml:space="preserve"> poplatkov,</w:t>
      </w:r>
      <w:r>
        <w:rPr>
          <w:color w:val="000000" w:themeColor="text1"/>
          <w:sz w:val="24"/>
          <w:szCs w:val="24"/>
        </w:rPr>
        <w:t xml:space="preserve"> odvodov, vratiek z minulých rokov, úrokov z poskytnutých návratných finančných výpomocí, úrokov pripísaných na účtoch finančného hospodárenia vedených v Štátnej pokladnici</w:t>
      </w:r>
      <w:r w:rsidRPr="00822E82">
        <w:rPr>
          <w:color w:val="000000" w:themeColor="text1"/>
          <w:sz w:val="24"/>
          <w:szCs w:val="24"/>
        </w:rPr>
        <w:t>.</w:t>
      </w:r>
    </w:p>
    <w:p w14:paraId="65203BC6" w14:textId="159D2690" w:rsidR="004D69BF" w:rsidRDefault="004D69BF" w:rsidP="004D69BF">
      <w:pPr>
        <w:spacing w:line="240" w:lineRule="auto"/>
        <w:rPr>
          <w:bCs/>
          <w:color w:val="000000" w:themeColor="text1"/>
          <w:sz w:val="24"/>
          <w:szCs w:val="24"/>
        </w:rPr>
      </w:pPr>
      <w:r>
        <w:rPr>
          <w:bCs/>
          <w:color w:val="000000" w:themeColor="text1"/>
          <w:sz w:val="24"/>
          <w:szCs w:val="24"/>
        </w:rPr>
        <w:t>Oproti predchádzajúcemu roku, boli nedaňové príjmy na rok 2024 rozpočtované úhrnom o</w:t>
      </w:r>
      <w:r w:rsidR="00D60B38">
        <w:rPr>
          <w:bCs/>
          <w:color w:val="000000" w:themeColor="text1"/>
          <w:sz w:val="24"/>
          <w:szCs w:val="24"/>
        </w:rPr>
        <w:t> </w:t>
      </w:r>
      <w:r>
        <w:rPr>
          <w:bCs/>
          <w:color w:val="000000" w:themeColor="text1"/>
          <w:sz w:val="24"/>
          <w:szCs w:val="24"/>
        </w:rPr>
        <w:t>580</w:t>
      </w:r>
      <w:r w:rsidR="00D60B38">
        <w:rPr>
          <w:bCs/>
          <w:color w:val="000000" w:themeColor="text1"/>
          <w:sz w:val="24"/>
          <w:szCs w:val="24"/>
        </w:rPr>
        <w:t> </w:t>
      </w:r>
      <w:r>
        <w:rPr>
          <w:bCs/>
          <w:color w:val="000000" w:themeColor="text1"/>
          <w:sz w:val="24"/>
          <w:szCs w:val="24"/>
        </w:rPr>
        <w:t>171</w:t>
      </w:r>
      <w:r w:rsidR="00D60B38">
        <w:rPr>
          <w:bCs/>
          <w:color w:val="000000" w:themeColor="text1"/>
          <w:sz w:val="24"/>
          <w:szCs w:val="24"/>
        </w:rPr>
        <w:t> </w:t>
      </w:r>
      <w:r>
        <w:rPr>
          <w:bCs/>
          <w:color w:val="000000" w:themeColor="text1"/>
          <w:sz w:val="24"/>
          <w:szCs w:val="24"/>
        </w:rPr>
        <w:t>tis.</w:t>
      </w:r>
      <w:r w:rsidR="00D60B38">
        <w:rPr>
          <w:bCs/>
          <w:color w:val="000000" w:themeColor="text1"/>
          <w:sz w:val="24"/>
          <w:szCs w:val="24"/>
        </w:rPr>
        <w:t> </w:t>
      </w:r>
      <w:r>
        <w:rPr>
          <w:bCs/>
          <w:color w:val="000000" w:themeColor="text1"/>
          <w:sz w:val="24"/>
          <w:szCs w:val="24"/>
        </w:rPr>
        <w:t>eur nižšie, čo súviselo najmä so zmenou vykazovania solidárneho príspevku</w:t>
      </w:r>
      <w:r>
        <w:rPr>
          <w:rStyle w:val="Odkaznapoznmkupodiarou"/>
          <w:bCs/>
          <w:color w:val="000000" w:themeColor="text1"/>
          <w:sz w:val="24"/>
          <w:szCs w:val="24"/>
        </w:rPr>
        <w:footnoteReference w:id="28"/>
      </w:r>
      <w:r>
        <w:rPr>
          <w:bCs/>
          <w:color w:val="000000" w:themeColor="text1"/>
          <w:sz w:val="24"/>
          <w:szCs w:val="24"/>
        </w:rPr>
        <w:t xml:space="preserve"> z činností v odvetviach ropy, zemného plynu, uhla a rafinérií v daňových príjmov za rok 2023 a následne aj rozpočtovania tohto príjmu v daniach</w:t>
      </w:r>
      <w:r w:rsidR="00D60B38">
        <w:rPr>
          <w:bCs/>
          <w:color w:val="000000" w:themeColor="text1"/>
          <w:sz w:val="24"/>
          <w:szCs w:val="24"/>
        </w:rPr>
        <w:t xml:space="preserve"> pre rok 2024 (vo výške 354 113 </w:t>
      </w:r>
      <w:r>
        <w:rPr>
          <w:bCs/>
          <w:color w:val="000000" w:themeColor="text1"/>
          <w:sz w:val="24"/>
          <w:szCs w:val="24"/>
        </w:rPr>
        <w:t>tis.</w:t>
      </w:r>
      <w:r w:rsidR="00D60B38">
        <w:rPr>
          <w:bCs/>
          <w:color w:val="000000" w:themeColor="text1"/>
          <w:sz w:val="24"/>
          <w:szCs w:val="24"/>
        </w:rPr>
        <w:t> </w:t>
      </w:r>
      <w:r>
        <w:rPr>
          <w:bCs/>
          <w:color w:val="000000" w:themeColor="text1"/>
          <w:sz w:val="24"/>
          <w:szCs w:val="24"/>
        </w:rPr>
        <w:t xml:space="preserve">eur). </w:t>
      </w:r>
      <w:r>
        <w:rPr>
          <w:bCs/>
          <w:color w:val="000000" w:themeColor="text1"/>
          <w:sz w:val="24"/>
          <w:szCs w:val="24"/>
        </w:rPr>
        <w:lastRenderedPageBreak/>
        <w:t>Naopak v rámci titulov, ktoré ostali v nedaňových príjmoch, boli medziročne vyššie rozpoč</w:t>
      </w:r>
      <w:r w:rsidR="00D60B38">
        <w:rPr>
          <w:bCs/>
          <w:color w:val="000000" w:themeColor="text1"/>
          <w:sz w:val="24"/>
          <w:szCs w:val="24"/>
        </w:rPr>
        <w:t>tované napr. dividendy o 47 483 </w:t>
      </w:r>
      <w:r>
        <w:rPr>
          <w:bCs/>
          <w:color w:val="000000" w:themeColor="text1"/>
          <w:sz w:val="24"/>
          <w:szCs w:val="24"/>
        </w:rPr>
        <w:t>tis.</w:t>
      </w:r>
      <w:r w:rsidR="00D60B38">
        <w:rPr>
          <w:bCs/>
          <w:color w:val="000000" w:themeColor="text1"/>
          <w:sz w:val="24"/>
          <w:szCs w:val="24"/>
        </w:rPr>
        <w:t> </w:t>
      </w:r>
      <w:r>
        <w:rPr>
          <w:bCs/>
          <w:color w:val="000000" w:themeColor="text1"/>
          <w:sz w:val="24"/>
          <w:szCs w:val="24"/>
        </w:rPr>
        <w:t>eur, administratívne poplatky a platby o 42</w:t>
      </w:r>
      <w:r w:rsidR="00D60B38">
        <w:rPr>
          <w:bCs/>
          <w:color w:val="000000" w:themeColor="text1"/>
          <w:sz w:val="24"/>
          <w:szCs w:val="24"/>
        </w:rPr>
        <w:t> </w:t>
      </w:r>
      <w:r>
        <w:rPr>
          <w:bCs/>
          <w:color w:val="000000" w:themeColor="text1"/>
          <w:sz w:val="24"/>
          <w:szCs w:val="24"/>
        </w:rPr>
        <w:t>852</w:t>
      </w:r>
      <w:r w:rsidR="00D60B38">
        <w:rPr>
          <w:bCs/>
          <w:color w:val="000000" w:themeColor="text1"/>
          <w:sz w:val="24"/>
          <w:szCs w:val="24"/>
        </w:rPr>
        <w:t> </w:t>
      </w:r>
      <w:r>
        <w:rPr>
          <w:bCs/>
          <w:color w:val="000000" w:themeColor="text1"/>
          <w:sz w:val="24"/>
          <w:szCs w:val="24"/>
        </w:rPr>
        <w:t>tis.</w:t>
      </w:r>
      <w:r w:rsidR="00D60B38">
        <w:rPr>
          <w:bCs/>
          <w:color w:val="000000" w:themeColor="text1"/>
          <w:sz w:val="24"/>
          <w:szCs w:val="24"/>
        </w:rPr>
        <w:t> </w:t>
      </w:r>
      <w:r>
        <w:rPr>
          <w:bCs/>
          <w:color w:val="000000" w:themeColor="text1"/>
          <w:sz w:val="24"/>
          <w:szCs w:val="24"/>
        </w:rPr>
        <w:t>eur (premietnuté zvýšenie niektorých popl</w:t>
      </w:r>
      <w:r w:rsidR="00D60B38">
        <w:rPr>
          <w:bCs/>
          <w:color w:val="000000" w:themeColor="text1"/>
          <w:sz w:val="24"/>
          <w:szCs w:val="24"/>
        </w:rPr>
        <w:t>atkov napr. podľa zákona SNR č. </w:t>
      </w:r>
      <w:r>
        <w:rPr>
          <w:bCs/>
          <w:color w:val="000000" w:themeColor="text1"/>
          <w:sz w:val="24"/>
          <w:szCs w:val="24"/>
        </w:rPr>
        <w:t>71/1992</w:t>
      </w:r>
      <w:r w:rsidR="00D60B38">
        <w:rPr>
          <w:bCs/>
          <w:color w:val="000000" w:themeColor="text1"/>
          <w:sz w:val="24"/>
          <w:szCs w:val="24"/>
        </w:rPr>
        <w:t> </w:t>
      </w:r>
      <w:r>
        <w:rPr>
          <w:bCs/>
          <w:color w:val="000000" w:themeColor="text1"/>
          <w:sz w:val="24"/>
          <w:szCs w:val="24"/>
        </w:rPr>
        <w:t>Zb. o súdnych poplatkoch a poplatku za výpis z registra trestov, zákona č.</w:t>
      </w:r>
      <w:r w:rsidR="00D60B38">
        <w:rPr>
          <w:bCs/>
          <w:color w:val="000000" w:themeColor="text1"/>
          <w:sz w:val="24"/>
          <w:szCs w:val="24"/>
        </w:rPr>
        <w:t> </w:t>
      </w:r>
      <w:r>
        <w:rPr>
          <w:bCs/>
          <w:color w:val="000000" w:themeColor="text1"/>
          <w:sz w:val="24"/>
          <w:szCs w:val="24"/>
        </w:rPr>
        <w:t>145/1995</w:t>
      </w:r>
      <w:r w:rsidR="00D60B38">
        <w:rPr>
          <w:bCs/>
          <w:color w:val="000000" w:themeColor="text1"/>
          <w:sz w:val="24"/>
          <w:szCs w:val="24"/>
        </w:rPr>
        <w:t> </w:t>
      </w:r>
      <w:r>
        <w:rPr>
          <w:bCs/>
          <w:color w:val="000000" w:themeColor="text1"/>
          <w:sz w:val="24"/>
          <w:szCs w:val="24"/>
        </w:rPr>
        <w:t>Z.</w:t>
      </w:r>
      <w:r w:rsidR="00D60B38">
        <w:rPr>
          <w:bCs/>
          <w:color w:val="000000" w:themeColor="text1"/>
          <w:sz w:val="24"/>
          <w:szCs w:val="24"/>
        </w:rPr>
        <w:t> </w:t>
      </w:r>
      <w:r>
        <w:rPr>
          <w:bCs/>
          <w:color w:val="000000" w:themeColor="text1"/>
          <w:sz w:val="24"/>
          <w:szCs w:val="24"/>
        </w:rPr>
        <w:t>z. o správnych poplatkoch), odvod z hazardných hier o 67</w:t>
      </w:r>
      <w:r w:rsidR="00D60B38">
        <w:rPr>
          <w:bCs/>
          <w:color w:val="000000" w:themeColor="text1"/>
          <w:sz w:val="24"/>
          <w:szCs w:val="24"/>
        </w:rPr>
        <w:t> </w:t>
      </w:r>
      <w:r>
        <w:rPr>
          <w:bCs/>
          <w:color w:val="000000" w:themeColor="text1"/>
          <w:sz w:val="24"/>
          <w:szCs w:val="24"/>
        </w:rPr>
        <w:t>989</w:t>
      </w:r>
      <w:r w:rsidR="00D60B38">
        <w:rPr>
          <w:bCs/>
          <w:color w:val="000000" w:themeColor="text1"/>
          <w:sz w:val="24"/>
          <w:szCs w:val="24"/>
        </w:rPr>
        <w:t> </w:t>
      </w:r>
      <w:r>
        <w:rPr>
          <w:bCs/>
          <w:color w:val="000000" w:themeColor="text1"/>
          <w:sz w:val="24"/>
          <w:szCs w:val="24"/>
        </w:rPr>
        <w:t>tis.</w:t>
      </w:r>
      <w:r w:rsidR="00D60B38">
        <w:rPr>
          <w:bCs/>
          <w:color w:val="000000" w:themeColor="text1"/>
          <w:sz w:val="24"/>
          <w:szCs w:val="24"/>
        </w:rPr>
        <w:t> </w:t>
      </w:r>
      <w:r>
        <w:rPr>
          <w:bCs/>
          <w:color w:val="000000" w:themeColor="text1"/>
          <w:sz w:val="24"/>
          <w:szCs w:val="24"/>
        </w:rPr>
        <w:t>eur (premietnutie zvýšenie sadzby odvodu pre internetové kasína a kurzové stávky v roku 2023 z</w:t>
      </w:r>
      <w:r w:rsidR="00D60B38">
        <w:rPr>
          <w:bCs/>
          <w:color w:val="000000" w:themeColor="text1"/>
          <w:sz w:val="24"/>
          <w:szCs w:val="24"/>
        </w:rPr>
        <w:t> </w:t>
      </w:r>
      <w:r>
        <w:rPr>
          <w:bCs/>
          <w:color w:val="000000" w:themeColor="text1"/>
          <w:sz w:val="24"/>
          <w:szCs w:val="24"/>
        </w:rPr>
        <w:t>22</w:t>
      </w:r>
      <w:r w:rsidR="00D60B38">
        <w:rPr>
          <w:bCs/>
          <w:color w:val="000000" w:themeColor="text1"/>
          <w:sz w:val="24"/>
          <w:szCs w:val="24"/>
        </w:rPr>
        <w:t> % na 27 </w:t>
      </w:r>
      <w:r>
        <w:rPr>
          <w:bCs/>
          <w:color w:val="000000" w:themeColor="text1"/>
          <w:sz w:val="24"/>
          <w:szCs w:val="24"/>
        </w:rPr>
        <w:t>% za predpokladu stabilného vývoja miery hrania).</w:t>
      </w:r>
    </w:p>
    <w:p w14:paraId="20A1FFA3" w14:textId="1169D66D" w:rsidR="004D69BF" w:rsidRDefault="004D69BF" w:rsidP="004D69BF">
      <w:pPr>
        <w:spacing w:line="240" w:lineRule="auto"/>
        <w:rPr>
          <w:bCs/>
          <w:color w:val="000000" w:themeColor="text1"/>
          <w:sz w:val="24"/>
          <w:szCs w:val="24"/>
        </w:rPr>
      </w:pPr>
      <w:r w:rsidRPr="008B3EEA">
        <w:rPr>
          <w:bCs/>
          <w:color w:val="000000" w:themeColor="text1"/>
          <w:sz w:val="24"/>
          <w:szCs w:val="24"/>
        </w:rPr>
        <w:t xml:space="preserve">V roku 2024 dosiahli </w:t>
      </w:r>
      <w:r>
        <w:rPr>
          <w:bCs/>
          <w:color w:val="000000" w:themeColor="text1"/>
          <w:sz w:val="24"/>
          <w:szCs w:val="24"/>
        </w:rPr>
        <w:t>nedaňové</w:t>
      </w:r>
      <w:r w:rsidRPr="008B3EEA">
        <w:rPr>
          <w:bCs/>
          <w:color w:val="000000" w:themeColor="text1"/>
          <w:sz w:val="24"/>
          <w:szCs w:val="24"/>
        </w:rPr>
        <w:t xml:space="preserve"> príjmy </w:t>
      </w:r>
      <w:r>
        <w:rPr>
          <w:bCs/>
          <w:color w:val="000000" w:themeColor="text1"/>
          <w:sz w:val="24"/>
          <w:szCs w:val="24"/>
        </w:rPr>
        <w:t xml:space="preserve">celkovú </w:t>
      </w:r>
      <w:r w:rsidRPr="008B3EEA">
        <w:rPr>
          <w:bCs/>
          <w:color w:val="000000" w:themeColor="text1"/>
          <w:sz w:val="24"/>
          <w:szCs w:val="24"/>
        </w:rPr>
        <w:t>sumu 1 909</w:t>
      </w:r>
      <w:r w:rsidR="00D60B38">
        <w:rPr>
          <w:bCs/>
          <w:color w:val="000000" w:themeColor="text1"/>
          <w:sz w:val="24"/>
          <w:szCs w:val="24"/>
        </w:rPr>
        <w:t> </w:t>
      </w:r>
      <w:r w:rsidRPr="008B3EEA">
        <w:rPr>
          <w:bCs/>
          <w:color w:val="000000" w:themeColor="text1"/>
          <w:sz w:val="24"/>
          <w:szCs w:val="24"/>
        </w:rPr>
        <w:t>89</w:t>
      </w:r>
      <w:r>
        <w:rPr>
          <w:bCs/>
          <w:color w:val="000000" w:themeColor="text1"/>
          <w:sz w:val="24"/>
          <w:szCs w:val="24"/>
        </w:rPr>
        <w:t>3</w:t>
      </w:r>
      <w:r w:rsidR="00D60B38">
        <w:rPr>
          <w:bCs/>
          <w:color w:val="000000" w:themeColor="text1"/>
          <w:sz w:val="24"/>
          <w:szCs w:val="24"/>
        </w:rPr>
        <w:t> </w:t>
      </w:r>
      <w:r w:rsidRPr="008B3EEA">
        <w:rPr>
          <w:bCs/>
          <w:color w:val="000000" w:themeColor="text1"/>
          <w:sz w:val="24"/>
          <w:szCs w:val="24"/>
        </w:rPr>
        <w:t>tis.</w:t>
      </w:r>
      <w:r w:rsidR="00D60B38">
        <w:rPr>
          <w:bCs/>
          <w:color w:val="000000" w:themeColor="text1"/>
          <w:sz w:val="24"/>
          <w:szCs w:val="24"/>
        </w:rPr>
        <w:t> </w:t>
      </w:r>
      <w:r w:rsidRPr="008B3EEA">
        <w:rPr>
          <w:bCs/>
          <w:color w:val="000000" w:themeColor="text1"/>
          <w:sz w:val="24"/>
          <w:szCs w:val="24"/>
        </w:rPr>
        <w:t>eur, čo je medziročne viac o 171</w:t>
      </w:r>
      <w:r w:rsidR="00D60B38">
        <w:rPr>
          <w:bCs/>
          <w:color w:val="000000" w:themeColor="text1"/>
          <w:sz w:val="24"/>
          <w:szCs w:val="24"/>
        </w:rPr>
        <w:t> </w:t>
      </w:r>
      <w:r w:rsidRPr="008B3EEA">
        <w:rPr>
          <w:bCs/>
          <w:color w:val="000000" w:themeColor="text1"/>
          <w:sz w:val="24"/>
          <w:szCs w:val="24"/>
        </w:rPr>
        <w:t>5</w:t>
      </w:r>
      <w:r>
        <w:rPr>
          <w:bCs/>
          <w:color w:val="000000" w:themeColor="text1"/>
          <w:sz w:val="24"/>
          <w:szCs w:val="24"/>
        </w:rPr>
        <w:t>67</w:t>
      </w:r>
      <w:r w:rsidR="00D60B38">
        <w:rPr>
          <w:bCs/>
          <w:color w:val="000000" w:themeColor="text1"/>
          <w:sz w:val="24"/>
          <w:szCs w:val="24"/>
        </w:rPr>
        <w:t> </w:t>
      </w:r>
      <w:r w:rsidRPr="008B3EEA">
        <w:rPr>
          <w:bCs/>
          <w:color w:val="000000" w:themeColor="text1"/>
          <w:sz w:val="24"/>
          <w:szCs w:val="24"/>
        </w:rPr>
        <w:t>tis.</w:t>
      </w:r>
      <w:r w:rsidR="00D60B38">
        <w:rPr>
          <w:bCs/>
          <w:color w:val="000000" w:themeColor="text1"/>
          <w:sz w:val="24"/>
          <w:szCs w:val="24"/>
        </w:rPr>
        <w:t> </w:t>
      </w:r>
      <w:r w:rsidRPr="008B3EEA">
        <w:rPr>
          <w:bCs/>
          <w:color w:val="000000" w:themeColor="text1"/>
          <w:sz w:val="24"/>
          <w:szCs w:val="24"/>
        </w:rPr>
        <w:t>eur. Rozpočet</w:t>
      </w:r>
      <w:r w:rsidRPr="00F165A8">
        <w:rPr>
          <w:bCs/>
          <w:color w:val="000000" w:themeColor="text1"/>
          <w:sz w:val="24"/>
          <w:szCs w:val="24"/>
        </w:rPr>
        <w:t xml:space="preserve"> bol prekročený </w:t>
      </w:r>
      <w:r>
        <w:rPr>
          <w:bCs/>
          <w:color w:val="000000" w:themeColor="text1"/>
          <w:sz w:val="24"/>
          <w:szCs w:val="24"/>
        </w:rPr>
        <w:t>o 360</w:t>
      </w:r>
      <w:r w:rsidR="00D60B38">
        <w:rPr>
          <w:bCs/>
          <w:color w:val="000000" w:themeColor="text1"/>
          <w:sz w:val="24"/>
          <w:szCs w:val="24"/>
        </w:rPr>
        <w:t> </w:t>
      </w:r>
      <w:r>
        <w:rPr>
          <w:bCs/>
          <w:color w:val="000000" w:themeColor="text1"/>
          <w:sz w:val="24"/>
          <w:szCs w:val="24"/>
        </w:rPr>
        <w:t>327</w:t>
      </w:r>
      <w:r w:rsidR="00D60B38">
        <w:rPr>
          <w:bCs/>
          <w:color w:val="000000" w:themeColor="text1"/>
          <w:sz w:val="24"/>
          <w:szCs w:val="24"/>
        </w:rPr>
        <w:t> </w:t>
      </w:r>
      <w:r>
        <w:rPr>
          <w:bCs/>
          <w:color w:val="000000" w:themeColor="text1"/>
          <w:sz w:val="24"/>
          <w:szCs w:val="24"/>
        </w:rPr>
        <w:t>tis.</w:t>
      </w:r>
      <w:r w:rsidR="00D60B38">
        <w:rPr>
          <w:bCs/>
          <w:color w:val="000000" w:themeColor="text1"/>
          <w:sz w:val="24"/>
          <w:szCs w:val="24"/>
        </w:rPr>
        <w:t> </w:t>
      </w:r>
      <w:r>
        <w:rPr>
          <w:bCs/>
          <w:color w:val="000000" w:themeColor="text1"/>
          <w:sz w:val="24"/>
          <w:szCs w:val="24"/>
        </w:rPr>
        <w:t>eur, najmä</w:t>
      </w:r>
      <w:r w:rsidR="00D60B38">
        <w:rPr>
          <w:bCs/>
          <w:color w:val="000000" w:themeColor="text1"/>
          <w:sz w:val="24"/>
          <w:szCs w:val="24"/>
        </w:rPr>
        <w:t xml:space="preserve"> na príjmoch z vratiek (133 177 </w:t>
      </w:r>
      <w:r>
        <w:rPr>
          <w:bCs/>
          <w:color w:val="000000" w:themeColor="text1"/>
          <w:sz w:val="24"/>
          <w:szCs w:val="24"/>
        </w:rPr>
        <w:t>tis.</w:t>
      </w:r>
      <w:r w:rsidR="00D60B38">
        <w:rPr>
          <w:bCs/>
          <w:color w:val="000000" w:themeColor="text1"/>
          <w:sz w:val="24"/>
          <w:szCs w:val="24"/>
        </w:rPr>
        <w:t> </w:t>
      </w:r>
      <w:r>
        <w:rPr>
          <w:bCs/>
          <w:color w:val="000000" w:themeColor="text1"/>
          <w:sz w:val="24"/>
          <w:szCs w:val="24"/>
        </w:rPr>
        <w:t>eur), vyinkasovaných nezrovnalostí a vrátení za prostriedky EÚ (54</w:t>
      </w:r>
      <w:r w:rsidR="00D60B38">
        <w:rPr>
          <w:bCs/>
          <w:color w:val="000000" w:themeColor="text1"/>
          <w:sz w:val="24"/>
          <w:szCs w:val="24"/>
        </w:rPr>
        <w:t> </w:t>
      </w:r>
      <w:r>
        <w:rPr>
          <w:bCs/>
          <w:color w:val="000000" w:themeColor="text1"/>
          <w:sz w:val="24"/>
          <w:szCs w:val="24"/>
        </w:rPr>
        <w:t>589</w:t>
      </w:r>
      <w:r w:rsidR="00D60B38">
        <w:rPr>
          <w:bCs/>
          <w:color w:val="000000" w:themeColor="text1"/>
          <w:sz w:val="24"/>
          <w:szCs w:val="24"/>
        </w:rPr>
        <w:t> </w:t>
      </w:r>
      <w:r>
        <w:rPr>
          <w:bCs/>
          <w:color w:val="000000" w:themeColor="text1"/>
          <w:sz w:val="24"/>
          <w:szCs w:val="24"/>
        </w:rPr>
        <w:t>tis.</w:t>
      </w:r>
      <w:r w:rsidR="00D60B38">
        <w:rPr>
          <w:bCs/>
          <w:color w:val="000000" w:themeColor="text1"/>
          <w:sz w:val="24"/>
          <w:szCs w:val="24"/>
        </w:rPr>
        <w:t> </w:t>
      </w:r>
      <w:r>
        <w:rPr>
          <w:bCs/>
          <w:color w:val="000000" w:themeColor="text1"/>
          <w:sz w:val="24"/>
          <w:szCs w:val="24"/>
        </w:rPr>
        <w:t>eur</w:t>
      </w:r>
      <w:r w:rsidR="00D60B38">
        <w:rPr>
          <w:bCs/>
          <w:color w:val="000000" w:themeColor="text1"/>
          <w:sz w:val="24"/>
          <w:szCs w:val="24"/>
        </w:rPr>
        <w:t>)</w:t>
      </w:r>
      <w:r>
        <w:rPr>
          <w:bCs/>
          <w:color w:val="000000" w:themeColor="text1"/>
          <w:sz w:val="24"/>
          <w:szCs w:val="24"/>
        </w:rPr>
        <w:t>, administratívnych poplatkov a platieb (45</w:t>
      </w:r>
      <w:r w:rsidR="00D60B38">
        <w:rPr>
          <w:bCs/>
          <w:color w:val="000000" w:themeColor="text1"/>
          <w:sz w:val="24"/>
          <w:szCs w:val="24"/>
        </w:rPr>
        <w:t> </w:t>
      </w:r>
      <w:r>
        <w:rPr>
          <w:bCs/>
          <w:color w:val="000000" w:themeColor="text1"/>
          <w:sz w:val="24"/>
          <w:szCs w:val="24"/>
        </w:rPr>
        <w:t>511</w:t>
      </w:r>
      <w:r w:rsidR="00D60B38">
        <w:rPr>
          <w:bCs/>
          <w:color w:val="000000" w:themeColor="text1"/>
          <w:sz w:val="24"/>
          <w:szCs w:val="24"/>
        </w:rPr>
        <w:t> </w:t>
      </w:r>
      <w:r>
        <w:rPr>
          <w:bCs/>
          <w:color w:val="000000" w:themeColor="text1"/>
          <w:sz w:val="24"/>
          <w:szCs w:val="24"/>
        </w:rPr>
        <w:t>tis.</w:t>
      </w:r>
      <w:r w:rsidR="00D60B38">
        <w:rPr>
          <w:bCs/>
          <w:color w:val="000000" w:themeColor="text1"/>
          <w:sz w:val="24"/>
          <w:szCs w:val="24"/>
        </w:rPr>
        <w:t> </w:t>
      </w:r>
      <w:r>
        <w:rPr>
          <w:bCs/>
          <w:color w:val="000000" w:themeColor="text1"/>
          <w:sz w:val="24"/>
          <w:szCs w:val="24"/>
        </w:rPr>
        <w:t xml:space="preserve">eur). </w:t>
      </w:r>
      <w:r w:rsidRPr="00F165A8">
        <w:rPr>
          <w:bCs/>
          <w:color w:val="000000" w:themeColor="text1"/>
          <w:sz w:val="24"/>
          <w:szCs w:val="24"/>
        </w:rPr>
        <w:t xml:space="preserve">Skutočné plnenie nedaňových príjmov predstavovalo </w:t>
      </w:r>
      <w:r>
        <w:rPr>
          <w:bCs/>
          <w:color w:val="000000" w:themeColor="text1"/>
          <w:sz w:val="24"/>
          <w:szCs w:val="24"/>
        </w:rPr>
        <w:t>109,8</w:t>
      </w:r>
      <w:r w:rsidRPr="00F165A8">
        <w:rPr>
          <w:bCs/>
          <w:color w:val="000000" w:themeColor="text1"/>
          <w:sz w:val="24"/>
          <w:szCs w:val="24"/>
        </w:rPr>
        <w:t> % rozpočtovanej hodnoty</w:t>
      </w:r>
      <w:r>
        <w:rPr>
          <w:bCs/>
          <w:color w:val="000000" w:themeColor="text1"/>
          <w:sz w:val="24"/>
          <w:szCs w:val="24"/>
        </w:rPr>
        <w:t>.</w:t>
      </w:r>
    </w:p>
    <w:p w14:paraId="6D50F8BF" w14:textId="2F4975BF" w:rsidR="00A1147F" w:rsidRPr="00A1147F" w:rsidRDefault="00A1147F" w:rsidP="00A1147F">
      <w:pPr>
        <w:pStyle w:val="Popis"/>
        <w:keepNext/>
        <w:spacing w:after="120"/>
        <w:rPr>
          <w:rFonts w:eastAsia="Times New Roman" w:cs="Times New Roman"/>
          <w:b/>
          <w:bCs/>
          <w:i w:val="0"/>
          <w:iCs w:val="0"/>
          <w:color w:val="5B9BD5"/>
          <w:sz w:val="20"/>
          <w:szCs w:val="20"/>
          <w:lang w:eastAsia="sk-SK"/>
        </w:rPr>
      </w:pPr>
      <w:bookmarkStart w:id="102" w:name="_Toc196313653"/>
      <w:bookmarkStart w:id="103" w:name="_Toc196389274"/>
      <w:r w:rsidRPr="00A1147F">
        <w:rPr>
          <w:rFonts w:eastAsia="Times New Roman" w:cs="Times New Roman"/>
          <w:b/>
          <w:bCs/>
          <w:i w:val="0"/>
          <w:iCs w:val="0"/>
          <w:color w:val="5B9BD5"/>
          <w:sz w:val="20"/>
          <w:szCs w:val="20"/>
          <w:lang w:eastAsia="sk-SK"/>
        </w:rPr>
        <w:t xml:space="preserve">Tabuľka </w:t>
      </w:r>
      <w:r w:rsidRPr="00A1147F">
        <w:rPr>
          <w:rFonts w:eastAsia="Times New Roman" w:cs="Times New Roman"/>
          <w:b/>
          <w:bCs/>
          <w:i w:val="0"/>
          <w:iCs w:val="0"/>
          <w:color w:val="5B9BD5"/>
          <w:sz w:val="20"/>
          <w:szCs w:val="20"/>
          <w:lang w:eastAsia="sk-SK"/>
        </w:rPr>
        <w:fldChar w:fldCharType="begin"/>
      </w:r>
      <w:r w:rsidRPr="00A1147F">
        <w:rPr>
          <w:rFonts w:eastAsia="Times New Roman" w:cs="Times New Roman"/>
          <w:b/>
          <w:bCs/>
          <w:i w:val="0"/>
          <w:iCs w:val="0"/>
          <w:color w:val="5B9BD5"/>
          <w:sz w:val="20"/>
          <w:szCs w:val="20"/>
          <w:lang w:eastAsia="sk-SK"/>
        </w:rPr>
        <w:instrText xml:space="preserve"> SEQ Tabuľka \* ARABIC </w:instrText>
      </w:r>
      <w:r w:rsidRPr="00A1147F">
        <w:rPr>
          <w:rFonts w:eastAsia="Times New Roman" w:cs="Times New Roman"/>
          <w:b/>
          <w:bCs/>
          <w:i w:val="0"/>
          <w:iCs w:val="0"/>
          <w:color w:val="5B9BD5"/>
          <w:sz w:val="20"/>
          <w:szCs w:val="20"/>
          <w:lang w:eastAsia="sk-SK"/>
        </w:rPr>
        <w:fldChar w:fldCharType="separate"/>
      </w:r>
      <w:r w:rsidR="00C64CBA">
        <w:rPr>
          <w:rFonts w:eastAsia="Times New Roman" w:cs="Times New Roman"/>
          <w:b/>
          <w:bCs/>
          <w:i w:val="0"/>
          <w:iCs w:val="0"/>
          <w:noProof/>
          <w:color w:val="5B9BD5"/>
          <w:sz w:val="20"/>
          <w:szCs w:val="20"/>
          <w:lang w:eastAsia="sk-SK"/>
        </w:rPr>
        <w:t>27</w:t>
      </w:r>
      <w:r w:rsidRPr="00A1147F">
        <w:rPr>
          <w:rFonts w:eastAsia="Times New Roman" w:cs="Times New Roman"/>
          <w:b/>
          <w:bCs/>
          <w:i w:val="0"/>
          <w:iCs w:val="0"/>
          <w:color w:val="5B9BD5"/>
          <w:sz w:val="20"/>
          <w:szCs w:val="20"/>
          <w:lang w:eastAsia="sk-SK"/>
        </w:rPr>
        <w:fldChar w:fldCharType="end"/>
      </w:r>
      <w:r w:rsidRPr="00A1147F">
        <w:rPr>
          <w:rFonts w:eastAsia="Times New Roman" w:cs="Times New Roman"/>
          <w:b/>
          <w:bCs/>
          <w:i w:val="0"/>
          <w:iCs w:val="0"/>
          <w:color w:val="5B9BD5"/>
          <w:sz w:val="20"/>
          <w:szCs w:val="20"/>
          <w:lang w:eastAsia="sk-SK"/>
        </w:rPr>
        <w:t xml:space="preserve"> - Nedaňové príjmy štátneho rozpočtu</w:t>
      </w:r>
      <w:bookmarkEnd w:id="102"/>
      <w:r w:rsidR="00D93D5F">
        <w:rPr>
          <w:rFonts w:eastAsia="Times New Roman" w:cs="Times New Roman"/>
          <w:b/>
          <w:bCs/>
          <w:i w:val="0"/>
          <w:iCs w:val="0"/>
          <w:color w:val="5B9BD5"/>
          <w:sz w:val="20"/>
          <w:szCs w:val="20"/>
          <w:lang w:eastAsia="sk-SK"/>
        </w:rPr>
        <w:t xml:space="preserve"> na hotovostnej báze</w:t>
      </w:r>
      <w:bookmarkEnd w:id="103"/>
    </w:p>
    <w:tbl>
      <w:tblPr>
        <w:tblW w:w="5000" w:type="pct"/>
        <w:tblCellMar>
          <w:left w:w="70" w:type="dxa"/>
          <w:right w:w="70" w:type="dxa"/>
        </w:tblCellMar>
        <w:tblLook w:val="04A0" w:firstRow="1" w:lastRow="0" w:firstColumn="1" w:lastColumn="0" w:noHBand="0" w:noVBand="1"/>
      </w:tblPr>
      <w:tblGrid>
        <w:gridCol w:w="3989"/>
        <w:gridCol w:w="1194"/>
        <w:gridCol w:w="983"/>
        <w:gridCol w:w="880"/>
        <w:gridCol w:w="880"/>
        <w:gridCol w:w="1004"/>
      </w:tblGrid>
      <w:tr w:rsidR="004D69BF" w:rsidRPr="00D0395E" w14:paraId="73A3D825" w14:textId="77777777" w:rsidTr="003F4BCE">
        <w:trPr>
          <w:trHeight w:val="330"/>
          <w:tblHeader/>
        </w:trPr>
        <w:tc>
          <w:tcPr>
            <w:tcW w:w="2212" w:type="pct"/>
            <w:tcBorders>
              <w:top w:val="single" w:sz="4" w:space="0" w:color="auto"/>
              <w:left w:val="nil"/>
              <w:bottom w:val="nil"/>
              <w:right w:val="nil"/>
            </w:tcBorders>
            <w:shd w:val="clear" w:color="auto" w:fill="auto"/>
            <w:vAlign w:val="center"/>
            <w:hideMark/>
          </w:tcPr>
          <w:p w14:paraId="22427A0A" w14:textId="77777777" w:rsidR="004D69BF" w:rsidRPr="00D0395E" w:rsidRDefault="004D69BF" w:rsidP="000240DA">
            <w:pPr>
              <w:spacing w:after="0" w:line="240" w:lineRule="auto"/>
              <w:jc w:val="lef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 xml:space="preserve"> v tis. eur</w:t>
            </w:r>
          </w:p>
        </w:tc>
        <w:tc>
          <w:tcPr>
            <w:tcW w:w="673" w:type="pct"/>
            <w:tcBorders>
              <w:top w:val="single" w:sz="4" w:space="0" w:color="auto"/>
              <w:left w:val="nil"/>
              <w:bottom w:val="nil"/>
              <w:right w:val="nil"/>
            </w:tcBorders>
            <w:shd w:val="clear" w:color="auto" w:fill="auto"/>
            <w:vAlign w:val="center"/>
            <w:hideMark/>
          </w:tcPr>
          <w:p w14:paraId="6B50991D"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2022 S</w:t>
            </w:r>
          </w:p>
        </w:tc>
        <w:tc>
          <w:tcPr>
            <w:tcW w:w="555" w:type="pct"/>
            <w:tcBorders>
              <w:top w:val="single" w:sz="4" w:space="0" w:color="auto"/>
              <w:left w:val="nil"/>
              <w:bottom w:val="nil"/>
              <w:right w:val="nil"/>
            </w:tcBorders>
            <w:shd w:val="clear" w:color="auto" w:fill="auto"/>
            <w:vAlign w:val="center"/>
            <w:hideMark/>
          </w:tcPr>
          <w:p w14:paraId="0E0ED251"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2023 S</w:t>
            </w:r>
          </w:p>
        </w:tc>
        <w:tc>
          <w:tcPr>
            <w:tcW w:w="497" w:type="pct"/>
            <w:tcBorders>
              <w:top w:val="single" w:sz="4" w:space="0" w:color="auto"/>
              <w:left w:val="nil"/>
              <w:bottom w:val="nil"/>
              <w:right w:val="nil"/>
            </w:tcBorders>
            <w:shd w:val="clear" w:color="auto" w:fill="auto"/>
            <w:vAlign w:val="center"/>
            <w:hideMark/>
          </w:tcPr>
          <w:p w14:paraId="69A72CBD"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2024 R</w:t>
            </w:r>
          </w:p>
        </w:tc>
        <w:tc>
          <w:tcPr>
            <w:tcW w:w="497" w:type="pct"/>
            <w:tcBorders>
              <w:top w:val="single" w:sz="4" w:space="0" w:color="auto"/>
              <w:left w:val="nil"/>
              <w:bottom w:val="nil"/>
              <w:right w:val="nil"/>
            </w:tcBorders>
            <w:shd w:val="clear" w:color="auto" w:fill="auto"/>
            <w:vAlign w:val="center"/>
            <w:hideMark/>
          </w:tcPr>
          <w:p w14:paraId="4D6C3B28"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2024 S</w:t>
            </w:r>
          </w:p>
        </w:tc>
        <w:tc>
          <w:tcPr>
            <w:tcW w:w="566" w:type="pct"/>
            <w:tcBorders>
              <w:top w:val="single" w:sz="4" w:space="0" w:color="auto"/>
              <w:left w:val="nil"/>
              <w:bottom w:val="nil"/>
              <w:right w:val="nil"/>
            </w:tcBorders>
            <w:shd w:val="clear" w:color="auto" w:fill="auto"/>
            <w:vAlign w:val="center"/>
            <w:hideMark/>
          </w:tcPr>
          <w:p w14:paraId="4C2647F8"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 xml:space="preserve">Rozdiel </w:t>
            </w:r>
          </w:p>
        </w:tc>
      </w:tr>
      <w:tr w:rsidR="004D69BF" w:rsidRPr="00D0395E" w14:paraId="014B17D5" w14:textId="77777777" w:rsidTr="003F4BCE">
        <w:trPr>
          <w:trHeight w:val="345"/>
          <w:tblHeader/>
        </w:trPr>
        <w:tc>
          <w:tcPr>
            <w:tcW w:w="2212" w:type="pct"/>
            <w:tcBorders>
              <w:top w:val="nil"/>
              <w:left w:val="nil"/>
              <w:bottom w:val="single" w:sz="4" w:space="0" w:color="auto"/>
              <w:right w:val="nil"/>
            </w:tcBorders>
            <w:shd w:val="clear" w:color="auto" w:fill="auto"/>
            <w:vAlign w:val="center"/>
            <w:hideMark/>
          </w:tcPr>
          <w:p w14:paraId="6FA80896" w14:textId="77777777" w:rsidR="004D69BF" w:rsidRPr="00D0395E" w:rsidRDefault="004D69BF" w:rsidP="000240DA">
            <w:pPr>
              <w:spacing w:after="0" w:line="240" w:lineRule="auto"/>
              <w:jc w:val="left"/>
              <w:rPr>
                <w:rFonts w:eastAsia="Times New Roman" w:cs="Times New Roman"/>
                <w:b/>
                <w:bCs/>
                <w:color w:val="FFFFFF"/>
                <w:sz w:val="18"/>
                <w:szCs w:val="18"/>
                <w:lang w:eastAsia="sk-SK"/>
              </w:rPr>
            </w:pPr>
            <w:r w:rsidRPr="00D0395E">
              <w:rPr>
                <w:rFonts w:eastAsia="Times New Roman" w:cs="Times New Roman"/>
                <w:b/>
                <w:bCs/>
                <w:color w:val="FFFFFF"/>
                <w:sz w:val="18"/>
                <w:szCs w:val="18"/>
                <w:lang w:eastAsia="sk-SK"/>
              </w:rPr>
              <w:t> </w:t>
            </w:r>
          </w:p>
        </w:tc>
        <w:tc>
          <w:tcPr>
            <w:tcW w:w="673" w:type="pct"/>
            <w:tcBorders>
              <w:top w:val="nil"/>
              <w:left w:val="nil"/>
              <w:bottom w:val="single" w:sz="4" w:space="0" w:color="auto"/>
              <w:right w:val="nil"/>
            </w:tcBorders>
            <w:shd w:val="clear" w:color="auto" w:fill="auto"/>
            <w:vAlign w:val="center"/>
            <w:hideMark/>
          </w:tcPr>
          <w:p w14:paraId="1C5E5A28"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w:t>
            </w:r>
          </w:p>
        </w:tc>
        <w:tc>
          <w:tcPr>
            <w:tcW w:w="555" w:type="pct"/>
            <w:tcBorders>
              <w:top w:val="nil"/>
              <w:left w:val="nil"/>
              <w:bottom w:val="single" w:sz="4" w:space="0" w:color="auto"/>
              <w:right w:val="nil"/>
            </w:tcBorders>
            <w:shd w:val="clear" w:color="auto" w:fill="auto"/>
            <w:vAlign w:val="center"/>
            <w:hideMark/>
          </w:tcPr>
          <w:p w14:paraId="6AB56727"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w:t>
            </w:r>
          </w:p>
        </w:tc>
        <w:tc>
          <w:tcPr>
            <w:tcW w:w="497" w:type="pct"/>
            <w:tcBorders>
              <w:top w:val="nil"/>
              <w:left w:val="nil"/>
              <w:bottom w:val="single" w:sz="4" w:space="0" w:color="auto"/>
              <w:right w:val="nil"/>
            </w:tcBorders>
            <w:shd w:val="clear" w:color="auto" w:fill="auto"/>
            <w:vAlign w:val="center"/>
            <w:hideMark/>
          </w:tcPr>
          <w:p w14:paraId="4C432CF7"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w:t>
            </w:r>
          </w:p>
        </w:tc>
        <w:tc>
          <w:tcPr>
            <w:tcW w:w="497" w:type="pct"/>
            <w:tcBorders>
              <w:top w:val="nil"/>
              <w:left w:val="nil"/>
              <w:bottom w:val="single" w:sz="4" w:space="0" w:color="auto"/>
              <w:right w:val="nil"/>
            </w:tcBorders>
            <w:shd w:val="clear" w:color="auto" w:fill="auto"/>
            <w:vAlign w:val="center"/>
            <w:hideMark/>
          </w:tcPr>
          <w:p w14:paraId="4820EBDA"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4</w:t>
            </w:r>
          </w:p>
        </w:tc>
        <w:tc>
          <w:tcPr>
            <w:tcW w:w="566" w:type="pct"/>
            <w:tcBorders>
              <w:top w:val="nil"/>
              <w:left w:val="nil"/>
              <w:bottom w:val="single" w:sz="4" w:space="0" w:color="auto"/>
              <w:right w:val="nil"/>
            </w:tcBorders>
            <w:shd w:val="clear" w:color="auto" w:fill="auto"/>
            <w:vAlign w:val="center"/>
            <w:hideMark/>
          </w:tcPr>
          <w:p w14:paraId="3204E828"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5=4-3</w:t>
            </w:r>
          </w:p>
        </w:tc>
      </w:tr>
      <w:tr w:rsidR="004D69BF" w:rsidRPr="00D0395E" w14:paraId="13BCDC6D" w14:textId="77777777" w:rsidTr="003F4BCE">
        <w:trPr>
          <w:trHeight w:val="330"/>
        </w:trPr>
        <w:tc>
          <w:tcPr>
            <w:tcW w:w="2212" w:type="pct"/>
            <w:tcBorders>
              <w:top w:val="single" w:sz="4" w:space="0" w:color="auto"/>
              <w:left w:val="nil"/>
              <w:bottom w:val="nil"/>
              <w:right w:val="nil"/>
            </w:tcBorders>
            <w:shd w:val="clear" w:color="auto" w:fill="auto"/>
            <w:noWrap/>
            <w:vAlign w:val="center"/>
            <w:hideMark/>
          </w:tcPr>
          <w:p w14:paraId="38DDFCED"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Príjmy z podnikania a z vlastníctva</w:t>
            </w:r>
          </w:p>
        </w:tc>
        <w:tc>
          <w:tcPr>
            <w:tcW w:w="673" w:type="pct"/>
            <w:tcBorders>
              <w:top w:val="single" w:sz="4" w:space="0" w:color="auto"/>
              <w:left w:val="nil"/>
              <w:bottom w:val="nil"/>
              <w:right w:val="nil"/>
            </w:tcBorders>
            <w:shd w:val="clear" w:color="auto" w:fill="auto"/>
            <w:noWrap/>
            <w:vAlign w:val="center"/>
            <w:hideMark/>
          </w:tcPr>
          <w:p w14:paraId="373CF2EE" w14:textId="77777777" w:rsidR="004D69BF" w:rsidRPr="00D0395E" w:rsidRDefault="004D69BF" w:rsidP="000240DA">
            <w:pPr>
              <w:spacing w:after="0" w:line="240" w:lineRule="auto"/>
              <w:jc w:val="right"/>
              <w:rPr>
                <w:rFonts w:eastAsia="Times New Roman" w:cs="Times New Roman"/>
                <w:sz w:val="18"/>
                <w:szCs w:val="18"/>
                <w:lang w:eastAsia="sk-SK"/>
              </w:rPr>
            </w:pPr>
            <w:r w:rsidRPr="00D0395E">
              <w:rPr>
                <w:rFonts w:eastAsia="Times New Roman" w:cs="Times New Roman"/>
                <w:sz w:val="18"/>
                <w:szCs w:val="18"/>
                <w:lang w:eastAsia="sk-SK"/>
              </w:rPr>
              <w:t>168 026</w:t>
            </w:r>
          </w:p>
        </w:tc>
        <w:tc>
          <w:tcPr>
            <w:tcW w:w="555" w:type="pct"/>
            <w:tcBorders>
              <w:top w:val="single" w:sz="4" w:space="0" w:color="auto"/>
              <w:left w:val="nil"/>
              <w:bottom w:val="nil"/>
              <w:right w:val="nil"/>
            </w:tcBorders>
            <w:shd w:val="clear" w:color="auto" w:fill="auto"/>
            <w:noWrap/>
            <w:vAlign w:val="center"/>
            <w:hideMark/>
          </w:tcPr>
          <w:p w14:paraId="384069CE"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600 308</w:t>
            </w:r>
          </w:p>
        </w:tc>
        <w:tc>
          <w:tcPr>
            <w:tcW w:w="497" w:type="pct"/>
            <w:tcBorders>
              <w:top w:val="single" w:sz="4" w:space="0" w:color="auto"/>
              <w:left w:val="nil"/>
              <w:bottom w:val="nil"/>
              <w:right w:val="nil"/>
            </w:tcBorders>
            <w:shd w:val="clear" w:color="auto" w:fill="auto"/>
            <w:noWrap/>
            <w:vAlign w:val="center"/>
            <w:hideMark/>
          </w:tcPr>
          <w:p w14:paraId="1A27D968"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522 544</w:t>
            </w:r>
          </w:p>
        </w:tc>
        <w:tc>
          <w:tcPr>
            <w:tcW w:w="497" w:type="pct"/>
            <w:tcBorders>
              <w:top w:val="single" w:sz="4" w:space="0" w:color="auto"/>
              <w:left w:val="nil"/>
              <w:bottom w:val="nil"/>
              <w:right w:val="nil"/>
            </w:tcBorders>
            <w:shd w:val="clear" w:color="auto" w:fill="auto"/>
            <w:noWrap/>
            <w:vAlign w:val="center"/>
            <w:hideMark/>
          </w:tcPr>
          <w:p w14:paraId="05CC2EE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536 443</w:t>
            </w:r>
          </w:p>
        </w:tc>
        <w:tc>
          <w:tcPr>
            <w:tcW w:w="566" w:type="pct"/>
            <w:tcBorders>
              <w:top w:val="single" w:sz="4" w:space="0" w:color="auto"/>
              <w:left w:val="nil"/>
              <w:bottom w:val="nil"/>
              <w:right w:val="nil"/>
            </w:tcBorders>
            <w:shd w:val="clear" w:color="auto" w:fill="auto"/>
            <w:vAlign w:val="center"/>
            <w:hideMark/>
          </w:tcPr>
          <w:p w14:paraId="052FBEF1"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13 899</w:t>
            </w:r>
          </w:p>
        </w:tc>
      </w:tr>
      <w:tr w:rsidR="004D69BF" w:rsidRPr="00D0395E" w14:paraId="7DB19C71" w14:textId="77777777" w:rsidTr="003F4BCE">
        <w:trPr>
          <w:trHeight w:val="330"/>
        </w:trPr>
        <w:tc>
          <w:tcPr>
            <w:tcW w:w="2212" w:type="pct"/>
            <w:tcBorders>
              <w:top w:val="nil"/>
              <w:left w:val="nil"/>
              <w:bottom w:val="nil"/>
              <w:right w:val="nil"/>
            </w:tcBorders>
            <w:shd w:val="clear" w:color="auto" w:fill="auto"/>
            <w:noWrap/>
            <w:vAlign w:val="center"/>
            <w:hideMark/>
          </w:tcPr>
          <w:p w14:paraId="4F60EFE7"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v tom</w:t>
            </w:r>
          </w:p>
        </w:tc>
        <w:tc>
          <w:tcPr>
            <w:tcW w:w="673" w:type="pct"/>
            <w:tcBorders>
              <w:top w:val="nil"/>
              <w:left w:val="nil"/>
              <w:bottom w:val="nil"/>
              <w:right w:val="nil"/>
            </w:tcBorders>
            <w:shd w:val="clear" w:color="auto" w:fill="auto"/>
            <w:noWrap/>
            <w:vAlign w:val="bottom"/>
            <w:hideMark/>
          </w:tcPr>
          <w:p w14:paraId="54E0547F" w14:textId="77777777" w:rsidR="004D69BF" w:rsidRPr="00D0395E" w:rsidRDefault="004D69BF" w:rsidP="000240DA">
            <w:pPr>
              <w:spacing w:after="0" w:line="240" w:lineRule="auto"/>
              <w:jc w:val="left"/>
              <w:rPr>
                <w:rFonts w:eastAsia="Times New Roman" w:cs="Times New Roman"/>
                <w:color w:val="000000"/>
                <w:sz w:val="18"/>
                <w:szCs w:val="18"/>
                <w:lang w:eastAsia="sk-SK"/>
              </w:rPr>
            </w:pPr>
          </w:p>
        </w:tc>
        <w:tc>
          <w:tcPr>
            <w:tcW w:w="555" w:type="pct"/>
            <w:tcBorders>
              <w:top w:val="nil"/>
              <w:left w:val="nil"/>
              <w:bottom w:val="nil"/>
              <w:right w:val="nil"/>
            </w:tcBorders>
            <w:shd w:val="clear" w:color="auto" w:fill="auto"/>
            <w:noWrap/>
            <w:vAlign w:val="bottom"/>
            <w:hideMark/>
          </w:tcPr>
          <w:p w14:paraId="3D167556" w14:textId="77777777" w:rsidR="004D69BF" w:rsidRPr="00D0395E" w:rsidRDefault="004D69BF" w:rsidP="000240DA">
            <w:pPr>
              <w:spacing w:after="0" w:line="240" w:lineRule="auto"/>
              <w:jc w:val="left"/>
              <w:rPr>
                <w:rFonts w:eastAsia="Times New Roman" w:cs="Times New Roman"/>
                <w:sz w:val="18"/>
                <w:szCs w:val="18"/>
                <w:lang w:eastAsia="sk-SK"/>
              </w:rPr>
            </w:pPr>
          </w:p>
        </w:tc>
        <w:tc>
          <w:tcPr>
            <w:tcW w:w="497" w:type="pct"/>
            <w:tcBorders>
              <w:top w:val="nil"/>
              <w:left w:val="nil"/>
              <w:bottom w:val="nil"/>
              <w:right w:val="nil"/>
            </w:tcBorders>
            <w:shd w:val="clear" w:color="auto" w:fill="auto"/>
            <w:noWrap/>
            <w:vAlign w:val="bottom"/>
            <w:hideMark/>
          </w:tcPr>
          <w:p w14:paraId="21A03EFC" w14:textId="77777777" w:rsidR="004D69BF" w:rsidRPr="00D0395E" w:rsidRDefault="004D69BF" w:rsidP="000240DA">
            <w:pPr>
              <w:spacing w:after="0" w:line="240" w:lineRule="auto"/>
              <w:jc w:val="left"/>
              <w:rPr>
                <w:rFonts w:eastAsia="Times New Roman" w:cs="Times New Roman"/>
                <w:sz w:val="18"/>
                <w:szCs w:val="18"/>
                <w:lang w:eastAsia="sk-SK"/>
              </w:rPr>
            </w:pPr>
          </w:p>
        </w:tc>
        <w:tc>
          <w:tcPr>
            <w:tcW w:w="497" w:type="pct"/>
            <w:tcBorders>
              <w:top w:val="nil"/>
              <w:left w:val="nil"/>
              <w:bottom w:val="nil"/>
              <w:right w:val="nil"/>
            </w:tcBorders>
            <w:shd w:val="clear" w:color="auto" w:fill="auto"/>
            <w:noWrap/>
            <w:vAlign w:val="bottom"/>
            <w:hideMark/>
          </w:tcPr>
          <w:p w14:paraId="1B9CFBC0" w14:textId="77777777" w:rsidR="004D69BF" w:rsidRPr="00D0395E" w:rsidRDefault="004D69BF" w:rsidP="000240DA">
            <w:pPr>
              <w:spacing w:after="0" w:line="240" w:lineRule="auto"/>
              <w:jc w:val="left"/>
              <w:rPr>
                <w:rFonts w:eastAsia="Times New Roman" w:cs="Times New Roman"/>
                <w:sz w:val="18"/>
                <w:szCs w:val="18"/>
                <w:lang w:eastAsia="sk-SK"/>
              </w:rPr>
            </w:pPr>
          </w:p>
        </w:tc>
        <w:tc>
          <w:tcPr>
            <w:tcW w:w="566" w:type="pct"/>
            <w:tcBorders>
              <w:top w:val="nil"/>
              <w:left w:val="nil"/>
              <w:bottom w:val="nil"/>
              <w:right w:val="nil"/>
            </w:tcBorders>
            <w:shd w:val="clear" w:color="auto" w:fill="auto"/>
            <w:noWrap/>
            <w:vAlign w:val="bottom"/>
            <w:hideMark/>
          </w:tcPr>
          <w:p w14:paraId="7072C30C" w14:textId="77777777" w:rsidR="004D69BF" w:rsidRPr="00D0395E" w:rsidRDefault="004D69BF" w:rsidP="000240DA">
            <w:pPr>
              <w:spacing w:after="0" w:line="240" w:lineRule="auto"/>
              <w:jc w:val="left"/>
              <w:rPr>
                <w:rFonts w:eastAsia="Times New Roman" w:cs="Times New Roman"/>
                <w:sz w:val="18"/>
                <w:szCs w:val="18"/>
                <w:lang w:eastAsia="sk-SK"/>
              </w:rPr>
            </w:pPr>
          </w:p>
        </w:tc>
      </w:tr>
      <w:tr w:rsidR="004D69BF" w:rsidRPr="00D0395E" w14:paraId="40911F6E" w14:textId="77777777" w:rsidTr="003F4BCE">
        <w:trPr>
          <w:trHeight w:val="330"/>
        </w:trPr>
        <w:tc>
          <w:tcPr>
            <w:tcW w:w="2212" w:type="pct"/>
            <w:tcBorders>
              <w:top w:val="nil"/>
              <w:left w:val="nil"/>
              <w:bottom w:val="nil"/>
              <w:right w:val="nil"/>
            </w:tcBorders>
            <w:shd w:val="clear" w:color="auto" w:fill="auto"/>
            <w:noWrap/>
            <w:vAlign w:val="center"/>
            <w:hideMark/>
          </w:tcPr>
          <w:p w14:paraId="21CB8946"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dividendy</w:t>
            </w:r>
          </w:p>
        </w:tc>
        <w:tc>
          <w:tcPr>
            <w:tcW w:w="673" w:type="pct"/>
            <w:tcBorders>
              <w:top w:val="nil"/>
              <w:left w:val="nil"/>
              <w:bottom w:val="nil"/>
              <w:right w:val="nil"/>
            </w:tcBorders>
            <w:shd w:val="clear" w:color="auto" w:fill="auto"/>
            <w:noWrap/>
            <w:vAlign w:val="center"/>
            <w:hideMark/>
          </w:tcPr>
          <w:p w14:paraId="185DFD67" w14:textId="77777777" w:rsidR="004D69BF" w:rsidRPr="00D0395E" w:rsidRDefault="004D69BF" w:rsidP="000240DA">
            <w:pPr>
              <w:spacing w:after="0" w:line="240" w:lineRule="auto"/>
              <w:jc w:val="right"/>
              <w:rPr>
                <w:rFonts w:eastAsia="Times New Roman" w:cs="Times New Roman"/>
                <w:sz w:val="18"/>
                <w:szCs w:val="18"/>
                <w:lang w:eastAsia="sk-SK"/>
              </w:rPr>
            </w:pPr>
            <w:r w:rsidRPr="00D0395E">
              <w:rPr>
                <w:rFonts w:eastAsia="Times New Roman" w:cs="Times New Roman"/>
                <w:sz w:val="18"/>
                <w:szCs w:val="18"/>
                <w:lang w:eastAsia="sk-SK"/>
              </w:rPr>
              <w:t>160 519</w:t>
            </w:r>
          </w:p>
        </w:tc>
        <w:tc>
          <w:tcPr>
            <w:tcW w:w="555" w:type="pct"/>
            <w:tcBorders>
              <w:top w:val="nil"/>
              <w:left w:val="nil"/>
              <w:bottom w:val="nil"/>
              <w:right w:val="nil"/>
            </w:tcBorders>
            <w:shd w:val="clear" w:color="auto" w:fill="auto"/>
            <w:noWrap/>
            <w:vAlign w:val="center"/>
            <w:hideMark/>
          </w:tcPr>
          <w:p w14:paraId="68CF0A0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442 362</w:t>
            </w:r>
          </w:p>
        </w:tc>
        <w:tc>
          <w:tcPr>
            <w:tcW w:w="497" w:type="pct"/>
            <w:tcBorders>
              <w:top w:val="nil"/>
              <w:left w:val="nil"/>
              <w:bottom w:val="nil"/>
              <w:right w:val="nil"/>
            </w:tcBorders>
            <w:shd w:val="clear" w:color="auto" w:fill="auto"/>
            <w:noWrap/>
            <w:vAlign w:val="center"/>
            <w:hideMark/>
          </w:tcPr>
          <w:p w14:paraId="69C04518"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436 476</w:t>
            </w:r>
          </w:p>
        </w:tc>
        <w:tc>
          <w:tcPr>
            <w:tcW w:w="497" w:type="pct"/>
            <w:tcBorders>
              <w:top w:val="nil"/>
              <w:left w:val="nil"/>
              <w:bottom w:val="nil"/>
              <w:right w:val="nil"/>
            </w:tcBorders>
            <w:shd w:val="clear" w:color="auto" w:fill="auto"/>
            <w:noWrap/>
            <w:vAlign w:val="center"/>
            <w:hideMark/>
          </w:tcPr>
          <w:p w14:paraId="10279D69"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448 272</w:t>
            </w:r>
          </w:p>
        </w:tc>
        <w:tc>
          <w:tcPr>
            <w:tcW w:w="566" w:type="pct"/>
            <w:tcBorders>
              <w:top w:val="nil"/>
              <w:left w:val="nil"/>
              <w:bottom w:val="nil"/>
              <w:right w:val="nil"/>
            </w:tcBorders>
            <w:shd w:val="clear" w:color="auto" w:fill="auto"/>
            <w:vAlign w:val="center"/>
            <w:hideMark/>
          </w:tcPr>
          <w:p w14:paraId="5ACE8A01" w14:textId="11F517E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11 79</w:t>
            </w:r>
            <w:r w:rsidR="002A7C98">
              <w:rPr>
                <w:rFonts w:eastAsia="Times New Roman" w:cs="Times New Roman"/>
                <w:color w:val="000000"/>
                <w:sz w:val="18"/>
                <w:szCs w:val="18"/>
                <w:lang w:eastAsia="sk-SK"/>
              </w:rPr>
              <w:t>6</w:t>
            </w:r>
          </w:p>
        </w:tc>
      </w:tr>
      <w:tr w:rsidR="004D69BF" w:rsidRPr="00D0395E" w14:paraId="04220985" w14:textId="77777777" w:rsidTr="003F4BCE">
        <w:trPr>
          <w:trHeight w:val="330"/>
        </w:trPr>
        <w:tc>
          <w:tcPr>
            <w:tcW w:w="2212" w:type="pct"/>
            <w:tcBorders>
              <w:top w:val="nil"/>
              <w:left w:val="nil"/>
              <w:bottom w:val="nil"/>
              <w:right w:val="nil"/>
            </w:tcBorders>
            <w:shd w:val="clear" w:color="auto" w:fill="auto"/>
            <w:noWrap/>
            <w:vAlign w:val="center"/>
            <w:hideMark/>
          </w:tcPr>
          <w:p w14:paraId="1A6F9B5A"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z prenajatých budov, priestorov a objektov</w:t>
            </w:r>
          </w:p>
        </w:tc>
        <w:tc>
          <w:tcPr>
            <w:tcW w:w="673" w:type="pct"/>
            <w:tcBorders>
              <w:top w:val="nil"/>
              <w:left w:val="nil"/>
              <w:bottom w:val="nil"/>
              <w:right w:val="nil"/>
            </w:tcBorders>
            <w:shd w:val="clear" w:color="auto" w:fill="auto"/>
            <w:noWrap/>
            <w:vAlign w:val="center"/>
            <w:hideMark/>
          </w:tcPr>
          <w:p w14:paraId="46A77DBF" w14:textId="77777777" w:rsidR="004D69BF" w:rsidRPr="00D0395E" w:rsidRDefault="004D69BF" w:rsidP="000240DA">
            <w:pPr>
              <w:spacing w:after="0" w:line="240" w:lineRule="auto"/>
              <w:jc w:val="right"/>
              <w:rPr>
                <w:rFonts w:eastAsia="Times New Roman" w:cs="Times New Roman"/>
                <w:sz w:val="18"/>
                <w:szCs w:val="18"/>
                <w:lang w:eastAsia="sk-SK"/>
              </w:rPr>
            </w:pPr>
            <w:r w:rsidRPr="00D0395E">
              <w:rPr>
                <w:rFonts w:eastAsia="Times New Roman" w:cs="Times New Roman"/>
                <w:sz w:val="18"/>
                <w:szCs w:val="18"/>
                <w:lang w:eastAsia="sk-SK"/>
              </w:rPr>
              <w:t>6 089</w:t>
            </w:r>
          </w:p>
        </w:tc>
        <w:tc>
          <w:tcPr>
            <w:tcW w:w="555" w:type="pct"/>
            <w:tcBorders>
              <w:top w:val="nil"/>
              <w:left w:val="nil"/>
              <w:bottom w:val="nil"/>
              <w:right w:val="nil"/>
            </w:tcBorders>
            <w:shd w:val="clear" w:color="auto" w:fill="auto"/>
            <w:noWrap/>
            <w:vAlign w:val="center"/>
            <w:hideMark/>
          </w:tcPr>
          <w:p w14:paraId="228FEF1E"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6 258</w:t>
            </w:r>
          </w:p>
        </w:tc>
        <w:tc>
          <w:tcPr>
            <w:tcW w:w="497" w:type="pct"/>
            <w:tcBorders>
              <w:top w:val="nil"/>
              <w:left w:val="nil"/>
              <w:bottom w:val="nil"/>
              <w:right w:val="nil"/>
            </w:tcBorders>
            <w:shd w:val="clear" w:color="auto" w:fill="auto"/>
            <w:noWrap/>
            <w:vAlign w:val="center"/>
            <w:hideMark/>
          </w:tcPr>
          <w:p w14:paraId="06D50680"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4 677</w:t>
            </w:r>
          </w:p>
        </w:tc>
        <w:tc>
          <w:tcPr>
            <w:tcW w:w="497" w:type="pct"/>
            <w:tcBorders>
              <w:top w:val="nil"/>
              <w:left w:val="nil"/>
              <w:bottom w:val="nil"/>
              <w:right w:val="nil"/>
            </w:tcBorders>
            <w:shd w:val="clear" w:color="auto" w:fill="auto"/>
            <w:noWrap/>
            <w:vAlign w:val="center"/>
            <w:hideMark/>
          </w:tcPr>
          <w:p w14:paraId="3567239C"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6 580</w:t>
            </w:r>
          </w:p>
        </w:tc>
        <w:tc>
          <w:tcPr>
            <w:tcW w:w="566" w:type="pct"/>
            <w:tcBorders>
              <w:top w:val="nil"/>
              <w:left w:val="nil"/>
              <w:bottom w:val="nil"/>
              <w:right w:val="nil"/>
            </w:tcBorders>
            <w:shd w:val="clear" w:color="auto" w:fill="auto"/>
            <w:vAlign w:val="center"/>
            <w:hideMark/>
          </w:tcPr>
          <w:p w14:paraId="50CDD99C"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1 903</w:t>
            </w:r>
          </w:p>
        </w:tc>
      </w:tr>
      <w:tr w:rsidR="004D69BF" w:rsidRPr="00D0395E" w14:paraId="69654031" w14:textId="77777777" w:rsidTr="003F4BCE">
        <w:trPr>
          <w:trHeight w:val="330"/>
        </w:trPr>
        <w:tc>
          <w:tcPr>
            <w:tcW w:w="2212" w:type="pct"/>
            <w:tcBorders>
              <w:top w:val="nil"/>
              <w:left w:val="nil"/>
              <w:bottom w:val="nil"/>
              <w:right w:val="nil"/>
            </w:tcBorders>
            <w:shd w:val="clear" w:color="auto" w:fill="auto"/>
            <w:noWrap/>
            <w:vAlign w:val="center"/>
            <w:hideMark/>
          </w:tcPr>
          <w:p w14:paraId="28D3F09C"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iné príjmy z podnikania a z vlastníctva</w:t>
            </w:r>
          </w:p>
        </w:tc>
        <w:tc>
          <w:tcPr>
            <w:tcW w:w="673" w:type="pct"/>
            <w:tcBorders>
              <w:top w:val="nil"/>
              <w:left w:val="nil"/>
              <w:bottom w:val="nil"/>
              <w:right w:val="nil"/>
            </w:tcBorders>
            <w:shd w:val="clear" w:color="auto" w:fill="auto"/>
            <w:noWrap/>
            <w:vAlign w:val="center"/>
            <w:hideMark/>
          </w:tcPr>
          <w:p w14:paraId="65C25A79" w14:textId="77777777" w:rsidR="004D69BF" w:rsidRPr="00D0395E" w:rsidRDefault="004D69BF" w:rsidP="000240DA">
            <w:pPr>
              <w:spacing w:after="0" w:line="240" w:lineRule="auto"/>
              <w:jc w:val="right"/>
              <w:rPr>
                <w:rFonts w:eastAsia="Times New Roman" w:cs="Times New Roman"/>
                <w:sz w:val="18"/>
                <w:szCs w:val="18"/>
                <w:lang w:eastAsia="sk-SK"/>
              </w:rPr>
            </w:pPr>
            <w:r w:rsidRPr="00D0395E">
              <w:rPr>
                <w:rFonts w:eastAsia="Times New Roman" w:cs="Times New Roman"/>
                <w:sz w:val="18"/>
                <w:szCs w:val="18"/>
                <w:lang w:eastAsia="sk-SK"/>
              </w:rPr>
              <w:t>1 418</w:t>
            </w:r>
          </w:p>
        </w:tc>
        <w:tc>
          <w:tcPr>
            <w:tcW w:w="555" w:type="pct"/>
            <w:tcBorders>
              <w:top w:val="nil"/>
              <w:left w:val="nil"/>
              <w:bottom w:val="nil"/>
              <w:right w:val="nil"/>
            </w:tcBorders>
            <w:shd w:val="clear" w:color="auto" w:fill="auto"/>
            <w:noWrap/>
            <w:vAlign w:val="center"/>
            <w:hideMark/>
          </w:tcPr>
          <w:p w14:paraId="6C15D0EF"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151 688</w:t>
            </w:r>
          </w:p>
        </w:tc>
        <w:tc>
          <w:tcPr>
            <w:tcW w:w="497" w:type="pct"/>
            <w:tcBorders>
              <w:top w:val="nil"/>
              <w:left w:val="nil"/>
              <w:bottom w:val="nil"/>
              <w:right w:val="nil"/>
            </w:tcBorders>
            <w:shd w:val="clear" w:color="auto" w:fill="auto"/>
            <w:noWrap/>
            <w:vAlign w:val="center"/>
            <w:hideMark/>
          </w:tcPr>
          <w:p w14:paraId="1BFD6021"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81 391</w:t>
            </w:r>
          </w:p>
        </w:tc>
        <w:tc>
          <w:tcPr>
            <w:tcW w:w="497" w:type="pct"/>
            <w:tcBorders>
              <w:top w:val="nil"/>
              <w:left w:val="nil"/>
              <w:bottom w:val="nil"/>
              <w:right w:val="nil"/>
            </w:tcBorders>
            <w:shd w:val="clear" w:color="auto" w:fill="auto"/>
            <w:noWrap/>
            <w:vAlign w:val="center"/>
            <w:hideMark/>
          </w:tcPr>
          <w:p w14:paraId="625D9CD7"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81 591</w:t>
            </w:r>
          </w:p>
        </w:tc>
        <w:tc>
          <w:tcPr>
            <w:tcW w:w="566" w:type="pct"/>
            <w:tcBorders>
              <w:top w:val="nil"/>
              <w:left w:val="nil"/>
              <w:bottom w:val="nil"/>
              <w:right w:val="nil"/>
            </w:tcBorders>
            <w:shd w:val="clear" w:color="auto" w:fill="auto"/>
            <w:vAlign w:val="center"/>
            <w:hideMark/>
          </w:tcPr>
          <w:p w14:paraId="3C56CF8E"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200</w:t>
            </w:r>
          </w:p>
        </w:tc>
      </w:tr>
      <w:tr w:rsidR="004D69BF" w:rsidRPr="00D0395E" w14:paraId="4BE9136C" w14:textId="77777777" w:rsidTr="003F4BCE">
        <w:trPr>
          <w:trHeight w:val="330"/>
        </w:trPr>
        <w:tc>
          <w:tcPr>
            <w:tcW w:w="2212" w:type="pct"/>
            <w:tcBorders>
              <w:top w:val="nil"/>
              <w:left w:val="nil"/>
              <w:bottom w:val="nil"/>
              <w:right w:val="nil"/>
            </w:tcBorders>
            <w:shd w:val="clear" w:color="auto" w:fill="auto"/>
            <w:noWrap/>
            <w:vAlign w:val="center"/>
            <w:hideMark/>
          </w:tcPr>
          <w:p w14:paraId="6C5C8E2F"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Administratívne poplatky a iné poplatky a platby</w:t>
            </w:r>
          </w:p>
        </w:tc>
        <w:tc>
          <w:tcPr>
            <w:tcW w:w="673" w:type="pct"/>
            <w:tcBorders>
              <w:top w:val="nil"/>
              <w:left w:val="nil"/>
              <w:bottom w:val="nil"/>
              <w:right w:val="nil"/>
            </w:tcBorders>
            <w:shd w:val="clear" w:color="auto" w:fill="auto"/>
            <w:noWrap/>
            <w:vAlign w:val="center"/>
            <w:hideMark/>
          </w:tcPr>
          <w:p w14:paraId="35C7A0F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400 937</w:t>
            </w:r>
          </w:p>
        </w:tc>
        <w:tc>
          <w:tcPr>
            <w:tcW w:w="555" w:type="pct"/>
            <w:tcBorders>
              <w:top w:val="nil"/>
              <w:left w:val="nil"/>
              <w:bottom w:val="nil"/>
              <w:right w:val="nil"/>
            </w:tcBorders>
            <w:shd w:val="clear" w:color="auto" w:fill="auto"/>
            <w:noWrap/>
            <w:vAlign w:val="center"/>
            <w:hideMark/>
          </w:tcPr>
          <w:p w14:paraId="4677730F"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366 045</w:t>
            </w:r>
          </w:p>
        </w:tc>
        <w:tc>
          <w:tcPr>
            <w:tcW w:w="497" w:type="pct"/>
            <w:tcBorders>
              <w:top w:val="nil"/>
              <w:left w:val="nil"/>
              <w:bottom w:val="nil"/>
              <w:right w:val="nil"/>
            </w:tcBorders>
            <w:shd w:val="clear" w:color="auto" w:fill="auto"/>
            <w:noWrap/>
            <w:vAlign w:val="center"/>
            <w:hideMark/>
          </w:tcPr>
          <w:p w14:paraId="6F85D0ED"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396 986</w:t>
            </w:r>
          </w:p>
        </w:tc>
        <w:tc>
          <w:tcPr>
            <w:tcW w:w="497" w:type="pct"/>
            <w:tcBorders>
              <w:top w:val="nil"/>
              <w:left w:val="nil"/>
              <w:bottom w:val="nil"/>
              <w:right w:val="nil"/>
            </w:tcBorders>
            <w:shd w:val="clear" w:color="auto" w:fill="auto"/>
            <w:noWrap/>
            <w:vAlign w:val="center"/>
            <w:hideMark/>
          </w:tcPr>
          <w:p w14:paraId="7BAD0310"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442 497</w:t>
            </w:r>
          </w:p>
        </w:tc>
        <w:tc>
          <w:tcPr>
            <w:tcW w:w="566" w:type="pct"/>
            <w:tcBorders>
              <w:top w:val="nil"/>
              <w:left w:val="nil"/>
              <w:bottom w:val="nil"/>
              <w:right w:val="nil"/>
            </w:tcBorders>
            <w:shd w:val="clear" w:color="auto" w:fill="auto"/>
            <w:vAlign w:val="center"/>
            <w:hideMark/>
          </w:tcPr>
          <w:p w14:paraId="375B7D77"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45 511</w:t>
            </w:r>
          </w:p>
        </w:tc>
      </w:tr>
      <w:tr w:rsidR="004D69BF" w:rsidRPr="00D0395E" w14:paraId="3FB0EAA7" w14:textId="77777777" w:rsidTr="003F4BCE">
        <w:trPr>
          <w:trHeight w:val="330"/>
        </w:trPr>
        <w:tc>
          <w:tcPr>
            <w:tcW w:w="2212" w:type="pct"/>
            <w:tcBorders>
              <w:top w:val="nil"/>
              <w:left w:val="nil"/>
              <w:bottom w:val="nil"/>
              <w:right w:val="nil"/>
            </w:tcBorders>
            <w:shd w:val="clear" w:color="auto" w:fill="auto"/>
            <w:noWrap/>
            <w:vAlign w:val="center"/>
            <w:hideMark/>
          </w:tcPr>
          <w:p w14:paraId="479B043B"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z toho: </w:t>
            </w:r>
          </w:p>
        </w:tc>
        <w:tc>
          <w:tcPr>
            <w:tcW w:w="673" w:type="pct"/>
            <w:tcBorders>
              <w:top w:val="nil"/>
              <w:left w:val="nil"/>
              <w:bottom w:val="nil"/>
              <w:right w:val="nil"/>
            </w:tcBorders>
            <w:shd w:val="clear" w:color="auto" w:fill="auto"/>
            <w:noWrap/>
            <w:vAlign w:val="bottom"/>
            <w:hideMark/>
          </w:tcPr>
          <w:p w14:paraId="20FE17CA" w14:textId="77777777" w:rsidR="004D69BF" w:rsidRPr="00D0395E" w:rsidRDefault="004D69BF" w:rsidP="000240DA">
            <w:pPr>
              <w:spacing w:after="0" w:line="240" w:lineRule="auto"/>
              <w:jc w:val="left"/>
              <w:rPr>
                <w:rFonts w:eastAsia="Times New Roman" w:cs="Times New Roman"/>
                <w:color w:val="000000"/>
                <w:sz w:val="18"/>
                <w:szCs w:val="18"/>
                <w:lang w:eastAsia="sk-SK"/>
              </w:rPr>
            </w:pPr>
          </w:p>
        </w:tc>
        <w:tc>
          <w:tcPr>
            <w:tcW w:w="555" w:type="pct"/>
            <w:tcBorders>
              <w:top w:val="nil"/>
              <w:left w:val="nil"/>
              <w:bottom w:val="nil"/>
              <w:right w:val="nil"/>
            </w:tcBorders>
            <w:shd w:val="clear" w:color="auto" w:fill="auto"/>
            <w:noWrap/>
            <w:vAlign w:val="bottom"/>
            <w:hideMark/>
          </w:tcPr>
          <w:p w14:paraId="4EE35761" w14:textId="77777777" w:rsidR="004D69BF" w:rsidRPr="00D0395E" w:rsidRDefault="004D69BF" w:rsidP="000240DA">
            <w:pPr>
              <w:spacing w:after="0" w:line="240" w:lineRule="auto"/>
              <w:jc w:val="left"/>
              <w:rPr>
                <w:rFonts w:eastAsia="Times New Roman" w:cs="Times New Roman"/>
                <w:sz w:val="18"/>
                <w:szCs w:val="18"/>
                <w:lang w:eastAsia="sk-SK"/>
              </w:rPr>
            </w:pPr>
          </w:p>
        </w:tc>
        <w:tc>
          <w:tcPr>
            <w:tcW w:w="497" w:type="pct"/>
            <w:tcBorders>
              <w:top w:val="nil"/>
              <w:left w:val="nil"/>
              <w:bottom w:val="nil"/>
              <w:right w:val="nil"/>
            </w:tcBorders>
            <w:shd w:val="clear" w:color="auto" w:fill="auto"/>
            <w:noWrap/>
            <w:vAlign w:val="bottom"/>
            <w:hideMark/>
          </w:tcPr>
          <w:p w14:paraId="029C0A85" w14:textId="77777777" w:rsidR="004D69BF" w:rsidRPr="00D0395E" w:rsidRDefault="004D69BF" w:rsidP="000240DA">
            <w:pPr>
              <w:spacing w:after="0" w:line="240" w:lineRule="auto"/>
              <w:jc w:val="left"/>
              <w:rPr>
                <w:rFonts w:eastAsia="Times New Roman" w:cs="Times New Roman"/>
                <w:sz w:val="18"/>
                <w:szCs w:val="18"/>
                <w:lang w:eastAsia="sk-SK"/>
              </w:rPr>
            </w:pPr>
          </w:p>
        </w:tc>
        <w:tc>
          <w:tcPr>
            <w:tcW w:w="497" w:type="pct"/>
            <w:tcBorders>
              <w:top w:val="nil"/>
              <w:left w:val="nil"/>
              <w:bottom w:val="nil"/>
              <w:right w:val="nil"/>
            </w:tcBorders>
            <w:shd w:val="clear" w:color="auto" w:fill="auto"/>
            <w:noWrap/>
            <w:vAlign w:val="bottom"/>
            <w:hideMark/>
          </w:tcPr>
          <w:p w14:paraId="374C4178" w14:textId="77777777" w:rsidR="004D69BF" w:rsidRPr="00D0395E" w:rsidRDefault="004D69BF" w:rsidP="000240DA">
            <w:pPr>
              <w:spacing w:after="0" w:line="240" w:lineRule="auto"/>
              <w:jc w:val="left"/>
              <w:rPr>
                <w:rFonts w:eastAsia="Times New Roman" w:cs="Times New Roman"/>
                <w:sz w:val="18"/>
                <w:szCs w:val="18"/>
                <w:lang w:eastAsia="sk-SK"/>
              </w:rPr>
            </w:pPr>
          </w:p>
        </w:tc>
        <w:tc>
          <w:tcPr>
            <w:tcW w:w="566" w:type="pct"/>
            <w:tcBorders>
              <w:top w:val="nil"/>
              <w:left w:val="nil"/>
              <w:bottom w:val="nil"/>
              <w:right w:val="nil"/>
            </w:tcBorders>
            <w:shd w:val="clear" w:color="auto" w:fill="auto"/>
            <w:noWrap/>
            <w:vAlign w:val="bottom"/>
            <w:hideMark/>
          </w:tcPr>
          <w:p w14:paraId="0378786F" w14:textId="77777777" w:rsidR="004D69BF" w:rsidRPr="00D0395E" w:rsidRDefault="004D69BF" w:rsidP="000240DA">
            <w:pPr>
              <w:spacing w:after="0" w:line="240" w:lineRule="auto"/>
              <w:jc w:val="left"/>
              <w:rPr>
                <w:rFonts w:eastAsia="Times New Roman" w:cs="Times New Roman"/>
                <w:sz w:val="18"/>
                <w:szCs w:val="18"/>
                <w:lang w:eastAsia="sk-SK"/>
              </w:rPr>
            </w:pPr>
          </w:p>
        </w:tc>
      </w:tr>
      <w:tr w:rsidR="004D69BF" w:rsidRPr="00D0395E" w14:paraId="105F827A" w14:textId="77777777" w:rsidTr="003F4BCE">
        <w:trPr>
          <w:trHeight w:val="330"/>
        </w:trPr>
        <w:tc>
          <w:tcPr>
            <w:tcW w:w="2212" w:type="pct"/>
            <w:tcBorders>
              <w:top w:val="nil"/>
              <w:left w:val="nil"/>
              <w:bottom w:val="nil"/>
              <w:right w:val="nil"/>
            </w:tcBorders>
            <w:shd w:val="clear" w:color="auto" w:fill="auto"/>
            <w:noWrap/>
            <w:vAlign w:val="center"/>
            <w:hideMark/>
          </w:tcPr>
          <w:p w14:paraId="0126E895"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správne poplatky*</w:t>
            </w:r>
          </w:p>
        </w:tc>
        <w:tc>
          <w:tcPr>
            <w:tcW w:w="673" w:type="pct"/>
            <w:tcBorders>
              <w:top w:val="nil"/>
              <w:left w:val="nil"/>
              <w:bottom w:val="nil"/>
              <w:right w:val="nil"/>
            </w:tcBorders>
            <w:shd w:val="clear" w:color="auto" w:fill="auto"/>
            <w:noWrap/>
            <w:vAlign w:val="center"/>
            <w:hideMark/>
          </w:tcPr>
          <w:p w14:paraId="4CB53C6C"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179 097</w:t>
            </w:r>
          </w:p>
        </w:tc>
        <w:tc>
          <w:tcPr>
            <w:tcW w:w="555" w:type="pct"/>
            <w:tcBorders>
              <w:top w:val="nil"/>
              <w:left w:val="nil"/>
              <w:bottom w:val="nil"/>
              <w:right w:val="nil"/>
            </w:tcBorders>
            <w:shd w:val="clear" w:color="auto" w:fill="auto"/>
            <w:noWrap/>
            <w:vAlign w:val="center"/>
            <w:hideMark/>
          </w:tcPr>
          <w:p w14:paraId="5FDBE016"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165 710</w:t>
            </w:r>
          </w:p>
        </w:tc>
        <w:tc>
          <w:tcPr>
            <w:tcW w:w="497" w:type="pct"/>
            <w:tcBorders>
              <w:top w:val="nil"/>
              <w:left w:val="nil"/>
              <w:bottom w:val="nil"/>
              <w:right w:val="nil"/>
            </w:tcBorders>
            <w:shd w:val="clear" w:color="auto" w:fill="auto"/>
            <w:noWrap/>
            <w:vAlign w:val="center"/>
            <w:hideMark/>
          </w:tcPr>
          <w:p w14:paraId="1130A408"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0</w:t>
            </w:r>
          </w:p>
        </w:tc>
        <w:tc>
          <w:tcPr>
            <w:tcW w:w="497" w:type="pct"/>
            <w:tcBorders>
              <w:top w:val="nil"/>
              <w:left w:val="nil"/>
              <w:bottom w:val="nil"/>
              <w:right w:val="nil"/>
            </w:tcBorders>
            <w:shd w:val="clear" w:color="auto" w:fill="auto"/>
            <w:noWrap/>
            <w:vAlign w:val="center"/>
            <w:hideMark/>
          </w:tcPr>
          <w:p w14:paraId="121179F0"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197 224</w:t>
            </w:r>
          </w:p>
        </w:tc>
        <w:tc>
          <w:tcPr>
            <w:tcW w:w="566" w:type="pct"/>
            <w:tcBorders>
              <w:top w:val="nil"/>
              <w:left w:val="nil"/>
              <w:bottom w:val="nil"/>
              <w:right w:val="nil"/>
            </w:tcBorders>
            <w:shd w:val="clear" w:color="auto" w:fill="auto"/>
            <w:vAlign w:val="center"/>
            <w:hideMark/>
          </w:tcPr>
          <w:p w14:paraId="437F940D"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197 224</w:t>
            </w:r>
          </w:p>
        </w:tc>
      </w:tr>
      <w:tr w:rsidR="004D69BF" w:rsidRPr="00D0395E" w14:paraId="67E63B6A" w14:textId="77777777" w:rsidTr="003F4BCE">
        <w:trPr>
          <w:trHeight w:val="330"/>
        </w:trPr>
        <w:tc>
          <w:tcPr>
            <w:tcW w:w="2212" w:type="pct"/>
            <w:tcBorders>
              <w:top w:val="nil"/>
              <w:left w:val="nil"/>
              <w:bottom w:val="nil"/>
              <w:right w:val="nil"/>
            </w:tcBorders>
            <w:shd w:val="clear" w:color="auto" w:fill="auto"/>
            <w:noWrap/>
            <w:vAlign w:val="center"/>
            <w:hideMark/>
          </w:tcPr>
          <w:p w14:paraId="3B1D4E4C"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súdne poplatky</w:t>
            </w:r>
          </w:p>
        </w:tc>
        <w:tc>
          <w:tcPr>
            <w:tcW w:w="673" w:type="pct"/>
            <w:tcBorders>
              <w:top w:val="nil"/>
              <w:left w:val="nil"/>
              <w:bottom w:val="nil"/>
              <w:right w:val="nil"/>
            </w:tcBorders>
            <w:shd w:val="clear" w:color="auto" w:fill="auto"/>
            <w:noWrap/>
            <w:vAlign w:val="center"/>
            <w:hideMark/>
          </w:tcPr>
          <w:p w14:paraId="6E519A7D"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30 275</w:t>
            </w:r>
          </w:p>
        </w:tc>
        <w:tc>
          <w:tcPr>
            <w:tcW w:w="555" w:type="pct"/>
            <w:tcBorders>
              <w:top w:val="nil"/>
              <w:left w:val="nil"/>
              <w:bottom w:val="nil"/>
              <w:right w:val="nil"/>
            </w:tcBorders>
            <w:shd w:val="clear" w:color="auto" w:fill="auto"/>
            <w:noWrap/>
            <w:vAlign w:val="center"/>
            <w:hideMark/>
          </w:tcPr>
          <w:p w14:paraId="4BA0A84B"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30 518</w:t>
            </w:r>
          </w:p>
        </w:tc>
        <w:tc>
          <w:tcPr>
            <w:tcW w:w="497" w:type="pct"/>
            <w:tcBorders>
              <w:top w:val="nil"/>
              <w:left w:val="nil"/>
              <w:bottom w:val="nil"/>
              <w:right w:val="nil"/>
            </w:tcBorders>
            <w:shd w:val="clear" w:color="auto" w:fill="auto"/>
            <w:noWrap/>
            <w:vAlign w:val="center"/>
            <w:hideMark/>
          </w:tcPr>
          <w:p w14:paraId="6D651AE3"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38 829</w:t>
            </w:r>
          </w:p>
        </w:tc>
        <w:tc>
          <w:tcPr>
            <w:tcW w:w="497" w:type="pct"/>
            <w:tcBorders>
              <w:top w:val="nil"/>
              <w:left w:val="nil"/>
              <w:bottom w:val="nil"/>
              <w:right w:val="nil"/>
            </w:tcBorders>
            <w:shd w:val="clear" w:color="auto" w:fill="auto"/>
            <w:noWrap/>
            <w:vAlign w:val="center"/>
            <w:hideMark/>
          </w:tcPr>
          <w:p w14:paraId="5AC567E8"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34 761</w:t>
            </w:r>
          </w:p>
        </w:tc>
        <w:tc>
          <w:tcPr>
            <w:tcW w:w="566" w:type="pct"/>
            <w:tcBorders>
              <w:top w:val="nil"/>
              <w:left w:val="nil"/>
              <w:bottom w:val="nil"/>
              <w:right w:val="nil"/>
            </w:tcBorders>
            <w:shd w:val="clear" w:color="auto" w:fill="auto"/>
            <w:vAlign w:val="center"/>
            <w:hideMark/>
          </w:tcPr>
          <w:p w14:paraId="6230096B"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-4 068</w:t>
            </w:r>
          </w:p>
        </w:tc>
      </w:tr>
      <w:tr w:rsidR="004D69BF" w:rsidRPr="00D0395E" w14:paraId="042D401E" w14:textId="77777777" w:rsidTr="003F4BCE">
        <w:trPr>
          <w:trHeight w:val="330"/>
        </w:trPr>
        <w:tc>
          <w:tcPr>
            <w:tcW w:w="2212" w:type="pct"/>
            <w:tcBorders>
              <w:top w:val="nil"/>
              <w:left w:val="nil"/>
              <w:bottom w:val="nil"/>
              <w:right w:val="nil"/>
            </w:tcBorders>
            <w:shd w:val="clear" w:color="auto" w:fill="auto"/>
            <w:noWrap/>
            <w:vAlign w:val="center"/>
            <w:hideMark/>
          </w:tcPr>
          <w:p w14:paraId="068240C8"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ostatné poplatky</w:t>
            </w:r>
          </w:p>
        </w:tc>
        <w:tc>
          <w:tcPr>
            <w:tcW w:w="673" w:type="pct"/>
            <w:tcBorders>
              <w:top w:val="nil"/>
              <w:left w:val="nil"/>
              <w:bottom w:val="nil"/>
              <w:right w:val="nil"/>
            </w:tcBorders>
            <w:shd w:val="clear" w:color="auto" w:fill="auto"/>
            <w:noWrap/>
            <w:vAlign w:val="center"/>
            <w:hideMark/>
          </w:tcPr>
          <w:p w14:paraId="4DFBE204"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28 442</w:t>
            </w:r>
          </w:p>
        </w:tc>
        <w:tc>
          <w:tcPr>
            <w:tcW w:w="555" w:type="pct"/>
            <w:tcBorders>
              <w:top w:val="nil"/>
              <w:left w:val="nil"/>
              <w:bottom w:val="nil"/>
              <w:right w:val="nil"/>
            </w:tcBorders>
            <w:shd w:val="clear" w:color="auto" w:fill="auto"/>
            <w:noWrap/>
            <w:vAlign w:val="center"/>
            <w:hideMark/>
          </w:tcPr>
          <w:p w14:paraId="531A977B"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29 161</w:t>
            </w:r>
          </w:p>
        </w:tc>
        <w:tc>
          <w:tcPr>
            <w:tcW w:w="497" w:type="pct"/>
            <w:tcBorders>
              <w:top w:val="nil"/>
              <w:left w:val="nil"/>
              <w:bottom w:val="nil"/>
              <w:right w:val="nil"/>
            </w:tcBorders>
            <w:shd w:val="clear" w:color="auto" w:fill="auto"/>
            <w:noWrap/>
            <w:vAlign w:val="center"/>
            <w:hideMark/>
          </w:tcPr>
          <w:p w14:paraId="3E323654"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237 937</w:t>
            </w:r>
          </w:p>
        </w:tc>
        <w:tc>
          <w:tcPr>
            <w:tcW w:w="497" w:type="pct"/>
            <w:tcBorders>
              <w:top w:val="nil"/>
              <w:left w:val="nil"/>
              <w:bottom w:val="nil"/>
              <w:right w:val="nil"/>
            </w:tcBorders>
            <w:shd w:val="clear" w:color="auto" w:fill="auto"/>
            <w:noWrap/>
            <w:vAlign w:val="center"/>
            <w:hideMark/>
          </w:tcPr>
          <w:p w14:paraId="275B1CE4"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26 330</w:t>
            </w:r>
          </w:p>
        </w:tc>
        <w:tc>
          <w:tcPr>
            <w:tcW w:w="566" w:type="pct"/>
            <w:tcBorders>
              <w:top w:val="nil"/>
              <w:left w:val="nil"/>
              <w:bottom w:val="nil"/>
              <w:right w:val="nil"/>
            </w:tcBorders>
            <w:shd w:val="clear" w:color="auto" w:fill="auto"/>
            <w:vAlign w:val="center"/>
            <w:hideMark/>
          </w:tcPr>
          <w:p w14:paraId="6D7031A4"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-211 607</w:t>
            </w:r>
          </w:p>
        </w:tc>
      </w:tr>
      <w:tr w:rsidR="004D69BF" w:rsidRPr="00D0395E" w14:paraId="463563B2" w14:textId="77777777" w:rsidTr="003F4BCE">
        <w:trPr>
          <w:trHeight w:val="330"/>
        </w:trPr>
        <w:tc>
          <w:tcPr>
            <w:tcW w:w="2212" w:type="pct"/>
            <w:tcBorders>
              <w:top w:val="nil"/>
              <w:left w:val="nil"/>
              <w:bottom w:val="nil"/>
              <w:right w:val="nil"/>
            </w:tcBorders>
            <w:shd w:val="clear" w:color="auto" w:fill="auto"/>
            <w:noWrap/>
            <w:vAlign w:val="center"/>
            <w:hideMark/>
          </w:tcPr>
          <w:p w14:paraId="570162CA"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pokuty za porušenie predpisov</w:t>
            </w:r>
          </w:p>
        </w:tc>
        <w:tc>
          <w:tcPr>
            <w:tcW w:w="673" w:type="pct"/>
            <w:tcBorders>
              <w:top w:val="nil"/>
              <w:left w:val="nil"/>
              <w:bottom w:val="nil"/>
              <w:right w:val="nil"/>
            </w:tcBorders>
            <w:shd w:val="clear" w:color="auto" w:fill="auto"/>
            <w:noWrap/>
            <w:vAlign w:val="center"/>
            <w:hideMark/>
          </w:tcPr>
          <w:p w14:paraId="6B37B972"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67 750</w:t>
            </w:r>
          </w:p>
        </w:tc>
        <w:tc>
          <w:tcPr>
            <w:tcW w:w="555" w:type="pct"/>
            <w:tcBorders>
              <w:top w:val="nil"/>
              <w:left w:val="nil"/>
              <w:bottom w:val="nil"/>
              <w:right w:val="nil"/>
            </w:tcBorders>
            <w:shd w:val="clear" w:color="auto" w:fill="auto"/>
            <w:noWrap/>
            <w:vAlign w:val="center"/>
            <w:hideMark/>
          </w:tcPr>
          <w:p w14:paraId="53D230FD"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77 763</w:t>
            </w:r>
          </w:p>
        </w:tc>
        <w:tc>
          <w:tcPr>
            <w:tcW w:w="497" w:type="pct"/>
            <w:tcBorders>
              <w:top w:val="nil"/>
              <w:left w:val="nil"/>
              <w:bottom w:val="nil"/>
              <w:right w:val="nil"/>
            </w:tcBorders>
            <w:shd w:val="clear" w:color="auto" w:fill="auto"/>
            <w:noWrap/>
            <w:vAlign w:val="center"/>
            <w:hideMark/>
          </w:tcPr>
          <w:p w14:paraId="41AE4D60"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58 401</w:t>
            </w:r>
          </w:p>
        </w:tc>
        <w:tc>
          <w:tcPr>
            <w:tcW w:w="497" w:type="pct"/>
            <w:tcBorders>
              <w:top w:val="nil"/>
              <w:left w:val="nil"/>
              <w:bottom w:val="nil"/>
              <w:right w:val="nil"/>
            </w:tcBorders>
            <w:shd w:val="clear" w:color="auto" w:fill="auto"/>
            <w:noWrap/>
            <w:vAlign w:val="center"/>
            <w:hideMark/>
          </w:tcPr>
          <w:p w14:paraId="56DB3231"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106 026</w:t>
            </w:r>
          </w:p>
        </w:tc>
        <w:tc>
          <w:tcPr>
            <w:tcW w:w="566" w:type="pct"/>
            <w:tcBorders>
              <w:top w:val="nil"/>
              <w:left w:val="nil"/>
              <w:bottom w:val="nil"/>
              <w:right w:val="nil"/>
            </w:tcBorders>
            <w:shd w:val="clear" w:color="auto" w:fill="auto"/>
            <w:vAlign w:val="center"/>
            <w:hideMark/>
          </w:tcPr>
          <w:p w14:paraId="3221653B"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47 625</w:t>
            </w:r>
          </w:p>
        </w:tc>
      </w:tr>
      <w:tr w:rsidR="004D69BF" w:rsidRPr="00D0395E" w14:paraId="5D5B8078" w14:textId="77777777" w:rsidTr="003F4BCE">
        <w:trPr>
          <w:trHeight w:val="330"/>
        </w:trPr>
        <w:tc>
          <w:tcPr>
            <w:tcW w:w="2212" w:type="pct"/>
            <w:tcBorders>
              <w:top w:val="nil"/>
              <w:left w:val="nil"/>
              <w:bottom w:val="nil"/>
              <w:right w:val="nil"/>
            </w:tcBorders>
            <w:shd w:val="clear" w:color="auto" w:fill="auto"/>
            <w:noWrap/>
            <w:vAlign w:val="center"/>
            <w:hideMark/>
          </w:tcPr>
          <w:p w14:paraId="093E86A6"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za predaj tovaru, výrobkov a služby</w:t>
            </w:r>
          </w:p>
        </w:tc>
        <w:tc>
          <w:tcPr>
            <w:tcW w:w="673" w:type="pct"/>
            <w:tcBorders>
              <w:top w:val="nil"/>
              <w:left w:val="nil"/>
              <w:bottom w:val="nil"/>
              <w:right w:val="nil"/>
            </w:tcBorders>
            <w:shd w:val="clear" w:color="auto" w:fill="auto"/>
            <w:noWrap/>
            <w:vAlign w:val="center"/>
            <w:hideMark/>
          </w:tcPr>
          <w:p w14:paraId="3EC03FC2"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92 308</w:t>
            </w:r>
          </w:p>
        </w:tc>
        <w:tc>
          <w:tcPr>
            <w:tcW w:w="555" w:type="pct"/>
            <w:tcBorders>
              <w:top w:val="nil"/>
              <w:left w:val="nil"/>
              <w:bottom w:val="nil"/>
              <w:right w:val="nil"/>
            </w:tcBorders>
            <w:shd w:val="clear" w:color="auto" w:fill="auto"/>
            <w:noWrap/>
            <w:vAlign w:val="center"/>
            <w:hideMark/>
          </w:tcPr>
          <w:p w14:paraId="705ACAD1"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60 692</w:t>
            </w:r>
          </w:p>
        </w:tc>
        <w:tc>
          <w:tcPr>
            <w:tcW w:w="497" w:type="pct"/>
            <w:tcBorders>
              <w:top w:val="nil"/>
              <w:left w:val="nil"/>
              <w:bottom w:val="nil"/>
              <w:right w:val="nil"/>
            </w:tcBorders>
            <w:shd w:val="clear" w:color="auto" w:fill="auto"/>
            <w:noWrap/>
            <w:vAlign w:val="center"/>
            <w:hideMark/>
          </w:tcPr>
          <w:p w14:paraId="6623AFDB"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58 064</w:t>
            </w:r>
          </w:p>
        </w:tc>
        <w:tc>
          <w:tcPr>
            <w:tcW w:w="497" w:type="pct"/>
            <w:tcBorders>
              <w:top w:val="nil"/>
              <w:left w:val="nil"/>
              <w:bottom w:val="nil"/>
              <w:right w:val="nil"/>
            </w:tcBorders>
            <w:shd w:val="clear" w:color="auto" w:fill="auto"/>
            <w:noWrap/>
            <w:vAlign w:val="center"/>
            <w:hideMark/>
          </w:tcPr>
          <w:p w14:paraId="021E4F30"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75 325</w:t>
            </w:r>
          </w:p>
        </w:tc>
        <w:tc>
          <w:tcPr>
            <w:tcW w:w="566" w:type="pct"/>
            <w:tcBorders>
              <w:top w:val="nil"/>
              <w:left w:val="nil"/>
              <w:bottom w:val="nil"/>
              <w:right w:val="nil"/>
            </w:tcBorders>
            <w:shd w:val="clear" w:color="auto" w:fill="auto"/>
            <w:vAlign w:val="center"/>
            <w:hideMark/>
          </w:tcPr>
          <w:p w14:paraId="5FD083C2"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17 266</w:t>
            </w:r>
          </w:p>
        </w:tc>
      </w:tr>
      <w:tr w:rsidR="004D69BF" w:rsidRPr="00D0395E" w14:paraId="5706B664" w14:textId="77777777" w:rsidTr="003F4BCE">
        <w:trPr>
          <w:trHeight w:val="330"/>
        </w:trPr>
        <w:tc>
          <w:tcPr>
            <w:tcW w:w="2212" w:type="pct"/>
            <w:tcBorders>
              <w:top w:val="nil"/>
              <w:left w:val="nil"/>
              <w:bottom w:val="nil"/>
              <w:right w:val="nil"/>
            </w:tcBorders>
            <w:shd w:val="clear" w:color="auto" w:fill="auto"/>
            <w:noWrap/>
            <w:vAlign w:val="center"/>
            <w:hideMark/>
          </w:tcPr>
          <w:p w14:paraId="1A5C6805"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Kapitálové príjmy</w:t>
            </w:r>
          </w:p>
        </w:tc>
        <w:tc>
          <w:tcPr>
            <w:tcW w:w="673" w:type="pct"/>
            <w:tcBorders>
              <w:top w:val="nil"/>
              <w:left w:val="nil"/>
              <w:bottom w:val="nil"/>
              <w:right w:val="nil"/>
            </w:tcBorders>
            <w:shd w:val="clear" w:color="auto" w:fill="auto"/>
            <w:noWrap/>
            <w:vAlign w:val="center"/>
            <w:hideMark/>
          </w:tcPr>
          <w:p w14:paraId="660F34EC"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11 460</w:t>
            </w:r>
          </w:p>
        </w:tc>
        <w:tc>
          <w:tcPr>
            <w:tcW w:w="555" w:type="pct"/>
            <w:tcBorders>
              <w:top w:val="nil"/>
              <w:left w:val="nil"/>
              <w:bottom w:val="nil"/>
              <w:right w:val="nil"/>
            </w:tcBorders>
            <w:shd w:val="clear" w:color="auto" w:fill="auto"/>
            <w:noWrap/>
            <w:vAlign w:val="center"/>
            <w:hideMark/>
          </w:tcPr>
          <w:p w14:paraId="706E28E8"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16 684</w:t>
            </w:r>
          </w:p>
        </w:tc>
        <w:tc>
          <w:tcPr>
            <w:tcW w:w="497" w:type="pct"/>
            <w:tcBorders>
              <w:top w:val="nil"/>
              <w:left w:val="nil"/>
              <w:bottom w:val="nil"/>
              <w:right w:val="nil"/>
            </w:tcBorders>
            <w:shd w:val="clear" w:color="auto" w:fill="auto"/>
            <w:noWrap/>
            <w:vAlign w:val="center"/>
            <w:hideMark/>
          </w:tcPr>
          <w:p w14:paraId="4D24510E" w14:textId="65BE1A48"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17 52</w:t>
            </w:r>
            <w:r w:rsidR="00F66E39">
              <w:rPr>
                <w:rFonts w:eastAsia="Times New Roman" w:cs="Times New Roman"/>
                <w:color w:val="000000"/>
                <w:sz w:val="18"/>
                <w:szCs w:val="18"/>
                <w:lang w:eastAsia="sk-SK"/>
              </w:rPr>
              <w:t>6</w:t>
            </w:r>
          </w:p>
        </w:tc>
        <w:tc>
          <w:tcPr>
            <w:tcW w:w="497" w:type="pct"/>
            <w:tcBorders>
              <w:top w:val="nil"/>
              <w:left w:val="nil"/>
              <w:bottom w:val="nil"/>
              <w:right w:val="nil"/>
            </w:tcBorders>
            <w:shd w:val="clear" w:color="auto" w:fill="auto"/>
            <w:noWrap/>
            <w:vAlign w:val="center"/>
            <w:hideMark/>
          </w:tcPr>
          <w:p w14:paraId="05465AD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15 131</w:t>
            </w:r>
          </w:p>
        </w:tc>
        <w:tc>
          <w:tcPr>
            <w:tcW w:w="566" w:type="pct"/>
            <w:tcBorders>
              <w:top w:val="nil"/>
              <w:left w:val="nil"/>
              <w:bottom w:val="nil"/>
              <w:right w:val="nil"/>
            </w:tcBorders>
            <w:shd w:val="clear" w:color="auto" w:fill="auto"/>
            <w:vAlign w:val="center"/>
            <w:hideMark/>
          </w:tcPr>
          <w:p w14:paraId="77176190" w14:textId="51C00144"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-2 39</w:t>
            </w:r>
            <w:r w:rsidR="00F66E39">
              <w:rPr>
                <w:rFonts w:eastAsia="Times New Roman" w:cs="Times New Roman"/>
                <w:color w:val="000000"/>
                <w:sz w:val="18"/>
                <w:szCs w:val="18"/>
                <w:lang w:eastAsia="sk-SK"/>
              </w:rPr>
              <w:t>5</w:t>
            </w:r>
          </w:p>
        </w:tc>
      </w:tr>
      <w:tr w:rsidR="004D69BF" w:rsidRPr="00D0395E" w14:paraId="56C91F70" w14:textId="77777777" w:rsidTr="003F4BCE">
        <w:trPr>
          <w:trHeight w:val="480"/>
        </w:trPr>
        <w:tc>
          <w:tcPr>
            <w:tcW w:w="2212" w:type="pct"/>
            <w:tcBorders>
              <w:top w:val="nil"/>
              <w:left w:val="nil"/>
              <w:bottom w:val="nil"/>
              <w:right w:val="nil"/>
            </w:tcBorders>
            <w:shd w:val="clear" w:color="auto" w:fill="auto"/>
            <w:vAlign w:val="center"/>
            <w:hideMark/>
          </w:tcPr>
          <w:p w14:paraId="378FF584"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Úroky z úverov, pôžičiek a NFV, z účtov finančného hospodárenia</w:t>
            </w:r>
          </w:p>
        </w:tc>
        <w:tc>
          <w:tcPr>
            <w:tcW w:w="673" w:type="pct"/>
            <w:tcBorders>
              <w:top w:val="nil"/>
              <w:left w:val="nil"/>
              <w:bottom w:val="nil"/>
              <w:right w:val="nil"/>
            </w:tcBorders>
            <w:shd w:val="clear" w:color="auto" w:fill="auto"/>
            <w:noWrap/>
            <w:vAlign w:val="center"/>
            <w:hideMark/>
          </w:tcPr>
          <w:p w14:paraId="28CAA4F8"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9 996</w:t>
            </w:r>
          </w:p>
        </w:tc>
        <w:tc>
          <w:tcPr>
            <w:tcW w:w="555" w:type="pct"/>
            <w:tcBorders>
              <w:top w:val="nil"/>
              <w:left w:val="nil"/>
              <w:bottom w:val="nil"/>
              <w:right w:val="nil"/>
            </w:tcBorders>
            <w:shd w:val="clear" w:color="auto" w:fill="auto"/>
            <w:noWrap/>
            <w:vAlign w:val="center"/>
            <w:hideMark/>
          </w:tcPr>
          <w:p w14:paraId="012773AC"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121 738</w:t>
            </w:r>
          </w:p>
        </w:tc>
        <w:tc>
          <w:tcPr>
            <w:tcW w:w="497" w:type="pct"/>
            <w:tcBorders>
              <w:top w:val="nil"/>
              <w:left w:val="nil"/>
              <w:bottom w:val="nil"/>
              <w:right w:val="nil"/>
            </w:tcBorders>
            <w:shd w:val="clear" w:color="auto" w:fill="auto"/>
            <w:noWrap/>
            <w:vAlign w:val="center"/>
            <w:hideMark/>
          </w:tcPr>
          <w:p w14:paraId="618D3C17"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127 284</w:t>
            </w:r>
          </w:p>
        </w:tc>
        <w:tc>
          <w:tcPr>
            <w:tcW w:w="497" w:type="pct"/>
            <w:tcBorders>
              <w:top w:val="nil"/>
              <w:left w:val="nil"/>
              <w:bottom w:val="nil"/>
              <w:right w:val="nil"/>
            </w:tcBorders>
            <w:shd w:val="clear" w:color="auto" w:fill="auto"/>
            <w:noWrap/>
            <w:vAlign w:val="center"/>
            <w:hideMark/>
          </w:tcPr>
          <w:p w14:paraId="02471773"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139 530</w:t>
            </w:r>
          </w:p>
        </w:tc>
        <w:tc>
          <w:tcPr>
            <w:tcW w:w="566" w:type="pct"/>
            <w:tcBorders>
              <w:top w:val="nil"/>
              <w:left w:val="nil"/>
              <w:bottom w:val="nil"/>
              <w:right w:val="nil"/>
            </w:tcBorders>
            <w:shd w:val="clear" w:color="auto" w:fill="auto"/>
            <w:vAlign w:val="center"/>
            <w:hideMark/>
          </w:tcPr>
          <w:p w14:paraId="7C5B5497"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12 246</w:t>
            </w:r>
          </w:p>
        </w:tc>
      </w:tr>
      <w:tr w:rsidR="004D69BF" w:rsidRPr="00D0395E" w14:paraId="1E011938" w14:textId="77777777" w:rsidTr="003F4BCE">
        <w:trPr>
          <w:trHeight w:val="330"/>
        </w:trPr>
        <w:tc>
          <w:tcPr>
            <w:tcW w:w="2212" w:type="pct"/>
            <w:tcBorders>
              <w:top w:val="nil"/>
              <w:left w:val="nil"/>
              <w:bottom w:val="nil"/>
              <w:right w:val="nil"/>
            </w:tcBorders>
            <w:shd w:val="clear" w:color="auto" w:fill="auto"/>
            <w:noWrap/>
            <w:vAlign w:val="center"/>
            <w:hideMark/>
          </w:tcPr>
          <w:p w14:paraId="7CC802E5"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Iné nedaňové príjmy</w:t>
            </w:r>
          </w:p>
        </w:tc>
        <w:tc>
          <w:tcPr>
            <w:tcW w:w="673" w:type="pct"/>
            <w:tcBorders>
              <w:top w:val="nil"/>
              <w:left w:val="nil"/>
              <w:bottom w:val="nil"/>
              <w:right w:val="nil"/>
            </w:tcBorders>
            <w:shd w:val="clear" w:color="auto" w:fill="auto"/>
            <w:noWrap/>
            <w:vAlign w:val="center"/>
            <w:hideMark/>
          </w:tcPr>
          <w:p w14:paraId="20240B0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694 670</w:t>
            </w:r>
          </w:p>
        </w:tc>
        <w:tc>
          <w:tcPr>
            <w:tcW w:w="555" w:type="pct"/>
            <w:tcBorders>
              <w:top w:val="nil"/>
              <w:left w:val="nil"/>
              <w:bottom w:val="nil"/>
              <w:right w:val="nil"/>
            </w:tcBorders>
            <w:shd w:val="clear" w:color="auto" w:fill="auto"/>
            <w:noWrap/>
            <w:vAlign w:val="center"/>
            <w:hideMark/>
          </w:tcPr>
          <w:p w14:paraId="21C79429"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633 551</w:t>
            </w:r>
          </w:p>
        </w:tc>
        <w:tc>
          <w:tcPr>
            <w:tcW w:w="497" w:type="pct"/>
            <w:tcBorders>
              <w:top w:val="nil"/>
              <w:left w:val="nil"/>
              <w:bottom w:val="nil"/>
              <w:right w:val="nil"/>
            </w:tcBorders>
            <w:shd w:val="clear" w:color="auto" w:fill="auto"/>
            <w:noWrap/>
            <w:vAlign w:val="center"/>
            <w:hideMark/>
          </w:tcPr>
          <w:p w14:paraId="008BBE78"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485 226</w:t>
            </w:r>
          </w:p>
        </w:tc>
        <w:tc>
          <w:tcPr>
            <w:tcW w:w="497" w:type="pct"/>
            <w:tcBorders>
              <w:top w:val="nil"/>
              <w:left w:val="nil"/>
              <w:bottom w:val="nil"/>
              <w:right w:val="nil"/>
            </w:tcBorders>
            <w:shd w:val="clear" w:color="auto" w:fill="auto"/>
            <w:noWrap/>
            <w:vAlign w:val="center"/>
            <w:hideMark/>
          </w:tcPr>
          <w:p w14:paraId="0C169F58"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776 292</w:t>
            </w:r>
          </w:p>
        </w:tc>
        <w:tc>
          <w:tcPr>
            <w:tcW w:w="566" w:type="pct"/>
            <w:tcBorders>
              <w:top w:val="nil"/>
              <w:left w:val="nil"/>
              <w:bottom w:val="nil"/>
              <w:right w:val="nil"/>
            </w:tcBorders>
            <w:shd w:val="clear" w:color="auto" w:fill="auto"/>
            <w:vAlign w:val="center"/>
            <w:hideMark/>
          </w:tcPr>
          <w:p w14:paraId="5AEBAAB7"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291 066</w:t>
            </w:r>
          </w:p>
        </w:tc>
      </w:tr>
      <w:tr w:rsidR="004D69BF" w:rsidRPr="00D0395E" w14:paraId="08705C60" w14:textId="77777777" w:rsidTr="003F4BCE">
        <w:trPr>
          <w:trHeight w:val="330"/>
        </w:trPr>
        <w:tc>
          <w:tcPr>
            <w:tcW w:w="2212" w:type="pct"/>
            <w:tcBorders>
              <w:top w:val="nil"/>
              <w:left w:val="nil"/>
              <w:bottom w:val="nil"/>
              <w:right w:val="nil"/>
            </w:tcBorders>
            <w:shd w:val="clear" w:color="auto" w:fill="auto"/>
            <w:noWrap/>
            <w:vAlign w:val="center"/>
            <w:hideMark/>
          </w:tcPr>
          <w:p w14:paraId="2B313656"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v tom: </w:t>
            </w:r>
          </w:p>
        </w:tc>
        <w:tc>
          <w:tcPr>
            <w:tcW w:w="673" w:type="pct"/>
            <w:tcBorders>
              <w:top w:val="nil"/>
              <w:left w:val="nil"/>
              <w:bottom w:val="nil"/>
              <w:right w:val="nil"/>
            </w:tcBorders>
            <w:shd w:val="clear" w:color="auto" w:fill="auto"/>
            <w:noWrap/>
            <w:vAlign w:val="bottom"/>
            <w:hideMark/>
          </w:tcPr>
          <w:p w14:paraId="19FE558A" w14:textId="77777777" w:rsidR="004D69BF" w:rsidRPr="00D0395E" w:rsidRDefault="004D69BF" w:rsidP="000240DA">
            <w:pPr>
              <w:spacing w:after="0" w:line="240" w:lineRule="auto"/>
              <w:jc w:val="left"/>
              <w:rPr>
                <w:rFonts w:eastAsia="Times New Roman" w:cs="Times New Roman"/>
                <w:color w:val="000000"/>
                <w:sz w:val="18"/>
                <w:szCs w:val="18"/>
                <w:lang w:eastAsia="sk-SK"/>
              </w:rPr>
            </w:pPr>
          </w:p>
        </w:tc>
        <w:tc>
          <w:tcPr>
            <w:tcW w:w="555" w:type="pct"/>
            <w:tcBorders>
              <w:top w:val="nil"/>
              <w:left w:val="nil"/>
              <w:bottom w:val="nil"/>
              <w:right w:val="nil"/>
            </w:tcBorders>
            <w:shd w:val="clear" w:color="auto" w:fill="auto"/>
            <w:noWrap/>
            <w:vAlign w:val="bottom"/>
            <w:hideMark/>
          </w:tcPr>
          <w:p w14:paraId="4D244FDF" w14:textId="77777777" w:rsidR="004D69BF" w:rsidRPr="00D0395E" w:rsidRDefault="004D69BF" w:rsidP="000240DA">
            <w:pPr>
              <w:spacing w:after="0" w:line="240" w:lineRule="auto"/>
              <w:jc w:val="left"/>
              <w:rPr>
                <w:rFonts w:eastAsia="Times New Roman" w:cs="Times New Roman"/>
                <w:sz w:val="18"/>
                <w:szCs w:val="18"/>
                <w:lang w:eastAsia="sk-SK"/>
              </w:rPr>
            </w:pPr>
          </w:p>
        </w:tc>
        <w:tc>
          <w:tcPr>
            <w:tcW w:w="497" w:type="pct"/>
            <w:tcBorders>
              <w:top w:val="nil"/>
              <w:left w:val="nil"/>
              <w:bottom w:val="nil"/>
              <w:right w:val="nil"/>
            </w:tcBorders>
            <w:shd w:val="clear" w:color="auto" w:fill="auto"/>
            <w:noWrap/>
            <w:vAlign w:val="bottom"/>
            <w:hideMark/>
          </w:tcPr>
          <w:p w14:paraId="0518F575" w14:textId="77777777" w:rsidR="004D69BF" w:rsidRPr="00D0395E" w:rsidRDefault="004D69BF" w:rsidP="000240DA">
            <w:pPr>
              <w:spacing w:after="0" w:line="240" w:lineRule="auto"/>
              <w:jc w:val="left"/>
              <w:rPr>
                <w:rFonts w:eastAsia="Times New Roman" w:cs="Times New Roman"/>
                <w:sz w:val="18"/>
                <w:szCs w:val="18"/>
                <w:lang w:eastAsia="sk-SK"/>
              </w:rPr>
            </w:pPr>
          </w:p>
        </w:tc>
        <w:tc>
          <w:tcPr>
            <w:tcW w:w="497" w:type="pct"/>
            <w:tcBorders>
              <w:top w:val="nil"/>
              <w:left w:val="nil"/>
              <w:bottom w:val="nil"/>
              <w:right w:val="nil"/>
            </w:tcBorders>
            <w:shd w:val="clear" w:color="auto" w:fill="auto"/>
            <w:noWrap/>
            <w:vAlign w:val="bottom"/>
            <w:hideMark/>
          </w:tcPr>
          <w:p w14:paraId="298D3C02" w14:textId="77777777" w:rsidR="004D69BF" w:rsidRPr="00D0395E" w:rsidRDefault="004D69BF" w:rsidP="000240DA">
            <w:pPr>
              <w:spacing w:after="0" w:line="240" w:lineRule="auto"/>
              <w:jc w:val="left"/>
              <w:rPr>
                <w:rFonts w:eastAsia="Times New Roman" w:cs="Times New Roman"/>
                <w:sz w:val="18"/>
                <w:szCs w:val="18"/>
                <w:lang w:eastAsia="sk-SK"/>
              </w:rPr>
            </w:pPr>
          </w:p>
        </w:tc>
        <w:tc>
          <w:tcPr>
            <w:tcW w:w="566" w:type="pct"/>
            <w:tcBorders>
              <w:top w:val="nil"/>
              <w:left w:val="nil"/>
              <w:bottom w:val="nil"/>
              <w:right w:val="nil"/>
            </w:tcBorders>
            <w:shd w:val="clear" w:color="auto" w:fill="auto"/>
            <w:noWrap/>
            <w:vAlign w:val="bottom"/>
            <w:hideMark/>
          </w:tcPr>
          <w:p w14:paraId="2A43DC8A" w14:textId="77777777" w:rsidR="004D69BF" w:rsidRPr="00D0395E" w:rsidRDefault="004D69BF" w:rsidP="000240DA">
            <w:pPr>
              <w:spacing w:after="0" w:line="240" w:lineRule="auto"/>
              <w:jc w:val="left"/>
              <w:rPr>
                <w:rFonts w:eastAsia="Times New Roman" w:cs="Times New Roman"/>
                <w:sz w:val="18"/>
                <w:szCs w:val="18"/>
                <w:lang w:eastAsia="sk-SK"/>
              </w:rPr>
            </w:pPr>
          </w:p>
        </w:tc>
      </w:tr>
      <w:tr w:rsidR="004D69BF" w:rsidRPr="00D0395E" w14:paraId="402CA0ED" w14:textId="77777777" w:rsidTr="003F4BCE">
        <w:trPr>
          <w:trHeight w:val="330"/>
        </w:trPr>
        <w:tc>
          <w:tcPr>
            <w:tcW w:w="2212" w:type="pct"/>
            <w:tcBorders>
              <w:top w:val="nil"/>
              <w:left w:val="nil"/>
              <w:bottom w:val="nil"/>
              <w:right w:val="nil"/>
            </w:tcBorders>
            <w:shd w:val="clear" w:color="auto" w:fill="auto"/>
            <w:noWrap/>
            <w:vAlign w:val="center"/>
            <w:hideMark/>
          </w:tcPr>
          <w:p w14:paraId="599471DE"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odvod z hazardných hier</w:t>
            </w:r>
          </w:p>
        </w:tc>
        <w:tc>
          <w:tcPr>
            <w:tcW w:w="673" w:type="pct"/>
            <w:tcBorders>
              <w:top w:val="nil"/>
              <w:left w:val="nil"/>
              <w:bottom w:val="nil"/>
              <w:right w:val="nil"/>
            </w:tcBorders>
            <w:shd w:val="clear" w:color="auto" w:fill="auto"/>
            <w:noWrap/>
            <w:vAlign w:val="center"/>
            <w:hideMark/>
          </w:tcPr>
          <w:p w14:paraId="2EE124D2"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251 889</w:t>
            </w:r>
          </w:p>
        </w:tc>
        <w:tc>
          <w:tcPr>
            <w:tcW w:w="555" w:type="pct"/>
            <w:tcBorders>
              <w:top w:val="nil"/>
              <w:left w:val="nil"/>
              <w:bottom w:val="nil"/>
              <w:right w:val="nil"/>
            </w:tcBorders>
            <w:shd w:val="clear" w:color="auto" w:fill="auto"/>
            <w:noWrap/>
            <w:vAlign w:val="center"/>
            <w:hideMark/>
          </w:tcPr>
          <w:p w14:paraId="0E4E5798"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301 443</w:t>
            </w:r>
          </w:p>
        </w:tc>
        <w:tc>
          <w:tcPr>
            <w:tcW w:w="497" w:type="pct"/>
            <w:tcBorders>
              <w:top w:val="nil"/>
              <w:left w:val="nil"/>
              <w:bottom w:val="nil"/>
              <w:right w:val="nil"/>
            </w:tcBorders>
            <w:shd w:val="clear" w:color="auto" w:fill="auto"/>
            <w:noWrap/>
            <w:vAlign w:val="center"/>
            <w:hideMark/>
          </w:tcPr>
          <w:p w14:paraId="6E832ABF"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321 467</w:t>
            </w:r>
          </w:p>
        </w:tc>
        <w:tc>
          <w:tcPr>
            <w:tcW w:w="497" w:type="pct"/>
            <w:tcBorders>
              <w:top w:val="nil"/>
              <w:left w:val="nil"/>
              <w:bottom w:val="nil"/>
              <w:right w:val="nil"/>
            </w:tcBorders>
            <w:shd w:val="clear" w:color="auto" w:fill="auto"/>
            <w:noWrap/>
            <w:vAlign w:val="center"/>
            <w:hideMark/>
          </w:tcPr>
          <w:p w14:paraId="390BDAFF"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347 256</w:t>
            </w:r>
          </w:p>
        </w:tc>
        <w:tc>
          <w:tcPr>
            <w:tcW w:w="566" w:type="pct"/>
            <w:tcBorders>
              <w:top w:val="nil"/>
              <w:left w:val="nil"/>
              <w:bottom w:val="nil"/>
              <w:right w:val="nil"/>
            </w:tcBorders>
            <w:shd w:val="clear" w:color="auto" w:fill="auto"/>
            <w:vAlign w:val="center"/>
            <w:hideMark/>
          </w:tcPr>
          <w:p w14:paraId="16DD3AFC"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25 789</w:t>
            </w:r>
          </w:p>
        </w:tc>
      </w:tr>
      <w:tr w:rsidR="004D69BF" w:rsidRPr="00D0395E" w14:paraId="5D68BF5E" w14:textId="77777777" w:rsidTr="003F4BCE">
        <w:trPr>
          <w:trHeight w:val="330"/>
        </w:trPr>
        <w:tc>
          <w:tcPr>
            <w:tcW w:w="2212" w:type="pct"/>
            <w:tcBorders>
              <w:top w:val="nil"/>
              <w:left w:val="nil"/>
              <w:bottom w:val="nil"/>
              <w:right w:val="nil"/>
            </w:tcBorders>
            <w:shd w:val="clear" w:color="auto" w:fill="auto"/>
            <w:noWrap/>
            <w:vAlign w:val="center"/>
            <w:hideMark/>
          </w:tcPr>
          <w:p w14:paraId="0B26739A"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vratky</w:t>
            </w:r>
          </w:p>
        </w:tc>
        <w:tc>
          <w:tcPr>
            <w:tcW w:w="673" w:type="pct"/>
            <w:tcBorders>
              <w:top w:val="nil"/>
              <w:left w:val="nil"/>
              <w:bottom w:val="nil"/>
              <w:right w:val="nil"/>
            </w:tcBorders>
            <w:shd w:val="clear" w:color="auto" w:fill="auto"/>
            <w:noWrap/>
            <w:vAlign w:val="center"/>
            <w:hideMark/>
          </w:tcPr>
          <w:p w14:paraId="5D2D83B4"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17 883</w:t>
            </w:r>
          </w:p>
        </w:tc>
        <w:tc>
          <w:tcPr>
            <w:tcW w:w="555" w:type="pct"/>
            <w:tcBorders>
              <w:top w:val="nil"/>
              <w:left w:val="nil"/>
              <w:bottom w:val="nil"/>
              <w:right w:val="nil"/>
            </w:tcBorders>
            <w:shd w:val="clear" w:color="auto" w:fill="auto"/>
            <w:noWrap/>
            <w:vAlign w:val="center"/>
            <w:hideMark/>
          </w:tcPr>
          <w:p w14:paraId="36228967"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22 670</w:t>
            </w:r>
          </w:p>
        </w:tc>
        <w:tc>
          <w:tcPr>
            <w:tcW w:w="497" w:type="pct"/>
            <w:tcBorders>
              <w:top w:val="nil"/>
              <w:left w:val="nil"/>
              <w:bottom w:val="nil"/>
              <w:right w:val="nil"/>
            </w:tcBorders>
            <w:shd w:val="clear" w:color="auto" w:fill="auto"/>
            <w:noWrap/>
            <w:vAlign w:val="center"/>
            <w:hideMark/>
          </w:tcPr>
          <w:p w14:paraId="65FDF54E"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7 151</w:t>
            </w:r>
          </w:p>
        </w:tc>
        <w:tc>
          <w:tcPr>
            <w:tcW w:w="497" w:type="pct"/>
            <w:tcBorders>
              <w:top w:val="nil"/>
              <w:left w:val="nil"/>
              <w:bottom w:val="nil"/>
              <w:right w:val="nil"/>
            </w:tcBorders>
            <w:shd w:val="clear" w:color="auto" w:fill="auto"/>
            <w:noWrap/>
            <w:vAlign w:val="center"/>
            <w:hideMark/>
          </w:tcPr>
          <w:p w14:paraId="5AB896B6"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140 328</w:t>
            </w:r>
          </w:p>
        </w:tc>
        <w:tc>
          <w:tcPr>
            <w:tcW w:w="566" w:type="pct"/>
            <w:tcBorders>
              <w:top w:val="nil"/>
              <w:left w:val="nil"/>
              <w:bottom w:val="nil"/>
              <w:right w:val="nil"/>
            </w:tcBorders>
            <w:shd w:val="clear" w:color="auto" w:fill="auto"/>
            <w:vAlign w:val="center"/>
            <w:hideMark/>
          </w:tcPr>
          <w:p w14:paraId="767ABB1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133 177</w:t>
            </w:r>
          </w:p>
        </w:tc>
      </w:tr>
      <w:tr w:rsidR="004D69BF" w:rsidRPr="00D0395E" w14:paraId="7BD9C303" w14:textId="77777777" w:rsidTr="003F4BCE">
        <w:trPr>
          <w:trHeight w:val="330"/>
        </w:trPr>
        <w:tc>
          <w:tcPr>
            <w:tcW w:w="2212" w:type="pct"/>
            <w:tcBorders>
              <w:top w:val="nil"/>
              <w:left w:val="nil"/>
              <w:bottom w:val="nil"/>
              <w:right w:val="nil"/>
            </w:tcBorders>
            <w:shd w:val="clear" w:color="auto" w:fill="auto"/>
            <w:noWrap/>
            <w:vAlign w:val="center"/>
            <w:hideMark/>
          </w:tcPr>
          <w:p w14:paraId="16825AC8"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z odvodu </w:t>
            </w:r>
          </w:p>
        </w:tc>
        <w:tc>
          <w:tcPr>
            <w:tcW w:w="673" w:type="pct"/>
            <w:tcBorders>
              <w:top w:val="nil"/>
              <w:left w:val="nil"/>
              <w:bottom w:val="nil"/>
              <w:right w:val="nil"/>
            </w:tcBorders>
            <w:shd w:val="clear" w:color="auto" w:fill="auto"/>
            <w:noWrap/>
            <w:vAlign w:val="center"/>
            <w:hideMark/>
          </w:tcPr>
          <w:p w14:paraId="21E17822"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170 879</w:t>
            </w:r>
          </w:p>
        </w:tc>
        <w:tc>
          <w:tcPr>
            <w:tcW w:w="555" w:type="pct"/>
            <w:tcBorders>
              <w:top w:val="nil"/>
              <w:left w:val="nil"/>
              <w:bottom w:val="nil"/>
              <w:right w:val="nil"/>
            </w:tcBorders>
            <w:shd w:val="clear" w:color="auto" w:fill="auto"/>
            <w:noWrap/>
            <w:vAlign w:val="center"/>
            <w:hideMark/>
          </w:tcPr>
          <w:p w14:paraId="61CA832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76 109</w:t>
            </w:r>
          </w:p>
        </w:tc>
        <w:tc>
          <w:tcPr>
            <w:tcW w:w="497" w:type="pct"/>
            <w:tcBorders>
              <w:top w:val="nil"/>
              <w:left w:val="nil"/>
              <w:bottom w:val="nil"/>
              <w:right w:val="nil"/>
            </w:tcBorders>
            <w:shd w:val="clear" w:color="auto" w:fill="auto"/>
            <w:noWrap/>
            <w:vAlign w:val="center"/>
            <w:hideMark/>
          </w:tcPr>
          <w:p w14:paraId="311617A1"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35 019</w:t>
            </w:r>
          </w:p>
        </w:tc>
        <w:tc>
          <w:tcPr>
            <w:tcW w:w="497" w:type="pct"/>
            <w:tcBorders>
              <w:top w:val="nil"/>
              <w:left w:val="nil"/>
              <w:bottom w:val="nil"/>
              <w:right w:val="nil"/>
            </w:tcBorders>
            <w:shd w:val="clear" w:color="auto" w:fill="auto"/>
            <w:noWrap/>
            <w:vAlign w:val="center"/>
            <w:hideMark/>
          </w:tcPr>
          <w:p w14:paraId="379558A0"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73 077</w:t>
            </w:r>
          </w:p>
        </w:tc>
        <w:tc>
          <w:tcPr>
            <w:tcW w:w="566" w:type="pct"/>
            <w:tcBorders>
              <w:top w:val="nil"/>
              <w:left w:val="nil"/>
              <w:bottom w:val="nil"/>
              <w:right w:val="nil"/>
            </w:tcBorders>
            <w:shd w:val="clear" w:color="auto" w:fill="auto"/>
            <w:vAlign w:val="center"/>
            <w:hideMark/>
          </w:tcPr>
          <w:p w14:paraId="7775C37E"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38 058</w:t>
            </w:r>
          </w:p>
        </w:tc>
      </w:tr>
      <w:tr w:rsidR="004D69BF" w:rsidRPr="00D0395E" w14:paraId="517E2E51" w14:textId="77777777" w:rsidTr="003F4BCE">
        <w:trPr>
          <w:trHeight w:val="330"/>
        </w:trPr>
        <w:tc>
          <w:tcPr>
            <w:tcW w:w="2212" w:type="pct"/>
            <w:tcBorders>
              <w:top w:val="nil"/>
              <w:left w:val="nil"/>
              <w:bottom w:val="nil"/>
              <w:right w:val="nil"/>
            </w:tcBorders>
            <w:shd w:val="clear" w:color="auto" w:fill="auto"/>
            <w:noWrap/>
            <w:vAlign w:val="center"/>
            <w:hideMark/>
          </w:tcPr>
          <w:p w14:paraId="6C1B4F3C"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nezrovnalosti a iné vratky za prostriedky EÚ</w:t>
            </w:r>
          </w:p>
        </w:tc>
        <w:tc>
          <w:tcPr>
            <w:tcW w:w="673" w:type="pct"/>
            <w:tcBorders>
              <w:top w:val="nil"/>
              <w:left w:val="nil"/>
              <w:bottom w:val="nil"/>
              <w:right w:val="nil"/>
            </w:tcBorders>
            <w:shd w:val="clear" w:color="auto" w:fill="auto"/>
            <w:noWrap/>
            <w:vAlign w:val="center"/>
            <w:hideMark/>
          </w:tcPr>
          <w:p w14:paraId="6EBBA874"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76 321</w:t>
            </w:r>
          </w:p>
        </w:tc>
        <w:tc>
          <w:tcPr>
            <w:tcW w:w="555" w:type="pct"/>
            <w:tcBorders>
              <w:top w:val="nil"/>
              <w:left w:val="nil"/>
              <w:bottom w:val="nil"/>
              <w:right w:val="nil"/>
            </w:tcBorders>
            <w:shd w:val="clear" w:color="auto" w:fill="auto"/>
            <w:noWrap/>
            <w:vAlign w:val="center"/>
            <w:hideMark/>
          </w:tcPr>
          <w:p w14:paraId="303A6D7E"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53 093</w:t>
            </w:r>
          </w:p>
        </w:tc>
        <w:tc>
          <w:tcPr>
            <w:tcW w:w="497" w:type="pct"/>
            <w:tcBorders>
              <w:top w:val="nil"/>
              <w:left w:val="nil"/>
              <w:bottom w:val="nil"/>
              <w:right w:val="nil"/>
            </w:tcBorders>
            <w:shd w:val="clear" w:color="auto" w:fill="auto"/>
            <w:noWrap/>
            <w:vAlign w:val="center"/>
            <w:hideMark/>
          </w:tcPr>
          <w:p w14:paraId="4C873E49"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0</w:t>
            </w:r>
          </w:p>
        </w:tc>
        <w:tc>
          <w:tcPr>
            <w:tcW w:w="497" w:type="pct"/>
            <w:tcBorders>
              <w:top w:val="nil"/>
              <w:left w:val="nil"/>
              <w:bottom w:val="nil"/>
              <w:right w:val="nil"/>
            </w:tcBorders>
            <w:shd w:val="clear" w:color="auto" w:fill="auto"/>
            <w:noWrap/>
            <w:vAlign w:val="center"/>
            <w:hideMark/>
          </w:tcPr>
          <w:p w14:paraId="7B6D433E"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54 589</w:t>
            </w:r>
          </w:p>
        </w:tc>
        <w:tc>
          <w:tcPr>
            <w:tcW w:w="566" w:type="pct"/>
            <w:tcBorders>
              <w:top w:val="nil"/>
              <w:left w:val="nil"/>
              <w:bottom w:val="nil"/>
              <w:right w:val="nil"/>
            </w:tcBorders>
            <w:shd w:val="clear" w:color="auto" w:fill="auto"/>
            <w:vAlign w:val="center"/>
            <w:hideMark/>
          </w:tcPr>
          <w:p w14:paraId="29B9A1B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54 589</w:t>
            </w:r>
          </w:p>
        </w:tc>
      </w:tr>
      <w:tr w:rsidR="004D69BF" w:rsidRPr="00D0395E" w14:paraId="5D9BCE90" w14:textId="77777777" w:rsidTr="003F4BCE">
        <w:trPr>
          <w:trHeight w:val="345"/>
        </w:trPr>
        <w:tc>
          <w:tcPr>
            <w:tcW w:w="2212" w:type="pct"/>
            <w:tcBorders>
              <w:top w:val="nil"/>
              <w:left w:val="nil"/>
              <w:bottom w:val="nil"/>
              <w:right w:val="nil"/>
            </w:tcBorders>
            <w:shd w:val="clear" w:color="auto" w:fill="auto"/>
            <w:noWrap/>
            <w:vAlign w:val="center"/>
            <w:hideMark/>
          </w:tcPr>
          <w:p w14:paraId="70C3B9C8"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ostatné príjmy - iné</w:t>
            </w:r>
          </w:p>
        </w:tc>
        <w:tc>
          <w:tcPr>
            <w:tcW w:w="673" w:type="pct"/>
            <w:tcBorders>
              <w:top w:val="nil"/>
              <w:left w:val="nil"/>
              <w:bottom w:val="nil"/>
              <w:right w:val="nil"/>
            </w:tcBorders>
            <w:shd w:val="clear" w:color="auto" w:fill="auto"/>
            <w:noWrap/>
            <w:vAlign w:val="center"/>
            <w:hideMark/>
          </w:tcPr>
          <w:p w14:paraId="1FBB1E20"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177 698</w:t>
            </w:r>
          </w:p>
        </w:tc>
        <w:tc>
          <w:tcPr>
            <w:tcW w:w="555" w:type="pct"/>
            <w:tcBorders>
              <w:top w:val="nil"/>
              <w:left w:val="nil"/>
              <w:bottom w:val="nil"/>
              <w:right w:val="nil"/>
            </w:tcBorders>
            <w:shd w:val="clear" w:color="auto" w:fill="auto"/>
            <w:noWrap/>
            <w:vAlign w:val="center"/>
            <w:hideMark/>
          </w:tcPr>
          <w:p w14:paraId="687F7DD3"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180 236</w:t>
            </w:r>
          </w:p>
        </w:tc>
        <w:tc>
          <w:tcPr>
            <w:tcW w:w="497" w:type="pct"/>
            <w:tcBorders>
              <w:top w:val="nil"/>
              <w:left w:val="nil"/>
              <w:bottom w:val="nil"/>
              <w:right w:val="nil"/>
            </w:tcBorders>
            <w:shd w:val="clear" w:color="auto" w:fill="auto"/>
            <w:noWrap/>
            <w:vAlign w:val="center"/>
            <w:hideMark/>
          </w:tcPr>
          <w:p w14:paraId="7E0AFD70"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121 589</w:t>
            </w:r>
          </w:p>
        </w:tc>
        <w:tc>
          <w:tcPr>
            <w:tcW w:w="497" w:type="pct"/>
            <w:tcBorders>
              <w:top w:val="nil"/>
              <w:left w:val="nil"/>
              <w:bottom w:val="nil"/>
              <w:right w:val="nil"/>
            </w:tcBorders>
            <w:shd w:val="clear" w:color="auto" w:fill="auto"/>
            <w:noWrap/>
            <w:vAlign w:val="center"/>
            <w:hideMark/>
          </w:tcPr>
          <w:p w14:paraId="06A9A036"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161 042</w:t>
            </w:r>
          </w:p>
        </w:tc>
        <w:tc>
          <w:tcPr>
            <w:tcW w:w="566" w:type="pct"/>
            <w:tcBorders>
              <w:top w:val="nil"/>
              <w:left w:val="nil"/>
              <w:bottom w:val="nil"/>
              <w:right w:val="nil"/>
            </w:tcBorders>
            <w:shd w:val="clear" w:color="auto" w:fill="auto"/>
            <w:vAlign w:val="center"/>
            <w:hideMark/>
          </w:tcPr>
          <w:p w14:paraId="3473E819"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39 453</w:t>
            </w:r>
          </w:p>
        </w:tc>
      </w:tr>
      <w:tr w:rsidR="004D69BF" w:rsidRPr="00D0395E" w14:paraId="0E21F69C" w14:textId="77777777" w:rsidTr="003F4BCE">
        <w:trPr>
          <w:trHeight w:val="345"/>
        </w:trPr>
        <w:tc>
          <w:tcPr>
            <w:tcW w:w="2212" w:type="pct"/>
            <w:tcBorders>
              <w:top w:val="single" w:sz="8" w:space="0" w:color="auto"/>
              <w:left w:val="nil"/>
              <w:bottom w:val="single" w:sz="8" w:space="0" w:color="auto"/>
              <w:right w:val="nil"/>
            </w:tcBorders>
            <w:shd w:val="clear" w:color="auto" w:fill="auto"/>
            <w:noWrap/>
            <w:vAlign w:val="center"/>
            <w:hideMark/>
          </w:tcPr>
          <w:p w14:paraId="3D504F17" w14:textId="77777777" w:rsidR="004D69BF" w:rsidRPr="00D0395E" w:rsidRDefault="004D69BF" w:rsidP="000240DA">
            <w:pPr>
              <w:spacing w:after="0" w:line="240" w:lineRule="auto"/>
              <w:jc w:val="lef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Spolu</w:t>
            </w:r>
          </w:p>
        </w:tc>
        <w:tc>
          <w:tcPr>
            <w:tcW w:w="673" w:type="pct"/>
            <w:tcBorders>
              <w:top w:val="single" w:sz="8" w:space="0" w:color="auto"/>
              <w:left w:val="nil"/>
              <w:bottom w:val="single" w:sz="8" w:space="0" w:color="auto"/>
              <w:right w:val="nil"/>
            </w:tcBorders>
            <w:shd w:val="clear" w:color="auto" w:fill="auto"/>
            <w:noWrap/>
            <w:vAlign w:val="center"/>
            <w:hideMark/>
          </w:tcPr>
          <w:p w14:paraId="4CF70AF5"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1 285 089</w:t>
            </w:r>
          </w:p>
        </w:tc>
        <w:tc>
          <w:tcPr>
            <w:tcW w:w="555" w:type="pct"/>
            <w:tcBorders>
              <w:top w:val="single" w:sz="8" w:space="0" w:color="auto"/>
              <w:left w:val="nil"/>
              <w:bottom w:val="single" w:sz="8" w:space="0" w:color="auto"/>
              <w:right w:val="nil"/>
            </w:tcBorders>
            <w:shd w:val="clear" w:color="auto" w:fill="auto"/>
            <w:noWrap/>
            <w:vAlign w:val="center"/>
            <w:hideMark/>
          </w:tcPr>
          <w:p w14:paraId="3C6C3E88"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1 738 326</w:t>
            </w:r>
          </w:p>
        </w:tc>
        <w:tc>
          <w:tcPr>
            <w:tcW w:w="497" w:type="pct"/>
            <w:tcBorders>
              <w:top w:val="single" w:sz="8" w:space="0" w:color="auto"/>
              <w:left w:val="nil"/>
              <w:bottom w:val="single" w:sz="8" w:space="0" w:color="auto"/>
              <w:right w:val="nil"/>
            </w:tcBorders>
            <w:shd w:val="clear" w:color="auto" w:fill="auto"/>
            <w:noWrap/>
            <w:vAlign w:val="center"/>
            <w:hideMark/>
          </w:tcPr>
          <w:p w14:paraId="1FA7C5F8" w14:textId="3D6A8741"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1 549 56</w:t>
            </w:r>
            <w:r w:rsidR="00F66E39">
              <w:rPr>
                <w:rFonts w:eastAsia="Times New Roman" w:cs="Times New Roman"/>
                <w:b/>
                <w:bCs/>
                <w:color w:val="000000"/>
                <w:sz w:val="18"/>
                <w:szCs w:val="18"/>
                <w:lang w:eastAsia="sk-SK"/>
              </w:rPr>
              <w:t>6</w:t>
            </w:r>
          </w:p>
        </w:tc>
        <w:tc>
          <w:tcPr>
            <w:tcW w:w="497" w:type="pct"/>
            <w:tcBorders>
              <w:top w:val="single" w:sz="8" w:space="0" w:color="auto"/>
              <w:left w:val="nil"/>
              <w:bottom w:val="single" w:sz="8" w:space="0" w:color="auto"/>
              <w:right w:val="nil"/>
            </w:tcBorders>
            <w:shd w:val="clear" w:color="auto" w:fill="auto"/>
            <w:noWrap/>
            <w:vAlign w:val="center"/>
            <w:hideMark/>
          </w:tcPr>
          <w:p w14:paraId="0262776A"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1 909 893</w:t>
            </w:r>
          </w:p>
        </w:tc>
        <w:tc>
          <w:tcPr>
            <w:tcW w:w="566" w:type="pct"/>
            <w:tcBorders>
              <w:top w:val="single" w:sz="8" w:space="0" w:color="auto"/>
              <w:left w:val="nil"/>
              <w:bottom w:val="single" w:sz="8" w:space="0" w:color="auto"/>
              <w:right w:val="nil"/>
            </w:tcBorders>
            <w:shd w:val="clear" w:color="auto" w:fill="auto"/>
            <w:noWrap/>
            <w:vAlign w:val="center"/>
            <w:hideMark/>
          </w:tcPr>
          <w:p w14:paraId="168BD974" w14:textId="1AD9567C"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360 32</w:t>
            </w:r>
            <w:r w:rsidR="00F66E39">
              <w:rPr>
                <w:rFonts w:eastAsia="Times New Roman" w:cs="Times New Roman"/>
                <w:b/>
                <w:bCs/>
                <w:color w:val="000000"/>
                <w:sz w:val="18"/>
                <w:szCs w:val="18"/>
                <w:lang w:eastAsia="sk-SK"/>
              </w:rPr>
              <w:t>7</w:t>
            </w:r>
          </w:p>
        </w:tc>
      </w:tr>
    </w:tbl>
    <w:p w14:paraId="70B19FEF" w14:textId="3AC57F8B" w:rsidR="008E1EF3" w:rsidRDefault="008E1EF3" w:rsidP="008E1EF3">
      <w:pPr>
        <w:spacing w:after="0" w:line="240" w:lineRule="auto"/>
        <w:rPr>
          <w:rFonts w:eastAsia="Times New Roman"/>
          <w:color w:val="000000"/>
          <w:sz w:val="18"/>
          <w:szCs w:val="18"/>
          <w:lang w:eastAsia="sk-SK"/>
        </w:rPr>
      </w:pPr>
      <w:r>
        <w:rPr>
          <w:rFonts w:eastAsia="Times New Roman"/>
          <w:color w:val="000000"/>
          <w:sz w:val="18"/>
          <w:szCs w:val="18"/>
          <w:lang w:eastAsia="sk-SK"/>
        </w:rPr>
        <w:t xml:space="preserve">*V rámci ostatných poplatkov sú rozpočtované aj súdne poplatky, ktoré sa za skutočnosť </w:t>
      </w:r>
      <w:r>
        <w:rPr>
          <w:rFonts w:eastAsia="Times New Roman"/>
          <w:color w:val="000000"/>
          <w:sz w:val="18"/>
          <w:szCs w:val="18"/>
          <w:lang w:eastAsia="sk-SK"/>
        </w:rPr>
        <w:tab/>
      </w:r>
      <w:r>
        <w:rPr>
          <w:rFonts w:eastAsia="Times New Roman"/>
          <w:color w:val="000000"/>
          <w:sz w:val="18"/>
          <w:szCs w:val="18"/>
          <w:lang w:eastAsia="sk-SK"/>
        </w:rPr>
        <w:tab/>
      </w:r>
      <w:r>
        <w:rPr>
          <w:rFonts w:eastAsia="Times New Roman"/>
          <w:color w:val="000000"/>
          <w:sz w:val="18"/>
          <w:szCs w:val="18"/>
          <w:lang w:eastAsia="sk-SK"/>
        </w:rPr>
        <w:tab/>
        <w:t>Zdroj: MF SR</w:t>
      </w:r>
    </w:p>
    <w:p w14:paraId="1BEFA935" w14:textId="1DDADF34" w:rsidR="008E1EF3" w:rsidRDefault="008E1EF3" w:rsidP="008E1EF3">
      <w:pPr>
        <w:spacing w:line="240" w:lineRule="auto"/>
        <w:rPr>
          <w:b/>
          <w:color w:val="000000" w:themeColor="text1"/>
          <w:sz w:val="24"/>
          <w:szCs w:val="24"/>
        </w:rPr>
      </w:pPr>
      <w:r>
        <w:rPr>
          <w:rFonts w:eastAsia="Times New Roman"/>
          <w:color w:val="000000"/>
          <w:sz w:val="18"/>
          <w:szCs w:val="18"/>
          <w:lang w:eastAsia="sk-SK"/>
        </w:rPr>
        <w:t>vykazujú na samostatnej ekonomickej podpoložke.</w:t>
      </w:r>
    </w:p>
    <w:p w14:paraId="1ACDB17C" w14:textId="049AFC6B" w:rsidR="004D69BF" w:rsidRDefault="004D69BF" w:rsidP="004D69BF">
      <w:pPr>
        <w:spacing w:line="240" w:lineRule="auto"/>
        <w:rPr>
          <w:color w:val="000000" w:themeColor="text1"/>
          <w:sz w:val="24"/>
          <w:szCs w:val="24"/>
        </w:rPr>
      </w:pPr>
      <w:r w:rsidRPr="0041550E">
        <w:rPr>
          <w:b/>
          <w:color w:val="000000" w:themeColor="text1"/>
          <w:sz w:val="24"/>
          <w:szCs w:val="24"/>
        </w:rPr>
        <w:t>Príjmy z podnikania a z vlastníctva majetku</w:t>
      </w:r>
      <w:r w:rsidRPr="0041550E">
        <w:rPr>
          <w:color w:val="000000" w:themeColor="text1"/>
          <w:sz w:val="24"/>
          <w:szCs w:val="24"/>
        </w:rPr>
        <w:t xml:space="preserve"> </w:t>
      </w:r>
      <w:r>
        <w:rPr>
          <w:color w:val="000000" w:themeColor="text1"/>
          <w:sz w:val="24"/>
          <w:szCs w:val="24"/>
        </w:rPr>
        <w:t>boli svojou výškou jednou z</w:t>
      </w:r>
      <w:r w:rsidRPr="0041550E">
        <w:rPr>
          <w:color w:val="000000" w:themeColor="text1"/>
          <w:sz w:val="24"/>
          <w:szCs w:val="24"/>
        </w:rPr>
        <w:t xml:space="preserve"> najdôležitejš</w:t>
      </w:r>
      <w:r>
        <w:rPr>
          <w:color w:val="000000" w:themeColor="text1"/>
          <w:sz w:val="24"/>
          <w:szCs w:val="24"/>
        </w:rPr>
        <w:t>ích</w:t>
      </w:r>
      <w:r w:rsidRPr="0041550E">
        <w:rPr>
          <w:color w:val="000000" w:themeColor="text1"/>
          <w:sz w:val="24"/>
          <w:szCs w:val="24"/>
        </w:rPr>
        <w:t xml:space="preserve"> čas</w:t>
      </w:r>
      <w:r>
        <w:rPr>
          <w:color w:val="000000" w:themeColor="text1"/>
          <w:sz w:val="24"/>
          <w:szCs w:val="24"/>
        </w:rPr>
        <w:t>tí</w:t>
      </w:r>
      <w:r w:rsidRPr="0041550E">
        <w:rPr>
          <w:color w:val="000000" w:themeColor="text1"/>
          <w:sz w:val="24"/>
          <w:szCs w:val="24"/>
        </w:rPr>
        <w:t xml:space="preserve"> nedaňových príjmov. Z tejto sumy najpodstatnejšiu časť tvori</w:t>
      </w:r>
      <w:r>
        <w:rPr>
          <w:color w:val="000000" w:themeColor="text1"/>
          <w:sz w:val="24"/>
          <w:szCs w:val="24"/>
        </w:rPr>
        <w:t>li</w:t>
      </w:r>
      <w:r w:rsidRPr="0041550E">
        <w:rPr>
          <w:color w:val="000000" w:themeColor="text1"/>
          <w:sz w:val="24"/>
          <w:szCs w:val="24"/>
        </w:rPr>
        <w:t xml:space="preserve"> </w:t>
      </w:r>
      <w:r w:rsidRPr="0041550E">
        <w:rPr>
          <w:b/>
          <w:i/>
          <w:color w:val="000000" w:themeColor="text1"/>
          <w:sz w:val="24"/>
          <w:szCs w:val="24"/>
        </w:rPr>
        <w:t>prijaté dividendy</w:t>
      </w:r>
      <w:r w:rsidRPr="0041550E">
        <w:rPr>
          <w:b/>
          <w:color w:val="000000" w:themeColor="text1"/>
          <w:sz w:val="24"/>
          <w:szCs w:val="24"/>
        </w:rPr>
        <w:t xml:space="preserve"> </w:t>
      </w:r>
      <w:r w:rsidRPr="0041550E">
        <w:rPr>
          <w:color w:val="000000" w:themeColor="text1"/>
          <w:sz w:val="24"/>
          <w:szCs w:val="24"/>
        </w:rPr>
        <w:t xml:space="preserve">z obchodných spoločností štátu, ktoré vyinkasovali vybrané </w:t>
      </w:r>
      <w:r w:rsidRPr="00433CC6">
        <w:rPr>
          <w:bCs/>
          <w:color w:val="000000" w:themeColor="text1"/>
          <w:sz w:val="24"/>
          <w:szCs w:val="24"/>
        </w:rPr>
        <w:t>kapitoly</w:t>
      </w:r>
      <w:r w:rsidRPr="0041550E">
        <w:rPr>
          <w:color w:val="000000" w:themeColor="text1"/>
          <w:sz w:val="24"/>
          <w:szCs w:val="24"/>
        </w:rPr>
        <w:t xml:space="preserve"> štátneho rozpočtu reálne </w:t>
      </w:r>
      <w:r w:rsidRPr="0041550E">
        <w:rPr>
          <w:color w:val="000000" w:themeColor="text1"/>
          <w:sz w:val="24"/>
          <w:szCs w:val="24"/>
        </w:rPr>
        <w:lastRenderedPageBreak/>
        <w:t>v roku 202</w:t>
      </w:r>
      <w:r>
        <w:rPr>
          <w:color w:val="000000" w:themeColor="text1"/>
          <w:sz w:val="24"/>
          <w:szCs w:val="24"/>
        </w:rPr>
        <w:t>4,</w:t>
      </w:r>
      <w:r w:rsidRPr="0041550E">
        <w:rPr>
          <w:color w:val="000000" w:themeColor="text1"/>
          <w:sz w:val="24"/>
          <w:szCs w:val="24"/>
        </w:rPr>
        <w:t xml:space="preserve"> najčastejšie rozdelené z výsledk</w:t>
      </w:r>
      <w:r>
        <w:rPr>
          <w:color w:val="000000" w:themeColor="text1"/>
          <w:sz w:val="24"/>
          <w:szCs w:val="24"/>
        </w:rPr>
        <w:t>u</w:t>
      </w:r>
      <w:r w:rsidRPr="0041550E">
        <w:rPr>
          <w:color w:val="000000" w:themeColor="text1"/>
          <w:sz w:val="24"/>
          <w:szCs w:val="24"/>
        </w:rPr>
        <w:t xml:space="preserve"> hospodárenia </w:t>
      </w:r>
      <w:r>
        <w:rPr>
          <w:color w:val="000000" w:themeColor="text1"/>
          <w:sz w:val="24"/>
          <w:szCs w:val="24"/>
        </w:rPr>
        <w:t>dosiahnutého v</w:t>
      </w:r>
      <w:r w:rsidR="000F7ABA">
        <w:rPr>
          <w:color w:val="000000" w:themeColor="text1"/>
          <w:sz w:val="24"/>
          <w:szCs w:val="24"/>
        </w:rPr>
        <w:t> </w:t>
      </w:r>
      <w:r w:rsidRPr="0041550E">
        <w:rPr>
          <w:color w:val="000000" w:themeColor="text1"/>
          <w:sz w:val="24"/>
          <w:szCs w:val="24"/>
        </w:rPr>
        <w:t>predchádzajúc</w:t>
      </w:r>
      <w:r>
        <w:rPr>
          <w:color w:val="000000" w:themeColor="text1"/>
          <w:sz w:val="24"/>
          <w:szCs w:val="24"/>
        </w:rPr>
        <w:t xml:space="preserve">om </w:t>
      </w:r>
      <w:r w:rsidRPr="0041550E">
        <w:rPr>
          <w:color w:val="000000" w:themeColor="text1"/>
          <w:sz w:val="24"/>
          <w:szCs w:val="24"/>
        </w:rPr>
        <w:t>obdob</w:t>
      </w:r>
      <w:r>
        <w:rPr>
          <w:color w:val="000000" w:themeColor="text1"/>
          <w:sz w:val="24"/>
          <w:szCs w:val="24"/>
        </w:rPr>
        <w:t>í</w:t>
      </w:r>
      <w:r w:rsidRPr="0041550E">
        <w:rPr>
          <w:color w:val="000000" w:themeColor="text1"/>
          <w:sz w:val="24"/>
          <w:szCs w:val="24"/>
        </w:rPr>
        <w:t>.</w:t>
      </w:r>
    </w:p>
    <w:p w14:paraId="601EA0D6" w14:textId="0871B092" w:rsidR="004D69BF" w:rsidRDefault="004D69BF" w:rsidP="004D69BF">
      <w:pPr>
        <w:spacing w:before="120" w:line="240" w:lineRule="auto"/>
        <w:rPr>
          <w:rFonts w:cs="Times New Roman"/>
          <w:color w:val="000000" w:themeColor="text1"/>
          <w:sz w:val="24"/>
          <w:szCs w:val="24"/>
        </w:rPr>
      </w:pPr>
      <w:r w:rsidRPr="009A0573">
        <w:rPr>
          <w:color w:val="000000" w:themeColor="text1"/>
          <w:sz w:val="24"/>
          <w:szCs w:val="24"/>
        </w:rPr>
        <w:t>Celková výška prijatých dividend v roku 202</w:t>
      </w:r>
      <w:r>
        <w:rPr>
          <w:color w:val="000000" w:themeColor="text1"/>
          <w:sz w:val="24"/>
          <w:szCs w:val="24"/>
        </w:rPr>
        <w:t>4</w:t>
      </w:r>
      <w:r w:rsidRPr="009A0573">
        <w:rPr>
          <w:color w:val="000000" w:themeColor="text1"/>
          <w:sz w:val="24"/>
          <w:szCs w:val="24"/>
        </w:rPr>
        <w:t xml:space="preserve"> bola v sume </w:t>
      </w:r>
      <w:r>
        <w:rPr>
          <w:color w:val="000000" w:themeColor="text1"/>
          <w:sz w:val="24"/>
          <w:szCs w:val="24"/>
        </w:rPr>
        <w:t>448</w:t>
      </w:r>
      <w:r w:rsidR="00317CDC">
        <w:rPr>
          <w:color w:val="000000" w:themeColor="text1"/>
          <w:sz w:val="24"/>
          <w:szCs w:val="24"/>
        </w:rPr>
        <w:t> </w:t>
      </w:r>
      <w:r>
        <w:rPr>
          <w:color w:val="000000" w:themeColor="text1"/>
          <w:sz w:val="24"/>
          <w:szCs w:val="24"/>
        </w:rPr>
        <w:t>272</w:t>
      </w:r>
      <w:r w:rsidR="00317CDC">
        <w:rPr>
          <w:color w:val="000000" w:themeColor="text1"/>
          <w:sz w:val="24"/>
          <w:szCs w:val="24"/>
        </w:rPr>
        <w:t> </w:t>
      </w:r>
      <w:r>
        <w:rPr>
          <w:color w:val="000000" w:themeColor="text1"/>
          <w:sz w:val="24"/>
          <w:szCs w:val="24"/>
        </w:rPr>
        <w:t>tis.</w:t>
      </w:r>
      <w:r w:rsidR="00317CDC">
        <w:rPr>
          <w:color w:val="000000" w:themeColor="text1"/>
          <w:sz w:val="24"/>
          <w:szCs w:val="24"/>
        </w:rPr>
        <w:t> </w:t>
      </w:r>
      <w:r>
        <w:rPr>
          <w:color w:val="000000" w:themeColor="text1"/>
          <w:sz w:val="24"/>
          <w:szCs w:val="24"/>
        </w:rPr>
        <w:t>eur</w:t>
      </w:r>
      <w:r w:rsidR="00317CDC">
        <w:rPr>
          <w:color w:val="000000" w:themeColor="text1"/>
          <w:sz w:val="24"/>
          <w:szCs w:val="24"/>
        </w:rPr>
        <w:t>, čo je medziročne viac o 5 910 </w:t>
      </w:r>
      <w:r>
        <w:rPr>
          <w:color w:val="000000" w:themeColor="text1"/>
          <w:sz w:val="24"/>
          <w:szCs w:val="24"/>
        </w:rPr>
        <w:t>tis.</w:t>
      </w:r>
      <w:r w:rsidR="00317CDC">
        <w:rPr>
          <w:color w:val="000000" w:themeColor="text1"/>
          <w:sz w:val="24"/>
          <w:szCs w:val="24"/>
        </w:rPr>
        <w:t> </w:t>
      </w:r>
      <w:r>
        <w:rPr>
          <w:color w:val="000000" w:themeColor="text1"/>
          <w:sz w:val="24"/>
          <w:szCs w:val="24"/>
        </w:rPr>
        <w:t>eur.</w:t>
      </w:r>
      <w:r w:rsidRPr="001F0656">
        <w:rPr>
          <w:color w:val="FF0000"/>
          <w:sz w:val="24"/>
          <w:szCs w:val="24"/>
        </w:rPr>
        <w:t xml:space="preserve"> </w:t>
      </w:r>
      <w:r w:rsidRPr="00FE4277">
        <w:rPr>
          <w:rFonts w:cs="Times New Roman"/>
          <w:color w:val="000000" w:themeColor="text1"/>
          <w:sz w:val="24"/>
          <w:szCs w:val="24"/>
        </w:rPr>
        <w:t xml:space="preserve">Výška skutočne dosiahnutých príjmov z dividend </w:t>
      </w:r>
      <w:r>
        <w:rPr>
          <w:rFonts w:cs="Times New Roman"/>
          <w:color w:val="000000" w:themeColor="text1"/>
          <w:sz w:val="24"/>
          <w:szCs w:val="24"/>
        </w:rPr>
        <w:t>závisí</w:t>
      </w:r>
      <w:r w:rsidRPr="00FE4277">
        <w:rPr>
          <w:rFonts w:cs="Times New Roman"/>
          <w:color w:val="000000" w:themeColor="text1"/>
          <w:sz w:val="24"/>
          <w:szCs w:val="24"/>
        </w:rPr>
        <w:t xml:space="preserve"> od dosiahnutého hospodárskeho výsl</w:t>
      </w:r>
      <w:r>
        <w:rPr>
          <w:rFonts w:cs="Times New Roman"/>
          <w:color w:val="000000" w:themeColor="text1"/>
          <w:sz w:val="24"/>
          <w:szCs w:val="24"/>
        </w:rPr>
        <w:t>edku za predchádzajúci rok a od </w:t>
      </w:r>
      <w:r w:rsidRPr="00FE4277">
        <w:rPr>
          <w:rFonts w:cs="Times New Roman"/>
          <w:color w:val="000000" w:themeColor="text1"/>
          <w:sz w:val="24"/>
          <w:szCs w:val="24"/>
        </w:rPr>
        <w:t xml:space="preserve">rozhodnutia </w:t>
      </w:r>
      <w:r>
        <w:rPr>
          <w:rFonts w:cs="Times New Roman"/>
          <w:color w:val="000000" w:themeColor="text1"/>
          <w:sz w:val="24"/>
          <w:szCs w:val="24"/>
        </w:rPr>
        <w:t xml:space="preserve">akcionárov rozdeliť tento výsledok na dividendy. </w:t>
      </w:r>
      <w:r w:rsidRPr="00751572">
        <w:rPr>
          <w:color w:val="000000" w:themeColor="text1"/>
          <w:sz w:val="24"/>
          <w:szCs w:val="24"/>
        </w:rPr>
        <w:t xml:space="preserve">Oproti schválenému rozpočtu </w:t>
      </w:r>
      <w:r>
        <w:rPr>
          <w:color w:val="000000" w:themeColor="text1"/>
          <w:sz w:val="24"/>
          <w:szCs w:val="24"/>
        </w:rPr>
        <w:t xml:space="preserve">ide o </w:t>
      </w:r>
      <w:r w:rsidRPr="00751572">
        <w:rPr>
          <w:color w:val="000000" w:themeColor="text1"/>
          <w:sz w:val="24"/>
          <w:szCs w:val="24"/>
        </w:rPr>
        <w:t xml:space="preserve">nárast príjmov v sume </w:t>
      </w:r>
      <w:r>
        <w:rPr>
          <w:color w:val="000000" w:themeColor="text1"/>
          <w:sz w:val="24"/>
          <w:szCs w:val="24"/>
        </w:rPr>
        <w:t>11</w:t>
      </w:r>
      <w:r w:rsidR="00317CDC">
        <w:rPr>
          <w:color w:val="000000" w:themeColor="text1"/>
          <w:sz w:val="24"/>
          <w:szCs w:val="24"/>
        </w:rPr>
        <w:t> </w:t>
      </w:r>
      <w:r>
        <w:rPr>
          <w:color w:val="000000" w:themeColor="text1"/>
          <w:sz w:val="24"/>
          <w:szCs w:val="24"/>
        </w:rPr>
        <w:t>794</w:t>
      </w:r>
      <w:r w:rsidR="00317CDC">
        <w:rPr>
          <w:color w:val="000000" w:themeColor="text1"/>
          <w:sz w:val="24"/>
          <w:szCs w:val="24"/>
        </w:rPr>
        <w:t> </w:t>
      </w:r>
      <w:r>
        <w:rPr>
          <w:color w:val="000000" w:themeColor="text1"/>
          <w:sz w:val="24"/>
          <w:szCs w:val="24"/>
        </w:rPr>
        <w:t>ti</w:t>
      </w:r>
      <w:r w:rsidRPr="00751572">
        <w:rPr>
          <w:color w:val="000000" w:themeColor="text1"/>
          <w:sz w:val="24"/>
          <w:szCs w:val="24"/>
        </w:rPr>
        <w:t>s. eur</w:t>
      </w:r>
      <w:r>
        <w:rPr>
          <w:color w:val="000000" w:themeColor="text1"/>
          <w:sz w:val="24"/>
          <w:szCs w:val="24"/>
        </w:rPr>
        <w:t>, pričom najvyššie pozitívne prekročenie vyplatených dividend zaznamenala Slovenská elektrizačná prenosová sústava,</w:t>
      </w:r>
      <w:r w:rsidR="00317CDC">
        <w:rPr>
          <w:color w:val="000000" w:themeColor="text1"/>
          <w:sz w:val="24"/>
          <w:szCs w:val="24"/>
        </w:rPr>
        <w:t> </w:t>
      </w:r>
      <w:r>
        <w:rPr>
          <w:color w:val="000000" w:themeColor="text1"/>
          <w:sz w:val="24"/>
          <w:szCs w:val="24"/>
        </w:rPr>
        <w:t>a.</w:t>
      </w:r>
      <w:r w:rsidR="00317CDC">
        <w:rPr>
          <w:color w:val="000000" w:themeColor="text1"/>
          <w:sz w:val="24"/>
          <w:szCs w:val="24"/>
        </w:rPr>
        <w:t> </w:t>
      </w:r>
      <w:r>
        <w:rPr>
          <w:color w:val="000000" w:themeColor="text1"/>
          <w:sz w:val="24"/>
          <w:szCs w:val="24"/>
        </w:rPr>
        <w:t>s. (z dôvodu lepšieho ako plánovaného výsledku hospodárenia)</w:t>
      </w:r>
      <w:r w:rsidRPr="00751572">
        <w:rPr>
          <w:color w:val="000000" w:themeColor="text1"/>
          <w:sz w:val="24"/>
          <w:szCs w:val="24"/>
        </w:rPr>
        <w:t xml:space="preserve"> </w:t>
      </w:r>
      <w:r w:rsidR="00317CDC">
        <w:rPr>
          <w:color w:val="000000" w:themeColor="text1"/>
          <w:sz w:val="24"/>
          <w:szCs w:val="24"/>
        </w:rPr>
        <w:t>a Stredoslovenská energetika, </w:t>
      </w:r>
      <w:r>
        <w:rPr>
          <w:color w:val="000000" w:themeColor="text1"/>
          <w:sz w:val="24"/>
          <w:szCs w:val="24"/>
        </w:rPr>
        <w:t>a.</w:t>
      </w:r>
      <w:r w:rsidR="00317CDC">
        <w:rPr>
          <w:color w:val="000000" w:themeColor="text1"/>
          <w:sz w:val="24"/>
          <w:szCs w:val="24"/>
        </w:rPr>
        <w:t> </w:t>
      </w:r>
      <w:r>
        <w:rPr>
          <w:color w:val="000000" w:themeColor="text1"/>
          <w:sz w:val="24"/>
          <w:szCs w:val="24"/>
        </w:rPr>
        <w:t>s.</w:t>
      </w:r>
    </w:p>
    <w:p w14:paraId="725E2286" w14:textId="0F91CE21" w:rsidR="00A1147F" w:rsidRPr="00A1147F" w:rsidRDefault="00A1147F" w:rsidP="00A1147F">
      <w:pPr>
        <w:pStyle w:val="Popis"/>
        <w:keepNext/>
        <w:spacing w:after="120"/>
        <w:rPr>
          <w:rFonts w:eastAsia="Times New Roman" w:cs="Times New Roman"/>
          <w:b/>
          <w:bCs/>
          <w:i w:val="0"/>
          <w:iCs w:val="0"/>
          <w:color w:val="5B9BD5"/>
          <w:sz w:val="20"/>
          <w:szCs w:val="20"/>
          <w:lang w:eastAsia="sk-SK"/>
        </w:rPr>
      </w:pPr>
      <w:bookmarkStart w:id="104" w:name="_Toc196313654"/>
      <w:bookmarkStart w:id="105" w:name="_Toc196389275"/>
      <w:r w:rsidRPr="00A1147F">
        <w:rPr>
          <w:rFonts w:eastAsia="Times New Roman" w:cs="Times New Roman"/>
          <w:b/>
          <w:bCs/>
          <w:i w:val="0"/>
          <w:iCs w:val="0"/>
          <w:color w:val="5B9BD5"/>
          <w:sz w:val="20"/>
          <w:szCs w:val="20"/>
          <w:lang w:eastAsia="sk-SK"/>
        </w:rPr>
        <w:t xml:space="preserve">Tabuľka </w:t>
      </w:r>
      <w:r w:rsidRPr="00A1147F">
        <w:rPr>
          <w:rFonts w:eastAsia="Times New Roman" w:cs="Times New Roman"/>
          <w:b/>
          <w:bCs/>
          <w:i w:val="0"/>
          <w:iCs w:val="0"/>
          <w:color w:val="5B9BD5"/>
          <w:sz w:val="20"/>
          <w:szCs w:val="20"/>
          <w:lang w:eastAsia="sk-SK"/>
        </w:rPr>
        <w:fldChar w:fldCharType="begin"/>
      </w:r>
      <w:r w:rsidRPr="00A1147F">
        <w:rPr>
          <w:rFonts w:eastAsia="Times New Roman" w:cs="Times New Roman"/>
          <w:b/>
          <w:bCs/>
          <w:i w:val="0"/>
          <w:iCs w:val="0"/>
          <w:color w:val="5B9BD5"/>
          <w:sz w:val="20"/>
          <w:szCs w:val="20"/>
          <w:lang w:eastAsia="sk-SK"/>
        </w:rPr>
        <w:instrText xml:space="preserve"> SEQ Tabuľka \* ARABIC </w:instrText>
      </w:r>
      <w:r w:rsidRPr="00A1147F">
        <w:rPr>
          <w:rFonts w:eastAsia="Times New Roman" w:cs="Times New Roman"/>
          <w:b/>
          <w:bCs/>
          <w:i w:val="0"/>
          <w:iCs w:val="0"/>
          <w:color w:val="5B9BD5"/>
          <w:sz w:val="20"/>
          <w:szCs w:val="20"/>
          <w:lang w:eastAsia="sk-SK"/>
        </w:rPr>
        <w:fldChar w:fldCharType="separate"/>
      </w:r>
      <w:r w:rsidR="00C64CBA">
        <w:rPr>
          <w:rFonts w:eastAsia="Times New Roman" w:cs="Times New Roman"/>
          <w:b/>
          <w:bCs/>
          <w:i w:val="0"/>
          <w:iCs w:val="0"/>
          <w:noProof/>
          <w:color w:val="5B9BD5"/>
          <w:sz w:val="20"/>
          <w:szCs w:val="20"/>
          <w:lang w:eastAsia="sk-SK"/>
        </w:rPr>
        <w:t>28</w:t>
      </w:r>
      <w:r w:rsidRPr="00A1147F">
        <w:rPr>
          <w:rFonts w:eastAsia="Times New Roman" w:cs="Times New Roman"/>
          <w:b/>
          <w:bCs/>
          <w:i w:val="0"/>
          <w:iCs w:val="0"/>
          <w:color w:val="5B9BD5"/>
          <w:sz w:val="20"/>
          <w:szCs w:val="20"/>
          <w:lang w:eastAsia="sk-SK"/>
        </w:rPr>
        <w:fldChar w:fldCharType="end"/>
      </w:r>
      <w:r w:rsidRPr="00A1147F">
        <w:rPr>
          <w:rFonts w:eastAsia="Times New Roman" w:cs="Times New Roman"/>
          <w:b/>
          <w:bCs/>
          <w:i w:val="0"/>
          <w:iCs w:val="0"/>
          <w:color w:val="5B9BD5"/>
          <w:sz w:val="20"/>
          <w:szCs w:val="20"/>
          <w:lang w:eastAsia="sk-SK"/>
        </w:rPr>
        <w:t xml:space="preserve"> - Hotovostné dividendy podľa kapitol ŠR</w:t>
      </w:r>
      <w:bookmarkEnd w:id="104"/>
      <w:bookmarkEnd w:id="105"/>
    </w:p>
    <w:tbl>
      <w:tblPr>
        <w:tblW w:w="5000" w:type="pct"/>
        <w:tblCellMar>
          <w:left w:w="70" w:type="dxa"/>
          <w:right w:w="70" w:type="dxa"/>
        </w:tblCellMar>
        <w:tblLook w:val="04A0" w:firstRow="1" w:lastRow="0" w:firstColumn="1" w:lastColumn="0" w:noHBand="0" w:noVBand="1"/>
      </w:tblPr>
      <w:tblGrid>
        <w:gridCol w:w="4186"/>
        <w:gridCol w:w="977"/>
        <w:gridCol w:w="977"/>
        <w:gridCol w:w="977"/>
        <w:gridCol w:w="836"/>
        <w:gridCol w:w="977"/>
      </w:tblGrid>
      <w:tr w:rsidR="004D69BF" w:rsidRPr="00D0395E" w14:paraId="4F20D0B6" w14:textId="77777777" w:rsidTr="003F4BCE">
        <w:trPr>
          <w:trHeight w:val="330"/>
          <w:tblHeader/>
        </w:trPr>
        <w:tc>
          <w:tcPr>
            <w:tcW w:w="2344" w:type="pct"/>
            <w:tcBorders>
              <w:top w:val="single" w:sz="4" w:space="0" w:color="auto"/>
              <w:left w:val="nil"/>
              <w:bottom w:val="nil"/>
              <w:right w:val="nil"/>
            </w:tcBorders>
            <w:shd w:val="clear" w:color="auto" w:fill="auto"/>
            <w:vAlign w:val="center"/>
            <w:hideMark/>
          </w:tcPr>
          <w:p w14:paraId="2BD5CACA" w14:textId="77777777" w:rsidR="004D69BF" w:rsidRPr="00D0395E" w:rsidRDefault="004D69BF" w:rsidP="000240DA">
            <w:pPr>
              <w:spacing w:after="0" w:line="240" w:lineRule="auto"/>
              <w:jc w:val="lef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v tis. eur</w:t>
            </w:r>
          </w:p>
        </w:tc>
        <w:tc>
          <w:tcPr>
            <w:tcW w:w="547" w:type="pct"/>
            <w:tcBorders>
              <w:top w:val="single" w:sz="4" w:space="0" w:color="auto"/>
              <w:left w:val="nil"/>
              <w:bottom w:val="nil"/>
              <w:right w:val="nil"/>
            </w:tcBorders>
            <w:shd w:val="clear" w:color="auto" w:fill="auto"/>
            <w:vAlign w:val="center"/>
            <w:hideMark/>
          </w:tcPr>
          <w:p w14:paraId="43D1693F"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2022 S</w:t>
            </w:r>
          </w:p>
        </w:tc>
        <w:tc>
          <w:tcPr>
            <w:tcW w:w="547" w:type="pct"/>
            <w:tcBorders>
              <w:top w:val="single" w:sz="4" w:space="0" w:color="auto"/>
              <w:left w:val="nil"/>
              <w:bottom w:val="nil"/>
              <w:right w:val="nil"/>
            </w:tcBorders>
            <w:shd w:val="clear" w:color="auto" w:fill="auto"/>
            <w:vAlign w:val="center"/>
            <w:hideMark/>
          </w:tcPr>
          <w:p w14:paraId="53BF62C3"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2023 S</w:t>
            </w:r>
          </w:p>
        </w:tc>
        <w:tc>
          <w:tcPr>
            <w:tcW w:w="547" w:type="pct"/>
            <w:tcBorders>
              <w:top w:val="single" w:sz="4" w:space="0" w:color="auto"/>
              <w:left w:val="nil"/>
              <w:bottom w:val="nil"/>
              <w:right w:val="nil"/>
            </w:tcBorders>
            <w:shd w:val="clear" w:color="auto" w:fill="auto"/>
            <w:vAlign w:val="center"/>
            <w:hideMark/>
          </w:tcPr>
          <w:p w14:paraId="703CBA9D"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2024 R</w:t>
            </w:r>
          </w:p>
        </w:tc>
        <w:tc>
          <w:tcPr>
            <w:tcW w:w="468" w:type="pct"/>
            <w:tcBorders>
              <w:top w:val="single" w:sz="4" w:space="0" w:color="auto"/>
              <w:left w:val="nil"/>
              <w:bottom w:val="nil"/>
              <w:right w:val="nil"/>
            </w:tcBorders>
            <w:shd w:val="clear" w:color="auto" w:fill="auto"/>
            <w:vAlign w:val="center"/>
            <w:hideMark/>
          </w:tcPr>
          <w:p w14:paraId="64D008D4"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2024 S</w:t>
            </w:r>
          </w:p>
        </w:tc>
        <w:tc>
          <w:tcPr>
            <w:tcW w:w="547" w:type="pct"/>
            <w:tcBorders>
              <w:top w:val="single" w:sz="4" w:space="0" w:color="auto"/>
              <w:left w:val="nil"/>
              <w:bottom w:val="nil"/>
              <w:right w:val="nil"/>
            </w:tcBorders>
            <w:shd w:val="clear" w:color="auto" w:fill="auto"/>
            <w:vAlign w:val="center"/>
            <w:hideMark/>
          </w:tcPr>
          <w:p w14:paraId="1BEF8728"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 xml:space="preserve">Rozdiel </w:t>
            </w:r>
          </w:p>
        </w:tc>
      </w:tr>
      <w:tr w:rsidR="004D69BF" w:rsidRPr="00D0395E" w14:paraId="655A438C" w14:textId="77777777" w:rsidTr="003F4BCE">
        <w:trPr>
          <w:trHeight w:val="345"/>
          <w:tblHeader/>
        </w:trPr>
        <w:tc>
          <w:tcPr>
            <w:tcW w:w="2344" w:type="pct"/>
            <w:tcBorders>
              <w:top w:val="nil"/>
              <w:left w:val="nil"/>
              <w:bottom w:val="single" w:sz="4" w:space="0" w:color="auto"/>
              <w:right w:val="nil"/>
            </w:tcBorders>
            <w:shd w:val="clear" w:color="auto" w:fill="auto"/>
            <w:vAlign w:val="center"/>
            <w:hideMark/>
          </w:tcPr>
          <w:p w14:paraId="38F3C563" w14:textId="77777777" w:rsidR="004D69BF" w:rsidRPr="00D0395E" w:rsidRDefault="004D69BF" w:rsidP="000240DA">
            <w:pPr>
              <w:spacing w:after="0" w:line="240" w:lineRule="auto"/>
              <w:jc w:val="left"/>
              <w:rPr>
                <w:rFonts w:eastAsia="Times New Roman" w:cs="Times New Roman"/>
                <w:b/>
                <w:bCs/>
                <w:color w:val="FFFFFF"/>
                <w:sz w:val="18"/>
                <w:szCs w:val="18"/>
                <w:lang w:eastAsia="sk-SK"/>
              </w:rPr>
            </w:pPr>
            <w:r w:rsidRPr="00D0395E">
              <w:rPr>
                <w:rFonts w:eastAsia="Times New Roman" w:cs="Times New Roman"/>
                <w:b/>
                <w:bCs/>
                <w:color w:val="FFFFFF"/>
                <w:sz w:val="18"/>
                <w:szCs w:val="18"/>
                <w:lang w:eastAsia="sk-SK"/>
              </w:rPr>
              <w:t> </w:t>
            </w:r>
          </w:p>
        </w:tc>
        <w:tc>
          <w:tcPr>
            <w:tcW w:w="547" w:type="pct"/>
            <w:tcBorders>
              <w:top w:val="nil"/>
              <w:left w:val="nil"/>
              <w:bottom w:val="single" w:sz="4" w:space="0" w:color="auto"/>
              <w:right w:val="nil"/>
            </w:tcBorders>
            <w:shd w:val="clear" w:color="auto" w:fill="auto"/>
            <w:vAlign w:val="center"/>
            <w:hideMark/>
          </w:tcPr>
          <w:p w14:paraId="7AE836AF"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w:t>
            </w:r>
          </w:p>
        </w:tc>
        <w:tc>
          <w:tcPr>
            <w:tcW w:w="547" w:type="pct"/>
            <w:tcBorders>
              <w:top w:val="nil"/>
              <w:left w:val="nil"/>
              <w:bottom w:val="single" w:sz="4" w:space="0" w:color="auto"/>
              <w:right w:val="nil"/>
            </w:tcBorders>
            <w:shd w:val="clear" w:color="auto" w:fill="auto"/>
            <w:vAlign w:val="center"/>
            <w:hideMark/>
          </w:tcPr>
          <w:p w14:paraId="3986E1F8"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w:t>
            </w:r>
          </w:p>
        </w:tc>
        <w:tc>
          <w:tcPr>
            <w:tcW w:w="547" w:type="pct"/>
            <w:tcBorders>
              <w:top w:val="nil"/>
              <w:left w:val="nil"/>
              <w:bottom w:val="single" w:sz="4" w:space="0" w:color="auto"/>
              <w:right w:val="nil"/>
            </w:tcBorders>
            <w:shd w:val="clear" w:color="auto" w:fill="auto"/>
            <w:vAlign w:val="center"/>
            <w:hideMark/>
          </w:tcPr>
          <w:p w14:paraId="0697AD75"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w:t>
            </w:r>
          </w:p>
        </w:tc>
        <w:tc>
          <w:tcPr>
            <w:tcW w:w="468" w:type="pct"/>
            <w:tcBorders>
              <w:top w:val="nil"/>
              <w:left w:val="nil"/>
              <w:bottom w:val="single" w:sz="4" w:space="0" w:color="auto"/>
              <w:right w:val="nil"/>
            </w:tcBorders>
            <w:shd w:val="clear" w:color="auto" w:fill="auto"/>
            <w:vAlign w:val="center"/>
            <w:hideMark/>
          </w:tcPr>
          <w:p w14:paraId="03E60420"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4</w:t>
            </w:r>
          </w:p>
        </w:tc>
        <w:tc>
          <w:tcPr>
            <w:tcW w:w="547" w:type="pct"/>
            <w:tcBorders>
              <w:top w:val="nil"/>
              <w:left w:val="nil"/>
              <w:bottom w:val="single" w:sz="4" w:space="0" w:color="auto"/>
              <w:right w:val="nil"/>
            </w:tcBorders>
            <w:shd w:val="clear" w:color="auto" w:fill="auto"/>
            <w:vAlign w:val="center"/>
            <w:hideMark/>
          </w:tcPr>
          <w:p w14:paraId="2A38EFF5"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5=4-3</w:t>
            </w:r>
          </w:p>
        </w:tc>
      </w:tr>
      <w:tr w:rsidR="004D69BF" w:rsidRPr="00D0395E" w14:paraId="33C5E445" w14:textId="77777777" w:rsidTr="003F4BCE">
        <w:trPr>
          <w:trHeight w:val="330"/>
        </w:trPr>
        <w:tc>
          <w:tcPr>
            <w:tcW w:w="2344" w:type="pct"/>
            <w:tcBorders>
              <w:top w:val="single" w:sz="4" w:space="0" w:color="auto"/>
              <w:left w:val="nil"/>
              <w:bottom w:val="nil"/>
              <w:right w:val="nil"/>
            </w:tcBorders>
            <w:shd w:val="clear" w:color="auto" w:fill="auto"/>
            <w:noWrap/>
            <w:vAlign w:val="center"/>
            <w:hideMark/>
          </w:tcPr>
          <w:p w14:paraId="52DE3EE1" w14:textId="3F5608CF" w:rsidR="004D69BF" w:rsidRPr="00D0395E" w:rsidRDefault="004D69BF" w:rsidP="000240DA">
            <w:pPr>
              <w:spacing w:after="0" w:line="240" w:lineRule="auto"/>
              <w:jc w:val="lef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Ministerstvo zahr.</w:t>
            </w:r>
            <w:r w:rsidR="00A1147F" w:rsidRPr="00D0395E">
              <w:rPr>
                <w:rFonts w:eastAsia="Times New Roman" w:cs="Times New Roman"/>
                <w:b/>
                <w:bCs/>
                <w:color w:val="000000"/>
                <w:sz w:val="18"/>
                <w:szCs w:val="18"/>
                <w:lang w:eastAsia="sk-SK"/>
              </w:rPr>
              <w:t> </w:t>
            </w:r>
            <w:r w:rsidRPr="00D0395E">
              <w:rPr>
                <w:rFonts w:eastAsia="Times New Roman" w:cs="Times New Roman"/>
                <w:b/>
                <w:bCs/>
                <w:color w:val="000000"/>
                <w:sz w:val="18"/>
                <w:szCs w:val="18"/>
                <w:lang w:eastAsia="sk-SK"/>
              </w:rPr>
              <w:t>vecí a európ. záležitostí SR</w:t>
            </w:r>
          </w:p>
        </w:tc>
        <w:tc>
          <w:tcPr>
            <w:tcW w:w="547" w:type="pct"/>
            <w:tcBorders>
              <w:top w:val="single" w:sz="4" w:space="0" w:color="auto"/>
              <w:left w:val="nil"/>
              <w:bottom w:val="nil"/>
              <w:right w:val="nil"/>
            </w:tcBorders>
            <w:shd w:val="clear" w:color="auto" w:fill="auto"/>
            <w:noWrap/>
            <w:vAlign w:val="center"/>
            <w:hideMark/>
          </w:tcPr>
          <w:p w14:paraId="331F2298"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240</w:t>
            </w:r>
          </w:p>
        </w:tc>
        <w:tc>
          <w:tcPr>
            <w:tcW w:w="547" w:type="pct"/>
            <w:tcBorders>
              <w:top w:val="single" w:sz="4" w:space="0" w:color="auto"/>
              <w:left w:val="nil"/>
              <w:bottom w:val="nil"/>
              <w:right w:val="nil"/>
            </w:tcBorders>
            <w:shd w:val="clear" w:color="auto" w:fill="auto"/>
            <w:noWrap/>
            <w:vAlign w:val="center"/>
            <w:hideMark/>
          </w:tcPr>
          <w:p w14:paraId="4C7EE76D"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260</w:t>
            </w:r>
          </w:p>
        </w:tc>
        <w:tc>
          <w:tcPr>
            <w:tcW w:w="547" w:type="pct"/>
            <w:tcBorders>
              <w:top w:val="single" w:sz="4" w:space="0" w:color="auto"/>
              <w:left w:val="nil"/>
              <w:bottom w:val="nil"/>
              <w:right w:val="nil"/>
            </w:tcBorders>
            <w:shd w:val="clear" w:color="auto" w:fill="auto"/>
            <w:noWrap/>
            <w:vAlign w:val="center"/>
            <w:hideMark/>
          </w:tcPr>
          <w:p w14:paraId="3B812201"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260</w:t>
            </w:r>
          </w:p>
        </w:tc>
        <w:tc>
          <w:tcPr>
            <w:tcW w:w="468" w:type="pct"/>
            <w:tcBorders>
              <w:top w:val="single" w:sz="4" w:space="0" w:color="auto"/>
              <w:left w:val="nil"/>
              <w:bottom w:val="nil"/>
              <w:right w:val="nil"/>
            </w:tcBorders>
            <w:shd w:val="clear" w:color="auto" w:fill="auto"/>
            <w:noWrap/>
            <w:vAlign w:val="center"/>
            <w:hideMark/>
          </w:tcPr>
          <w:p w14:paraId="64025F4C"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260</w:t>
            </w:r>
          </w:p>
        </w:tc>
        <w:tc>
          <w:tcPr>
            <w:tcW w:w="547" w:type="pct"/>
            <w:tcBorders>
              <w:top w:val="single" w:sz="4" w:space="0" w:color="auto"/>
              <w:left w:val="nil"/>
              <w:bottom w:val="nil"/>
              <w:right w:val="nil"/>
            </w:tcBorders>
            <w:shd w:val="clear" w:color="auto" w:fill="auto"/>
            <w:vAlign w:val="center"/>
            <w:hideMark/>
          </w:tcPr>
          <w:p w14:paraId="4A0EC5C5"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0</w:t>
            </w:r>
          </w:p>
        </w:tc>
      </w:tr>
      <w:tr w:rsidR="004D69BF" w:rsidRPr="00D0395E" w14:paraId="78B7FA48" w14:textId="77777777" w:rsidTr="003F4BCE">
        <w:trPr>
          <w:trHeight w:val="330"/>
        </w:trPr>
        <w:tc>
          <w:tcPr>
            <w:tcW w:w="2344" w:type="pct"/>
            <w:tcBorders>
              <w:top w:val="nil"/>
              <w:left w:val="nil"/>
              <w:bottom w:val="nil"/>
              <w:right w:val="nil"/>
            </w:tcBorders>
            <w:shd w:val="clear" w:color="auto" w:fill="auto"/>
            <w:noWrap/>
            <w:vAlign w:val="center"/>
            <w:hideMark/>
          </w:tcPr>
          <w:p w14:paraId="49D2EC67" w14:textId="671FE78F"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Správa služieb diplomatického zboru, a.</w:t>
            </w:r>
            <w:r w:rsidR="004E03FC" w:rsidRPr="00D0395E">
              <w:rPr>
                <w:rFonts w:eastAsia="Times New Roman" w:cs="Times New Roman"/>
                <w:color w:val="000000"/>
                <w:sz w:val="18"/>
                <w:szCs w:val="18"/>
                <w:lang w:eastAsia="sk-SK"/>
              </w:rPr>
              <w:t> </w:t>
            </w:r>
            <w:r w:rsidRPr="00D0395E">
              <w:rPr>
                <w:rFonts w:eastAsia="Times New Roman" w:cs="Times New Roman"/>
                <w:color w:val="000000"/>
                <w:sz w:val="18"/>
                <w:szCs w:val="18"/>
                <w:lang w:eastAsia="sk-SK"/>
              </w:rPr>
              <w:t>s.</w:t>
            </w:r>
          </w:p>
        </w:tc>
        <w:tc>
          <w:tcPr>
            <w:tcW w:w="547" w:type="pct"/>
            <w:tcBorders>
              <w:top w:val="nil"/>
              <w:left w:val="nil"/>
              <w:bottom w:val="nil"/>
              <w:right w:val="nil"/>
            </w:tcBorders>
            <w:shd w:val="clear" w:color="auto" w:fill="auto"/>
            <w:noWrap/>
            <w:vAlign w:val="center"/>
            <w:hideMark/>
          </w:tcPr>
          <w:p w14:paraId="3BC4143E"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240</w:t>
            </w:r>
          </w:p>
        </w:tc>
        <w:tc>
          <w:tcPr>
            <w:tcW w:w="547" w:type="pct"/>
            <w:tcBorders>
              <w:top w:val="nil"/>
              <w:left w:val="nil"/>
              <w:bottom w:val="nil"/>
              <w:right w:val="nil"/>
            </w:tcBorders>
            <w:shd w:val="clear" w:color="auto" w:fill="auto"/>
            <w:noWrap/>
            <w:vAlign w:val="center"/>
            <w:hideMark/>
          </w:tcPr>
          <w:p w14:paraId="6C496CC8"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260</w:t>
            </w:r>
          </w:p>
        </w:tc>
        <w:tc>
          <w:tcPr>
            <w:tcW w:w="547" w:type="pct"/>
            <w:tcBorders>
              <w:top w:val="nil"/>
              <w:left w:val="nil"/>
              <w:bottom w:val="nil"/>
              <w:right w:val="nil"/>
            </w:tcBorders>
            <w:shd w:val="clear" w:color="auto" w:fill="auto"/>
            <w:noWrap/>
            <w:vAlign w:val="center"/>
            <w:hideMark/>
          </w:tcPr>
          <w:p w14:paraId="57DF21D3"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260</w:t>
            </w:r>
          </w:p>
        </w:tc>
        <w:tc>
          <w:tcPr>
            <w:tcW w:w="468" w:type="pct"/>
            <w:tcBorders>
              <w:top w:val="nil"/>
              <w:left w:val="nil"/>
              <w:bottom w:val="nil"/>
              <w:right w:val="nil"/>
            </w:tcBorders>
            <w:shd w:val="clear" w:color="auto" w:fill="auto"/>
            <w:noWrap/>
            <w:vAlign w:val="center"/>
            <w:hideMark/>
          </w:tcPr>
          <w:p w14:paraId="26218E8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260</w:t>
            </w:r>
          </w:p>
        </w:tc>
        <w:tc>
          <w:tcPr>
            <w:tcW w:w="547" w:type="pct"/>
            <w:tcBorders>
              <w:top w:val="nil"/>
              <w:left w:val="nil"/>
              <w:bottom w:val="nil"/>
              <w:right w:val="nil"/>
            </w:tcBorders>
            <w:shd w:val="clear" w:color="auto" w:fill="auto"/>
            <w:vAlign w:val="center"/>
            <w:hideMark/>
          </w:tcPr>
          <w:p w14:paraId="7065493F"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0</w:t>
            </w:r>
          </w:p>
        </w:tc>
      </w:tr>
      <w:tr w:rsidR="004D69BF" w:rsidRPr="00D0395E" w14:paraId="5DA7B6F0" w14:textId="77777777" w:rsidTr="003F4BCE">
        <w:trPr>
          <w:trHeight w:val="330"/>
        </w:trPr>
        <w:tc>
          <w:tcPr>
            <w:tcW w:w="2344" w:type="pct"/>
            <w:tcBorders>
              <w:top w:val="nil"/>
              <w:left w:val="nil"/>
              <w:bottom w:val="nil"/>
              <w:right w:val="nil"/>
            </w:tcBorders>
            <w:shd w:val="clear" w:color="auto" w:fill="auto"/>
            <w:noWrap/>
            <w:vAlign w:val="center"/>
            <w:hideMark/>
          </w:tcPr>
          <w:p w14:paraId="45099ADC" w14:textId="77777777" w:rsidR="004D69BF" w:rsidRPr="00D0395E" w:rsidRDefault="004D69BF" w:rsidP="000240DA">
            <w:pPr>
              <w:spacing w:after="0" w:line="240" w:lineRule="auto"/>
              <w:jc w:val="lef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Ministerstvo financií SR</w:t>
            </w:r>
          </w:p>
        </w:tc>
        <w:tc>
          <w:tcPr>
            <w:tcW w:w="547" w:type="pct"/>
            <w:tcBorders>
              <w:top w:val="nil"/>
              <w:left w:val="nil"/>
              <w:bottom w:val="nil"/>
              <w:right w:val="nil"/>
            </w:tcBorders>
            <w:shd w:val="clear" w:color="auto" w:fill="auto"/>
            <w:noWrap/>
            <w:vAlign w:val="center"/>
            <w:hideMark/>
          </w:tcPr>
          <w:p w14:paraId="1C86C9C2"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7 000</w:t>
            </w:r>
          </w:p>
        </w:tc>
        <w:tc>
          <w:tcPr>
            <w:tcW w:w="547" w:type="pct"/>
            <w:tcBorders>
              <w:top w:val="nil"/>
              <w:left w:val="nil"/>
              <w:bottom w:val="nil"/>
              <w:right w:val="nil"/>
            </w:tcBorders>
            <w:shd w:val="clear" w:color="auto" w:fill="auto"/>
            <w:noWrap/>
            <w:vAlign w:val="center"/>
            <w:hideMark/>
          </w:tcPr>
          <w:p w14:paraId="79F6D72A"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133 012</w:t>
            </w:r>
          </w:p>
        </w:tc>
        <w:tc>
          <w:tcPr>
            <w:tcW w:w="547" w:type="pct"/>
            <w:tcBorders>
              <w:top w:val="nil"/>
              <w:left w:val="nil"/>
              <w:bottom w:val="nil"/>
              <w:right w:val="nil"/>
            </w:tcBorders>
            <w:shd w:val="clear" w:color="auto" w:fill="auto"/>
            <w:noWrap/>
            <w:vAlign w:val="center"/>
            <w:hideMark/>
          </w:tcPr>
          <w:p w14:paraId="0DA94F3C"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61 475</w:t>
            </w:r>
          </w:p>
        </w:tc>
        <w:tc>
          <w:tcPr>
            <w:tcW w:w="468" w:type="pct"/>
            <w:tcBorders>
              <w:top w:val="nil"/>
              <w:left w:val="nil"/>
              <w:bottom w:val="nil"/>
              <w:right w:val="nil"/>
            </w:tcBorders>
            <w:shd w:val="clear" w:color="auto" w:fill="auto"/>
            <w:noWrap/>
            <w:vAlign w:val="center"/>
            <w:hideMark/>
          </w:tcPr>
          <w:p w14:paraId="335176B5"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67 724</w:t>
            </w:r>
          </w:p>
        </w:tc>
        <w:tc>
          <w:tcPr>
            <w:tcW w:w="547" w:type="pct"/>
            <w:tcBorders>
              <w:top w:val="nil"/>
              <w:left w:val="nil"/>
              <w:bottom w:val="nil"/>
              <w:right w:val="nil"/>
            </w:tcBorders>
            <w:shd w:val="clear" w:color="auto" w:fill="auto"/>
            <w:vAlign w:val="center"/>
            <w:hideMark/>
          </w:tcPr>
          <w:p w14:paraId="5743C349"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6 249</w:t>
            </w:r>
          </w:p>
        </w:tc>
      </w:tr>
      <w:tr w:rsidR="004D69BF" w:rsidRPr="00D0395E" w14:paraId="1F24178D" w14:textId="77777777" w:rsidTr="003F4BCE">
        <w:trPr>
          <w:trHeight w:val="330"/>
        </w:trPr>
        <w:tc>
          <w:tcPr>
            <w:tcW w:w="2344" w:type="pct"/>
            <w:tcBorders>
              <w:top w:val="nil"/>
              <w:left w:val="nil"/>
              <w:bottom w:val="nil"/>
              <w:right w:val="nil"/>
            </w:tcBorders>
            <w:shd w:val="clear" w:color="auto" w:fill="auto"/>
            <w:noWrap/>
            <w:vAlign w:val="center"/>
            <w:hideMark/>
          </w:tcPr>
          <w:p w14:paraId="0621F2DA" w14:textId="44ACE7A9"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Tipos, národná lotériová spoločnosť, a.</w:t>
            </w:r>
            <w:r w:rsidR="004E03FC" w:rsidRPr="00D0395E">
              <w:rPr>
                <w:rFonts w:eastAsia="Times New Roman" w:cs="Times New Roman"/>
                <w:color w:val="000000"/>
                <w:sz w:val="18"/>
                <w:szCs w:val="18"/>
                <w:lang w:eastAsia="sk-SK"/>
              </w:rPr>
              <w:t> </w:t>
            </w:r>
            <w:r w:rsidRPr="00D0395E">
              <w:rPr>
                <w:rFonts w:eastAsia="Times New Roman" w:cs="Times New Roman"/>
                <w:color w:val="000000"/>
                <w:sz w:val="18"/>
                <w:szCs w:val="18"/>
                <w:lang w:eastAsia="sk-SK"/>
              </w:rPr>
              <w:t>s. *</w:t>
            </w:r>
          </w:p>
        </w:tc>
        <w:tc>
          <w:tcPr>
            <w:tcW w:w="547" w:type="pct"/>
            <w:tcBorders>
              <w:top w:val="nil"/>
              <w:left w:val="nil"/>
              <w:bottom w:val="nil"/>
              <w:right w:val="nil"/>
            </w:tcBorders>
            <w:shd w:val="clear" w:color="auto" w:fill="auto"/>
            <w:noWrap/>
            <w:vAlign w:val="center"/>
            <w:hideMark/>
          </w:tcPr>
          <w:p w14:paraId="5F6E4A9E"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5 000</w:t>
            </w:r>
          </w:p>
        </w:tc>
        <w:tc>
          <w:tcPr>
            <w:tcW w:w="547" w:type="pct"/>
            <w:tcBorders>
              <w:top w:val="nil"/>
              <w:left w:val="nil"/>
              <w:bottom w:val="nil"/>
              <w:right w:val="nil"/>
            </w:tcBorders>
            <w:shd w:val="clear" w:color="auto" w:fill="auto"/>
            <w:noWrap/>
            <w:vAlign w:val="center"/>
            <w:hideMark/>
          </w:tcPr>
          <w:p w14:paraId="25317CCC"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50 000</w:t>
            </w:r>
          </w:p>
        </w:tc>
        <w:tc>
          <w:tcPr>
            <w:tcW w:w="547" w:type="pct"/>
            <w:tcBorders>
              <w:top w:val="nil"/>
              <w:left w:val="nil"/>
              <w:bottom w:val="nil"/>
              <w:right w:val="nil"/>
            </w:tcBorders>
            <w:shd w:val="clear" w:color="auto" w:fill="auto"/>
            <w:noWrap/>
            <w:vAlign w:val="center"/>
            <w:hideMark/>
          </w:tcPr>
          <w:p w14:paraId="768D5913"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20 000</w:t>
            </w:r>
          </w:p>
        </w:tc>
        <w:tc>
          <w:tcPr>
            <w:tcW w:w="468" w:type="pct"/>
            <w:tcBorders>
              <w:top w:val="nil"/>
              <w:left w:val="nil"/>
              <w:bottom w:val="nil"/>
              <w:right w:val="nil"/>
            </w:tcBorders>
            <w:shd w:val="clear" w:color="auto" w:fill="auto"/>
            <w:noWrap/>
            <w:vAlign w:val="center"/>
            <w:hideMark/>
          </w:tcPr>
          <w:p w14:paraId="279F2C3C"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20 000</w:t>
            </w:r>
          </w:p>
        </w:tc>
        <w:tc>
          <w:tcPr>
            <w:tcW w:w="547" w:type="pct"/>
            <w:tcBorders>
              <w:top w:val="nil"/>
              <w:left w:val="nil"/>
              <w:bottom w:val="nil"/>
              <w:right w:val="nil"/>
            </w:tcBorders>
            <w:shd w:val="clear" w:color="auto" w:fill="auto"/>
            <w:vAlign w:val="center"/>
            <w:hideMark/>
          </w:tcPr>
          <w:p w14:paraId="2070B6DE"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0</w:t>
            </w:r>
          </w:p>
        </w:tc>
      </w:tr>
      <w:tr w:rsidR="004D69BF" w:rsidRPr="00D0395E" w14:paraId="4CE3B392" w14:textId="77777777" w:rsidTr="003F4BCE">
        <w:trPr>
          <w:trHeight w:val="330"/>
        </w:trPr>
        <w:tc>
          <w:tcPr>
            <w:tcW w:w="2344" w:type="pct"/>
            <w:tcBorders>
              <w:top w:val="nil"/>
              <w:left w:val="nil"/>
              <w:bottom w:val="nil"/>
              <w:right w:val="nil"/>
            </w:tcBorders>
            <w:shd w:val="clear" w:color="auto" w:fill="auto"/>
            <w:noWrap/>
            <w:vAlign w:val="center"/>
            <w:hideMark/>
          </w:tcPr>
          <w:p w14:paraId="46A838D7" w14:textId="2339A88F"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Slovenská konsolidačná, a.</w:t>
            </w:r>
            <w:r w:rsidR="004E03FC" w:rsidRPr="00D0395E">
              <w:rPr>
                <w:rFonts w:eastAsia="Times New Roman" w:cs="Times New Roman"/>
                <w:color w:val="000000"/>
                <w:sz w:val="18"/>
                <w:szCs w:val="18"/>
                <w:lang w:eastAsia="sk-SK"/>
              </w:rPr>
              <w:t> </w:t>
            </w:r>
            <w:r w:rsidRPr="00D0395E">
              <w:rPr>
                <w:rFonts w:eastAsia="Times New Roman" w:cs="Times New Roman"/>
                <w:color w:val="000000"/>
                <w:sz w:val="18"/>
                <w:szCs w:val="18"/>
                <w:lang w:eastAsia="sk-SK"/>
              </w:rPr>
              <w:t>s. Bratislava</w:t>
            </w:r>
          </w:p>
        </w:tc>
        <w:tc>
          <w:tcPr>
            <w:tcW w:w="547" w:type="pct"/>
            <w:tcBorders>
              <w:top w:val="nil"/>
              <w:left w:val="nil"/>
              <w:bottom w:val="nil"/>
              <w:right w:val="nil"/>
            </w:tcBorders>
            <w:shd w:val="clear" w:color="auto" w:fill="auto"/>
            <w:noWrap/>
            <w:vAlign w:val="center"/>
            <w:hideMark/>
          </w:tcPr>
          <w:p w14:paraId="3E9967EC"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2 000</w:t>
            </w:r>
          </w:p>
        </w:tc>
        <w:tc>
          <w:tcPr>
            <w:tcW w:w="547" w:type="pct"/>
            <w:tcBorders>
              <w:top w:val="nil"/>
              <w:left w:val="nil"/>
              <w:bottom w:val="nil"/>
              <w:right w:val="nil"/>
            </w:tcBorders>
            <w:shd w:val="clear" w:color="auto" w:fill="auto"/>
            <w:noWrap/>
            <w:vAlign w:val="center"/>
            <w:hideMark/>
          </w:tcPr>
          <w:p w14:paraId="1E349E1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3 274</w:t>
            </w:r>
          </w:p>
        </w:tc>
        <w:tc>
          <w:tcPr>
            <w:tcW w:w="547" w:type="pct"/>
            <w:tcBorders>
              <w:top w:val="nil"/>
              <w:left w:val="nil"/>
              <w:bottom w:val="nil"/>
              <w:right w:val="nil"/>
            </w:tcBorders>
            <w:shd w:val="clear" w:color="auto" w:fill="auto"/>
            <w:noWrap/>
            <w:vAlign w:val="center"/>
            <w:hideMark/>
          </w:tcPr>
          <w:p w14:paraId="63A13AD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325</w:t>
            </w:r>
          </w:p>
        </w:tc>
        <w:tc>
          <w:tcPr>
            <w:tcW w:w="468" w:type="pct"/>
            <w:tcBorders>
              <w:top w:val="nil"/>
              <w:left w:val="nil"/>
              <w:bottom w:val="nil"/>
              <w:right w:val="nil"/>
            </w:tcBorders>
            <w:shd w:val="clear" w:color="auto" w:fill="auto"/>
            <w:noWrap/>
            <w:vAlign w:val="center"/>
            <w:hideMark/>
          </w:tcPr>
          <w:p w14:paraId="3B5AE7D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1 904</w:t>
            </w:r>
          </w:p>
        </w:tc>
        <w:tc>
          <w:tcPr>
            <w:tcW w:w="547" w:type="pct"/>
            <w:tcBorders>
              <w:top w:val="nil"/>
              <w:left w:val="nil"/>
              <w:bottom w:val="nil"/>
              <w:right w:val="nil"/>
            </w:tcBorders>
            <w:shd w:val="clear" w:color="auto" w:fill="auto"/>
            <w:vAlign w:val="center"/>
            <w:hideMark/>
          </w:tcPr>
          <w:p w14:paraId="297D744F"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1 579</w:t>
            </w:r>
          </w:p>
        </w:tc>
      </w:tr>
      <w:tr w:rsidR="004D69BF" w:rsidRPr="00D0395E" w14:paraId="534BBC60" w14:textId="77777777" w:rsidTr="003F4BCE">
        <w:trPr>
          <w:trHeight w:val="330"/>
        </w:trPr>
        <w:tc>
          <w:tcPr>
            <w:tcW w:w="2344" w:type="pct"/>
            <w:tcBorders>
              <w:top w:val="nil"/>
              <w:left w:val="nil"/>
              <w:bottom w:val="nil"/>
              <w:right w:val="nil"/>
            </w:tcBorders>
            <w:shd w:val="clear" w:color="auto" w:fill="auto"/>
            <w:noWrap/>
            <w:vAlign w:val="center"/>
            <w:hideMark/>
          </w:tcPr>
          <w:p w14:paraId="566CBCB5" w14:textId="2C0152B3"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Slovenská elektrizačná prenosová sústava, a.</w:t>
            </w:r>
            <w:r w:rsidR="004E03FC" w:rsidRPr="00D0395E">
              <w:rPr>
                <w:rFonts w:eastAsia="Times New Roman" w:cs="Times New Roman"/>
                <w:color w:val="000000"/>
                <w:sz w:val="18"/>
                <w:szCs w:val="18"/>
                <w:lang w:eastAsia="sk-SK"/>
              </w:rPr>
              <w:t> </w:t>
            </w:r>
            <w:r w:rsidRPr="00D0395E">
              <w:rPr>
                <w:rFonts w:eastAsia="Times New Roman" w:cs="Times New Roman"/>
                <w:color w:val="000000"/>
                <w:sz w:val="18"/>
                <w:szCs w:val="18"/>
                <w:lang w:eastAsia="sk-SK"/>
              </w:rPr>
              <w:t>s.</w:t>
            </w:r>
          </w:p>
        </w:tc>
        <w:tc>
          <w:tcPr>
            <w:tcW w:w="547" w:type="pct"/>
            <w:tcBorders>
              <w:top w:val="nil"/>
              <w:left w:val="nil"/>
              <w:bottom w:val="nil"/>
              <w:right w:val="nil"/>
            </w:tcBorders>
            <w:shd w:val="clear" w:color="auto" w:fill="auto"/>
            <w:noWrap/>
            <w:vAlign w:val="center"/>
            <w:hideMark/>
          </w:tcPr>
          <w:p w14:paraId="24904F56"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0</w:t>
            </w:r>
          </w:p>
        </w:tc>
        <w:tc>
          <w:tcPr>
            <w:tcW w:w="547" w:type="pct"/>
            <w:tcBorders>
              <w:top w:val="nil"/>
              <w:left w:val="nil"/>
              <w:bottom w:val="nil"/>
              <w:right w:val="nil"/>
            </w:tcBorders>
            <w:shd w:val="clear" w:color="auto" w:fill="auto"/>
            <w:noWrap/>
            <w:vAlign w:val="center"/>
            <w:hideMark/>
          </w:tcPr>
          <w:p w14:paraId="4F405914"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79 338</w:t>
            </w:r>
          </w:p>
        </w:tc>
        <w:tc>
          <w:tcPr>
            <w:tcW w:w="547" w:type="pct"/>
            <w:tcBorders>
              <w:top w:val="nil"/>
              <w:left w:val="nil"/>
              <w:bottom w:val="nil"/>
              <w:right w:val="nil"/>
            </w:tcBorders>
            <w:shd w:val="clear" w:color="auto" w:fill="auto"/>
            <w:noWrap/>
            <w:vAlign w:val="center"/>
            <w:hideMark/>
          </w:tcPr>
          <w:p w14:paraId="72A62F00"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35 750</w:t>
            </w:r>
          </w:p>
        </w:tc>
        <w:tc>
          <w:tcPr>
            <w:tcW w:w="468" w:type="pct"/>
            <w:tcBorders>
              <w:top w:val="nil"/>
              <w:left w:val="nil"/>
              <w:bottom w:val="nil"/>
              <w:right w:val="nil"/>
            </w:tcBorders>
            <w:shd w:val="clear" w:color="auto" w:fill="auto"/>
            <w:noWrap/>
            <w:vAlign w:val="center"/>
            <w:hideMark/>
          </w:tcPr>
          <w:p w14:paraId="6C6611ED"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45 820</w:t>
            </w:r>
          </w:p>
        </w:tc>
        <w:tc>
          <w:tcPr>
            <w:tcW w:w="547" w:type="pct"/>
            <w:tcBorders>
              <w:top w:val="nil"/>
              <w:left w:val="nil"/>
              <w:bottom w:val="nil"/>
              <w:right w:val="nil"/>
            </w:tcBorders>
            <w:shd w:val="clear" w:color="auto" w:fill="auto"/>
            <w:vAlign w:val="center"/>
            <w:hideMark/>
          </w:tcPr>
          <w:p w14:paraId="22CAA5E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10 070</w:t>
            </w:r>
          </w:p>
        </w:tc>
      </w:tr>
      <w:tr w:rsidR="004D69BF" w:rsidRPr="00D0395E" w14:paraId="1FC97995" w14:textId="77777777" w:rsidTr="003F4BCE">
        <w:trPr>
          <w:trHeight w:val="330"/>
        </w:trPr>
        <w:tc>
          <w:tcPr>
            <w:tcW w:w="2344" w:type="pct"/>
            <w:tcBorders>
              <w:top w:val="nil"/>
              <w:left w:val="nil"/>
              <w:bottom w:val="nil"/>
              <w:right w:val="nil"/>
            </w:tcBorders>
            <w:shd w:val="clear" w:color="auto" w:fill="auto"/>
            <w:noWrap/>
            <w:vAlign w:val="center"/>
            <w:hideMark/>
          </w:tcPr>
          <w:p w14:paraId="1B869BD3"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Slovenská záručná a rozvojová banka</w:t>
            </w:r>
          </w:p>
        </w:tc>
        <w:tc>
          <w:tcPr>
            <w:tcW w:w="547" w:type="pct"/>
            <w:tcBorders>
              <w:top w:val="nil"/>
              <w:left w:val="nil"/>
              <w:bottom w:val="nil"/>
              <w:right w:val="nil"/>
            </w:tcBorders>
            <w:shd w:val="clear" w:color="auto" w:fill="auto"/>
            <w:noWrap/>
            <w:vAlign w:val="center"/>
            <w:hideMark/>
          </w:tcPr>
          <w:p w14:paraId="1614A52D"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0</w:t>
            </w:r>
          </w:p>
        </w:tc>
        <w:tc>
          <w:tcPr>
            <w:tcW w:w="547" w:type="pct"/>
            <w:tcBorders>
              <w:top w:val="nil"/>
              <w:left w:val="nil"/>
              <w:bottom w:val="nil"/>
              <w:right w:val="nil"/>
            </w:tcBorders>
            <w:shd w:val="clear" w:color="auto" w:fill="auto"/>
            <w:noWrap/>
            <w:vAlign w:val="center"/>
            <w:hideMark/>
          </w:tcPr>
          <w:p w14:paraId="311179AE"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400</w:t>
            </w:r>
          </w:p>
        </w:tc>
        <w:tc>
          <w:tcPr>
            <w:tcW w:w="547" w:type="pct"/>
            <w:tcBorders>
              <w:top w:val="nil"/>
              <w:left w:val="nil"/>
              <w:bottom w:val="nil"/>
              <w:right w:val="nil"/>
            </w:tcBorders>
            <w:shd w:val="clear" w:color="auto" w:fill="auto"/>
            <w:noWrap/>
            <w:vAlign w:val="center"/>
            <w:hideMark/>
          </w:tcPr>
          <w:p w14:paraId="0675C2E2"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5 400</w:t>
            </w:r>
          </w:p>
        </w:tc>
        <w:tc>
          <w:tcPr>
            <w:tcW w:w="468" w:type="pct"/>
            <w:tcBorders>
              <w:top w:val="nil"/>
              <w:left w:val="nil"/>
              <w:bottom w:val="nil"/>
              <w:right w:val="nil"/>
            </w:tcBorders>
            <w:shd w:val="clear" w:color="auto" w:fill="auto"/>
            <w:noWrap/>
            <w:vAlign w:val="center"/>
            <w:hideMark/>
          </w:tcPr>
          <w:p w14:paraId="6EC21431"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0</w:t>
            </w:r>
          </w:p>
        </w:tc>
        <w:tc>
          <w:tcPr>
            <w:tcW w:w="547" w:type="pct"/>
            <w:tcBorders>
              <w:top w:val="nil"/>
              <w:left w:val="nil"/>
              <w:bottom w:val="nil"/>
              <w:right w:val="nil"/>
            </w:tcBorders>
            <w:shd w:val="clear" w:color="auto" w:fill="auto"/>
            <w:vAlign w:val="center"/>
            <w:hideMark/>
          </w:tcPr>
          <w:p w14:paraId="268D8F91"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-5 400</w:t>
            </w:r>
          </w:p>
        </w:tc>
      </w:tr>
      <w:tr w:rsidR="004D69BF" w:rsidRPr="00D0395E" w14:paraId="02E6638A" w14:textId="77777777" w:rsidTr="003F4BCE">
        <w:trPr>
          <w:trHeight w:val="330"/>
        </w:trPr>
        <w:tc>
          <w:tcPr>
            <w:tcW w:w="2344" w:type="pct"/>
            <w:tcBorders>
              <w:top w:val="nil"/>
              <w:left w:val="nil"/>
              <w:bottom w:val="nil"/>
              <w:right w:val="nil"/>
            </w:tcBorders>
            <w:shd w:val="clear" w:color="auto" w:fill="auto"/>
            <w:noWrap/>
            <w:vAlign w:val="center"/>
            <w:hideMark/>
          </w:tcPr>
          <w:p w14:paraId="0F49FCAF" w14:textId="77777777" w:rsidR="004D69BF" w:rsidRPr="00D0395E" w:rsidRDefault="004D69BF" w:rsidP="000240DA">
            <w:pPr>
              <w:spacing w:after="0" w:line="240" w:lineRule="auto"/>
              <w:jc w:val="lef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Ministerstvo hospodárstva SR</w:t>
            </w:r>
          </w:p>
        </w:tc>
        <w:tc>
          <w:tcPr>
            <w:tcW w:w="547" w:type="pct"/>
            <w:tcBorders>
              <w:top w:val="nil"/>
              <w:left w:val="nil"/>
              <w:bottom w:val="nil"/>
              <w:right w:val="nil"/>
            </w:tcBorders>
            <w:shd w:val="clear" w:color="auto" w:fill="auto"/>
            <w:noWrap/>
            <w:vAlign w:val="center"/>
            <w:hideMark/>
          </w:tcPr>
          <w:p w14:paraId="246F77DA"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4 500</w:t>
            </w:r>
          </w:p>
        </w:tc>
        <w:tc>
          <w:tcPr>
            <w:tcW w:w="547" w:type="pct"/>
            <w:tcBorders>
              <w:top w:val="nil"/>
              <w:left w:val="nil"/>
              <w:bottom w:val="nil"/>
              <w:right w:val="nil"/>
            </w:tcBorders>
            <w:shd w:val="clear" w:color="auto" w:fill="auto"/>
            <w:noWrap/>
            <w:vAlign w:val="center"/>
            <w:hideMark/>
          </w:tcPr>
          <w:p w14:paraId="6355BB76"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1 990</w:t>
            </w:r>
          </w:p>
        </w:tc>
        <w:tc>
          <w:tcPr>
            <w:tcW w:w="547" w:type="pct"/>
            <w:tcBorders>
              <w:top w:val="nil"/>
              <w:left w:val="nil"/>
              <w:bottom w:val="nil"/>
              <w:right w:val="nil"/>
            </w:tcBorders>
            <w:shd w:val="clear" w:color="auto" w:fill="auto"/>
            <w:noWrap/>
            <w:vAlign w:val="center"/>
            <w:hideMark/>
          </w:tcPr>
          <w:p w14:paraId="6B0592D4"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403</w:t>
            </w:r>
          </w:p>
        </w:tc>
        <w:tc>
          <w:tcPr>
            <w:tcW w:w="468" w:type="pct"/>
            <w:tcBorders>
              <w:top w:val="nil"/>
              <w:left w:val="nil"/>
              <w:bottom w:val="nil"/>
              <w:right w:val="nil"/>
            </w:tcBorders>
            <w:shd w:val="clear" w:color="auto" w:fill="auto"/>
            <w:noWrap/>
            <w:vAlign w:val="center"/>
            <w:hideMark/>
          </w:tcPr>
          <w:p w14:paraId="4FDEBD9C"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2 574</w:t>
            </w:r>
          </w:p>
        </w:tc>
        <w:tc>
          <w:tcPr>
            <w:tcW w:w="547" w:type="pct"/>
            <w:tcBorders>
              <w:top w:val="nil"/>
              <w:left w:val="nil"/>
              <w:bottom w:val="nil"/>
              <w:right w:val="nil"/>
            </w:tcBorders>
            <w:shd w:val="clear" w:color="auto" w:fill="auto"/>
            <w:vAlign w:val="center"/>
            <w:hideMark/>
          </w:tcPr>
          <w:p w14:paraId="2F1CE769"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2 171</w:t>
            </w:r>
          </w:p>
        </w:tc>
      </w:tr>
      <w:tr w:rsidR="004D69BF" w:rsidRPr="00D0395E" w14:paraId="4A785594" w14:textId="77777777" w:rsidTr="003F4BCE">
        <w:trPr>
          <w:trHeight w:val="330"/>
        </w:trPr>
        <w:tc>
          <w:tcPr>
            <w:tcW w:w="2344" w:type="pct"/>
            <w:tcBorders>
              <w:top w:val="nil"/>
              <w:left w:val="nil"/>
              <w:bottom w:val="nil"/>
              <w:right w:val="nil"/>
            </w:tcBorders>
            <w:shd w:val="clear" w:color="auto" w:fill="auto"/>
            <w:noWrap/>
            <w:vAlign w:val="center"/>
            <w:hideMark/>
          </w:tcPr>
          <w:p w14:paraId="5B85680B" w14:textId="5D4A2050"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JAVYS, a.</w:t>
            </w:r>
            <w:r w:rsidR="004E03FC" w:rsidRPr="00D0395E">
              <w:rPr>
                <w:rFonts w:eastAsia="Times New Roman" w:cs="Times New Roman"/>
                <w:color w:val="000000"/>
                <w:sz w:val="18"/>
                <w:szCs w:val="18"/>
                <w:lang w:eastAsia="sk-SK"/>
              </w:rPr>
              <w:t> </w:t>
            </w:r>
            <w:r w:rsidRPr="00D0395E">
              <w:rPr>
                <w:rFonts w:eastAsia="Times New Roman" w:cs="Times New Roman"/>
                <w:color w:val="000000"/>
                <w:sz w:val="18"/>
                <w:szCs w:val="18"/>
                <w:lang w:eastAsia="sk-SK"/>
              </w:rPr>
              <w:t>s.</w:t>
            </w:r>
          </w:p>
        </w:tc>
        <w:tc>
          <w:tcPr>
            <w:tcW w:w="547" w:type="pct"/>
            <w:tcBorders>
              <w:top w:val="nil"/>
              <w:left w:val="nil"/>
              <w:bottom w:val="nil"/>
              <w:right w:val="nil"/>
            </w:tcBorders>
            <w:shd w:val="clear" w:color="auto" w:fill="auto"/>
            <w:noWrap/>
            <w:vAlign w:val="center"/>
            <w:hideMark/>
          </w:tcPr>
          <w:p w14:paraId="27F54FB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3 000</w:t>
            </w:r>
          </w:p>
        </w:tc>
        <w:tc>
          <w:tcPr>
            <w:tcW w:w="547" w:type="pct"/>
            <w:tcBorders>
              <w:top w:val="nil"/>
              <w:left w:val="nil"/>
              <w:bottom w:val="nil"/>
              <w:right w:val="nil"/>
            </w:tcBorders>
            <w:shd w:val="clear" w:color="auto" w:fill="auto"/>
            <w:noWrap/>
            <w:vAlign w:val="center"/>
            <w:hideMark/>
          </w:tcPr>
          <w:p w14:paraId="08FF97D7"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490</w:t>
            </w:r>
          </w:p>
        </w:tc>
        <w:tc>
          <w:tcPr>
            <w:tcW w:w="547" w:type="pct"/>
            <w:tcBorders>
              <w:top w:val="nil"/>
              <w:left w:val="nil"/>
              <w:bottom w:val="nil"/>
              <w:right w:val="nil"/>
            </w:tcBorders>
            <w:shd w:val="clear" w:color="auto" w:fill="auto"/>
            <w:noWrap/>
            <w:vAlign w:val="center"/>
            <w:hideMark/>
          </w:tcPr>
          <w:p w14:paraId="5070D8B7"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403</w:t>
            </w:r>
          </w:p>
        </w:tc>
        <w:tc>
          <w:tcPr>
            <w:tcW w:w="468" w:type="pct"/>
            <w:tcBorders>
              <w:top w:val="nil"/>
              <w:left w:val="nil"/>
              <w:bottom w:val="nil"/>
              <w:right w:val="nil"/>
            </w:tcBorders>
            <w:shd w:val="clear" w:color="auto" w:fill="auto"/>
            <w:noWrap/>
            <w:vAlign w:val="center"/>
            <w:hideMark/>
          </w:tcPr>
          <w:p w14:paraId="1436B482"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1 074</w:t>
            </w:r>
          </w:p>
        </w:tc>
        <w:tc>
          <w:tcPr>
            <w:tcW w:w="547" w:type="pct"/>
            <w:tcBorders>
              <w:top w:val="nil"/>
              <w:left w:val="nil"/>
              <w:bottom w:val="nil"/>
              <w:right w:val="nil"/>
            </w:tcBorders>
            <w:shd w:val="clear" w:color="auto" w:fill="auto"/>
            <w:vAlign w:val="center"/>
            <w:hideMark/>
          </w:tcPr>
          <w:p w14:paraId="11B79268"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671</w:t>
            </w:r>
          </w:p>
        </w:tc>
      </w:tr>
      <w:tr w:rsidR="004D69BF" w:rsidRPr="00D0395E" w14:paraId="6166506F" w14:textId="77777777" w:rsidTr="003F4BCE">
        <w:trPr>
          <w:trHeight w:val="330"/>
        </w:trPr>
        <w:tc>
          <w:tcPr>
            <w:tcW w:w="2344" w:type="pct"/>
            <w:tcBorders>
              <w:top w:val="nil"/>
              <w:left w:val="nil"/>
              <w:bottom w:val="nil"/>
              <w:right w:val="nil"/>
            </w:tcBorders>
            <w:shd w:val="clear" w:color="auto" w:fill="auto"/>
            <w:noWrap/>
            <w:vAlign w:val="center"/>
            <w:hideMark/>
          </w:tcPr>
          <w:p w14:paraId="0577F8A5" w14:textId="07559083"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Transpetrol, a.</w:t>
            </w:r>
            <w:r w:rsidR="004E03FC" w:rsidRPr="00D0395E">
              <w:rPr>
                <w:rFonts w:eastAsia="Times New Roman" w:cs="Times New Roman"/>
                <w:color w:val="000000"/>
                <w:sz w:val="18"/>
                <w:szCs w:val="18"/>
                <w:lang w:eastAsia="sk-SK"/>
              </w:rPr>
              <w:t> </w:t>
            </w:r>
            <w:r w:rsidRPr="00D0395E">
              <w:rPr>
                <w:rFonts w:eastAsia="Times New Roman" w:cs="Times New Roman"/>
                <w:color w:val="000000"/>
                <w:sz w:val="18"/>
                <w:szCs w:val="18"/>
                <w:lang w:eastAsia="sk-SK"/>
              </w:rPr>
              <w:t>s.</w:t>
            </w:r>
          </w:p>
        </w:tc>
        <w:tc>
          <w:tcPr>
            <w:tcW w:w="547" w:type="pct"/>
            <w:tcBorders>
              <w:top w:val="nil"/>
              <w:left w:val="nil"/>
              <w:bottom w:val="nil"/>
              <w:right w:val="nil"/>
            </w:tcBorders>
            <w:shd w:val="clear" w:color="auto" w:fill="auto"/>
            <w:noWrap/>
            <w:vAlign w:val="center"/>
            <w:hideMark/>
          </w:tcPr>
          <w:p w14:paraId="668A784D"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1 500</w:t>
            </w:r>
          </w:p>
        </w:tc>
        <w:tc>
          <w:tcPr>
            <w:tcW w:w="547" w:type="pct"/>
            <w:tcBorders>
              <w:top w:val="nil"/>
              <w:left w:val="nil"/>
              <w:bottom w:val="nil"/>
              <w:right w:val="nil"/>
            </w:tcBorders>
            <w:shd w:val="clear" w:color="auto" w:fill="auto"/>
            <w:noWrap/>
            <w:vAlign w:val="center"/>
            <w:hideMark/>
          </w:tcPr>
          <w:p w14:paraId="6936222C"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1 500</w:t>
            </w:r>
          </w:p>
        </w:tc>
        <w:tc>
          <w:tcPr>
            <w:tcW w:w="547" w:type="pct"/>
            <w:tcBorders>
              <w:top w:val="nil"/>
              <w:left w:val="nil"/>
              <w:bottom w:val="nil"/>
              <w:right w:val="nil"/>
            </w:tcBorders>
            <w:shd w:val="clear" w:color="auto" w:fill="auto"/>
            <w:noWrap/>
            <w:vAlign w:val="center"/>
            <w:hideMark/>
          </w:tcPr>
          <w:p w14:paraId="5CC9EA0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0</w:t>
            </w:r>
          </w:p>
        </w:tc>
        <w:tc>
          <w:tcPr>
            <w:tcW w:w="468" w:type="pct"/>
            <w:tcBorders>
              <w:top w:val="nil"/>
              <w:left w:val="nil"/>
              <w:bottom w:val="nil"/>
              <w:right w:val="nil"/>
            </w:tcBorders>
            <w:shd w:val="clear" w:color="auto" w:fill="auto"/>
            <w:noWrap/>
            <w:vAlign w:val="center"/>
            <w:hideMark/>
          </w:tcPr>
          <w:p w14:paraId="49239B3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1 500</w:t>
            </w:r>
          </w:p>
        </w:tc>
        <w:tc>
          <w:tcPr>
            <w:tcW w:w="547" w:type="pct"/>
            <w:tcBorders>
              <w:top w:val="nil"/>
              <w:left w:val="nil"/>
              <w:bottom w:val="nil"/>
              <w:right w:val="nil"/>
            </w:tcBorders>
            <w:shd w:val="clear" w:color="auto" w:fill="auto"/>
            <w:vAlign w:val="center"/>
            <w:hideMark/>
          </w:tcPr>
          <w:p w14:paraId="76060E7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1 500</w:t>
            </w:r>
          </w:p>
        </w:tc>
      </w:tr>
      <w:tr w:rsidR="004D69BF" w:rsidRPr="00D0395E" w14:paraId="03130B03" w14:textId="77777777" w:rsidTr="003F4BCE">
        <w:trPr>
          <w:trHeight w:val="330"/>
        </w:trPr>
        <w:tc>
          <w:tcPr>
            <w:tcW w:w="2344" w:type="pct"/>
            <w:tcBorders>
              <w:top w:val="nil"/>
              <w:left w:val="nil"/>
              <w:bottom w:val="nil"/>
              <w:right w:val="nil"/>
            </w:tcBorders>
            <w:shd w:val="clear" w:color="auto" w:fill="auto"/>
            <w:noWrap/>
            <w:vAlign w:val="center"/>
            <w:hideMark/>
          </w:tcPr>
          <w:p w14:paraId="2D28A4BE" w14:textId="77777777" w:rsidR="004D69BF" w:rsidRPr="00D0395E" w:rsidRDefault="004D69BF" w:rsidP="000240DA">
            <w:pPr>
              <w:spacing w:after="0" w:line="240" w:lineRule="auto"/>
              <w:jc w:val="lef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Ministerstvo dopravy SR</w:t>
            </w:r>
          </w:p>
        </w:tc>
        <w:tc>
          <w:tcPr>
            <w:tcW w:w="547" w:type="pct"/>
            <w:tcBorders>
              <w:top w:val="nil"/>
              <w:left w:val="nil"/>
              <w:bottom w:val="nil"/>
              <w:right w:val="nil"/>
            </w:tcBorders>
            <w:shd w:val="clear" w:color="auto" w:fill="auto"/>
            <w:noWrap/>
            <w:vAlign w:val="center"/>
            <w:hideMark/>
          </w:tcPr>
          <w:p w14:paraId="0B44CE84"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0</w:t>
            </w:r>
          </w:p>
        </w:tc>
        <w:tc>
          <w:tcPr>
            <w:tcW w:w="547" w:type="pct"/>
            <w:tcBorders>
              <w:top w:val="nil"/>
              <w:left w:val="nil"/>
              <w:bottom w:val="nil"/>
              <w:right w:val="nil"/>
            </w:tcBorders>
            <w:shd w:val="clear" w:color="auto" w:fill="auto"/>
            <w:noWrap/>
            <w:vAlign w:val="center"/>
            <w:hideMark/>
          </w:tcPr>
          <w:p w14:paraId="69B347FC"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406</w:t>
            </w:r>
          </w:p>
        </w:tc>
        <w:tc>
          <w:tcPr>
            <w:tcW w:w="547" w:type="pct"/>
            <w:tcBorders>
              <w:top w:val="nil"/>
              <w:left w:val="nil"/>
              <w:bottom w:val="nil"/>
              <w:right w:val="nil"/>
            </w:tcBorders>
            <w:shd w:val="clear" w:color="auto" w:fill="auto"/>
            <w:noWrap/>
            <w:vAlign w:val="center"/>
            <w:hideMark/>
          </w:tcPr>
          <w:p w14:paraId="1DDD8AEE"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34</w:t>
            </w:r>
          </w:p>
        </w:tc>
        <w:tc>
          <w:tcPr>
            <w:tcW w:w="468" w:type="pct"/>
            <w:tcBorders>
              <w:top w:val="nil"/>
              <w:left w:val="nil"/>
              <w:bottom w:val="nil"/>
              <w:right w:val="nil"/>
            </w:tcBorders>
            <w:shd w:val="clear" w:color="auto" w:fill="auto"/>
            <w:noWrap/>
            <w:vAlign w:val="center"/>
            <w:hideMark/>
          </w:tcPr>
          <w:p w14:paraId="57279404"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489</w:t>
            </w:r>
          </w:p>
        </w:tc>
        <w:tc>
          <w:tcPr>
            <w:tcW w:w="547" w:type="pct"/>
            <w:tcBorders>
              <w:top w:val="nil"/>
              <w:left w:val="nil"/>
              <w:bottom w:val="nil"/>
              <w:right w:val="nil"/>
            </w:tcBorders>
            <w:shd w:val="clear" w:color="auto" w:fill="auto"/>
            <w:vAlign w:val="center"/>
            <w:hideMark/>
          </w:tcPr>
          <w:p w14:paraId="24664934"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455</w:t>
            </w:r>
          </w:p>
        </w:tc>
      </w:tr>
      <w:tr w:rsidR="004D69BF" w:rsidRPr="00D0395E" w14:paraId="3763469B" w14:textId="77777777" w:rsidTr="003F4BCE">
        <w:trPr>
          <w:trHeight w:val="330"/>
        </w:trPr>
        <w:tc>
          <w:tcPr>
            <w:tcW w:w="2344" w:type="pct"/>
            <w:tcBorders>
              <w:top w:val="nil"/>
              <w:left w:val="nil"/>
              <w:bottom w:val="nil"/>
              <w:right w:val="nil"/>
            </w:tcBorders>
            <w:shd w:val="clear" w:color="auto" w:fill="auto"/>
            <w:vAlign w:val="center"/>
            <w:hideMark/>
          </w:tcPr>
          <w:p w14:paraId="0C9A31A2" w14:textId="2791259C"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Letisko Košice - Airport Košice, a.</w:t>
            </w:r>
            <w:r w:rsidR="004E03FC" w:rsidRPr="00D0395E">
              <w:rPr>
                <w:rFonts w:eastAsia="Times New Roman" w:cs="Times New Roman"/>
                <w:color w:val="000000"/>
                <w:sz w:val="18"/>
                <w:szCs w:val="18"/>
                <w:lang w:eastAsia="sk-SK"/>
              </w:rPr>
              <w:t> </w:t>
            </w:r>
            <w:r w:rsidRPr="00D0395E">
              <w:rPr>
                <w:rFonts w:eastAsia="Times New Roman" w:cs="Times New Roman"/>
                <w:color w:val="000000"/>
                <w:sz w:val="18"/>
                <w:szCs w:val="18"/>
                <w:lang w:eastAsia="sk-SK"/>
              </w:rPr>
              <w:t>s.</w:t>
            </w:r>
          </w:p>
        </w:tc>
        <w:tc>
          <w:tcPr>
            <w:tcW w:w="547" w:type="pct"/>
            <w:tcBorders>
              <w:top w:val="nil"/>
              <w:left w:val="nil"/>
              <w:bottom w:val="nil"/>
              <w:right w:val="nil"/>
            </w:tcBorders>
            <w:shd w:val="clear" w:color="auto" w:fill="auto"/>
            <w:noWrap/>
            <w:vAlign w:val="center"/>
            <w:hideMark/>
          </w:tcPr>
          <w:p w14:paraId="126EC888"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0</w:t>
            </w:r>
          </w:p>
        </w:tc>
        <w:tc>
          <w:tcPr>
            <w:tcW w:w="547" w:type="pct"/>
            <w:tcBorders>
              <w:top w:val="nil"/>
              <w:left w:val="nil"/>
              <w:bottom w:val="nil"/>
              <w:right w:val="nil"/>
            </w:tcBorders>
            <w:shd w:val="clear" w:color="auto" w:fill="auto"/>
            <w:noWrap/>
            <w:vAlign w:val="center"/>
            <w:hideMark/>
          </w:tcPr>
          <w:p w14:paraId="3F0FC81D"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346</w:t>
            </w:r>
          </w:p>
        </w:tc>
        <w:tc>
          <w:tcPr>
            <w:tcW w:w="547" w:type="pct"/>
            <w:tcBorders>
              <w:top w:val="nil"/>
              <w:left w:val="nil"/>
              <w:bottom w:val="nil"/>
              <w:right w:val="nil"/>
            </w:tcBorders>
            <w:shd w:val="clear" w:color="auto" w:fill="auto"/>
            <w:noWrap/>
            <w:vAlign w:val="center"/>
            <w:hideMark/>
          </w:tcPr>
          <w:p w14:paraId="5B7CCC66"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34</w:t>
            </w:r>
          </w:p>
        </w:tc>
        <w:tc>
          <w:tcPr>
            <w:tcW w:w="468" w:type="pct"/>
            <w:tcBorders>
              <w:top w:val="nil"/>
              <w:left w:val="nil"/>
              <w:bottom w:val="nil"/>
              <w:right w:val="nil"/>
            </w:tcBorders>
            <w:shd w:val="clear" w:color="auto" w:fill="auto"/>
            <w:noWrap/>
            <w:vAlign w:val="center"/>
            <w:hideMark/>
          </w:tcPr>
          <w:p w14:paraId="5DBA4EB4"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426</w:t>
            </w:r>
          </w:p>
        </w:tc>
        <w:tc>
          <w:tcPr>
            <w:tcW w:w="547" w:type="pct"/>
            <w:tcBorders>
              <w:top w:val="nil"/>
              <w:left w:val="nil"/>
              <w:bottom w:val="nil"/>
              <w:right w:val="nil"/>
            </w:tcBorders>
            <w:shd w:val="clear" w:color="auto" w:fill="auto"/>
            <w:vAlign w:val="center"/>
            <w:hideMark/>
          </w:tcPr>
          <w:p w14:paraId="4F6A2D93"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392</w:t>
            </w:r>
          </w:p>
        </w:tc>
      </w:tr>
      <w:tr w:rsidR="004D69BF" w:rsidRPr="00D0395E" w14:paraId="5BF60D52" w14:textId="77777777" w:rsidTr="003F4BCE">
        <w:trPr>
          <w:trHeight w:val="330"/>
        </w:trPr>
        <w:tc>
          <w:tcPr>
            <w:tcW w:w="2344" w:type="pct"/>
            <w:tcBorders>
              <w:top w:val="nil"/>
              <w:left w:val="nil"/>
              <w:bottom w:val="nil"/>
              <w:right w:val="nil"/>
            </w:tcBorders>
            <w:shd w:val="clear" w:color="auto" w:fill="auto"/>
            <w:vAlign w:val="center"/>
            <w:hideMark/>
          </w:tcPr>
          <w:p w14:paraId="769878DA" w14:textId="2FEBB7A3"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365.bank, a.</w:t>
            </w:r>
            <w:r w:rsidR="004E03FC" w:rsidRPr="00D0395E">
              <w:rPr>
                <w:rFonts w:eastAsia="Times New Roman" w:cs="Times New Roman"/>
                <w:color w:val="000000"/>
                <w:sz w:val="18"/>
                <w:szCs w:val="18"/>
                <w:lang w:eastAsia="sk-SK"/>
              </w:rPr>
              <w:t> </w:t>
            </w:r>
            <w:r w:rsidRPr="00D0395E">
              <w:rPr>
                <w:rFonts w:eastAsia="Times New Roman" w:cs="Times New Roman"/>
                <w:color w:val="000000"/>
                <w:sz w:val="18"/>
                <w:szCs w:val="18"/>
                <w:lang w:eastAsia="sk-SK"/>
              </w:rPr>
              <w:t>s.</w:t>
            </w:r>
          </w:p>
        </w:tc>
        <w:tc>
          <w:tcPr>
            <w:tcW w:w="547" w:type="pct"/>
            <w:tcBorders>
              <w:top w:val="nil"/>
              <w:left w:val="nil"/>
              <w:bottom w:val="nil"/>
              <w:right w:val="nil"/>
            </w:tcBorders>
            <w:shd w:val="clear" w:color="auto" w:fill="auto"/>
            <w:noWrap/>
            <w:vAlign w:val="center"/>
            <w:hideMark/>
          </w:tcPr>
          <w:p w14:paraId="52614D83"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0</w:t>
            </w:r>
          </w:p>
        </w:tc>
        <w:tc>
          <w:tcPr>
            <w:tcW w:w="547" w:type="pct"/>
            <w:tcBorders>
              <w:top w:val="nil"/>
              <w:left w:val="nil"/>
              <w:bottom w:val="nil"/>
              <w:right w:val="nil"/>
            </w:tcBorders>
            <w:shd w:val="clear" w:color="auto" w:fill="auto"/>
            <w:noWrap/>
            <w:vAlign w:val="center"/>
            <w:hideMark/>
          </w:tcPr>
          <w:p w14:paraId="79E7806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60</w:t>
            </w:r>
          </w:p>
        </w:tc>
        <w:tc>
          <w:tcPr>
            <w:tcW w:w="547" w:type="pct"/>
            <w:tcBorders>
              <w:top w:val="nil"/>
              <w:left w:val="nil"/>
              <w:bottom w:val="nil"/>
              <w:right w:val="nil"/>
            </w:tcBorders>
            <w:shd w:val="clear" w:color="auto" w:fill="auto"/>
            <w:noWrap/>
            <w:vAlign w:val="center"/>
            <w:hideMark/>
          </w:tcPr>
          <w:p w14:paraId="41365CF1"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0</w:t>
            </w:r>
          </w:p>
        </w:tc>
        <w:tc>
          <w:tcPr>
            <w:tcW w:w="468" w:type="pct"/>
            <w:tcBorders>
              <w:top w:val="nil"/>
              <w:left w:val="nil"/>
              <w:bottom w:val="nil"/>
              <w:right w:val="nil"/>
            </w:tcBorders>
            <w:shd w:val="clear" w:color="auto" w:fill="auto"/>
            <w:noWrap/>
            <w:vAlign w:val="center"/>
            <w:hideMark/>
          </w:tcPr>
          <w:p w14:paraId="5D985BE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63</w:t>
            </w:r>
          </w:p>
        </w:tc>
        <w:tc>
          <w:tcPr>
            <w:tcW w:w="547" w:type="pct"/>
            <w:tcBorders>
              <w:top w:val="nil"/>
              <w:left w:val="nil"/>
              <w:bottom w:val="nil"/>
              <w:right w:val="nil"/>
            </w:tcBorders>
            <w:shd w:val="clear" w:color="auto" w:fill="auto"/>
            <w:vAlign w:val="center"/>
            <w:hideMark/>
          </w:tcPr>
          <w:p w14:paraId="390A51EF"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63</w:t>
            </w:r>
          </w:p>
        </w:tc>
      </w:tr>
      <w:tr w:rsidR="004D69BF" w:rsidRPr="00D0395E" w14:paraId="6EFA5D09" w14:textId="77777777" w:rsidTr="003F4BCE">
        <w:trPr>
          <w:trHeight w:val="330"/>
        </w:trPr>
        <w:tc>
          <w:tcPr>
            <w:tcW w:w="2344" w:type="pct"/>
            <w:tcBorders>
              <w:top w:val="nil"/>
              <w:left w:val="nil"/>
              <w:bottom w:val="nil"/>
              <w:right w:val="nil"/>
            </w:tcBorders>
            <w:shd w:val="clear" w:color="auto" w:fill="auto"/>
            <w:vAlign w:val="center"/>
            <w:hideMark/>
          </w:tcPr>
          <w:p w14:paraId="0969F848" w14:textId="77777777" w:rsidR="004D69BF" w:rsidRPr="00D0395E" w:rsidRDefault="004D69BF" w:rsidP="000240DA">
            <w:pPr>
              <w:spacing w:after="0" w:line="240" w:lineRule="auto"/>
              <w:jc w:val="lef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Správa štátnych hmotných rezerv SR</w:t>
            </w:r>
          </w:p>
        </w:tc>
        <w:tc>
          <w:tcPr>
            <w:tcW w:w="547" w:type="pct"/>
            <w:tcBorders>
              <w:top w:val="nil"/>
              <w:left w:val="nil"/>
              <w:bottom w:val="nil"/>
              <w:right w:val="nil"/>
            </w:tcBorders>
            <w:shd w:val="clear" w:color="auto" w:fill="auto"/>
            <w:noWrap/>
            <w:vAlign w:val="center"/>
            <w:hideMark/>
          </w:tcPr>
          <w:p w14:paraId="41668E70"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93</w:t>
            </w:r>
          </w:p>
        </w:tc>
        <w:tc>
          <w:tcPr>
            <w:tcW w:w="547" w:type="pct"/>
            <w:tcBorders>
              <w:top w:val="nil"/>
              <w:left w:val="nil"/>
              <w:bottom w:val="nil"/>
              <w:right w:val="nil"/>
            </w:tcBorders>
            <w:shd w:val="clear" w:color="auto" w:fill="auto"/>
            <w:noWrap/>
            <w:vAlign w:val="center"/>
            <w:hideMark/>
          </w:tcPr>
          <w:p w14:paraId="167345F1"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109</w:t>
            </w:r>
          </w:p>
        </w:tc>
        <w:tc>
          <w:tcPr>
            <w:tcW w:w="547" w:type="pct"/>
            <w:tcBorders>
              <w:top w:val="nil"/>
              <w:left w:val="nil"/>
              <w:bottom w:val="nil"/>
              <w:right w:val="nil"/>
            </w:tcBorders>
            <w:shd w:val="clear" w:color="auto" w:fill="auto"/>
            <w:noWrap/>
            <w:vAlign w:val="center"/>
            <w:hideMark/>
          </w:tcPr>
          <w:p w14:paraId="5F4EED90"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109</w:t>
            </w:r>
          </w:p>
        </w:tc>
        <w:tc>
          <w:tcPr>
            <w:tcW w:w="468" w:type="pct"/>
            <w:tcBorders>
              <w:top w:val="nil"/>
              <w:left w:val="nil"/>
              <w:bottom w:val="nil"/>
              <w:right w:val="nil"/>
            </w:tcBorders>
            <w:shd w:val="clear" w:color="auto" w:fill="auto"/>
            <w:noWrap/>
            <w:vAlign w:val="center"/>
            <w:hideMark/>
          </w:tcPr>
          <w:p w14:paraId="71FCA44C"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0</w:t>
            </w:r>
          </w:p>
        </w:tc>
        <w:tc>
          <w:tcPr>
            <w:tcW w:w="547" w:type="pct"/>
            <w:tcBorders>
              <w:top w:val="nil"/>
              <w:left w:val="nil"/>
              <w:bottom w:val="nil"/>
              <w:right w:val="nil"/>
            </w:tcBorders>
            <w:shd w:val="clear" w:color="auto" w:fill="auto"/>
            <w:vAlign w:val="center"/>
            <w:hideMark/>
          </w:tcPr>
          <w:p w14:paraId="0437E289"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-109</w:t>
            </w:r>
          </w:p>
        </w:tc>
      </w:tr>
      <w:tr w:rsidR="004D69BF" w:rsidRPr="00D0395E" w14:paraId="010B02CD" w14:textId="77777777" w:rsidTr="003F4BCE">
        <w:trPr>
          <w:trHeight w:val="330"/>
        </w:trPr>
        <w:tc>
          <w:tcPr>
            <w:tcW w:w="2344" w:type="pct"/>
            <w:tcBorders>
              <w:top w:val="nil"/>
              <w:left w:val="nil"/>
              <w:bottom w:val="nil"/>
              <w:right w:val="nil"/>
            </w:tcBorders>
            <w:shd w:val="clear" w:color="auto" w:fill="auto"/>
            <w:vAlign w:val="center"/>
            <w:hideMark/>
          </w:tcPr>
          <w:p w14:paraId="15D0161D" w14:textId="494CB8C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Spoločnosť pre skladovanie</w:t>
            </w:r>
            <w:r w:rsidR="004E03FC" w:rsidRPr="00D0395E">
              <w:rPr>
                <w:rFonts w:eastAsia="Times New Roman" w:cs="Times New Roman"/>
                <w:color w:val="000000"/>
                <w:sz w:val="18"/>
                <w:szCs w:val="18"/>
                <w:lang w:eastAsia="sk-SK"/>
              </w:rPr>
              <w:t>,</w:t>
            </w:r>
            <w:r w:rsidRPr="00D0395E">
              <w:rPr>
                <w:rFonts w:eastAsia="Times New Roman" w:cs="Times New Roman"/>
                <w:color w:val="000000"/>
                <w:sz w:val="18"/>
                <w:szCs w:val="18"/>
                <w:lang w:eastAsia="sk-SK"/>
              </w:rPr>
              <w:t xml:space="preserve"> a.</w:t>
            </w:r>
            <w:r w:rsidR="004E03FC" w:rsidRPr="00D0395E">
              <w:rPr>
                <w:rFonts w:eastAsia="Times New Roman" w:cs="Times New Roman"/>
                <w:color w:val="000000"/>
                <w:sz w:val="18"/>
                <w:szCs w:val="18"/>
                <w:lang w:eastAsia="sk-SK"/>
              </w:rPr>
              <w:t> </w:t>
            </w:r>
            <w:r w:rsidRPr="00D0395E">
              <w:rPr>
                <w:rFonts w:eastAsia="Times New Roman" w:cs="Times New Roman"/>
                <w:color w:val="000000"/>
                <w:sz w:val="18"/>
                <w:szCs w:val="18"/>
                <w:lang w:eastAsia="sk-SK"/>
              </w:rPr>
              <w:t>s.</w:t>
            </w:r>
          </w:p>
        </w:tc>
        <w:tc>
          <w:tcPr>
            <w:tcW w:w="547" w:type="pct"/>
            <w:tcBorders>
              <w:top w:val="nil"/>
              <w:left w:val="nil"/>
              <w:bottom w:val="nil"/>
              <w:right w:val="nil"/>
            </w:tcBorders>
            <w:shd w:val="clear" w:color="auto" w:fill="auto"/>
            <w:noWrap/>
            <w:vAlign w:val="center"/>
            <w:hideMark/>
          </w:tcPr>
          <w:p w14:paraId="6AED031D"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93</w:t>
            </w:r>
          </w:p>
        </w:tc>
        <w:tc>
          <w:tcPr>
            <w:tcW w:w="547" w:type="pct"/>
            <w:tcBorders>
              <w:top w:val="nil"/>
              <w:left w:val="nil"/>
              <w:bottom w:val="nil"/>
              <w:right w:val="nil"/>
            </w:tcBorders>
            <w:shd w:val="clear" w:color="auto" w:fill="auto"/>
            <w:noWrap/>
            <w:vAlign w:val="center"/>
            <w:hideMark/>
          </w:tcPr>
          <w:p w14:paraId="219D72A9"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109</w:t>
            </w:r>
          </w:p>
        </w:tc>
        <w:tc>
          <w:tcPr>
            <w:tcW w:w="547" w:type="pct"/>
            <w:tcBorders>
              <w:top w:val="nil"/>
              <w:left w:val="nil"/>
              <w:bottom w:val="nil"/>
              <w:right w:val="nil"/>
            </w:tcBorders>
            <w:shd w:val="clear" w:color="auto" w:fill="auto"/>
            <w:noWrap/>
            <w:vAlign w:val="center"/>
            <w:hideMark/>
          </w:tcPr>
          <w:p w14:paraId="30449270"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109</w:t>
            </w:r>
          </w:p>
        </w:tc>
        <w:tc>
          <w:tcPr>
            <w:tcW w:w="468" w:type="pct"/>
            <w:tcBorders>
              <w:top w:val="nil"/>
              <w:left w:val="nil"/>
              <w:bottom w:val="nil"/>
              <w:right w:val="nil"/>
            </w:tcBorders>
            <w:shd w:val="clear" w:color="auto" w:fill="auto"/>
            <w:noWrap/>
            <w:vAlign w:val="center"/>
            <w:hideMark/>
          </w:tcPr>
          <w:p w14:paraId="51B2B2BF"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0</w:t>
            </w:r>
          </w:p>
        </w:tc>
        <w:tc>
          <w:tcPr>
            <w:tcW w:w="547" w:type="pct"/>
            <w:tcBorders>
              <w:top w:val="nil"/>
              <w:left w:val="nil"/>
              <w:bottom w:val="nil"/>
              <w:right w:val="nil"/>
            </w:tcBorders>
            <w:shd w:val="clear" w:color="auto" w:fill="auto"/>
            <w:vAlign w:val="center"/>
            <w:hideMark/>
          </w:tcPr>
          <w:p w14:paraId="4F801DFB"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-109</w:t>
            </w:r>
          </w:p>
        </w:tc>
      </w:tr>
      <w:tr w:rsidR="004D69BF" w:rsidRPr="00D0395E" w14:paraId="6237312A" w14:textId="77777777" w:rsidTr="003F4BCE">
        <w:trPr>
          <w:trHeight w:val="330"/>
        </w:trPr>
        <w:tc>
          <w:tcPr>
            <w:tcW w:w="2344" w:type="pct"/>
            <w:tcBorders>
              <w:top w:val="nil"/>
              <w:left w:val="nil"/>
              <w:bottom w:val="nil"/>
              <w:right w:val="nil"/>
            </w:tcBorders>
            <w:shd w:val="clear" w:color="auto" w:fill="auto"/>
            <w:vAlign w:val="center"/>
            <w:hideMark/>
          </w:tcPr>
          <w:p w14:paraId="1E771312" w14:textId="77777777" w:rsidR="004D69BF" w:rsidRPr="00D0395E" w:rsidRDefault="004D69BF" w:rsidP="000240DA">
            <w:pPr>
              <w:spacing w:after="0" w:line="240" w:lineRule="auto"/>
              <w:jc w:val="lef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Všeobecná pokladničná správa**</w:t>
            </w:r>
          </w:p>
        </w:tc>
        <w:tc>
          <w:tcPr>
            <w:tcW w:w="547" w:type="pct"/>
            <w:tcBorders>
              <w:top w:val="nil"/>
              <w:left w:val="nil"/>
              <w:bottom w:val="nil"/>
              <w:right w:val="nil"/>
            </w:tcBorders>
            <w:shd w:val="clear" w:color="auto" w:fill="auto"/>
            <w:noWrap/>
            <w:vAlign w:val="center"/>
            <w:hideMark/>
          </w:tcPr>
          <w:p w14:paraId="59234D8A"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148 686</w:t>
            </w:r>
          </w:p>
        </w:tc>
        <w:tc>
          <w:tcPr>
            <w:tcW w:w="547" w:type="pct"/>
            <w:tcBorders>
              <w:top w:val="nil"/>
              <w:left w:val="nil"/>
              <w:bottom w:val="nil"/>
              <w:right w:val="nil"/>
            </w:tcBorders>
            <w:shd w:val="clear" w:color="auto" w:fill="auto"/>
            <w:noWrap/>
            <w:vAlign w:val="center"/>
            <w:hideMark/>
          </w:tcPr>
          <w:p w14:paraId="3A628EB9"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306 585</w:t>
            </w:r>
          </w:p>
        </w:tc>
        <w:tc>
          <w:tcPr>
            <w:tcW w:w="547" w:type="pct"/>
            <w:tcBorders>
              <w:top w:val="nil"/>
              <w:left w:val="nil"/>
              <w:bottom w:val="nil"/>
              <w:right w:val="nil"/>
            </w:tcBorders>
            <w:shd w:val="clear" w:color="auto" w:fill="auto"/>
            <w:noWrap/>
            <w:vAlign w:val="center"/>
            <w:hideMark/>
          </w:tcPr>
          <w:p w14:paraId="720A1A6F" w14:textId="13316A2B"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374 19</w:t>
            </w:r>
            <w:r w:rsidR="000D02B0">
              <w:rPr>
                <w:rFonts w:eastAsia="Times New Roman" w:cs="Times New Roman"/>
                <w:b/>
                <w:bCs/>
                <w:color w:val="000000"/>
                <w:sz w:val="18"/>
                <w:szCs w:val="18"/>
                <w:lang w:eastAsia="sk-SK"/>
              </w:rPr>
              <w:t>5</w:t>
            </w:r>
          </w:p>
        </w:tc>
        <w:tc>
          <w:tcPr>
            <w:tcW w:w="468" w:type="pct"/>
            <w:tcBorders>
              <w:top w:val="nil"/>
              <w:left w:val="nil"/>
              <w:bottom w:val="nil"/>
              <w:right w:val="nil"/>
            </w:tcBorders>
            <w:shd w:val="clear" w:color="auto" w:fill="auto"/>
            <w:noWrap/>
            <w:vAlign w:val="center"/>
            <w:hideMark/>
          </w:tcPr>
          <w:p w14:paraId="08A4FC41"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377 225</w:t>
            </w:r>
          </w:p>
        </w:tc>
        <w:tc>
          <w:tcPr>
            <w:tcW w:w="547" w:type="pct"/>
            <w:tcBorders>
              <w:top w:val="nil"/>
              <w:left w:val="nil"/>
              <w:bottom w:val="nil"/>
              <w:right w:val="nil"/>
            </w:tcBorders>
            <w:shd w:val="clear" w:color="auto" w:fill="auto"/>
            <w:vAlign w:val="center"/>
            <w:hideMark/>
          </w:tcPr>
          <w:p w14:paraId="3C6DFAB1" w14:textId="59D8F26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3 0</w:t>
            </w:r>
            <w:r w:rsidR="003856FA">
              <w:rPr>
                <w:rFonts w:eastAsia="Times New Roman" w:cs="Times New Roman"/>
                <w:b/>
                <w:bCs/>
                <w:color w:val="000000"/>
                <w:sz w:val="18"/>
                <w:szCs w:val="18"/>
                <w:lang w:eastAsia="sk-SK"/>
              </w:rPr>
              <w:t>30</w:t>
            </w:r>
          </w:p>
        </w:tc>
      </w:tr>
      <w:tr w:rsidR="004D69BF" w:rsidRPr="00D0395E" w14:paraId="77249E5B" w14:textId="77777777" w:rsidTr="003F4BCE">
        <w:trPr>
          <w:trHeight w:val="330"/>
        </w:trPr>
        <w:tc>
          <w:tcPr>
            <w:tcW w:w="2344" w:type="pct"/>
            <w:tcBorders>
              <w:top w:val="nil"/>
              <w:left w:val="nil"/>
              <w:bottom w:val="nil"/>
              <w:right w:val="nil"/>
            </w:tcBorders>
            <w:shd w:val="clear" w:color="auto" w:fill="auto"/>
            <w:noWrap/>
            <w:vAlign w:val="center"/>
            <w:hideMark/>
          </w:tcPr>
          <w:p w14:paraId="7A66026E" w14:textId="49272D1B"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Slovenský plynárenský priemysel, a.</w:t>
            </w:r>
            <w:r w:rsidR="004E03FC" w:rsidRPr="00D0395E">
              <w:rPr>
                <w:rFonts w:eastAsia="Times New Roman" w:cs="Times New Roman"/>
                <w:color w:val="000000"/>
                <w:sz w:val="18"/>
                <w:szCs w:val="18"/>
                <w:lang w:eastAsia="sk-SK"/>
              </w:rPr>
              <w:t> </w:t>
            </w:r>
            <w:r w:rsidRPr="00D0395E">
              <w:rPr>
                <w:rFonts w:eastAsia="Times New Roman" w:cs="Times New Roman"/>
                <w:color w:val="000000"/>
                <w:sz w:val="18"/>
                <w:szCs w:val="18"/>
                <w:lang w:eastAsia="sk-SK"/>
              </w:rPr>
              <w:t>s.</w:t>
            </w:r>
          </w:p>
        </w:tc>
        <w:tc>
          <w:tcPr>
            <w:tcW w:w="547" w:type="pct"/>
            <w:tcBorders>
              <w:top w:val="nil"/>
              <w:left w:val="nil"/>
              <w:bottom w:val="nil"/>
              <w:right w:val="nil"/>
            </w:tcBorders>
            <w:shd w:val="clear" w:color="auto" w:fill="auto"/>
            <w:noWrap/>
            <w:vAlign w:val="center"/>
            <w:hideMark/>
          </w:tcPr>
          <w:p w14:paraId="36781E90"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0</w:t>
            </w:r>
          </w:p>
        </w:tc>
        <w:tc>
          <w:tcPr>
            <w:tcW w:w="547" w:type="pct"/>
            <w:tcBorders>
              <w:top w:val="nil"/>
              <w:left w:val="nil"/>
              <w:bottom w:val="nil"/>
              <w:right w:val="nil"/>
            </w:tcBorders>
            <w:shd w:val="clear" w:color="auto" w:fill="auto"/>
            <w:noWrap/>
            <w:vAlign w:val="center"/>
            <w:hideMark/>
          </w:tcPr>
          <w:p w14:paraId="393943AB"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220 000</w:t>
            </w:r>
          </w:p>
        </w:tc>
        <w:tc>
          <w:tcPr>
            <w:tcW w:w="547" w:type="pct"/>
            <w:tcBorders>
              <w:top w:val="nil"/>
              <w:left w:val="nil"/>
              <w:bottom w:val="nil"/>
              <w:right w:val="nil"/>
            </w:tcBorders>
            <w:shd w:val="clear" w:color="auto" w:fill="auto"/>
            <w:noWrap/>
            <w:vAlign w:val="center"/>
            <w:hideMark/>
          </w:tcPr>
          <w:p w14:paraId="64E5CA4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290 700</w:t>
            </w:r>
          </w:p>
        </w:tc>
        <w:tc>
          <w:tcPr>
            <w:tcW w:w="468" w:type="pct"/>
            <w:tcBorders>
              <w:top w:val="nil"/>
              <w:left w:val="nil"/>
              <w:bottom w:val="nil"/>
              <w:right w:val="nil"/>
            </w:tcBorders>
            <w:shd w:val="clear" w:color="auto" w:fill="auto"/>
            <w:noWrap/>
            <w:vAlign w:val="center"/>
            <w:hideMark/>
          </w:tcPr>
          <w:p w14:paraId="5E8E6A8C"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290 306</w:t>
            </w:r>
          </w:p>
        </w:tc>
        <w:tc>
          <w:tcPr>
            <w:tcW w:w="547" w:type="pct"/>
            <w:tcBorders>
              <w:top w:val="nil"/>
              <w:left w:val="nil"/>
              <w:bottom w:val="nil"/>
              <w:right w:val="nil"/>
            </w:tcBorders>
            <w:shd w:val="clear" w:color="auto" w:fill="auto"/>
            <w:vAlign w:val="center"/>
            <w:hideMark/>
          </w:tcPr>
          <w:p w14:paraId="189A6BC2"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-394</w:t>
            </w:r>
          </w:p>
        </w:tc>
      </w:tr>
      <w:tr w:rsidR="004D69BF" w:rsidRPr="00D0395E" w14:paraId="40421600" w14:textId="77777777" w:rsidTr="003F4BCE">
        <w:trPr>
          <w:trHeight w:val="330"/>
        </w:trPr>
        <w:tc>
          <w:tcPr>
            <w:tcW w:w="2344" w:type="pct"/>
            <w:tcBorders>
              <w:top w:val="nil"/>
              <w:left w:val="nil"/>
              <w:bottom w:val="nil"/>
              <w:right w:val="nil"/>
            </w:tcBorders>
            <w:shd w:val="clear" w:color="auto" w:fill="auto"/>
            <w:noWrap/>
            <w:vAlign w:val="center"/>
            <w:hideMark/>
          </w:tcPr>
          <w:p w14:paraId="52DC01B1" w14:textId="4E3603CE"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Západoslovenská energetika, a.</w:t>
            </w:r>
            <w:r w:rsidR="004E03FC" w:rsidRPr="00D0395E">
              <w:rPr>
                <w:rFonts w:eastAsia="Times New Roman" w:cs="Times New Roman"/>
                <w:color w:val="000000"/>
                <w:sz w:val="18"/>
                <w:szCs w:val="18"/>
                <w:lang w:eastAsia="sk-SK"/>
              </w:rPr>
              <w:t> </w:t>
            </w:r>
            <w:r w:rsidRPr="00D0395E">
              <w:rPr>
                <w:rFonts w:eastAsia="Times New Roman" w:cs="Times New Roman"/>
                <w:color w:val="000000"/>
                <w:sz w:val="18"/>
                <w:szCs w:val="18"/>
                <w:lang w:eastAsia="sk-SK"/>
              </w:rPr>
              <w:t>s.</w:t>
            </w:r>
          </w:p>
        </w:tc>
        <w:tc>
          <w:tcPr>
            <w:tcW w:w="547" w:type="pct"/>
            <w:tcBorders>
              <w:top w:val="nil"/>
              <w:left w:val="nil"/>
              <w:bottom w:val="nil"/>
              <w:right w:val="nil"/>
            </w:tcBorders>
            <w:shd w:val="clear" w:color="auto" w:fill="auto"/>
            <w:noWrap/>
            <w:vAlign w:val="center"/>
            <w:hideMark/>
          </w:tcPr>
          <w:p w14:paraId="5D39CE39"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44 839</w:t>
            </w:r>
          </w:p>
        </w:tc>
        <w:tc>
          <w:tcPr>
            <w:tcW w:w="547" w:type="pct"/>
            <w:tcBorders>
              <w:top w:val="nil"/>
              <w:left w:val="nil"/>
              <w:bottom w:val="nil"/>
              <w:right w:val="nil"/>
            </w:tcBorders>
            <w:shd w:val="clear" w:color="auto" w:fill="auto"/>
            <w:vAlign w:val="center"/>
            <w:hideMark/>
          </w:tcPr>
          <w:p w14:paraId="0DA94244"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37 091</w:t>
            </w:r>
          </w:p>
        </w:tc>
        <w:tc>
          <w:tcPr>
            <w:tcW w:w="547" w:type="pct"/>
            <w:tcBorders>
              <w:top w:val="nil"/>
              <w:left w:val="nil"/>
              <w:bottom w:val="nil"/>
              <w:right w:val="nil"/>
            </w:tcBorders>
            <w:shd w:val="clear" w:color="auto" w:fill="auto"/>
            <w:noWrap/>
            <w:vAlign w:val="center"/>
            <w:hideMark/>
          </w:tcPr>
          <w:p w14:paraId="315FF136"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53 810</w:t>
            </w:r>
          </w:p>
        </w:tc>
        <w:tc>
          <w:tcPr>
            <w:tcW w:w="468" w:type="pct"/>
            <w:tcBorders>
              <w:top w:val="nil"/>
              <w:left w:val="nil"/>
              <w:bottom w:val="nil"/>
              <w:right w:val="nil"/>
            </w:tcBorders>
            <w:shd w:val="clear" w:color="auto" w:fill="auto"/>
            <w:vAlign w:val="center"/>
            <w:hideMark/>
          </w:tcPr>
          <w:p w14:paraId="48B57B89"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53 837</w:t>
            </w:r>
          </w:p>
        </w:tc>
        <w:tc>
          <w:tcPr>
            <w:tcW w:w="547" w:type="pct"/>
            <w:tcBorders>
              <w:top w:val="nil"/>
              <w:left w:val="nil"/>
              <w:bottom w:val="nil"/>
              <w:right w:val="nil"/>
            </w:tcBorders>
            <w:shd w:val="clear" w:color="auto" w:fill="auto"/>
            <w:vAlign w:val="center"/>
            <w:hideMark/>
          </w:tcPr>
          <w:p w14:paraId="75510537" w14:textId="42121A69"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w:t>
            </w:r>
            <w:r w:rsidR="00A13FC3">
              <w:rPr>
                <w:rFonts w:eastAsia="Times New Roman" w:cs="Times New Roman"/>
                <w:color w:val="000000"/>
                <w:sz w:val="18"/>
                <w:szCs w:val="18"/>
                <w:lang w:eastAsia="sk-SK"/>
              </w:rPr>
              <w:t>7</w:t>
            </w:r>
          </w:p>
        </w:tc>
      </w:tr>
      <w:tr w:rsidR="004D69BF" w:rsidRPr="00D0395E" w14:paraId="1BA5789C" w14:textId="77777777" w:rsidTr="003F4BCE">
        <w:trPr>
          <w:trHeight w:val="330"/>
        </w:trPr>
        <w:tc>
          <w:tcPr>
            <w:tcW w:w="2344" w:type="pct"/>
            <w:tcBorders>
              <w:top w:val="nil"/>
              <w:left w:val="nil"/>
              <w:bottom w:val="nil"/>
              <w:right w:val="nil"/>
            </w:tcBorders>
            <w:shd w:val="clear" w:color="auto" w:fill="auto"/>
            <w:noWrap/>
            <w:vAlign w:val="center"/>
            <w:hideMark/>
          </w:tcPr>
          <w:p w14:paraId="4252E421" w14:textId="6A0FF5EB"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w:t>
            </w:r>
            <w:r w:rsidR="004E03FC" w:rsidRPr="00D0395E">
              <w:rPr>
                <w:rFonts w:eastAsia="Times New Roman" w:cs="Times New Roman"/>
                <w:color w:val="000000"/>
                <w:sz w:val="18"/>
                <w:szCs w:val="18"/>
                <w:lang w:eastAsia="sk-SK"/>
              </w:rPr>
              <w:t xml:space="preserve">  Stredoslovenská energetika, a. </w:t>
            </w:r>
            <w:r w:rsidRPr="00D0395E">
              <w:rPr>
                <w:rFonts w:eastAsia="Times New Roman" w:cs="Times New Roman"/>
                <w:color w:val="000000"/>
                <w:sz w:val="18"/>
                <w:szCs w:val="18"/>
                <w:lang w:eastAsia="sk-SK"/>
              </w:rPr>
              <w:t>s.</w:t>
            </w:r>
          </w:p>
        </w:tc>
        <w:tc>
          <w:tcPr>
            <w:tcW w:w="547" w:type="pct"/>
            <w:tcBorders>
              <w:top w:val="nil"/>
              <w:left w:val="nil"/>
              <w:bottom w:val="nil"/>
              <w:right w:val="nil"/>
            </w:tcBorders>
            <w:shd w:val="clear" w:color="auto" w:fill="auto"/>
            <w:noWrap/>
            <w:vAlign w:val="center"/>
            <w:hideMark/>
          </w:tcPr>
          <w:p w14:paraId="01068F92"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74 777</w:t>
            </w:r>
          </w:p>
        </w:tc>
        <w:tc>
          <w:tcPr>
            <w:tcW w:w="547" w:type="pct"/>
            <w:tcBorders>
              <w:top w:val="nil"/>
              <w:left w:val="nil"/>
              <w:bottom w:val="nil"/>
              <w:right w:val="nil"/>
            </w:tcBorders>
            <w:shd w:val="clear" w:color="auto" w:fill="auto"/>
            <w:vAlign w:val="center"/>
            <w:hideMark/>
          </w:tcPr>
          <w:p w14:paraId="73BE95C0"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38 784</w:t>
            </w:r>
          </w:p>
        </w:tc>
        <w:tc>
          <w:tcPr>
            <w:tcW w:w="547" w:type="pct"/>
            <w:tcBorders>
              <w:top w:val="nil"/>
              <w:left w:val="nil"/>
              <w:bottom w:val="nil"/>
              <w:right w:val="nil"/>
            </w:tcBorders>
            <w:shd w:val="clear" w:color="auto" w:fill="auto"/>
            <w:noWrap/>
            <w:vAlign w:val="center"/>
            <w:hideMark/>
          </w:tcPr>
          <w:p w14:paraId="7183CC0D" w14:textId="6E56077F"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29 68</w:t>
            </w:r>
            <w:r w:rsidR="00007899">
              <w:rPr>
                <w:rFonts w:eastAsia="Times New Roman" w:cs="Times New Roman"/>
                <w:color w:val="000000"/>
                <w:sz w:val="18"/>
                <w:szCs w:val="18"/>
                <w:lang w:eastAsia="sk-SK"/>
              </w:rPr>
              <w:t>5</w:t>
            </w:r>
          </w:p>
        </w:tc>
        <w:tc>
          <w:tcPr>
            <w:tcW w:w="468" w:type="pct"/>
            <w:tcBorders>
              <w:top w:val="nil"/>
              <w:left w:val="nil"/>
              <w:bottom w:val="nil"/>
              <w:right w:val="nil"/>
            </w:tcBorders>
            <w:shd w:val="clear" w:color="auto" w:fill="auto"/>
            <w:vAlign w:val="center"/>
            <w:hideMark/>
          </w:tcPr>
          <w:p w14:paraId="68380A47"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33 082</w:t>
            </w:r>
          </w:p>
        </w:tc>
        <w:tc>
          <w:tcPr>
            <w:tcW w:w="547" w:type="pct"/>
            <w:tcBorders>
              <w:top w:val="nil"/>
              <w:left w:val="nil"/>
              <w:bottom w:val="nil"/>
              <w:right w:val="nil"/>
            </w:tcBorders>
            <w:shd w:val="clear" w:color="auto" w:fill="auto"/>
            <w:vAlign w:val="center"/>
            <w:hideMark/>
          </w:tcPr>
          <w:p w14:paraId="48EF33DD" w14:textId="14CE607E"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3 39</w:t>
            </w:r>
            <w:r w:rsidR="00007899">
              <w:rPr>
                <w:rFonts w:eastAsia="Times New Roman" w:cs="Times New Roman"/>
                <w:color w:val="000000"/>
                <w:sz w:val="18"/>
                <w:szCs w:val="18"/>
                <w:lang w:eastAsia="sk-SK"/>
              </w:rPr>
              <w:t>7</w:t>
            </w:r>
          </w:p>
        </w:tc>
      </w:tr>
      <w:tr w:rsidR="004D69BF" w:rsidRPr="00D0395E" w14:paraId="5E6D96AA" w14:textId="77777777" w:rsidTr="003F4BCE">
        <w:trPr>
          <w:trHeight w:val="345"/>
        </w:trPr>
        <w:tc>
          <w:tcPr>
            <w:tcW w:w="2344" w:type="pct"/>
            <w:tcBorders>
              <w:top w:val="nil"/>
              <w:left w:val="nil"/>
              <w:bottom w:val="single" w:sz="4" w:space="0" w:color="auto"/>
              <w:right w:val="nil"/>
            </w:tcBorders>
            <w:shd w:val="clear" w:color="auto" w:fill="auto"/>
            <w:noWrap/>
            <w:vAlign w:val="center"/>
            <w:hideMark/>
          </w:tcPr>
          <w:p w14:paraId="3610AB8D" w14:textId="696F88CA"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Východoslovenská energetika HOLDING, a.</w:t>
            </w:r>
            <w:r w:rsidR="004E03FC" w:rsidRPr="00D0395E">
              <w:rPr>
                <w:rFonts w:eastAsia="Times New Roman" w:cs="Times New Roman"/>
                <w:color w:val="000000"/>
                <w:sz w:val="18"/>
                <w:szCs w:val="18"/>
                <w:lang w:eastAsia="sk-SK"/>
              </w:rPr>
              <w:t> </w:t>
            </w:r>
            <w:r w:rsidRPr="00D0395E">
              <w:rPr>
                <w:rFonts w:eastAsia="Times New Roman" w:cs="Times New Roman"/>
                <w:color w:val="000000"/>
                <w:sz w:val="18"/>
                <w:szCs w:val="18"/>
                <w:lang w:eastAsia="sk-SK"/>
              </w:rPr>
              <w:t>s.</w:t>
            </w:r>
          </w:p>
        </w:tc>
        <w:tc>
          <w:tcPr>
            <w:tcW w:w="547" w:type="pct"/>
            <w:tcBorders>
              <w:top w:val="nil"/>
              <w:left w:val="nil"/>
              <w:bottom w:val="single" w:sz="4" w:space="0" w:color="auto"/>
              <w:right w:val="nil"/>
            </w:tcBorders>
            <w:shd w:val="clear" w:color="auto" w:fill="auto"/>
            <w:noWrap/>
            <w:vAlign w:val="center"/>
            <w:hideMark/>
          </w:tcPr>
          <w:p w14:paraId="38920083"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29 070</w:t>
            </w:r>
          </w:p>
        </w:tc>
        <w:tc>
          <w:tcPr>
            <w:tcW w:w="547" w:type="pct"/>
            <w:tcBorders>
              <w:top w:val="nil"/>
              <w:left w:val="nil"/>
              <w:bottom w:val="single" w:sz="4" w:space="0" w:color="auto"/>
              <w:right w:val="nil"/>
            </w:tcBorders>
            <w:shd w:val="clear" w:color="auto" w:fill="auto"/>
            <w:vAlign w:val="center"/>
            <w:hideMark/>
          </w:tcPr>
          <w:p w14:paraId="542A759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10 710</w:t>
            </w:r>
          </w:p>
        </w:tc>
        <w:tc>
          <w:tcPr>
            <w:tcW w:w="547" w:type="pct"/>
            <w:tcBorders>
              <w:top w:val="nil"/>
              <w:left w:val="nil"/>
              <w:bottom w:val="single" w:sz="4" w:space="0" w:color="auto"/>
              <w:right w:val="nil"/>
            </w:tcBorders>
            <w:shd w:val="clear" w:color="auto" w:fill="auto"/>
            <w:noWrap/>
            <w:vAlign w:val="center"/>
            <w:hideMark/>
          </w:tcPr>
          <w:p w14:paraId="7BEDC6B8"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0</w:t>
            </w:r>
          </w:p>
        </w:tc>
        <w:tc>
          <w:tcPr>
            <w:tcW w:w="468" w:type="pct"/>
            <w:tcBorders>
              <w:top w:val="nil"/>
              <w:left w:val="nil"/>
              <w:bottom w:val="single" w:sz="4" w:space="0" w:color="auto"/>
              <w:right w:val="nil"/>
            </w:tcBorders>
            <w:shd w:val="clear" w:color="auto" w:fill="auto"/>
            <w:vAlign w:val="center"/>
            <w:hideMark/>
          </w:tcPr>
          <w:p w14:paraId="6BED68C4"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0</w:t>
            </w:r>
          </w:p>
        </w:tc>
        <w:tc>
          <w:tcPr>
            <w:tcW w:w="547" w:type="pct"/>
            <w:tcBorders>
              <w:top w:val="nil"/>
              <w:left w:val="nil"/>
              <w:bottom w:val="single" w:sz="4" w:space="0" w:color="auto"/>
              <w:right w:val="nil"/>
            </w:tcBorders>
            <w:shd w:val="clear" w:color="auto" w:fill="auto"/>
            <w:vAlign w:val="center"/>
            <w:hideMark/>
          </w:tcPr>
          <w:p w14:paraId="0DD92503"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0</w:t>
            </w:r>
          </w:p>
        </w:tc>
      </w:tr>
      <w:tr w:rsidR="004D69BF" w:rsidRPr="00D0395E" w14:paraId="67774039" w14:textId="77777777" w:rsidTr="003F4BCE">
        <w:trPr>
          <w:trHeight w:val="345"/>
        </w:trPr>
        <w:tc>
          <w:tcPr>
            <w:tcW w:w="2344" w:type="pct"/>
            <w:tcBorders>
              <w:top w:val="single" w:sz="4" w:space="0" w:color="auto"/>
              <w:left w:val="nil"/>
              <w:bottom w:val="single" w:sz="4" w:space="0" w:color="auto"/>
              <w:right w:val="nil"/>
            </w:tcBorders>
            <w:shd w:val="clear" w:color="auto" w:fill="auto"/>
            <w:noWrap/>
            <w:vAlign w:val="center"/>
            <w:hideMark/>
          </w:tcPr>
          <w:p w14:paraId="2D39E8E7" w14:textId="77777777" w:rsidR="004D69BF" w:rsidRPr="00D0395E" w:rsidRDefault="004D69BF" w:rsidP="000240DA">
            <w:pPr>
              <w:spacing w:after="0" w:line="240" w:lineRule="auto"/>
              <w:jc w:val="lef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Spolu</w:t>
            </w:r>
          </w:p>
        </w:tc>
        <w:tc>
          <w:tcPr>
            <w:tcW w:w="547" w:type="pct"/>
            <w:tcBorders>
              <w:top w:val="single" w:sz="4" w:space="0" w:color="auto"/>
              <w:left w:val="nil"/>
              <w:bottom w:val="single" w:sz="4" w:space="0" w:color="auto"/>
              <w:right w:val="nil"/>
            </w:tcBorders>
            <w:shd w:val="clear" w:color="auto" w:fill="auto"/>
            <w:noWrap/>
            <w:vAlign w:val="center"/>
            <w:hideMark/>
          </w:tcPr>
          <w:p w14:paraId="21A8A409"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160 519</w:t>
            </w:r>
          </w:p>
        </w:tc>
        <w:tc>
          <w:tcPr>
            <w:tcW w:w="547" w:type="pct"/>
            <w:tcBorders>
              <w:top w:val="single" w:sz="4" w:space="0" w:color="auto"/>
              <w:left w:val="nil"/>
              <w:bottom w:val="single" w:sz="4" w:space="0" w:color="auto"/>
              <w:right w:val="nil"/>
            </w:tcBorders>
            <w:shd w:val="clear" w:color="auto" w:fill="auto"/>
            <w:noWrap/>
            <w:vAlign w:val="center"/>
            <w:hideMark/>
          </w:tcPr>
          <w:p w14:paraId="5DA9B6FF"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442 362</w:t>
            </w:r>
          </w:p>
        </w:tc>
        <w:tc>
          <w:tcPr>
            <w:tcW w:w="547" w:type="pct"/>
            <w:tcBorders>
              <w:top w:val="single" w:sz="4" w:space="0" w:color="auto"/>
              <w:left w:val="nil"/>
              <w:bottom w:val="single" w:sz="4" w:space="0" w:color="auto"/>
              <w:right w:val="nil"/>
            </w:tcBorders>
            <w:shd w:val="clear" w:color="auto" w:fill="auto"/>
            <w:noWrap/>
            <w:vAlign w:val="center"/>
            <w:hideMark/>
          </w:tcPr>
          <w:p w14:paraId="52DE4AA6" w14:textId="10AD4C50"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436 47</w:t>
            </w:r>
            <w:r w:rsidR="00F66E39">
              <w:rPr>
                <w:rFonts w:eastAsia="Times New Roman" w:cs="Times New Roman"/>
                <w:b/>
                <w:bCs/>
                <w:color w:val="000000"/>
                <w:sz w:val="18"/>
                <w:szCs w:val="18"/>
                <w:lang w:eastAsia="sk-SK"/>
              </w:rPr>
              <w:t>6</w:t>
            </w:r>
          </w:p>
        </w:tc>
        <w:tc>
          <w:tcPr>
            <w:tcW w:w="468" w:type="pct"/>
            <w:tcBorders>
              <w:top w:val="single" w:sz="4" w:space="0" w:color="auto"/>
              <w:left w:val="nil"/>
              <w:bottom w:val="single" w:sz="4" w:space="0" w:color="auto"/>
              <w:right w:val="nil"/>
            </w:tcBorders>
            <w:shd w:val="clear" w:color="auto" w:fill="auto"/>
            <w:noWrap/>
            <w:vAlign w:val="center"/>
            <w:hideMark/>
          </w:tcPr>
          <w:p w14:paraId="34E29F5E"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448 272</w:t>
            </w:r>
          </w:p>
        </w:tc>
        <w:tc>
          <w:tcPr>
            <w:tcW w:w="547" w:type="pct"/>
            <w:tcBorders>
              <w:top w:val="single" w:sz="4" w:space="0" w:color="auto"/>
              <w:left w:val="nil"/>
              <w:bottom w:val="single" w:sz="4" w:space="0" w:color="auto"/>
              <w:right w:val="nil"/>
            </w:tcBorders>
            <w:shd w:val="clear" w:color="auto" w:fill="auto"/>
            <w:noWrap/>
            <w:vAlign w:val="center"/>
            <w:hideMark/>
          </w:tcPr>
          <w:p w14:paraId="7508A38D" w14:textId="37A7FA40"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11 79</w:t>
            </w:r>
            <w:r w:rsidR="002A7C98">
              <w:rPr>
                <w:rFonts w:eastAsia="Times New Roman" w:cs="Times New Roman"/>
                <w:b/>
                <w:bCs/>
                <w:color w:val="000000"/>
                <w:sz w:val="18"/>
                <w:szCs w:val="18"/>
                <w:lang w:eastAsia="sk-SK"/>
              </w:rPr>
              <w:t>6</w:t>
            </w:r>
          </w:p>
        </w:tc>
      </w:tr>
    </w:tbl>
    <w:p w14:paraId="0D180046" w14:textId="77777777" w:rsidR="00156341" w:rsidRDefault="00156341" w:rsidP="00156341">
      <w:pPr>
        <w:spacing w:after="0" w:line="240" w:lineRule="auto"/>
        <w:jc w:val="left"/>
        <w:rPr>
          <w:rFonts w:eastAsia="Times New Roman" w:cs="Times New Roman"/>
          <w:color w:val="000000"/>
          <w:sz w:val="18"/>
          <w:szCs w:val="18"/>
          <w:lang w:eastAsia="sk-SK"/>
        </w:rPr>
      </w:pPr>
      <w:r>
        <w:rPr>
          <w:rFonts w:eastAsia="Times New Roman" w:cs="Times New Roman"/>
          <w:color w:val="000000"/>
          <w:sz w:val="18"/>
          <w:szCs w:val="18"/>
          <w:lang w:eastAsia="sk-SK"/>
        </w:rPr>
        <w:t>*Dividendy za spoločnosť Tipos, </w:t>
      </w:r>
      <w:r w:rsidRPr="00D9447B">
        <w:rPr>
          <w:rFonts w:eastAsia="Times New Roman" w:cs="Times New Roman"/>
          <w:color w:val="000000"/>
          <w:sz w:val="18"/>
          <w:szCs w:val="18"/>
          <w:lang w:eastAsia="sk-SK"/>
        </w:rPr>
        <w:t>a.</w:t>
      </w:r>
      <w:r>
        <w:rPr>
          <w:rFonts w:eastAsia="Times New Roman" w:cs="Times New Roman"/>
          <w:color w:val="000000"/>
          <w:sz w:val="18"/>
          <w:szCs w:val="18"/>
          <w:lang w:eastAsia="sk-SK"/>
        </w:rPr>
        <w:t> </w:t>
      </w:r>
      <w:r w:rsidRPr="00D9447B">
        <w:rPr>
          <w:rFonts w:eastAsia="Times New Roman" w:cs="Times New Roman"/>
          <w:color w:val="000000"/>
          <w:sz w:val="18"/>
          <w:szCs w:val="18"/>
          <w:lang w:eastAsia="sk-SK"/>
        </w:rPr>
        <w:t xml:space="preserve">s. boli vyinkasované do </w:t>
      </w:r>
      <w:r>
        <w:rPr>
          <w:rFonts w:eastAsia="Times New Roman" w:cs="Times New Roman"/>
          <w:color w:val="000000"/>
          <w:sz w:val="18"/>
          <w:szCs w:val="18"/>
          <w:lang w:eastAsia="sk-SK"/>
        </w:rPr>
        <w:t xml:space="preserve">príjmov </w:t>
      </w:r>
      <w:r w:rsidRPr="00D9447B">
        <w:rPr>
          <w:rFonts w:eastAsia="Times New Roman" w:cs="Times New Roman"/>
          <w:color w:val="000000"/>
          <w:sz w:val="18"/>
          <w:szCs w:val="18"/>
          <w:lang w:eastAsia="sk-SK"/>
        </w:rPr>
        <w:t>rozpočtu MF SR.</w:t>
      </w:r>
      <w:r>
        <w:rPr>
          <w:rFonts w:eastAsia="Times New Roman" w:cs="Times New Roman"/>
          <w:color w:val="000000"/>
          <w:sz w:val="18"/>
          <w:szCs w:val="18"/>
          <w:lang w:eastAsia="sk-SK"/>
        </w:rPr>
        <w:t xml:space="preserve">                                     </w:t>
      </w:r>
      <w:r w:rsidRPr="00D9447B">
        <w:rPr>
          <w:rFonts w:eastAsia="Times New Roman" w:cs="Times New Roman"/>
          <w:color w:val="000000"/>
          <w:sz w:val="18"/>
          <w:szCs w:val="18"/>
          <w:lang w:eastAsia="sk-SK"/>
        </w:rPr>
        <w:t>Zdroj: MF SR</w:t>
      </w:r>
    </w:p>
    <w:p w14:paraId="6CCF3A32" w14:textId="166C03B8" w:rsidR="00156341" w:rsidRPr="00D9447B" w:rsidRDefault="00156341" w:rsidP="00156341">
      <w:pPr>
        <w:spacing w:after="0" w:line="240" w:lineRule="auto"/>
        <w:jc w:val="left"/>
        <w:rPr>
          <w:rFonts w:eastAsia="Times New Roman" w:cs="Times New Roman"/>
          <w:color w:val="000000"/>
          <w:sz w:val="18"/>
          <w:szCs w:val="18"/>
          <w:lang w:eastAsia="sk-SK"/>
        </w:rPr>
      </w:pPr>
      <w:r w:rsidRPr="00D9447B">
        <w:rPr>
          <w:rFonts w:eastAsia="Times New Roman" w:cs="Times New Roman"/>
          <w:color w:val="000000"/>
          <w:sz w:val="18"/>
          <w:szCs w:val="18"/>
          <w:lang w:eastAsia="sk-SK"/>
        </w:rPr>
        <w:t xml:space="preserve"> Spoločnosť bola delimitovaná</w:t>
      </w:r>
      <w:r>
        <w:rPr>
          <w:rFonts w:eastAsia="Times New Roman" w:cs="Times New Roman"/>
          <w:color w:val="000000"/>
          <w:sz w:val="18"/>
          <w:szCs w:val="18"/>
          <w:lang w:eastAsia="sk-SK"/>
        </w:rPr>
        <w:t xml:space="preserve"> </w:t>
      </w:r>
      <w:r w:rsidRPr="00D9447B">
        <w:rPr>
          <w:rFonts w:eastAsia="Times New Roman" w:cs="Times New Roman"/>
          <w:color w:val="000000"/>
          <w:sz w:val="18"/>
          <w:szCs w:val="18"/>
          <w:lang w:eastAsia="sk-SK"/>
        </w:rPr>
        <w:t xml:space="preserve">pod kapitolu Ministerstva cestovného ruchu </w:t>
      </w:r>
      <w:r w:rsidR="00F83E95">
        <w:rPr>
          <w:rFonts w:eastAsia="Times New Roman" w:cs="Times New Roman"/>
          <w:color w:val="000000"/>
          <w:sz w:val="18"/>
          <w:szCs w:val="18"/>
          <w:lang w:eastAsia="sk-SK"/>
        </w:rPr>
        <w:t xml:space="preserve">a športu </w:t>
      </w:r>
      <w:r w:rsidRPr="00D9447B">
        <w:rPr>
          <w:rFonts w:eastAsia="Times New Roman" w:cs="Times New Roman"/>
          <w:color w:val="000000"/>
          <w:sz w:val="18"/>
          <w:szCs w:val="18"/>
          <w:lang w:eastAsia="sk-SK"/>
        </w:rPr>
        <w:t>SR od 1.1.2024</w:t>
      </w:r>
    </w:p>
    <w:p w14:paraId="136C2DFF" w14:textId="64F875EA" w:rsidR="00156341" w:rsidRDefault="00156341" w:rsidP="00156341">
      <w:pPr>
        <w:tabs>
          <w:tab w:val="left" w:pos="284"/>
        </w:tabs>
        <w:spacing w:line="240" w:lineRule="auto"/>
        <w:rPr>
          <w:b/>
          <w:i/>
          <w:color w:val="000000" w:themeColor="text1"/>
          <w:sz w:val="24"/>
          <w:szCs w:val="24"/>
        </w:rPr>
      </w:pPr>
      <w:r w:rsidRPr="00D9447B">
        <w:rPr>
          <w:rFonts w:eastAsia="Times New Roman" w:cs="Times New Roman"/>
          <w:color w:val="000000"/>
          <w:sz w:val="18"/>
          <w:szCs w:val="18"/>
          <w:lang w:eastAsia="sk-SK"/>
        </w:rPr>
        <w:t>**Podiely daných spoločností sú účtovne evidované pod MH SR. Dividendy plynú na osobitné účty Všeobecnej pokladničnej správy obdobne ako tomu bolo počas existencie zrušeného FNM SR.</w:t>
      </w:r>
    </w:p>
    <w:p w14:paraId="39D87323" w14:textId="227513BE" w:rsidR="004D69BF" w:rsidRPr="003D4DE6" w:rsidRDefault="004D69BF" w:rsidP="004D69BF">
      <w:pPr>
        <w:tabs>
          <w:tab w:val="left" w:pos="284"/>
        </w:tabs>
        <w:spacing w:line="240" w:lineRule="auto"/>
        <w:rPr>
          <w:color w:val="000000" w:themeColor="text1"/>
          <w:sz w:val="24"/>
          <w:szCs w:val="24"/>
        </w:rPr>
      </w:pPr>
      <w:r w:rsidRPr="0068210B">
        <w:rPr>
          <w:b/>
          <w:i/>
          <w:color w:val="000000" w:themeColor="text1"/>
          <w:sz w:val="24"/>
          <w:szCs w:val="24"/>
        </w:rPr>
        <w:t>Iné príjmy z </w:t>
      </w:r>
      <w:r w:rsidRPr="00C779EE">
        <w:rPr>
          <w:b/>
          <w:i/>
          <w:color w:val="000000" w:themeColor="text1"/>
          <w:sz w:val="24"/>
          <w:szCs w:val="24"/>
        </w:rPr>
        <w:t>podnikania a vlastníctva</w:t>
      </w:r>
      <w:r>
        <w:rPr>
          <w:color w:val="000000" w:themeColor="text1"/>
          <w:sz w:val="24"/>
          <w:szCs w:val="24"/>
        </w:rPr>
        <w:t xml:space="preserve"> sú tvo</w:t>
      </w:r>
      <w:r w:rsidR="000F7ABA">
        <w:rPr>
          <w:color w:val="000000" w:themeColor="text1"/>
          <w:sz w:val="24"/>
          <w:szCs w:val="24"/>
        </w:rPr>
        <w:t>rené najmä osobitným odvodom zo </w:t>
      </w:r>
      <w:r>
        <w:rPr>
          <w:color w:val="000000" w:themeColor="text1"/>
          <w:sz w:val="24"/>
          <w:szCs w:val="24"/>
        </w:rPr>
        <w:t>zisku po</w:t>
      </w:r>
      <w:r w:rsidR="00317CDC">
        <w:rPr>
          <w:color w:val="000000" w:themeColor="text1"/>
          <w:sz w:val="24"/>
          <w:szCs w:val="24"/>
        </w:rPr>
        <w:t> </w:t>
      </w:r>
      <w:r>
        <w:rPr>
          <w:color w:val="000000" w:themeColor="text1"/>
          <w:sz w:val="24"/>
          <w:szCs w:val="24"/>
        </w:rPr>
        <w:t>zdanení za rok 2023 štátneho podnik</w:t>
      </w:r>
      <w:r w:rsidR="00317CDC">
        <w:rPr>
          <w:color w:val="000000" w:themeColor="text1"/>
          <w:sz w:val="24"/>
          <w:szCs w:val="24"/>
        </w:rPr>
        <w:t>u Vodohospodárska výstavba, </w:t>
      </w:r>
      <w:r>
        <w:rPr>
          <w:color w:val="000000" w:themeColor="text1"/>
          <w:sz w:val="24"/>
          <w:szCs w:val="24"/>
        </w:rPr>
        <w:t>š.</w:t>
      </w:r>
      <w:r w:rsidR="00317CDC">
        <w:rPr>
          <w:color w:val="000000" w:themeColor="text1"/>
          <w:sz w:val="24"/>
          <w:szCs w:val="24"/>
        </w:rPr>
        <w:t> </w:t>
      </w:r>
      <w:r>
        <w:rPr>
          <w:color w:val="000000" w:themeColor="text1"/>
          <w:sz w:val="24"/>
          <w:szCs w:val="24"/>
        </w:rPr>
        <w:t xml:space="preserve">p., ktorá podľa zákona o štátnom rozpočte na rok 2024 odviedla do príjmov rozpočtu zakladateľa podniku, Ministerstva </w:t>
      </w:r>
      <w:r w:rsidR="00317CDC">
        <w:rPr>
          <w:color w:val="000000" w:themeColor="text1"/>
          <w:sz w:val="24"/>
          <w:szCs w:val="24"/>
        </w:rPr>
        <w:t>životného prostredia SR, 80 000 </w:t>
      </w:r>
      <w:r>
        <w:rPr>
          <w:color w:val="000000" w:themeColor="text1"/>
          <w:sz w:val="24"/>
          <w:szCs w:val="24"/>
        </w:rPr>
        <w:t>tis.</w:t>
      </w:r>
      <w:r w:rsidR="00317CDC">
        <w:rPr>
          <w:color w:val="000000" w:themeColor="text1"/>
          <w:sz w:val="24"/>
          <w:szCs w:val="24"/>
        </w:rPr>
        <w:t> </w:t>
      </w:r>
      <w:r>
        <w:rPr>
          <w:color w:val="000000" w:themeColor="text1"/>
          <w:sz w:val="24"/>
          <w:szCs w:val="24"/>
        </w:rPr>
        <w:t xml:space="preserve">eur. V predchádzajúcom roku tento osobitný odvod Vodohospodárskej </w:t>
      </w:r>
      <w:r w:rsidRPr="003D4DE6">
        <w:rPr>
          <w:color w:val="000000" w:themeColor="text1"/>
          <w:sz w:val="24"/>
          <w:szCs w:val="24"/>
        </w:rPr>
        <w:t>výstavby,</w:t>
      </w:r>
      <w:r w:rsidR="00317CDC">
        <w:rPr>
          <w:color w:val="000000" w:themeColor="text1"/>
          <w:sz w:val="24"/>
          <w:szCs w:val="24"/>
        </w:rPr>
        <w:t> š. </w:t>
      </w:r>
      <w:r w:rsidRPr="003D4DE6">
        <w:rPr>
          <w:color w:val="000000" w:themeColor="text1"/>
          <w:sz w:val="24"/>
          <w:szCs w:val="24"/>
        </w:rPr>
        <w:t>p., predstavoval dodatočné príjmy štátneho rozpočtu vo výške 150</w:t>
      </w:r>
      <w:r w:rsidR="00317CDC">
        <w:rPr>
          <w:color w:val="000000" w:themeColor="text1"/>
          <w:sz w:val="24"/>
          <w:szCs w:val="24"/>
        </w:rPr>
        <w:t> </w:t>
      </w:r>
      <w:r w:rsidRPr="003D4DE6">
        <w:rPr>
          <w:color w:val="000000" w:themeColor="text1"/>
          <w:sz w:val="24"/>
          <w:szCs w:val="24"/>
        </w:rPr>
        <w:t>000</w:t>
      </w:r>
      <w:r w:rsidR="00317CDC">
        <w:rPr>
          <w:color w:val="000000" w:themeColor="text1"/>
          <w:sz w:val="24"/>
          <w:szCs w:val="24"/>
        </w:rPr>
        <w:t> </w:t>
      </w:r>
      <w:r w:rsidRPr="003D4DE6">
        <w:rPr>
          <w:color w:val="000000" w:themeColor="text1"/>
          <w:sz w:val="24"/>
          <w:szCs w:val="24"/>
        </w:rPr>
        <w:t>tis.</w:t>
      </w:r>
      <w:r w:rsidR="00317CDC">
        <w:rPr>
          <w:color w:val="000000" w:themeColor="text1"/>
          <w:sz w:val="24"/>
          <w:szCs w:val="24"/>
        </w:rPr>
        <w:t> </w:t>
      </w:r>
      <w:r w:rsidRPr="003D4DE6">
        <w:rPr>
          <w:color w:val="000000" w:themeColor="text1"/>
          <w:sz w:val="24"/>
          <w:szCs w:val="24"/>
        </w:rPr>
        <w:t>eur.</w:t>
      </w:r>
    </w:p>
    <w:p w14:paraId="3FC5C900" w14:textId="1EB78F16" w:rsidR="004D69BF" w:rsidRDefault="004D69BF" w:rsidP="004D69BF">
      <w:pPr>
        <w:tabs>
          <w:tab w:val="left" w:pos="284"/>
        </w:tabs>
        <w:spacing w:line="240" w:lineRule="auto"/>
        <w:rPr>
          <w:color w:val="000000" w:themeColor="text1"/>
          <w:sz w:val="24"/>
          <w:szCs w:val="24"/>
        </w:rPr>
      </w:pPr>
      <w:r w:rsidRPr="003D4DE6">
        <w:rPr>
          <w:b/>
          <w:color w:val="000000" w:themeColor="text1"/>
          <w:sz w:val="24"/>
          <w:szCs w:val="24"/>
        </w:rPr>
        <w:lastRenderedPageBreak/>
        <w:t>Príjem z administratívnych poplatkov a iných poplatkov a platieb</w:t>
      </w:r>
      <w:r w:rsidR="00317CDC">
        <w:rPr>
          <w:color w:val="000000" w:themeColor="text1"/>
          <w:sz w:val="24"/>
          <w:szCs w:val="24"/>
        </w:rPr>
        <w:t xml:space="preserve"> závisí od </w:t>
      </w:r>
      <w:r w:rsidRPr="003D4DE6">
        <w:rPr>
          <w:color w:val="000000" w:themeColor="text1"/>
          <w:sz w:val="24"/>
          <w:szCs w:val="24"/>
        </w:rPr>
        <w:t>počtu jednotlivých konaní v priebe</w:t>
      </w:r>
      <w:r w:rsidR="00317CDC">
        <w:rPr>
          <w:color w:val="000000" w:themeColor="text1"/>
          <w:sz w:val="24"/>
          <w:szCs w:val="24"/>
        </w:rPr>
        <w:t>hu roka. Skutočné plnenie k 31. </w:t>
      </w:r>
      <w:r w:rsidRPr="003D4DE6">
        <w:rPr>
          <w:color w:val="000000" w:themeColor="text1"/>
          <w:sz w:val="24"/>
          <w:szCs w:val="24"/>
        </w:rPr>
        <w:t>12.</w:t>
      </w:r>
      <w:r w:rsidR="00317CDC">
        <w:rPr>
          <w:color w:val="000000" w:themeColor="text1"/>
          <w:sz w:val="24"/>
          <w:szCs w:val="24"/>
        </w:rPr>
        <w:t> </w:t>
      </w:r>
      <w:r w:rsidRPr="003D4DE6">
        <w:rPr>
          <w:color w:val="000000" w:themeColor="text1"/>
          <w:sz w:val="24"/>
          <w:szCs w:val="24"/>
        </w:rPr>
        <w:t>2024 dosiahlo sumu</w:t>
      </w:r>
      <w:r w:rsidR="00317CDC">
        <w:rPr>
          <w:color w:val="000000" w:themeColor="text1"/>
          <w:sz w:val="24"/>
          <w:szCs w:val="24"/>
        </w:rPr>
        <w:t xml:space="preserve"> 442 </w:t>
      </w:r>
      <w:r>
        <w:rPr>
          <w:color w:val="000000" w:themeColor="text1"/>
          <w:sz w:val="24"/>
          <w:szCs w:val="24"/>
        </w:rPr>
        <w:t>497</w:t>
      </w:r>
      <w:r w:rsidRPr="003D4DE6">
        <w:rPr>
          <w:color w:val="000000" w:themeColor="text1"/>
          <w:sz w:val="24"/>
          <w:szCs w:val="24"/>
        </w:rPr>
        <w:t> tis. eur, čo bolo o</w:t>
      </w:r>
      <w:r w:rsidR="00317CDC">
        <w:rPr>
          <w:color w:val="000000" w:themeColor="text1"/>
          <w:sz w:val="24"/>
          <w:szCs w:val="24"/>
        </w:rPr>
        <w:t>proti schválenému rozpočtu o 45 </w:t>
      </w:r>
      <w:r w:rsidRPr="003D4DE6">
        <w:rPr>
          <w:color w:val="000000" w:themeColor="text1"/>
          <w:sz w:val="24"/>
          <w:szCs w:val="24"/>
        </w:rPr>
        <w:t>51</w:t>
      </w:r>
      <w:r>
        <w:rPr>
          <w:color w:val="000000" w:themeColor="text1"/>
          <w:sz w:val="24"/>
          <w:szCs w:val="24"/>
        </w:rPr>
        <w:t>1</w:t>
      </w:r>
      <w:r w:rsidR="00317CDC">
        <w:rPr>
          <w:color w:val="000000" w:themeColor="text1"/>
          <w:sz w:val="24"/>
          <w:szCs w:val="24"/>
        </w:rPr>
        <w:t> tis. eur viac. Na </w:t>
      </w:r>
      <w:r w:rsidRPr="003D4DE6">
        <w:rPr>
          <w:color w:val="000000" w:themeColor="text1"/>
          <w:sz w:val="24"/>
          <w:szCs w:val="24"/>
        </w:rPr>
        <w:t>zvýšenie príjmov malo vplyv aj zvýšenie sadzieb sprá</w:t>
      </w:r>
      <w:r w:rsidR="00317CDC">
        <w:rPr>
          <w:color w:val="000000" w:themeColor="text1"/>
          <w:sz w:val="24"/>
          <w:szCs w:val="24"/>
        </w:rPr>
        <w:t>vnych a súdnych poplatkov od 1. </w:t>
      </w:r>
      <w:r w:rsidRPr="003D4DE6">
        <w:rPr>
          <w:color w:val="000000" w:themeColor="text1"/>
          <w:sz w:val="24"/>
          <w:szCs w:val="24"/>
        </w:rPr>
        <w:t>apríla 2024</w:t>
      </w:r>
      <w:r w:rsidR="00317CDC">
        <w:rPr>
          <w:color w:val="000000" w:themeColor="text1"/>
          <w:sz w:val="24"/>
          <w:szCs w:val="24"/>
        </w:rPr>
        <w:t>.</w:t>
      </w:r>
    </w:p>
    <w:p w14:paraId="21BCE330" w14:textId="1AF8AD20" w:rsidR="004D69BF" w:rsidRDefault="004D69BF" w:rsidP="004D69BF">
      <w:pPr>
        <w:tabs>
          <w:tab w:val="left" w:pos="284"/>
        </w:tabs>
        <w:spacing w:line="240" w:lineRule="auto"/>
        <w:rPr>
          <w:color w:val="000000" w:themeColor="text1"/>
          <w:sz w:val="24"/>
          <w:szCs w:val="24"/>
        </w:rPr>
      </w:pPr>
      <w:r w:rsidRPr="00AD2B14">
        <w:rPr>
          <w:b/>
          <w:bCs/>
          <w:i/>
          <w:iCs/>
          <w:color w:val="000000" w:themeColor="text1"/>
          <w:sz w:val="24"/>
          <w:szCs w:val="24"/>
        </w:rPr>
        <w:t>Súdne a správne poplatky</w:t>
      </w:r>
      <w:r>
        <w:rPr>
          <w:color w:val="000000" w:themeColor="text1"/>
          <w:sz w:val="24"/>
          <w:szCs w:val="24"/>
        </w:rPr>
        <w:t xml:space="preserve"> sú príjmom štátneho rozpočtu v rozhodujúcej miere prostredníctvom Všeobecnej pokladničnej správy. Kapitola prijala úhrnom 197</w:t>
      </w:r>
      <w:r w:rsidR="00317CDC">
        <w:rPr>
          <w:color w:val="000000" w:themeColor="text1"/>
          <w:sz w:val="24"/>
          <w:szCs w:val="24"/>
        </w:rPr>
        <w:t> </w:t>
      </w:r>
      <w:r>
        <w:rPr>
          <w:color w:val="000000" w:themeColor="text1"/>
          <w:sz w:val="24"/>
          <w:szCs w:val="24"/>
        </w:rPr>
        <w:t>224</w:t>
      </w:r>
      <w:r w:rsidR="00317CDC">
        <w:rPr>
          <w:color w:val="000000" w:themeColor="text1"/>
          <w:sz w:val="24"/>
          <w:szCs w:val="24"/>
        </w:rPr>
        <w:t> </w:t>
      </w:r>
      <w:r>
        <w:rPr>
          <w:color w:val="000000" w:themeColor="text1"/>
          <w:sz w:val="24"/>
          <w:szCs w:val="24"/>
        </w:rPr>
        <w:t>tis.</w:t>
      </w:r>
      <w:r w:rsidR="00317CDC">
        <w:rPr>
          <w:color w:val="000000" w:themeColor="text1"/>
          <w:sz w:val="24"/>
          <w:szCs w:val="24"/>
        </w:rPr>
        <w:t> eur zo správnych poplatkov a 34 761 </w:t>
      </w:r>
      <w:r>
        <w:rPr>
          <w:color w:val="000000" w:themeColor="text1"/>
          <w:sz w:val="24"/>
          <w:szCs w:val="24"/>
        </w:rPr>
        <w:t>tis.</w:t>
      </w:r>
      <w:r w:rsidR="00317CDC">
        <w:rPr>
          <w:color w:val="000000" w:themeColor="text1"/>
          <w:sz w:val="24"/>
          <w:szCs w:val="24"/>
        </w:rPr>
        <w:t> </w:t>
      </w:r>
      <w:r>
        <w:rPr>
          <w:color w:val="000000" w:themeColor="text1"/>
          <w:sz w:val="24"/>
          <w:szCs w:val="24"/>
        </w:rPr>
        <w:t>eur zo súdnych poplatkov. Puncový úrad SR vyin</w:t>
      </w:r>
      <w:r w:rsidR="00317CDC">
        <w:rPr>
          <w:color w:val="000000" w:themeColor="text1"/>
          <w:sz w:val="24"/>
          <w:szCs w:val="24"/>
        </w:rPr>
        <w:t>kasoval puncové poplatky za 763 </w:t>
      </w:r>
      <w:r>
        <w:rPr>
          <w:color w:val="000000" w:themeColor="text1"/>
          <w:sz w:val="24"/>
          <w:szCs w:val="24"/>
        </w:rPr>
        <w:t>tis.</w:t>
      </w:r>
      <w:r w:rsidR="00317CDC">
        <w:rPr>
          <w:color w:val="000000" w:themeColor="text1"/>
          <w:sz w:val="24"/>
          <w:szCs w:val="24"/>
        </w:rPr>
        <w:t> </w:t>
      </w:r>
      <w:r>
        <w:rPr>
          <w:color w:val="000000" w:themeColor="text1"/>
          <w:sz w:val="24"/>
          <w:szCs w:val="24"/>
        </w:rPr>
        <w:t>eur.</w:t>
      </w:r>
    </w:p>
    <w:p w14:paraId="66646846" w14:textId="6125FEFD" w:rsidR="004D69BF" w:rsidRDefault="004D69BF" w:rsidP="004D69BF">
      <w:pPr>
        <w:tabs>
          <w:tab w:val="left" w:pos="284"/>
        </w:tabs>
        <w:spacing w:line="240" w:lineRule="auto"/>
        <w:rPr>
          <w:color w:val="000000" w:themeColor="text1"/>
          <w:sz w:val="24"/>
          <w:szCs w:val="24"/>
        </w:rPr>
      </w:pPr>
      <w:r>
        <w:rPr>
          <w:color w:val="000000" w:themeColor="text1"/>
          <w:sz w:val="24"/>
          <w:szCs w:val="24"/>
        </w:rPr>
        <w:t xml:space="preserve">V rámci </w:t>
      </w:r>
      <w:r w:rsidRPr="00664D26">
        <w:rPr>
          <w:b/>
          <w:bCs/>
          <w:i/>
          <w:iCs/>
          <w:color w:val="000000" w:themeColor="text1"/>
          <w:sz w:val="24"/>
          <w:szCs w:val="24"/>
        </w:rPr>
        <w:t>ostatných poplatkov</w:t>
      </w:r>
      <w:r>
        <w:rPr>
          <w:color w:val="000000" w:themeColor="text1"/>
          <w:sz w:val="24"/>
          <w:szCs w:val="24"/>
        </w:rPr>
        <w:t xml:space="preserve"> prijali do rozpočtu najviac Všeobecná pokladničná správa 12</w:t>
      </w:r>
      <w:r w:rsidR="00317CDC">
        <w:rPr>
          <w:color w:val="000000" w:themeColor="text1"/>
          <w:sz w:val="24"/>
          <w:szCs w:val="24"/>
        </w:rPr>
        <w:t> </w:t>
      </w:r>
      <w:r>
        <w:rPr>
          <w:color w:val="000000" w:themeColor="text1"/>
          <w:sz w:val="24"/>
          <w:szCs w:val="24"/>
        </w:rPr>
        <w:t>284</w:t>
      </w:r>
      <w:r w:rsidR="00317CDC">
        <w:rPr>
          <w:color w:val="000000" w:themeColor="text1"/>
          <w:sz w:val="24"/>
          <w:szCs w:val="24"/>
        </w:rPr>
        <w:t> </w:t>
      </w:r>
      <w:r>
        <w:rPr>
          <w:color w:val="000000" w:themeColor="text1"/>
          <w:sz w:val="24"/>
          <w:szCs w:val="24"/>
        </w:rPr>
        <w:t>tis. eur, Úrad jadrového dozoru SR 9</w:t>
      </w:r>
      <w:r w:rsidR="00317CDC">
        <w:rPr>
          <w:color w:val="000000" w:themeColor="text1"/>
          <w:sz w:val="24"/>
          <w:szCs w:val="24"/>
        </w:rPr>
        <w:t> </w:t>
      </w:r>
      <w:r>
        <w:rPr>
          <w:color w:val="000000" w:themeColor="text1"/>
          <w:sz w:val="24"/>
          <w:szCs w:val="24"/>
        </w:rPr>
        <w:t>048</w:t>
      </w:r>
      <w:r w:rsidR="00317CDC">
        <w:rPr>
          <w:color w:val="000000" w:themeColor="text1"/>
          <w:sz w:val="24"/>
          <w:szCs w:val="24"/>
        </w:rPr>
        <w:t> </w:t>
      </w:r>
      <w:r>
        <w:rPr>
          <w:color w:val="000000" w:themeColor="text1"/>
          <w:sz w:val="24"/>
          <w:szCs w:val="24"/>
        </w:rPr>
        <w:t>tis.</w:t>
      </w:r>
      <w:r w:rsidR="00317CDC">
        <w:rPr>
          <w:color w:val="000000" w:themeColor="text1"/>
          <w:sz w:val="24"/>
          <w:szCs w:val="24"/>
        </w:rPr>
        <w:t> </w:t>
      </w:r>
      <w:r>
        <w:rPr>
          <w:color w:val="000000" w:themeColor="text1"/>
          <w:sz w:val="24"/>
          <w:szCs w:val="24"/>
        </w:rPr>
        <w:t>eur a Úrad priemyselného</w:t>
      </w:r>
      <w:r w:rsidR="00317CDC">
        <w:rPr>
          <w:color w:val="000000" w:themeColor="text1"/>
          <w:sz w:val="24"/>
          <w:szCs w:val="24"/>
        </w:rPr>
        <w:t xml:space="preserve"> vlastníctva SR 3 641 </w:t>
      </w:r>
      <w:r w:rsidR="00A1147F">
        <w:rPr>
          <w:color w:val="000000" w:themeColor="text1"/>
          <w:sz w:val="24"/>
          <w:szCs w:val="24"/>
        </w:rPr>
        <w:t>tis.</w:t>
      </w:r>
      <w:r w:rsidR="00317CDC">
        <w:rPr>
          <w:color w:val="000000" w:themeColor="text1"/>
          <w:sz w:val="24"/>
          <w:szCs w:val="24"/>
        </w:rPr>
        <w:t> </w:t>
      </w:r>
      <w:r w:rsidR="00A1147F">
        <w:rPr>
          <w:color w:val="000000" w:themeColor="text1"/>
          <w:sz w:val="24"/>
          <w:szCs w:val="24"/>
        </w:rPr>
        <w:t>eur.</w:t>
      </w:r>
    </w:p>
    <w:p w14:paraId="35013C58" w14:textId="2690CE6D" w:rsidR="004D69BF" w:rsidRDefault="004D69BF" w:rsidP="004D69BF">
      <w:pPr>
        <w:tabs>
          <w:tab w:val="left" w:pos="284"/>
        </w:tabs>
        <w:spacing w:line="240" w:lineRule="auto"/>
        <w:rPr>
          <w:color w:val="000000" w:themeColor="text1"/>
          <w:sz w:val="24"/>
          <w:szCs w:val="24"/>
        </w:rPr>
      </w:pPr>
      <w:r>
        <w:rPr>
          <w:color w:val="000000" w:themeColor="text1"/>
          <w:sz w:val="24"/>
          <w:szCs w:val="24"/>
        </w:rPr>
        <w:t>Úrad jadrového dozoru SR dosiahol vyššie plnenie príjmov z dôvodu vyšších príjmov z poplatkov za štátny dozor, a to z dôvodu časového posunu</w:t>
      </w:r>
      <w:r w:rsidR="00317CDC">
        <w:rPr>
          <w:color w:val="000000" w:themeColor="text1"/>
          <w:sz w:val="24"/>
          <w:szCs w:val="24"/>
        </w:rPr>
        <w:t xml:space="preserve"> uvedenia do plnej prevádzky 3. </w:t>
      </w:r>
      <w:r>
        <w:rPr>
          <w:color w:val="000000" w:themeColor="text1"/>
          <w:sz w:val="24"/>
          <w:szCs w:val="24"/>
        </w:rPr>
        <w:t>bloku JE Mochovce, kedy počas výstavby boli platené vyššie príjmy za štátny dozor ako pôvodne plánoval rozpočet. Úrad priemyselného vlastníctva dosiahol vyššie príjmy z udržiavacích poplatkov a príjmy za činnosti spojené s priznávaním medzinárodných ochranných známok.</w:t>
      </w:r>
    </w:p>
    <w:p w14:paraId="0B74B990" w14:textId="55CB33E7" w:rsidR="004D69BF" w:rsidRDefault="004D69BF" w:rsidP="004D69BF">
      <w:pPr>
        <w:spacing w:line="240" w:lineRule="auto"/>
        <w:rPr>
          <w:color w:val="000000" w:themeColor="text1"/>
          <w:sz w:val="24"/>
          <w:szCs w:val="24"/>
        </w:rPr>
      </w:pPr>
      <w:r w:rsidRPr="008F0247">
        <w:rPr>
          <w:b/>
          <w:i/>
          <w:color w:val="000000" w:themeColor="text1"/>
          <w:sz w:val="24"/>
          <w:szCs w:val="24"/>
        </w:rPr>
        <w:t xml:space="preserve">Pokuty, penále a iné sankcie </w:t>
      </w:r>
      <w:r w:rsidRPr="008F0247">
        <w:rPr>
          <w:color w:val="000000" w:themeColor="text1"/>
          <w:sz w:val="24"/>
          <w:szCs w:val="24"/>
        </w:rPr>
        <w:t xml:space="preserve">dosiahli sumu </w:t>
      </w:r>
      <w:r w:rsidR="00317CDC">
        <w:rPr>
          <w:color w:val="000000" w:themeColor="text1"/>
          <w:sz w:val="24"/>
          <w:szCs w:val="24"/>
        </w:rPr>
        <w:t>106 218 </w:t>
      </w:r>
      <w:r>
        <w:rPr>
          <w:color w:val="000000" w:themeColor="text1"/>
          <w:sz w:val="24"/>
          <w:szCs w:val="24"/>
        </w:rPr>
        <w:t>tis.</w:t>
      </w:r>
      <w:r w:rsidR="00317CDC">
        <w:rPr>
          <w:color w:val="000000" w:themeColor="text1"/>
          <w:sz w:val="24"/>
          <w:szCs w:val="24"/>
        </w:rPr>
        <w:t> </w:t>
      </w:r>
      <w:r>
        <w:rPr>
          <w:color w:val="000000" w:themeColor="text1"/>
          <w:sz w:val="24"/>
          <w:szCs w:val="24"/>
        </w:rPr>
        <w:t xml:space="preserve">eur </w:t>
      </w:r>
      <w:r w:rsidR="000F7ABA">
        <w:rPr>
          <w:color w:val="000000" w:themeColor="text1"/>
          <w:sz w:val="24"/>
          <w:szCs w:val="24"/>
        </w:rPr>
        <w:t>a sú vyrubované zo </w:t>
      </w:r>
      <w:r w:rsidRPr="008F0247">
        <w:rPr>
          <w:color w:val="000000" w:themeColor="text1"/>
          <w:sz w:val="24"/>
          <w:szCs w:val="24"/>
        </w:rPr>
        <w:t xml:space="preserve">strany štátnych úradov najmä v súvislosti s porušením </w:t>
      </w:r>
      <w:r>
        <w:rPr>
          <w:color w:val="000000" w:themeColor="text1"/>
          <w:sz w:val="24"/>
          <w:szCs w:val="24"/>
        </w:rPr>
        <w:t>finančnej disciplíny a za porušenie právnych predpisov, napr. rozpočtových pravidiel, zákona o štát</w:t>
      </w:r>
      <w:r w:rsidR="000F7ABA">
        <w:rPr>
          <w:color w:val="000000" w:themeColor="text1"/>
          <w:sz w:val="24"/>
          <w:szCs w:val="24"/>
        </w:rPr>
        <w:t>nej kontrole vnútorného trhu vo </w:t>
      </w:r>
      <w:r>
        <w:rPr>
          <w:color w:val="000000" w:themeColor="text1"/>
          <w:sz w:val="24"/>
          <w:szCs w:val="24"/>
        </w:rPr>
        <w:t xml:space="preserve">veciach ochrany spotrebiteľa, </w:t>
      </w:r>
      <w:r w:rsidRPr="008F0247">
        <w:rPr>
          <w:color w:val="000000" w:themeColor="text1"/>
          <w:sz w:val="24"/>
          <w:szCs w:val="24"/>
        </w:rPr>
        <w:t>cenových</w:t>
      </w:r>
      <w:r>
        <w:rPr>
          <w:color w:val="000000" w:themeColor="text1"/>
          <w:sz w:val="24"/>
          <w:szCs w:val="24"/>
        </w:rPr>
        <w:t xml:space="preserve"> predpisov, pokuty za priestupky v oblasti bezpečnosti a plynulosti cestnej premávky (MV SR), pokuty v oblasti ochrany hospodárskej súťaže (Protimonopolný úrad SR) a ďalšie predpisy.</w:t>
      </w:r>
    </w:p>
    <w:p w14:paraId="17FF88A1" w14:textId="2C7BBC72" w:rsidR="004D69BF" w:rsidRDefault="004D69BF" w:rsidP="004D69BF">
      <w:pPr>
        <w:spacing w:line="240" w:lineRule="auto"/>
        <w:rPr>
          <w:color w:val="000000" w:themeColor="text1"/>
          <w:sz w:val="24"/>
          <w:szCs w:val="24"/>
        </w:rPr>
      </w:pPr>
      <w:r w:rsidRPr="001F4F94">
        <w:rPr>
          <w:color w:val="000000" w:themeColor="text1"/>
          <w:sz w:val="24"/>
          <w:szCs w:val="24"/>
          <w:u w:val="single"/>
        </w:rPr>
        <w:t>Príjmy za porušenie právnych predpisov</w:t>
      </w:r>
      <w:r>
        <w:rPr>
          <w:color w:val="000000" w:themeColor="text1"/>
          <w:sz w:val="24"/>
          <w:szCs w:val="24"/>
        </w:rPr>
        <w:t xml:space="preserve"> dosiahli 106</w:t>
      </w:r>
      <w:r w:rsidR="00317CDC">
        <w:rPr>
          <w:color w:val="000000" w:themeColor="text1"/>
          <w:sz w:val="24"/>
          <w:szCs w:val="24"/>
        </w:rPr>
        <w:t> </w:t>
      </w:r>
      <w:r>
        <w:rPr>
          <w:color w:val="000000" w:themeColor="text1"/>
          <w:sz w:val="24"/>
          <w:szCs w:val="24"/>
        </w:rPr>
        <w:t>026</w:t>
      </w:r>
      <w:r w:rsidR="00317CDC">
        <w:rPr>
          <w:color w:val="000000" w:themeColor="text1"/>
          <w:sz w:val="24"/>
          <w:szCs w:val="24"/>
        </w:rPr>
        <w:t> </w:t>
      </w:r>
      <w:r>
        <w:rPr>
          <w:color w:val="000000" w:themeColor="text1"/>
          <w:sz w:val="24"/>
          <w:szCs w:val="24"/>
        </w:rPr>
        <w:t>tis.</w:t>
      </w:r>
      <w:r w:rsidR="00317CDC">
        <w:rPr>
          <w:color w:val="000000" w:themeColor="text1"/>
          <w:sz w:val="24"/>
          <w:szCs w:val="24"/>
        </w:rPr>
        <w:t> </w:t>
      </w:r>
      <w:r>
        <w:rPr>
          <w:color w:val="000000" w:themeColor="text1"/>
          <w:sz w:val="24"/>
          <w:szCs w:val="24"/>
        </w:rPr>
        <w:t>eur a oprot</w:t>
      </w:r>
      <w:r w:rsidR="00317CDC">
        <w:rPr>
          <w:color w:val="000000" w:themeColor="text1"/>
          <w:sz w:val="24"/>
          <w:szCs w:val="24"/>
        </w:rPr>
        <w:t>i rozpočtu boli vyššie o 47 625 </w:t>
      </w:r>
      <w:r>
        <w:rPr>
          <w:color w:val="000000" w:themeColor="text1"/>
          <w:sz w:val="24"/>
          <w:szCs w:val="24"/>
        </w:rPr>
        <w:t>tis.</w:t>
      </w:r>
      <w:r w:rsidR="00317CDC">
        <w:rPr>
          <w:color w:val="000000" w:themeColor="text1"/>
          <w:sz w:val="24"/>
          <w:szCs w:val="24"/>
        </w:rPr>
        <w:t> </w:t>
      </w:r>
      <w:r>
        <w:rPr>
          <w:color w:val="000000" w:themeColor="text1"/>
          <w:sz w:val="24"/>
          <w:szCs w:val="24"/>
        </w:rPr>
        <w:t xml:space="preserve">eur. V porovnaní so skutočnosťou </w:t>
      </w:r>
      <w:r w:rsidR="00317CDC">
        <w:rPr>
          <w:color w:val="000000" w:themeColor="text1"/>
          <w:sz w:val="24"/>
          <w:szCs w:val="24"/>
        </w:rPr>
        <w:t>roku 2023 ide o nárast o 28 263 </w:t>
      </w:r>
      <w:r>
        <w:rPr>
          <w:color w:val="000000" w:themeColor="text1"/>
          <w:sz w:val="24"/>
          <w:szCs w:val="24"/>
        </w:rPr>
        <w:t>tis.</w:t>
      </w:r>
      <w:r w:rsidR="00317CDC">
        <w:rPr>
          <w:color w:val="000000" w:themeColor="text1"/>
          <w:sz w:val="24"/>
          <w:szCs w:val="24"/>
        </w:rPr>
        <w:t> </w:t>
      </w:r>
      <w:r>
        <w:rPr>
          <w:color w:val="000000" w:themeColor="text1"/>
          <w:sz w:val="24"/>
          <w:szCs w:val="24"/>
        </w:rPr>
        <w:t>eur. Najvýznamnejšiu sumu za skutočnosť roku 2024 vykazuje Ministerstvo vnútra SR, 59</w:t>
      </w:r>
      <w:r w:rsidR="00317CDC">
        <w:rPr>
          <w:color w:val="000000" w:themeColor="text1"/>
          <w:sz w:val="24"/>
          <w:szCs w:val="24"/>
        </w:rPr>
        <w:t> </w:t>
      </w:r>
      <w:r>
        <w:rPr>
          <w:color w:val="000000" w:themeColor="text1"/>
          <w:sz w:val="24"/>
          <w:szCs w:val="24"/>
        </w:rPr>
        <w:t>059</w:t>
      </w:r>
      <w:r w:rsidR="00317CDC">
        <w:rPr>
          <w:color w:val="000000" w:themeColor="text1"/>
          <w:sz w:val="24"/>
          <w:szCs w:val="24"/>
        </w:rPr>
        <w:t> </w:t>
      </w:r>
      <w:r>
        <w:rPr>
          <w:color w:val="000000" w:themeColor="text1"/>
          <w:sz w:val="24"/>
          <w:szCs w:val="24"/>
        </w:rPr>
        <w:t>tis.</w:t>
      </w:r>
      <w:r w:rsidR="00317CDC">
        <w:rPr>
          <w:color w:val="000000" w:themeColor="text1"/>
          <w:sz w:val="24"/>
          <w:szCs w:val="24"/>
        </w:rPr>
        <w:t> </w:t>
      </w:r>
      <w:r>
        <w:rPr>
          <w:color w:val="000000" w:themeColor="text1"/>
          <w:sz w:val="24"/>
          <w:szCs w:val="24"/>
        </w:rPr>
        <w:t>eur (medziročne viac o</w:t>
      </w:r>
      <w:r w:rsidR="00317CDC">
        <w:rPr>
          <w:color w:val="000000" w:themeColor="text1"/>
          <w:sz w:val="24"/>
          <w:szCs w:val="24"/>
        </w:rPr>
        <w:t> </w:t>
      </w:r>
      <w:r>
        <w:rPr>
          <w:color w:val="000000" w:themeColor="text1"/>
          <w:sz w:val="24"/>
          <w:szCs w:val="24"/>
        </w:rPr>
        <w:t>1</w:t>
      </w:r>
      <w:r w:rsidR="00317CDC">
        <w:rPr>
          <w:color w:val="000000" w:themeColor="text1"/>
          <w:sz w:val="24"/>
          <w:szCs w:val="24"/>
        </w:rPr>
        <w:t> </w:t>
      </w:r>
      <w:r>
        <w:rPr>
          <w:color w:val="000000" w:themeColor="text1"/>
          <w:sz w:val="24"/>
          <w:szCs w:val="24"/>
        </w:rPr>
        <w:t>436</w:t>
      </w:r>
      <w:r w:rsidR="00317CDC">
        <w:rPr>
          <w:color w:val="000000" w:themeColor="text1"/>
          <w:sz w:val="24"/>
          <w:szCs w:val="24"/>
        </w:rPr>
        <w:t> </w:t>
      </w:r>
      <w:r>
        <w:rPr>
          <w:color w:val="000000" w:themeColor="text1"/>
          <w:sz w:val="24"/>
          <w:szCs w:val="24"/>
        </w:rPr>
        <w:t>tis.</w:t>
      </w:r>
      <w:r w:rsidR="00317CDC">
        <w:rPr>
          <w:color w:val="000000" w:themeColor="text1"/>
          <w:sz w:val="24"/>
          <w:szCs w:val="24"/>
        </w:rPr>
        <w:t> </w:t>
      </w:r>
      <w:r>
        <w:rPr>
          <w:color w:val="000000" w:themeColor="text1"/>
          <w:sz w:val="24"/>
          <w:szCs w:val="24"/>
        </w:rPr>
        <w:t>eur), Protimonopolný úrad SR, 26</w:t>
      </w:r>
      <w:r w:rsidR="00317CDC">
        <w:rPr>
          <w:color w:val="000000" w:themeColor="text1"/>
          <w:sz w:val="24"/>
          <w:szCs w:val="24"/>
        </w:rPr>
        <w:t> </w:t>
      </w:r>
      <w:r>
        <w:rPr>
          <w:color w:val="000000" w:themeColor="text1"/>
          <w:sz w:val="24"/>
          <w:szCs w:val="24"/>
        </w:rPr>
        <w:t>669</w:t>
      </w:r>
      <w:r w:rsidR="00317CDC">
        <w:rPr>
          <w:color w:val="000000" w:themeColor="text1"/>
          <w:sz w:val="24"/>
          <w:szCs w:val="24"/>
        </w:rPr>
        <w:t> </w:t>
      </w:r>
      <w:r>
        <w:rPr>
          <w:color w:val="000000" w:themeColor="text1"/>
          <w:sz w:val="24"/>
          <w:szCs w:val="24"/>
        </w:rPr>
        <w:t>tis.</w:t>
      </w:r>
      <w:r w:rsidR="00317CDC">
        <w:rPr>
          <w:color w:val="000000" w:themeColor="text1"/>
          <w:sz w:val="24"/>
          <w:szCs w:val="24"/>
        </w:rPr>
        <w:t> </w:t>
      </w:r>
      <w:r>
        <w:rPr>
          <w:color w:val="000000" w:themeColor="text1"/>
          <w:sz w:val="24"/>
          <w:szCs w:val="24"/>
        </w:rPr>
        <w:t>eur (medziročne viac o 25</w:t>
      </w:r>
      <w:r w:rsidR="00317CDC">
        <w:rPr>
          <w:color w:val="000000" w:themeColor="text1"/>
          <w:sz w:val="24"/>
          <w:szCs w:val="24"/>
        </w:rPr>
        <w:t> </w:t>
      </w:r>
      <w:r>
        <w:rPr>
          <w:color w:val="000000" w:themeColor="text1"/>
          <w:sz w:val="24"/>
          <w:szCs w:val="24"/>
        </w:rPr>
        <w:t>461</w:t>
      </w:r>
      <w:r w:rsidR="00317CDC">
        <w:rPr>
          <w:color w:val="000000" w:themeColor="text1"/>
          <w:sz w:val="24"/>
          <w:szCs w:val="24"/>
        </w:rPr>
        <w:t> </w:t>
      </w:r>
      <w:r>
        <w:rPr>
          <w:color w:val="000000" w:themeColor="text1"/>
          <w:sz w:val="24"/>
          <w:szCs w:val="24"/>
        </w:rPr>
        <w:t>tis.</w:t>
      </w:r>
      <w:r w:rsidR="00317CDC">
        <w:rPr>
          <w:color w:val="000000" w:themeColor="text1"/>
          <w:sz w:val="24"/>
          <w:szCs w:val="24"/>
        </w:rPr>
        <w:t> </w:t>
      </w:r>
      <w:r>
        <w:rPr>
          <w:color w:val="000000" w:themeColor="text1"/>
          <w:sz w:val="24"/>
          <w:szCs w:val="24"/>
        </w:rPr>
        <w:t>eur).</w:t>
      </w:r>
    </w:p>
    <w:p w14:paraId="41294E9F" w14:textId="76FCE6FA" w:rsidR="004D69BF" w:rsidRDefault="004D69BF" w:rsidP="004D69BF">
      <w:pPr>
        <w:spacing w:line="240" w:lineRule="auto"/>
        <w:rPr>
          <w:color w:val="000000" w:themeColor="text1"/>
          <w:sz w:val="24"/>
          <w:szCs w:val="24"/>
        </w:rPr>
      </w:pPr>
      <w:r>
        <w:rPr>
          <w:color w:val="000000" w:themeColor="text1"/>
          <w:sz w:val="24"/>
          <w:szCs w:val="24"/>
        </w:rPr>
        <w:t>Ministerstvo vnútra SR dosiahlo príjmy najmä za pokuty udelené policajným zborom, okresnými úradmi a hasičským záchranným zborom 30</w:t>
      </w:r>
      <w:r w:rsidR="00317CDC">
        <w:rPr>
          <w:color w:val="000000" w:themeColor="text1"/>
          <w:sz w:val="24"/>
          <w:szCs w:val="24"/>
        </w:rPr>
        <w:t> </w:t>
      </w:r>
      <w:r>
        <w:rPr>
          <w:color w:val="000000" w:themeColor="text1"/>
          <w:sz w:val="24"/>
          <w:szCs w:val="24"/>
        </w:rPr>
        <w:t>217</w:t>
      </w:r>
      <w:r w:rsidR="00317CDC">
        <w:rPr>
          <w:color w:val="000000" w:themeColor="text1"/>
          <w:sz w:val="24"/>
          <w:szCs w:val="24"/>
        </w:rPr>
        <w:t> </w:t>
      </w:r>
      <w:r>
        <w:rPr>
          <w:color w:val="000000" w:themeColor="text1"/>
          <w:sz w:val="24"/>
          <w:szCs w:val="24"/>
        </w:rPr>
        <w:t>tis.</w:t>
      </w:r>
      <w:r w:rsidR="00317CDC">
        <w:rPr>
          <w:color w:val="000000" w:themeColor="text1"/>
          <w:sz w:val="24"/>
          <w:szCs w:val="24"/>
        </w:rPr>
        <w:t> </w:t>
      </w:r>
      <w:r w:rsidR="000F7ABA">
        <w:rPr>
          <w:color w:val="000000" w:themeColor="text1"/>
          <w:sz w:val="24"/>
          <w:szCs w:val="24"/>
        </w:rPr>
        <w:t>eur, pokuty za </w:t>
      </w:r>
      <w:r>
        <w:rPr>
          <w:color w:val="000000" w:themeColor="text1"/>
          <w:sz w:val="24"/>
          <w:szCs w:val="24"/>
        </w:rPr>
        <w:t>diaľničné známky a mýto 22</w:t>
      </w:r>
      <w:r w:rsidR="00317CDC">
        <w:rPr>
          <w:color w:val="000000" w:themeColor="text1"/>
          <w:sz w:val="24"/>
          <w:szCs w:val="24"/>
        </w:rPr>
        <w:t> </w:t>
      </w:r>
      <w:r>
        <w:rPr>
          <w:color w:val="000000" w:themeColor="text1"/>
          <w:sz w:val="24"/>
          <w:szCs w:val="24"/>
        </w:rPr>
        <w:t>696</w:t>
      </w:r>
      <w:r w:rsidR="00317CDC">
        <w:rPr>
          <w:color w:val="000000" w:themeColor="text1"/>
          <w:sz w:val="24"/>
          <w:szCs w:val="24"/>
        </w:rPr>
        <w:t> </w:t>
      </w:r>
      <w:r>
        <w:rPr>
          <w:color w:val="000000" w:themeColor="text1"/>
          <w:sz w:val="24"/>
          <w:szCs w:val="24"/>
        </w:rPr>
        <w:t>tis.</w:t>
      </w:r>
      <w:r w:rsidR="00317CDC">
        <w:rPr>
          <w:color w:val="000000" w:themeColor="text1"/>
          <w:sz w:val="24"/>
          <w:szCs w:val="24"/>
        </w:rPr>
        <w:t> </w:t>
      </w:r>
      <w:r>
        <w:rPr>
          <w:color w:val="000000" w:themeColor="text1"/>
          <w:sz w:val="24"/>
          <w:szCs w:val="24"/>
        </w:rPr>
        <w:t>eur a pokuty za neplatnú emisnú a technickú kontrolu 6</w:t>
      </w:r>
      <w:r w:rsidR="00317CDC">
        <w:rPr>
          <w:color w:val="000000" w:themeColor="text1"/>
          <w:sz w:val="24"/>
          <w:szCs w:val="24"/>
        </w:rPr>
        <w:t> </w:t>
      </w:r>
      <w:r>
        <w:rPr>
          <w:color w:val="000000" w:themeColor="text1"/>
          <w:sz w:val="24"/>
          <w:szCs w:val="24"/>
        </w:rPr>
        <w:t>145</w:t>
      </w:r>
      <w:r w:rsidR="00317CDC">
        <w:rPr>
          <w:color w:val="000000" w:themeColor="text1"/>
          <w:sz w:val="24"/>
          <w:szCs w:val="24"/>
        </w:rPr>
        <w:t> </w:t>
      </w:r>
      <w:r>
        <w:rPr>
          <w:color w:val="000000" w:themeColor="text1"/>
          <w:sz w:val="24"/>
          <w:szCs w:val="24"/>
        </w:rPr>
        <w:t>tis.</w:t>
      </w:r>
      <w:r w:rsidR="00317CDC">
        <w:rPr>
          <w:color w:val="000000" w:themeColor="text1"/>
          <w:sz w:val="24"/>
          <w:szCs w:val="24"/>
        </w:rPr>
        <w:t> </w:t>
      </w:r>
      <w:r>
        <w:rPr>
          <w:color w:val="000000" w:themeColor="text1"/>
          <w:sz w:val="24"/>
          <w:szCs w:val="24"/>
        </w:rPr>
        <w:t>eur. V prípade Protimonopolného úradu SR ide o pokuty udelené v roku 2024 resp. o časť úhrad z pokút udelených v minulom období.</w:t>
      </w:r>
    </w:p>
    <w:p w14:paraId="68BA0433" w14:textId="32E450A0" w:rsidR="004D69BF" w:rsidRDefault="004D69BF" w:rsidP="004D69BF">
      <w:pPr>
        <w:spacing w:line="240" w:lineRule="auto"/>
        <w:rPr>
          <w:color w:val="000000" w:themeColor="text1"/>
          <w:sz w:val="24"/>
          <w:szCs w:val="24"/>
        </w:rPr>
      </w:pPr>
      <w:r w:rsidRPr="00156BB0">
        <w:rPr>
          <w:b/>
          <w:bCs/>
          <w:i/>
          <w:iCs/>
          <w:color w:val="000000" w:themeColor="text1"/>
          <w:sz w:val="24"/>
          <w:szCs w:val="24"/>
        </w:rPr>
        <w:t>Za predaj tovaru, výrobkov a služieb</w:t>
      </w:r>
      <w:r w:rsidRPr="006F5D5B">
        <w:rPr>
          <w:color w:val="000000" w:themeColor="text1"/>
          <w:sz w:val="24"/>
          <w:szCs w:val="24"/>
        </w:rPr>
        <w:t xml:space="preserve"> </w:t>
      </w:r>
      <w:r>
        <w:rPr>
          <w:color w:val="000000" w:themeColor="text1"/>
          <w:sz w:val="24"/>
          <w:szCs w:val="24"/>
        </w:rPr>
        <w:t>dosiahli príjmy 75</w:t>
      </w:r>
      <w:r w:rsidR="00317CDC">
        <w:rPr>
          <w:color w:val="000000" w:themeColor="text1"/>
          <w:sz w:val="24"/>
          <w:szCs w:val="24"/>
        </w:rPr>
        <w:t> </w:t>
      </w:r>
      <w:r>
        <w:rPr>
          <w:color w:val="000000" w:themeColor="text1"/>
          <w:sz w:val="24"/>
          <w:szCs w:val="24"/>
        </w:rPr>
        <w:t>325</w:t>
      </w:r>
      <w:r w:rsidR="00317CDC">
        <w:rPr>
          <w:color w:val="000000" w:themeColor="text1"/>
          <w:sz w:val="24"/>
          <w:szCs w:val="24"/>
        </w:rPr>
        <w:t> </w:t>
      </w:r>
      <w:r>
        <w:rPr>
          <w:color w:val="000000" w:themeColor="text1"/>
          <w:sz w:val="24"/>
          <w:szCs w:val="24"/>
        </w:rPr>
        <w:t>tis.</w:t>
      </w:r>
      <w:r w:rsidR="00317CDC">
        <w:rPr>
          <w:color w:val="000000" w:themeColor="text1"/>
          <w:sz w:val="24"/>
          <w:szCs w:val="24"/>
        </w:rPr>
        <w:t> </w:t>
      </w:r>
      <w:r>
        <w:rPr>
          <w:color w:val="000000" w:themeColor="text1"/>
          <w:sz w:val="24"/>
          <w:szCs w:val="24"/>
        </w:rPr>
        <w:t xml:space="preserve">eur, v rámci nich najviac vyinkasovala kapitola </w:t>
      </w:r>
      <w:r w:rsidR="00317CDC">
        <w:rPr>
          <w:color w:val="000000" w:themeColor="text1"/>
          <w:sz w:val="24"/>
          <w:szCs w:val="24"/>
        </w:rPr>
        <w:t>Ministerstva dopravy SR (31 432 </w:t>
      </w:r>
      <w:r>
        <w:rPr>
          <w:color w:val="000000" w:themeColor="text1"/>
          <w:sz w:val="24"/>
          <w:szCs w:val="24"/>
        </w:rPr>
        <w:t>tis.</w:t>
      </w:r>
      <w:r w:rsidR="00317CDC">
        <w:rPr>
          <w:color w:val="000000" w:themeColor="text1"/>
          <w:sz w:val="24"/>
          <w:szCs w:val="24"/>
        </w:rPr>
        <w:t> </w:t>
      </w:r>
      <w:r>
        <w:rPr>
          <w:color w:val="000000" w:themeColor="text1"/>
          <w:sz w:val="24"/>
          <w:szCs w:val="24"/>
        </w:rPr>
        <w:t>eur) a z nej Úrad pre reguláciu elektronických komunik</w:t>
      </w:r>
      <w:r w:rsidR="00317CDC">
        <w:rPr>
          <w:color w:val="000000" w:themeColor="text1"/>
          <w:sz w:val="24"/>
          <w:szCs w:val="24"/>
        </w:rPr>
        <w:t>ácií a poštových služieb 25 082 </w:t>
      </w:r>
      <w:r>
        <w:rPr>
          <w:color w:val="000000" w:themeColor="text1"/>
          <w:sz w:val="24"/>
          <w:szCs w:val="24"/>
        </w:rPr>
        <w:t>tis.</w:t>
      </w:r>
      <w:r w:rsidR="00317CDC">
        <w:rPr>
          <w:color w:val="000000" w:themeColor="text1"/>
          <w:sz w:val="24"/>
          <w:szCs w:val="24"/>
        </w:rPr>
        <w:t> </w:t>
      </w:r>
      <w:r>
        <w:rPr>
          <w:color w:val="000000" w:themeColor="text1"/>
          <w:sz w:val="24"/>
          <w:szCs w:val="24"/>
        </w:rPr>
        <w:t>eur, z jednorazových úhrad za</w:t>
      </w:r>
      <w:r w:rsidR="00317CDC">
        <w:rPr>
          <w:color w:val="000000" w:themeColor="text1"/>
          <w:sz w:val="24"/>
          <w:szCs w:val="24"/>
        </w:rPr>
        <w:t> </w:t>
      </w:r>
      <w:r>
        <w:rPr>
          <w:color w:val="000000" w:themeColor="text1"/>
          <w:sz w:val="24"/>
          <w:szCs w:val="24"/>
        </w:rPr>
        <w:t>pridelené frekvencie tele</w:t>
      </w:r>
      <w:r w:rsidR="00317CDC">
        <w:rPr>
          <w:color w:val="000000" w:themeColor="text1"/>
          <w:sz w:val="24"/>
          <w:szCs w:val="24"/>
        </w:rPr>
        <w:t>komunikačným operátorom (13 674 </w:t>
      </w:r>
      <w:r>
        <w:rPr>
          <w:color w:val="000000" w:themeColor="text1"/>
          <w:sz w:val="24"/>
          <w:szCs w:val="24"/>
        </w:rPr>
        <w:t>tis.</w:t>
      </w:r>
      <w:r w:rsidR="00317CDC">
        <w:rPr>
          <w:color w:val="000000" w:themeColor="text1"/>
          <w:sz w:val="24"/>
          <w:szCs w:val="24"/>
        </w:rPr>
        <w:t> </w:t>
      </w:r>
      <w:r>
        <w:rPr>
          <w:color w:val="000000" w:themeColor="text1"/>
          <w:sz w:val="24"/>
          <w:szCs w:val="24"/>
        </w:rPr>
        <w:t>eur za</w:t>
      </w:r>
      <w:r w:rsidR="00317CDC">
        <w:rPr>
          <w:color w:val="000000" w:themeColor="text1"/>
          <w:sz w:val="24"/>
          <w:szCs w:val="24"/>
        </w:rPr>
        <w:t> </w:t>
      </w:r>
      <w:r>
        <w:rPr>
          <w:color w:val="000000" w:themeColor="text1"/>
          <w:sz w:val="24"/>
          <w:szCs w:val="24"/>
        </w:rPr>
        <w:t>obnovu licencií v pásmach 900</w:t>
      </w:r>
      <w:r w:rsidR="00317CDC">
        <w:rPr>
          <w:color w:val="000000" w:themeColor="text1"/>
          <w:sz w:val="24"/>
          <w:szCs w:val="24"/>
        </w:rPr>
        <w:t> MHz a 2000 </w:t>
      </w:r>
      <w:r>
        <w:rPr>
          <w:color w:val="000000" w:themeColor="text1"/>
          <w:sz w:val="24"/>
          <w:szCs w:val="24"/>
        </w:rPr>
        <w:t>MHz), príjmy z pridelených čísiel a podobne, kapitola Ministerstva spravodlivosti SR (23</w:t>
      </w:r>
      <w:r w:rsidR="00317CDC">
        <w:rPr>
          <w:color w:val="000000" w:themeColor="text1"/>
          <w:sz w:val="24"/>
          <w:szCs w:val="24"/>
        </w:rPr>
        <w:t> </w:t>
      </w:r>
      <w:r>
        <w:rPr>
          <w:color w:val="000000" w:themeColor="text1"/>
          <w:sz w:val="24"/>
          <w:szCs w:val="24"/>
        </w:rPr>
        <w:t>284</w:t>
      </w:r>
      <w:r w:rsidR="00317CDC">
        <w:rPr>
          <w:color w:val="000000" w:themeColor="text1"/>
          <w:sz w:val="24"/>
          <w:szCs w:val="24"/>
        </w:rPr>
        <w:t> </w:t>
      </w:r>
      <w:r>
        <w:rPr>
          <w:color w:val="000000" w:themeColor="text1"/>
          <w:sz w:val="24"/>
          <w:szCs w:val="24"/>
        </w:rPr>
        <w:t>tis.</w:t>
      </w:r>
      <w:r w:rsidR="00317CDC">
        <w:rPr>
          <w:color w:val="000000" w:themeColor="text1"/>
          <w:sz w:val="24"/>
          <w:szCs w:val="24"/>
        </w:rPr>
        <w:t> </w:t>
      </w:r>
      <w:r>
        <w:rPr>
          <w:color w:val="000000" w:themeColor="text1"/>
          <w:sz w:val="24"/>
          <w:szCs w:val="24"/>
        </w:rPr>
        <w:t>eur) a z nej hlavne ústavy na výkon trestu odňatia slobody, 16</w:t>
      </w:r>
      <w:r w:rsidR="00317CDC">
        <w:rPr>
          <w:color w:val="000000" w:themeColor="text1"/>
          <w:sz w:val="24"/>
          <w:szCs w:val="24"/>
        </w:rPr>
        <w:t> </w:t>
      </w:r>
      <w:r>
        <w:rPr>
          <w:color w:val="000000" w:themeColor="text1"/>
          <w:sz w:val="24"/>
          <w:szCs w:val="24"/>
        </w:rPr>
        <w:t>473</w:t>
      </w:r>
      <w:r w:rsidR="00317CDC">
        <w:rPr>
          <w:color w:val="000000" w:themeColor="text1"/>
          <w:sz w:val="24"/>
          <w:szCs w:val="24"/>
        </w:rPr>
        <w:t> tis. </w:t>
      </w:r>
      <w:r>
        <w:rPr>
          <w:color w:val="000000" w:themeColor="text1"/>
          <w:sz w:val="24"/>
          <w:szCs w:val="24"/>
        </w:rPr>
        <w:t>eur napr. z činnosti vedľajšej hospodárskej činnosti a nemocnica pre</w:t>
      </w:r>
      <w:r w:rsidR="000F7ABA">
        <w:rPr>
          <w:color w:val="000000" w:themeColor="text1"/>
          <w:sz w:val="24"/>
          <w:szCs w:val="24"/>
        </w:rPr>
        <w:t> </w:t>
      </w:r>
      <w:r>
        <w:rPr>
          <w:color w:val="000000" w:themeColor="text1"/>
          <w:sz w:val="24"/>
          <w:szCs w:val="24"/>
        </w:rPr>
        <w:t>obvinených a odsúdených,</w:t>
      </w:r>
      <w:r w:rsidRPr="00F32752">
        <w:rPr>
          <w:color w:val="000000" w:themeColor="text1"/>
          <w:sz w:val="24"/>
          <w:szCs w:val="24"/>
        </w:rPr>
        <w:t xml:space="preserve"> </w:t>
      </w:r>
      <w:r w:rsidR="00317CDC">
        <w:rPr>
          <w:color w:val="000000" w:themeColor="text1"/>
          <w:sz w:val="24"/>
          <w:szCs w:val="24"/>
        </w:rPr>
        <w:t>4 224 </w:t>
      </w:r>
      <w:r>
        <w:rPr>
          <w:color w:val="000000" w:themeColor="text1"/>
          <w:sz w:val="24"/>
          <w:szCs w:val="24"/>
        </w:rPr>
        <w:t>tis.</w:t>
      </w:r>
      <w:r w:rsidR="00317CDC">
        <w:rPr>
          <w:color w:val="000000" w:themeColor="text1"/>
          <w:sz w:val="24"/>
          <w:szCs w:val="24"/>
        </w:rPr>
        <w:t> </w:t>
      </w:r>
      <w:r>
        <w:rPr>
          <w:color w:val="000000" w:themeColor="text1"/>
          <w:sz w:val="24"/>
          <w:szCs w:val="24"/>
        </w:rPr>
        <w:t>eur za výkony zdravotnej starostlivosti.</w:t>
      </w:r>
    </w:p>
    <w:p w14:paraId="433FFB95" w14:textId="61E0C1F0" w:rsidR="004D69BF" w:rsidRDefault="004D69BF" w:rsidP="004D69BF">
      <w:pPr>
        <w:spacing w:line="240" w:lineRule="auto"/>
        <w:rPr>
          <w:color w:val="000000" w:themeColor="text1"/>
          <w:sz w:val="24"/>
          <w:szCs w:val="24"/>
        </w:rPr>
      </w:pPr>
      <w:r>
        <w:rPr>
          <w:color w:val="000000" w:themeColor="text1"/>
          <w:sz w:val="24"/>
          <w:szCs w:val="24"/>
        </w:rPr>
        <w:t>Nižšie čiastky inkasovali kapitol</w:t>
      </w:r>
      <w:r w:rsidR="00317CDC">
        <w:rPr>
          <w:color w:val="000000" w:themeColor="text1"/>
          <w:sz w:val="24"/>
          <w:szCs w:val="24"/>
        </w:rPr>
        <w:t>a Ministerstva vnútra SR, 4 907 </w:t>
      </w:r>
      <w:r>
        <w:rPr>
          <w:color w:val="000000" w:themeColor="text1"/>
          <w:sz w:val="24"/>
          <w:szCs w:val="24"/>
        </w:rPr>
        <w:t>tis.</w:t>
      </w:r>
      <w:r w:rsidR="00317CDC">
        <w:rPr>
          <w:color w:val="000000" w:themeColor="text1"/>
          <w:sz w:val="24"/>
          <w:szCs w:val="24"/>
        </w:rPr>
        <w:t> </w:t>
      </w:r>
      <w:r>
        <w:rPr>
          <w:color w:val="000000" w:themeColor="text1"/>
          <w:sz w:val="24"/>
          <w:szCs w:val="24"/>
        </w:rPr>
        <w:t xml:space="preserve">eur najmä </w:t>
      </w:r>
      <w:r w:rsidRPr="00C755F0">
        <w:rPr>
          <w:rFonts w:cs="Times New Roman"/>
          <w:color w:val="000000" w:themeColor="text1"/>
          <w:sz w:val="24"/>
          <w:szCs w:val="24"/>
        </w:rPr>
        <w:t>za poskytovanie služieb ochrany objektov v súvislosti s napojením objektov na tzv. pulty centralizovanej ochrany</w:t>
      </w:r>
      <w:r>
        <w:rPr>
          <w:rFonts w:cs="Times New Roman"/>
          <w:color w:val="000000" w:themeColor="text1"/>
          <w:sz w:val="24"/>
          <w:szCs w:val="24"/>
        </w:rPr>
        <w:t xml:space="preserve"> a ďalšie služby</w:t>
      </w:r>
      <w:r w:rsidRPr="00C755F0">
        <w:rPr>
          <w:rFonts w:cs="Times New Roman"/>
          <w:color w:val="000000" w:themeColor="text1"/>
          <w:sz w:val="24"/>
          <w:szCs w:val="24"/>
        </w:rPr>
        <w:t xml:space="preserve"> </w:t>
      </w:r>
      <w:r>
        <w:rPr>
          <w:color w:val="000000" w:themeColor="text1"/>
          <w:sz w:val="24"/>
          <w:szCs w:val="24"/>
        </w:rPr>
        <w:t>a Ministerstva obrany SR, 4</w:t>
      </w:r>
      <w:r w:rsidR="00317CDC">
        <w:rPr>
          <w:color w:val="000000" w:themeColor="text1"/>
          <w:sz w:val="24"/>
          <w:szCs w:val="24"/>
        </w:rPr>
        <w:t> </w:t>
      </w:r>
      <w:r>
        <w:rPr>
          <w:color w:val="000000" w:themeColor="text1"/>
          <w:sz w:val="24"/>
          <w:szCs w:val="24"/>
        </w:rPr>
        <w:t>457</w:t>
      </w:r>
      <w:r w:rsidR="00317CDC">
        <w:rPr>
          <w:color w:val="000000" w:themeColor="text1"/>
          <w:sz w:val="24"/>
          <w:szCs w:val="24"/>
        </w:rPr>
        <w:t> </w:t>
      </w:r>
      <w:r>
        <w:rPr>
          <w:color w:val="000000" w:themeColor="text1"/>
          <w:sz w:val="24"/>
          <w:szCs w:val="24"/>
        </w:rPr>
        <w:t>tis.</w:t>
      </w:r>
      <w:r w:rsidR="00317CDC">
        <w:rPr>
          <w:color w:val="000000" w:themeColor="text1"/>
          <w:sz w:val="24"/>
          <w:szCs w:val="24"/>
        </w:rPr>
        <w:t> </w:t>
      </w:r>
      <w:r w:rsidRPr="008258B3">
        <w:rPr>
          <w:color w:val="000000" w:themeColor="text1"/>
          <w:sz w:val="24"/>
          <w:szCs w:val="24"/>
        </w:rPr>
        <w:t>eur. Centrum výcviku Lešť 3</w:t>
      </w:r>
      <w:r w:rsidR="00317CDC">
        <w:rPr>
          <w:color w:val="000000" w:themeColor="text1"/>
          <w:sz w:val="24"/>
          <w:szCs w:val="24"/>
        </w:rPr>
        <w:t> </w:t>
      </w:r>
      <w:r w:rsidRPr="008258B3">
        <w:rPr>
          <w:color w:val="000000" w:themeColor="text1"/>
          <w:sz w:val="24"/>
          <w:szCs w:val="24"/>
        </w:rPr>
        <w:t>063</w:t>
      </w:r>
      <w:r w:rsidR="00317CDC">
        <w:rPr>
          <w:color w:val="000000" w:themeColor="text1"/>
          <w:sz w:val="24"/>
          <w:szCs w:val="24"/>
        </w:rPr>
        <w:t> </w:t>
      </w:r>
      <w:r w:rsidRPr="008258B3">
        <w:rPr>
          <w:color w:val="000000" w:themeColor="text1"/>
          <w:sz w:val="24"/>
          <w:szCs w:val="24"/>
        </w:rPr>
        <w:t>tis.</w:t>
      </w:r>
      <w:r w:rsidR="00317CDC">
        <w:rPr>
          <w:color w:val="000000" w:themeColor="text1"/>
          <w:sz w:val="24"/>
          <w:szCs w:val="24"/>
        </w:rPr>
        <w:t> </w:t>
      </w:r>
      <w:r w:rsidRPr="008258B3">
        <w:rPr>
          <w:color w:val="000000" w:themeColor="text1"/>
          <w:sz w:val="24"/>
          <w:szCs w:val="24"/>
        </w:rPr>
        <w:t>eur zvýšila svoje príjmy za ubyt</w:t>
      </w:r>
      <w:r w:rsidR="000F7ABA">
        <w:rPr>
          <w:color w:val="000000" w:themeColor="text1"/>
          <w:sz w:val="24"/>
          <w:szCs w:val="24"/>
        </w:rPr>
        <w:t>ovanie a iné služby súvisiace s </w:t>
      </w:r>
      <w:r w:rsidRPr="008258B3">
        <w:rPr>
          <w:color w:val="000000" w:themeColor="text1"/>
          <w:sz w:val="24"/>
          <w:szCs w:val="24"/>
        </w:rPr>
        <w:t>vyšším počtom medzinárodných cvičení, cvičení medzirezortných jednotiek a ozbrojených síl SR.</w:t>
      </w:r>
    </w:p>
    <w:p w14:paraId="08A361EB" w14:textId="69A784A6" w:rsidR="004D69BF" w:rsidRDefault="004D69BF" w:rsidP="004D69BF">
      <w:pPr>
        <w:spacing w:line="240" w:lineRule="auto"/>
        <w:rPr>
          <w:color w:val="000000" w:themeColor="text1"/>
          <w:sz w:val="24"/>
          <w:szCs w:val="24"/>
        </w:rPr>
      </w:pPr>
      <w:r w:rsidRPr="00F06901">
        <w:rPr>
          <w:b/>
          <w:color w:val="000000" w:themeColor="text1"/>
          <w:sz w:val="24"/>
          <w:szCs w:val="24"/>
        </w:rPr>
        <w:lastRenderedPageBreak/>
        <w:t>Úroky z tuzemských úverov, pôžičiek</w:t>
      </w:r>
      <w:r>
        <w:rPr>
          <w:b/>
          <w:color w:val="000000" w:themeColor="text1"/>
          <w:sz w:val="24"/>
          <w:szCs w:val="24"/>
        </w:rPr>
        <w:t>,</w:t>
      </w:r>
      <w:r w:rsidRPr="00F06901">
        <w:rPr>
          <w:b/>
          <w:color w:val="000000" w:themeColor="text1"/>
          <w:sz w:val="24"/>
          <w:szCs w:val="24"/>
        </w:rPr>
        <w:t> návratných finančných výpomocí</w:t>
      </w:r>
      <w:r>
        <w:rPr>
          <w:b/>
          <w:color w:val="000000" w:themeColor="text1"/>
          <w:sz w:val="24"/>
          <w:szCs w:val="24"/>
        </w:rPr>
        <w:t xml:space="preserve"> a z účtov finančného hospodárenia </w:t>
      </w:r>
      <w:r w:rsidRPr="00F06901">
        <w:rPr>
          <w:color w:val="000000" w:themeColor="text1"/>
          <w:sz w:val="24"/>
          <w:szCs w:val="24"/>
        </w:rPr>
        <w:t xml:space="preserve">dosiahli </w:t>
      </w:r>
      <w:r>
        <w:rPr>
          <w:color w:val="000000" w:themeColor="text1"/>
          <w:sz w:val="24"/>
          <w:szCs w:val="24"/>
        </w:rPr>
        <w:t>139</w:t>
      </w:r>
      <w:r w:rsidR="00317CDC">
        <w:rPr>
          <w:color w:val="000000" w:themeColor="text1"/>
          <w:sz w:val="24"/>
          <w:szCs w:val="24"/>
        </w:rPr>
        <w:t> </w:t>
      </w:r>
      <w:r>
        <w:rPr>
          <w:color w:val="000000" w:themeColor="text1"/>
          <w:sz w:val="24"/>
          <w:szCs w:val="24"/>
        </w:rPr>
        <w:t>530</w:t>
      </w:r>
      <w:r w:rsidR="00317CDC">
        <w:rPr>
          <w:color w:val="000000" w:themeColor="text1"/>
          <w:sz w:val="24"/>
          <w:szCs w:val="24"/>
        </w:rPr>
        <w:t> </w:t>
      </w:r>
      <w:r>
        <w:rPr>
          <w:color w:val="000000" w:themeColor="text1"/>
          <w:sz w:val="24"/>
          <w:szCs w:val="24"/>
        </w:rPr>
        <w:t>tis.</w:t>
      </w:r>
      <w:r w:rsidR="00317CDC">
        <w:rPr>
          <w:color w:val="000000" w:themeColor="text1"/>
          <w:sz w:val="24"/>
          <w:szCs w:val="24"/>
        </w:rPr>
        <w:t> </w:t>
      </w:r>
      <w:r>
        <w:rPr>
          <w:color w:val="000000" w:themeColor="text1"/>
          <w:sz w:val="24"/>
          <w:szCs w:val="24"/>
        </w:rPr>
        <w:t xml:space="preserve">eur, </w:t>
      </w:r>
      <w:r w:rsidRPr="00F06901">
        <w:rPr>
          <w:color w:val="000000" w:themeColor="text1"/>
          <w:sz w:val="24"/>
          <w:szCs w:val="24"/>
        </w:rPr>
        <w:t>čo je oproti schválenému rozpočtu o</w:t>
      </w:r>
      <w:r w:rsidR="00317CDC">
        <w:rPr>
          <w:color w:val="000000" w:themeColor="text1"/>
          <w:sz w:val="24"/>
          <w:szCs w:val="24"/>
        </w:rPr>
        <w:t> 12 246 </w:t>
      </w:r>
      <w:r>
        <w:rPr>
          <w:color w:val="000000" w:themeColor="text1"/>
          <w:sz w:val="24"/>
          <w:szCs w:val="24"/>
        </w:rPr>
        <w:t>tis.</w:t>
      </w:r>
      <w:r w:rsidR="00317CDC">
        <w:rPr>
          <w:color w:val="000000" w:themeColor="text1"/>
          <w:sz w:val="24"/>
          <w:szCs w:val="24"/>
        </w:rPr>
        <w:t> </w:t>
      </w:r>
      <w:r>
        <w:rPr>
          <w:color w:val="000000" w:themeColor="text1"/>
          <w:sz w:val="24"/>
          <w:szCs w:val="24"/>
        </w:rPr>
        <w:t>eur viac a medziročne viac o 17</w:t>
      </w:r>
      <w:r w:rsidR="00317CDC">
        <w:rPr>
          <w:color w:val="000000" w:themeColor="text1"/>
          <w:sz w:val="24"/>
          <w:szCs w:val="24"/>
        </w:rPr>
        <w:t> </w:t>
      </w:r>
      <w:r>
        <w:rPr>
          <w:color w:val="000000" w:themeColor="text1"/>
          <w:sz w:val="24"/>
          <w:szCs w:val="24"/>
        </w:rPr>
        <w:t>792</w:t>
      </w:r>
      <w:r w:rsidR="00317CDC">
        <w:rPr>
          <w:color w:val="000000" w:themeColor="text1"/>
          <w:sz w:val="24"/>
          <w:szCs w:val="24"/>
        </w:rPr>
        <w:t> </w:t>
      </w:r>
      <w:r>
        <w:rPr>
          <w:color w:val="000000" w:themeColor="text1"/>
          <w:sz w:val="24"/>
          <w:szCs w:val="24"/>
        </w:rPr>
        <w:t>tis.</w:t>
      </w:r>
      <w:r w:rsidR="00317CDC">
        <w:rPr>
          <w:color w:val="000000" w:themeColor="text1"/>
          <w:sz w:val="24"/>
          <w:szCs w:val="24"/>
        </w:rPr>
        <w:t> </w:t>
      </w:r>
      <w:r>
        <w:rPr>
          <w:color w:val="000000" w:themeColor="text1"/>
          <w:sz w:val="24"/>
          <w:szCs w:val="24"/>
        </w:rPr>
        <w:t xml:space="preserve">eur. Tak ako v predchádzajúcich rokoch takmer celú hodnotou tvoria príjmy plynúce do rozpočtu kapitoly Všeobecná pokladničná </w:t>
      </w:r>
      <w:r w:rsidR="00317CDC">
        <w:rPr>
          <w:color w:val="000000" w:themeColor="text1"/>
          <w:sz w:val="24"/>
          <w:szCs w:val="24"/>
        </w:rPr>
        <w:t>správa, 139 494 tis. </w:t>
      </w:r>
      <w:r w:rsidRPr="00FE1E83">
        <w:rPr>
          <w:color w:val="000000" w:themeColor="text1"/>
          <w:sz w:val="24"/>
          <w:szCs w:val="24"/>
        </w:rPr>
        <w:t>eur, z toho úroky z účtov finančného hospodárenia tvorili 128</w:t>
      </w:r>
      <w:r w:rsidR="00317CDC">
        <w:rPr>
          <w:color w:val="000000" w:themeColor="text1"/>
          <w:sz w:val="24"/>
          <w:szCs w:val="24"/>
        </w:rPr>
        <w:t> </w:t>
      </w:r>
      <w:r w:rsidRPr="00FE1E83">
        <w:rPr>
          <w:color w:val="000000" w:themeColor="text1"/>
          <w:sz w:val="24"/>
          <w:szCs w:val="24"/>
        </w:rPr>
        <w:t>568</w:t>
      </w:r>
      <w:r w:rsidR="00317CDC">
        <w:rPr>
          <w:color w:val="000000" w:themeColor="text1"/>
          <w:sz w:val="24"/>
          <w:szCs w:val="24"/>
        </w:rPr>
        <w:t> </w:t>
      </w:r>
      <w:r w:rsidRPr="00FE1E83">
        <w:rPr>
          <w:color w:val="000000" w:themeColor="text1"/>
          <w:sz w:val="24"/>
          <w:szCs w:val="24"/>
        </w:rPr>
        <w:t>tis.</w:t>
      </w:r>
      <w:r w:rsidR="00317CDC">
        <w:rPr>
          <w:color w:val="000000" w:themeColor="text1"/>
          <w:sz w:val="24"/>
          <w:szCs w:val="24"/>
        </w:rPr>
        <w:t> </w:t>
      </w:r>
      <w:r w:rsidRPr="00FE1E83">
        <w:rPr>
          <w:color w:val="000000" w:themeColor="text1"/>
          <w:sz w:val="24"/>
          <w:szCs w:val="24"/>
        </w:rPr>
        <w:t>eur a úroky z poskytnutých návratných finančných výpomocí dosiahli 10</w:t>
      </w:r>
      <w:r w:rsidR="00317CDC">
        <w:rPr>
          <w:color w:val="000000" w:themeColor="text1"/>
          <w:sz w:val="24"/>
          <w:szCs w:val="24"/>
        </w:rPr>
        <w:t> </w:t>
      </w:r>
      <w:r w:rsidRPr="00FE1E83">
        <w:rPr>
          <w:color w:val="000000" w:themeColor="text1"/>
          <w:sz w:val="24"/>
          <w:szCs w:val="24"/>
        </w:rPr>
        <w:t>926</w:t>
      </w:r>
      <w:r w:rsidR="00317CDC">
        <w:rPr>
          <w:color w:val="000000" w:themeColor="text1"/>
          <w:sz w:val="24"/>
          <w:szCs w:val="24"/>
        </w:rPr>
        <w:t> </w:t>
      </w:r>
      <w:r w:rsidRPr="00FE1E83">
        <w:rPr>
          <w:color w:val="000000" w:themeColor="text1"/>
          <w:sz w:val="24"/>
          <w:szCs w:val="24"/>
        </w:rPr>
        <w:t>tis.</w:t>
      </w:r>
      <w:r w:rsidR="00317CDC">
        <w:rPr>
          <w:color w:val="000000" w:themeColor="text1"/>
          <w:sz w:val="24"/>
          <w:szCs w:val="24"/>
        </w:rPr>
        <w:t> </w:t>
      </w:r>
      <w:r w:rsidRPr="00FE1E83">
        <w:rPr>
          <w:color w:val="000000" w:themeColor="text1"/>
          <w:sz w:val="24"/>
          <w:szCs w:val="24"/>
        </w:rPr>
        <w:t>eur.</w:t>
      </w:r>
    </w:p>
    <w:p w14:paraId="7EF01F3A" w14:textId="468374DE" w:rsidR="004D69BF" w:rsidRDefault="004D69BF" w:rsidP="004D69BF">
      <w:pPr>
        <w:spacing w:line="240" w:lineRule="auto"/>
        <w:rPr>
          <w:color w:val="000000" w:themeColor="text1"/>
          <w:sz w:val="24"/>
          <w:szCs w:val="24"/>
        </w:rPr>
      </w:pPr>
      <w:r w:rsidRPr="00FE1E83">
        <w:rPr>
          <w:color w:val="000000" w:themeColor="text1"/>
          <w:sz w:val="24"/>
          <w:szCs w:val="24"/>
        </w:rPr>
        <w:t>Úroky z finančného hospodárenia predstavuje najmä kladný rozdiel medzi prijatými a platenými úrokmi a kurzové rozdiely z konverzných operácií</w:t>
      </w:r>
      <w:r w:rsidRPr="00C0342E">
        <w:rPr>
          <w:color w:val="000000" w:themeColor="text1"/>
          <w:sz w:val="24"/>
          <w:szCs w:val="24"/>
        </w:rPr>
        <w:t xml:space="preserve"> </w:t>
      </w:r>
      <w:r w:rsidRPr="00FE1E83">
        <w:rPr>
          <w:color w:val="000000" w:themeColor="text1"/>
          <w:sz w:val="24"/>
          <w:szCs w:val="24"/>
        </w:rPr>
        <w:t>v systéme štátnej pokladnice, ktoré prevádza Štátna pokladnica do prí</w:t>
      </w:r>
      <w:r w:rsidR="00317CDC">
        <w:rPr>
          <w:color w:val="000000" w:themeColor="text1"/>
          <w:sz w:val="24"/>
          <w:szCs w:val="24"/>
        </w:rPr>
        <w:t>jmov štátneho rozpočtu, podľa § </w:t>
      </w:r>
      <w:r w:rsidRPr="00FE1E83">
        <w:rPr>
          <w:color w:val="000000" w:themeColor="text1"/>
          <w:sz w:val="24"/>
          <w:szCs w:val="24"/>
        </w:rPr>
        <w:t>6 ods.</w:t>
      </w:r>
      <w:r w:rsidR="00317CDC">
        <w:rPr>
          <w:color w:val="000000" w:themeColor="text1"/>
          <w:sz w:val="24"/>
          <w:szCs w:val="24"/>
        </w:rPr>
        <w:t> </w:t>
      </w:r>
      <w:r w:rsidRPr="00FE1E83">
        <w:rPr>
          <w:color w:val="000000" w:themeColor="text1"/>
          <w:sz w:val="24"/>
          <w:szCs w:val="24"/>
        </w:rPr>
        <w:t>8 zákona č.</w:t>
      </w:r>
      <w:r w:rsidR="00317CDC">
        <w:rPr>
          <w:color w:val="000000" w:themeColor="text1"/>
          <w:sz w:val="24"/>
          <w:szCs w:val="24"/>
        </w:rPr>
        <w:t> 291/2002 Z. </w:t>
      </w:r>
      <w:r w:rsidRPr="00FE1E83">
        <w:rPr>
          <w:color w:val="000000" w:themeColor="text1"/>
          <w:sz w:val="24"/>
          <w:szCs w:val="24"/>
        </w:rPr>
        <w:t xml:space="preserve">z. o Štátnej pokladnici. Rozpočet </w:t>
      </w:r>
      <w:r w:rsidRPr="009341DB">
        <w:rPr>
          <w:color w:val="000000" w:themeColor="text1"/>
          <w:sz w:val="24"/>
          <w:szCs w:val="24"/>
        </w:rPr>
        <w:t>bol pozitívne prekroče</w:t>
      </w:r>
      <w:r w:rsidR="00317CDC">
        <w:rPr>
          <w:color w:val="000000" w:themeColor="text1"/>
          <w:sz w:val="24"/>
          <w:szCs w:val="24"/>
        </w:rPr>
        <w:t>ný o 13 671 </w:t>
      </w:r>
      <w:r w:rsidRPr="009341DB">
        <w:rPr>
          <w:color w:val="000000" w:themeColor="text1"/>
          <w:sz w:val="24"/>
          <w:szCs w:val="24"/>
        </w:rPr>
        <w:t>tis.</w:t>
      </w:r>
      <w:r w:rsidR="00317CDC">
        <w:rPr>
          <w:color w:val="000000" w:themeColor="text1"/>
          <w:sz w:val="24"/>
          <w:szCs w:val="24"/>
        </w:rPr>
        <w:t> </w:t>
      </w:r>
      <w:r w:rsidRPr="009341DB">
        <w:rPr>
          <w:color w:val="000000" w:themeColor="text1"/>
          <w:sz w:val="24"/>
          <w:szCs w:val="24"/>
        </w:rPr>
        <w:t>eur. Z návratných finančných výpomocí boli splate</w:t>
      </w:r>
      <w:r w:rsidR="000F7ABA">
        <w:rPr>
          <w:color w:val="000000" w:themeColor="text1"/>
          <w:sz w:val="24"/>
          <w:szCs w:val="24"/>
        </w:rPr>
        <w:t>né úroky hlavne od Agentúry pre </w:t>
      </w:r>
      <w:r w:rsidRPr="009341DB">
        <w:rPr>
          <w:color w:val="000000" w:themeColor="text1"/>
          <w:sz w:val="24"/>
          <w:szCs w:val="24"/>
        </w:rPr>
        <w:t>núdzové zásoby ropy a </w:t>
      </w:r>
      <w:r w:rsidR="00317CDC">
        <w:rPr>
          <w:color w:val="000000" w:themeColor="text1"/>
          <w:sz w:val="24"/>
          <w:szCs w:val="24"/>
        </w:rPr>
        <w:t>ropných výrobkov, v sume 10 780 </w:t>
      </w:r>
      <w:r w:rsidRPr="009341DB">
        <w:rPr>
          <w:color w:val="000000" w:themeColor="text1"/>
          <w:sz w:val="24"/>
          <w:szCs w:val="24"/>
        </w:rPr>
        <w:t>tis.</w:t>
      </w:r>
      <w:r w:rsidR="00317CDC">
        <w:rPr>
          <w:color w:val="000000" w:themeColor="text1"/>
          <w:sz w:val="24"/>
          <w:szCs w:val="24"/>
        </w:rPr>
        <w:t> </w:t>
      </w:r>
      <w:r w:rsidRPr="009341DB">
        <w:rPr>
          <w:color w:val="000000" w:themeColor="text1"/>
          <w:sz w:val="24"/>
          <w:szCs w:val="24"/>
        </w:rPr>
        <w:t>eur.</w:t>
      </w:r>
    </w:p>
    <w:p w14:paraId="5CEAF060" w14:textId="315E15EE" w:rsidR="004D69BF" w:rsidRPr="00DE2775" w:rsidRDefault="004D69BF" w:rsidP="004D69BF">
      <w:pPr>
        <w:tabs>
          <w:tab w:val="left" w:pos="284"/>
        </w:tabs>
        <w:spacing w:line="240" w:lineRule="auto"/>
        <w:rPr>
          <w:color w:val="000000" w:themeColor="text1"/>
          <w:sz w:val="24"/>
          <w:szCs w:val="24"/>
        </w:rPr>
      </w:pPr>
      <w:r w:rsidRPr="00526639">
        <w:rPr>
          <w:b/>
          <w:color w:val="000000" w:themeColor="text1"/>
          <w:sz w:val="24"/>
          <w:szCs w:val="24"/>
        </w:rPr>
        <w:t>Iné nedaňové príjmy</w:t>
      </w:r>
      <w:r w:rsidRPr="00526639">
        <w:rPr>
          <w:color w:val="000000" w:themeColor="text1"/>
          <w:sz w:val="24"/>
          <w:szCs w:val="24"/>
        </w:rPr>
        <w:t xml:space="preserve"> tvoria najmä odvod z hazardných hier, odvod prevádzkovateľov distribučných sústav a prenosovej sústavy, ostatné odvody a príjem z nezrovnalostí a</w:t>
      </w:r>
      <w:r w:rsidR="00317CDC">
        <w:rPr>
          <w:color w:val="000000" w:themeColor="text1"/>
          <w:sz w:val="24"/>
          <w:szCs w:val="24"/>
        </w:rPr>
        <w:t> </w:t>
      </w:r>
      <w:r w:rsidRPr="00526639">
        <w:rPr>
          <w:color w:val="000000" w:themeColor="text1"/>
          <w:sz w:val="24"/>
          <w:szCs w:val="24"/>
        </w:rPr>
        <w:t xml:space="preserve">iných vratiek za prostriedky EÚ. </w:t>
      </w:r>
      <w:r w:rsidRPr="00DE2775">
        <w:rPr>
          <w:color w:val="000000" w:themeColor="text1"/>
          <w:sz w:val="24"/>
          <w:szCs w:val="24"/>
        </w:rPr>
        <w:t>K 31. 12. 202</w:t>
      </w:r>
      <w:r>
        <w:rPr>
          <w:color w:val="000000" w:themeColor="text1"/>
          <w:sz w:val="24"/>
          <w:szCs w:val="24"/>
        </w:rPr>
        <w:t>4</w:t>
      </w:r>
      <w:r w:rsidRPr="00DE2775">
        <w:rPr>
          <w:color w:val="000000" w:themeColor="text1"/>
          <w:sz w:val="24"/>
          <w:szCs w:val="24"/>
        </w:rPr>
        <w:t xml:space="preserve"> dosiahli iné nedaňové príjmy sumu </w:t>
      </w:r>
      <w:r>
        <w:rPr>
          <w:color w:val="000000" w:themeColor="text1"/>
          <w:sz w:val="24"/>
          <w:szCs w:val="24"/>
        </w:rPr>
        <w:t>776</w:t>
      </w:r>
      <w:r w:rsidR="00317CDC">
        <w:rPr>
          <w:color w:val="000000" w:themeColor="text1"/>
          <w:sz w:val="24"/>
          <w:szCs w:val="24"/>
        </w:rPr>
        <w:t> </w:t>
      </w:r>
      <w:r>
        <w:rPr>
          <w:color w:val="000000" w:themeColor="text1"/>
          <w:sz w:val="24"/>
          <w:szCs w:val="24"/>
        </w:rPr>
        <w:t>292 tis. eur a oproti schválen</w:t>
      </w:r>
      <w:r w:rsidR="00317CDC">
        <w:rPr>
          <w:color w:val="000000" w:themeColor="text1"/>
          <w:sz w:val="24"/>
          <w:szCs w:val="24"/>
        </w:rPr>
        <w:t>ému rozpočtu sú vyššie až o 291 </w:t>
      </w:r>
      <w:r>
        <w:rPr>
          <w:color w:val="000000" w:themeColor="text1"/>
          <w:sz w:val="24"/>
          <w:szCs w:val="24"/>
        </w:rPr>
        <w:t>066 tis.</w:t>
      </w:r>
      <w:r w:rsidR="00317CDC">
        <w:rPr>
          <w:color w:val="000000" w:themeColor="text1"/>
          <w:sz w:val="24"/>
          <w:szCs w:val="24"/>
        </w:rPr>
        <w:t> </w:t>
      </w:r>
      <w:r>
        <w:rPr>
          <w:color w:val="000000" w:themeColor="text1"/>
          <w:sz w:val="24"/>
          <w:szCs w:val="24"/>
        </w:rPr>
        <w:t>eur.</w:t>
      </w:r>
    </w:p>
    <w:p w14:paraId="3C1479E7" w14:textId="5F3FD832" w:rsidR="004D69BF" w:rsidRPr="00B67062" w:rsidRDefault="004D69BF" w:rsidP="004D69BF">
      <w:pPr>
        <w:spacing w:line="240" w:lineRule="auto"/>
        <w:rPr>
          <w:color w:val="000000" w:themeColor="text1"/>
          <w:sz w:val="24"/>
          <w:szCs w:val="24"/>
        </w:rPr>
      </w:pPr>
      <w:r w:rsidRPr="0006581C">
        <w:rPr>
          <w:b/>
          <w:i/>
          <w:color w:val="000000" w:themeColor="text1"/>
          <w:sz w:val="24"/>
          <w:szCs w:val="24"/>
        </w:rPr>
        <w:t>Príjem z odvodu z hazardných hier</w:t>
      </w:r>
      <w:r w:rsidRPr="0006581C">
        <w:rPr>
          <w:color w:val="000000" w:themeColor="text1"/>
          <w:sz w:val="24"/>
          <w:szCs w:val="24"/>
        </w:rPr>
        <w:t xml:space="preserve"> dosiahol </w:t>
      </w:r>
      <w:r w:rsidR="00317CDC">
        <w:rPr>
          <w:color w:val="000000" w:themeColor="text1"/>
          <w:sz w:val="24"/>
          <w:szCs w:val="24"/>
        </w:rPr>
        <w:t>347 </w:t>
      </w:r>
      <w:r>
        <w:rPr>
          <w:color w:val="000000" w:themeColor="text1"/>
          <w:sz w:val="24"/>
          <w:szCs w:val="24"/>
        </w:rPr>
        <w:t>256</w:t>
      </w:r>
      <w:r w:rsidRPr="0006581C">
        <w:rPr>
          <w:color w:val="000000" w:themeColor="text1"/>
          <w:sz w:val="24"/>
          <w:szCs w:val="24"/>
        </w:rPr>
        <w:t> tis. eu</w:t>
      </w:r>
      <w:r>
        <w:rPr>
          <w:color w:val="000000" w:themeColor="text1"/>
          <w:sz w:val="24"/>
          <w:szCs w:val="24"/>
        </w:rPr>
        <w:t>r.</w:t>
      </w:r>
      <w:r w:rsidRPr="0006581C">
        <w:rPr>
          <w:color w:val="000000" w:themeColor="text1"/>
          <w:sz w:val="24"/>
          <w:szCs w:val="24"/>
        </w:rPr>
        <w:t xml:space="preserve"> </w:t>
      </w:r>
      <w:r>
        <w:rPr>
          <w:rFonts w:eastAsia="Calibri" w:cs="Times New Roman"/>
          <w:sz w:val="24"/>
          <w:szCs w:val="24"/>
        </w:rPr>
        <w:t>Zvýšenie sadzby odvodu pre</w:t>
      </w:r>
      <w:r w:rsidR="00317CDC">
        <w:rPr>
          <w:rFonts w:eastAsia="Calibri" w:cs="Times New Roman"/>
          <w:sz w:val="24"/>
          <w:szCs w:val="24"/>
        </w:rPr>
        <w:t> </w:t>
      </w:r>
      <w:r>
        <w:rPr>
          <w:rFonts w:eastAsia="Calibri" w:cs="Times New Roman"/>
          <w:sz w:val="24"/>
          <w:szCs w:val="24"/>
        </w:rPr>
        <w:t>internetové kasína a </w:t>
      </w:r>
      <w:r w:rsidR="00317CDC">
        <w:rPr>
          <w:rFonts w:eastAsia="Calibri" w:cs="Times New Roman"/>
          <w:sz w:val="24"/>
          <w:szCs w:val="24"/>
        </w:rPr>
        <w:t>kurzové stávky v roku 2023 z 22 </w:t>
      </w:r>
      <w:r>
        <w:rPr>
          <w:rFonts w:eastAsia="Calibri" w:cs="Times New Roman"/>
          <w:sz w:val="24"/>
          <w:szCs w:val="24"/>
        </w:rPr>
        <w:t>% na 27</w:t>
      </w:r>
      <w:r w:rsidR="00317CDC">
        <w:rPr>
          <w:rFonts w:eastAsia="Calibri" w:cs="Times New Roman"/>
          <w:sz w:val="24"/>
          <w:szCs w:val="24"/>
        </w:rPr>
        <w:t> % sa nepremietlo do </w:t>
      </w:r>
      <w:r>
        <w:rPr>
          <w:rFonts w:eastAsia="Calibri" w:cs="Times New Roman"/>
          <w:sz w:val="24"/>
          <w:szCs w:val="24"/>
        </w:rPr>
        <w:t>nižšej miery hrania</w:t>
      </w:r>
      <w:r w:rsidRPr="009453F8">
        <w:rPr>
          <w:rFonts w:eastAsia="Calibri" w:cs="Times New Roman"/>
          <w:sz w:val="24"/>
          <w:szCs w:val="24"/>
        </w:rPr>
        <w:t xml:space="preserve"> </w:t>
      </w:r>
      <w:r>
        <w:rPr>
          <w:rFonts w:eastAsia="Calibri" w:cs="Times New Roman"/>
          <w:sz w:val="24"/>
          <w:szCs w:val="24"/>
        </w:rPr>
        <w:t>a</w:t>
      </w:r>
      <w:r w:rsidRPr="009453F8">
        <w:rPr>
          <w:rFonts w:eastAsia="Calibri" w:cs="Times New Roman"/>
          <w:sz w:val="24"/>
          <w:szCs w:val="24"/>
        </w:rPr>
        <w:t xml:space="preserve"> vďaka stabilnému vývoju makroekonomického prostredia</w:t>
      </w:r>
      <w:r>
        <w:rPr>
          <w:rFonts w:eastAsia="Calibri" w:cs="Times New Roman"/>
          <w:sz w:val="24"/>
          <w:szCs w:val="24"/>
        </w:rPr>
        <w:t xml:space="preserve"> sa viac ako naplnili rozpočtované príjmy za rok 2024.</w:t>
      </w:r>
      <w:bookmarkStart w:id="106" w:name="_2et92p0"/>
      <w:bookmarkEnd w:id="106"/>
    </w:p>
    <w:p w14:paraId="78956363" w14:textId="1E29B8F4" w:rsidR="004D69BF" w:rsidRDefault="004D69BF" w:rsidP="004D69BF">
      <w:pPr>
        <w:tabs>
          <w:tab w:val="left" w:pos="284"/>
        </w:tabs>
        <w:spacing w:line="240" w:lineRule="auto"/>
        <w:rPr>
          <w:rFonts w:cs="Times New Roman"/>
          <w:color w:val="000000" w:themeColor="text1"/>
          <w:sz w:val="24"/>
          <w:szCs w:val="24"/>
        </w:rPr>
      </w:pPr>
      <w:r w:rsidRPr="005A3132">
        <w:rPr>
          <w:b/>
          <w:i/>
          <w:color w:val="000000" w:themeColor="text1"/>
          <w:sz w:val="24"/>
          <w:szCs w:val="24"/>
        </w:rPr>
        <w:t xml:space="preserve">Príjmy z vratiek </w:t>
      </w:r>
      <w:r w:rsidRPr="005A3132">
        <w:rPr>
          <w:color w:val="000000" w:themeColor="text1"/>
          <w:sz w:val="24"/>
          <w:szCs w:val="24"/>
        </w:rPr>
        <w:t xml:space="preserve">dosiahli celkovú sumu </w:t>
      </w:r>
      <w:r w:rsidR="00317CDC">
        <w:rPr>
          <w:color w:val="000000" w:themeColor="text1"/>
          <w:sz w:val="24"/>
          <w:szCs w:val="24"/>
        </w:rPr>
        <w:t>140 </w:t>
      </w:r>
      <w:r>
        <w:rPr>
          <w:color w:val="000000" w:themeColor="text1"/>
          <w:sz w:val="24"/>
          <w:szCs w:val="24"/>
        </w:rPr>
        <w:t>328</w:t>
      </w:r>
      <w:r w:rsidRPr="005A3132">
        <w:rPr>
          <w:color w:val="000000" w:themeColor="text1"/>
          <w:sz w:val="24"/>
          <w:szCs w:val="24"/>
        </w:rPr>
        <w:t xml:space="preserve"> tis. eur, z toho </w:t>
      </w:r>
      <w:r w:rsidRPr="005A3132">
        <w:rPr>
          <w:rFonts w:cs="Times New Roman"/>
          <w:color w:val="000000" w:themeColor="text1"/>
          <w:sz w:val="24"/>
          <w:szCs w:val="24"/>
        </w:rPr>
        <w:t>najviac</w:t>
      </w:r>
      <w:r>
        <w:rPr>
          <w:rFonts w:cs="Times New Roman"/>
          <w:color w:val="000000" w:themeColor="text1"/>
          <w:sz w:val="24"/>
          <w:szCs w:val="24"/>
        </w:rPr>
        <w:t xml:space="preserve"> Ministerstvo hospodárstva SR 96</w:t>
      </w:r>
      <w:r w:rsidR="00317CDC">
        <w:rPr>
          <w:rFonts w:cs="Times New Roman"/>
          <w:color w:val="000000" w:themeColor="text1"/>
          <w:sz w:val="24"/>
          <w:szCs w:val="24"/>
        </w:rPr>
        <w:t> </w:t>
      </w:r>
      <w:r>
        <w:rPr>
          <w:rFonts w:cs="Times New Roman"/>
          <w:color w:val="000000" w:themeColor="text1"/>
          <w:sz w:val="24"/>
          <w:szCs w:val="24"/>
        </w:rPr>
        <w:t>274</w:t>
      </w:r>
      <w:r w:rsidR="00317CDC">
        <w:rPr>
          <w:rFonts w:cs="Times New Roman"/>
          <w:color w:val="000000" w:themeColor="text1"/>
          <w:sz w:val="24"/>
          <w:szCs w:val="24"/>
        </w:rPr>
        <w:t> </w:t>
      </w:r>
      <w:r>
        <w:rPr>
          <w:rFonts w:cs="Times New Roman"/>
          <w:color w:val="000000" w:themeColor="text1"/>
          <w:sz w:val="24"/>
          <w:szCs w:val="24"/>
        </w:rPr>
        <w:t>tis.</w:t>
      </w:r>
      <w:r w:rsidR="00317CDC">
        <w:rPr>
          <w:rFonts w:cs="Times New Roman"/>
          <w:color w:val="000000" w:themeColor="text1"/>
          <w:sz w:val="24"/>
          <w:szCs w:val="24"/>
        </w:rPr>
        <w:t> </w:t>
      </w:r>
      <w:r>
        <w:rPr>
          <w:rFonts w:cs="Times New Roman"/>
          <w:color w:val="000000" w:themeColor="text1"/>
          <w:sz w:val="24"/>
          <w:szCs w:val="24"/>
        </w:rPr>
        <w:t>eur, najmä z dôvodu vrátenia prostriedkov poskytnutých v minulých obdobiach v rámci schémy poskytovania dotácií na kompe</w:t>
      </w:r>
      <w:r w:rsidR="00317CDC">
        <w:rPr>
          <w:rFonts w:cs="Times New Roman"/>
          <w:color w:val="000000" w:themeColor="text1"/>
          <w:sz w:val="24"/>
          <w:szCs w:val="24"/>
        </w:rPr>
        <w:t>nzáciu zvýšených nákladov na </w:t>
      </w:r>
      <w:r>
        <w:rPr>
          <w:rFonts w:cs="Times New Roman"/>
          <w:color w:val="000000" w:themeColor="text1"/>
          <w:sz w:val="24"/>
          <w:szCs w:val="24"/>
        </w:rPr>
        <w:t>energie. Rozpočet aj medziročný nárast týchto príjmov bol ovplyvnený hlavne vratkami z</w:t>
      </w:r>
      <w:r w:rsidR="00317CDC">
        <w:rPr>
          <w:rFonts w:cs="Times New Roman"/>
          <w:color w:val="000000" w:themeColor="text1"/>
          <w:sz w:val="24"/>
          <w:szCs w:val="24"/>
        </w:rPr>
        <w:t> </w:t>
      </w:r>
      <w:r>
        <w:rPr>
          <w:rFonts w:cs="Times New Roman"/>
          <w:color w:val="000000" w:themeColor="text1"/>
          <w:sz w:val="24"/>
          <w:szCs w:val="24"/>
        </w:rPr>
        <w:t>energo dotácií.</w:t>
      </w:r>
    </w:p>
    <w:p w14:paraId="1612D051" w14:textId="74369BFD" w:rsidR="004D69BF" w:rsidRPr="007008E8" w:rsidRDefault="004D69BF" w:rsidP="004D69BF">
      <w:pPr>
        <w:tabs>
          <w:tab w:val="left" w:pos="284"/>
        </w:tabs>
        <w:spacing w:line="240" w:lineRule="auto"/>
        <w:rPr>
          <w:color w:val="000000" w:themeColor="text1"/>
          <w:sz w:val="24"/>
          <w:szCs w:val="24"/>
        </w:rPr>
      </w:pPr>
      <w:r w:rsidRPr="001D4167">
        <w:rPr>
          <w:b/>
          <w:i/>
          <w:color w:val="000000" w:themeColor="text1"/>
          <w:sz w:val="24"/>
          <w:szCs w:val="24"/>
        </w:rPr>
        <w:t>Príjmy z odvodu</w:t>
      </w:r>
      <w:r w:rsidRPr="001D4167">
        <w:rPr>
          <w:color w:val="000000" w:themeColor="text1"/>
          <w:sz w:val="24"/>
          <w:szCs w:val="24"/>
        </w:rPr>
        <w:t xml:space="preserve"> tvorili finančné prostriedky zo zúčtovania vzťahov so štátnym rozpočtom zo strany podnikateľských subjektov, príspevkových a rozpočtových organizácií, ústredných orgánov, neziskových organizácií, obcí a vyšších územných celkov, ktorým tieto prostriedky </w:t>
      </w:r>
      <w:r w:rsidRPr="007008E8">
        <w:rPr>
          <w:color w:val="000000" w:themeColor="text1"/>
          <w:sz w:val="24"/>
          <w:szCs w:val="24"/>
        </w:rPr>
        <w:t>štátneho rozpočtu boli poskytnuté.</w:t>
      </w:r>
    </w:p>
    <w:p w14:paraId="6ACE76EF" w14:textId="0B1D8251" w:rsidR="004D69BF" w:rsidRPr="007008E8" w:rsidRDefault="004D69BF" w:rsidP="004D69BF">
      <w:pPr>
        <w:tabs>
          <w:tab w:val="left" w:pos="284"/>
        </w:tabs>
        <w:spacing w:line="240" w:lineRule="auto"/>
        <w:rPr>
          <w:color w:val="000000" w:themeColor="text1"/>
          <w:sz w:val="24"/>
          <w:szCs w:val="24"/>
        </w:rPr>
      </w:pPr>
      <w:r w:rsidRPr="007008E8">
        <w:rPr>
          <w:color w:val="000000" w:themeColor="text1"/>
          <w:sz w:val="24"/>
          <w:szCs w:val="24"/>
        </w:rPr>
        <w:t xml:space="preserve">V roku 2024 </w:t>
      </w:r>
      <w:r>
        <w:rPr>
          <w:color w:val="000000" w:themeColor="text1"/>
          <w:sz w:val="24"/>
          <w:szCs w:val="24"/>
        </w:rPr>
        <w:t xml:space="preserve">pristúpilo MF SR k </w:t>
      </w:r>
      <w:r w:rsidRPr="007008E8">
        <w:rPr>
          <w:color w:val="000000" w:themeColor="text1"/>
          <w:sz w:val="24"/>
          <w:szCs w:val="24"/>
        </w:rPr>
        <w:t>zmene v oblasti zúčtovania finančných vzťahov so</w:t>
      </w:r>
      <w:r w:rsidR="00317CDC">
        <w:rPr>
          <w:color w:val="000000" w:themeColor="text1"/>
          <w:sz w:val="24"/>
          <w:szCs w:val="24"/>
        </w:rPr>
        <w:t> </w:t>
      </w:r>
      <w:r w:rsidRPr="007008E8">
        <w:rPr>
          <w:color w:val="000000" w:themeColor="text1"/>
          <w:sz w:val="24"/>
          <w:szCs w:val="24"/>
        </w:rPr>
        <w:t>štátnym rozpočtom, a podľa Pokynu MF SR č.</w:t>
      </w:r>
      <w:r w:rsidR="00317CDC">
        <w:rPr>
          <w:color w:val="000000" w:themeColor="text1"/>
          <w:sz w:val="24"/>
          <w:szCs w:val="24"/>
        </w:rPr>
        <w:t> </w:t>
      </w:r>
      <w:r w:rsidRPr="007008E8">
        <w:rPr>
          <w:color w:val="000000" w:themeColor="text1"/>
          <w:sz w:val="24"/>
          <w:szCs w:val="24"/>
        </w:rPr>
        <w:t>MF/006236/2024-441 sú vratky príspevkov, dotácií a odvody vyplývajúce z finančného zúčtovania príjmom štát</w:t>
      </w:r>
      <w:r w:rsidR="00317CDC">
        <w:rPr>
          <w:color w:val="000000" w:themeColor="text1"/>
          <w:sz w:val="24"/>
          <w:szCs w:val="24"/>
        </w:rPr>
        <w:t>neho rozpočtu a odvádzajú sa na </w:t>
      </w:r>
      <w:r w:rsidRPr="007008E8">
        <w:rPr>
          <w:color w:val="000000" w:themeColor="text1"/>
          <w:sz w:val="24"/>
          <w:szCs w:val="24"/>
        </w:rPr>
        <w:t>príjmový účet správ</w:t>
      </w:r>
      <w:r>
        <w:rPr>
          <w:color w:val="000000" w:themeColor="text1"/>
          <w:sz w:val="24"/>
          <w:szCs w:val="24"/>
        </w:rPr>
        <w:t>c</w:t>
      </w:r>
      <w:r w:rsidRPr="007008E8">
        <w:rPr>
          <w:color w:val="000000" w:themeColor="text1"/>
          <w:sz w:val="24"/>
          <w:szCs w:val="24"/>
        </w:rPr>
        <w:t>u kapitoly. V predchádzajúcich obdobiach boli tieto prostriedky súčasťou príjmov kapitoly Všeobecná pokladničná správa. Prípadné doplatky z finančného zúčtovania sa uhrádzajú z výdavkov príslušného správcu kapitoly štátneho rozpočtu.</w:t>
      </w:r>
    </w:p>
    <w:p w14:paraId="0DB5A1EB" w14:textId="183CBFC0" w:rsidR="004D69BF" w:rsidRDefault="004D69BF" w:rsidP="004D69BF">
      <w:pPr>
        <w:tabs>
          <w:tab w:val="left" w:pos="284"/>
        </w:tabs>
        <w:spacing w:line="240" w:lineRule="auto"/>
        <w:rPr>
          <w:color w:val="000000" w:themeColor="text1"/>
          <w:sz w:val="24"/>
          <w:szCs w:val="24"/>
        </w:rPr>
      </w:pPr>
      <w:r w:rsidRPr="003424A1">
        <w:rPr>
          <w:color w:val="000000" w:themeColor="text1"/>
          <w:sz w:val="24"/>
          <w:szCs w:val="24"/>
        </w:rPr>
        <w:t>Objem príjmov z odvodov dosiahol 73</w:t>
      </w:r>
      <w:r w:rsidR="00317CDC">
        <w:rPr>
          <w:color w:val="000000" w:themeColor="text1"/>
          <w:sz w:val="24"/>
          <w:szCs w:val="24"/>
        </w:rPr>
        <w:t> </w:t>
      </w:r>
      <w:r w:rsidRPr="003424A1">
        <w:rPr>
          <w:color w:val="000000" w:themeColor="text1"/>
          <w:sz w:val="24"/>
          <w:szCs w:val="24"/>
        </w:rPr>
        <w:t>077 tis. eur a takmer celú hodnotu vyinkasovalo Ministerstvo práce, soci</w:t>
      </w:r>
      <w:r w:rsidR="00317CDC">
        <w:rPr>
          <w:color w:val="000000" w:themeColor="text1"/>
          <w:sz w:val="24"/>
          <w:szCs w:val="24"/>
        </w:rPr>
        <w:t>álnych vecí a rodiny SR, 71 008 tis. </w:t>
      </w:r>
      <w:r w:rsidRPr="003424A1">
        <w:rPr>
          <w:color w:val="000000" w:themeColor="text1"/>
          <w:sz w:val="24"/>
          <w:szCs w:val="24"/>
        </w:rPr>
        <w:t>eur, pričom išlo práve o</w:t>
      </w:r>
      <w:r w:rsidR="00317CDC">
        <w:rPr>
          <w:color w:val="000000" w:themeColor="text1"/>
          <w:sz w:val="24"/>
          <w:szCs w:val="24"/>
        </w:rPr>
        <w:t> </w:t>
      </w:r>
      <w:r w:rsidRPr="003424A1">
        <w:rPr>
          <w:color w:val="000000" w:themeColor="text1"/>
          <w:sz w:val="24"/>
          <w:szCs w:val="24"/>
        </w:rPr>
        <w:t xml:space="preserve">odvody z finančného zúčtovania príspevkov a dotácií poskytnutých </w:t>
      </w:r>
      <w:r>
        <w:rPr>
          <w:color w:val="000000" w:themeColor="text1"/>
          <w:sz w:val="24"/>
          <w:szCs w:val="24"/>
        </w:rPr>
        <w:t>v</w:t>
      </w:r>
      <w:r w:rsidRPr="003424A1">
        <w:rPr>
          <w:color w:val="000000" w:themeColor="text1"/>
          <w:sz w:val="24"/>
          <w:szCs w:val="24"/>
        </w:rPr>
        <w:t> minulých obdob</w:t>
      </w:r>
      <w:r>
        <w:rPr>
          <w:color w:val="000000" w:themeColor="text1"/>
          <w:sz w:val="24"/>
          <w:szCs w:val="24"/>
        </w:rPr>
        <w:t>iach</w:t>
      </w:r>
      <w:r w:rsidRPr="003424A1">
        <w:rPr>
          <w:color w:val="000000" w:themeColor="text1"/>
          <w:sz w:val="24"/>
          <w:szCs w:val="24"/>
        </w:rPr>
        <w:t>, najmä zo</w:t>
      </w:r>
      <w:r w:rsidR="00317CDC">
        <w:rPr>
          <w:color w:val="000000" w:themeColor="text1"/>
          <w:sz w:val="24"/>
          <w:szCs w:val="24"/>
        </w:rPr>
        <w:t> </w:t>
      </w:r>
      <w:r w:rsidRPr="003424A1">
        <w:rPr>
          <w:color w:val="000000" w:themeColor="text1"/>
          <w:sz w:val="24"/>
          <w:szCs w:val="24"/>
        </w:rPr>
        <w:t>Sociá</w:t>
      </w:r>
      <w:r w:rsidR="00317CDC">
        <w:rPr>
          <w:color w:val="000000" w:themeColor="text1"/>
          <w:sz w:val="24"/>
          <w:szCs w:val="24"/>
        </w:rPr>
        <w:t>lnej poisťovne z vyplácania 13. </w:t>
      </w:r>
      <w:r w:rsidRPr="003424A1">
        <w:rPr>
          <w:color w:val="000000" w:themeColor="text1"/>
          <w:sz w:val="24"/>
          <w:szCs w:val="24"/>
        </w:rPr>
        <w:t>dôchodku (37</w:t>
      </w:r>
      <w:r w:rsidR="00317CDC">
        <w:rPr>
          <w:color w:val="000000" w:themeColor="text1"/>
          <w:sz w:val="24"/>
          <w:szCs w:val="24"/>
        </w:rPr>
        <w:t> </w:t>
      </w:r>
      <w:r w:rsidRPr="003424A1">
        <w:rPr>
          <w:color w:val="000000" w:themeColor="text1"/>
          <w:sz w:val="24"/>
          <w:szCs w:val="24"/>
        </w:rPr>
        <w:t>700</w:t>
      </w:r>
      <w:r w:rsidR="00317CDC">
        <w:rPr>
          <w:color w:val="000000" w:themeColor="text1"/>
          <w:sz w:val="24"/>
          <w:szCs w:val="24"/>
        </w:rPr>
        <w:t> tis. </w:t>
      </w:r>
      <w:r w:rsidRPr="003424A1">
        <w:rPr>
          <w:color w:val="000000" w:themeColor="text1"/>
          <w:sz w:val="24"/>
          <w:szCs w:val="24"/>
        </w:rPr>
        <w:t>eur) a z Ústredia práce, sociálnych vecí a rodiny SR z poskytnutej dotácie na podporu výchovy k stra</w:t>
      </w:r>
      <w:r w:rsidR="00317CDC">
        <w:rPr>
          <w:color w:val="000000" w:themeColor="text1"/>
          <w:sz w:val="24"/>
          <w:szCs w:val="24"/>
        </w:rPr>
        <w:t>vovacím návykom dieťaťa (22 600 </w:t>
      </w:r>
      <w:r w:rsidRPr="003424A1">
        <w:rPr>
          <w:color w:val="000000" w:themeColor="text1"/>
          <w:sz w:val="24"/>
          <w:szCs w:val="24"/>
        </w:rPr>
        <w:t>tis.</w:t>
      </w:r>
      <w:r w:rsidR="00317CDC">
        <w:rPr>
          <w:color w:val="000000" w:themeColor="text1"/>
          <w:sz w:val="24"/>
          <w:szCs w:val="24"/>
        </w:rPr>
        <w:t> </w:t>
      </w:r>
      <w:r w:rsidRPr="003424A1">
        <w:rPr>
          <w:color w:val="000000" w:themeColor="text1"/>
          <w:sz w:val="24"/>
          <w:szCs w:val="24"/>
        </w:rPr>
        <w:t>eur).</w:t>
      </w:r>
    </w:p>
    <w:p w14:paraId="0C1167DA" w14:textId="37BA9519" w:rsidR="004D69BF" w:rsidRPr="00B40CA5" w:rsidRDefault="004D69BF" w:rsidP="004D69BF">
      <w:pPr>
        <w:spacing w:line="240" w:lineRule="auto"/>
        <w:rPr>
          <w:bCs/>
          <w:iCs/>
          <w:color w:val="000000" w:themeColor="text1"/>
          <w:sz w:val="24"/>
          <w:szCs w:val="24"/>
        </w:rPr>
      </w:pPr>
      <w:r>
        <w:rPr>
          <w:b/>
          <w:i/>
          <w:color w:val="000000" w:themeColor="text1"/>
          <w:sz w:val="24"/>
          <w:szCs w:val="24"/>
        </w:rPr>
        <w:t>Nezrovnalosti a iné vratky za prostriedky EÚ zaradené do štátneho rozpočtu a</w:t>
      </w:r>
      <w:r w:rsidR="000F7ABA">
        <w:rPr>
          <w:b/>
          <w:i/>
          <w:color w:val="000000" w:themeColor="text1"/>
          <w:sz w:val="24"/>
          <w:szCs w:val="24"/>
        </w:rPr>
        <w:t> </w:t>
      </w:r>
      <w:r>
        <w:rPr>
          <w:b/>
          <w:i/>
          <w:color w:val="000000" w:themeColor="text1"/>
          <w:sz w:val="24"/>
          <w:szCs w:val="24"/>
        </w:rPr>
        <w:t>za</w:t>
      </w:r>
      <w:r w:rsidR="000F7ABA">
        <w:rPr>
          <w:b/>
          <w:i/>
          <w:color w:val="000000" w:themeColor="text1"/>
          <w:sz w:val="24"/>
          <w:szCs w:val="24"/>
        </w:rPr>
        <w:t> </w:t>
      </w:r>
      <w:r>
        <w:rPr>
          <w:b/>
          <w:i/>
          <w:color w:val="000000" w:themeColor="text1"/>
          <w:sz w:val="24"/>
          <w:szCs w:val="24"/>
        </w:rPr>
        <w:t>prostriedky spolufinancovania</w:t>
      </w:r>
      <w:r>
        <w:rPr>
          <w:bCs/>
          <w:iCs/>
          <w:color w:val="000000" w:themeColor="text1"/>
          <w:sz w:val="24"/>
          <w:szCs w:val="24"/>
        </w:rPr>
        <w:t xml:space="preserve"> boli príjmom kapitol štátneho rozpočtu, na ktorých sú zriadené platobné jednotky. Z celkovej hodnoty 54</w:t>
      </w:r>
      <w:r w:rsidR="004C20D6">
        <w:rPr>
          <w:bCs/>
          <w:iCs/>
          <w:color w:val="000000" w:themeColor="text1"/>
          <w:sz w:val="24"/>
          <w:szCs w:val="24"/>
        </w:rPr>
        <w:t> </w:t>
      </w:r>
      <w:r>
        <w:rPr>
          <w:bCs/>
          <w:iCs/>
          <w:color w:val="000000" w:themeColor="text1"/>
          <w:sz w:val="24"/>
          <w:szCs w:val="24"/>
        </w:rPr>
        <w:t>589</w:t>
      </w:r>
      <w:r w:rsidR="004C20D6">
        <w:rPr>
          <w:bCs/>
          <w:iCs/>
          <w:color w:val="000000" w:themeColor="text1"/>
          <w:sz w:val="24"/>
          <w:szCs w:val="24"/>
        </w:rPr>
        <w:t> </w:t>
      </w:r>
      <w:r>
        <w:rPr>
          <w:bCs/>
          <w:iCs/>
          <w:color w:val="000000" w:themeColor="text1"/>
          <w:sz w:val="24"/>
          <w:szCs w:val="24"/>
        </w:rPr>
        <w:t>tis.</w:t>
      </w:r>
      <w:r w:rsidR="004C20D6">
        <w:rPr>
          <w:bCs/>
          <w:iCs/>
          <w:color w:val="000000" w:themeColor="text1"/>
          <w:sz w:val="24"/>
          <w:szCs w:val="24"/>
        </w:rPr>
        <w:t> </w:t>
      </w:r>
      <w:r w:rsidR="000F7ABA">
        <w:rPr>
          <w:bCs/>
          <w:iCs/>
          <w:color w:val="000000" w:themeColor="text1"/>
          <w:sz w:val="24"/>
          <w:szCs w:val="24"/>
        </w:rPr>
        <w:t>eur tvorili nezrovnalosti za </w:t>
      </w:r>
      <w:r w:rsidR="001D6597">
        <w:rPr>
          <w:bCs/>
          <w:iCs/>
          <w:color w:val="000000" w:themeColor="text1"/>
          <w:sz w:val="24"/>
          <w:szCs w:val="24"/>
        </w:rPr>
        <w:t>zdroje rozpočtu EÚ</w:t>
      </w:r>
      <w:r>
        <w:rPr>
          <w:bCs/>
          <w:iCs/>
          <w:color w:val="000000" w:themeColor="text1"/>
          <w:sz w:val="24"/>
          <w:szCs w:val="24"/>
        </w:rPr>
        <w:t xml:space="preserve"> 38</w:t>
      </w:r>
      <w:r w:rsidR="004C20D6">
        <w:rPr>
          <w:bCs/>
          <w:iCs/>
          <w:color w:val="000000" w:themeColor="text1"/>
          <w:sz w:val="24"/>
          <w:szCs w:val="24"/>
        </w:rPr>
        <w:t> </w:t>
      </w:r>
      <w:r>
        <w:rPr>
          <w:bCs/>
          <w:iCs/>
          <w:color w:val="000000" w:themeColor="text1"/>
          <w:sz w:val="24"/>
          <w:szCs w:val="24"/>
        </w:rPr>
        <w:t>796</w:t>
      </w:r>
      <w:r w:rsidR="004C20D6">
        <w:rPr>
          <w:bCs/>
          <w:iCs/>
          <w:color w:val="000000" w:themeColor="text1"/>
          <w:sz w:val="24"/>
          <w:szCs w:val="24"/>
        </w:rPr>
        <w:t> </w:t>
      </w:r>
      <w:r>
        <w:rPr>
          <w:bCs/>
          <w:iCs/>
          <w:color w:val="000000" w:themeColor="text1"/>
          <w:sz w:val="24"/>
          <w:szCs w:val="24"/>
        </w:rPr>
        <w:t>tis.</w:t>
      </w:r>
      <w:r w:rsidR="004C20D6">
        <w:rPr>
          <w:bCs/>
          <w:iCs/>
          <w:color w:val="000000" w:themeColor="text1"/>
          <w:sz w:val="24"/>
          <w:szCs w:val="24"/>
        </w:rPr>
        <w:t> </w:t>
      </w:r>
      <w:r>
        <w:rPr>
          <w:bCs/>
          <w:iCs/>
          <w:color w:val="000000" w:themeColor="text1"/>
          <w:sz w:val="24"/>
          <w:szCs w:val="24"/>
        </w:rPr>
        <w:t xml:space="preserve">eur, </w:t>
      </w:r>
      <w:r w:rsidR="004C20D6">
        <w:rPr>
          <w:bCs/>
          <w:iCs/>
          <w:color w:val="000000" w:themeColor="text1"/>
          <w:sz w:val="24"/>
          <w:szCs w:val="24"/>
        </w:rPr>
        <w:t>za spolufinancovanie 14 279 </w:t>
      </w:r>
      <w:r w:rsidRPr="00B40CA5">
        <w:rPr>
          <w:bCs/>
          <w:iCs/>
          <w:color w:val="000000" w:themeColor="text1"/>
          <w:sz w:val="24"/>
          <w:szCs w:val="24"/>
        </w:rPr>
        <w:t>tis.</w:t>
      </w:r>
      <w:r w:rsidR="004C20D6">
        <w:rPr>
          <w:bCs/>
          <w:iCs/>
          <w:color w:val="000000" w:themeColor="text1"/>
          <w:sz w:val="24"/>
          <w:szCs w:val="24"/>
        </w:rPr>
        <w:t> </w:t>
      </w:r>
      <w:r w:rsidRPr="00B40CA5">
        <w:rPr>
          <w:bCs/>
          <w:iCs/>
          <w:color w:val="000000" w:themeColor="text1"/>
          <w:sz w:val="24"/>
          <w:szCs w:val="24"/>
        </w:rPr>
        <w:t>eur a z </w:t>
      </w:r>
      <w:r>
        <w:rPr>
          <w:bCs/>
          <w:iCs/>
          <w:color w:val="000000" w:themeColor="text1"/>
          <w:sz w:val="24"/>
          <w:szCs w:val="24"/>
        </w:rPr>
        <w:t>POO</w:t>
      </w:r>
      <w:r w:rsidR="004C20D6">
        <w:rPr>
          <w:bCs/>
          <w:iCs/>
          <w:color w:val="000000" w:themeColor="text1"/>
          <w:sz w:val="24"/>
          <w:szCs w:val="24"/>
        </w:rPr>
        <w:t xml:space="preserve"> 1 334 </w:t>
      </w:r>
      <w:r w:rsidRPr="00B40CA5">
        <w:rPr>
          <w:bCs/>
          <w:iCs/>
          <w:color w:val="000000" w:themeColor="text1"/>
          <w:sz w:val="24"/>
          <w:szCs w:val="24"/>
        </w:rPr>
        <w:t>tis.</w:t>
      </w:r>
      <w:r w:rsidR="004C20D6">
        <w:rPr>
          <w:bCs/>
          <w:iCs/>
          <w:color w:val="000000" w:themeColor="text1"/>
          <w:sz w:val="24"/>
          <w:szCs w:val="24"/>
        </w:rPr>
        <w:t> </w:t>
      </w:r>
      <w:r w:rsidRPr="00B40CA5">
        <w:rPr>
          <w:bCs/>
          <w:iCs/>
          <w:color w:val="000000" w:themeColor="text1"/>
          <w:sz w:val="24"/>
          <w:szCs w:val="24"/>
        </w:rPr>
        <w:t>eur.</w:t>
      </w:r>
    </w:p>
    <w:p w14:paraId="12C9C182" w14:textId="711FCBCA" w:rsidR="004D69BF" w:rsidRPr="00645B22" w:rsidRDefault="004D69BF" w:rsidP="004D69BF">
      <w:pPr>
        <w:spacing w:line="240" w:lineRule="auto"/>
        <w:rPr>
          <w:bCs/>
          <w:iCs/>
          <w:color w:val="000000" w:themeColor="text1"/>
          <w:sz w:val="24"/>
          <w:szCs w:val="24"/>
        </w:rPr>
      </w:pPr>
      <w:r w:rsidRPr="00B40CA5">
        <w:rPr>
          <w:b/>
          <w:i/>
          <w:color w:val="000000" w:themeColor="text1"/>
          <w:sz w:val="24"/>
          <w:szCs w:val="24"/>
        </w:rPr>
        <w:lastRenderedPageBreak/>
        <w:t xml:space="preserve">Z ostatných nedaňových príjmov </w:t>
      </w:r>
      <w:r w:rsidRPr="00B40CA5">
        <w:rPr>
          <w:bCs/>
          <w:iCs/>
          <w:color w:val="000000" w:themeColor="text1"/>
          <w:sz w:val="24"/>
          <w:szCs w:val="24"/>
        </w:rPr>
        <w:t>vykazuje najvyššiu hodnotu Ministerstvo hospodárstva SR 69</w:t>
      </w:r>
      <w:r w:rsidR="004C20D6">
        <w:rPr>
          <w:bCs/>
          <w:iCs/>
          <w:color w:val="000000" w:themeColor="text1"/>
          <w:sz w:val="24"/>
          <w:szCs w:val="24"/>
        </w:rPr>
        <w:t> </w:t>
      </w:r>
      <w:r w:rsidRPr="00B40CA5">
        <w:rPr>
          <w:bCs/>
          <w:iCs/>
          <w:color w:val="000000" w:themeColor="text1"/>
          <w:sz w:val="24"/>
          <w:szCs w:val="24"/>
        </w:rPr>
        <w:t>392</w:t>
      </w:r>
      <w:r w:rsidR="004C20D6">
        <w:rPr>
          <w:bCs/>
          <w:iCs/>
          <w:color w:val="000000" w:themeColor="text1"/>
          <w:sz w:val="24"/>
          <w:szCs w:val="24"/>
        </w:rPr>
        <w:t> tis. </w:t>
      </w:r>
      <w:r w:rsidRPr="00B40CA5">
        <w:rPr>
          <w:bCs/>
          <w:iCs/>
          <w:color w:val="000000" w:themeColor="text1"/>
          <w:sz w:val="24"/>
          <w:szCs w:val="24"/>
        </w:rPr>
        <w:t>eur, najmä z titulu odvodov od prevádzkovateľov distribučných sústav a prenosovej sústavy, ktorí sú povinn</w:t>
      </w:r>
      <w:r>
        <w:rPr>
          <w:bCs/>
          <w:iCs/>
          <w:color w:val="000000" w:themeColor="text1"/>
          <w:sz w:val="24"/>
          <w:szCs w:val="24"/>
        </w:rPr>
        <w:t>í</w:t>
      </w:r>
      <w:r w:rsidRPr="00B40CA5">
        <w:rPr>
          <w:bCs/>
          <w:iCs/>
          <w:color w:val="000000" w:themeColor="text1"/>
          <w:sz w:val="24"/>
          <w:szCs w:val="24"/>
        </w:rPr>
        <w:t xml:space="preserve"> odvádzať do štátneho rozpočtu odvod z množstva elektriny dodanej koncovým odberateľom elektriny</w:t>
      </w:r>
      <w:r w:rsidR="004C20D6">
        <w:rPr>
          <w:bCs/>
          <w:iCs/>
          <w:color w:val="000000" w:themeColor="text1"/>
          <w:sz w:val="24"/>
          <w:szCs w:val="24"/>
        </w:rPr>
        <w:t>, Ministerstvo obrany SR 13 852 </w:t>
      </w:r>
      <w:r w:rsidRPr="00B40CA5">
        <w:rPr>
          <w:bCs/>
          <w:iCs/>
          <w:color w:val="000000" w:themeColor="text1"/>
          <w:sz w:val="24"/>
          <w:szCs w:val="24"/>
        </w:rPr>
        <w:t>tis.</w:t>
      </w:r>
      <w:r w:rsidR="004C20D6">
        <w:rPr>
          <w:bCs/>
          <w:iCs/>
          <w:color w:val="000000" w:themeColor="text1"/>
          <w:sz w:val="24"/>
          <w:szCs w:val="24"/>
        </w:rPr>
        <w:t> </w:t>
      </w:r>
      <w:r w:rsidRPr="00B40CA5">
        <w:rPr>
          <w:bCs/>
          <w:iCs/>
          <w:color w:val="000000" w:themeColor="text1"/>
          <w:sz w:val="24"/>
          <w:szCs w:val="24"/>
        </w:rPr>
        <w:t>eur a Ministerstvo</w:t>
      </w:r>
      <w:r w:rsidRPr="00B26D1C">
        <w:rPr>
          <w:bCs/>
          <w:iCs/>
          <w:color w:val="000000" w:themeColor="text1"/>
          <w:sz w:val="24"/>
          <w:szCs w:val="24"/>
        </w:rPr>
        <w:t xml:space="preserve"> vnútra SR 8</w:t>
      </w:r>
      <w:r w:rsidR="004C20D6">
        <w:rPr>
          <w:bCs/>
          <w:iCs/>
          <w:color w:val="000000" w:themeColor="text1"/>
          <w:sz w:val="24"/>
          <w:szCs w:val="24"/>
        </w:rPr>
        <w:t> </w:t>
      </w:r>
      <w:r w:rsidRPr="00B26D1C">
        <w:rPr>
          <w:bCs/>
          <w:iCs/>
          <w:color w:val="000000" w:themeColor="text1"/>
          <w:sz w:val="24"/>
          <w:szCs w:val="24"/>
        </w:rPr>
        <w:t>232</w:t>
      </w:r>
      <w:r w:rsidR="004C20D6">
        <w:rPr>
          <w:bCs/>
          <w:iCs/>
          <w:color w:val="000000" w:themeColor="text1"/>
          <w:sz w:val="24"/>
          <w:szCs w:val="24"/>
        </w:rPr>
        <w:t> </w:t>
      </w:r>
      <w:r w:rsidRPr="00B26D1C">
        <w:rPr>
          <w:bCs/>
          <w:iCs/>
          <w:color w:val="000000" w:themeColor="text1"/>
          <w:sz w:val="24"/>
          <w:szCs w:val="24"/>
        </w:rPr>
        <w:t>tis.</w:t>
      </w:r>
      <w:r w:rsidR="004C20D6">
        <w:rPr>
          <w:bCs/>
          <w:iCs/>
          <w:color w:val="000000" w:themeColor="text1"/>
          <w:sz w:val="24"/>
          <w:szCs w:val="24"/>
        </w:rPr>
        <w:t> </w:t>
      </w:r>
      <w:r w:rsidRPr="00B26D1C">
        <w:rPr>
          <w:bCs/>
          <w:iCs/>
          <w:color w:val="000000" w:themeColor="text1"/>
          <w:sz w:val="24"/>
          <w:szCs w:val="24"/>
        </w:rPr>
        <w:t xml:space="preserve">eur, hlavne ako odvody </w:t>
      </w:r>
      <w:r w:rsidRPr="00B26D1C">
        <w:rPr>
          <w:color w:val="000000" w:themeColor="text1"/>
          <w:sz w:val="24"/>
          <w:szCs w:val="24"/>
        </w:rPr>
        <w:t>za odňatie poľnohospodárskej pôdy a </w:t>
      </w:r>
      <w:r w:rsidR="004C20D6">
        <w:rPr>
          <w:color w:val="000000" w:themeColor="text1"/>
          <w:sz w:val="24"/>
          <w:szCs w:val="24"/>
        </w:rPr>
        <w:t>vyňatie lesných pozemkov (3 990 </w:t>
      </w:r>
      <w:r w:rsidRPr="00B26D1C">
        <w:rPr>
          <w:color w:val="000000" w:themeColor="text1"/>
          <w:sz w:val="24"/>
          <w:szCs w:val="24"/>
        </w:rPr>
        <w:t>tis.</w:t>
      </w:r>
      <w:r w:rsidR="004C20D6">
        <w:rPr>
          <w:color w:val="000000" w:themeColor="text1"/>
          <w:sz w:val="24"/>
          <w:szCs w:val="24"/>
        </w:rPr>
        <w:t> </w:t>
      </w:r>
      <w:r w:rsidRPr="00B26D1C">
        <w:rPr>
          <w:color w:val="000000" w:themeColor="text1"/>
          <w:sz w:val="24"/>
          <w:szCs w:val="24"/>
        </w:rPr>
        <w:t xml:space="preserve">eur), príjmy z predpísaných mánk a škôd, príjmy z trov konania, prepadnuté prostriedky v prospech štátu, príjmy z dedičského konania, príjmy </w:t>
      </w:r>
      <w:r w:rsidRPr="00B26D1C">
        <w:rPr>
          <w:rFonts w:cs="Times New Roman"/>
          <w:color w:val="000000" w:themeColor="text1"/>
          <w:sz w:val="24"/>
          <w:szCs w:val="24"/>
        </w:rPr>
        <w:t>z poplatkov za</w:t>
      </w:r>
      <w:r w:rsidR="004C20D6">
        <w:rPr>
          <w:rFonts w:cs="Times New Roman"/>
          <w:color w:val="000000" w:themeColor="text1"/>
          <w:sz w:val="24"/>
          <w:szCs w:val="24"/>
        </w:rPr>
        <w:t> </w:t>
      </w:r>
      <w:r w:rsidRPr="00B26D1C">
        <w:rPr>
          <w:rFonts w:cs="Times New Roman"/>
          <w:color w:val="000000" w:themeColor="text1"/>
          <w:sz w:val="24"/>
          <w:szCs w:val="24"/>
        </w:rPr>
        <w:t>obnovu evidencie pozemkov a iné.</w:t>
      </w:r>
    </w:p>
    <w:p w14:paraId="61114B40" w14:textId="75829969" w:rsidR="004D69BF" w:rsidRPr="00DA6E74" w:rsidRDefault="004D69BF" w:rsidP="004D69BF">
      <w:pPr>
        <w:spacing w:line="240" w:lineRule="auto"/>
        <w:rPr>
          <w:b/>
          <w:iCs/>
          <w:color w:val="000000" w:themeColor="text1"/>
          <w:sz w:val="24"/>
          <w:szCs w:val="24"/>
        </w:rPr>
      </w:pPr>
      <w:r w:rsidRPr="00645B22">
        <w:rPr>
          <w:bCs/>
          <w:i/>
          <w:color w:val="000000" w:themeColor="text1"/>
          <w:sz w:val="24"/>
          <w:szCs w:val="24"/>
          <w:u w:val="single"/>
        </w:rPr>
        <w:t>Dobropisy</w:t>
      </w:r>
      <w:r>
        <w:rPr>
          <w:bCs/>
          <w:i/>
          <w:color w:val="000000" w:themeColor="text1"/>
          <w:sz w:val="24"/>
          <w:szCs w:val="24"/>
        </w:rPr>
        <w:t xml:space="preserve"> </w:t>
      </w:r>
      <w:r w:rsidRPr="00DA6E74">
        <w:rPr>
          <w:bCs/>
          <w:iCs/>
          <w:color w:val="000000" w:themeColor="text1"/>
          <w:sz w:val="24"/>
          <w:szCs w:val="24"/>
        </w:rPr>
        <w:t>tvorili 14</w:t>
      </w:r>
      <w:r w:rsidR="004C20D6">
        <w:rPr>
          <w:bCs/>
          <w:iCs/>
          <w:color w:val="000000" w:themeColor="text1"/>
          <w:sz w:val="24"/>
          <w:szCs w:val="24"/>
        </w:rPr>
        <w:t> </w:t>
      </w:r>
      <w:r w:rsidRPr="00DA6E74">
        <w:rPr>
          <w:bCs/>
          <w:iCs/>
          <w:color w:val="000000" w:themeColor="text1"/>
          <w:sz w:val="24"/>
          <w:szCs w:val="24"/>
        </w:rPr>
        <w:t>718</w:t>
      </w:r>
      <w:r w:rsidR="004C20D6">
        <w:rPr>
          <w:bCs/>
          <w:iCs/>
          <w:color w:val="000000" w:themeColor="text1"/>
          <w:sz w:val="24"/>
          <w:szCs w:val="24"/>
        </w:rPr>
        <w:t> tis. </w:t>
      </w:r>
      <w:r w:rsidRPr="00DA6E74">
        <w:rPr>
          <w:bCs/>
          <w:iCs/>
          <w:color w:val="000000" w:themeColor="text1"/>
          <w:sz w:val="24"/>
          <w:szCs w:val="24"/>
        </w:rPr>
        <w:t>eur a </w:t>
      </w:r>
      <w:r w:rsidRPr="00290ACC">
        <w:rPr>
          <w:bCs/>
          <w:iCs/>
          <w:color w:val="000000" w:themeColor="text1"/>
          <w:sz w:val="24"/>
          <w:szCs w:val="24"/>
          <w:u w:val="single"/>
        </w:rPr>
        <w:t>príspevok prevádzkovateľa hazardnej hry</w:t>
      </w:r>
      <w:r w:rsidRPr="00DA6E74">
        <w:rPr>
          <w:bCs/>
          <w:iCs/>
          <w:color w:val="000000" w:themeColor="text1"/>
          <w:sz w:val="24"/>
          <w:szCs w:val="24"/>
        </w:rPr>
        <w:t xml:space="preserve"> </w:t>
      </w:r>
      <w:r w:rsidRPr="008E785C">
        <w:rPr>
          <w:rFonts w:cs="Times New Roman"/>
          <w:color w:val="000000" w:themeColor="text1"/>
          <w:sz w:val="24"/>
          <w:szCs w:val="24"/>
        </w:rPr>
        <w:t>v zmysle zákona č. 30/2019 Z. z. o hazardných hrách od prevádzkovateľov hazardných hier,</w:t>
      </w:r>
      <w:r>
        <w:rPr>
          <w:rFonts w:cs="Times New Roman"/>
          <w:color w:val="000000" w:themeColor="text1"/>
          <w:sz w:val="24"/>
          <w:szCs w:val="24"/>
        </w:rPr>
        <w:t xml:space="preserve"> </w:t>
      </w:r>
      <w:r w:rsidR="004C20D6">
        <w:rPr>
          <w:bCs/>
          <w:iCs/>
          <w:color w:val="000000" w:themeColor="text1"/>
          <w:sz w:val="24"/>
          <w:szCs w:val="24"/>
        </w:rPr>
        <w:t>10 112 </w:t>
      </w:r>
      <w:r w:rsidRPr="00DA6E74">
        <w:rPr>
          <w:bCs/>
          <w:iCs/>
          <w:color w:val="000000" w:themeColor="text1"/>
          <w:sz w:val="24"/>
          <w:szCs w:val="24"/>
        </w:rPr>
        <w:t>tis.</w:t>
      </w:r>
      <w:r w:rsidR="004C20D6">
        <w:rPr>
          <w:bCs/>
          <w:iCs/>
          <w:color w:val="000000" w:themeColor="text1"/>
          <w:sz w:val="24"/>
          <w:szCs w:val="24"/>
        </w:rPr>
        <w:t> </w:t>
      </w:r>
      <w:r w:rsidRPr="00DA6E74">
        <w:rPr>
          <w:bCs/>
          <w:iCs/>
          <w:color w:val="000000" w:themeColor="text1"/>
          <w:sz w:val="24"/>
          <w:szCs w:val="24"/>
        </w:rPr>
        <w:t>eur</w:t>
      </w:r>
      <w:r>
        <w:rPr>
          <w:bCs/>
          <w:iCs/>
          <w:color w:val="000000" w:themeColor="text1"/>
          <w:sz w:val="24"/>
          <w:szCs w:val="24"/>
        </w:rPr>
        <w:t xml:space="preserve">, </w:t>
      </w:r>
      <w:r w:rsidRPr="005E1FD5">
        <w:rPr>
          <w:bCs/>
          <w:iCs/>
          <w:color w:val="000000" w:themeColor="text1"/>
          <w:sz w:val="24"/>
          <w:szCs w:val="24"/>
          <w:u w:val="single"/>
        </w:rPr>
        <w:t>vrátené neoprávnene použité alebo zadržané prostriedky</w:t>
      </w:r>
      <w:r>
        <w:rPr>
          <w:bCs/>
          <w:iCs/>
          <w:color w:val="000000" w:themeColor="text1"/>
          <w:sz w:val="24"/>
          <w:szCs w:val="24"/>
        </w:rPr>
        <w:t xml:space="preserve"> 8</w:t>
      </w:r>
      <w:r w:rsidR="004C20D6">
        <w:rPr>
          <w:bCs/>
          <w:iCs/>
          <w:color w:val="000000" w:themeColor="text1"/>
          <w:sz w:val="24"/>
          <w:szCs w:val="24"/>
        </w:rPr>
        <w:t> </w:t>
      </w:r>
      <w:r>
        <w:rPr>
          <w:bCs/>
          <w:iCs/>
          <w:color w:val="000000" w:themeColor="text1"/>
          <w:sz w:val="24"/>
          <w:szCs w:val="24"/>
        </w:rPr>
        <w:t>943</w:t>
      </w:r>
      <w:r w:rsidR="004C20D6">
        <w:rPr>
          <w:bCs/>
          <w:iCs/>
          <w:color w:val="000000" w:themeColor="text1"/>
          <w:sz w:val="24"/>
          <w:szCs w:val="24"/>
        </w:rPr>
        <w:t> </w:t>
      </w:r>
      <w:r>
        <w:rPr>
          <w:bCs/>
          <w:iCs/>
          <w:color w:val="000000" w:themeColor="text1"/>
          <w:sz w:val="24"/>
          <w:szCs w:val="24"/>
        </w:rPr>
        <w:t>tis.</w:t>
      </w:r>
      <w:r w:rsidR="004C20D6">
        <w:rPr>
          <w:bCs/>
          <w:iCs/>
          <w:color w:val="000000" w:themeColor="text1"/>
          <w:sz w:val="24"/>
          <w:szCs w:val="24"/>
        </w:rPr>
        <w:t> </w:t>
      </w:r>
      <w:r>
        <w:rPr>
          <w:bCs/>
          <w:iCs/>
          <w:color w:val="000000" w:themeColor="text1"/>
          <w:sz w:val="24"/>
          <w:szCs w:val="24"/>
        </w:rPr>
        <w:t>eur a </w:t>
      </w:r>
      <w:r w:rsidRPr="004C7388">
        <w:rPr>
          <w:bCs/>
          <w:iCs/>
          <w:color w:val="000000" w:themeColor="text1"/>
          <w:sz w:val="24"/>
          <w:szCs w:val="24"/>
          <w:u w:val="single"/>
        </w:rPr>
        <w:t>refundácie</w:t>
      </w:r>
      <w:r>
        <w:rPr>
          <w:bCs/>
          <w:iCs/>
          <w:color w:val="000000" w:themeColor="text1"/>
          <w:sz w:val="24"/>
          <w:szCs w:val="24"/>
        </w:rPr>
        <w:t xml:space="preserve"> 5</w:t>
      </w:r>
      <w:r w:rsidR="004C20D6">
        <w:rPr>
          <w:bCs/>
          <w:iCs/>
          <w:color w:val="000000" w:themeColor="text1"/>
          <w:sz w:val="24"/>
          <w:szCs w:val="24"/>
        </w:rPr>
        <w:t> </w:t>
      </w:r>
      <w:r>
        <w:rPr>
          <w:bCs/>
          <w:iCs/>
          <w:color w:val="000000" w:themeColor="text1"/>
          <w:sz w:val="24"/>
          <w:szCs w:val="24"/>
        </w:rPr>
        <w:t>740</w:t>
      </w:r>
      <w:r w:rsidR="004C20D6">
        <w:rPr>
          <w:bCs/>
          <w:iCs/>
          <w:color w:val="000000" w:themeColor="text1"/>
          <w:sz w:val="24"/>
          <w:szCs w:val="24"/>
        </w:rPr>
        <w:t> </w:t>
      </w:r>
      <w:r>
        <w:rPr>
          <w:bCs/>
          <w:iCs/>
          <w:color w:val="000000" w:themeColor="text1"/>
          <w:sz w:val="24"/>
          <w:szCs w:val="24"/>
        </w:rPr>
        <w:t>tis.</w:t>
      </w:r>
      <w:r w:rsidR="004C20D6">
        <w:rPr>
          <w:bCs/>
          <w:iCs/>
          <w:color w:val="000000" w:themeColor="text1"/>
          <w:sz w:val="24"/>
          <w:szCs w:val="24"/>
        </w:rPr>
        <w:t> </w:t>
      </w:r>
      <w:r>
        <w:rPr>
          <w:bCs/>
          <w:iCs/>
          <w:color w:val="000000" w:themeColor="text1"/>
          <w:sz w:val="24"/>
          <w:szCs w:val="24"/>
        </w:rPr>
        <w:t>eur.</w:t>
      </w:r>
    </w:p>
    <w:p w14:paraId="003A74FA" w14:textId="77777777" w:rsidR="004D69BF" w:rsidRPr="003D7FAB" w:rsidRDefault="004D69BF" w:rsidP="004D69BF">
      <w:pPr>
        <w:pStyle w:val="Nadpis3"/>
        <w:spacing w:line="336" w:lineRule="auto"/>
      </w:pPr>
      <w:bookmarkStart w:id="107" w:name="_Toc6415644"/>
      <w:bookmarkStart w:id="108" w:name="_Toc196314135"/>
      <w:r w:rsidRPr="003D7FAB">
        <w:t>Granty a transfery</w:t>
      </w:r>
      <w:bookmarkEnd w:id="107"/>
      <w:bookmarkEnd w:id="108"/>
    </w:p>
    <w:p w14:paraId="5DA65C4E" w14:textId="6B2E35FC" w:rsidR="004D69BF" w:rsidRDefault="004D69BF" w:rsidP="004D69BF">
      <w:pPr>
        <w:spacing w:line="240" w:lineRule="auto"/>
        <w:rPr>
          <w:sz w:val="24"/>
          <w:szCs w:val="24"/>
        </w:rPr>
      </w:pPr>
      <w:r w:rsidRPr="001464E5">
        <w:rPr>
          <w:sz w:val="24"/>
          <w:szCs w:val="24"/>
        </w:rPr>
        <w:t xml:space="preserve">Hotovostný príjem z grantov a transferov </w:t>
      </w:r>
      <w:r>
        <w:rPr>
          <w:sz w:val="24"/>
          <w:szCs w:val="24"/>
        </w:rPr>
        <w:t xml:space="preserve">za všetky zdroje </w:t>
      </w:r>
      <w:r w:rsidRPr="001464E5">
        <w:rPr>
          <w:sz w:val="24"/>
          <w:szCs w:val="24"/>
        </w:rPr>
        <w:t>bol na rok 202</w:t>
      </w:r>
      <w:r>
        <w:rPr>
          <w:sz w:val="24"/>
          <w:szCs w:val="24"/>
        </w:rPr>
        <w:t>4</w:t>
      </w:r>
      <w:r w:rsidR="004C20D6">
        <w:rPr>
          <w:sz w:val="24"/>
          <w:szCs w:val="24"/>
        </w:rPr>
        <w:t xml:space="preserve"> rozpočtovaný v </w:t>
      </w:r>
      <w:r w:rsidRPr="001464E5">
        <w:rPr>
          <w:sz w:val="24"/>
          <w:szCs w:val="24"/>
        </w:rPr>
        <w:t xml:space="preserve">celkovej výške </w:t>
      </w:r>
      <w:r w:rsidR="004C20D6">
        <w:rPr>
          <w:sz w:val="24"/>
          <w:szCs w:val="24"/>
        </w:rPr>
        <w:t>2 518 </w:t>
      </w:r>
      <w:r>
        <w:rPr>
          <w:sz w:val="24"/>
          <w:szCs w:val="24"/>
        </w:rPr>
        <w:t>539</w:t>
      </w:r>
      <w:r w:rsidRPr="001464E5">
        <w:rPr>
          <w:sz w:val="24"/>
          <w:szCs w:val="24"/>
        </w:rPr>
        <w:t> tis.</w:t>
      </w:r>
      <w:r w:rsidR="004C20D6">
        <w:rPr>
          <w:sz w:val="24"/>
          <w:szCs w:val="24"/>
        </w:rPr>
        <w:t> </w:t>
      </w:r>
      <w:r w:rsidRPr="001464E5">
        <w:rPr>
          <w:sz w:val="24"/>
          <w:szCs w:val="24"/>
        </w:rPr>
        <w:t>eur</w:t>
      </w:r>
      <w:r>
        <w:rPr>
          <w:sz w:val="24"/>
          <w:szCs w:val="24"/>
        </w:rPr>
        <w:t xml:space="preserve">, </w:t>
      </w:r>
      <w:r w:rsidRPr="001464E5">
        <w:rPr>
          <w:sz w:val="24"/>
          <w:szCs w:val="24"/>
        </w:rPr>
        <w:t xml:space="preserve">z toho tuzemské v čiastke </w:t>
      </w:r>
      <w:r w:rsidR="004C20D6">
        <w:rPr>
          <w:sz w:val="24"/>
          <w:szCs w:val="24"/>
        </w:rPr>
        <w:t>65 </w:t>
      </w:r>
      <w:r>
        <w:rPr>
          <w:sz w:val="24"/>
          <w:szCs w:val="24"/>
        </w:rPr>
        <w:t>898</w:t>
      </w:r>
      <w:r w:rsidR="004C20D6">
        <w:rPr>
          <w:sz w:val="24"/>
          <w:szCs w:val="24"/>
        </w:rPr>
        <w:t> </w:t>
      </w:r>
      <w:r w:rsidRPr="001464E5">
        <w:rPr>
          <w:sz w:val="24"/>
          <w:szCs w:val="24"/>
        </w:rPr>
        <w:t>tis.</w:t>
      </w:r>
      <w:r w:rsidR="004C20D6">
        <w:rPr>
          <w:sz w:val="24"/>
          <w:szCs w:val="24"/>
        </w:rPr>
        <w:t> </w:t>
      </w:r>
      <w:r w:rsidRPr="001464E5">
        <w:rPr>
          <w:sz w:val="24"/>
          <w:szCs w:val="24"/>
        </w:rPr>
        <w:t>eur</w:t>
      </w:r>
      <w:r>
        <w:rPr>
          <w:sz w:val="24"/>
          <w:szCs w:val="24"/>
        </w:rPr>
        <w:t>. Oproti predchádzajúcemu roku sa tieto</w:t>
      </w:r>
      <w:r w:rsidR="004C20D6">
        <w:rPr>
          <w:sz w:val="24"/>
          <w:szCs w:val="24"/>
        </w:rPr>
        <w:t xml:space="preserve"> príjmy rozpočtovali nižšie o 5 </w:t>
      </w:r>
      <w:r>
        <w:rPr>
          <w:sz w:val="24"/>
          <w:szCs w:val="24"/>
        </w:rPr>
        <w:t>255</w:t>
      </w:r>
      <w:r w:rsidR="004C20D6">
        <w:rPr>
          <w:sz w:val="24"/>
          <w:szCs w:val="24"/>
        </w:rPr>
        <w:t> </w:t>
      </w:r>
      <w:r>
        <w:rPr>
          <w:sz w:val="24"/>
          <w:szCs w:val="24"/>
        </w:rPr>
        <w:t>498</w:t>
      </w:r>
      <w:r w:rsidR="004C20D6">
        <w:rPr>
          <w:sz w:val="24"/>
          <w:szCs w:val="24"/>
        </w:rPr>
        <w:t> </w:t>
      </w:r>
      <w:r>
        <w:rPr>
          <w:sz w:val="24"/>
          <w:szCs w:val="24"/>
        </w:rPr>
        <w:t>tis.</w:t>
      </w:r>
      <w:r w:rsidR="004C20D6">
        <w:rPr>
          <w:sz w:val="24"/>
          <w:szCs w:val="24"/>
        </w:rPr>
        <w:t> </w:t>
      </w:r>
      <w:r>
        <w:rPr>
          <w:sz w:val="24"/>
          <w:szCs w:val="24"/>
        </w:rPr>
        <w:t>eur z d</w:t>
      </w:r>
      <w:r w:rsidR="004C20D6">
        <w:rPr>
          <w:sz w:val="24"/>
          <w:szCs w:val="24"/>
        </w:rPr>
        <w:t>ôvodu postupného ukončovania 3. </w:t>
      </w:r>
      <w:r>
        <w:rPr>
          <w:sz w:val="24"/>
          <w:szCs w:val="24"/>
        </w:rPr>
        <w:t>programového obdobia čerpania eurofondov.</w:t>
      </w:r>
    </w:p>
    <w:p w14:paraId="52301319" w14:textId="7BABC784" w:rsidR="004D69BF" w:rsidRPr="008C7844" w:rsidRDefault="004D69BF" w:rsidP="004D69BF">
      <w:pPr>
        <w:spacing w:line="240" w:lineRule="auto"/>
        <w:rPr>
          <w:sz w:val="24"/>
          <w:szCs w:val="24"/>
        </w:rPr>
      </w:pPr>
      <w:r w:rsidRPr="007506C3">
        <w:rPr>
          <w:sz w:val="24"/>
          <w:szCs w:val="24"/>
        </w:rPr>
        <w:t xml:space="preserve">Rozhodujúcu časť </w:t>
      </w:r>
      <w:r>
        <w:rPr>
          <w:sz w:val="24"/>
          <w:szCs w:val="24"/>
        </w:rPr>
        <w:t xml:space="preserve">grantov a transferov </w:t>
      </w:r>
      <w:r w:rsidRPr="007506C3">
        <w:rPr>
          <w:sz w:val="24"/>
          <w:szCs w:val="24"/>
        </w:rPr>
        <w:t>ako v rozpočte tak aj v s</w:t>
      </w:r>
      <w:r w:rsidR="004C20D6">
        <w:rPr>
          <w:sz w:val="24"/>
          <w:szCs w:val="24"/>
        </w:rPr>
        <w:t>kutočnom plnení tvoria zdroje z </w:t>
      </w:r>
      <w:r w:rsidRPr="007506C3">
        <w:rPr>
          <w:sz w:val="24"/>
          <w:szCs w:val="24"/>
        </w:rPr>
        <w:t>rozpočtu EÚ</w:t>
      </w:r>
      <w:r w:rsidR="000F7ABA">
        <w:rPr>
          <w:sz w:val="24"/>
          <w:szCs w:val="24"/>
        </w:rPr>
        <w:t>, alokované a </w:t>
      </w:r>
      <w:r w:rsidRPr="007506C3">
        <w:rPr>
          <w:sz w:val="24"/>
          <w:szCs w:val="24"/>
        </w:rPr>
        <w:t>čerpané v</w:t>
      </w:r>
      <w:r w:rsidR="004C20D6">
        <w:rPr>
          <w:sz w:val="24"/>
          <w:szCs w:val="24"/>
        </w:rPr>
        <w:t> </w:t>
      </w:r>
      <w:r w:rsidRPr="007506C3">
        <w:rPr>
          <w:sz w:val="24"/>
          <w:szCs w:val="24"/>
        </w:rPr>
        <w:t xml:space="preserve">rámci príslušných programových období (aktuálne ako aj dobiehajúce programové obdobia). </w:t>
      </w:r>
      <w:r>
        <w:rPr>
          <w:sz w:val="24"/>
          <w:szCs w:val="24"/>
        </w:rPr>
        <w:t>Rastúci vývoj objemu príjmov majú aj zdroje z Plánu obnovy a odolnosti.</w:t>
      </w:r>
    </w:p>
    <w:p w14:paraId="19598A7D" w14:textId="77777777" w:rsidR="004D69BF" w:rsidRDefault="004D69BF" w:rsidP="004D69BF">
      <w:pPr>
        <w:spacing w:line="240" w:lineRule="auto"/>
        <w:rPr>
          <w:sz w:val="24"/>
          <w:szCs w:val="24"/>
        </w:rPr>
      </w:pPr>
      <w:r w:rsidRPr="008D7604">
        <w:rPr>
          <w:sz w:val="24"/>
          <w:szCs w:val="24"/>
        </w:rPr>
        <w:t>Súhrnný prehľad o plnení grantov a transferov poskytuje nasledovná tabuľka:</w:t>
      </w:r>
    </w:p>
    <w:p w14:paraId="1D63FFA8" w14:textId="65293D42" w:rsidR="00A1147F" w:rsidRPr="00A1147F" w:rsidRDefault="00A1147F" w:rsidP="00432979">
      <w:pPr>
        <w:pStyle w:val="Popis"/>
        <w:keepNext/>
        <w:spacing w:after="120"/>
        <w:rPr>
          <w:rFonts w:eastAsia="Times New Roman" w:cs="Times New Roman"/>
          <w:b/>
          <w:bCs/>
          <w:i w:val="0"/>
          <w:iCs w:val="0"/>
          <w:color w:val="4F81BD"/>
          <w:sz w:val="20"/>
          <w:szCs w:val="20"/>
          <w:lang w:eastAsia="sk-SK"/>
        </w:rPr>
      </w:pPr>
      <w:bookmarkStart w:id="109" w:name="_Toc196313655"/>
      <w:bookmarkStart w:id="110" w:name="_Toc196389276"/>
      <w:r w:rsidRPr="00A1147F">
        <w:rPr>
          <w:rFonts w:eastAsia="Times New Roman" w:cs="Times New Roman"/>
          <w:b/>
          <w:bCs/>
          <w:i w:val="0"/>
          <w:iCs w:val="0"/>
          <w:color w:val="4F81BD"/>
          <w:sz w:val="20"/>
          <w:szCs w:val="20"/>
          <w:lang w:eastAsia="sk-SK"/>
        </w:rPr>
        <w:t xml:space="preserve">Tabuľka </w:t>
      </w:r>
      <w:r w:rsidRPr="00A1147F">
        <w:rPr>
          <w:rFonts w:eastAsia="Times New Roman" w:cs="Times New Roman"/>
          <w:b/>
          <w:bCs/>
          <w:i w:val="0"/>
          <w:iCs w:val="0"/>
          <w:color w:val="4F81BD"/>
          <w:sz w:val="20"/>
          <w:szCs w:val="20"/>
          <w:lang w:eastAsia="sk-SK"/>
        </w:rPr>
        <w:fldChar w:fldCharType="begin"/>
      </w:r>
      <w:r w:rsidRPr="00A1147F">
        <w:rPr>
          <w:rFonts w:eastAsia="Times New Roman" w:cs="Times New Roman"/>
          <w:b/>
          <w:bCs/>
          <w:i w:val="0"/>
          <w:iCs w:val="0"/>
          <w:color w:val="4F81BD"/>
          <w:sz w:val="20"/>
          <w:szCs w:val="20"/>
          <w:lang w:eastAsia="sk-SK"/>
        </w:rPr>
        <w:instrText xml:space="preserve"> SEQ Tabuľka \* ARABIC </w:instrText>
      </w:r>
      <w:r w:rsidRPr="00A1147F">
        <w:rPr>
          <w:rFonts w:eastAsia="Times New Roman" w:cs="Times New Roman"/>
          <w:b/>
          <w:bCs/>
          <w:i w:val="0"/>
          <w:iCs w:val="0"/>
          <w:color w:val="4F81BD"/>
          <w:sz w:val="20"/>
          <w:szCs w:val="20"/>
          <w:lang w:eastAsia="sk-SK"/>
        </w:rPr>
        <w:fldChar w:fldCharType="separate"/>
      </w:r>
      <w:r w:rsidR="00C64CBA">
        <w:rPr>
          <w:rFonts w:eastAsia="Times New Roman" w:cs="Times New Roman"/>
          <w:b/>
          <w:bCs/>
          <w:i w:val="0"/>
          <w:iCs w:val="0"/>
          <w:noProof/>
          <w:color w:val="4F81BD"/>
          <w:sz w:val="20"/>
          <w:szCs w:val="20"/>
          <w:lang w:eastAsia="sk-SK"/>
        </w:rPr>
        <w:t>29</w:t>
      </w:r>
      <w:r w:rsidRPr="00A1147F">
        <w:rPr>
          <w:rFonts w:eastAsia="Times New Roman" w:cs="Times New Roman"/>
          <w:b/>
          <w:bCs/>
          <w:i w:val="0"/>
          <w:iCs w:val="0"/>
          <w:color w:val="4F81BD"/>
          <w:sz w:val="20"/>
          <w:szCs w:val="20"/>
          <w:lang w:eastAsia="sk-SK"/>
        </w:rPr>
        <w:fldChar w:fldCharType="end"/>
      </w:r>
      <w:r w:rsidRPr="00A1147F">
        <w:rPr>
          <w:rFonts w:eastAsia="Times New Roman" w:cs="Times New Roman"/>
          <w:b/>
          <w:bCs/>
          <w:i w:val="0"/>
          <w:iCs w:val="0"/>
          <w:color w:val="4F81BD"/>
          <w:sz w:val="20"/>
          <w:szCs w:val="20"/>
          <w:lang w:eastAsia="sk-SK"/>
        </w:rPr>
        <w:t xml:space="preserve"> - Granty a</w:t>
      </w:r>
      <w:r w:rsidR="006031B2">
        <w:rPr>
          <w:rFonts w:eastAsia="Times New Roman" w:cs="Times New Roman"/>
          <w:b/>
          <w:bCs/>
          <w:i w:val="0"/>
          <w:iCs w:val="0"/>
          <w:color w:val="4F81BD"/>
          <w:sz w:val="20"/>
          <w:szCs w:val="20"/>
          <w:lang w:eastAsia="sk-SK"/>
        </w:rPr>
        <w:t> </w:t>
      </w:r>
      <w:r w:rsidRPr="00A1147F">
        <w:rPr>
          <w:rFonts w:eastAsia="Times New Roman" w:cs="Times New Roman"/>
          <w:b/>
          <w:bCs/>
          <w:i w:val="0"/>
          <w:iCs w:val="0"/>
          <w:color w:val="4F81BD"/>
          <w:sz w:val="20"/>
          <w:szCs w:val="20"/>
          <w:lang w:eastAsia="sk-SK"/>
        </w:rPr>
        <w:t>transfery</w:t>
      </w:r>
      <w:bookmarkEnd w:id="109"/>
      <w:r w:rsidR="006031B2">
        <w:rPr>
          <w:rFonts w:eastAsia="Times New Roman" w:cs="Times New Roman"/>
          <w:b/>
          <w:bCs/>
          <w:i w:val="0"/>
          <w:iCs w:val="0"/>
          <w:color w:val="4F81BD"/>
          <w:sz w:val="20"/>
          <w:szCs w:val="20"/>
          <w:lang w:eastAsia="sk-SK"/>
        </w:rPr>
        <w:t xml:space="preserve"> štátneho rozpočtu na hotovostnej báze</w:t>
      </w:r>
      <w:bookmarkEnd w:id="110"/>
    </w:p>
    <w:tbl>
      <w:tblPr>
        <w:tblW w:w="5000" w:type="pct"/>
        <w:tblCellMar>
          <w:left w:w="70" w:type="dxa"/>
          <w:right w:w="70" w:type="dxa"/>
        </w:tblCellMar>
        <w:tblLook w:val="04A0" w:firstRow="1" w:lastRow="0" w:firstColumn="1" w:lastColumn="0" w:noHBand="0" w:noVBand="1"/>
      </w:tblPr>
      <w:tblGrid>
        <w:gridCol w:w="4630"/>
        <w:gridCol w:w="860"/>
        <w:gridCol w:w="860"/>
        <w:gridCol w:w="860"/>
        <w:gridCol w:w="860"/>
        <w:gridCol w:w="860"/>
      </w:tblGrid>
      <w:tr w:rsidR="00D0395E" w:rsidRPr="00963B72" w14:paraId="762DCC7F" w14:textId="77777777" w:rsidTr="00963B72">
        <w:trPr>
          <w:trHeight w:val="330"/>
          <w:tblHeader/>
        </w:trPr>
        <w:tc>
          <w:tcPr>
            <w:tcW w:w="2667" w:type="pct"/>
            <w:vMerge w:val="restart"/>
            <w:tcBorders>
              <w:top w:val="single" w:sz="4" w:space="0" w:color="auto"/>
              <w:left w:val="nil"/>
              <w:bottom w:val="single" w:sz="8" w:space="0" w:color="000000"/>
              <w:right w:val="nil"/>
            </w:tcBorders>
            <w:shd w:val="clear" w:color="auto" w:fill="auto"/>
            <w:vAlign w:val="center"/>
            <w:hideMark/>
          </w:tcPr>
          <w:p w14:paraId="0EF45167" w14:textId="77777777" w:rsidR="004D69BF" w:rsidRPr="00963B72" w:rsidRDefault="004D69BF" w:rsidP="000240DA">
            <w:pPr>
              <w:spacing w:after="0" w:line="240" w:lineRule="auto"/>
              <w:jc w:val="left"/>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v tis. eur</w:t>
            </w:r>
          </w:p>
        </w:tc>
        <w:tc>
          <w:tcPr>
            <w:tcW w:w="467" w:type="pct"/>
            <w:tcBorders>
              <w:top w:val="single" w:sz="4" w:space="0" w:color="auto"/>
              <w:left w:val="nil"/>
              <w:bottom w:val="nil"/>
              <w:right w:val="nil"/>
            </w:tcBorders>
            <w:shd w:val="clear" w:color="auto" w:fill="auto"/>
            <w:vAlign w:val="center"/>
            <w:hideMark/>
          </w:tcPr>
          <w:p w14:paraId="4DE38C4C" w14:textId="77777777" w:rsidR="004D69BF" w:rsidRPr="00963B72" w:rsidRDefault="004D69BF" w:rsidP="000240DA">
            <w:pPr>
              <w:spacing w:after="0" w:line="240" w:lineRule="auto"/>
              <w:jc w:val="center"/>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2022 S</w:t>
            </w:r>
          </w:p>
        </w:tc>
        <w:tc>
          <w:tcPr>
            <w:tcW w:w="467" w:type="pct"/>
            <w:tcBorders>
              <w:top w:val="single" w:sz="4" w:space="0" w:color="auto"/>
              <w:left w:val="nil"/>
              <w:bottom w:val="nil"/>
              <w:right w:val="nil"/>
            </w:tcBorders>
            <w:shd w:val="clear" w:color="auto" w:fill="auto"/>
            <w:vAlign w:val="center"/>
            <w:hideMark/>
          </w:tcPr>
          <w:p w14:paraId="2D8A1C13" w14:textId="77777777" w:rsidR="004D69BF" w:rsidRPr="00963B72" w:rsidRDefault="004D69BF" w:rsidP="000240DA">
            <w:pPr>
              <w:spacing w:after="0" w:line="240" w:lineRule="auto"/>
              <w:jc w:val="center"/>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2023 S</w:t>
            </w:r>
          </w:p>
        </w:tc>
        <w:tc>
          <w:tcPr>
            <w:tcW w:w="467" w:type="pct"/>
            <w:tcBorders>
              <w:top w:val="single" w:sz="4" w:space="0" w:color="auto"/>
              <w:left w:val="nil"/>
              <w:bottom w:val="nil"/>
              <w:right w:val="nil"/>
            </w:tcBorders>
            <w:shd w:val="clear" w:color="auto" w:fill="auto"/>
            <w:vAlign w:val="center"/>
            <w:hideMark/>
          </w:tcPr>
          <w:p w14:paraId="2663BDED" w14:textId="77777777" w:rsidR="004D69BF" w:rsidRPr="00963B72" w:rsidRDefault="004D69BF" w:rsidP="000240DA">
            <w:pPr>
              <w:spacing w:after="0" w:line="240" w:lineRule="auto"/>
              <w:jc w:val="center"/>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2024 R</w:t>
            </w:r>
          </w:p>
        </w:tc>
        <w:tc>
          <w:tcPr>
            <w:tcW w:w="467" w:type="pct"/>
            <w:tcBorders>
              <w:top w:val="single" w:sz="4" w:space="0" w:color="auto"/>
              <w:left w:val="nil"/>
              <w:bottom w:val="nil"/>
              <w:right w:val="nil"/>
            </w:tcBorders>
            <w:shd w:val="clear" w:color="auto" w:fill="auto"/>
            <w:vAlign w:val="center"/>
            <w:hideMark/>
          </w:tcPr>
          <w:p w14:paraId="5B79E957" w14:textId="77777777" w:rsidR="004D69BF" w:rsidRPr="00963B72" w:rsidRDefault="004D69BF" w:rsidP="000240DA">
            <w:pPr>
              <w:spacing w:after="0" w:line="240" w:lineRule="auto"/>
              <w:jc w:val="center"/>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2024 S</w:t>
            </w:r>
          </w:p>
        </w:tc>
        <w:tc>
          <w:tcPr>
            <w:tcW w:w="467" w:type="pct"/>
            <w:tcBorders>
              <w:top w:val="single" w:sz="4" w:space="0" w:color="auto"/>
              <w:left w:val="nil"/>
              <w:bottom w:val="nil"/>
              <w:right w:val="nil"/>
            </w:tcBorders>
            <w:shd w:val="clear" w:color="auto" w:fill="auto"/>
            <w:vAlign w:val="center"/>
            <w:hideMark/>
          </w:tcPr>
          <w:p w14:paraId="6EF989F1" w14:textId="77777777" w:rsidR="004D69BF" w:rsidRPr="00963B72" w:rsidRDefault="004D69BF" w:rsidP="000240DA">
            <w:pPr>
              <w:spacing w:after="0" w:line="240" w:lineRule="auto"/>
              <w:jc w:val="center"/>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Rozdiel</w:t>
            </w:r>
          </w:p>
        </w:tc>
      </w:tr>
      <w:tr w:rsidR="00D0395E" w:rsidRPr="00963B72" w14:paraId="15D3E52F" w14:textId="77777777" w:rsidTr="00963B72">
        <w:trPr>
          <w:trHeight w:val="345"/>
          <w:tblHeader/>
        </w:trPr>
        <w:tc>
          <w:tcPr>
            <w:tcW w:w="2667" w:type="pct"/>
            <w:vMerge/>
            <w:tcBorders>
              <w:top w:val="nil"/>
              <w:left w:val="nil"/>
              <w:bottom w:val="single" w:sz="4" w:space="0" w:color="auto"/>
              <w:right w:val="nil"/>
            </w:tcBorders>
            <w:vAlign w:val="center"/>
            <w:hideMark/>
          </w:tcPr>
          <w:p w14:paraId="560B1E58" w14:textId="77777777" w:rsidR="004D69BF" w:rsidRPr="00963B72" w:rsidRDefault="004D69BF" w:rsidP="000240DA">
            <w:pPr>
              <w:spacing w:after="0" w:line="240" w:lineRule="auto"/>
              <w:jc w:val="left"/>
              <w:rPr>
                <w:rFonts w:eastAsia="Times New Roman" w:cs="Times New Roman"/>
                <w:b/>
                <w:bCs/>
                <w:color w:val="000000"/>
                <w:sz w:val="18"/>
                <w:szCs w:val="18"/>
                <w:lang w:eastAsia="sk-SK"/>
              </w:rPr>
            </w:pPr>
          </w:p>
        </w:tc>
        <w:tc>
          <w:tcPr>
            <w:tcW w:w="467" w:type="pct"/>
            <w:tcBorders>
              <w:top w:val="nil"/>
              <w:left w:val="nil"/>
              <w:bottom w:val="single" w:sz="4" w:space="0" w:color="auto"/>
              <w:right w:val="nil"/>
            </w:tcBorders>
            <w:shd w:val="clear" w:color="auto" w:fill="auto"/>
            <w:vAlign w:val="center"/>
            <w:hideMark/>
          </w:tcPr>
          <w:p w14:paraId="0397F9B4" w14:textId="77777777" w:rsidR="004D69BF" w:rsidRPr="00963B72" w:rsidRDefault="004D69BF" w:rsidP="000240DA">
            <w:pPr>
              <w:spacing w:after="0" w:line="240" w:lineRule="auto"/>
              <w:jc w:val="center"/>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1</w:t>
            </w:r>
          </w:p>
        </w:tc>
        <w:tc>
          <w:tcPr>
            <w:tcW w:w="467" w:type="pct"/>
            <w:tcBorders>
              <w:top w:val="nil"/>
              <w:left w:val="nil"/>
              <w:bottom w:val="single" w:sz="4" w:space="0" w:color="auto"/>
              <w:right w:val="nil"/>
            </w:tcBorders>
            <w:shd w:val="clear" w:color="auto" w:fill="auto"/>
            <w:vAlign w:val="center"/>
            <w:hideMark/>
          </w:tcPr>
          <w:p w14:paraId="785318CC" w14:textId="77777777" w:rsidR="004D69BF" w:rsidRPr="00963B72" w:rsidRDefault="004D69BF" w:rsidP="000240DA">
            <w:pPr>
              <w:spacing w:after="0" w:line="240" w:lineRule="auto"/>
              <w:jc w:val="center"/>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2</w:t>
            </w:r>
          </w:p>
        </w:tc>
        <w:tc>
          <w:tcPr>
            <w:tcW w:w="467" w:type="pct"/>
            <w:tcBorders>
              <w:top w:val="nil"/>
              <w:left w:val="nil"/>
              <w:bottom w:val="single" w:sz="4" w:space="0" w:color="auto"/>
              <w:right w:val="nil"/>
            </w:tcBorders>
            <w:shd w:val="clear" w:color="auto" w:fill="auto"/>
            <w:vAlign w:val="center"/>
            <w:hideMark/>
          </w:tcPr>
          <w:p w14:paraId="26EB42F8" w14:textId="77777777" w:rsidR="004D69BF" w:rsidRPr="00963B72" w:rsidRDefault="004D69BF" w:rsidP="000240DA">
            <w:pPr>
              <w:spacing w:after="0" w:line="240" w:lineRule="auto"/>
              <w:jc w:val="center"/>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3</w:t>
            </w:r>
          </w:p>
        </w:tc>
        <w:tc>
          <w:tcPr>
            <w:tcW w:w="467" w:type="pct"/>
            <w:tcBorders>
              <w:top w:val="nil"/>
              <w:left w:val="nil"/>
              <w:bottom w:val="single" w:sz="4" w:space="0" w:color="auto"/>
              <w:right w:val="nil"/>
            </w:tcBorders>
            <w:shd w:val="clear" w:color="auto" w:fill="auto"/>
            <w:vAlign w:val="center"/>
            <w:hideMark/>
          </w:tcPr>
          <w:p w14:paraId="2A74FD7C" w14:textId="77777777" w:rsidR="004D69BF" w:rsidRPr="00963B72" w:rsidRDefault="004D69BF" w:rsidP="000240DA">
            <w:pPr>
              <w:spacing w:after="0" w:line="240" w:lineRule="auto"/>
              <w:jc w:val="center"/>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4</w:t>
            </w:r>
          </w:p>
        </w:tc>
        <w:tc>
          <w:tcPr>
            <w:tcW w:w="467" w:type="pct"/>
            <w:tcBorders>
              <w:top w:val="nil"/>
              <w:left w:val="nil"/>
              <w:bottom w:val="single" w:sz="4" w:space="0" w:color="auto"/>
              <w:right w:val="nil"/>
            </w:tcBorders>
            <w:shd w:val="clear" w:color="auto" w:fill="auto"/>
            <w:vAlign w:val="center"/>
            <w:hideMark/>
          </w:tcPr>
          <w:p w14:paraId="652D4C45" w14:textId="77777777" w:rsidR="004D69BF" w:rsidRPr="00963B72" w:rsidRDefault="004D69BF" w:rsidP="000240DA">
            <w:pPr>
              <w:spacing w:after="0" w:line="240" w:lineRule="auto"/>
              <w:jc w:val="center"/>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5=4-3</w:t>
            </w:r>
          </w:p>
        </w:tc>
      </w:tr>
      <w:tr w:rsidR="00D0395E" w:rsidRPr="00963B72" w14:paraId="230346E5" w14:textId="77777777" w:rsidTr="00963B72">
        <w:trPr>
          <w:trHeight w:val="330"/>
        </w:trPr>
        <w:tc>
          <w:tcPr>
            <w:tcW w:w="2667" w:type="pct"/>
            <w:tcBorders>
              <w:top w:val="single" w:sz="4" w:space="0" w:color="auto"/>
              <w:left w:val="nil"/>
              <w:bottom w:val="nil"/>
              <w:right w:val="nil"/>
            </w:tcBorders>
            <w:shd w:val="clear" w:color="auto" w:fill="auto"/>
            <w:noWrap/>
            <w:vAlign w:val="center"/>
            <w:hideMark/>
          </w:tcPr>
          <w:p w14:paraId="7D0C080C" w14:textId="77777777" w:rsidR="004D69BF" w:rsidRPr="00963B72" w:rsidRDefault="004D69BF" w:rsidP="000240DA">
            <w:pPr>
              <w:spacing w:after="0" w:line="240" w:lineRule="auto"/>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Tuzemské granty a transfery</w:t>
            </w:r>
          </w:p>
        </w:tc>
        <w:tc>
          <w:tcPr>
            <w:tcW w:w="467" w:type="pct"/>
            <w:tcBorders>
              <w:top w:val="single" w:sz="4" w:space="0" w:color="auto"/>
              <w:left w:val="nil"/>
              <w:bottom w:val="nil"/>
              <w:right w:val="nil"/>
            </w:tcBorders>
            <w:shd w:val="clear" w:color="auto" w:fill="auto"/>
            <w:noWrap/>
            <w:vAlign w:val="center"/>
            <w:hideMark/>
          </w:tcPr>
          <w:p w14:paraId="519DBB9B" w14:textId="77777777" w:rsidR="004D69BF" w:rsidRPr="00963B72" w:rsidRDefault="004D69BF" w:rsidP="000240DA">
            <w:pPr>
              <w:spacing w:after="0" w:line="240" w:lineRule="auto"/>
              <w:jc w:val="right"/>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39 874</w:t>
            </w:r>
          </w:p>
        </w:tc>
        <w:tc>
          <w:tcPr>
            <w:tcW w:w="467" w:type="pct"/>
            <w:tcBorders>
              <w:top w:val="single" w:sz="4" w:space="0" w:color="auto"/>
              <w:left w:val="nil"/>
              <w:bottom w:val="nil"/>
              <w:right w:val="nil"/>
            </w:tcBorders>
            <w:shd w:val="clear" w:color="auto" w:fill="auto"/>
            <w:noWrap/>
            <w:vAlign w:val="center"/>
            <w:hideMark/>
          </w:tcPr>
          <w:p w14:paraId="2B32FDE7" w14:textId="77777777" w:rsidR="004D69BF" w:rsidRPr="00963B72" w:rsidRDefault="004D69BF" w:rsidP="000240DA">
            <w:pPr>
              <w:spacing w:after="0" w:line="240" w:lineRule="auto"/>
              <w:jc w:val="right"/>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69</w:t>
            </w:r>
          </w:p>
        </w:tc>
        <w:tc>
          <w:tcPr>
            <w:tcW w:w="467" w:type="pct"/>
            <w:tcBorders>
              <w:top w:val="single" w:sz="4" w:space="0" w:color="auto"/>
              <w:left w:val="nil"/>
              <w:bottom w:val="nil"/>
              <w:right w:val="nil"/>
            </w:tcBorders>
            <w:shd w:val="clear" w:color="auto" w:fill="auto"/>
            <w:noWrap/>
            <w:vAlign w:val="center"/>
            <w:hideMark/>
          </w:tcPr>
          <w:p w14:paraId="5E436387" w14:textId="77777777" w:rsidR="004D69BF" w:rsidRPr="00963B72" w:rsidRDefault="004D69BF" w:rsidP="000240DA">
            <w:pPr>
              <w:spacing w:after="0" w:line="240" w:lineRule="auto"/>
              <w:jc w:val="right"/>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65 898</w:t>
            </w:r>
          </w:p>
        </w:tc>
        <w:tc>
          <w:tcPr>
            <w:tcW w:w="467" w:type="pct"/>
            <w:tcBorders>
              <w:top w:val="single" w:sz="4" w:space="0" w:color="auto"/>
              <w:left w:val="nil"/>
              <w:bottom w:val="nil"/>
              <w:right w:val="nil"/>
            </w:tcBorders>
            <w:shd w:val="clear" w:color="auto" w:fill="auto"/>
            <w:noWrap/>
            <w:vAlign w:val="center"/>
            <w:hideMark/>
          </w:tcPr>
          <w:p w14:paraId="5A4E1F5D" w14:textId="77777777" w:rsidR="004D69BF" w:rsidRPr="00963B72" w:rsidRDefault="004D69BF" w:rsidP="000240DA">
            <w:pPr>
              <w:spacing w:after="0" w:line="240" w:lineRule="auto"/>
              <w:jc w:val="right"/>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64 411</w:t>
            </w:r>
          </w:p>
        </w:tc>
        <w:tc>
          <w:tcPr>
            <w:tcW w:w="467" w:type="pct"/>
            <w:tcBorders>
              <w:top w:val="single" w:sz="4" w:space="0" w:color="auto"/>
              <w:left w:val="nil"/>
              <w:bottom w:val="nil"/>
              <w:right w:val="nil"/>
            </w:tcBorders>
            <w:shd w:val="clear" w:color="auto" w:fill="auto"/>
            <w:vAlign w:val="center"/>
            <w:hideMark/>
          </w:tcPr>
          <w:p w14:paraId="02160D27" w14:textId="77777777" w:rsidR="004D69BF" w:rsidRPr="00963B72" w:rsidRDefault="004D69BF" w:rsidP="000240DA">
            <w:pPr>
              <w:spacing w:after="0" w:line="240" w:lineRule="auto"/>
              <w:jc w:val="right"/>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-1 481</w:t>
            </w:r>
          </w:p>
        </w:tc>
      </w:tr>
      <w:tr w:rsidR="00D0395E" w:rsidRPr="00963B72" w14:paraId="195F19C9" w14:textId="77777777" w:rsidTr="00963B72">
        <w:trPr>
          <w:trHeight w:val="330"/>
        </w:trPr>
        <w:tc>
          <w:tcPr>
            <w:tcW w:w="2667" w:type="pct"/>
            <w:tcBorders>
              <w:top w:val="nil"/>
              <w:left w:val="nil"/>
              <w:bottom w:val="nil"/>
              <w:right w:val="nil"/>
            </w:tcBorders>
            <w:shd w:val="clear" w:color="auto" w:fill="auto"/>
            <w:noWrap/>
            <w:vAlign w:val="center"/>
            <w:hideMark/>
          </w:tcPr>
          <w:p w14:paraId="4FC37BBC" w14:textId="77777777" w:rsidR="004D69BF" w:rsidRPr="00963B72" w:rsidRDefault="004D69BF" w:rsidP="000240DA">
            <w:pPr>
              <w:spacing w:after="0" w:line="240" w:lineRule="auto"/>
              <w:rPr>
                <w:rFonts w:eastAsia="Times New Roman" w:cs="Times New Roman"/>
                <w:color w:val="000000"/>
                <w:sz w:val="18"/>
                <w:szCs w:val="18"/>
                <w:lang w:eastAsia="sk-SK"/>
              </w:rPr>
            </w:pPr>
            <w:r w:rsidRPr="00963B72">
              <w:rPr>
                <w:rFonts w:eastAsia="Times New Roman" w:cs="Times New Roman"/>
                <w:color w:val="000000"/>
                <w:sz w:val="18"/>
                <w:szCs w:val="18"/>
                <w:lang w:eastAsia="sk-SK"/>
              </w:rPr>
              <w:t>z toho: Transfery v rámci verejnej správy</w:t>
            </w:r>
          </w:p>
        </w:tc>
        <w:tc>
          <w:tcPr>
            <w:tcW w:w="467" w:type="pct"/>
            <w:tcBorders>
              <w:top w:val="nil"/>
              <w:left w:val="nil"/>
              <w:bottom w:val="nil"/>
              <w:right w:val="nil"/>
            </w:tcBorders>
            <w:shd w:val="clear" w:color="auto" w:fill="auto"/>
            <w:noWrap/>
            <w:vAlign w:val="center"/>
            <w:hideMark/>
          </w:tcPr>
          <w:p w14:paraId="196EC326"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39 874</w:t>
            </w:r>
          </w:p>
        </w:tc>
        <w:tc>
          <w:tcPr>
            <w:tcW w:w="467" w:type="pct"/>
            <w:tcBorders>
              <w:top w:val="nil"/>
              <w:left w:val="nil"/>
              <w:bottom w:val="nil"/>
              <w:right w:val="nil"/>
            </w:tcBorders>
            <w:shd w:val="clear" w:color="auto" w:fill="auto"/>
            <w:noWrap/>
            <w:vAlign w:val="center"/>
            <w:hideMark/>
          </w:tcPr>
          <w:p w14:paraId="49415934"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69</w:t>
            </w:r>
          </w:p>
        </w:tc>
        <w:tc>
          <w:tcPr>
            <w:tcW w:w="467" w:type="pct"/>
            <w:tcBorders>
              <w:top w:val="nil"/>
              <w:left w:val="nil"/>
              <w:bottom w:val="nil"/>
              <w:right w:val="nil"/>
            </w:tcBorders>
            <w:shd w:val="clear" w:color="auto" w:fill="auto"/>
            <w:noWrap/>
            <w:vAlign w:val="center"/>
            <w:hideMark/>
          </w:tcPr>
          <w:p w14:paraId="6B07F5E8"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65 898</w:t>
            </w:r>
          </w:p>
        </w:tc>
        <w:tc>
          <w:tcPr>
            <w:tcW w:w="467" w:type="pct"/>
            <w:tcBorders>
              <w:top w:val="nil"/>
              <w:left w:val="nil"/>
              <w:bottom w:val="nil"/>
              <w:right w:val="nil"/>
            </w:tcBorders>
            <w:shd w:val="clear" w:color="auto" w:fill="auto"/>
            <w:noWrap/>
            <w:vAlign w:val="center"/>
            <w:hideMark/>
          </w:tcPr>
          <w:p w14:paraId="2B71B334"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64 411</w:t>
            </w:r>
          </w:p>
        </w:tc>
        <w:tc>
          <w:tcPr>
            <w:tcW w:w="467" w:type="pct"/>
            <w:tcBorders>
              <w:top w:val="nil"/>
              <w:left w:val="nil"/>
              <w:bottom w:val="nil"/>
              <w:right w:val="nil"/>
            </w:tcBorders>
            <w:shd w:val="clear" w:color="auto" w:fill="auto"/>
            <w:vAlign w:val="center"/>
            <w:hideMark/>
          </w:tcPr>
          <w:p w14:paraId="43F49759"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-1 482</w:t>
            </w:r>
          </w:p>
        </w:tc>
      </w:tr>
      <w:tr w:rsidR="00D0395E" w:rsidRPr="00963B72" w14:paraId="121F6406" w14:textId="77777777" w:rsidTr="00963B72">
        <w:trPr>
          <w:trHeight w:val="330"/>
        </w:trPr>
        <w:tc>
          <w:tcPr>
            <w:tcW w:w="2667" w:type="pct"/>
            <w:tcBorders>
              <w:top w:val="nil"/>
              <w:left w:val="nil"/>
              <w:bottom w:val="nil"/>
              <w:right w:val="nil"/>
            </w:tcBorders>
            <w:shd w:val="clear" w:color="auto" w:fill="auto"/>
            <w:noWrap/>
            <w:vAlign w:val="center"/>
            <w:hideMark/>
          </w:tcPr>
          <w:p w14:paraId="706CEF6F" w14:textId="77777777" w:rsidR="004D69BF" w:rsidRPr="00963B72" w:rsidRDefault="004D69BF" w:rsidP="000240DA">
            <w:pPr>
              <w:spacing w:after="0" w:line="240" w:lineRule="auto"/>
              <w:rPr>
                <w:rFonts w:eastAsia="Times New Roman" w:cs="Times New Roman"/>
                <w:color w:val="000000"/>
                <w:sz w:val="18"/>
                <w:szCs w:val="18"/>
                <w:lang w:eastAsia="sk-SK"/>
              </w:rPr>
            </w:pPr>
            <w:r w:rsidRPr="00963B72">
              <w:rPr>
                <w:rFonts w:eastAsia="Times New Roman" w:cs="Times New Roman"/>
                <w:color w:val="000000"/>
                <w:sz w:val="18"/>
                <w:szCs w:val="18"/>
                <w:lang w:eastAsia="sk-SK"/>
              </w:rPr>
              <w:t xml:space="preserve">   v tom:</w:t>
            </w:r>
          </w:p>
        </w:tc>
        <w:tc>
          <w:tcPr>
            <w:tcW w:w="467" w:type="pct"/>
            <w:tcBorders>
              <w:top w:val="nil"/>
              <w:left w:val="nil"/>
              <w:bottom w:val="nil"/>
              <w:right w:val="nil"/>
            </w:tcBorders>
            <w:shd w:val="clear" w:color="auto" w:fill="auto"/>
            <w:noWrap/>
            <w:vAlign w:val="center"/>
            <w:hideMark/>
          </w:tcPr>
          <w:p w14:paraId="1E2A771A" w14:textId="77777777" w:rsidR="004D69BF" w:rsidRPr="00963B72" w:rsidRDefault="004D69BF" w:rsidP="000240DA">
            <w:pPr>
              <w:spacing w:after="0" w:line="240" w:lineRule="auto"/>
              <w:rPr>
                <w:rFonts w:eastAsia="Times New Roman" w:cs="Times New Roman"/>
                <w:color w:val="000000"/>
                <w:sz w:val="18"/>
                <w:szCs w:val="18"/>
                <w:lang w:eastAsia="sk-SK"/>
              </w:rPr>
            </w:pPr>
          </w:p>
        </w:tc>
        <w:tc>
          <w:tcPr>
            <w:tcW w:w="467" w:type="pct"/>
            <w:tcBorders>
              <w:top w:val="nil"/>
              <w:left w:val="nil"/>
              <w:bottom w:val="nil"/>
              <w:right w:val="nil"/>
            </w:tcBorders>
            <w:shd w:val="clear" w:color="auto" w:fill="auto"/>
            <w:noWrap/>
            <w:vAlign w:val="center"/>
            <w:hideMark/>
          </w:tcPr>
          <w:p w14:paraId="5E27EAFF" w14:textId="77777777" w:rsidR="004D69BF" w:rsidRPr="00963B72" w:rsidRDefault="004D69BF" w:rsidP="000240DA">
            <w:pPr>
              <w:spacing w:after="0" w:line="240" w:lineRule="auto"/>
              <w:jc w:val="right"/>
              <w:rPr>
                <w:rFonts w:eastAsia="Times New Roman" w:cs="Times New Roman"/>
                <w:sz w:val="18"/>
                <w:szCs w:val="18"/>
                <w:lang w:eastAsia="sk-SK"/>
              </w:rPr>
            </w:pPr>
          </w:p>
        </w:tc>
        <w:tc>
          <w:tcPr>
            <w:tcW w:w="467" w:type="pct"/>
            <w:tcBorders>
              <w:top w:val="nil"/>
              <w:left w:val="nil"/>
              <w:bottom w:val="nil"/>
              <w:right w:val="nil"/>
            </w:tcBorders>
            <w:shd w:val="clear" w:color="auto" w:fill="auto"/>
            <w:noWrap/>
            <w:vAlign w:val="center"/>
            <w:hideMark/>
          </w:tcPr>
          <w:p w14:paraId="3C6F2E93" w14:textId="77777777" w:rsidR="004D69BF" w:rsidRPr="00963B72" w:rsidRDefault="004D69BF" w:rsidP="000240DA">
            <w:pPr>
              <w:spacing w:after="0" w:line="240" w:lineRule="auto"/>
              <w:jc w:val="right"/>
              <w:rPr>
                <w:rFonts w:eastAsia="Times New Roman" w:cs="Times New Roman"/>
                <w:sz w:val="18"/>
                <w:szCs w:val="18"/>
                <w:lang w:eastAsia="sk-SK"/>
              </w:rPr>
            </w:pPr>
          </w:p>
        </w:tc>
        <w:tc>
          <w:tcPr>
            <w:tcW w:w="467" w:type="pct"/>
            <w:tcBorders>
              <w:top w:val="nil"/>
              <w:left w:val="nil"/>
              <w:bottom w:val="nil"/>
              <w:right w:val="nil"/>
            </w:tcBorders>
            <w:shd w:val="clear" w:color="auto" w:fill="auto"/>
            <w:noWrap/>
            <w:vAlign w:val="center"/>
            <w:hideMark/>
          </w:tcPr>
          <w:p w14:paraId="105A9380" w14:textId="77777777" w:rsidR="004D69BF" w:rsidRPr="00963B72" w:rsidRDefault="004D69BF" w:rsidP="000240DA">
            <w:pPr>
              <w:spacing w:after="0" w:line="240" w:lineRule="auto"/>
              <w:jc w:val="right"/>
              <w:rPr>
                <w:rFonts w:eastAsia="Times New Roman" w:cs="Times New Roman"/>
                <w:sz w:val="18"/>
                <w:szCs w:val="18"/>
                <w:lang w:eastAsia="sk-SK"/>
              </w:rPr>
            </w:pPr>
          </w:p>
        </w:tc>
        <w:tc>
          <w:tcPr>
            <w:tcW w:w="467" w:type="pct"/>
            <w:tcBorders>
              <w:top w:val="nil"/>
              <w:left w:val="nil"/>
              <w:bottom w:val="nil"/>
              <w:right w:val="nil"/>
            </w:tcBorders>
            <w:shd w:val="clear" w:color="auto" w:fill="auto"/>
            <w:vAlign w:val="center"/>
            <w:hideMark/>
          </w:tcPr>
          <w:p w14:paraId="7DD93DA8"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0</w:t>
            </w:r>
          </w:p>
        </w:tc>
      </w:tr>
      <w:tr w:rsidR="00D0395E" w:rsidRPr="00963B72" w14:paraId="2DC41E8A" w14:textId="77777777" w:rsidTr="00963B72">
        <w:trPr>
          <w:trHeight w:val="480"/>
        </w:trPr>
        <w:tc>
          <w:tcPr>
            <w:tcW w:w="2667" w:type="pct"/>
            <w:tcBorders>
              <w:top w:val="nil"/>
              <w:left w:val="nil"/>
              <w:bottom w:val="nil"/>
              <w:right w:val="nil"/>
            </w:tcBorders>
            <w:shd w:val="clear" w:color="auto" w:fill="auto"/>
            <w:noWrap/>
            <w:vAlign w:val="center"/>
            <w:hideMark/>
          </w:tcPr>
          <w:p w14:paraId="50F8E3EA" w14:textId="77777777" w:rsidR="00963B72" w:rsidRDefault="004D69BF" w:rsidP="00963B72">
            <w:pPr>
              <w:spacing w:after="0" w:line="240" w:lineRule="auto"/>
              <w:ind w:left="356" w:hanging="356"/>
              <w:rPr>
                <w:rFonts w:eastAsia="Times New Roman" w:cs="Times New Roman"/>
                <w:color w:val="000000"/>
                <w:sz w:val="18"/>
                <w:szCs w:val="18"/>
                <w:lang w:eastAsia="sk-SK"/>
              </w:rPr>
            </w:pPr>
            <w:r w:rsidRPr="00963B72">
              <w:rPr>
                <w:rFonts w:eastAsia="Times New Roman" w:cs="Times New Roman"/>
                <w:color w:val="000000"/>
                <w:sz w:val="18"/>
                <w:szCs w:val="18"/>
                <w:lang w:eastAsia="sk-SK"/>
              </w:rPr>
              <w:t xml:space="preserve">       zo štátneho rozpočtu okrem transferu na úhradu nákladov </w:t>
            </w:r>
          </w:p>
          <w:p w14:paraId="594CF5BF" w14:textId="5216A4F2" w:rsidR="004D69BF" w:rsidRPr="00963B72" w:rsidRDefault="00963B72" w:rsidP="00963B72">
            <w:pPr>
              <w:spacing w:after="0" w:line="240" w:lineRule="auto"/>
              <w:rPr>
                <w:rFonts w:eastAsia="Times New Roman" w:cs="Times New Roman"/>
                <w:color w:val="000000"/>
                <w:sz w:val="18"/>
                <w:szCs w:val="18"/>
                <w:lang w:eastAsia="sk-SK"/>
              </w:rPr>
            </w:pPr>
            <w:r>
              <w:rPr>
                <w:rFonts w:eastAsia="Times New Roman" w:cs="Times New Roman"/>
                <w:color w:val="000000"/>
                <w:sz w:val="18"/>
                <w:szCs w:val="18"/>
                <w:lang w:eastAsia="sk-SK"/>
              </w:rPr>
              <w:t xml:space="preserve">       </w:t>
            </w:r>
            <w:r w:rsidR="004D69BF" w:rsidRPr="00963B72">
              <w:rPr>
                <w:rFonts w:eastAsia="Times New Roman" w:cs="Times New Roman"/>
                <w:color w:val="000000"/>
                <w:sz w:val="18"/>
                <w:szCs w:val="18"/>
                <w:lang w:eastAsia="sk-SK"/>
              </w:rPr>
              <w:t>preneseného výkonu štátnej správy</w:t>
            </w:r>
          </w:p>
        </w:tc>
        <w:tc>
          <w:tcPr>
            <w:tcW w:w="467" w:type="pct"/>
            <w:tcBorders>
              <w:top w:val="nil"/>
              <w:left w:val="nil"/>
              <w:bottom w:val="nil"/>
              <w:right w:val="nil"/>
            </w:tcBorders>
            <w:shd w:val="clear" w:color="auto" w:fill="auto"/>
            <w:noWrap/>
            <w:vAlign w:val="center"/>
            <w:hideMark/>
          </w:tcPr>
          <w:p w14:paraId="787C89BC"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71</w:t>
            </w:r>
          </w:p>
        </w:tc>
        <w:tc>
          <w:tcPr>
            <w:tcW w:w="467" w:type="pct"/>
            <w:tcBorders>
              <w:top w:val="nil"/>
              <w:left w:val="nil"/>
              <w:bottom w:val="nil"/>
              <w:right w:val="nil"/>
            </w:tcBorders>
            <w:shd w:val="clear" w:color="auto" w:fill="auto"/>
            <w:noWrap/>
            <w:vAlign w:val="center"/>
            <w:hideMark/>
          </w:tcPr>
          <w:p w14:paraId="5CBCD9F8"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69</w:t>
            </w:r>
          </w:p>
        </w:tc>
        <w:tc>
          <w:tcPr>
            <w:tcW w:w="467" w:type="pct"/>
            <w:tcBorders>
              <w:top w:val="nil"/>
              <w:left w:val="nil"/>
              <w:bottom w:val="nil"/>
              <w:right w:val="nil"/>
            </w:tcBorders>
            <w:shd w:val="clear" w:color="auto" w:fill="auto"/>
            <w:noWrap/>
            <w:vAlign w:val="center"/>
            <w:hideMark/>
          </w:tcPr>
          <w:p w14:paraId="5402F5DB"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111</w:t>
            </w:r>
          </w:p>
        </w:tc>
        <w:tc>
          <w:tcPr>
            <w:tcW w:w="467" w:type="pct"/>
            <w:tcBorders>
              <w:top w:val="nil"/>
              <w:left w:val="nil"/>
              <w:bottom w:val="nil"/>
              <w:right w:val="nil"/>
            </w:tcBorders>
            <w:shd w:val="clear" w:color="auto" w:fill="auto"/>
            <w:noWrap/>
            <w:vAlign w:val="center"/>
            <w:hideMark/>
          </w:tcPr>
          <w:p w14:paraId="109EA894"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124</w:t>
            </w:r>
          </w:p>
        </w:tc>
        <w:tc>
          <w:tcPr>
            <w:tcW w:w="467" w:type="pct"/>
            <w:tcBorders>
              <w:top w:val="nil"/>
              <w:left w:val="nil"/>
              <w:bottom w:val="nil"/>
              <w:right w:val="nil"/>
            </w:tcBorders>
            <w:shd w:val="clear" w:color="auto" w:fill="auto"/>
            <w:vAlign w:val="center"/>
            <w:hideMark/>
          </w:tcPr>
          <w:p w14:paraId="31B5FD53"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18</w:t>
            </w:r>
          </w:p>
        </w:tc>
      </w:tr>
      <w:tr w:rsidR="00D0395E" w:rsidRPr="00963B72" w14:paraId="249A2A05" w14:textId="77777777" w:rsidTr="00963B72">
        <w:trPr>
          <w:trHeight w:val="330"/>
        </w:trPr>
        <w:tc>
          <w:tcPr>
            <w:tcW w:w="2667" w:type="pct"/>
            <w:tcBorders>
              <w:top w:val="nil"/>
              <w:left w:val="nil"/>
              <w:bottom w:val="nil"/>
              <w:right w:val="nil"/>
            </w:tcBorders>
            <w:shd w:val="clear" w:color="auto" w:fill="auto"/>
            <w:noWrap/>
            <w:vAlign w:val="center"/>
            <w:hideMark/>
          </w:tcPr>
          <w:p w14:paraId="57D44F40" w14:textId="77777777" w:rsidR="004D69BF" w:rsidRPr="00963B72" w:rsidRDefault="004D69BF" w:rsidP="000240DA">
            <w:pPr>
              <w:spacing w:after="0" w:line="240" w:lineRule="auto"/>
              <w:rPr>
                <w:rFonts w:eastAsia="Times New Roman" w:cs="Times New Roman"/>
                <w:color w:val="000000"/>
                <w:sz w:val="18"/>
                <w:szCs w:val="18"/>
                <w:lang w:eastAsia="sk-SK"/>
              </w:rPr>
            </w:pPr>
            <w:r w:rsidRPr="00963B72">
              <w:rPr>
                <w:rFonts w:eastAsia="Times New Roman" w:cs="Times New Roman"/>
                <w:color w:val="000000"/>
                <w:sz w:val="18"/>
                <w:szCs w:val="18"/>
                <w:lang w:eastAsia="sk-SK"/>
              </w:rPr>
              <w:t xml:space="preserve">       zo zdravotných poisťovní</w:t>
            </w:r>
          </w:p>
        </w:tc>
        <w:tc>
          <w:tcPr>
            <w:tcW w:w="467" w:type="pct"/>
            <w:tcBorders>
              <w:top w:val="nil"/>
              <w:left w:val="nil"/>
              <w:bottom w:val="nil"/>
              <w:right w:val="nil"/>
            </w:tcBorders>
            <w:shd w:val="clear" w:color="auto" w:fill="auto"/>
            <w:noWrap/>
            <w:vAlign w:val="center"/>
            <w:hideMark/>
          </w:tcPr>
          <w:p w14:paraId="06F13028"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39 804</w:t>
            </w:r>
          </w:p>
        </w:tc>
        <w:tc>
          <w:tcPr>
            <w:tcW w:w="467" w:type="pct"/>
            <w:tcBorders>
              <w:top w:val="nil"/>
              <w:left w:val="nil"/>
              <w:bottom w:val="nil"/>
              <w:right w:val="nil"/>
            </w:tcBorders>
            <w:shd w:val="clear" w:color="auto" w:fill="auto"/>
            <w:noWrap/>
            <w:vAlign w:val="center"/>
            <w:hideMark/>
          </w:tcPr>
          <w:p w14:paraId="6DD12334"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0</w:t>
            </w:r>
          </w:p>
        </w:tc>
        <w:tc>
          <w:tcPr>
            <w:tcW w:w="467" w:type="pct"/>
            <w:tcBorders>
              <w:top w:val="nil"/>
              <w:left w:val="nil"/>
              <w:bottom w:val="nil"/>
              <w:right w:val="nil"/>
            </w:tcBorders>
            <w:shd w:val="clear" w:color="auto" w:fill="auto"/>
            <w:noWrap/>
            <w:vAlign w:val="center"/>
            <w:hideMark/>
          </w:tcPr>
          <w:p w14:paraId="0B407655"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64 287</w:t>
            </w:r>
          </w:p>
        </w:tc>
        <w:tc>
          <w:tcPr>
            <w:tcW w:w="467" w:type="pct"/>
            <w:tcBorders>
              <w:top w:val="nil"/>
              <w:left w:val="nil"/>
              <w:bottom w:val="nil"/>
              <w:right w:val="nil"/>
            </w:tcBorders>
            <w:shd w:val="clear" w:color="auto" w:fill="auto"/>
            <w:noWrap/>
            <w:vAlign w:val="center"/>
            <w:hideMark/>
          </w:tcPr>
          <w:p w14:paraId="430858D8"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64 287</w:t>
            </w:r>
          </w:p>
        </w:tc>
        <w:tc>
          <w:tcPr>
            <w:tcW w:w="467" w:type="pct"/>
            <w:tcBorders>
              <w:top w:val="nil"/>
              <w:left w:val="nil"/>
              <w:bottom w:val="nil"/>
              <w:right w:val="nil"/>
            </w:tcBorders>
            <w:shd w:val="clear" w:color="auto" w:fill="auto"/>
            <w:vAlign w:val="center"/>
            <w:hideMark/>
          </w:tcPr>
          <w:p w14:paraId="324538A0"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0</w:t>
            </w:r>
          </w:p>
        </w:tc>
      </w:tr>
      <w:tr w:rsidR="00D0395E" w:rsidRPr="00963B72" w14:paraId="4758BB6E" w14:textId="77777777" w:rsidTr="00963B72">
        <w:trPr>
          <w:trHeight w:val="330"/>
        </w:trPr>
        <w:tc>
          <w:tcPr>
            <w:tcW w:w="2667" w:type="pct"/>
            <w:tcBorders>
              <w:top w:val="nil"/>
              <w:left w:val="nil"/>
              <w:bottom w:val="nil"/>
              <w:right w:val="nil"/>
            </w:tcBorders>
            <w:shd w:val="clear" w:color="auto" w:fill="auto"/>
            <w:noWrap/>
            <w:vAlign w:val="center"/>
            <w:hideMark/>
          </w:tcPr>
          <w:p w14:paraId="494AB7C4" w14:textId="77777777" w:rsidR="004D69BF" w:rsidRPr="00963B72" w:rsidRDefault="004D69BF" w:rsidP="000240DA">
            <w:pPr>
              <w:spacing w:after="0" w:line="240" w:lineRule="auto"/>
              <w:rPr>
                <w:rFonts w:eastAsia="Times New Roman" w:cs="Times New Roman"/>
                <w:color w:val="000000"/>
                <w:sz w:val="18"/>
                <w:szCs w:val="18"/>
                <w:lang w:eastAsia="sk-SK"/>
              </w:rPr>
            </w:pPr>
            <w:r w:rsidRPr="00963B72">
              <w:rPr>
                <w:rFonts w:eastAsia="Times New Roman" w:cs="Times New Roman"/>
                <w:color w:val="000000"/>
                <w:sz w:val="18"/>
                <w:szCs w:val="18"/>
                <w:lang w:eastAsia="sk-SK"/>
              </w:rPr>
              <w:t xml:space="preserve">       zo Slovenského pozemkového fondu</w:t>
            </w:r>
          </w:p>
        </w:tc>
        <w:tc>
          <w:tcPr>
            <w:tcW w:w="467" w:type="pct"/>
            <w:tcBorders>
              <w:top w:val="nil"/>
              <w:left w:val="nil"/>
              <w:bottom w:val="nil"/>
              <w:right w:val="nil"/>
            </w:tcBorders>
            <w:shd w:val="clear" w:color="auto" w:fill="auto"/>
            <w:noWrap/>
            <w:vAlign w:val="center"/>
            <w:hideMark/>
          </w:tcPr>
          <w:p w14:paraId="5278ABA6"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0</w:t>
            </w:r>
          </w:p>
        </w:tc>
        <w:tc>
          <w:tcPr>
            <w:tcW w:w="467" w:type="pct"/>
            <w:tcBorders>
              <w:top w:val="nil"/>
              <w:left w:val="nil"/>
              <w:bottom w:val="nil"/>
              <w:right w:val="nil"/>
            </w:tcBorders>
            <w:shd w:val="clear" w:color="auto" w:fill="auto"/>
            <w:noWrap/>
            <w:vAlign w:val="center"/>
            <w:hideMark/>
          </w:tcPr>
          <w:p w14:paraId="7A5DEA26"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0</w:t>
            </w:r>
          </w:p>
        </w:tc>
        <w:tc>
          <w:tcPr>
            <w:tcW w:w="467" w:type="pct"/>
            <w:tcBorders>
              <w:top w:val="nil"/>
              <w:left w:val="nil"/>
              <w:bottom w:val="nil"/>
              <w:right w:val="nil"/>
            </w:tcBorders>
            <w:shd w:val="clear" w:color="auto" w:fill="auto"/>
            <w:noWrap/>
            <w:vAlign w:val="center"/>
            <w:hideMark/>
          </w:tcPr>
          <w:p w14:paraId="7FECB4C1"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1 500</w:t>
            </w:r>
          </w:p>
        </w:tc>
        <w:tc>
          <w:tcPr>
            <w:tcW w:w="467" w:type="pct"/>
            <w:tcBorders>
              <w:top w:val="nil"/>
              <w:left w:val="nil"/>
              <w:bottom w:val="nil"/>
              <w:right w:val="nil"/>
            </w:tcBorders>
            <w:shd w:val="clear" w:color="auto" w:fill="auto"/>
            <w:noWrap/>
            <w:vAlign w:val="center"/>
            <w:hideMark/>
          </w:tcPr>
          <w:p w14:paraId="36DF412E"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0</w:t>
            </w:r>
          </w:p>
        </w:tc>
        <w:tc>
          <w:tcPr>
            <w:tcW w:w="467" w:type="pct"/>
            <w:tcBorders>
              <w:top w:val="nil"/>
              <w:left w:val="nil"/>
              <w:bottom w:val="nil"/>
              <w:right w:val="nil"/>
            </w:tcBorders>
            <w:shd w:val="clear" w:color="auto" w:fill="auto"/>
            <w:vAlign w:val="center"/>
            <w:hideMark/>
          </w:tcPr>
          <w:p w14:paraId="2DD45F4C"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-1 500</w:t>
            </w:r>
          </w:p>
        </w:tc>
      </w:tr>
      <w:tr w:rsidR="00D0395E" w:rsidRPr="00963B72" w14:paraId="170131FF" w14:textId="77777777" w:rsidTr="00963B72">
        <w:trPr>
          <w:trHeight w:val="330"/>
        </w:trPr>
        <w:tc>
          <w:tcPr>
            <w:tcW w:w="2667" w:type="pct"/>
            <w:tcBorders>
              <w:top w:val="nil"/>
              <w:left w:val="nil"/>
              <w:bottom w:val="nil"/>
              <w:right w:val="nil"/>
            </w:tcBorders>
            <w:shd w:val="clear" w:color="auto" w:fill="auto"/>
            <w:noWrap/>
            <w:vAlign w:val="center"/>
            <w:hideMark/>
          </w:tcPr>
          <w:p w14:paraId="321B361D" w14:textId="77777777" w:rsidR="004D69BF" w:rsidRPr="00963B72" w:rsidRDefault="004D69BF" w:rsidP="000240DA">
            <w:pPr>
              <w:spacing w:after="0" w:line="240" w:lineRule="auto"/>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Zahraničné granty a transfery</w:t>
            </w:r>
          </w:p>
        </w:tc>
        <w:tc>
          <w:tcPr>
            <w:tcW w:w="467" w:type="pct"/>
            <w:tcBorders>
              <w:top w:val="nil"/>
              <w:left w:val="nil"/>
              <w:bottom w:val="nil"/>
              <w:right w:val="nil"/>
            </w:tcBorders>
            <w:shd w:val="clear" w:color="auto" w:fill="auto"/>
            <w:noWrap/>
            <w:vAlign w:val="center"/>
            <w:hideMark/>
          </w:tcPr>
          <w:p w14:paraId="58F7D77E" w14:textId="77777777" w:rsidR="004D69BF" w:rsidRPr="00963B72" w:rsidRDefault="004D69BF" w:rsidP="000240DA">
            <w:pPr>
              <w:spacing w:after="0" w:line="240" w:lineRule="auto"/>
              <w:jc w:val="right"/>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2 187 703</w:t>
            </w:r>
          </w:p>
        </w:tc>
        <w:tc>
          <w:tcPr>
            <w:tcW w:w="467" w:type="pct"/>
            <w:tcBorders>
              <w:top w:val="nil"/>
              <w:left w:val="nil"/>
              <w:bottom w:val="nil"/>
              <w:right w:val="nil"/>
            </w:tcBorders>
            <w:shd w:val="clear" w:color="auto" w:fill="auto"/>
            <w:noWrap/>
            <w:vAlign w:val="center"/>
            <w:hideMark/>
          </w:tcPr>
          <w:p w14:paraId="3712D843" w14:textId="77777777" w:rsidR="004D69BF" w:rsidRPr="00963B72" w:rsidRDefault="004D69BF" w:rsidP="000240DA">
            <w:pPr>
              <w:spacing w:after="0" w:line="240" w:lineRule="auto"/>
              <w:jc w:val="right"/>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4 509 274</w:t>
            </w:r>
          </w:p>
        </w:tc>
        <w:tc>
          <w:tcPr>
            <w:tcW w:w="467" w:type="pct"/>
            <w:tcBorders>
              <w:top w:val="nil"/>
              <w:left w:val="nil"/>
              <w:bottom w:val="nil"/>
              <w:right w:val="nil"/>
            </w:tcBorders>
            <w:shd w:val="clear" w:color="auto" w:fill="auto"/>
            <w:noWrap/>
            <w:vAlign w:val="center"/>
            <w:hideMark/>
          </w:tcPr>
          <w:p w14:paraId="68FF53DC" w14:textId="77777777" w:rsidR="004D69BF" w:rsidRPr="00963B72" w:rsidRDefault="004D69BF" w:rsidP="000240DA">
            <w:pPr>
              <w:spacing w:after="0" w:line="240" w:lineRule="auto"/>
              <w:jc w:val="right"/>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2 452 641</w:t>
            </w:r>
          </w:p>
        </w:tc>
        <w:tc>
          <w:tcPr>
            <w:tcW w:w="467" w:type="pct"/>
            <w:tcBorders>
              <w:top w:val="nil"/>
              <w:left w:val="nil"/>
              <w:bottom w:val="nil"/>
              <w:right w:val="nil"/>
            </w:tcBorders>
            <w:shd w:val="clear" w:color="auto" w:fill="auto"/>
            <w:noWrap/>
            <w:vAlign w:val="center"/>
            <w:hideMark/>
          </w:tcPr>
          <w:p w14:paraId="264110BD" w14:textId="77777777" w:rsidR="004D69BF" w:rsidRPr="00963B72" w:rsidRDefault="004D69BF" w:rsidP="000240DA">
            <w:pPr>
              <w:spacing w:after="0" w:line="240" w:lineRule="auto"/>
              <w:jc w:val="right"/>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4 132 692</w:t>
            </w:r>
          </w:p>
        </w:tc>
        <w:tc>
          <w:tcPr>
            <w:tcW w:w="467" w:type="pct"/>
            <w:tcBorders>
              <w:top w:val="nil"/>
              <w:left w:val="nil"/>
              <w:bottom w:val="nil"/>
              <w:right w:val="nil"/>
            </w:tcBorders>
            <w:shd w:val="clear" w:color="auto" w:fill="auto"/>
            <w:vAlign w:val="center"/>
            <w:hideMark/>
          </w:tcPr>
          <w:p w14:paraId="292BF921" w14:textId="77777777" w:rsidR="004D69BF" w:rsidRPr="00963B72" w:rsidRDefault="004D69BF" w:rsidP="000240DA">
            <w:pPr>
              <w:spacing w:after="0" w:line="240" w:lineRule="auto"/>
              <w:jc w:val="right"/>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1 680 051</w:t>
            </w:r>
          </w:p>
        </w:tc>
      </w:tr>
      <w:tr w:rsidR="00D0395E" w:rsidRPr="00963B72" w14:paraId="6FEC2C18" w14:textId="77777777" w:rsidTr="00963B72">
        <w:trPr>
          <w:trHeight w:val="330"/>
        </w:trPr>
        <w:tc>
          <w:tcPr>
            <w:tcW w:w="2667" w:type="pct"/>
            <w:tcBorders>
              <w:top w:val="nil"/>
              <w:left w:val="nil"/>
              <w:bottom w:val="nil"/>
              <w:right w:val="nil"/>
            </w:tcBorders>
            <w:shd w:val="clear" w:color="auto" w:fill="auto"/>
            <w:noWrap/>
            <w:vAlign w:val="center"/>
            <w:hideMark/>
          </w:tcPr>
          <w:p w14:paraId="23E7B04C" w14:textId="77777777" w:rsidR="004D69BF" w:rsidRPr="00963B72" w:rsidRDefault="004D69BF" w:rsidP="000240DA">
            <w:pPr>
              <w:spacing w:after="0" w:line="240" w:lineRule="auto"/>
              <w:rPr>
                <w:rFonts w:eastAsia="Times New Roman" w:cs="Times New Roman"/>
                <w:color w:val="000000"/>
                <w:sz w:val="18"/>
                <w:szCs w:val="18"/>
                <w:lang w:eastAsia="sk-SK"/>
              </w:rPr>
            </w:pPr>
            <w:r w:rsidRPr="00963B72">
              <w:rPr>
                <w:rFonts w:eastAsia="Times New Roman" w:cs="Times New Roman"/>
                <w:color w:val="000000"/>
                <w:sz w:val="18"/>
                <w:szCs w:val="18"/>
                <w:lang w:eastAsia="sk-SK"/>
              </w:rPr>
              <w:t xml:space="preserve">   z toho: Zahraničné transfery</w:t>
            </w:r>
          </w:p>
        </w:tc>
        <w:tc>
          <w:tcPr>
            <w:tcW w:w="467" w:type="pct"/>
            <w:tcBorders>
              <w:top w:val="nil"/>
              <w:left w:val="nil"/>
              <w:bottom w:val="nil"/>
              <w:right w:val="nil"/>
            </w:tcBorders>
            <w:shd w:val="clear" w:color="auto" w:fill="auto"/>
            <w:noWrap/>
            <w:vAlign w:val="center"/>
            <w:hideMark/>
          </w:tcPr>
          <w:p w14:paraId="0A6310FB"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2 187 703</w:t>
            </w:r>
          </w:p>
        </w:tc>
        <w:tc>
          <w:tcPr>
            <w:tcW w:w="467" w:type="pct"/>
            <w:tcBorders>
              <w:top w:val="nil"/>
              <w:left w:val="nil"/>
              <w:bottom w:val="nil"/>
              <w:right w:val="nil"/>
            </w:tcBorders>
            <w:shd w:val="clear" w:color="auto" w:fill="auto"/>
            <w:noWrap/>
            <w:vAlign w:val="center"/>
            <w:hideMark/>
          </w:tcPr>
          <w:p w14:paraId="158F1799"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4 509 274</w:t>
            </w:r>
          </w:p>
        </w:tc>
        <w:tc>
          <w:tcPr>
            <w:tcW w:w="467" w:type="pct"/>
            <w:tcBorders>
              <w:top w:val="nil"/>
              <w:left w:val="nil"/>
              <w:bottom w:val="nil"/>
              <w:right w:val="nil"/>
            </w:tcBorders>
            <w:shd w:val="clear" w:color="auto" w:fill="auto"/>
            <w:noWrap/>
            <w:vAlign w:val="center"/>
            <w:hideMark/>
          </w:tcPr>
          <w:p w14:paraId="2D88F4B7"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2 452 641</w:t>
            </w:r>
          </w:p>
        </w:tc>
        <w:tc>
          <w:tcPr>
            <w:tcW w:w="467" w:type="pct"/>
            <w:tcBorders>
              <w:top w:val="nil"/>
              <w:left w:val="nil"/>
              <w:bottom w:val="nil"/>
              <w:right w:val="nil"/>
            </w:tcBorders>
            <w:shd w:val="clear" w:color="auto" w:fill="auto"/>
            <w:noWrap/>
            <w:vAlign w:val="center"/>
            <w:hideMark/>
          </w:tcPr>
          <w:p w14:paraId="7A20E9CB"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4 132 692</w:t>
            </w:r>
          </w:p>
        </w:tc>
        <w:tc>
          <w:tcPr>
            <w:tcW w:w="467" w:type="pct"/>
            <w:tcBorders>
              <w:top w:val="nil"/>
              <w:left w:val="nil"/>
              <w:bottom w:val="nil"/>
              <w:right w:val="nil"/>
            </w:tcBorders>
            <w:shd w:val="clear" w:color="auto" w:fill="auto"/>
            <w:vAlign w:val="center"/>
            <w:hideMark/>
          </w:tcPr>
          <w:p w14:paraId="5BB5FE5D"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1 680 051</w:t>
            </w:r>
          </w:p>
        </w:tc>
      </w:tr>
      <w:tr w:rsidR="00D0395E" w:rsidRPr="00963B72" w14:paraId="53CF6A45" w14:textId="77777777" w:rsidTr="00963B72">
        <w:trPr>
          <w:trHeight w:val="330"/>
        </w:trPr>
        <w:tc>
          <w:tcPr>
            <w:tcW w:w="2667" w:type="pct"/>
            <w:tcBorders>
              <w:top w:val="nil"/>
              <w:left w:val="nil"/>
              <w:bottom w:val="nil"/>
              <w:right w:val="nil"/>
            </w:tcBorders>
            <w:shd w:val="clear" w:color="auto" w:fill="auto"/>
            <w:noWrap/>
            <w:vAlign w:val="center"/>
            <w:hideMark/>
          </w:tcPr>
          <w:p w14:paraId="52648DA7" w14:textId="77777777" w:rsidR="004D69BF" w:rsidRPr="00963B72" w:rsidRDefault="004D69BF" w:rsidP="000240DA">
            <w:pPr>
              <w:spacing w:after="0" w:line="240" w:lineRule="auto"/>
              <w:rPr>
                <w:rFonts w:eastAsia="Times New Roman" w:cs="Times New Roman"/>
                <w:color w:val="000000"/>
                <w:sz w:val="18"/>
                <w:szCs w:val="18"/>
                <w:lang w:eastAsia="sk-SK"/>
              </w:rPr>
            </w:pPr>
            <w:r w:rsidRPr="00963B72">
              <w:rPr>
                <w:rFonts w:eastAsia="Times New Roman" w:cs="Times New Roman"/>
                <w:color w:val="000000"/>
                <w:sz w:val="18"/>
                <w:szCs w:val="18"/>
                <w:lang w:eastAsia="sk-SK"/>
              </w:rPr>
              <w:t xml:space="preserve">      v tom:</w:t>
            </w:r>
          </w:p>
        </w:tc>
        <w:tc>
          <w:tcPr>
            <w:tcW w:w="467" w:type="pct"/>
            <w:tcBorders>
              <w:top w:val="nil"/>
              <w:left w:val="nil"/>
              <w:bottom w:val="nil"/>
              <w:right w:val="nil"/>
            </w:tcBorders>
            <w:shd w:val="clear" w:color="auto" w:fill="auto"/>
            <w:noWrap/>
            <w:vAlign w:val="center"/>
            <w:hideMark/>
          </w:tcPr>
          <w:p w14:paraId="769B2019" w14:textId="77777777" w:rsidR="004D69BF" w:rsidRPr="00963B72" w:rsidRDefault="004D69BF" w:rsidP="000240DA">
            <w:pPr>
              <w:spacing w:after="0" w:line="240" w:lineRule="auto"/>
              <w:rPr>
                <w:rFonts w:eastAsia="Times New Roman" w:cs="Times New Roman"/>
                <w:color w:val="000000"/>
                <w:sz w:val="18"/>
                <w:szCs w:val="18"/>
                <w:lang w:eastAsia="sk-SK"/>
              </w:rPr>
            </w:pPr>
          </w:p>
        </w:tc>
        <w:tc>
          <w:tcPr>
            <w:tcW w:w="467" w:type="pct"/>
            <w:tcBorders>
              <w:top w:val="nil"/>
              <w:left w:val="nil"/>
              <w:bottom w:val="nil"/>
              <w:right w:val="nil"/>
            </w:tcBorders>
            <w:shd w:val="clear" w:color="auto" w:fill="auto"/>
            <w:noWrap/>
            <w:vAlign w:val="center"/>
            <w:hideMark/>
          </w:tcPr>
          <w:p w14:paraId="382B5685" w14:textId="77777777" w:rsidR="004D69BF" w:rsidRPr="00963B72" w:rsidRDefault="004D69BF" w:rsidP="000240DA">
            <w:pPr>
              <w:spacing w:after="0" w:line="240" w:lineRule="auto"/>
              <w:jc w:val="right"/>
              <w:rPr>
                <w:rFonts w:eastAsia="Times New Roman" w:cs="Times New Roman"/>
                <w:sz w:val="18"/>
                <w:szCs w:val="18"/>
                <w:lang w:eastAsia="sk-SK"/>
              </w:rPr>
            </w:pPr>
          </w:p>
        </w:tc>
        <w:tc>
          <w:tcPr>
            <w:tcW w:w="467" w:type="pct"/>
            <w:tcBorders>
              <w:top w:val="nil"/>
              <w:left w:val="nil"/>
              <w:bottom w:val="nil"/>
              <w:right w:val="nil"/>
            </w:tcBorders>
            <w:shd w:val="clear" w:color="auto" w:fill="auto"/>
            <w:noWrap/>
            <w:vAlign w:val="center"/>
            <w:hideMark/>
          </w:tcPr>
          <w:p w14:paraId="71A2F478" w14:textId="77777777" w:rsidR="004D69BF" w:rsidRPr="00963B72" w:rsidRDefault="004D69BF" w:rsidP="000240DA">
            <w:pPr>
              <w:spacing w:after="0" w:line="240" w:lineRule="auto"/>
              <w:jc w:val="right"/>
              <w:rPr>
                <w:rFonts w:eastAsia="Times New Roman" w:cs="Times New Roman"/>
                <w:sz w:val="18"/>
                <w:szCs w:val="18"/>
                <w:lang w:eastAsia="sk-SK"/>
              </w:rPr>
            </w:pPr>
          </w:p>
        </w:tc>
        <w:tc>
          <w:tcPr>
            <w:tcW w:w="467" w:type="pct"/>
            <w:tcBorders>
              <w:top w:val="nil"/>
              <w:left w:val="nil"/>
              <w:bottom w:val="nil"/>
              <w:right w:val="nil"/>
            </w:tcBorders>
            <w:shd w:val="clear" w:color="auto" w:fill="auto"/>
            <w:noWrap/>
            <w:vAlign w:val="center"/>
            <w:hideMark/>
          </w:tcPr>
          <w:p w14:paraId="13899CBA" w14:textId="77777777" w:rsidR="004D69BF" w:rsidRPr="00963B72" w:rsidRDefault="004D69BF" w:rsidP="000240DA">
            <w:pPr>
              <w:spacing w:after="0" w:line="240" w:lineRule="auto"/>
              <w:jc w:val="right"/>
              <w:rPr>
                <w:rFonts w:eastAsia="Times New Roman" w:cs="Times New Roman"/>
                <w:sz w:val="18"/>
                <w:szCs w:val="18"/>
                <w:lang w:eastAsia="sk-SK"/>
              </w:rPr>
            </w:pPr>
          </w:p>
        </w:tc>
        <w:tc>
          <w:tcPr>
            <w:tcW w:w="467" w:type="pct"/>
            <w:tcBorders>
              <w:top w:val="nil"/>
              <w:left w:val="nil"/>
              <w:bottom w:val="nil"/>
              <w:right w:val="nil"/>
            </w:tcBorders>
            <w:shd w:val="clear" w:color="auto" w:fill="auto"/>
            <w:vAlign w:val="center"/>
            <w:hideMark/>
          </w:tcPr>
          <w:p w14:paraId="214E4C3C" w14:textId="77777777" w:rsidR="004D69BF" w:rsidRPr="00963B72" w:rsidRDefault="004D69BF" w:rsidP="000240DA">
            <w:pPr>
              <w:spacing w:after="0" w:line="240" w:lineRule="auto"/>
              <w:jc w:val="right"/>
              <w:rPr>
                <w:rFonts w:eastAsia="Times New Roman" w:cs="Times New Roman"/>
                <w:sz w:val="18"/>
                <w:szCs w:val="18"/>
                <w:lang w:eastAsia="sk-SK"/>
              </w:rPr>
            </w:pPr>
          </w:p>
        </w:tc>
      </w:tr>
      <w:tr w:rsidR="00D0395E" w:rsidRPr="00963B72" w14:paraId="047C8765" w14:textId="77777777" w:rsidTr="00963B72">
        <w:trPr>
          <w:trHeight w:val="330"/>
        </w:trPr>
        <w:tc>
          <w:tcPr>
            <w:tcW w:w="2667" w:type="pct"/>
            <w:tcBorders>
              <w:top w:val="nil"/>
              <w:left w:val="nil"/>
              <w:bottom w:val="nil"/>
              <w:right w:val="nil"/>
            </w:tcBorders>
            <w:shd w:val="clear" w:color="auto" w:fill="auto"/>
            <w:noWrap/>
            <w:vAlign w:val="center"/>
            <w:hideMark/>
          </w:tcPr>
          <w:p w14:paraId="572CB60D" w14:textId="77777777" w:rsidR="004D69BF" w:rsidRPr="00963B72" w:rsidRDefault="004D69BF" w:rsidP="000240DA">
            <w:pPr>
              <w:spacing w:after="0" w:line="240" w:lineRule="auto"/>
              <w:rPr>
                <w:rFonts w:eastAsia="Times New Roman" w:cs="Times New Roman"/>
                <w:color w:val="000000"/>
                <w:sz w:val="18"/>
                <w:szCs w:val="18"/>
                <w:lang w:eastAsia="sk-SK"/>
              </w:rPr>
            </w:pPr>
            <w:r w:rsidRPr="00963B72">
              <w:rPr>
                <w:rFonts w:eastAsia="Times New Roman" w:cs="Times New Roman"/>
                <w:color w:val="000000"/>
                <w:sz w:val="18"/>
                <w:szCs w:val="18"/>
                <w:lang w:eastAsia="sk-SK"/>
              </w:rPr>
              <w:t xml:space="preserve">       prostriedky z rozpočtu EÚ</w:t>
            </w:r>
          </w:p>
        </w:tc>
        <w:tc>
          <w:tcPr>
            <w:tcW w:w="467" w:type="pct"/>
            <w:tcBorders>
              <w:top w:val="nil"/>
              <w:left w:val="nil"/>
              <w:bottom w:val="nil"/>
              <w:right w:val="nil"/>
            </w:tcBorders>
            <w:shd w:val="clear" w:color="auto" w:fill="auto"/>
            <w:vAlign w:val="center"/>
            <w:hideMark/>
          </w:tcPr>
          <w:p w14:paraId="6950FA85"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2 146 642</w:t>
            </w:r>
          </w:p>
        </w:tc>
        <w:tc>
          <w:tcPr>
            <w:tcW w:w="467" w:type="pct"/>
            <w:tcBorders>
              <w:top w:val="nil"/>
              <w:left w:val="nil"/>
              <w:bottom w:val="nil"/>
              <w:right w:val="nil"/>
            </w:tcBorders>
            <w:shd w:val="clear" w:color="auto" w:fill="auto"/>
            <w:vAlign w:val="center"/>
            <w:hideMark/>
          </w:tcPr>
          <w:p w14:paraId="62A7AC70"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4 141 996</w:t>
            </w:r>
          </w:p>
        </w:tc>
        <w:tc>
          <w:tcPr>
            <w:tcW w:w="467" w:type="pct"/>
            <w:tcBorders>
              <w:top w:val="nil"/>
              <w:left w:val="nil"/>
              <w:bottom w:val="nil"/>
              <w:right w:val="nil"/>
            </w:tcBorders>
            <w:shd w:val="clear" w:color="auto" w:fill="auto"/>
            <w:vAlign w:val="center"/>
            <w:hideMark/>
          </w:tcPr>
          <w:p w14:paraId="558F22A6"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1 237 239</w:t>
            </w:r>
          </w:p>
        </w:tc>
        <w:tc>
          <w:tcPr>
            <w:tcW w:w="467" w:type="pct"/>
            <w:tcBorders>
              <w:top w:val="nil"/>
              <w:left w:val="nil"/>
              <w:bottom w:val="nil"/>
              <w:right w:val="nil"/>
            </w:tcBorders>
            <w:shd w:val="clear" w:color="auto" w:fill="auto"/>
            <w:vAlign w:val="center"/>
            <w:hideMark/>
          </w:tcPr>
          <w:p w14:paraId="6F310B99"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3 225 492</w:t>
            </w:r>
          </w:p>
        </w:tc>
        <w:tc>
          <w:tcPr>
            <w:tcW w:w="467" w:type="pct"/>
            <w:tcBorders>
              <w:top w:val="nil"/>
              <w:left w:val="nil"/>
              <w:bottom w:val="nil"/>
              <w:right w:val="nil"/>
            </w:tcBorders>
            <w:shd w:val="clear" w:color="auto" w:fill="auto"/>
            <w:vAlign w:val="center"/>
            <w:hideMark/>
          </w:tcPr>
          <w:p w14:paraId="4796EFDB"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1 988 253</w:t>
            </w:r>
          </w:p>
        </w:tc>
      </w:tr>
      <w:tr w:rsidR="00D0395E" w:rsidRPr="00963B72" w14:paraId="5B81148B" w14:textId="77777777" w:rsidTr="00963B72">
        <w:trPr>
          <w:trHeight w:val="345"/>
        </w:trPr>
        <w:tc>
          <w:tcPr>
            <w:tcW w:w="2667" w:type="pct"/>
            <w:tcBorders>
              <w:top w:val="nil"/>
              <w:left w:val="nil"/>
              <w:bottom w:val="single" w:sz="4" w:space="0" w:color="auto"/>
              <w:right w:val="nil"/>
            </w:tcBorders>
            <w:shd w:val="clear" w:color="auto" w:fill="auto"/>
            <w:noWrap/>
            <w:vAlign w:val="center"/>
            <w:hideMark/>
          </w:tcPr>
          <w:p w14:paraId="3862D135" w14:textId="77777777" w:rsidR="004D69BF" w:rsidRPr="00963B72" w:rsidRDefault="004D69BF" w:rsidP="000240DA">
            <w:pPr>
              <w:spacing w:after="0" w:line="240" w:lineRule="auto"/>
              <w:rPr>
                <w:rFonts w:eastAsia="Times New Roman" w:cs="Times New Roman"/>
                <w:color w:val="000000"/>
                <w:sz w:val="18"/>
                <w:szCs w:val="18"/>
                <w:lang w:eastAsia="sk-SK"/>
              </w:rPr>
            </w:pPr>
            <w:r w:rsidRPr="00963B72">
              <w:rPr>
                <w:rFonts w:eastAsia="Times New Roman" w:cs="Times New Roman"/>
                <w:color w:val="000000"/>
                <w:sz w:val="18"/>
                <w:szCs w:val="18"/>
                <w:lang w:eastAsia="sk-SK"/>
              </w:rPr>
              <w:t xml:space="preserve">       prostriedky z rozpočtu EÚ (POO)</w:t>
            </w:r>
          </w:p>
        </w:tc>
        <w:tc>
          <w:tcPr>
            <w:tcW w:w="467" w:type="pct"/>
            <w:tcBorders>
              <w:top w:val="nil"/>
              <w:left w:val="nil"/>
              <w:bottom w:val="single" w:sz="4" w:space="0" w:color="auto"/>
              <w:right w:val="nil"/>
            </w:tcBorders>
            <w:shd w:val="clear" w:color="auto" w:fill="auto"/>
            <w:vAlign w:val="center"/>
            <w:hideMark/>
          </w:tcPr>
          <w:p w14:paraId="4200BBD7"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41 061</w:t>
            </w:r>
          </w:p>
        </w:tc>
        <w:tc>
          <w:tcPr>
            <w:tcW w:w="467" w:type="pct"/>
            <w:tcBorders>
              <w:top w:val="nil"/>
              <w:left w:val="nil"/>
              <w:bottom w:val="single" w:sz="4" w:space="0" w:color="auto"/>
              <w:right w:val="nil"/>
            </w:tcBorders>
            <w:shd w:val="clear" w:color="auto" w:fill="auto"/>
            <w:vAlign w:val="center"/>
            <w:hideMark/>
          </w:tcPr>
          <w:p w14:paraId="3132FBED"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367 278</w:t>
            </w:r>
          </w:p>
        </w:tc>
        <w:tc>
          <w:tcPr>
            <w:tcW w:w="467" w:type="pct"/>
            <w:tcBorders>
              <w:top w:val="nil"/>
              <w:left w:val="nil"/>
              <w:bottom w:val="single" w:sz="4" w:space="0" w:color="auto"/>
              <w:right w:val="nil"/>
            </w:tcBorders>
            <w:shd w:val="clear" w:color="auto" w:fill="auto"/>
            <w:vAlign w:val="center"/>
            <w:hideMark/>
          </w:tcPr>
          <w:p w14:paraId="0BF77E41"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1 215 402</w:t>
            </w:r>
          </w:p>
        </w:tc>
        <w:tc>
          <w:tcPr>
            <w:tcW w:w="467" w:type="pct"/>
            <w:tcBorders>
              <w:top w:val="nil"/>
              <w:left w:val="nil"/>
              <w:bottom w:val="single" w:sz="4" w:space="0" w:color="auto"/>
              <w:right w:val="nil"/>
            </w:tcBorders>
            <w:shd w:val="clear" w:color="auto" w:fill="auto"/>
            <w:vAlign w:val="center"/>
            <w:hideMark/>
          </w:tcPr>
          <w:p w14:paraId="30B33E35"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907 200</w:t>
            </w:r>
          </w:p>
        </w:tc>
        <w:tc>
          <w:tcPr>
            <w:tcW w:w="467" w:type="pct"/>
            <w:tcBorders>
              <w:top w:val="nil"/>
              <w:left w:val="nil"/>
              <w:bottom w:val="single" w:sz="4" w:space="0" w:color="auto"/>
              <w:right w:val="nil"/>
            </w:tcBorders>
            <w:shd w:val="clear" w:color="auto" w:fill="auto"/>
            <w:vAlign w:val="center"/>
            <w:hideMark/>
          </w:tcPr>
          <w:p w14:paraId="676652BD" w14:textId="77777777" w:rsidR="004D69BF" w:rsidRPr="00963B72" w:rsidRDefault="004D69BF" w:rsidP="000240DA">
            <w:pPr>
              <w:spacing w:after="0"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-308 202</w:t>
            </w:r>
          </w:p>
        </w:tc>
      </w:tr>
      <w:tr w:rsidR="00D0395E" w:rsidRPr="00963B72" w14:paraId="75E40095" w14:textId="77777777" w:rsidTr="00963B72">
        <w:trPr>
          <w:trHeight w:val="345"/>
        </w:trPr>
        <w:tc>
          <w:tcPr>
            <w:tcW w:w="2667" w:type="pct"/>
            <w:tcBorders>
              <w:top w:val="single" w:sz="4" w:space="0" w:color="auto"/>
              <w:left w:val="nil"/>
              <w:bottom w:val="single" w:sz="4" w:space="0" w:color="auto"/>
              <w:right w:val="nil"/>
            </w:tcBorders>
            <w:shd w:val="clear" w:color="auto" w:fill="auto"/>
            <w:noWrap/>
            <w:vAlign w:val="center"/>
            <w:hideMark/>
          </w:tcPr>
          <w:p w14:paraId="01FE0A51" w14:textId="77777777" w:rsidR="004D69BF" w:rsidRPr="00963B72" w:rsidRDefault="004D69BF" w:rsidP="000240DA">
            <w:pPr>
              <w:spacing w:after="0" w:line="240" w:lineRule="auto"/>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Spolu</w:t>
            </w:r>
          </w:p>
        </w:tc>
        <w:tc>
          <w:tcPr>
            <w:tcW w:w="467" w:type="pct"/>
            <w:tcBorders>
              <w:top w:val="single" w:sz="4" w:space="0" w:color="auto"/>
              <w:left w:val="nil"/>
              <w:bottom w:val="single" w:sz="4" w:space="0" w:color="auto"/>
              <w:right w:val="nil"/>
            </w:tcBorders>
            <w:shd w:val="clear" w:color="auto" w:fill="auto"/>
            <w:noWrap/>
            <w:vAlign w:val="center"/>
            <w:hideMark/>
          </w:tcPr>
          <w:p w14:paraId="09DE7589" w14:textId="77777777" w:rsidR="004D69BF" w:rsidRPr="00963B72" w:rsidRDefault="004D69BF" w:rsidP="000240DA">
            <w:pPr>
              <w:spacing w:after="0" w:line="240" w:lineRule="auto"/>
              <w:jc w:val="right"/>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2 227 577</w:t>
            </w:r>
          </w:p>
        </w:tc>
        <w:tc>
          <w:tcPr>
            <w:tcW w:w="467" w:type="pct"/>
            <w:tcBorders>
              <w:top w:val="single" w:sz="4" w:space="0" w:color="auto"/>
              <w:left w:val="nil"/>
              <w:bottom w:val="single" w:sz="4" w:space="0" w:color="auto"/>
              <w:right w:val="nil"/>
            </w:tcBorders>
            <w:shd w:val="clear" w:color="auto" w:fill="auto"/>
            <w:noWrap/>
            <w:vAlign w:val="center"/>
            <w:hideMark/>
          </w:tcPr>
          <w:p w14:paraId="364FAD6A" w14:textId="77777777" w:rsidR="004D69BF" w:rsidRPr="00963B72" w:rsidRDefault="004D69BF" w:rsidP="000240DA">
            <w:pPr>
              <w:spacing w:after="0" w:line="240" w:lineRule="auto"/>
              <w:jc w:val="right"/>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4 509 343</w:t>
            </w:r>
          </w:p>
        </w:tc>
        <w:tc>
          <w:tcPr>
            <w:tcW w:w="467" w:type="pct"/>
            <w:tcBorders>
              <w:top w:val="single" w:sz="4" w:space="0" w:color="auto"/>
              <w:left w:val="nil"/>
              <w:bottom w:val="single" w:sz="4" w:space="0" w:color="auto"/>
              <w:right w:val="nil"/>
            </w:tcBorders>
            <w:shd w:val="clear" w:color="auto" w:fill="auto"/>
            <w:noWrap/>
            <w:vAlign w:val="center"/>
            <w:hideMark/>
          </w:tcPr>
          <w:p w14:paraId="29BC7F29" w14:textId="77777777" w:rsidR="004D69BF" w:rsidRPr="00963B72" w:rsidRDefault="004D69BF" w:rsidP="000240DA">
            <w:pPr>
              <w:spacing w:after="0" w:line="240" w:lineRule="auto"/>
              <w:jc w:val="right"/>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2 518 539</w:t>
            </w:r>
          </w:p>
        </w:tc>
        <w:tc>
          <w:tcPr>
            <w:tcW w:w="467" w:type="pct"/>
            <w:tcBorders>
              <w:top w:val="single" w:sz="4" w:space="0" w:color="auto"/>
              <w:left w:val="nil"/>
              <w:bottom w:val="single" w:sz="4" w:space="0" w:color="auto"/>
              <w:right w:val="nil"/>
            </w:tcBorders>
            <w:shd w:val="clear" w:color="auto" w:fill="auto"/>
            <w:noWrap/>
            <w:vAlign w:val="center"/>
            <w:hideMark/>
          </w:tcPr>
          <w:p w14:paraId="3F671346" w14:textId="77777777" w:rsidR="004D69BF" w:rsidRPr="00963B72" w:rsidRDefault="004D69BF" w:rsidP="000240DA">
            <w:pPr>
              <w:spacing w:after="0" w:line="240" w:lineRule="auto"/>
              <w:jc w:val="right"/>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4 197 103</w:t>
            </w:r>
          </w:p>
        </w:tc>
        <w:tc>
          <w:tcPr>
            <w:tcW w:w="467" w:type="pct"/>
            <w:tcBorders>
              <w:top w:val="single" w:sz="4" w:space="0" w:color="auto"/>
              <w:left w:val="nil"/>
              <w:bottom w:val="single" w:sz="4" w:space="0" w:color="auto"/>
              <w:right w:val="nil"/>
            </w:tcBorders>
            <w:shd w:val="clear" w:color="auto" w:fill="auto"/>
            <w:noWrap/>
            <w:vAlign w:val="center"/>
            <w:hideMark/>
          </w:tcPr>
          <w:p w14:paraId="705B33ED" w14:textId="77777777" w:rsidR="004D69BF" w:rsidRPr="00963B72" w:rsidRDefault="004D69BF" w:rsidP="000240DA">
            <w:pPr>
              <w:spacing w:after="0" w:line="240" w:lineRule="auto"/>
              <w:jc w:val="right"/>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1 678 564</w:t>
            </w:r>
          </w:p>
        </w:tc>
      </w:tr>
    </w:tbl>
    <w:p w14:paraId="72F53B8D" w14:textId="0697672D" w:rsidR="004C20D6" w:rsidRPr="00F53DFF" w:rsidRDefault="00F53DFF" w:rsidP="00A7279C">
      <w:pPr>
        <w:spacing w:line="240" w:lineRule="auto"/>
        <w:ind w:left="7650"/>
        <w:rPr>
          <w:sz w:val="18"/>
          <w:szCs w:val="18"/>
        </w:rPr>
      </w:pPr>
      <w:r w:rsidRPr="00F53DFF">
        <w:rPr>
          <w:sz w:val="18"/>
          <w:szCs w:val="18"/>
        </w:rPr>
        <w:t>Zdroj: MF SR</w:t>
      </w:r>
    </w:p>
    <w:p w14:paraId="229B9FB0" w14:textId="2C1537DE" w:rsidR="004D69BF" w:rsidRDefault="004D69BF" w:rsidP="004D69BF">
      <w:pPr>
        <w:spacing w:line="240" w:lineRule="auto"/>
        <w:rPr>
          <w:sz w:val="24"/>
          <w:szCs w:val="24"/>
        </w:rPr>
      </w:pPr>
      <w:r>
        <w:rPr>
          <w:sz w:val="24"/>
          <w:szCs w:val="24"/>
        </w:rPr>
        <w:t>V rámci tuzemských grantov a transferov je najväčšou položkou transfer zo</w:t>
      </w:r>
      <w:r w:rsidR="004C20D6">
        <w:rPr>
          <w:sz w:val="24"/>
          <w:szCs w:val="24"/>
        </w:rPr>
        <w:t> </w:t>
      </w:r>
      <w:r>
        <w:rPr>
          <w:sz w:val="24"/>
          <w:szCs w:val="24"/>
        </w:rPr>
        <w:t>zdravo</w:t>
      </w:r>
      <w:r w:rsidR="004C20D6">
        <w:rPr>
          <w:sz w:val="24"/>
          <w:szCs w:val="24"/>
        </w:rPr>
        <w:t>tných poisťovní vo výške 64 287 </w:t>
      </w:r>
      <w:r>
        <w:rPr>
          <w:sz w:val="24"/>
          <w:szCs w:val="24"/>
        </w:rPr>
        <w:t>tis.</w:t>
      </w:r>
      <w:r w:rsidR="004C20D6">
        <w:rPr>
          <w:sz w:val="24"/>
          <w:szCs w:val="24"/>
        </w:rPr>
        <w:t> </w:t>
      </w:r>
      <w:r>
        <w:rPr>
          <w:sz w:val="24"/>
          <w:szCs w:val="24"/>
        </w:rPr>
        <w:t xml:space="preserve">eur. Ide o príspevok na správu a rozvoj národného zdravotníckeho informačného systému a príspevok na činnosť operačných stredísk tiesňového volania záchrannej zdravotnej služby </w:t>
      </w:r>
      <w:r w:rsidR="004C20D6">
        <w:rPr>
          <w:sz w:val="24"/>
          <w:szCs w:val="24"/>
        </w:rPr>
        <w:t>(OS ZZS), ktorý podľa zákona č. </w:t>
      </w:r>
      <w:r>
        <w:rPr>
          <w:sz w:val="24"/>
          <w:szCs w:val="24"/>
        </w:rPr>
        <w:t>581/2004</w:t>
      </w:r>
      <w:r w:rsidR="004C20D6">
        <w:rPr>
          <w:sz w:val="24"/>
          <w:szCs w:val="24"/>
        </w:rPr>
        <w:t> Z. </w:t>
      </w:r>
      <w:r>
        <w:rPr>
          <w:sz w:val="24"/>
          <w:szCs w:val="24"/>
        </w:rPr>
        <w:t xml:space="preserve">z. </w:t>
      </w:r>
      <w:r>
        <w:rPr>
          <w:sz w:val="24"/>
          <w:szCs w:val="24"/>
        </w:rPr>
        <w:lastRenderedPageBreak/>
        <w:t>o</w:t>
      </w:r>
      <w:r w:rsidR="004C20D6">
        <w:rPr>
          <w:sz w:val="24"/>
          <w:szCs w:val="24"/>
        </w:rPr>
        <w:t> </w:t>
      </w:r>
      <w:r w:rsidRPr="00A24DAB">
        <w:rPr>
          <w:sz w:val="24"/>
          <w:szCs w:val="24"/>
        </w:rPr>
        <w:t>zdravotných poisťovniach, dohľade nad zdravotnou starostlivosťou a o zmene a doplnení niektorých zákonov v znení neskorších predpisov</w:t>
      </w:r>
      <w:r>
        <w:rPr>
          <w:sz w:val="24"/>
          <w:szCs w:val="24"/>
        </w:rPr>
        <w:t xml:space="preserve"> poukazujú zdravotné poisťovne na účet Ministerstva zdravotníctva SR </w:t>
      </w:r>
      <w:r w:rsidR="00E446F6">
        <w:rPr>
          <w:sz w:val="24"/>
          <w:szCs w:val="24"/>
        </w:rPr>
        <w:t>do 20. januára</w:t>
      </w:r>
      <w:r>
        <w:rPr>
          <w:sz w:val="24"/>
          <w:szCs w:val="24"/>
        </w:rPr>
        <w:t xml:space="preserve"> </w:t>
      </w:r>
      <w:r w:rsidR="00E446F6">
        <w:rPr>
          <w:sz w:val="24"/>
          <w:szCs w:val="24"/>
        </w:rPr>
        <w:t>kalendárneho</w:t>
      </w:r>
      <w:r>
        <w:rPr>
          <w:sz w:val="24"/>
          <w:szCs w:val="24"/>
        </w:rPr>
        <w:t xml:space="preserve"> roka. Ministerstvo zdravotníctva SR poukazuje prostriedky na krytie výdavkov Národnému centru zdravotníckych zariadení a OS ZZS.</w:t>
      </w:r>
    </w:p>
    <w:p w14:paraId="4749E7DF" w14:textId="57EC1BBD" w:rsidR="004D69BF" w:rsidRDefault="004D69BF" w:rsidP="004D69BF">
      <w:pPr>
        <w:spacing w:line="240" w:lineRule="auto"/>
        <w:rPr>
          <w:sz w:val="24"/>
          <w:szCs w:val="24"/>
        </w:rPr>
      </w:pPr>
      <w:r w:rsidRPr="00734866">
        <w:rPr>
          <w:sz w:val="24"/>
          <w:szCs w:val="24"/>
        </w:rPr>
        <w:t>Schválený rozpočet príjmov zo zahraničných transferov na rok 202</w:t>
      </w:r>
      <w:r>
        <w:rPr>
          <w:sz w:val="24"/>
          <w:szCs w:val="24"/>
        </w:rPr>
        <w:t>4</w:t>
      </w:r>
      <w:r w:rsidR="004C20D6">
        <w:rPr>
          <w:sz w:val="24"/>
          <w:szCs w:val="24"/>
        </w:rPr>
        <w:t xml:space="preserve"> bol vo </w:t>
      </w:r>
      <w:r w:rsidRPr="00734866">
        <w:rPr>
          <w:sz w:val="24"/>
          <w:szCs w:val="24"/>
        </w:rPr>
        <w:t xml:space="preserve">výške </w:t>
      </w:r>
      <w:r>
        <w:rPr>
          <w:sz w:val="24"/>
          <w:szCs w:val="24"/>
        </w:rPr>
        <w:t>2</w:t>
      </w:r>
      <w:r w:rsidR="004C20D6">
        <w:rPr>
          <w:sz w:val="24"/>
          <w:szCs w:val="24"/>
        </w:rPr>
        <w:t> </w:t>
      </w:r>
      <w:r>
        <w:rPr>
          <w:sz w:val="24"/>
          <w:szCs w:val="24"/>
        </w:rPr>
        <w:t>452</w:t>
      </w:r>
      <w:r w:rsidR="004C20D6">
        <w:rPr>
          <w:sz w:val="24"/>
          <w:szCs w:val="24"/>
        </w:rPr>
        <w:t> </w:t>
      </w:r>
      <w:r>
        <w:rPr>
          <w:sz w:val="24"/>
          <w:szCs w:val="24"/>
        </w:rPr>
        <w:t>641</w:t>
      </w:r>
      <w:r w:rsidR="004C20D6">
        <w:rPr>
          <w:sz w:val="24"/>
          <w:szCs w:val="24"/>
        </w:rPr>
        <w:t> </w:t>
      </w:r>
      <w:r>
        <w:rPr>
          <w:sz w:val="24"/>
          <w:szCs w:val="24"/>
        </w:rPr>
        <w:t>tis.</w:t>
      </w:r>
      <w:r w:rsidR="004C20D6">
        <w:rPr>
          <w:sz w:val="24"/>
          <w:szCs w:val="24"/>
        </w:rPr>
        <w:t> </w:t>
      </w:r>
      <w:r>
        <w:rPr>
          <w:sz w:val="24"/>
          <w:szCs w:val="24"/>
        </w:rPr>
        <w:t>eur</w:t>
      </w:r>
      <w:r w:rsidRPr="00734866">
        <w:rPr>
          <w:sz w:val="24"/>
          <w:szCs w:val="24"/>
        </w:rPr>
        <w:t xml:space="preserve">, z toho príjmy za prostriedky </w:t>
      </w:r>
      <w:r w:rsidR="001D6597">
        <w:rPr>
          <w:sz w:val="24"/>
          <w:szCs w:val="24"/>
        </w:rPr>
        <w:t>EÚ</w:t>
      </w:r>
      <w:r w:rsidR="004C20D6">
        <w:rPr>
          <w:sz w:val="24"/>
          <w:szCs w:val="24"/>
        </w:rPr>
        <w:t xml:space="preserve"> boli rozpočtované vo </w:t>
      </w:r>
      <w:r w:rsidRPr="00734866">
        <w:rPr>
          <w:sz w:val="24"/>
          <w:szCs w:val="24"/>
        </w:rPr>
        <w:t xml:space="preserve">výške </w:t>
      </w:r>
      <w:r w:rsidR="004C20D6">
        <w:rPr>
          <w:sz w:val="24"/>
          <w:szCs w:val="24"/>
        </w:rPr>
        <w:t>1 237 239 </w:t>
      </w:r>
      <w:r>
        <w:rPr>
          <w:sz w:val="24"/>
          <w:szCs w:val="24"/>
        </w:rPr>
        <w:t>tis.</w:t>
      </w:r>
      <w:r w:rsidR="004C20D6">
        <w:rPr>
          <w:sz w:val="24"/>
          <w:szCs w:val="24"/>
        </w:rPr>
        <w:t> </w:t>
      </w:r>
      <w:r>
        <w:rPr>
          <w:sz w:val="24"/>
          <w:szCs w:val="24"/>
        </w:rPr>
        <w:t xml:space="preserve">eur </w:t>
      </w:r>
      <w:r w:rsidRPr="00734866">
        <w:rPr>
          <w:sz w:val="24"/>
          <w:szCs w:val="24"/>
        </w:rPr>
        <w:t xml:space="preserve">a príjmy za POO vo výške </w:t>
      </w:r>
      <w:r w:rsidR="004C20D6">
        <w:rPr>
          <w:sz w:val="24"/>
          <w:szCs w:val="24"/>
        </w:rPr>
        <w:t>1 215 402 </w:t>
      </w:r>
      <w:r>
        <w:rPr>
          <w:sz w:val="24"/>
          <w:szCs w:val="24"/>
        </w:rPr>
        <w:t>tis.</w:t>
      </w:r>
      <w:r w:rsidR="004C20D6">
        <w:rPr>
          <w:sz w:val="24"/>
          <w:szCs w:val="24"/>
        </w:rPr>
        <w:t> </w:t>
      </w:r>
      <w:r>
        <w:rPr>
          <w:sz w:val="24"/>
          <w:szCs w:val="24"/>
        </w:rPr>
        <w:t>eur</w:t>
      </w:r>
      <w:r w:rsidRPr="00734866">
        <w:rPr>
          <w:sz w:val="24"/>
          <w:szCs w:val="24"/>
        </w:rPr>
        <w:t xml:space="preserve">. Skutočné plnenie týchto príjmov bolo vo výške </w:t>
      </w:r>
      <w:r w:rsidR="004C20D6">
        <w:rPr>
          <w:sz w:val="24"/>
          <w:szCs w:val="24"/>
        </w:rPr>
        <w:t>4 132 692 </w:t>
      </w:r>
      <w:r>
        <w:rPr>
          <w:sz w:val="24"/>
          <w:szCs w:val="24"/>
        </w:rPr>
        <w:t>tis.</w:t>
      </w:r>
      <w:r w:rsidR="004C20D6">
        <w:rPr>
          <w:sz w:val="24"/>
          <w:szCs w:val="24"/>
        </w:rPr>
        <w:t> </w:t>
      </w:r>
      <w:r>
        <w:rPr>
          <w:sz w:val="24"/>
          <w:szCs w:val="24"/>
        </w:rPr>
        <w:t>eur</w:t>
      </w:r>
      <w:r w:rsidRPr="00734866">
        <w:rPr>
          <w:sz w:val="24"/>
          <w:szCs w:val="24"/>
        </w:rPr>
        <w:t xml:space="preserve">, z toho </w:t>
      </w:r>
      <w:r w:rsidR="001D6597">
        <w:rPr>
          <w:sz w:val="24"/>
          <w:szCs w:val="24"/>
        </w:rPr>
        <w:t>EÚ</w:t>
      </w:r>
      <w:r>
        <w:rPr>
          <w:sz w:val="24"/>
          <w:szCs w:val="24"/>
        </w:rPr>
        <w:t xml:space="preserve"> 3</w:t>
      </w:r>
      <w:r w:rsidR="004C20D6">
        <w:rPr>
          <w:sz w:val="24"/>
          <w:szCs w:val="24"/>
        </w:rPr>
        <w:t> </w:t>
      </w:r>
      <w:r>
        <w:rPr>
          <w:sz w:val="24"/>
          <w:szCs w:val="24"/>
        </w:rPr>
        <w:t>225</w:t>
      </w:r>
      <w:r w:rsidR="004C20D6">
        <w:rPr>
          <w:sz w:val="24"/>
          <w:szCs w:val="24"/>
        </w:rPr>
        <w:t> </w:t>
      </w:r>
      <w:r>
        <w:rPr>
          <w:sz w:val="24"/>
          <w:szCs w:val="24"/>
        </w:rPr>
        <w:t>492 a</w:t>
      </w:r>
      <w:r w:rsidRPr="00734866">
        <w:rPr>
          <w:sz w:val="24"/>
          <w:szCs w:val="24"/>
        </w:rPr>
        <w:t xml:space="preserve"> POO </w:t>
      </w:r>
      <w:r w:rsidR="004C20D6">
        <w:rPr>
          <w:sz w:val="24"/>
          <w:szCs w:val="24"/>
        </w:rPr>
        <w:t>900 200 </w:t>
      </w:r>
      <w:r>
        <w:rPr>
          <w:sz w:val="24"/>
          <w:szCs w:val="24"/>
        </w:rPr>
        <w:t>tis.</w:t>
      </w:r>
      <w:r w:rsidR="004C20D6">
        <w:rPr>
          <w:sz w:val="24"/>
          <w:szCs w:val="24"/>
        </w:rPr>
        <w:t> </w:t>
      </w:r>
      <w:r>
        <w:rPr>
          <w:sz w:val="24"/>
          <w:szCs w:val="24"/>
        </w:rPr>
        <w:t>eur.</w:t>
      </w:r>
    </w:p>
    <w:p w14:paraId="7951340B" w14:textId="3F0E957A" w:rsidR="004D69BF" w:rsidRPr="006D74D3" w:rsidRDefault="004D69BF" w:rsidP="004D69BF">
      <w:pPr>
        <w:spacing w:line="240" w:lineRule="auto"/>
        <w:rPr>
          <w:sz w:val="24"/>
          <w:szCs w:val="24"/>
          <w:highlight w:val="yellow"/>
        </w:rPr>
      </w:pPr>
      <w:r>
        <w:rPr>
          <w:sz w:val="24"/>
          <w:szCs w:val="24"/>
        </w:rPr>
        <w:t>V porovnaní s rozpočtom na rok 2023, boli zahraničné transfery pre rok 2024 rozpočtované nižšie o 5 276</w:t>
      </w:r>
      <w:r w:rsidR="004C20D6">
        <w:rPr>
          <w:sz w:val="24"/>
          <w:szCs w:val="24"/>
        </w:rPr>
        <w:t> </w:t>
      </w:r>
      <w:r>
        <w:rPr>
          <w:sz w:val="24"/>
          <w:szCs w:val="24"/>
        </w:rPr>
        <w:t>164</w:t>
      </w:r>
      <w:r w:rsidR="004C20D6">
        <w:rPr>
          <w:sz w:val="24"/>
          <w:szCs w:val="24"/>
        </w:rPr>
        <w:t> </w:t>
      </w:r>
      <w:r>
        <w:rPr>
          <w:sz w:val="24"/>
          <w:szCs w:val="24"/>
        </w:rPr>
        <w:t>tis.</w:t>
      </w:r>
      <w:r w:rsidR="004C20D6">
        <w:rPr>
          <w:sz w:val="24"/>
          <w:szCs w:val="24"/>
        </w:rPr>
        <w:t> </w:t>
      </w:r>
      <w:r>
        <w:rPr>
          <w:sz w:val="24"/>
          <w:szCs w:val="24"/>
        </w:rPr>
        <w:t xml:space="preserve">eur, z toho prostriedky </w:t>
      </w:r>
      <w:r w:rsidR="001D6597">
        <w:rPr>
          <w:sz w:val="24"/>
          <w:szCs w:val="24"/>
        </w:rPr>
        <w:t>EÚ</w:t>
      </w:r>
      <w:r>
        <w:rPr>
          <w:sz w:val="24"/>
          <w:szCs w:val="24"/>
        </w:rPr>
        <w:t xml:space="preserve"> nižšie o 4 480</w:t>
      </w:r>
      <w:r w:rsidR="004C20D6">
        <w:rPr>
          <w:sz w:val="24"/>
          <w:szCs w:val="24"/>
        </w:rPr>
        <w:t> </w:t>
      </w:r>
      <w:r>
        <w:rPr>
          <w:sz w:val="24"/>
          <w:szCs w:val="24"/>
        </w:rPr>
        <w:t>315</w:t>
      </w:r>
      <w:r w:rsidR="004C20D6">
        <w:rPr>
          <w:sz w:val="24"/>
          <w:szCs w:val="24"/>
        </w:rPr>
        <w:t> tis. </w:t>
      </w:r>
      <w:r>
        <w:rPr>
          <w:sz w:val="24"/>
          <w:szCs w:val="24"/>
        </w:rPr>
        <w:t>eur a prostriedky POO medziročne nižšie o 795</w:t>
      </w:r>
      <w:r w:rsidR="004C20D6">
        <w:rPr>
          <w:sz w:val="24"/>
          <w:szCs w:val="24"/>
        </w:rPr>
        <w:t> </w:t>
      </w:r>
      <w:r>
        <w:rPr>
          <w:sz w:val="24"/>
          <w:szCs w:val="24"/>
        </w:rPr>
        <w:t>849</w:t>
      </w:r>
      <w:r w:rsidR="004C20D6">
        <w:rPr>
          <w:sz w:val="24"/>
          <w:szCs w:val="24"/>
        </w:rPr>
        <w:t> </w:t>
      </w:r>
      <w:r>
        <w:rPr>
          <w:sz w:val="24"/>
          <w:szCs w:val="24"/>
        </w:rPr>
        <w:t>tis.</w:t>
      </w:r>
      <w:r w:rsidR="004C20D6">
        <w:rPr>
          <w:sz w:val="24"/>
          <w:szCs w:val="24"/>
        </w:rPr>
        <w:t> </w:t>
      </w:r>
      <w:r>
        <w:rPr>
          <w:sz w:val="24"/>
          <w:szCs w:val="24"/>
        </w:rPr>
        <w:t>eur.</w:t>
      </w:r>
    </w:p>
    <w:p w14:paraId="3B4688A0" w14:textId="0F31C507" w:rsidR="004D69BF" w:rsidRDefault="004D69BF" w:rsidP="004D69BF">
      <w:pPr>
        <w:spacing w:line="240" w:lineRule="auto"/>
        <w:rPr>
          <w:sz w:val="24"/>
          <w:szCs w:val="24"/>
        </w:rPr>
      </w:pPr>
      <w:r>
        <w:rPr>
          <w:sz w:val="24"/>
          <w:szCs w:val="24"/>
        </w:rPr>
        <w:t>Skutočné plnenie zahraničných transferov presiahlo rozpočet o 1 680</w:t>
      </w:r>
      <w:r w:rsidR="004C20D6">
        <w:rPr>
          <w:sz w:val="24"/>
          <w:szCs w:val="24"/>
        </w:rPr>
        <w:t> </w:t>
      </w:r>
      <w:r>
        <w:rPr>
          <w:sz w:val="24"/>
          <w:szCs w:val="24"/>
        </w:rPr>
        <w:t>051</w:t>
      </w:r>
      <w:r w:rsidR="004C20D6">
        <w:rPr>
          <w:sz w:val="24"/>
          <w:szCs w:val="24"/>
        </w:rPr>
        <w:t> </w:t>
      </w:r>
      <w:r>
        <w:rPr>
          <w:sz w:val="24"/>
          <w:szCs w:val="24"/>
        </w:rPr>
        <w:t>tis.</w:t>
      </w:r>
      <w:r w:rsidR="004C20D6">
        <w:rPr>
          <w:sz w:val="24"/>
          <w:szCs w:val="24"/>
        </w:rPr>
        <w:t> </w:t>
      </w:r>
      <w:r>
        <w:rPr>
          <w:sz w:val="24"/>
          <w:szCs w:val="24"/>
        </w:rPr>
        <w:t>eur, a dosiahlo 91,6</w:t>
      </w:r>
      <w:r w:rsidR="004C20D6">
        <w:rPr>
          <w:sz w:val="24"/>
          <w:szCs w:val="24"/>
        </w:rPr>
        <w:t> </w:t>
      </w:r>
      <w:r>
        <w:rPr>
          <w:sz w:val="24"/>
          <w:szCs w:val="24"/>
        </w:rPr>
        <w:t>% skutočnosti roku 2023. Prí</w:t>
      </w:r>
      <w:r w:rsidR="004C20D6">
        <w:rPr>
          <w:sz w:val="24"/>
          <w:szCs w:val="24"/>
        </w:rPr>
        <w:t>jmy POO sa nenaplnili o 308 202 </w:t>
      </w:r>
      <w:r>
        <w:rPr>
          <w:sz w:val="24"/>
          <w:szCs w:val="24"/>
        </w:rPr>
        <w:t>tis.</w:t>
      </w:r>
      <w:r w:rsidR="004C20D6">
        <w:rPr>
          <w:sz w:val="24"/>
          <w:szCs w:val="24"/>
        </w:rPr>
        <w:t> </w:t>
      </w:r>
      <w:r>
        <w:rPr>
          <w:sz w:val="24"/>
          <w:szCs w:val="24"/>
        </w:rPr>
        <w:t xml:space="preserve">eur, naopak zdroje </w:t>
      </w:r>
      <w:r w:rsidR="001D6597">
        <w:rPr>
          <w:sz w:val="24"/>
          <w:szCs w:val="24"/>
        </w:rPr>
        <w:t>EÚ</w:t>
      </w:r>
      <w:r>
        <w:rPr>
          <w:sz w:val="24"/>
          <w:szCs w:val="24"/>
        </w:rPr>
        <w:t xml:space="preserve"> z dôvodu dočerpávania pros</w:t>
      </w:r>
      <w:r w:rsidR="004C20D6">
        <w:rPr>
          <w:sz w:val="24"/>
          <w:szCs w:val="24"/>
        </w:rPr>
        <w:t>triedkov z 3. </w:t>
      </w:r>
      <w:r>
        <w:rPr>
          <w:sz w:val="24"/>
          <w:szCs w:val="24"/>
        </w:rPr>
        <w:t>programového obdobia presiahli rozpočtované príjmy úhrnom o 1 988</w:t>
      </w:r>
      <w:r w:rsidR="004C20D6">
        <w:rPr>
          <w:sz w:val="24"/>
          <w:szCs w:val="24"/>
        </w:rPr>
        <w:t> </w:t>
      </w:r>
      <w:r>
        <w:rPr>
          <w:sz w:val="24"/>
          <w:szCs w:val="24"/>
        </w:rPr>
        <w:t>253</w:t>
      </w:r>
      <w:r w:rsidR="004C20D6">
        <w:rPr>
          <w:sz w:val="24"/>
          <w:szCs w:val="24"/>
        </w:rPr>
        <w:t> </w:t>
      </w:r>
      <w:r>
        <w:rPr>
          <w:sz w:val="24"/>
          <w:szCs w:val="24"/>
        </w:rPr>
        <w:t>tis.</w:t>
      </w:r>
      <w:r w:rsidR="004C20D6">
        <w:rPr>
          <w:sz w:val="24"/>
          <w:szCs w:val="24"/>
        </w:rPr>
        <w:t> </w:t>
      </w:r>
      <w:r>
        <w:rPr>
          <w:sz w:val="24"/>
          <w:szCs w:val="24"/>
        </w:rPr>
        <w:t>eur, najmä za fondy pod certifikačným orgánom MF SR o 1 865</w:t>
      </w:r>
      <w:r w:rsidR="004C20D6">
        <w:rPr>
          <w:sz w:val="24"/>
          <w:szCs w:val="24"/>
        </w:rPr>
        <w:t> </w:t>
      </w:r>
      <w:r>
        <w:rPr>
          <w:sz w:val="24"/>
          <w:szCs w:val="24"/>
        </w:rPr>
        <w:t>525</w:t>
      </w:r>
      <w:r w:rsidR="004C20D6">
        <w:rPr>
          <w:sz w:val="24"/>
          <w:szCs w:val="24"/>
        </w:rPr>
        <w:t> </w:t>
      </w:r>
      <w:r>
        <w:rPr>
          <w:sz w:val="24"/>
          <w:szCs w:val="24"/>
        </w:rPr>
        <w:t>tis.</w:t>
      </w:r>
      <w:r w:rsidR="004C20D6">
        <w:rPr>
          <w:sz w:val="24"/>
          <w:szCs w:val="24"/>
        </w:rPr>
        <w:t> </w:t>
      </w:r>
      <w:r>
        <w:rPr>
          <w:sz w:val="24"/>
          <w:szCs w:val="24"/>
        </w:rPr>
        <w:t xml:space="preserve">eur. Naplnil sa tak vývoj z roku 2023, kedy nižšie čerpanie zahraničných transferov </w:t>
      </w:r>
      <w:r w:rsidR="001D6597">
        <w:rPr>
          <w:sz w:val="24"/>
          <w:szCs w:val="24"/>
        </w:rPr>
        <w:t>EÚ</w:t>
      </w:r>
      <w:r>
        <w:rPr>
          <w:sz w:val="24"/>
          <w:szCs w:val="24"/>
        </w:rPr>
        <w:t xml:space="preserve"> oproti rozpočtu 2023 bolo spôsobené zvýšeným poskytovaním preddavkov a zálohových platieb ku koncu roka 2023 </w:t>
      </w:r>
      <w:r w:rsidRPr="0086767F">
        <w:rPr>
          <w:sz w:val="24"/>
          <w:szCs w:val="24"/>
        </w:rPr>
        <w:t>za programové obdobie 2014</w:t>
      </w:r>
      <w:r w:rsidR="004C20D6">
        <w:rPr>
          <w:sz w:val="24"/>
          <w:szCs w:val="24"/>
        </w:rPr>
        <w:t> – </w:t>
      </w:r>
      <w:r w:rsidRPr="0086767F">
        <w:rPr>
          <w:sz w:val="24"/>
          <w:szCs w:val="24"/>
        </w:rPr>
        <w:t xml:space="preserve">2020, pričom k naplneniu príjmov </w:t>
      </w:r>
      <w:r>
        <w:rPr>
          <w:sz w:val="24"/>
          <w:szCs w:val="24"/>
        </w:rPr>
        <w:t xml:space="preserve">do štátneho rozpočtu došlo práve </w:t>
      </w:r>
      <w:r w:rsidR="004C20D6">
        <w:rPr>
          <w:sz w:val="24"/>
          <w:szCs w:val="24"/>
        </w:rPr>
        <w:t>v roku 2024.</w:t>
      </w:r>
    </w:p>
    <w:p w14:paraId="1BF43B11" w14:textId="231B7A89" w:rsidR="004D69BF" w:rsidRPr="0086767F" w:rsidRDefault="004D69BF" w:rsidP="004D69BF">
      <w:pPr>
        <w:spacing w:line="240" w:lineRule="auto"/>
        <w:rPr>
          <w:sz w:val="24"/>
          <w:szCs w:val="24"/>
        </w:rPr>
      </w:pPr>
      <w:r w:rsidRPr="006409B3">
        <w:rPr>
          <w:sz w:val="24"/>
          <w:szCs w:val="24"/>
          <w:u w:val="single"/>
        </w:rPr>
        <w:t xml:space="preserve">Prostriedky </w:t>
      </w:r>
      <w:r w:rsidR="001D6597">
        <w:rPr>
          <w:sz w:val="24"/>
          <w:szCs w:val="24"/>
          <w:u w:val="single"/>
        </w:rPr>
        <w:t>EÚ</w:t>
      </w:r>
      <w:r w:rsidRPr="006409B3">
        <w:rPr>
          <w:sz w:val="24"/>
          <w:szCs w:val="24"/>
          <w:u w:val="single"/>
        </w:rPr>
        <w:t xml:space="preserve"> </w:t>
      </w:r>
      <w:r>
        <w:rPr>
          <w:sz w:val="24"/>
          <w:szCs w:val="24"/>
          <w:u w:val="single"/>
        </w:rPr>
        <w:t>sú</w:t>
      </w:r>
      <w:r w:rsidRPr="006409B3">
        <w:rPr>
          <w:sz w:val="24"/>
          <w:szCs w:val="24"/>
          <w:u w:val="single"/>
        </w:rPr>
        <w:t xml:space="preserve"> súčasťou príjmov štátneho rozpočtu na úrovni platobných jednotiek</w:t>
      </w:r>
      <w:r>
        <w:rPr>
          <w:sz w:val="24"/>
          <w:szCs w:val="24"/>
        </w:rPr>
        <w:t>, hlavne Ministerstva pôdohospodárstv</w:t>
      </w:r>
      <w:r w:rsidR="004C20D6">
        <w:rPr>
          <w:sz w:val="24"/>
          <w:szCs w:val="24"/>
        </w:rPr>
        <w:t>a a rozvoja vidieka SR (91</w:t>
      </w:r>
      <w:r w:rsidR="001D6597">
        <w:rPr>
          <w:sz w:val="24"/>
          <w:szCs w:val="24"/>
        </w:rPr>
        <w:t>9</w:t>
      </w:r>
      <w:r w:rsidR="004C20D6">
        <w:rPr>
          <w:sz w:val="24"/>
          <w:szCs w:val="24"/>
        </w:rPr>
        <w:t> </w:t>
      </w:r>
      <w:r w:rsidR="001D6597">
        <w:rPr>
          <w:sz w:val="24"/>
          <w:szCs w:val="24"/>
        </w:rPr>
        <w:t>563</w:t>
      </w:r>
      <w:r w:rsidR="004C20D6">
        <w:rPr>
          <w:sz w:val="24"/>
          <w:szCs w:val="24"/>
        </w:rPr>
        <w:t> </w:t>
      </w:r>
      <w:r>
        <w:rPr>
          <w:sz w:val="24"/>
          <w:szCs w:val="24"/>
        </w:rPr>
        <w:t>tis.</w:t>
      </w:r>
      <w:r w:rsidR="004C20D6">
        <w:rPr>
          <w:sz w:val="24"/>
          <w:szCs w:val="24"/>
        </w:rPr>
        <w:t> </w:t>
      </w:r>
      <w:r>
        <w:rPr>
          <w:sz w:val="24"/>
          <w:szCs w:val="24"/>
        </w:rPr>
        <w:t>eur), Ministerstva životného prostredia SR (748</w:t>
      </w:r>
      <w:r w:rsidR="004C20D6">
        <w:rPr>
          <w:sz w:val="24"/>
          <w:szCs w:val="24"/>
        </w:rPr>
        <w:t> </w:t>
      </w:r>
      <w:r>
        <w:rPr>
          <w:sz w:val="24"/>
          <w:szCs w:val="24"/>
        </w:rPr>
        <w:t>479</w:t>
      </w:r>
      <w:r w:rsidR="004C20D6">
        <w:rPr>
          <w:sz w:val="24"/>
          <w:szCs w:val="24"/>
        </w:rPr>
        <w:t> </w:t>
      </w:r>
      <w:r>
        <w:rPr>
          <w:sz w:val="24"/>
          <w:szCs w:val="24"/>
        </w:rPr>
        <w:t>tis.</w:t>
      </w:r>
      <w:r w:rsidR="004C20D6">
        <w:rPr>
          <w:sz w:val="24"/>
          <w:szCs w:val="24"/>
        </w:rPr>
        <w:t> </w:t>
      </w:r>
      <w:r>
        <w:rPr>
          <w:sz w:val="24"/>
          <w:szCs w:val="24"/>
        </w:rPr>
        <w:t>eur),</w:t>
      </w:r>
      <w:r w:rsidRPr="007963CA">
        <w:rPr>
          <w:sz w:val="24"/>
          <w:szCs w:val="24"/>
        </w:rPr>
        <w:t xml:space="preserve"> </w:t>
      </w:r>
      <w:r>
        <w:rPr>
          <w:sz w:val="24"/>
          <w:szCs w:val="24"/>
        </w:rPr>
        <w:t>M</w:t>
      </w:r>
      <w:r w:rsidR="004C20D6">
        <w:rPr>
          <w:sz w:val="24"/>
          <w:szCs w:val="24"/>
        </w:rPr>
        <w:t>inisterstva dopravy SR (457 977 </w:t>
      </w:r>
      <w:r>
        <w:rPr>
          <w:sz w:val="24"/>
          <w:szCs w:val="24"/>
        </w:rPr>
        <w:t>tis.</w:t>
      </w:r>
      <w:r w:rsidR="004C20D6">
        <w:rPr>
          <w:sz w:val="24"/>
          <w:szCs w:val="24"/>
        </w:rPr>
        <w:t> </w:t>
      </w:r>
      <w:r>
        <w:rPr>
          <w:sz w:val="24"/>
          <w:szCs w:val="24"/>
        </w:rPr>
        <w:t>eur), Ministerstva investícií, regionálneho rozvoja a investícií SR (349</w:t>
      </w:r>
      <w:r w:rsidR="004C20D6">
        <w:rPr>
          <w:sz w:val="24"/>
          <w:szCs w:val="24"/>
        </w:rPr>
        <w:t> </w:t>
      </w:r>
      <w:r>
        <w:rPr>
          <w:sz w:val="24"/>
          <w:szCs w:val="24"/>
        </w:rPr>
        <w:t>201</w:t>
      </w:r>
      <w:r w:rsidR="004C20D6">
        <w:rPr>
          <w:sz w:val="24"/>
          <w:szCs w:val="24"/>
        </w:rPr>
        <w:t> </w:t>
      </w:r>
      <w:r>
        <w:rPr>
          <w:sz w:val="24"/>
          <w:szCs w:val="24"/>
        </w:rPr>
        <w:t>tis.</w:t>
      </w:r>
      <w:r w:rsidR="004C20D6">
        <w:rPr>
          <w:sz w:val="24"/>
          <w:szCs w:val="24"/>
        </w:rPr>
        <w:t> </w:t>
      </w:r>
      <w:r>
        <w:rPr>
          <w:sz w:val="24"/>
          <w:szCs w:val="24"/>
        </w:rPr>
        <w:t>eur), Ministerstva práce, sociálnych vecí a rodiny SR (361</w:t>
      </w:r>
      <w:r w:rsidR="004C20D6">
        <w:rPr>
          <w:sz w:val="24"/>
          <w:szCs w:val="24"/>
        </w:rPr>
        <w:t> </w:t>
      </w:r>
      <w:r>
        <w:rPr>
          <w:sz w:val="24"/>
          <w:szCs w:val="24"/>
        </w:rPr>
        <w:t>908</w:t>
      </w:r>
      <w:r w:rsidR="004C20D6">
        <w:rPr>
          <w:sz w:val="24"/>
          <w:szCs w:val="24"/>
        </w:rPr>
        <w:t> </w:t>
      </w:r>
      <w:r>
        <w:rPr>
          <w:sz w:val="24"/>
          <w:szCs w:val="24"/>
        </w:rPr>
        <w:t>tis.</w:t>
      </w:r>
      <w:r w:rsidR="004C20D6">
        <w:rPr>
          <w:sz w:val="24"/>
          <w:szCs w:val="24"/>
        </w:rPr>
        <w:t> </w:t>
      </w:r>
      <w:r>
        <w:rPr>
          <w:sz w:val="24"/>
          <w:szCs w:val="24"/>
        </w:rPr>
        <w:t>eur), Ministerstvo školstva, výskum</w:t>
      </w:r>
      <w:r w:rsidR="004C20D6">
        <w:rPr>
          <w:sz w:val="24"/>
          <w:szCs w:val="24"/>
        </w:rPr>
        <w:t>u, vývoja a mládeže SR (188 903 </w:t>
      </w:r>
      <w:r>
        <w:rPr>
          <w:sz w:val="24"/>
          <w:szCs w:val="24"/>
        </w:rPr>
        <w:t>tis.</w:t>
      </w:r>
      <w:r w:rsidR="004C20D6">
        <w:rPr>
          <w:sz w:val="24"/>
          <w:szCs w:val="24"/>
        </w:rPr>
        <w:t> </w:t>
      </w:r>
      <w:r>
        <w:rPr>
          <w:sz w:val="24"/>
          <w:szCs w:val="24"/>
        </w:rPr>
        <w:t>eur).</w:t>
      </w:r>
    </w:p>
    <w:p w14:paraId="038AC5F5" w14:textId="5719E987" w:rsidR="004D69BF" w:rsidRDefault="004D69BF" w:rsidP="004D69BF">
      <w:pPr>
        <w:spacing w:line="240" w:lineRule="auto"/>
        <w:rPr>
          <w:sz w:val="24"/>
          <w:szCs w:val="24"/>
        </w:rPr>
      </w:pPr>
      <w:r w:rsidRPr="008B6E81">
        <w:rPr>
          <w:bCs/>
          <w:sz w:val="24"/>
          <w:szCs w:val="24"/>
          <w:u w:val="single"/>
        </w:rPr>
        <w:t>Prostriedky z plánu obnovy a odolnosti</w:t>
      </w:r>
      <w:r w:rsidRPr="00DF419F">
        <w:rPr>
          <w:sz w:val="24"/>
          <w:szCs w:val="24"/>
        </w:rPr>
        <w:t xml:space="preserve"> </w:t>
      </w:r>
      <w:r>
        <w:rPr>
          <w:sz w:val="24"/>
          <w:szCs w:val="24"/>
        </w:rPr>
        <w:t>sa stávajú príjmami štátneho rozpočtu podľa §</w:t>
      </w:r>
      <w:r w:rsidR="004C20D6">
        <w:rPr>
          <w:sz w:val="24"/>
          <w:szCs w:val="24"/>
        </w:rPr>
        <w:t> </w:t>
      </w:r>
      <w:r>
        <w:rPr>
          <w:sz w:val="24"/>
          <w:szCs w:val="24"/>
        </w:rPr>
        <w:t>9 ods.</w:t>
      </w:r>
      <w:r w:rsidR="004C20D6">
        <w:rPr>
          <w:sz w:val="24"/>
          <w:szCs w:val="24"/>
        </w:rPr>
        <w:t> 3 zákona č. </w:t>
      </w:r>
      <w:r>
        <w:rPr>
          <w:sz w:val="24"/>
          <w:szCs w:val="24"/>
        </w:rPr>
        <w:t>368/2021</w:t>
      </w:r>
      <w:r w:rsidR="004C20D6">
        <w:rPr>
          <w:sz w:val="24"/>
          <w:szCs w:val="24"/>
        </w:rPr>
        <w:t> Z. </w:t>
      </w:r>
      <w:r>
        <w:rPr>
          <w:sz w:val="24"/>
          <w:szCs w:val="24"/>
        </w:rPr>
        <w:t>z. o mechanizme na podporu obnovy a odolnosti a o zmene a doplnení niektorých zákonov. Národná implementačná a</w:t>
      </w:r>
      <w:r w:rsidRPr="00A84845">
        <w:rPr>
          <w:sz w:val="24"/>
          <w:szCs w:val="24"/>
        </w:rPr>
        <w:t xml:space="preserve"> </w:t>
      </w:r>
      <w:r>
        <w:rPr>
          <w:sz w:val="24"/>
          <w:szCs w:val="24"/>
        </w:rPr>
        <w:t>k</w:t>
      </w:r>
      <w:r w:rsidR="004C20D6">
        <w:rPr>
          <w:sz w:val="24"/>
          <w:szCs w:val="24"/>
        </w:rPr>
        <w:t>oordinačná autorita prevádza po </w:t>
      </w:r>
      <w:r>
        <w:rPr>
          <w:sz w:val="24"/>
          <w:szCs w:val="24"/>
        </w:rPr>
        <w:t>dohode s Ministerstvom financií SR prostriedky POO do príjmov kapitoly Všeobecná pokladničná správa, ktoré zdrojovo zabezpečujú krytie výdavkov, r</w:t>
      </w:r>
      <w:r w:rsidR="004C20D6">
        <w:rPr>
          <w:sz w:val="24"/>
          <w:szCs w:val="24"/>
        </w:rPr>
        <w:t>ozpočtované v štátnom rozpočte.</w:t>
      </w:r>
    </w:p>
    <w:p w14:paraId="7DD9061E" w14:textId="675F2A46" w:rsidR="004D69BF" w:rsidRDefault="004D69BF" w:rsidP="004D69BF">
      <w:pPr>
        <w:spacing w:line="240" w:lineRule="auto"/>
        <w:rPr>
          <w:b/>
          <w:bCs/>
          <w:i/>
          <w:iCs/>
          <w:sz w:val="24"/>
          <w:szCs w:val="24"/>
        </w:rPr>
      </w:pPr>
      <w:r w:rsidRPr="00E6667D">
        <w:rPr>
          <w:b/>
          <w:bCs/>
          <w:i/>
          <w:iCs/>
          <w:sz w:val="24"/>
          <w:szCs w:val="24"/>
        </w:rPr>
        <w:t>Bližšie informácie o príjmoch z rozpočtu EÚ</w:t>
      </w:r>
      <w:r>
        <w:rPr>
          <w:b/>
          <w:bCs/>
          <w:i/>
          <w:iCs/>
          <w:sz w:val="24"/>
          <w:szCs w:val="24"/>
        </w:rPr>
        <w:t xml:space="preserve"> (vrátane POO a podľa jednotlivých programov)</w:t>
      </w:r>
      <w:r w:rsidRPr="00E6667D">
        <w:rPr>
          <w:b/>
          <w:bCs/>
          <w:i/>
          <w:iCs/>
          <w:sz w:val="24"/>
          <w:szCs w:val="24"/>
        </w:rPr>
        <w:t xml:space="preserve"> sú uvedené v samostatnej kapitole 3.4. Vzťahy štátneho rozpočtu k Európskej únii.</w:t>
      </w:r>
    </w:p>
    <w:p w14:paraId="48E5B73D" w14:textId="77777777" w:rsidR="00B27E03" w:rsidRDefault="00B27E03" w:rsidP="004D69BF">
      <w:pPr>
        <w:spacing w:line="240" w:lineRule="auto"/>
        <w:rPr>
          <w:b/>
          <w:bCs/>
          <w:i/>
          <w:iCs/>
          <w:sz w:val="24"/>
          <w:szCs w:val="24"/>
        </w:rPr>
      </w:pPr>
    </w:p>
    <w:p w14:paraId="7C083274" w14:textId="77777777" w:rsidR="0066704D" w:rsidRDefault="0066704D">
      <w:pPr>
        <w:spacing w:after="160" w:line="259" w:lineRule="auto"/>
        <w:jc w:val="left"/>
        <w:rPr>
          <w:rFonts w:eastAsiaTheme="majorEastAsia" w:cstheme="majorBidi"/>
          <w:b/>
          <w:sz w:val="24"/>
          <w:szCs w:val="26"/>
        </w:rPr>
      </w:pPr>
      <w:bookmarkStart w:id="111" w:name="_Toc6415645"/>
      <w:bookmarkStart w:id="112" w:name="_Toc196314136"/>
      <w:r>
        <w:br w:type="page"/>
      </w:r>
    </w:p>
    <w:p w14:paraId="09AF8BED" w14:textId="11C635BC" w:rsidR="004D69BF" w:rsidRPr="007D0A3A" w:rsidRDefault="004D69BF" w:rsidP="000F7ABA">
      <w:pPr>
        <w:pStyle w:val="Nadpis2"/>
        <w:spacing w:before="0"/>
        <w:ind w:left="567" w:hanging="567"/>
      </w:pPr>
      <w:r w:rsidRPr="007D0A3A">
        <w:lastRenderedPageBreak/>
        <w:t>Výdavky štátneho rozpočtu</w:t>
      </w:r>
      <w:bookmarkEnd w:id="111"/>
      <w:bookmarkEnd w:id="112"/>
    </w:p>
    <w:p w14:paraId="2E97B9CC" w14:textId="77777777" w:rsidR="004D69BF" w:rsidRPr="007D0A3A" w:rsidRDefault="004D69BF" w:rsidP="004D69BF">
      <w:pPr>
        <w:pStyle w:val="Nadpis4"/>
      </w:pPr>
      <w:bookmarkStart w:id="113" w:name="_Toc196314137"/>
      <w:r w:rsidRPr="007D0A3A">
        <w:t>Bežné výdavky</w:t>
      </w:r>
      <w:bookmarkEnd w:id="113"/>
    </w:p>
    <w:p w14:paraId="0DBF9184" w14:textId="77777777" w:rsidR="004D69BF" w:rsidRDefault="004D69BF" w:rsidP="004D69BF">
      <w:pPr>
        <w:spacing w:line="240" w:lineRule="auto"/>
        <w:rPr>
          <w:rFonts w:eastAsia="Calibri" w:cs="Times New Roman"/>
          <w:sz w:val="24"/>
          <w:szCs w:val="24"/>
        </w:rPr>
      </w:pPr>
      <w:r w:rsidRPr="00360BCD">
        <w:rPr>
          <w:rFonts w:eastAsia="Calibri" w:cs="Times New Roman"/>
          <w:sz w:val="24"/>
          <w:szCs w:val="24"/>
        </w:rPr>
        <w:t>Bežné výdavky boli rozpočtované v sume</w:t>
      </w:r>
      <w:r w:rsidRPr="00360BCD">
        <w:rPr>
          <w:rFonts w:eastAsia="Calibri" w:cs="Times New Roman"/>
          <w:color w:val="FF0000"/>
          <w:sz w:val="24"/>
          <w:szCs w:val="24"/>
        </w:rPr>
        <w:t xml:space="preserve"> </w:t>
      </w:r>
      <w:r w:rsidRPr="00E3577F">
        <w:rPr>
          <w:rFonts w:eastAsia="Calibri" w:cs="Times New Roman"/>
          <w:sz w:val="24"/>
          <w:szCs w:val="24"/>
        </w:rPr>
        <w:t>29 094 46</w:t>
      </w:r>
      <w:r>
        <w:rPr>
          <w:rFonts w:eastAsia="Calibri" w:cs="Times New Roman"/>
          <w:sz w:val="24"/>
          <w:szCs w:val="24"/>
        </w:rPr>
        <w:t>1</w:t>
      </w:r>
      <w:r w:rsidRPr="00E3577F">
        <w:rPr>
          <w:rFonts w:eastAsia="Calibri" w:cs="Times New Roman"/>
          <w:sz w:val="24"/>
          <w:szCs w:val="24"/>
        </w:rPr>
        <w:t> tis. eur a ich skutočné čerpanie predstavovalo sumu 26 649 8</w:t>
      </w:r>
      <w:r>
        <w:rPr>
          <w:rFonts w:eastAsia="Calibri" w:cs="Times New Roman"/>
          <w:sz w:val="24"/>
          <w:szCs w:val="24"/>
        </w:rPr>
        <w:t>28</w:t>
      </w:r>
      <w:r w:rsidRPr="00E3577F">
        <w:rPr>
          <w:rFonts w:eastAsia="Calibri" w:cs="Times New Roman"/>
          <w:sz w:val="24"/>
          <w:szCs w:val="24"/>
        </w:rPr>
        <w:t> tis. eur. Rozdiel skutočnosti oproti schválenému rozpočtu znamenalo nižšie čerpanie o 2 444 </w:t>
      </w:r>
      <w:r>
        <w:rPr>
          <w:rFonts w:eastAsia="Calibri" w:cs="Times New Roman"/>
          <w:sz w:val="24"/>
          <w:szCs w:val="24"/>
        </w:rPr>
        <w:t>634</w:t>
      </w:r>
      <w:r w:rsidRPr="00E3577F">
        <w:rPr>
          <w:rFonts w:eastAsia="Calibri" w:cs="Times New Roman"/>
          <w:sz w:val="24"/>
          <w:szCs w:val="24"/>
        </w:rPr>
        <w:t> tis. eur</w:t>
      </w:r>
      <w:r>
        <w:rPr>
          <w:rFonts w:eastAsia="Calibri" w:cs="Times New Roman"/>
          <w:sz w:val="24"/>
          <w:szCs w:val="24"/>
        </w:rPr>
        <w:t>.</w:t>
      </w:r>
    </w:p>
    <w:p w14:paraId="093E3698" w14:textId="77777777" w:rsidR="004D69BF" w:rsidRDefault="004D69BF" w:rsidP="004D69BF">
      <w:pPr>
        <w:spacing w:line="240" w:lineRule="auto"/>
        <w:rPr>
          <w:rFonts w:eastAsia="Calibri" w:cs="Times New Roman"/>
          <w:sz w:val="24"/>
          <w:szCs w:val="24"/>
        </w:rPr>
      </w:pPr>
      <w:r w:rsidRPr="00E3577F">
        <w:rPr>
          <w:rFonts w:eastAsia="Calibri" w:cs="Times New Roman"/>
          <w:sz w:val="24"/>
          <w:szCs w:val="24"/>
        </w:rPr>
        <w:t>Prehľad bežných výdavkov v štruktúre ekonomickej klasifikácie je uvedený v nasledovnej tabuľke:</w:t>
      </w:r>
    </w:p>
    <w:p w14:paraId="03135EFB" w14:textId="4595E7B8" w:rsidR="00D45EDB" w:rsidRPr="00D45EDB" w:rsidRDefault="00D45EDB" w:rsidP="004E774D">
      <w:pPr>
        <w:pStyle w:val="Popis"/>
        <w:keepNext/>
        <w:spacing w:after="120"/>
        <w:rPr>
          <w:rFonts w:eastAsia="Times New Roman" w:cs="Times New Roman"/>
          <w:b/>
          <w:bCs/>
          <w:i w:val="0"/>
          <w:iCs w:val="0"/>
          <w:color w:val="5B9BD5"/>
          <w:sz w:val="20"/>
          <w:szCs w:val="20"/>
          <w:lang w:eastAsia="sk-SK"/>
        </w:rPr>
      </w:pPr>
      <w:bookmarkStart w:id="114" w:name="_Toc196313656"/>
      <w:bookmarkStart w:id="115" w:name="_Toc196389277"/>
      <w:r w:rsidRPr="00D45EDB">
        <w:rPr>
          <w:rFonts w:eastAsia="Times New Roman" w:cs="Times New Roman"/>
          <w:b/>
          <w:bCs/>
          <w:i w:val="0"/>
          <w:iCs w:val="0"/>
          <w:color w:val="5B9BD5"/>
          <w:sz w:val="20"/>
          <w:szCs w:val="20"/>
          <w:lang w:eastAsia="sk-SK"/>
        </w:rPr>
        <w:t xml:space="preserve">Tabuľka </w:t>
      </w:r>
      <w:r w:rsidRPr="00D45EDB">
        <w:rPr>
          <w:rFonts w:eastAsia="Times New Roman" w:cs="Times New Roman"/>
          <w:b/>
          <w:bCs/>
          <w:i w:val="0"/>
          <w:iCs w:val="0"/>
          <w:color w:val="5B9BD5"/>
          <w:sz w:val="20"/>
          <w:szCs w:val="20"/>
          <w:lang w:eastAsia="sk-SK"/>
        </w:rPr>
        <w:fldChar w:fldCharType="begin"/>
      </w:r>
      <w:r w:rsidRPr="00D45EDB">
        <w:rPr>
          <w:rFonts w:eastAsia="Times New Roman" w:cs="Times New Roman"/>
          <w:b/>
          <w:bCs/>
          <w:i w:val="0"/>
          <w:iCs w:val="0"/>
          <w:color w:val="5B9BD5"/>
          <w:sz w:val="20"/>
          <w:szCs w:val="20"/>
          <w:lang w:eastAsia="sk-SK"/>
        </w:rPr>
        <w:instrText xml:space="preserve"> SEQ Tabuľka \* ARABIC </w:instrText>
      </w:r>
      <w:r w:rsidRPr="00D45EDB">
        <w:rPr>
          <w:rFonts w:eastAsia="Times New Roman" w:cs="Times New Roman"/>
          <w:b/>
          <w:bCs/>
          <w:i w:val="0"/>
          <w:iCs w:val="0"/>
          <w:color w:val="5B9BD5"/>
          <w:sz w:val="20"/>
          <w:szCs w:val="20"/>
          <w:lang w:eastAsia="sk-SK"/>
        </w:rPr>
        <w:fldChar w:fldCharType="separate"/>
      </w:r>
      <w:r w:rsidR="00C64CBA">
        <w:rPr>
          <w:rFonts w:eastAsia="Times New Roman" w:cs="Times New Roman"/>
          <w:b/>
          <w:bCs/>
          <w:i w:val="0"/>
          <w:iCs w:val="0"/>
          <w:noProof/>
          <w:color w:val="5B9BD5"/>
          <w:sz w:val="20"/>
          <w:szCs w:val="20"/>
          <w:lang w:eastAsia="sk-SK"/>
        </w:rPr>
        <w:t>30</w:t>
      </w:r>
      <w:r w:rsidRPr="00D45EDB">
        <w:rPr>
          <w:rFonts w:eastAsia="Times New Roman" w:cs="Times New Roman"/>
          <w:b/>
          <w:bCs/>
          <w:i w:val="0"/>
          <w:iCs w:val="0"/>
          <w:color w:val="5B9BD5"/>
          <w:sz w:val="20"/>
          <w:szCs w:val="20"/>
          <w:lang w:eastAsia="sk-SK"/>
        </w:rPr>
        <w:fldChar w:fldCharType="end"/>
      </w:r>
      <w:r w:rsidRPr="00D45EDB">
        <w:rPr>
          <w:rFonts w:eastAsia="Times New Roman" w:cs="Times New Roman"/>
          <w:b/>
          <w:bCs/>
          <w:i w:val="0"/>
          <w:iCs w:val="0"/>
          <w:color w:val="5B9BD5"/>
          <w:sz w:val="20"/>
          <w:szCs w:val="20"/>
          <w:lang w:eastAsia="sk-SK"/>
        </w:rPr>
        <w:t xml:space="preserve"> - Bežné výdavky </w:t>
      </w:r>
      <w:bookmarkEnd w:id="114"/>
      <w:r w:rsidR="00685F68">
        <w:rPr>
          <w:rFonts w:eastAsia="Times New Roman" w:cs="Times New Roman"/>
          <w:b/>
          <w:bCs/>
          <w:i w:val="0"/>
          <w:iCs w:val="0"/>
          <w:color w:val="5B9BD5"/>
          <w:sz w:val="20"/>
          <w:szCs w:val="20"/>
          <w:lang w:eastAsia="sk-SK"/>
        </w:rPr>
        <w:t>štátneho rozpočtu</w:t>
      </w:r>
      <w:bookmarkEnd w:id="115"/>
    </w:p>
    <w:tbl>
      <w:tblPr>
        <w:tblW w:w="5000" w:type="pct"/>
        <w:tblCellMar>
          <w:left w:w="70" w:type="dxa"/>
          <w:right w:w="70" w:type="dxa"/>
        </w:tblCellMar>
        <w:tblLook w:val="04A0" w:firstRow="1" w:lastRow="0" w:firstColumn="1" w:lastColumn="0" w:noHBand="0" w:noVBand="1"/>
      </w:tblPr>
      <w:tblGrid>
        <w:gridCol w:w="4210"/>
        <w:gridCol w:w="950"/>
        <w:gridCol w:w="950"/>
        <w:gridCol w:w="950"/>
        <w:gridCol w:w="950"/>
        <w:gridCol w:w="920"/>
      </w:tblGrid>
      <w:tr w:rsidR="004D69BF" w:rsidRPr="00D0395E" w14:paraId="7C862C04" w14:textId="77777777" w:rsidTr="00963B72">
        <w:trPr>
          <w:trHeight w:val="330"/>
          <w:tblHeader/>
        </w:trPr>
        <w:tc>
          <w:tcPr>
            <w:tcW w:w="2399" w:type="pct"/>
            <w:vMerge w:val="restart"/>
            <w:tcBorders>
              <w:top w:val="single" w:sz="4" w:space="0" w:color="auto"/>
              <w:left w:val="nil"/>
              <w:bottom w:val="single" w:sz="8" w:space="0" w:color="000000"/>
              <w:right w:val="nil"/>
            </w:tcBorders>
            <w:shd w:val="clear" w:color="auto" w:fill="auto"/>
            <w:vAlign w:val="center"/>
            <w:hideMark/>
          </w:tcPr>
          <w:p w14:paraId="7DFB2C11" w14:textId="77777777" w:rsidR="004D69BF" w:rsidRPr="00D0395E" w:rsidRDefault="004D69BF" w:rsidP="000240DA">
            <w:pPr>
              <w:spacing w:after="0"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v tis. eur</w:t>
            </w:r>
          </w:p>
        </w:tc>
        <w:tc>
          <w:tcPr>
            <w:tcW w:w="524" w:type="pct"/>
            <w:tcBorders>
              <w:top w:val="single" w:sz="4" w:space="0" w:color="auto"/>
              <w:left w:val="nil"/>
              <w:bottom w:val="nil"/>
              <w:right w:val="nil"/>
            </w:tcBorders>
            <w:shd w:val="clear" w:color="auto" w:fill="auto"/>
            <w:noWrap/>
            <w:vAlign w:val="center"/>
            <w:hideMark/>
          </w:tcPr>
          <w:p w14:paraId="27D6933F"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2022 S</w:t>
            </w:r>
          </w:p>
        </w:tc>
        <w:tc>
          <w:tcPr>
            <w:tcW w:w="524" w:type="pct"/>
            <w:tcBorders>
              <w:top w:val="single" w:sz="4" w:space="0" w:color="auto"/>
              <w:left w:val="nil"/>
              <w:bottom w:val="nil"/>
              <w:right w:val="nil"/>
            </w:tcBorders>
            <w:shd w:val="clear" w:color="auto" w:fill="auto"/>
            <w:noWrap/>
            <w:vAlign w:val="center"/>
            <w:hideMark/>
          </w:tcPr>
          <w:p w14:paraId="6DDB9028"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2023 S</w:t>
            </w:r>
          </w:p>
        </w:tc>
        <w:tc>
          <w:tcPr>
            <w:tcW w:w="524" w:type="pct"/>
            <w:tcBorders>
              <w:top w:val="single" w:sz="4" w:space="0" w:color="auto"/>
              <w:left w:val="nil"/>
              <w:bottom w:val="nil"/>
              <w:right w:val="nil"/>
            </w:tcBorders>
            <w:shd w:val="clear" w:color="auto" w:fill="auto"/>
            <w:noWrap/>
            <w:vAlign w:val="center"/>
            <w:hideMark/>
          </w:tcPr>
          <w:p w14:paraId="1B36382F"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2024 R</w:t>
            </w:r>
          </w:p>
        </w:tc>
        <w:tc>
          <w:tcPr>
            <w:tcW w:w="524" w:type="pct"/>
            <w:tcBorders>
              <w:top w:val="single" w:sz="4" w:space="0" w:color="auto"/>
              <w:left w:val="nil"/>
              <w:bottom w:val="nil"/>
              <w:right w:val="nil"/>
            </w:tcBorders>
            <w:shd w:val="clear" w:color="auto" w:fill="auto"/>
            <w:noWrap/>
            <w:vAlign w:val="center"/>
            <w:hideMark/>
          </w:tcPr>
          <w:p w14:paraId="0A161B0D"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2024 S</w:t>
            </w:r>
          </w:p>
        </w:tc>
        <w:tc>
          <w:tcPr>
            <w:tcW w:w="505" w:type="pct"/>
            <w:tcBorders>
              <w:top w:val="single" w:sz="4" w:space="0" w:color="auto"/>
              <w:left w:val="nil"/>
              <w:bottom w:val="nil"/>
              <w:right w:val="nil"/>
            </w:tcBorders>
            <w:shd w:val="clear" w:color="auto" w:fill="auto"/>
            <w:noWrap/>
            <w:vAlign w:val="center"/>
            <w:hideMark/>
          </w:tcPr>
          <w:p w14:paraId="0D186923"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Rozdiel</w:t>
            </w:r>
          </w:p>
        </w:tc>
      </w:tr>
      <w:tr w:rsidR="004D69BF" w:rsidRPr="00D0395E" w14:paraId="669DFC1F" w14:textId="77777777" w:rsidTr="00685F68">
        <w:trPr>
          <w:trHeight w:val="85"/>
          <w:tblHeader/>
        </w:trPr>
        <w:tc>
          <w:tcPr>
            <w:tcW w:w="2399" w:type="pct"/>
            <w:vMerge/>
            <w:tcBorders>
              <w:top w:val="nil"/>
              <w:left w:val="nil"/>
              <w:bottom w:val="single" w:sz="4" w:space="0" w:color="auto"/>
              <w:right w:val="nil"/>
            </w:tcBorders>
            <w:vAlign w:val="center"/>
            <w:hideMark/>
          </w:tcPr>
          <w:p w14:paraId="4253A085" w14:textId="77777777" w:rsidR="004D69BF" w:rsidRPr="00D0395E" w:rsidRDefault="004D69BF" w:rsidP="000240DA">
            <w:pPr>
              <w:spacing w:after="0" w:line="240" w:lineRule="auto"/>
              <w:jc w:val="left"/>
              <w:rPr>
                <w:rFonts w:eastAsia="Times New Roman" w:cs="Times New Roman"/>
                <w:b/>
                <w:bCs/>
                <w:color w:val="000000"/>
                <w:sz w:val="18"/>
                <w:szCs w:val="18"/>
                <w:lang w:eastAsia="sk-SK"/>
              </w:rPr>
            </w:pPr>
          </w:p>
        </w:tc>
        <w:tc>
          <w:tcPr>
            <w:tcW w:w="524" w:type="pct"/>
            <w:tcBorders>
              <w:top w:val="nil"/>
              <w:left w:val="nil"/>
              <w:bottom w:val="single" w:sz="4" w:space="0" w:color="auto"/>
              <w:right w:val="nil"/>
            </w:tcBorders>
            <w:shd w:val="clear" w:color="auto" w:fill="auto"/>
            <w:noWrap/>
            <w:vAlign w:val="center"/>
            <w:hideMark/>
          </w:tcPr>
          <w:p w14:paraId="1D41ECF4"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w:t>
            </w:r>
          </w:p>
        </w:tc>
        <w:tc>
          <w:tcPr>
            <w:tcW w:w="524" w:type="pct"/>
            <w:tcBorders>
              <w:top w:val="nil"/>
              <w:left w:val="nil"/>
              <w:bottom w:val="single" w:sz="4" w:space="0" w:color="auto"/>
              <w:right w:val="nil"/>
            </w:tcBorders>
            <w:shd w:val="clear" w:color="auto" w:fill="auto"/>
            <w:noWrap/>
            <w:vAlign w:val="center"/>
            <w:hideMark/>
          </w:tcPr>
          <w:p w14:paraId="052C0FEE"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w:t>
            </w:r>
          </w:p>
        </w:tc>
        <w:tc>
          <w:tcPr>
            <w:tcW w:w="524" w:type="pct"/>
            <w:tcBorders>
              <w:top w:val="nil"/>
              <w:left w:val="nil"/>
              <w:bottom w:val="single" w:sz="4" w:space="0" w:color="auto"/>
              <w:right w:val="nil"/>
            </w:tcBorders>
            <w:shd w:val="clear" w:color="auto" w:fill="auto"/>
            <w:noWrap/>
            <w:vAlign w:val="center"/>
            <w:hideMark/>
          </w:tcPr>
          <w:p w14:paraId="066BD549"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w:t>
            </w:r>
          </w:p>
        </w:tc>
        <w:tc>
          <w:tcPr>
            <w:tcW w:w="524" w:type="pct"/>
            <w:tcBorders>
              <w:top w:val="nil"/>
              <w:left w:val="nil"/>
              <w:bottom w:val="single" w:sz="4" w:space="0" w:color="auto"/>
              <w:right w:val="nil"/>
            </w:tcBorders>
            <w:shd w:val="clear" w:color="auto" w:fill="auto"/>
            <w:noWrap/>
            <w:vAlign w:val="center"/>
            <w:hideMark/>
          </w:tcPr>
          <w:p w14:paraId="71E2115B"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4</w:t>
            </w:r>
          </w:p>
        </w:tc>
        <w:tc>
          <w:tcPr>
            <w:tcW w:w="505" w:type="pct"/>
            <w:tcBorders>
              <w:top w:val="nil"/>
              <w:left w:val="nil"/>
              <w:bottom w:val="single" w:sz="4" w:space="0" w:color="auto"/>
              <w:right w:val="nil"/>
            </w:tcBorders>
            <w:shd w:val="clear" w:color="auto" w:fill="auto"/>
            <w:noWrap/>
            <w:vAlign w:val="center"/>
            <w:hideMark/>
          </w:tcPr>
          <w:p w14:paraId="08C0C6F9"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5=4-3</w:t>
            </w:r>
          </w:p>
        </w:tc>
      </w:tr>
      <w:tr w:rsidR="004D69BF" w:rsidRPr="00D0395E" w14:paraId="2161A4A1" w14:textId="77777777" w:rsidTr="00963B72">
        <w:trPr>
          <w:trHeight w:val="330"/>
        </w:trPr>
        <w:tc>
          <w:tcPr>
            <w:tcW w:w="2399" w:type="pct"/>
            <w:tcBorders>
              <w:top w:val="single" w:sz="4" w:space="0" w:color="auto"/>
              <w:left w:val="nil"/>
              <w:bottom w:val="nil"/>
              <w:right w:val="nil"/>
            </w:tcBorders>
            <w:shd w:val="clear" w:color="auto" w:fill="auto"/>
            <w:vAlign w:val="center"/>
            <w:hideMark/>
          </w:tcPr>
          <w:p w14:paraId="55DE1DE8"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Mzdy, platy, služobné príjmy a ostatné osobné vyrovnania</w:t>
            </w:r>
          </w:p>
        </w:tc>
        <w:tc>
          <w:tcPr>
            <w:tcW w:w="524" w:type="pct"/>
            <w:tcBorders>
              <w:top w:val="single" w:sz="4" w:space="0" w:color="auto"/>
              <w:left w:val="nil"/>
              <w:bottom w:val="nil"/>
              <w:right w:val="nil"/>
            </w:tcBorders>
            <w:shd w:val="clear" w:color="auto" w:fill="auto"/>
            <w:noWrap/>
            <w:vAlign w:val="center"/>
            <w:hideMark/>
          </w:tcPr>
          <w:p w14:paraId="452E35A8"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2 701 444</w:t>
            </w:r>
          </w:p>
        </w:tc>
        <w:tc>
          <w:tcPr>
            <w:tcW w:w="524" w:type="pct"/>
            <w:tcBorders>
              <w:top w:val="single" w:sz="4" w:space="0" w:color="auto"/>
              <w:left w:val="nil"/>
              <w:bottom w:val="nil"/>
              <w:right w:val="nil"/>
            </w:tcBorders>
            <w:shd w:val="clear" w:color="auto" w:fill="auto"/>
            <w:noWrap/>
            <w:vAlign w:val="center"/>
            <w:hideMark/>
          </w:tcPr>
          <w:p w14:paraId="18CD48D9"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3 019 434</w:t>
            </w:r>
          </w:p>
        </w:tc>
        <w:tc>
          <w:tcPr>
            <w:tcW w:w="524" w:type="pct"/>
            <w:tcBorders>
              <w:top w:val="single" w:sz="4" w:space="0" w:color="auto"/>
              <w:left w:val="nil"/>
              <w:bottom w:val="nil"/>
              <w:right w:val="nil"/>
            </w:tcBorders>
            <w:shd w:val="clear" w:color="auto" w:fill="auto"/>
            <w:noWrap/>
            <w:vAlign w:val="center"/>
            <w:hideMark/>
          </w:tcPr>
          <w:p w14:paraId="16706601"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3 135 966</w:t>
            </w:r>
          </w:p>
        </w:tc>
        <w:tc>
          <w:tcPr>
            <w:tcW w:w="524" w:type="pct"/>
            <w:tcBorders>
              <w:top w:val="single" w:sz="4" w:space="0" w:color="auto"/>
              <w:left w:val="nil"/>
              <w:bottom w:val="nil"/>
              <w:right w:val="nil"/>
            </w:tcBorders>
            <w:shd w:val="clear" w:color="auto" w:fill="auto"/>
            <w:noWrap/>
            <w:vAlign w:val="center"/>
            <w:hideMark/>
          </w:tcPr>
          <w:p w14:paraId="7105FE8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3 239 873</w:t>
            </w:r>
          </w:p>
        </w:tc>
        <w:tc>
          <w:tcPr>
            <w:tcW w:w="505" w:type="pct"/>
            <w:tcBorders>
              <w:top w:val="single" w:sz="4" w:space="0" w:color="auto"/>
              <w:left w:val="nil"/>
              <w:bottom w:val="nil"/>
              <w:right w:val="nil"/>
            </w:tcBorders>
            <w:shd w:val="clear" w:color="auto" w:fill="auto"/>
            <w:noWrap/>
            <w:vAlign w:val="center"/>
            <w:hideMark/>
          </w:tcPr>
          <w:p w14:paraId="0E02ED98"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103 907</w:t>
            </w:r>
          </w:p>
        </w:tc>
      </w:tr>
      <w:tr w:rsidR="004D69BF" w:rsidRPr="00D0395E" w14:paraId="525BE1B4" w14:textId="77777777" w:rsidTr="00963B72">
        <w:trPr>
          <w:trHeight w:val="330"/>
        </w:trPr>
        <w:tc>
          <w:tcPr>
            <w:tcW w:w="2399" w:type="pct"/>
            <w:tcBorders>
              <w:top w:val="nil"/>
              <w:left w:val="nil"/>
              <w:bottom w:val="nil"/>
              <w:right w:val="nil"/>
            </w:tcBorders>
            <w:shd w:val="clear" w:color="auto" w:fill="auto"/>
            <w:vAlign w:val="center"/>
            <w:hideMark/>
          </w:tcPr>
          <w:p w14:paraId="39F5881C"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Poistné a príspevok do poisťovní</w:t>
            </w:r>
          </w:p>
        </w:tc>
        <w:tc>
          <w:tcPr>
            <w:tcW w:w="524" w:type="pct"/>
            <w:tcBorders>
              <w:top w:val="nil"/>
              <w:left w:val="nil"/>
              <w:bottom w:val="nil"/>
              <w:right w:val="nil"/>
            </w:tcBorders>
            <w:shd w:val="clear" w:color="auto" w:fill="auto"/>
            <w:noWrap/>
            <w:vAlign w:val="center"/>
            <w:hideMark/>
          </w:tcPr>
          <w:p w14:paraId="1B7368ED"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982 394</w:t>
            </w:r>
          </w:p>
        </w:tc>
        <w:tc>
          <w:tcPr>
            <w:tcW w:w="524" w:type="pct"/>
            <w:tcBorders>
              <w:top w:val="nil"/>
              <w:left w:val="nil"/>
              <w:bottom w:val="nil"/>
              <w:right w:val="nil"/>
            </w:tcBorders>
            <w:shd w:val="clear" w:color="auto" w:fill="auto"/>
            <w:noWrap/>
            <w:vAlign w:val="center"/>
            <w:hideMark/>
          </w:tcPr>
          <w:p w14:paraId="358CFBE7"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1 093 590</w:t>
            </w:r>
          </w:p>
        </w:tc>
        <w:tc>
          <w:tcPr>
            <w:tcW w:w="524" w:type="pct"/>
            <w:tcBorders>
              <w:top w:val="nil"/>
              <w:left w:val="nil"/>
              <w:bottom w:val="nil"/>
              <w:right w:val="nil"/>
            </w:tcBorders>
            <w:shd w:val="clear" w:color="auto" w:fill="auto"/>
            <w:noWrap/>
            <w:vAlign w:val="center"/>
            <w:hideMark/>
          </w:tcPr>
          <w:p w14:paraId="7CA8A268"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1 170 281</w:t>
            </w:r>
          </w:p>
        </w:tc>
        <w:tc>
          <w:tcPr>
            <w:tcW w:w="524" w:type="pct"/>
            <w:tcBorders>
              <w:top w:val="nil"/>
              <w:left w:val="nil"/>
              <w:bottom w:val="nil"/>
              <w:right w:val="nil"/>
            </w:tcBorders>
            <w:shd w:val="clear" w:color="auto" w:fill="auto"/>
            <w:noWrap/>
            <w:vAlign w:val="center"/>
            <w:hideMark/>
          </w:tcPr>
          <w:p w14:paraId="6C6B79A6"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1 204 808</w:t>
            </w:r>
          </w:p>
        </w:tc>
        <w:tc>
          <w:tcPr>
            <w:tcW w:w="505" w:type="pct"/>
            <w:tcBorders>
              <w:top w:val="nil"/>
              <w:left w:val="nil"/>
              <w:bottom w:val="nil"/>
              <w:right w:val="nil"/>
            </w:tcBorders>
            <w:shd w:val="clear" w:color="auto" w:fill="auto"/>
            <w:noWrap/>
            <w:vAlign w:val="center"/>
            <w:hideMark/>
          </w:tcPr>
          <w:p w14:paraId="7226B788"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34 527</w:t>
            </w:r>
          </w:p>
        </w:tc>
      </w:tr>
      <w:tr w:rsidR="004D69BF" w:rsidRPr="00D0395E" w14:paraId="29CC1921" w14:textId="77777777" w:rsidTr="00963B72">
        <w:trPr>
          <w:trHeight w:val="330"/>
        </w:trPr>
        <w:tc>
          <w:tcPr>
            <w:tcW w:w="2399" w:type="pct"/>
            <w:tcBorders>
              <w:top w:val="nil"/>
              <w:left w:val="nil"/>
              <w:bottom w:val="nil"/>
              <w:right w:val="nil"/>
            </w:tcBorders>
            <w:shd w:val="clear" w:color="auto" w:fill="auto"/>
            <w:vAlign w:val="center"/>
            <w:hideMark/>
          </w:tcPr>
          <w:p w14:paraId="29EE95A0"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Tovary a služby</w:t>
            </w:r>
          </w:p>
        </w:tc>
        <w:tc>
          <w:tcPr>
            <w:tcW w:w="524" w:type="pct"/>
            <w:tcBorders>
              <w:top w:val="nil"/>
              <w:left w:val="nil"/>
              <w:bottom w:val="nil"/>
              <w:right w:val="nil"/>
            </w:tcBorders>
            <w:shd w:val="clear" w:color="auto" w:fill="auto"/>
            <w:noWrap/>
            <w:vAlign w:val="center"/>
            <w:hideMark/>
          </w:tcPr>
          <w:p w14:paraId="40EEEFCB"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2 340 655</w:t>
            </w:r>
          </w:p>
        </w:tc>
        <w:tc>
          <w:tcPr>
            <w:tcW w:w="524" w:type="pct"/>
            <w:tcBorders>
              <w:top w:val="nil"/>
              <w:left w:val="nil"/>
              <w:bottom w:val="nil"/>
              <w:right w:val="nil"/>
            </w:tcBorders>
            <w:shd w:val="clear" w:color="auto" w:fill="auto"/>
            <w:noWrap/>
            <w:vAlign w:val="center"/>
            <w:hideMark/>
          </w:tcPr>
          <w:p w14:paraId="29722254"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2 490 382</w:t>
            </w:r>
          </w:p>
        </w:tc>
        <w:tc>
          <w:tcPr>
            <w:tcW w:w="524" w:type="pct"/>
            <w:tcBorders>
              <w:top w:val="nil"/>
              <w:left w:val="nil"/>
              <w:bottom w:val="nil"/>
              <w:right w:val="nil"/>
            </w:tcBorders>
            <w:shd w:val="clear" w:color="auto" w:fill="auto"/>
            <w:noWrap/>
            <w:vAlign w:val="center"/>
            <w:hideMark/>
          </w:tcPr>
          <w:p w14:paraId="1A9BB35B"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3 362 206</w:t>
            </w:r>
          </w:p>
        </w:tc>
        <w:tc>
          <w:tcPr>
            <w:tcW w:w="524" w:type="pct"/>
            <w:tcBorders>
              <w:top w:val="nil"/>
              <w:left w:val="nil"/>
              <w:bottom w:val="nil"/>
              <w:right w:val="nil"/>
            </w:tcBorders>
            <w:shd w:val="clear" w:color="auto" w:fill="auto"/>
            <w:noWrap/>
            <w:vAlign w:val="center"/>
            <w:hideMark/>
          </w:tcPr>
          <w:p w14:paraId="623C5E6F"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2 490 200</w:t>
            </w:r>
          </w:p>
        </w:tc>
        <w:tc>
          <w:tcPr>
            <w:tcW w:w="505" w:type="pct"/>
            <w:tcBorders>
              <w:top w:val="nil"/>
              <w:left w:val="nil"/>
              <w:bottom w:val="nil"/>
              <w:right w:val="nil"/>
            </w:tcBorders>
            <w:shd w:val="clear" w:color="auto" w:fill="auto"/>
            <w:noWrap/>
            <w:vAlign w:val="center"/>
            <w:hideMark/>
          </w:tcPr>
          <w:p w14:paraId="40FFA0E4"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-872 006</w:t>
            </w:r>
          </w:p>
        </w:tc>
      </w:tr>
      <w:tr w:rsidR="004D69BF" w:rsidRPr="00D0395E" w14:paraId="5811EE46" w14:textId="77777777" w:rsidTr="00963B72">
        <w:trPr>
          <w:trHeight w:val="330"/>
        </w:trPr>
        <w:tc>
          <w:tcPr>
            <w:tcW w:w="2399" w:type="pct"/>
            <w:tcBorders>
              <w:top w:val="nil"/>
              <w:left w:val="nil"/>
              <w:bottom w:val="nil"/>
              <w:right w:val="nil"/>
            </w:tcBorders>
            <w:shd w:val="clear" w:color="auto" w:fill="auto"/>
            <w:vAlign w:val="center"/>
            <w:hideMark/>
          </w:tcPr>
          <w:p w14:paraId="15ECD9B6"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v tom</w:t>
            </w:r>
          </w:p>
        </w:tc>
        <w:tc>
          <w:tcPr>
            <w:tcW w:w="524" w:type="pct"/>
            <w:tcBorders>
              <w:top w:val="nil"/>
              <w:left w:val="nil"/>
              <w:bottom w:val="nil"/>
              <w:right w:val="nil"/>
            </w:tcBorders>
            <w:shd w:val="clear" w:color="auto" w:fill="auto"/>
            <w:noWrap/>
            <w:vAlign w:val="center"/>
            <w:hideMark/>
          </w:tcPr>
          <w:p w14:paraId="3A68E2F9" w14:textId="77777777" w:rsidR="004D69BF" w:rsidRPr="00D0395E" w:rsidRDefault="004D69BF" w:rsidP="000240DA">
            <w:pPr>
              <w:spacing w:after="0" w:line="240" w:lineRule="auto"/>
              <w:rPr>
                <w:rFonts w:eastAsia="Times New Roman" w:cs="Times New Roman"/>
                <w:color w:val="000000"/>
                <w:sz w:val="18"/>
                <w:szCs w:val="18"/>
                <w:lang w:eastAsia="sk-SK"/>
              </w:rPr>
            </w:pPr>
          </w:p>
        </w:tc>
        <w:tc>
          <w:tcPr>
            <w:tcW w:w="524" w:type="pct"/>
            <w:tcBorders>
              <w:top w:val="nil"/>
              <w:left w:val="nil"/>
              <w:bottom w:val="nil"/>
              <w:right w:val="nil"/>
            </w:tcBorders>
            <w:shd w:val="clear" w:color="auto" w:fill="auto"/>
            <w:noWrap/>
            <w:vAlign w:val="center"/>
            <w:hideMark/>
          </w:tcPr>
          <w:p w14:paraId="64D84BB6" w14:textId="77777777" w:rsidR="004D69BF" w:rsidRPr="00D0395E" w:rsidRDefault="004D69BF" w:rsidP="000240DA">
            <w:pPr>
              <w:spacing w:after="0" w:line="240" w:lineRule="auto"/>
              <w:jc w:val="right"/>
              <w:rPr>
                <w:rFonts w:eastAsia="Times New Roman" w:cs="Times New Roman"/>
                <w:sz w:val="18"/>
                <w:szCs w:val="18"/>
                <w:lang w:eastAsia="sk-SK"/>
              </w:rPr>
            </w:pPr>
          </w:p>
        </w:tc>
        <w:tc>
          <w:tcPr>
            <w:tcW w:w="524" w:type="pct"/>
            <w:tcBorders>
              <w:top w:val="nil"/>
              <w:left w:val="nil"/>
              <w:bottom w:val="nil"/>
              <w:right w:val="nil"/>
            </w:tcBorders>
            <w:shd w:val="clear" w:color="auto" w:fill="auto"/>
            <w:noWrap/>
            <w:vAlign w:val="center"/>
            <w:hideMark/>
          </w:tcPr>
          <w:p w14:paraId="58DD7C7A" w14:textId="77777777" w:rsidR="004D69BF" w:rsidRPr="00D0395E" w:rsidRDefault="004D69BF" w:rsidP="000240DA">
            <w:pPr>
              <w:spacing w:after="0" w:line="240" w:lineRule="auto"/>
              <w:jc w:val="right"/>
              <w:rPr>
                <w:rFonts w:eastAsia="Times New Roman" w:cs="Times New Roman"/>
                <w:sz w:val="18"/>
                <w:szCs w:val="18"/>
                <w:lang w:eastAsia="sk-SK"/>
              </w:rPr>
            </w:pPr>
          </w:p>
        </w:tc>
        <w:tc>
          <w:tcPr>
            <w:tcW w:w="524" w:type="pct"/>
            <w:tcBorders>
              <w:top w:val="nil"/>
              <w:left w:val="nil"/>
              <w:bottom w:val="nil"/>
              <w:right w:val="nil"/>
            </w:tcBorders>
            <w:shd w:val="clear" w:color="auto" w:fill="auto"/>
            <w:noWrap/>
            <w:vAlign w:val="center"/>
            <w:hideMark/>
          </w:tcPr>
          <w:p w14:paraId="43FD3BB9" w14:textId="77777777" w:rsidR="004D69BF" w:rsidRPr="00D0395E" w:rsidRDefault="004D69BF" w:rsidP="000240DA">
            <w:pPr>
              <w:spacing w:after="0" w:line="240" w:lineRule="auto"/>
              <w:jc w:val="right"/>
              <w:rPr>
                <w:rFonts w:eastAsia="Times New Roman" w:cs="Times New Roman"/>
                <w:sz w:val="18"/>
                <w:szCs w:val="18"/>
                <w:lang w:eastAsia="sk-SK"/>
              </w:rPr>
            </w:pPr>
          </w:p>
        </w:tc>
        <w:tc>
          <w:tcPr>
            <w:tcW w:w="505" w:type="pct"/>
            <w:tcBorders>
              <w:top w:val="nil"/>
              <w:left w:val="nil"/>
              <w:bottom w:val="nil"/>
              <w:right w:val="nil"/>
            </w:tcBorders>
            <w:shd w:val="clear" w:color="auto" w:fill="auto"/>
            <w:noWrap/>
            <w:vAlign w:val="center"/>
            <w:hideMark/>
          </w:tcPr>
          <w:p w14:paraId="64E8F528" w14:textId="77777777" w:rsidR="004D69BF" w:rsidRPr="00D0395E" w:rsidRDefault="004D69BF" w:rsidP="000240DA">
            <w:pPr>
              <w:spacing w:after="0" w:line="240" w:lineRule="auto"/>
              <w:jc w:val="right"/>
              <w:rPr>
                <w:rFonts w:eastAsia="Times New Roman" w:cs="Times New Roman"/>
                <w:sz w:val="18"/>
                <w:szCs w:val="18"/>
                <w:lang w:eastAsia="sk-SK"/>
              </w:rPr>
            </w:pPr>
          </w:p>
        </w:tc>
      </w:tr>
      <w:tr w:rsidR="004D69BF" w:rsidRPr="00D0395E" w14:paraId="4A10C8BF" w14:textId="77777777" w:rsidTr="00963B72">
        <w:trPr>
          <w:trHeight w:val="330"/>
        </w:trPr>
        <w:tc>
          <w:tcPr>
            <w:tcW w:w="2399" w:type="pct"/>
            <w:tcBorders>
              <w:top w:val="nil"/>
              <w:left w:val="nil"/>
              <w:bottom w:val="nil"/>
              <w:right w:val="nil"/>
            </w:tcBorders>
            <w:shd w:val="clear" w:color="auto" w:fill="auto"/>
            <w:vAlign w:val="center"/>
            <w:hideMark/>
          </w:tcPr>
          <w:p w14:paraId="42EEDF1A"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služby</w:t>
            </w:r>
          </w:p>
        </w:tc>
        <w:tc>
          <w:tcPr>
            <w:tcW w:w="524" w:type="pct"/>
            <w:tcBorders>
              <w:top w:val="nil"/>
              <w:left w:val="nil"/>
              <w:bottom w:val="nil"/>
              <w:right w:val="nil"/>
            </w:tcBorders>
            <w:shd w:val="clear" w:color="auto" w:fill="auto"/>
            <w:noWrap/>
            <w:vAlign w:val="center"/>
            <w:hideMark/>
          </w:tcPr>
          <w:p w14:paraId="60F1C2F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980 629</w:t>
            </w:r>
          </w:p>
        </w:tc>
        <w:tc>
          <w:tcPr>
            <w:tcW w:w="524" w:type="pct"/>
            <w:tcBorders>
              <w:top w:val="nil"/>
              <w:left w:val="nil"/>
              <w:bottom w:val="nil"/>
              <w:right w:val="nil"/>
            </w:tcBorders>
            <w:shd w:val="clear" w:color="auto" w:fill="auto"/>
            <w:noWrap/>
            <w:vAlign w:val="center"/>
            <w:hideMark/>
          </w:tcPr>
          <w:p w14:paraId="35D11B07"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1 036 637</w:t>
            </w:r>
          </w:p>
        </w:tc>
        <w:tc>
          <w:tcPr>
            <w:tcW w:w="524" w:type="pct"/>
            <w:tcBorders>
              <w:top w:val="nil"/>
              <w:left w:val="nil"/>
              <w:bottom w:val="nil"/>
              <w:right w:val="nil"/>
            </w:tcBorders>
            <w:shd w:val="clear" w:color="auto" w:fill="auto"/>
            <w:noWrap/>
            <w:vAlign w:val="center"/>
            <w:hideMark/>
          </w:tcPr>
          <w:p w14:paraId="3206B63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1 836 729</w:t>
            </w:r>
          </w:p>
        </w:tc>
        <w:tc>
          <w:tcPr>
            <w:tcW w:w="524" w:type="pct"/>
            <w:tcBorders>
              <w:top w:val="nil"/>
              <w:left w:val="nil"/>
              <w:bottom w:val="nil"/>
              <w:right w:val="nil"/>
            </w:tcBorders>
            <w:shd w:val="clear" w:color="auto" w:fill="auto"/>
            <w:noWrap/>
            <w:vAlign w:val="center"/>
            <w:hideMark/>
          </w:tcPr>
          <w:p w14:paraId="4688E0D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1 256 652</w:t>
            </w:r>
          </w:p>
        </w:tc>
        <w:tc>
          <w:tcPr>
            <w:tcW w:w="505" w:type="pct"/>
            <w:tcBorders>
              <w:top w:val="nil"/>
              <w:left w:val="nil"/>
              <w:bottom w:val="nil"/>
              <w:right w:val="nil"/>
            </w:tcBorders>
            <w:shd w:val="clear" w:color="auto" w:fill="auto"/>
            <w:noWrap/>
            <w:vAlign w:val="center"/>
            <w:hideMark/>
          </w:tcPr>
          <w:p w14:paraId="0C26DD9F"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-580 077</w:t>
            </w:r>
          </w:p>
        </w:tc>
      </w:tr>
      <w:tr w:rsidR="004D69BF" w:rsidRPr="00D0395E" w14:paraId="27907820" w14:textId="77777777" w:rsidTr="00963B72">
        <w:trPr>
          <w:trHeight w:val="330"/>
        </w:trPr>
        <w:tc>
          <w:tcPr>
            <w:tcW w:w="2399" w:type="pct"/>
            <w:tcBorders>
              <w:top w:val="nil"/>
              <w:left w:val="nil"/>
              <w:bottom w:val="nil"/>
              <w:right w:val="nil"/>
            </w:tcBorders>
            <w:shd w:val="clear" w:color="auto" w:fill="auto"/>
            <w:vAlign w:val="center"/>
            <w:hideMark/>
          </w:tcPr>
          <w:p w14:paraId="00F212C5"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rutinná a štandardná údržba</w:t>
            </w:r>
          </w:p>
        </w:tc>
        <w:tc>
          <w:tcPr>
            <w:tcW w:w="524" w:type="pct"/>
            <w:tcBorders>
              <w:top w:val="nil"/>
              <w:left w:val="nil"/>
              <w:bottom w:val="nil"/>
              <w:right w:val="nil"/>
            </w:tcBorders>
            <w:shd w:val="clear" w:color="auto" w:fill="auto"/>
            <w:noWrap/>
            <w:vAlign w:val="center"/>
            <w:hideMark/>
          </w:tcPr>
          <w:p w14:paraId="61C6B8B3"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398 201</w:t>
            </w:r>
          </w:p>
        </w:tc>
        <w:tc>
          <w:tcPr>
            <w:tcW w:w="524" w:type="pct"/>
            <w:tcBorders>
              <w:top w:val="nil"/>
              <w:left w:val="nil"/>
              <w:bottom w:val="nil"/>
              <w:right w:val="nil"/>
            </w:tcBorders>
            <w:shd w:val="clear" w:color="auto" w:fill="auto"/>
            <w:noWrap/>
            <w:vAlign w:val="center"/>
            <w:hideMark/>
          </w:tcPr>
          <w:p w14:paraId="1FA8A08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431 502</w:t>
            </w:r>
          </w:p>
        </w:tc>
        <w:tc>
          <w:tcPr>
            <w:tcW w:w="524" w:type="pct"/>
            <w:tcBorders>
              <w:top w:val="nil"/>
              <w:left w:val="nil"/>
              <w:bottom w:val="nil"/>
              <w:right w:val="nil"/>
            </w:tcBorders>
            <w:shd w:val="clear" w:color="auto" w:fill="auto"/>
            <w:noWrap/>
            <w:vAlign w:val="center"/>
            <w:hideMark/>
          </w:tcPr>
          <w:p w14:paraId="2322C611"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626 949</w:t>
            </w:r>
          </w:p>
        </w:tc>
        <w:tc>
          <w:tcPr>
            <w:tcW w:w="524" w:type="pct"/>
            <w:tcBorders>
              <w:top w:val="nil"/>
              <w:left w:val="nil"/>
              <w:bottom w:val="nil"/>
              <w:right w:val="nil"/>
            </w:tcBorders>
            <w:shd w:val="clear" w:color="auto" w:fill="auto"/>
            <w:noWrap/>
            <w:vAlign w:val="center"/>
            <w:hideMark/>
          </w:tcPr>
          <w:p w14:paraId="0815330D"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449 189</w:t>
            </w:r>
          </w:p>
        </w:tc>
        <w:tc>
          <w:tcPr>
            <w:tcW w:w="505" w:type="pct"/>
            <w:tcBorders>
              <w:top w:val="nil"/>
              <w:left w:val="nil"/>
              <w:bottom w:val="nil"/>
              <w:right w:val="nil"/>
            </w:tcBorders>
            <w:shd w:val="clear" w:color="auto" w:fill="auto"/>
            <w:noWrap/>
            <w:vAlign w:val="center"/>
            <w:hideMark/>
          </w:tcPr>
          <w:p w14:paraId="30542808"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-177 760</w:t>
            </w:r>
          </w:p>
        </w:tc>
      </w:tr>
      <w:tr w:rsidR="004D69BF" w:rsidRPr="00D0395E" w14:paraId="327020D2" w14:textId="77777777" w:rsidTr="00963B72">
        <w:trPr>
          <w:trHeight w:val="330"/>
        </w:trPr>
        <w:tc>
          <w:tcPr>
            <w:tcW w:w="2399" w:type="pct"/>
            <w:tcBorders>
              <w:top w:val="nil"/>
              <w:left w:val="nil"/>
              <w:bottom w:val="nil"/>
              <w:right w:val="nil"/>
            </w:tcBorders>
            <w:shd w:val="clear" w:color="auto" w:fill="auto"/>
            <w:vAlign w:val="center"/>
            <w:hideMark/>
          </w:tcPr>
          <w:p w14:paraId="6C5D2675"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materiál</w:t>
            </w:r>
          </w:p>
        </w:tc>
        <w:tc>
          <w:tcPr>
            <w:tcW w:w="524" w:type="pct"/>
            <w:tcBorders>
              <w:top w:val="nil"/>
              <w:left w:val="nil"/>
              <w:bottom w:val="nil"/>
              <w:right w:val="nil"/>
            </w:tcBorders>
            <w:shd w:val="clear" w:color="auto" w:fill="auto"/>
            <w:noWrap/>
            <w:vAlign w:val="center"/>
            <w:hideMark/>
          </w:tcPr>
          <w:p w14:paraId="4C99579B"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532 806</w:t>
            </w:r>
          </w:p>
        </w:tc>
        <w:tc>
          <w:tcPr>
            <w:tcW w:w="524" w:type="pct"/>
            <w:tcBorders>
              <w:top w:val="nil"/>
              <w:left w:val="nil"/>
              <w:bottom w:val="nil"/>
              <w:right w:val="nil"/>
            </w:tcBorders>
            <w:shd w:val="clear" w:color="auto" w:fill="auto"/>
            <w:noWrap/>
            <w:vAlign w:val="center"/>
            <w:hideMark/>
          </w:tcPr>
          <w:p w14:paraId="31C2ADF3"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513 125</w:t>
            </w:r>
          </w:p>
        </w:tc>
        <w:tc>
          <w:tcPr>
            <w:tcW w:w="524" w:type="pct"/>
            <w:tcBorders>
              <w:top w:val="nil"/>
              <w:left w:val="nil"/>
              <w:bottom w:val="nil"/>
              <w:right w:val="nil"/>
            </w:tcBorders>
            <w:shd w:val="clear" w:color="auto" w:fill="auto"/>
            <w:noWrap/>
            <w:vAlign w:val="center"/>
            <w:hideMark/>
          </w:tcPr>
          <w:p w14:paraId="1498188C"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357 841</w:t>
            </w:r>
          </w:p>
        </w:tc>
        <w:tc>
          <w:tcPr>
            <w:tcW w:w="524" w:type="pct"/>
            <w:tcBorders>
              <w:top w:val="nil"/>
              <w:left w:val="nil"/>
              <w:bottom w:val="nil"/>
              <w:right w:val="nil"/>
            </w:tcBorders>
            <w:shd w:val="clear" w:color="auto" w:fill="auto"/>
            <w:noWrap/>
            <w:vAlign w:val="center"/>
            <w:hideMark/>
          </w:tcPr>
          <w:p w14:paraId="29F28176"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304 234</w:t>
            </w:r>
          </w:p>
        </w:tc>
        <w:tc>
          <w:tcPr>
            <w:tcW w:w="505" w:type="pct"/>
            <w:tcBorders>
              <w:top w:val="nil"/>
              <w:left w:val="nil"/>
              <w:bottom w:val="nil"/>
              <w:right w:val="nil"/>
            </w:tcBorders>
            <w:shd w:val="clear" w:color="auto" w:fill="auto"/>
            <w:noWrap/>
            <w:vAlign w:val="center"/>
            <w:hideMark/>
          </w:tcPr>
          <w:p w14:paraId="575D5419"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-53 607</w:t>
            </w:r>
          </w:p>
        </w:tc>
      </w:tr>
      <w:tr w:rsidR="004D69BF" w:rsidRPr="00D0395E" w14:paraId="0587CA88" w14:textId="77777777" w:rsidTr="00963B72">
        <w:trPr>
          <w:trHeight w:val="330"/>
        </w:trPr>
        <w:tc>
          <w:tcPr>
            <w:tcW w:w="2399" w:type="pct"/>
            <w:tcBorders>
              <w:top w:val="nil"/>
              <w:left w:val="nil"/>
              <w:bottom w:val="nil"/>
              <w:right w:val="nil"/>
            </w:tcBorders>
            <w:shd w:val="clear" w:color="auto" w:fill="auto"/>
            <w:vAlign w:val="center"/>
            <w:hideMark/>
          </w:tcPr>
          <w:p w14:paraId="12A7D4AF"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energie, voda a komunikácie</w:t>
            </w:r>
          </w:p>
        </w:tc>
        <w:tc>
          <w:tcPr>
            <w:tcW w:w="524" w:type="pct"/>
            <w:tcBorders>
              <w:top w:val="nil"/>
              <w:left w:val="nil"/>
              <w:bottom w:val="nil"/>
              <w:right w:val="nil"/>
            </w:tcBorders>
            <w:shd w:val="clear" w:color="auto" w:fill="auto"/>
            <w:noWrap/>
            <w:vAlign w:val="center"/>
            <w:hideMark/>
          </w:tcPr>
          <w:p w14:paraId="4B97007C"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220 192</w:t>
            </w:r>
          </w:p>
        </w:tc>
        <w:tc>
          <w:tcPr>
            <w:tcW w:w="524" w:type="pct"/>
            <w:tcBorders>
              <w:top w:val="nil"/>
              <w:left w:val="nil"/>
              <w:bottom w:val="nil"/>
              <w:right w:val="nil"/>
            </w:tcBorders>
            <w:shd w:val="clear" w:color="auto" w:fill="auto"/>
            <w:noWrap/>
            <w:vAlign w:val="center"/>
            <w:hideMark/>
          </w:tcPr>
          <w:p w14:paraId="7AFA76C0"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282 664</w:t>
            </w:r>
          </w:p>
        </w:tc>
        <w:tc>
          <w:tcPr>
            <w:tcW w:w="524" w:type="pct"/>
            <w:tcBorders>
              <w:top w:val="nil"/>
              <w:left w:val="nil"/>
              <w:bottom w:val="nil"/>
              <w:right w:val="nil"/>
            </w:tcBorders>
            <w:shd w:val="clear" w:color="auto" w:fill="auto"/>
            <w:noWrap/>
            <w:vAlign w:val="center"/>
            <w:hideMark/>
          </w:tcPr>
          <w:p w14:paraId="75AA9E8E"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290 162</w:t>
            </w:r>
          </w:p>
        </w:tc>
        <w:tc>
          <w:tcPr>
            <w:tcW w:w="524" w:type="pct"/>
            <w:tcBorders>
              <w:top w:val="nil"/>
              <w:left w:val="nil"/>
              <w:bottom w:val="nil"/>
              <w:right w:val="nil"/>
            </w:tcBorders>
            <w:shd w:val="clear" w:color="auto" w:fill="auto"/>
            <w:noWrap/>
            <w:vAlign w:val="center"/>
            <w:hideMark/>
          </w:tcPr>
          <w:p w14:paraId="2D91A2B3"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231 781</w:t>
            </w:r>
          </w:p>
        </w:tc>
        <w:tc>
          <w:tcPr>
            <w:tcW w:w="505" w:type="pct"/>
            <w:tcBorders>
              <w:top w:val="nil"/>
              <w:left w:val="nil"/>
              <w:bottom w:val="nil"/>
              <w:right w:val="nil"/>
            </w:tcBorders>
            <w:shd w:val="clear" w:color="auto" w:fill="auto"/>
            <w:noWrap/>
            <w:vAlign w:val="center"/>
            <w:hideMark/>
          </w:tcPr>
          <w:p w14:paraId="471B834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-58 381</w:t>
            </w:r>
          </w:p>
        </w:tc>
      </w:tr>
      <w:tr w:rsidR="004D69BF" w:rsidRPr="00D0395E" w14:paraId="13E8CFC0" w14:textId="77777777" w:rsidTr="00963B72">
        <w:trPr>
          <w:trHeight w:val="330"/>
        </w:trPr>
        <w:tc>
          <w:tcPr>
            <w:tcW w:w="2399" w:type="pct"/>
            <w:tcBorders>
              <w:top w:val="nil"/>
              <w:left w:val="nil"/>
              <w:bottom w:val="nil"/>
              <w:right w:val="nil"/>
            </w:tcBorders>
            <w:shd w:val="clear" w:color="auto" w:fill="auto"/>
            <w:vAlign w:val="center"/>
            <w:hideMark/>
          </w:tcPr>
          <w:p w14:paraId="45717C6D"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nájomné za nájom nehnuteľných a hnuteľných vecí</w:t>
            </w:r>
          </w:p>
        </w:tc>
        <w:tc>
          <w:tcPr>
            <w:tcW w:w="524" w:type="pct"/>
            <w:tcBorders>
              <w:top w:val="nil"/>
              <w:left w:val="nil"/>
              <w:bottom w:val="nil"/>
              <w:right w:val="nil"/>
            </w:tcBorders>
            <w:shd w:val="clear" w:color="auto" w:fill="auto"/>
            <w:noWrap/>
            <w:vAlign w:val="center"/>
            <w:hideMark/>
          </w:tcPr>
          <w:p w14:paraId="2DBF4434"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70 722</w:t>
            </w:r>
          </w:p>
        </w:tc>
        <w:tc>
          <w:tcPr>
            <w:tcW w:w="524" w:type="pct"/>
            <w:tcBorders>
              <w:top w:val="nil"/>
              <w:left w:val="nil"/>
              <w:bottom w:val="nil"/>
              <w:right w:val="nil"/>
            </w:tcBorders>
            <w:shd w:val="clear" w:color="auto" w:fill="auto"/>
            <w:noWrap/>
            <w:vAlign w:val="center"/>
            <w:hideMark/>
          </w:tcPr>
          <w:p w14:paraId="1DA85A3B"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87 352</w:t>
            </w:r>
          </w:p>
        </w:tc>
        <w:tc>
          <w:tcPr>
            <w:tcW w:w="524" w:type="pct"/>
            <w:tcBorders>
              <w:top w:val="nil"/>
              <w:left w:val="nil"/>
              <w:bottom w:val="nil"/>
              <w:right w:val="nil"/>
            </w:tcBorders>
            <w:shd w:val="clear" w:color="auto" w:fill="auto"/>
            <w:noWrap/>
            <w:vAlign w:val="center"/>
            <w:hideMark/>
          </w:tcPr>
          <w:p w14:paraId="5E9A4D04"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110 492</w:t>
            </w:r>
          </w:p>
        </w:tc>
        <w:tc>
          <w:tcPr>
            <w:tcW w:w="524" w:type="pct"/>
            <w:tcBorders>
              <w:top w:val="nil"/>
              <w:left w:val="nil"/>
              <w:bottom w:val="nil"/>
              <w:right w:val="nil"/>
            </w:tcBorders>
            <w:shd w:val="clear" w:color="auto" w:fill="auto"/>
            <w:noWrap/>
            <w:vAlign w:val="center"/>
            <w:hideMark/>
          </w:tcPr>
          <w:p w14:paraId="60898C82"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105 868</w:t>
            </w:r>
          </w:p>
        </w:tc>
        <w:tc>
          <w:tcPr>
            <w:tcW w:w="505" w:type="pct"/>
            <w:tcBorders>
              <w:top w:val="nil"/>
              <w:left w:val="nil"/>
              <w:bottom w:val="nil"/>
              <w:right w:val="nil"/>
            </w:tcBorders>
            <w:shd w:val="clear" w:color="auto" w:fill="auto"/>
            <w:noWrap/>
            <w:vAlign w:val="center"/>
            <w:hideMark/>
          </w:tcPr>
          <w:p w14:paraId="17E05350"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-4 624</w:t>
            </w:r>
          </w:p>
        </w:tc>
      </w:tr>
      <w:tr w:rsidR="004D69BF" w:rsidRPr="00D0395E" w14:paraId="372F31B9" w14:textId="77777777" w:rsidTr="00963B72">
        <w:trPr>
          <w:trHeight w:val="330"/>
        </w:trPr>
        <w:tc>
          <w:tcPr>
            <w:tcW w:w="2399" w:type="pct"/>
            <w:tcBorders>
              <w:top w:val="nil"/>
              <w:left w:val="nil"/>
              <w:bottom w:val="nil"/>
              <w:right w:val="nil"/>
            </w:tcBorders>
            <w:shd w:val="clear" w:color="auto" w:fill="auto"/>
            <w:vAlign w:val="center"/>
            <w:hideMark/>
          </w:tcPr>
          <w:p w14:paraId="6576A841"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dopravné</w:t>
            </w:r>
          </w:p>
        </w:tc>
        <w:tc>
          <w:tcPr>
            <w:tcW w:w="524" w:type="pct"/>
            <w:tcBorders>
              <w:top w:val="nil"/>
              <w:left w:val="nil"/>
              <w:bottom w:val="nil"/>
              <w:right w:val="nil"/>
            </w:tcBorders>
            <w:shd w:val="clear" w:color="auto" w:fill="auto"/>
            <w:noWrap/>
            <w:vAlign w:val="center"/>
            <w:hideMark/>
          </w:tcPr>
          <w:p w14:paraId="1421A599"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102 156</w:t>
            </w:r>
          </w:p>
        </w:tc>
        <w:tc>
          <w:tcPr>
            <w:tcW w:w="524" w:type="pct"/>
            <w:tcBorders>
              <w:top w:val="nil"/>
              <w:left w:val="nil"/>
              <w:bottom w:val="nil"/>
              <w:right w:val="nil"/>
            </w:tcBorders>
            <w:shd w:val="clear" w:color="auto" w:fill="auto"/>
            <w:noWrap/>
            <w:vAlign w:val="center"/>
            <w:hideMark/>
          </w:tcPr>
          <w:p w14:paraId="69DAAC3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91 500</w:t>
            </w:r>
          </w:p>
        </w:tc>
        <w:tc>
          <w:tcPr>
            <w:tcW w:w="524" w:type="pct"/>
            <w:tcBorders>
              <w:top w:val="nil"/>
              <w:left w:val="nil"/>
              <w:bottom w:val="nil"/>
              <w:right w:val="nil"/>
            </w:tcBorders>
            <w:shd w:val="clear" w:color="auto" w:fill="auto"/>
            <w:noWrap/>
            <w:vAlign w:val="center"/>
            <w:hideMark/>
          </w:tcPr>
          <w:p w14:paraId="050D4DFE"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100 294</w:t>
            </w:r>
          </w:p>
        </w:tc>
        <w:tc>
          <w:tcPr>
            <w:tcW w:w="524" w:type="pct"/>
            <w:tcBorders>
              <w:top w:val="nil"/>
              <w:left w:val="nil"/>
              <w:bottom w:val="nil"/>
              <w:right w:val="nil"/>
            </w:tcBorders>
            <w:shd w:val="clear" w:color="auto" w:fill="auto"/>
            <w:noWrap/>
            <w:vAlign w:val="center"/>
            <w:hideMark/>
          </w:tcPr>
          <w:p w14:paraId="6A75A97E"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91 823</w:t>
            </w:r>
          </w:p>
        </w:tc>
        <w:tc>
          <w:tcPr>
            <w:tcW w:w="505" w:type="pct"/>
            <w:tcBorders>
              <w:top w:val="nil"/>
              <w:left w:val="nil"/>
              <w:bottom w:val="nil"/>
              <w:right w:val="nil"/>
            </w:tcBorders>
            <w:shd w:val="clear" w:color="auto" w:fill="auto"/>
            <w:noWrap/>
            <w:vAlign w:val="center"/>
            <w:hideMark/>
          </w:tcPr>
          <w:p w14:paraId="3EF424A9"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-8 471</w:t>
            </w:r>
          </w:p>
        </w:tc>
      </w:tr>
      <w:tr w:rsidR="004D69BF" w:rsidRPr="00D0395E" w14:paraId="7E45383E" w14:textId="77777777" w:rsidTr="00963B72">
        <w:trPr>
          <w:trHeight w:val="330"/>
        </w:trPr>
        <w:tc>
          <w:tcPr>
            <w:tcW w:w="2399" w:type="pct"/>
            <w:tcBorders>
              <w:top w:val="nil"/>
              <w:left w:val="nil"/>
              <w:bottom w:val="nil"/>
              <w:right w:val="nil"/>
            </w:tcBorders>
            <w:shd w:val="clear" w:color="auto" w:fill="auto"/>
            <w:vAlign w:val="center"/>
            <w:hideMark/>
          </w:tcPr>
          <w:p w14:paraId="2893673E"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cestovné náhrady</w:t>
            </w:r>
          </w:p>
        </w:tc>
        <w:tc>
          <w:tcPr>
            <w:tcW w:w="524" w:type="pct"/>
            <w:tcBorders>
              <w:top w:val="nil"/>
              <w:left w:val="nil"/>
              <w:bottom w:val="nil"/>
              <w:right w:val="nil"/>
            </w:tcBorders>
            <w:shd w:val="clear" w:color="auto" w:fill="auto"/>
            <w:noWrap/>
            <w:vAlign w:val="center"/>
            <w:hideMark/>
          </w:tcPr>
          <w:p w14:paraId="39EC719E"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35 949</w:t>
            </w:r>
          </w:p>
        </w:tc>
        <w:tc>
          <w:tcPr>
            <w:tcW w:w="524" w:type="pct"/>
            <w:tcBorders>
              <w:top w:val="nil"/>
              <w:left w:val="nil"/>
              <w:bottom w:val="nil"/>
              <w:right w:val="nil"/>
            </w:tcBorders>
            <w:shd w:val="clear" w:color="auto" w:fill="auto"/>
            <w:noWrap/>
            <w:vAlign w:val="center"/>
            <w:hideMark/>
          </w:tcPr>
          <w:p w14:paraId="3ECF87CD"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47 602</w:t>
            </w:r>
          </w:p>
        </w:tc>
        <w:tc>
          <w:tcPr>
            <w:tcW w:w="524" w:type="pct"/>
            <w:tcBorders>
              <w:top w:val="nil"/>
              <w:left w:val="nil"/>
              <w:bottom w:val="nil"/>
              <w:right w:val="nil"/>
            </w:tcBorders>
            <w:shd w:val="clear" w:color="auto" w:fill="auto"/>
            <w:noWrap/>
            <w:vAlign w:val="center"/>
            <w:hideMark/>
          </w:tcPr>
          <w:p w14:paraId="3A998F4D"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39 739</w:t>
            </w:r>
          </w:p>
        </w:tc>
        <w:tc>
          <w:tcPr>
            <w:tcW w:w="524" w:type="pct"/>
            <w:tcBorders>
              <w:top w:val="nil"/>
              <w:left w:val="nil"/>
              <w:bottom w:val="nil"/>
              <w:right w:val="nil"/>
            </w:tcBorders>
            <w:shd w:val="clear" w:color="auto" w:fill="auto"/>
            <w:noWrap/>
            <w:vAlign w:val="center"/>
            <w:hideMark/>
          </w:tcPr>
          <w:p w14:paraId="301B4FEB"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50 653</w:t>
            </w:r>
          </w:p>
        </w:tc>
        <w:tc>
          <w:tcPr>
            <w:tcW w:w="505" w:type="pct"/>
            <w:tcBorders>
              <w:top w:val="nil"/>
              <w:left w:val="nil"/>
              <w:bottom w:val="nil"/>
              <w:right w:val="nil"/>
            </w:tcBorders>
            <w:shd w:val="clear" w:color="auto" w:fill="auto"/>
            <w:noWrap/>
            <w:vAlign w:val="center"/>
            <w:hideMark/>
          </w:tcPr>
          <w:p w14:paraId="22D5C722"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10 914</w:t>
            </w:r>
          </w:p>
        </w:tc>
      </w:tr>
      <w:tr w:rsidR="004D69BF" w:rsidRPr="00D0395E" w14:paraId="2AF5BC94" w14:textId="77777777" w:rsidTr="00963B72">
        <w:trPr>
          <w:trHeight w:val="330"/>
        </w:trPr>
        <w:tc>
          <w:tcPr>
            <w:tcW w:w="2399" w:type="pct"/>
            <w:tcBorders>
              <w:top w:val="nil"/>
              <w:left w:val="nil"/>
              <w:bottom w:val="nil"/>
              <w:right w:val="nil"/>
            </w:tcBorders>
            <w:shd w:val="clear" w:color="auto" w:fill="auto"/>
            <w:vAlign w:val="center"/>
            <w:hideMark/>
          </w:tcPr>
          <w:p w14:paraId="408B9B02"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Bežné transfery</w:t>
            </w:r>
          </w:p>
        </w:tc>
        <w:tc>
          <w:tcPr>
            <w:tcW w:w="524" w:type="pct"/>
            <w:tcBorders>
              <w:top w:val="nil"/>
              <w:left w:val="nil"/>
              <w:bottom w:val="nil"/>
              <w:right w:val="nil"/>
            </w:tcBorders>
            <w:shd w:val="clear" w:color="auto" w:fill="auto"/>
            <w:noWrap/>
            <w:vAlign w:val="center"/>
            <w:hideMark/>
          </w:tcPr>
          <w:p w14:paraId="46C67890"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14 822 787</w:t>
            </w:r>
          </w:p>
        </w:tc>
        <w:tc>
          <w:tcPr>
            <w:tcW w:w="524" w:type="pct"/>
            <w:tcBorders>
              <w:top w:val="nil"/>
              <w:left w:val="nil"/>
              <w:bottom w:val="nil"/>
              <w:right w:val="nil"/>
            </w:tcBorders>
            <w:shd w:val="clear" w:color="auto" w:fill="auto"/>
            <w:noWrap/>
            <w:vAlign w:val="center"/>
            <w:hideMark/>
          </w:tcPr>
          <w:p w14:paraId="470C082D"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20 046 164</w:t>
            </w:r>
          </w:p>
        </w:tc>
        <w:tc>
          <w:tcPr>
            <w:tcW w:w="524" w:type="pct"/>
            <w:tcBorders>
              <w:top w:val="nil"/>
              <w:left w:val="nil"/>
              <w:bottom w:val="nil"/>
              <w:right w:val="nil"/>
            </w:tcBorders>
            <w:shd w:val="clear" w:color="auto" w:fill="auto"/>
            <w:noWrap/>
            <w:vAlign w:val="center"/>
            <w:hideMark/>
          </w:tcPr>
          <w:p w14:paraId="33A27459"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19 522 005</w:t>
            </w:r>
          </w:p>
        </w:tc>
        <w:tc>
          <w:tcPr>
            <w:tcW w:w="524" w:type="pct"/>
            <w:tcBorders>
              <w:top w:val="nil"/>
              <w:left w:val="nil"/>
              <w:bottom w:val="nil"/>
              <w:right w:val="nil"/>
            </w:tcBorders>
            <w:shd w:val="clear" w:color="auto" w:fill="auto"/>
            <w:noWrap/>
            <w:vAlign w:val="center"/>
            <w:hideMark/>
          </w:tcPr>
          <w:p w14:paraId="7A56578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20 050 685</w:t>
            </w:r>
          </w:p>
        </w:tc>
        <w:tc>
          <w:tcPr>
            <w:tcW w:w="505" w:type="pct"/>
            <w:tcBorders>
              <w:top w:val="nil"/>
              <w:left w:val="nil"/>
              <w:bottom w:val="nil"/>
              <w:right w:val="nil"/>
            </w:tcBorders>
            <w:shd w:val="clear" w:color="auto" w:fill="auto"/>
            <w:noWrap/>
            <w:vAlign w:val="center"/>
            <w:hideMark/>
          </w:tcPr>
          <w:p w14:paraId="5D6947D6"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528 680</w:t>
            </w:r>
          </w:p>
        </w:tc>
      </w:tr>
      <w:tr w:rsidR="004D69BF" w:rsidRPr="00D0395E" w14:paraId="4FD62C7A" w14:textId="77777777" w:rsidTr="00963B72">
        <w:trPr>
          <w:trHeight w:val="330"/>
        </w:trPr>
        <w:tc>
          <w:tcPr>
            <w:tcW w:w="2399" w:type="pct"/>
            <w:tcBorders>
              <w:top w:val="nil"/>
              <w:left w:val="nil"/>
              <w:bottom w:val="nil"/>
              <w:right w:val="nil"/>
            </w:tcBorders>
            <w:shd w:val="clear" w:color="auto" w:fill="auto"/>
            <w:vAlign w:val="center"/>
            <w:hideMark/>
          </w:tcPr>
          <w:p w14:paraId="30503975"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v tom: </w:t>
            </w:r>
          </w:p>
        </w:tc>
        <w:tc>
          <w:tcPr>
            <w:tcW w:w="524" w:type="pct"/>
            <w:tcBorders>
              <w:top w:val="nil"/>
              <w:left w:val="nil"/>
              <w:bottom w:val="nil"/>
              <w:right w:val="nil"/>
            </w:tcBorders>
            <w:shd w:val="clear" w:color="auto" w:fill="auto"/>
            <w:noWrap/>
            <w:vAlign w:val="center"/>
            <w:hideMark/>
          </w:tcPr>
          <w:p w14:paraId="10B9001E"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w:t>
            </w:r>
          </w:p>
        </w:tc>
        <w:tc>
          <w:tcPr>
            <w:tcW w:w="524" w:type="pct"/>
            <w:tcBorders>
              <w:top w:val="nil"/>
              <w:left w:val="nil"/>
              <w:bottom w:val="nil"/>
              <w:right w:val="nil"/>
            </w:tcBorders>
            <w:shd w:val="clear" w:color="auto" w:fill="auto"/>
            <w:noWrap/>
            <w:vAlign w:val="center"/>
            <w:hideMark/>
          </w:tcPr>
          <w:p w14:paraId="244644BC" w14:textId="77777777" w:rsidR="004D69BF" w:rsidRPr="00D0395E" w:rsidRDefault="004D69BF" w:rsidP="000240DA">
            <w:pPr>
              <w:spacing w:after="0" w:line="240" w:lineRule="auto"/>
              <w:jc w:val="right"/>
              <w:rPr>
                <w:rFonts w:eastAsia="Times New Roman" w:cs="Times New Roman"/>
                <w:color w:val="000000"/>
                <w:sz w:val="18"/>
                <w:szCs w:val="18"/>
                <w:lang w:eastAsia="sk-SK"/>
              </w:rPr>
            </w:pPr>
          </w:p>
        </w:tc>
        <w:tc>
          <w:tcPr>
            <w:tcW w:w="524" w:type="pct"/>
            <w:tcBorders>
              <w:top w:val="nil"/>
              <w:left w:val="nil"/>
              <w:bottom w:val="nil"/>
              <w:right w:val="nil"/>
            </w:tcBorders>
            <w:shd w:val="clear" w:color="auto" w:fill="auto"/>
            <w:noWrap/>
            <w:vAlign w:val="center"/>
            <w:hideMark/>
          </w:tcPr>
          <w:p w14:paraId="36C79EDD" w14:textId="77777777" w:rsidR="004D69BF" w:rsidRPr="00D0395E" w:rsidRDefault="004D69BF" w:rsidP="000240DA">
            <w:pPr>
              <w:spacing w:after="0" w:line="240" w:lineRule="auto"/>
              <w:jc w:val="right"/>
              <w:rPr>
                <w:rFonts w:eastAsia="Times New Roman" w:cs="Times New Roman"/>
                <w:sz w:val="18"/>
                <w:szCs w:val="18"/>
                <w:lang w:eastAsia="sk-SK"/>
              </w:rPr>
            </w:pPr>
          </w:p>
        </w:tc>
        <w:tc>
          <w:tcPr>
            <w:tcW w:w="524" w:type="pct"/>
            <w:tcBorders>
              <w:top w:val="nil"/>
              <w:left w:val="nil"/>
              <w:bottom w:val="nil"/>
              <w:right w:val="nil"/>
            </w:tcBorders>
            <w:shd w:val="clear" w:color="auto" w:fill="auto"/>
            <w:noWrap/>
            <w:vAlign w:val="center"/>
            <w:hideMark/>
          </w:tcPr>
          <w:p w14:paraId="23265177" w14:textId="77777777" w:rsidR="004D69BF" w:rsidRPr="00D0395E" w:rsidRDefault="004D69BF" w:rsidP="000240DA">
            <w:pPr>
              <w:spacing w:after="0" w:line="240" w:lineRule="auto"/>
              <w:jc w:val="left"/>
              <w:rPr>
                <w:rFonts w:eastAsia="Times New Roman" w:cs="Times New Roman"/>
                <w:sz w:val="18"/>
                <w:szCs w:val="18"/>
                <w:lang w:eastAsia="sk-SK"/>
              </w:rPr>
            </w:pPr>
          </w:p>
        </w:tc>
        <w:tc>
          <w:tcPr>
            <w:tcW w:w="505" w:type="pct"/>
            <w:tcBorders>
              <w:top w:val="nil"/>
              <w:left w:val="nil"/>
              <w:bottom w:val="nil"/>
              <w:right w:val="nil"/>
            </w:tcBorders>
            <w:shd w:val="clear" w:color="auto" w:fill="auto"/>
            <w:noWrap/>
            <w:vAlign w:val="center"/>
            <w:hideMark/>
          </w:tcPr>
          <w:p w14:paraId="100FF928" w14:textId="77777777" w:rsidR="004D69BF" w:rsidRPr="00D0395E" w:rsidRDefault="004D69BF" w:rsidP="000240DA">
            <w:pPr>
              <w:spacing w:after="0" w:line="240" w:lineRule="auto"/>
              <w:jc w:val="right"/>
              <w:rPr>
                <w:rFonts w:eastAsia="Times New Roman" w:cs="Times New Roman"/>
                <w:sz w:val="18"/>
                <w:szCs w:val="18"/>
                <w:lang w:eastAsia="sk-SK"/>
              </w:rPr>
            </w:pPr>
          </w:p>
        </w:tc>
      </w:tr>
      <w:tr w:rsidR="004D69BF" w:rsidRPr="00D0395E" w14:paraId="37062DD4" w14:textId="77777777" w:rsidTr="00963B72">
        <w:trPr>
          <w:trHeight w:val="330"/>
        </w:trPr>
        <w:tc>
          <w:tcPr>
            <w:tcW w:w="2399" w:type="pct"/>
            <w:tcBorders>
              <w:top w:val="nil"/>
              <w:left w:val="nil"/>
              <w:bottom w:val="nil"/>
              <w:right w:val="nil"/>
            </w:tcBorders>
            <w:shd w:val="clear" w:color="auto" w:fill="auto"/>
            <w:vAlign w:val="center"/>
            <w:hideMark/>
          </w:tcPr>
          <w:p w14:paraId="66751FF5"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v rámci verejnej správy</w:t>
            </w:r>
          </w:p>
        </w:tc>
        <w:tc>
          <w:tcPr>
            <w:tcW w:w="524" w:type="pct"/>
            <w:tcBorders>
              <w:top w:val="nil"/>
              <w:left w:val="nil"/>
              <w:bottom w:val="nil"/>
              <w:right w:val="nil"/>
            </w:tcBorders>
            <w:shd w:val="clear" w:color="auto" w:fill="auto"/>
            <w:noWrap/>
            <w:vAlign w:val="center"/>
            <w:hideMark/>
          </w:tcPr>
          <w:p w14:paraId="3657D977"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6 942 096</w:t>
            </w:r>
          </w:p>
        </w:tc>
        <w:tc>
          <w:tcPr>
            <w:tcW w:w="524" w:type="pct"/>
            <w:tcBorders>
              <w:top w:val="nil"/>
              <w:left w:val="nil"/>
              <w:bottom w:val="nil"/>
              <w:right w:val="nil"/>
            </w:tcBorders>
            <w:shd w:val="clear" w:color="auto" w:fill="auto"/>
            <w:noWrap/>
            <w:vAlign w:val="center"/>
            <w:hideMark/>
          </w:tcPr>
          <w:p w14:paraId="633E6D70"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7 726 188</w:t>
            </w:r>
          </w:p>
        </w:tc>
        <w:tc>
          <w:tcPr>
            <w:tcW w:w="524" w:type="pct"/>
            <w:tcBorders>
              <w:top w:val="nil"/>
              <w:left w:val="nil"/>
              <w:bottom w:val="nil"/>
              <w:right w:val="nil"/>
            </w:tcBorders>
            <w:shd w:val="clear" w:color="auto" w:fill="auto"/>
            <w:noWrap/>
            <w:vAlign w:val="center"/>
            <w:hideMark/>
          </w:tcPr>
          <w:p w14:paraId="6CF95F44"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8 031 226</w:t>
            </w:r>
          </w:p>
        </w:tc>
        <w:tc>
          <w:tcPr>
            <w:tcW w:w="524" w:type="pct"/>
            <w:tcBorders>
              <w:top w:val="nil"/>
              <w:left w:val="nil"/>
              <w:bottom w:val="nil"/>
              <w:right w:val="nil"/>
            </w:tcBorders>
            <w:shd w:val="clear" w:color="auto" w:fill="auto"/>
            <w:noWrap/>
            <w:vAlign w:val="center"/>
            <w:hideMark/>
          </w:tcPr>
          <w:p w14:paraId="35C89E07"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9 923 665</w:t>
            </w:r>
          </w:p>
        </w:tc>
        <w:tc>
          <w:tcPr>
            <w:tcW w:w="505" w:type="pct"/>
            <w:tcBorders>
              <w:top w:val="nil"/>
              <w:left w:val="nil"/>
              <w:bottom w:val="nil"/>
              <w:right w:val="nil"/>
            </w:tcBorders>
            <w:shd w:val="clear" w:color="auto" w:fill="auto"/>
            <w:noWrap/>
            <w:vAlign w:val="center"/>
            <w:hideMark/>
          </w:tcPr>
          <w:p w14:paraId="6C6342C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1 892 439</w:t>
            </w:r>
          </w:p>
        </w:tc>
      </w:tr>
      <w:tr w:rsidR="004D69BF" w:rsidRPr="00D0395E" w14:paraId="093D467F" w14:textId="77777777" w:rsidTr="00963B72">
        <w:trPr>
          <w:trHeight w:val="330"/>
        </w:trPr>
        <w:tc>
          <w:tcPr>
            <w:tcW w:w="2399" w:type="pct"/>
            <w:tcBorders>
              <w:top w:val="nil"/>
              <w:left w:val="nil"/>
              <w:bottom w:val="nil"/>
              <w:right w:val="nil"/>
            </w:tcBorders>
            <w:shd w:val="clear" w:color="auto" w:fill="auto"/>
            <w:vAlign w:val="center"/>
            <w:hideMark/>
          </w:tcPr>
          <w:p w14:paraId="0318EDF8"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jednotlivcom a neziskovým právnickým osobám</w:t>
            </w:r>
          </w:p>
        </w:tc>
        <w:tc>
          <w:tcPr>
            <w:tcW w:w="524" w:type="pct"/>
            <w:tcBorders>
              <w:top w:val="nil"/>
              <w:left w:val="nil"/>
              <w:bottom w:val="nil"/>
              <w:right w:val="nil"/>
            </w:tcBorders>
            <w:shd w:val="clear" w:color="auto" w:fill="auto"/>
            <w:noWrap/>
            <w:vAlign w:val="center"/>
            <w:hideMark/>
          </w:tcPr>
          <w:p w14:paraId="6E6DEF4D"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5 687 424</w:t>
            </w:r>
          </w:p>
        </w:tc>
        <w:tc>
          <w:tcPr>
            <w:tcW w:w="524" w:type="pct"/>
            <w:tcBorders>
              <w:top w:val="nil"/>
              <w:left w:val="nil"/>
              <w:bottom w:val="nil"/>
              <w:right w:val="nil"/>
            </w:tcBorders>
            <w:shd w:val="clear" w:color="auto" w:fill="auto"/>
            <w:noWrap/>
            <w:vAlign w:val="center"/>
            <w:hideMark/>
          </w:tcPr>
          <w:p w14:paraId="0A823D43"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7 105 251</w:t>
            </w:r>
          </w:p>
        </w:tc>
        <w:tc>
          <w:tcPr>
            <w:tcW w:w="524" w:type="pct"/>
            <w:tcBorders>
              <w:top w:val="nil"/>
              <w:left w:val="nil"/>
              <w:bottom w:val="nil"/>
              <w:right w:val="nil"/>
            </w:tcBorders>
            <w:shd w:val="clear" w:color="auto" w:fill="auto"/>
            <w:noWrap/>
            <w:vAlign w:val="center"/>
            <w:hideMark/>
          </w:tcPr>
          <w:p w14:paraId="4174E71E"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8 097 049</w:t>
            </w:r>
          </w:p>
        </w:tc>
        <w:tc>
          <w:tcPr>
            <w:tcW w:w="524" w:type="pct"/>
            <w:tcBorders>
              <w:top w:val="nil"/>
              <w:left w:val="nil"/>
              <w:bottom w:val="nil"/>
              <w:right w:val="nil"/>
            </w:tcBorders>
            <w:shd w:val="clear" w:color="auto" w:fill="auto"/>
            <w:noWrap/>
            <w:vAlign w:val="center"/>
            <w:hideMark/>
          </w:tcPr>
          <w:p w14:paraId="3CD3311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6 815 692</w:t>
            </w:r>
          </w:p>
        </w:tc>
        <w:tc>
          <w:tcPr>
            <w:tcW w:w="505" w:type="pct"/>
            <w:tcBorders>
              <w:top w:val="nil"/>
              <w:left w:val="nil"/>
              <w:bottom w:val="nil"/>
              <w:right w:val="nil"/>
            </w:tcBorders>
            <w:shd w:val="clear" w:color="auto" w:fill="auto"/>
            <w:noWrap/>
            <w:vAlign w:val="center"/>
            <w:hideMark/>
          </w:tcPr>
          <w:p w14:paraId="0D0EBB8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-1 281 357</w:t>
            </w:r>
          </w:p>
        </w:tc>
      </w:tr>
      <w:tr w:rsidR="004D69BF" w:rsidRPr="00D0395E" w14:paraId="3C93BD96" w14:textId="77777777" w:rsidTr="00963B72">
        <w:trPr>
          <w:trHeight w:val="330"/>
        </w:trPr>
        <w:tc>
          <w:tcPr>
            <w:tcW w:w="2399" w:type="pct"/>
            <w:tcBorders>
              <w:top w:val="nil"/>
              <w:left w:val="nil"/>
              <w:bottom w:val="nil"/>
              <w:right w:val="nil"/>
            </w:tcBorders>
            <w:shd w:val="clear" w:color="auto" w:fill="auto"/>
            <w:vAlign w:val="center"/>
            <w:hideMark/>
          </w:tcPr>
          <w:p w14:paraId="0EC633CE"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nefinančným subjektom </w:t>
            </w:r>
          </w:p>
        </w:tc>
        <w:tc>
          <w:tcPr>
            <w:tcW w:w="524" w:type="pct"/>
            <w:tcBorders>
              <w:top w:val="nil"/>
              <w:left w:val="nil"/>
              <w:bottom w:val="nil"/>
              <w:right w:val="nil"/>
            </w:tcBorders>
            <w:shd w:val="clear" w:color="auto" w:fill="auto"/>
            <w:noWrap/>
            <w:vAlign w:val="center"/>
            <w:hideMark/>
          </w:tcPr>
          <w:p w14:paraId="64BE2C1E"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1 147 850</w:t>
            </w:r>
          </w:p>
        </w:tc>
        <w:tc>
          <w:tcPr>
            <w:tcW w:w="524" w:type="pct"/>
            <w:tcBorders>
              <w:top w:val="nil"/>
              <w:left w:val="nil"/>
              <w:bottom w:val="nil"/>
              <w:right w:val="nil"/>
            </w:tcBorders>
            <w:shd w:val="clear" w:color="auto" w:fill="auto"/>
            <w:noWrap/>
            <w:vAlign w:val="center"/>
            <w:hideMark/>
          </w:tcPr>
          <w:p w14:paraId="6EAF634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4 020 638</w:t>
            </w:r>
          </w:p>
        </w:tc>
        <w:tc>
          <w:tcPr>
            <w:tcW w:w="524" w:type="pct"/>
            <w:tcBorders>
              <w:top w:val="nil"/>
              <w:left w:val="nil"/>
              <w:bottom w:val="nil"/>
              <w:right w:val="nil"/>
            </w:tcBorders>
            <w:shd w:val="clear" w:color="auto" w:fill="auto"/>
            <w:noWrap/>
            <w:vAlign w:val="center"/>
            <w:hideMark/>
          </w:tcPr>
          <w:p w14:paraId="59804F3E"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2 214 618</w:t>
            </w:r>
          </w:p>
        </w:tc>
        <w:tc>
          <w:tcPr>
            <w:tcW w:w="524" w:type="pct"/>
            <w:tcBorders>
              <w:top w:val="nil"/>
              <w:left w:val="nil"/>
              <w:bottom w:val="nil"/>
              <w:right w:val="nil"/>
            </w:tcBorders>
            <w:shd w:val="clear" w:color="auto" w:fill="auto"/>
            <w:noWrap/>
            <w:vAlign w:val="center"/>
            <w:hideMark/>
          </w:tcPr>
          <w:p w14:paraId="2A6CDD0F"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2 378 981</w:t>
            </w:r>
          </w:p>
        </w:tc>
        <w:tc>
          <w:tcPr>
            <w:tcW w:w="505" w:type="pct"/>
            <w:tcBorders>
              <w:top w:val="nil"/>
              <w:left w:val="nil"/>
              <w:bottom w:val="nil"/>
              <w:right w:val="nil"/>
            </w:tcBorders>
            <w:shd w:val="clear" w:color="auto" w:fill="auto"/>
            <w:noWrap/>
            <w:vAlign w:val="center"/>
            <w:hideMark/>
          </w:tcPr>
          <w:p w14:paraId="2D6952A1"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164 363</w:t>
            </w:r>
          </w:p>
        </w:tc>
      </w:tr>
      <w:tr w:rsidR="004D69BF" w:rsidRPr="00D0395E" w14:paraId="26226938" w14:textId="77777777" w:rsidTr="00963B72">
        <w:trPr>
          <w:trHeight w:val="330"/>
        </w:trPr>
        <w:tc>
          <w:tcPr>
            <w:tcW w:w="2399" w:type="pct"/>
            <w:tcBorders>
              <w:top w:val="nil"/>
              <w:left w:val="nil"/>
              <w:bottom w:val="nil"/>
              <w:right w:val="nil"/>
            </w:tcBorders>
            <w:shd w:val="clear" w:color="auto" w:fill="auto"/>
            <w:vAlign w:val="center"/>
            <w:hideMark/>
          </w:tcPr>
          <w:p w14:paraId="0ADCE7D5"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do tuzemských finančných inštitúcií</w:t>
            </w:r>
          </w:p>
        </w:tc>
        <w:tc>
          <w:tcPr>
            <w:tcW w:w="524" w:type="pct"/>
            <w:tcBorders>
              <w:top w:val="nil"/>
              <w:left w:val="nil"/>
              <w:bottom w:val="nil"/>
              <w:right w:val="nil"/>
            </w:tcBorders>
            <w:shd w:val="clear" w:color="auto" w:fill="auto"/>
            <w:noWrap/>
            <w:vAlign w:val="center"/>
            <w:hideMark/>
          </w:tcPr>
          <w:p w14:paraId="57B67CAB"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16 474</w:t>
            </w:r>
          </w:p>
        </w:tc>
        <w:tc>
          <w:tcPr>
            <w:tcW w:w="524" w:type="pct"/>
            <w:tcBorders>
              <w:top w:val="nil"/>
              <w:left w:val="nil"/>
              <w:bottom w:val="nil"/>
              <w:right w:val="nil"/>
            </w:tcBorders>
            <w:shd w:val="clear" w:color="auto" w:fill="auto"/>
            <w:noWrap/>
            <w:vAlign w:val="center"/>
            <w:hideMark/>
          </w:tcPr>
          <w:p w14:paraId="0ED97EFF"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122 161</w:t>
            </w:r>
          </w:p>
        </w:tc>
        <w:tc>
          <w:tcPr>
            <w:tcW w:w="524" w:type="pct"/>
            <w:tcBorders>
              <w:top w:val="nil"/>
              <w:left w:val="nil"/>
              <w:bottom w:val="nil"/>
              <w:right w:val="nil"/>
            </w:tcBorders>
            <w:shd w:val="clear" w:color="auto" w:fill="auto"/>
            <w:noWrap/>
            <w:vAlign w:val="center"/>
            <w:hideMark/>
          </w:tcPr>
          <w:p w14:paraId="48E9AC11"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7 447</w:t>
            </w:r>
          </w:p>
        </w:tc>
        <w:tc>
          <w:tcPr>
            <w:tcW w:w="524" w:type="pct"/>
            <w:tcBorders>
              <w:top w:val="nil"/>
              <w:left w:val="nil"/>
              <w:bottom w:val="nil"/>
              <w:right w:val="nil"/>
            </w:tcBorders>
            <w:shd w:val="clear" w:color="auto" w:fill="auto"/>
            <w:noWrap/>
            <w:vAlign w:val="center"/>
            <w:hideMark/>
          </w:tcPr>
          <w:p w14:paraId="477AE131"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3 663</w:t>
            </w:r>
          </w:p>
        </w:tc>
        <w:tc>
          <w:tcPr>
            <w:tcW w:w="505" w:type="pct"/>
            <w:tcBorders>
              <w:top w:val="nil"/>
              <w:left w:val="nil"/>
              <w:bottom w:val="nil"/>
              <w:right w:val="nil"/>
            </w:tcBorders>
            <w:shd w:val="clear" w:color="auto" w:fill="auto"/>
            <w:noWrap/>
            <w:vAlign w:val="center"/>
            <w:hideMark/>
          </w:tcPr>
          <w:p w14:paraId="501DE68C"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-3 784</w:t>
            </w:r>
          </w:p>
        </w:tc>
      </w:tr>
      <w:tr w:rsidR="004D69BF" w:rsidRPr="00D0395E" w14:paraId="1E0B4767" w14:textId="77777777" w:rsidTr="00963B72">
        <w:trPr>
          <w:trHeight w:val="330"/>
        </w:trPr>
        <w:tc>
          <w:tcPr>
            <w:tcW w:w="2399" w:type="pct"/>
            <w:tcBorders>
              <w:top w:val="nil"/>
              <w:left w:val="nil"/>
              <w:bottom w:val="nil"/>
              <w:right w:val="nil"/>
            </w:tcBorders>
            <w:shd w:val="clear" w:color="auto" w:fill="auto"/>
            <w:vAlign w:val="center"/>
            <w:hideMark/>
          </w:tcPr>
          <w:p w14:paraId="112B5373"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do zahraničia</w:t>
            </w:r>
          </w:p>
        </w:tc>
        <w:tc>
          <w:tcPr>
            <w:tcW w:w="524" w:type="pct"/>
            <w:tcBorders>
              <w:top w:val="nil"/>
              <w:left w:val="nil"/>
              <w:bottom w:val="nil"/>
              <w:right w:val="nil"/>
            </w:tcBorders>
            <w:shd w:val="clear" w:color="auto" w:fill="auto"/>
            <w:noWrap/>
            <w:vAlign w:val="center"/>
            <w:hideMark/>
          </w:tcPr>
          <w:p w14:paraId="462D2EE8"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1 028 943</w:t>
            </w:r>
          </w:p>
        </w:tc>
        <w:tc>
          <w:tcPr>
            <w:tcW w:w="524" w:type="pct"/>
            <w:tcBorders>
              <w:top w:val="nil"/>
              <w:left w:val="nil"/>
              <w:bottom w:val="nil"/>
              <w:right w:val="nil"/>
            </w:tcBorders>
            <w:shd w:val="clear" w:color="auto" w:fill="auto"/>
            <w:noWrap/>
            <w:vAlign w:val="center"/>
            <w:hideMark/>
          </w:tcPr>
          <w:p w14:paraId="4E6D42BD"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1 071 926</w:t>
            </w:r>
          </w:p>
        </w:tc>
        <w:tc>
          <w:tcPr>
            <w:tcW w:w="524" w:type="pct"/>
            <w:tcBorders>
              <w:top w:val="nil"/>
              <w:left w:val="nil"/>
              <w:bottom w:val="nil"/>
              <w:right w:val="nil"/>
            </w:tcBorders>
            <w:shd w:val="clear" w:color="auto" w:fill="auto"/>
            <w:noWrap/>
            <w:vAlign w:val="center"/>
            <w:hideMark/>
          </w:tcPr>
          <w:p w14:paraId="50A618F0"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1 171 665</w:t>
            </w:r>
          </w:p>
        </w:tc>
        <w:tc>
          <w:tcPr>
            <w:tcW w:w="524" w:type="pct"/>
            <w:tcBorders>
              <w:top w:val="nil"/>
              <w:left w:val="nil"/>
              <w:bottom w:val="nil"/>
              <w:right w:val="nil"/>
            </w:tcBorders>
            <w:shd w:val="clear" w:color="auto" w:fill="auto"/>
            <w:noWrap/>
            <w:vAlign w:val="center"/>
            <w:hideMark/>
          </w:tcPr>
          <w:p w14:paraId="0F17859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928 684</w:t>
            </w:r>
          </w:p>
        </w:tc>
        <w:tc>
          <w:tcPr>
            <w:tcW w:w="505" w:type="pct"/>
            <w:tcBorders>
              <w:top w:val="nil"/>
              <w:left w:val="nil"/>
              <w:bottom w:val="nil"/>
              <w:right w:val="nil"/>
            </w:tcBorders>
            <w:shd w:val="clear" w:color="auto" w:fill="auto"/>
            <w:noWrap/>
            <w:vAlign w:val="center"/>
            <w:hideMark/>
          </w:tcPr>
          <w:p w14:paraId="146C692B"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-242 981</w:t>
            </w:r>
          </w:p>
        </w:tc>
      </w:tr>
      <w:tr w:rsidR="004D69BF" w:rsidRPr="00D0395E" w14:paraId="4C0C670A" w14:textId="77777777" w:rsidTr="00963B72">
        <w:trPr>
          <w:trHeight w:val="345"/>
        </w:trPr>
        <w:tc>
          <w:tcPr>
            <w:tcW w:w="2399" w:type="pct"/>
            <w:tcBorders>
              <w:top w:val="nil"/>
              <w:left w:val="nil"/>
              <w:bottom w:val="single" w:sz="4" w:space="0" w:color="auto"/>
              <w:right w:val="nil"/>
            </w:tcBorders>
            <w:shd w:val="clear" w:color="auto" w:fill="auto"/>
            <w:vAlign w:val="center"/>
            <w:hideMark/>
          </w:tcPr>
          <w:p w14:paraId="31BEF769"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Splácanie úrokov a platby súvisiace s úverom</w:t>
            </w:r>
          </w:p>
        </w:tc>
        <w:tc>
          <w:tcPr>
            <w:tcW w:w="524" w:type="pct"/>
            <w:tcBorders>
              <w:top w:val="nil"/>
              <w:left w:val="nil"/>
              <w:bottom w:val="single" w:sz="4" w:space="0" w:color="auto"/>
              <w:right w:val="nil"/>
            </w:tcBorders>
            <w:shd w:val="clear" w:color="auto" w:fill="auto"/>
            <w:noWrap/>
            <w:vAlign w:val="center"/>
            <w:hideMark/>
          </w:tcPr>
          <w:p w14:paraId="06264B71"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270</w:t>
            </w:r>
          </w:p>
        </w:tc>
        <w:tc>
          <w:tcPr>
            <w:tcW w:w="524" w:type="pct"/>
            <w:tcBorders>
              <w:top w:val="nil"/>
              <w:left w:val="nil"/>
              <w:bottom w:val="single" w:sz="4" w:space="0" w:color="auto"/>
              <w:right w:val="nil"/>
            </w:tcBorders>
            <w:shd w:val="clear" w:color="auto" w:fill="auto"/>
            <w:noWrap/>
            <w:vAlign w:val="center"/>
            <w:hideMark/>
          </w:tcPr>
          <w:p w14:paraId="0628EECB"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258</w:t>
            </w:r>
          </w:p>
        </w:tc>
        <w:tc>
          <w:tcPr>
            <w:tcW w:w="524" w:type="pct"/>
            <w:tcBorders>
              <w:top w:val="nil"/>
              <w:left w:val="nil"/>
              <w:bottom w:val="single" w:sz="4" w:space="0" w:color="auto"/>
              <w:right w:val="nil"/>
            </w:tcBorders>
            <w:shd w:val="clear" w:color="auto" w:fill="auto"/>
            <w:noWrap/>
            <w:vAlign w:val="center"/>
            <w:hideMark/>
          </w:tcPr>
          <w:p w14:paraId="6B5D92D2"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200</w:t>
            </w:r>
          </w:p>
        </w:tc>
        <w:tc>
          <w:tcPr>
            <w:tcW w:w="524" w:type="pct"/>
            <w:tcBorders>
              <w:top w:val="nil"/>
              <w:left w:val="nil"/>
              <w:bottom w:val="single" w:sz="4" w:space="0" w:color="auto"/>
              <w:right w:val="nil"/>
            </w:tcBorders>
            <w:shd w:val="clear" w:color="auto" w:fill="auto"/>
            <w:noWrap/>
            <w:vAlign w:val="center"/>
            <w:hideMark/>
          </w:tcPr>
          <w:p w14:paraId="7FD68184"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200</w:t>
            </w:r>
          </w:p>
        </w:tc>
        <w:tc>
          <w:tcPr>
            <w:tcW w:w="505" w:type="pct"/>
            <w:tcBorders>
              <w:top w:val="nil"/>
              <w:left w:val="nil"/>
              <w:bottom w:val="single" w:sz="4" w:space="0" w:color="auto"/>
              <w:right w:val="nil"/>
            </w:tcBorders>
            <w:shd w:val="clear" w:color="auto" w:fill="auto"/>
            <w:noWrap/>
            <w:vAlign w:val="center"/>
            <w:hideMark/>
          </w:tcPr>
          <w:p w14:paraId="63338F46"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0</w:t>
            </w:r>
          </w:p>
        </w:tc>
      </w:tr>
      <w:tr w:rsidR="004D69BF" w:rsidRPr="00D0395E" w14:paraId="28E6B248" w14:textId="77777777" w:rsidTr="00685F68">
        <w:trPr>
          <w:trHeight w:val="163"/>
        </w:trPr>
        <w:tc>
          <w:tcPr>
            <w:tcW w:w="2399" w:type="pct"/>
            <w:tcBorders>
              <w:top w:val="single" w:sz="4" w:space="0" w:color="auto"/>
              <w:left w:val="nil"/>
              <w:bottom w:val="single" w:sz="4" w:space="0" w:color="auto"/>
              <w:right w:val="nil"/>
            </w:tcBorders>
            <w:shd w:val="clear" w:color="auto" w:fill="auto"/>
            <w:vAlign w:val="center"/>
            <w:hideMark/>
          </w:tcPr>
          <w:p w14:paraId="12D9D915" w14:textId="77777777" w:rsidR="004D69BF" w:rsidRPr="00D0395E" w:rsidRDefault="004D69BF" w:rsidP="000240DA">
            <w:pPr>
              <w:spacing w:after="0"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Spolu</w:t>
            </w:r>
          </w:p>
        </w:tc>
        <w:tc>
          <w:tcPr>
            <w:tcW w:w="524" w:type="pct"/>
            <w:tcBorders>
              <w:top w:val="single" w:sz="4" w:space="0" w:color="auto"/>
              <w:left w:val="nil"/>
              <w:bottom w:val="single" w:sz="4" w:space="0" w:color="auto"/>
              <w:right w:val="nil"/>
            </w:tcBorders>
            <w:shd w:val="clear" w:color="auto" w:fill="auto"/>
            <w:noWrap/>
            <w:vAlign w:val="center"/>
            <w:hideMark/>
          </w:tcPr>
          <w:p w14:paraId="4A69A410"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20 847 550</w:t>
            </w:r>
          </w:p>
        </w:tc>
        <w:tc>
          <w:tcPr>
            <w:tcW w:w="524" w:type="pct"/>
            <w:tcBorders>
              <w:top w:val="single" w:sz="4" w:space="0" w:color="auto"/>
              <w:left w:val="nil"/>
              <w:bottom w:val="single" w:sz="4" w:space="0" w:color="auto"/>
              <w:right w:val="nil"/>
            </w:tcBorders>
            <w:shd w:val="clear" w:color="auto" w:fill="auto"/>
            <w:noWrap/>
            <w:vAlign w:val="center"/>
            <w:hideMark/>
          </w:tcPr>
          <w:p w14:paraId="51C7E4CF"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26 649 828</w:t>
            </w:r>
          </w:p>
        </w:tc>
        <w:tc>
          <w:tcPr>
            <w:tcW w:w="524" w:type="pct"/>
            <w:tcBorders>
              <w:top w:val="single" w:sz="4" w:space="0" w:color="auto"/>
              <w:left w:val="nil"/>
              <w:bottom w:val="single" w:sz="4" w:space="0" w:color="auto"/>
              <w:right w:val="nil"/>
            </w:tcBorders>
            <w:shd w:val="clear" w:color="auto" w:fill="auto"/>
            <w:noWrap/>
            <w:vAlign w:val="center"/>
            <w:hideMark/>
          </w:tcPr>
          <w:p w14:paraId="7CA1C1B9"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27 190 658</w:t>
            </w:r>
          </w:p>
        </w:tc>
        <w:tc>
          <w:tcPr>
            <w:tcW w:w="524" w:type="pct"/>
            <w:tcBorders>
              <w:top w:val="single" w:sz="4" w:space="0" w:color="auto"/>
              <w:left w:val="nil"/>
              <w:bottom w:val="single" w:sz="4" w:space="0" w:color="auto"/>
              <w:right w:val="nil"/>
            </w:tcBorders>
            <w:shd w:val="clear" w:color="auto" w:fill="auto"/>
            <w:noWrap/>
            <w:vAlign w:val="center"/>
            <w:hideMark/>
          </w:tcPr>
          <w:p w14:paraId="6491BEF4"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26 985 766</w:t>
            </w:r>
          </w:p>
        </w:tc>
        <w:tc>
          <w:tcPr>
            <w:tcW w:w="505" w:type="pct"/>
            <w:tcBorders>
              <w:top w:val="single" w:sz="4" w:space="0" w:color="auto"/>
              <w:left w:val="nil"/>
              <w:bottom w:val="single" w:sz="4" w:space="0" w:color="auto"/>
              <w:right w:val="nil"/>
            </w:tcBorders>
            <w:shd w:val="clear" w:color="auto" w:fill="auto"/>
            <w:noWrap/>
            <w:vAlign w:val="center"/>
            <w:hideMark/>
          </w:tcPr>
          <w:p w14:paraId="46579472"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-204 892</w:t>
            </w:r>
          </w:p>
        </w:tc>
      </w:tr>
    </w:tbl>
    <w:p w14:paraId="1F3D756E" w14:textId="5978A5BB" w:rsidR="007F5BE3" w:rsidRPr="007F5BE3" w:rsidRDefault="007F5BE3" w:rsidP="00A7279C">
      <w:pPr>
        <w:spacing w:line="240" w:lineRule="auto"/>
        <w:ind w:left="7650"/>
        <w:rPr>
          <w:sz w:val="18"/>
          <w:szCs w:val="18"/>
        </w:rPr>
      </w:pPr>
      <w:r w:rsidRPr="007F5BE3">
        <w:rPr>
          <w:sz w:val="18"/>
          <w:szCs w:val="18"/>
        </w:rPr>
        <w:t>Zdroj: MF SR</w:t>
      </w:r>
    </w:p>
    <w:p w14:paraId="48DA4D56" w14:textId="7DBB8DD7" w:rsidR="004D69BF" w:rsidRPr="00040B78" w:rsidRDefault="004D69BF" w:rsidP="004D69BF">
      <w:pPr>
        <w:spacing w:line="240" w:lineRule="auto"/>
        <w:rPr>
          <w:b/>
          <w:color w:val="5B9BD5" w:themeColor="accent1"/>
          <w:sz w:val="24"/>
          <w:szCs w:val="24"/>
        </w:rPr>
      </w:pPr>
      <w:r w:rsidRPr="00040B78">
        <w:rPr>
          <w:b/>
          <w:color w:val="5B9BD5" w:themeColor="accent1"/>
          <w:sz w:val="24"/>
          <w:szCs w:val="24"/>
        </w:rPr>
        <w:t>Výdavky na mzdy, platy, služobné príjmy a ostatné osobné vyrovnania</w:t>
      </w:r>
    </w:p>
    <w:p w14:paraId="79D5BFF8" w14:textId="347CF9EE" w:rsidR="004D69BF" w:rsidRPr="00463607" w:rsidRDefault="004D69BF" w:rsidP="004D69BF">
      <w:pPr>
        <w:spacing w:line="240" w:lineRule="auto"/>
        <w:rPr>
          <w:sz w:val="24"/>
          <w:szCs w:val="24"/>
        </w:rPr>
      </w:pPr>
      <w:r w:rsidRPr="00463607">
        <w:rPr>
          <w:sz w:val="24"/>
          <w:szCs w:val="24"/>
        </w:rPr>
        <w:t>Zákon č.</w:t>
      </w:r>
      <w:r w:rsidR="004C20D6">
        <w:rPr>
          <w:sz w:val="24"/>
          <w:szCs w:val="24"/>
        </w:rPr>
        <w:t> </w:t>
      </w:r>
      <w:r w:rsidRPr="00463607">
        <w:rPr>
          <w:sz w:val="24"/>
          <w:szCs w:val="24"/>
        </w:rPr>
        <w:t>534/2023</w:t>
      </w:r>
      <w:r w:rsidR="004C20D6">
        <w:rPr>
          <w:sz w:val="24"/>
          <w:szCs w:val="24"/>
        </w:rPr>
        <w:t> </w:t>
      </w:r>
      <w:r w:rsidRPr="00463607">
        <w:rPr>
          <w:sz w:val="24"/>
          <w:szCs w:val="24"/>
        </w:rPr>
        <w:t>Z.</w:t>
      </w:r>
      <w:r w:rsidR="004C20D6">
        <w:rPr>
          <w:sz w:val="24"/>
          <w:szCs w:val="24"/>
        </w:rPr>
        <w:t> </w:t>
      </w:r>
      <w:r w:rsidRPr="00463607">
        <w:rPr>
          <w:sz w:val="24"/>
          <w:szCs w:val="24"/>
        </w:rPr>
        <w:t>z. o štátnom rozpočte na rok 2024 stanovil pre zamestnancov rozpočtových organizácií kapitol štátneho rozpočtu limit výdavkov na mzdy, platy, služobné príjmy a ostatné osobné vyrovnania (OOV) ako záväzný ukazovateľ z kódu 111 (zdroj štátneho rozpočtu), 11H (transfery od ostatných subjektov verejnej správy) a 11UA (financovanie projektov</w:t>
      </w:r>
      <w:r w:rsidR="004C20D6">
        <w:rPr>
          <w:sz w:val="24"/>
          <w:szCs w:val="24"/>
        </w:rPr>
        <w:t xml:space="preserve"> pomoci pre </w:t>
      </w:r>
      <w:r w:rsidRPr="00463607">
        <w:rPr>
          <w:sz w:val="24"/>
          <w:szCs w:val="24"/>
        </w:rPr>
        <w:t>občanov Ukrajiny) v úhrnnej sume 3</w:t>
      </w:r>
      <w:r w:rsidR="004C20D6">
        <w:rPr>
          <w:sz w:val="24"/>
          <w:szCs w:val="24"/>
        </w:rPr>
        <w:t> </w:t>
      </w:r>
      <w:r w:rsidRPr="00463607">
        <w:rPr>
          <w:sz w:val="24"/>
          <w:szCs w:val="24"/>
        </w:rPr>
        <w:t>106</w:t>
      </w:r>
      <w:r w:rsidR="004C20D6">
        <w:rPr>
          <w:sz w:val="24"/>
          <w:szCs w:val="24"/>
        </w:rPr>
        <w:t> </w:t>
      </w:r>
      <w:r w:rsidRPr="00463607">
        <w:rPr>
          <w:sz w:val="24"/>
          <w:szCs w:val="24"/>
        </w:rPr>
        <w:t>170</w:t>
      </w:r>
      <w:r w:rsidR="004C20D6">
        <w:rPr>
          <w:sz w:val="24"/>
          <w:szCs w:val="24"/>
        </w:rPr>
        <w:t> </w:t>
      </w:r>
      <w:r w:rsidRPr="00463607">
        <w:rPr>
          <w:sz w:val="24"/>
          <w:szCs w:val="24"/>
        </w:rPr>
        <w:t>tis.</w:t>
      </w:r>
      <w:r w:rsidR="004C20D6">
        <w:t> </w:t>
      </w:r>
      <w:r w:rsidRPr="00463607">
        <w:rPr>
          <w:sz w:val="24"/>
          <w:szCs w:val="24"/>
        </w:rPr>
        <w:t>eur. Súčasne boli v súlade s §</w:t>
      </w:r>
      <w:r w:rsidR="004C20D6">
        <w:rPr>
          <w:sz w:val="24"/>
          <w:szCs w:val="24"/>
        </w:rPr>
        <w:t> </w:t>
      </w:r>
      <w:r w:rsidRPr="00463607">
        <w:rPr>
          <w:sz w:val="24"/>
          <w:szCs w:val="24"/>
        </w:rPr>
        <w:t>17 ods.</w:t>
      </w:r>
      <w:r w:rsidR="004C20D6">
        <w:rPr>
          <w:sz w:val="24"/>
          <w:szCs w:val="24"/>
        </w:rPr>
        <w:t xml:space="preserve"> 4 zákona </w:t>
      </w:r>
      <w:r w:rsidRPr="00463607">
        <w:rPr>
          <w:sz w:val="24"/>
          <w:szCs w:val="24"/>
        </w:rPr>
        <w:t>o rozpočtových pravidlách rozpočtovan</w:t>
      </w:r>
      <w:r w:rsidR="004C20D6">
        <w:rPr>
          <w:sz w:val="24"/>
          <w:szCs w:val="24"/>
        </w:rPr>
        <w:t xml:space="preserve">é finančné prostriedky v sume </w:t>
      </w:r>
      <w:r w:rsidR="004C20D6" w:rsidRPr="004C20D6">
        <w:t>8</w:t>
      </w:r>
      <w:r w:rsidRPr="004C20D6">
        <w:t>tis</w:t>
      </w:r>
      <w:r w:rsidRPr="00463607">
        <w:rPr>
          <w:sz w:val="24"/>
          <w:szCs w:val="24"/>
        </w:rPr>
        <w:t>.</w:t>
      </w:r>
      <w:r w:rsidR="004C20D6">
        <w:rPr>
          <w:sz w:val="24"/>
          <w:szCs w:val="24"/>
        </w:rPr>
        <w:t> </w:t>
      </w:r>
      <w:r w:rsidRPr="00463607">
        <w:rPr>
          <w:sz w:val="24"/>
          <w:szCs w:val="24"/>
        </w:rPr>
        <w:t>eur, čím bol rozpočet výdavkov na mzdy a platy pre rok 2024 schválený na úrovni 3</w:t>
      </w:r>
      <w:r w:rsidR="004C20D6">
        <w:rPr>
          <w:sz w:val="24"/>
          <w:szCs w:val="24"/>
        </w:rPr>
        <w:t> </w:t>
      </w:r>
      <w:r w:rsidRPr="00463607">
        <w:rPr>
          <w:sz w:val="24"/>
          <w:szCs w:val="24"/>
        </w:rPr>
        <w:t>106</w:t>
      </w:r>
      <w:r w:rsidR="004C20D6">
        <w:rPr>
          <w:sz w:val="24"/>
          <w:szCs w:val="24"/>
        </w:rPr>
        <w:t> </w:t>
      </w:r>
      <w:r w:rsidRPr="00463607">
        <w:rPr>
          <w:sz w:val="24"/>
          <w:szCs w:val="24"/>
        </w:rPr>
        <w:t>178</w:t>
      </w:r>
      <w:r w:rsidR="004C20D6">
        <w:rPr>
          <w:sz w:val="24"/>
          <w:szCs w:val="24"/>
        </w:rPr>
        <w:t> </w:t>
      </w:r>
      <w:r w:rsidRPr="00463607">
        <w:rPr>
          <w:sz w:val="24"/>
          <w:szCs w:val="24"/>
        </w:rPr>
        <w:t>tis.</w:t>
      </w:r>
      <w:r w:rsidR="004C20D6">
        <w:rPr>
          <w:sz w:val="24"/>
          <w:szCs w:val="24"/>
        </w:rPr>
        <w:t> </w:t>
      </w:r>
      <w:r w:rsidRPr="00463607">
        <w:rPr>
          <w:sz w:val="24"/>
          <w:szCs w:val="24"/>
        </w:rPr>
        <w:t>eur.</w:t>
      </w:r>
    </w:p>
    <w:p w14:paraId="1832843C" w14:textId="200319F5" w:rsidR="004D69BF" w:rsidRPr="00463607" w:rsidRDefault="004D69BF" w:rsidP="004D69BF">
      <w:pPr>
        <w:spacing w:line="240" w:lineRule="auto"/>
        <w:rPr>
          <w:sz w:val="24"/>
          <w:szCs w:val="24"/>
        </w:rPr>
      </w:pPr>
      <w:r w:rsidRPr="00463607">
        <w:rPr>
          <w:sz w:val="24"/>
          <w:szCs w:val="24"/>
        </w:rPr>
        <w:lastRenderedPageBreak/>
        <w:t>Výdavky na mzdy, platy, služobné príjmy a OOV zo všetkých zdrojov boli v prieb</w:t>
      </w:r>
      <w:r w:rsidR="00F2526F">
        <w:rPr>
          <w:sz w:val="24"/>
          <w:szCs w:val="24"/>
        </w:rPr>
        <w:t>ehu roka upravené na sumu 3 289 493 </w:t>
      </w:r>
      <w:r w:rsidRPr="00463607">
        <w:rPr>
          <w:sz w:val="24"/>
          <w:szCs w:val="24"/>
        </w:rPr>
        <w:t>tis.</w:t>
      </w:r>
      <w:r w:rsidR="00F2526F">
        <w:rPr>
          <w:sz w:val="24"/>
          <w:szCs w:val="24"/>
        </w:rPr>
        <w:t> </w:t>
      </w:r>
      <w:r w:rsidRPr="00463607">
        <w:rPr>
          <w:sz w:val="24"/>
          <w:szCs w:val="24"/>
        </w:rPr>
        <w:t>eur. Na zdroji 111 boli rozpočtovými opatreniami upravené na</w:t>
      </w:r>
      <w:r w:rsidR="00F2526F">
        <w:rPr>
          <w:sz w:val="24"/>
          <w:szCs w:val="24"/>
        </w:rPr>
        <w:t> </w:t>
      </w:r>
      <w:r w:rsidRPr="00463607">
        <w:rPr>
          <w:sz w:val="24"/>
          <w:szCs w:val="24"/>
        </w:rPr>
        <w:t>sumu 3 156 495 </w:t>
      </w:r>
      <w:r w:rsidR="00F2526F">
        <w:rPr>
          <w:sz w:val="24"/>
          <w:szCs w:val="24"/>
        </w:rPr>
        <w:t>tis. </w:t>
      </w:r>
      <w:r w:rsidRPr="00463607">
        <w:rPr>
          <w:sz w:val="24"/>
          <w:szCs w:val="24"/>
        </w:rPr>
        <w:t>e</w:t>
      </w:r>
      <w:r w:rsidR="00F2526F">
        <w:rPr>
          <w:sz w:val="24"/>
          <w:szCs w:val="24"/>
        </w:rPr>
        <w:t>ur a na zdroji 11UA na sumu 215 </w:t>
      </w:r>
      <w:r w:rsidRPr="00463607">
        <w:rPr>
          <w:sz w:val="24"/>
          <w:szCs w:val="24"/>
        </w:rPr>
        <w:t>tis.</w:t>
      </w:r>
      <w:r w:rsidR="00F2526F">
        <w:rPr>
          <w:sz w:val="24"/>
          <w:szCs w:val="24"/>
        </w:rPr>
        <w:t> </w:t>
      </w:r>
      <w:r w:rsidRPr="00463607">
        <w:rPr>
          <w:sz w:val="24"/>
          <w:szCs w:val="24"/>
        </w:rPr>
        <w:t>eur. Zo zdrojov EÚ a prostriedkov na spolufinancovanie zo štátneho rozpočtu boli výdavky na mzdy, platy, služobné pr</w:t>
      </w:r>
      <w:r w:rsidR="00F2526F">
        <w:rPr>
          <w:sz w:val="24"/>
          <w:szCs w:val="24"/>
        </w:rPr>
        <w:t>íjmy a OOV upravené na sumu 132 </w:t>
      </w:r>
      <w:r w:rsidRPr="00463607">
        <w:rPr>
          <w:sz w:val="24"/>
          <w:szCs w:val="24"/>
        </w:rPr>
        <w:t>719</w:t>
      </w:r>
      <w:r w:rsidR="00F2526F">
        <w:rPr>
          <w:sz w:val="24"/>
          <w:szCs w:val="24"/>
        </w:rPr>
        <w:t> tis. </w:t>
      </w:r>
      <w:r w:rsidRPr="00463607">
        <w:rPr>
          <w:sz w:val="24"/>
          <w:szCs w:val="24"/>
        </w:rPr>
        <w:t>eur, z toho z prostriedkov Plánu obnovy a odolnosti SR na sumu 21</w:t>
      </w:r>
      <w:r w:rsidR="00F2526F">
        <w:rPr>
          <w:sz w:val="24"/>
          <w:szCs w:val="24"/>
        </w:rPr>
        <w:t> </w:t>
      </w:r>
      <w:r w:rsidRPr="00463607">
        <w:rPr>
          <w:sz w:val="24"/>
          <w:szCs w:val="24"/>
        </w:rPr>
        <w:t>933</w:t>
      </w:r>
      <w:r w:rsidR="00F2526F">
        <w:rPr>
          <w:sz w:val="24"/>
          <w:szCs w:val="24"/>
        </w:rPr>
        <w:t> tis. eur a zo zdroja 72h na sumu 65 </w:t>
      </w:r>
      <w:r w:rsidRPr="00463607">
        <w:rPr>
          <w:sz w:val="24"/>
          <w:szCs w:val="24"/>
        </w:rPr>
        <w:t>tis.</w:t>
      </w:r>
      <w:r w:rsidR="00F2526F">
        <w:rPr>
          <w:sz w:val="24"/>
          <w:szCs w:val="24"/>
        </w:rPr>
        <w:t> </w:t>
      </w:r>
      <w:r w:rsidRPr="00463607">
        <w:rPr>
          <w:sz w:val="24"/>
          <w:szCs w:val="24"/>
        </w:rPr>
        <w:t>eur.</w:t>
      </w:r>
    </w:p>
    <w:p w14:paraId="65079E14" w14:textId="7EED2072" w:rsidR="004D69BF" w:rsidRPr="00B10587" w:rsidRDefault="004D69BF" w:rsidP="004D69BF">
      <w:pPr>
        <w:spacing w:line="240" w:lineRule="auto"/>
        <w:rPr>
          <w:bCs/>
          <w:sz w:val="24"/>
          <w:szCs w:val="24"/>
        </w:rPr>
      </w:pPr>
      <w:r w:rsidRPr="00463607">
        <w:rPr>
          <w:b/>
          <w:sz w:val="24"/>
          <w:szCs w:val="24"/>
        </w:rPr>
        <w:t>V skutočnosti boli výdavky na</w:t>
      </w:r>
      <w:r w:rsidRPr="00463607">
        <w:rPr>
          <w:sz w:val="24"/>
          <w:szCs w:val="24"/>
        </w:rPr>
        <w:t xml:space="preserve"> </w:t>
      </w:r>
      <w:r w:rsidRPr="00463607">
        <w:rPr>
          <w:b/>
          <w:sz w:val="24"/>
          <w:szCs w:val="24"/>
        </w:rPr>
        <w:t>mzdy, platy, služobné príjmy a OOV zamestnancov rozpočtových organizácií kapitol štátneho rozpočtu za všetky zdroje čerpané na</w:t>
      </w:r>
      <w:r w:rsidR="00F2526F">
        <w:rPr>
          <w:b/>
          <w:sz w:val="24"/>
          <w:szCs w:val="24"/>
        </w:rPr>
        <w:t> úrovni 3 239 </w:t>
      </w:r>
      <w:r w:rsidRPr="00463607">
        <w:rPr>
          <w:b/>
          <w:sz w:val="24"/>
          <w:szCs w:val="24"/>
        </w:rPr>
        <w:t>873</w:t>
      </w:r>
      <w:r w:rsidR="00F2526F">
        <w:rPr>
          <w:b/>
          <w:sz w:val="24"/>
          <w:szCs w:val="24"/>
        </w:rPr>
        <w:t> </w:t>
      </w:r>
      <w:r w:rsidRPr="00463607">
        <w:rPr>
          <w:b/>
          <w:sz w:val="24"/>
          <w:szCs w:val="24"/>
        </w:rPr>
        <w:t>tis.</w:t>
      </w:r>
      <w:r w:rsidR="00F2526F">
        <w:rPr>
          <w:b/>
          <w:sz w:val="24"/>
          <w:szCs w:val="24"/>
        </w:rPr>
        <w:t> eur, čo je o 220 439 tis. eur (7,3 </w:t>
      </w:r>
      <w:r w:rsidRPr="00463607">
        <w:rPr>
          <w:b/>
          <w:sz w:val="24"/>
          <w:szCs w:val="24"/>
        </w:rPr>
        <w:t xml:space="preserve">%) viac ako v roku 2023. </w:t>
      </w:r>
      <w:r w:rsidRPr="00B10587">
        <w:rPr>
          <w:bCs/>
          <w:sz w:val="24"/>
          <w:szCs w:val="24"/>
        </w:rPr>
        <w:t>Na vyššom medziročnom čerpaní sa podieľalo hlavne vyššie čerpan</w:t>
      </w:r>
      <w:r w:rsidR="00F2526F">
        <w:rPr>
          <w:bCs/>
          <w:sz w:val="24"/>
          <w:szCs w:val="24"/>
        </w:rPr>
        <w:t>ie zo zdroja 111 v sume 224 095 tis. </w:t>
      </w:r>
      <w:r w:rsidRPr="00B10587">
        <w:rPr>
          <w:bCs/>
          <w:sz w:val="24"/>
          <w:szCs w:val="24"/>
        </w:rPr>
        <w:t>eur</w:t>
      </w:r>
      <w:r>
        <w:rPr>
          <w:bCs/>
          <w:sz w:val="24"/>
          <w:szCs w:val="24"/>
        </w:rPr>
        <w:t xml:space="preserve"> a</w:t>
      </w:r>
      <w:r w:rsidRPr="00B10587">
        <w:rPr>
          <w:bCs/>
          <w:sz w:val="24"/>
          <w:szCs w:val="24"/>
        </w:rPr>
        <w:t xml:space="preserve"> z Plánu obn</w:t>
      </w:r>
      <w:r w:rsidR="00F2526F">
        <w:rPr>
          <w:bCs/>
          <w:sz w:val="24"/>
          <w:szCs w:val="24"/>
        </w:rPr>
        <w:t>ovy a odolnosti SR v sume 5 415 </w:t>
      </w:r>
      <w:r w:rsidRPr="00B10587">
        <w:rPr>
          <w:bCs/>
          <w:sz w:val="24"/>
          <w:szCs w:val="24"/>
        </w:rPr>
        <w:t>tis.</w:t>
      </w:r>
      <w:r w:rsidR="00F2526F">
        <w:rPr>
          <w:bCs/>
          <w:sz w:val="24"/>
          <w:szCs w:val="24"/>
        </w:rPr>
        <w:t> </w:t>
      </w:r>
      <w:r w:rsidRPr="00B10587">
        <w:rPr>
          <w:bCs/>
          <w:sz w:val="24"/>
          <w:szCs w:val="24"/>
        </w:rPr>
        <w:t>eur</w:t>
      </w:r>
      <w:r>
        <w:rPr>
          <w:bCs/>
          <w:sz w:val="24"/>
          <w:szCs w:val="24"/>
        </w:rPr>
        <w:t>.</w:t>
      </w:r>
      <w:r w:rsidRPr="00B10587">
        <w:rPr>
          <w:bCs/>
          <w:sz w:val="24"/>
          <w:szCs w:val="24"/>
        </w:rPr>
        <w:t xml:space="preserve"> Zároveň došlo k medziročnému poklesu čerpania zo zdroj</w:t>
      </w:r>
      <w:r w:rsidR="00F2526F">
        <w:rPr>
          <w:bCs/>
          <w:sz w:val="24"/>
          <w:szCs w:val="24"/>
        </w:rPr>
        <w:t>a 11UA v sume 114 </w:t>
      </w:r>
      <w:r w:rsidRPr="00B10587">
        <w:rPr>
          <w:bCs/>
          <w:sz w:val="24"/>
          <w:szCs w:val="24"/>
        </w:rPr>
        <w:t>tis.</w:t>
      </w:r>
      <w:r w:rsidR="00F2526F">
        <w:rPr>
          <w:bCs/>
          <w:sz w:val="24"/>
          <w:szCs w:val="24"/>
        </w:rPr>
        <w:t> </w:t>
      </w:r>
      <w:r w:rsidR="000F7ABA">
        <w:rPr>
          <w:bCs/>
          <w:sz w:val="24"/>
          <w:szCs w:val="24"/>
        </w:rPr>
        <w:t>eur a zo </w:t>
      </w:r>
      <w:r w:rsidRPr="00B10587">
        <w:rPr>
          <w:bCs/>
          <w:sz w:val="24"/>
          <w:szCs w:val="24"/>
        </w:rPr>
        <w:t>zdroja EÚ a spolufinancovania zo</w:t>
      </w:r>
      <w:r w:rsidR="00F2526F">
        <w:rPr>
          <w:bCs/>
          <w:sz w:val="24"/>
          <w:szCs w:val="24"/>
        </w:rPr>
        <w:t> štátneho rozpočtu v sume 8 962 </w:t>
      </w:r>
      <w:r w:rsidRPr="00B10587">
        <w:rPr>
          <w:bCs/>
          <w:sz w:val="24"/>
          <w:szCs w:val="24"/>
        </w:rPr>
        <w:t>tis.</w:t>
      </w:r>
      <w:r w:rsidR="00F2526F">
        <w:rPr>
          <w:bCs/>
          <w:sz w:val="24"/>
          <w:szCs w:val="24"/>
        </w:rPr>
        <w:t> </w:t>
      </w:r>
      <w:r w:rsidRPr="00B10587">
        <w:rPr>
          <w:bCs/>
          <w:sz w:val="24"/>
          <w:szCs w:val="24"/>
        </w:rPr>
        <w:t>eur.</w:t>
      </w:r>
    </w:p>
    <w:p w14:paraId="70484C84" w14:textId="68FDABA4" w:rsidR="004D69BF" w:rsidRPr="00463607" w:rsidRDefault="004D69BF" w:rsidP="004D69BF">
      <w:pPr>
        <w:spacing w:line="240" w:lineRule="auto"/>
        <w:rPr>
          <w:sz w:val="24"/>
          <w:szCs w:val="24"/>
        </w:rPr>
      </w:pPr>
      <w:r w:rsidRPr="00463607">
        <w:rPr>
          <w:sz w:val="24"/>
          <w:szCs w:val="24"/>
        </w:rPr>
        <w:t>Z prostriedkov štátneho rozpočtu zo zdroja 111 a 11UA boli na mzdy</w:t>
      </w:r>
      <w:r w:rsidR="00F2526F">
        <w:rPr>
          <w:sz w:val="24"/>
          <w:szCs w:val="24"/>
        </w:rPr>
        <w:t xml:space="preserve">, platy, služobné príjmy a OOV </w:t>
      </w:r>
      <w:r w:rsidRPr="00463607">
        <w:rPr>
          <w:sz w:val="24"/>
          <w:szCs w:val="24"/>
        </w:rPr>
        <w:t>zamestnancov čerpané finančné prostriedky v sume 3</w:t>
      </w:r>
      <w:r w:rsidR="00F2526F">
        <w:rPr>
          <w:sz w:val="24"/>
          <w:szCs w:val="24"/>
        </w:rPr>
        <w:t> 107 093 </w:t>
      </w:r>
      <w:r w:rsidRPr="00463607">
        <w:rPr>
          <w:sz w:val="24"/>
          <w:szCs w:val="24"/>
        </w:rPr>
        <w:t>tis.</w:t>
      </w:r>
      <w:r w:rsidR="00F2526F">
        <w:rPr>
          <w:sz w:val="24"/>
          <w:szCs w:val="24"/>
        </w:rPr>
        <w:t> </w:t>
      </w:r>
      <w:r w:rsidRPr="00463607">
        <w:rPr>
          <w:sz w:val="24"/>
          <w:szCs w:val="24"/>
        </w:rPr>
        <w:t>eur. Z prostriedkov EÚ a prostriedkov na spolufinancovanie zo štátneho rozpočtu boli vyplatené mzdy v sume 132</w:t>
      </w:r>
      <w:r w:rsidR="00F2526F">
        <w:rPr>
          <w:sz w:val="24"/>
          <w:szCs w:val="24"/>
        </w:rPr>
        <w:t> </w:t>
      </w:r>
      <w:r w:rsidRPr="00463607">
        <w:rPr>
          <w:sz w:val="24"/>
          <w:szCs w:val="24"/>
        </w:rPr>
        <w:t>719</w:t>
      </w:r>
      <w:r w:rsidR="00F2526F">
        <w:rPr>
          <w:sz w:val="24"/>
          <w:szCs w:val="24"/>
        </w:rPr>
        <w:t> </w:t>
      </w:r>
      <w:r w:rsidRPr="00463607">
        <w:rPr>
          <w:sz w:val="24"/>
          <w:szCs w:val="24"/>
        </w:rPr>
        <w:t>tis.</w:t>
      </w:r>
      <w:r w:rsidR="00F2526F">
        <w:rPr>
          <w:sz w:val="24"/>
          <w:szCs w:val="24"/>
        </w:rPr>
        <w:t> </w:t>
      </w:r>
      <w:r w:rsidRPr="00463607">
        <w:rPr>
          <w:sz w:val="24"/>
          <w:szCs w:val="24"/>
        </w:rPr>
        <w:t>eur, z toho z prostriedkov Plánu obnovy a odolnosti SR v sume 21</w:t>
      </w:r>
      <w:r w:rsidR="00F2526F">
        <w:rPr>
          <w:sz w:val="24"/>
          <w:szCs w:val="24"/>
        </w:rPr>
        <w:t> </w:t>
      </w:r>
      <w:r w:rsidRPr="00463607">
        <w:rPr>
          <w:sz w:val="24"/>
          <w:szCs w:val="24"/>
        </w:rPr>
        <w:t>933</w:t>
      </w:r>
      <w:r w:rsidR="00F2526F">
        <w:rPr>
          <w:sz w:val="24"/>
          <w:szCs w:val="24"/>
        </w:rPr>
        <w:t> </w:t>
      </w:r>
      <w:r w:rsidRPr="00463607">
        <w:rPr>
          <w:sz w:val="24"/>
          <w:szCs w:val="24"/>
        </w:rPr>
        <w:t>tis.</w:t>
      </w:r>
      <w:r w:rsidR="00F2526F">
        <w:rPr>
          <w:sz w:val="24"/>
          <w:szCs w:val="24"/>
        </w:rPr>
        <w:t> </w:t>
      </w:r>
      <w:r w:rsidRPr="00463607">
        <w:rPr>
          <w:sz w:val="24"/>
          <w:szCs w:val="24"/>
        </w:rPr>
        <w:t>eur. Na</w:t>
      </w:r>
      <w:r w:rsidR="00F2526F">
        <w:rPr>
          <w:sz w:val="24"/>
          <w:szCs w:val="24"/>
        </w:rPr>
        <w:t> </w:t>
      </w:r>
      <w:r w:rsidRPr="00463607">
        <w:rPr>
          <w:sz w:val="24"/>
          <w:szCs w:val="24"/>
        </w:rPr>
        <w:t>zdroji 72h boli výdavky na mzdy, platy, služobné platy a OOV čerpané v sume 61</w:t>
      </w:r>
      <w:r w:rsidR="00F2526F">
        <w:rPr>
          <w:sz w:val="24"/>
          <w:szCs w:val="24"/>
        </w:rPr>
        <w:t> </w:t>
      </w:r>
      <w:r w:rsidRPr="00463607">
        <w:rPr>
          <w:sz w:val="24"/>
          <w:szCs w:val="24"/>
        </w:rPr>
        <w:t>tis.</w:t>
      </w:r>
      <w:r w:rsidR="00F2526F">
        <w:rPr>
          <w:sz w:val="24"/>
          <w:szCs w:val="24"/>
        </w:rPr>
        <w:t> </w:t>
      </w:r>
      <w:r w:rsidRPr="00463607">
        <w:rPr>
          <w:sz w:val="24"/>
          <w:szCs w:val="24"/>
        </w:rPr>
        <w:t>eur.</w:t>
      </w:r>
    </w:p>
    <w:p w14:paraId="20AC4955" w14:textId="001A019B" w:rsidR="004D69BF" w:rsidRPr="00086501" w:rsidRDefault="004D69BF" w:rsidP="004D69BF">
      <w:pPr>
        <w:spacing w:line="240" w:lineRule="auto"/>
        <w:rPr>
          <w:sz w:val="24"/>
          <w:szCs w:val="24"/>
          <w:u w:val="single"/>
        </w:rPr>
      </w:pPr>
      <w:r w:rsidRPr="00086501">
        <w:rPr>
          <w:sz w:val="24"/>
          <w:szCs w:val="24"/>
          <w:u w:val="single"/>
        </w:rPr>
        <w:t>Limit výdavkov na mzdy, platy, služobné príjmy a OO</w:t>
      </w:r>
      <w:r w:rsidR="00F2526F">
        <w:rPr>
          <w:sz w:val="24"/>
          <w:szCs w:val="24"/>
          <w:u w:val="single"/>
        </w:rPr>
        <w:t>V bol ako záväzný ukazovateľ na </w:t>
      </w:r>
      <w:r w:rsidRPr="00086501">
        <w:rPr>
          <w:sz w:val="24"/>
          <w:szCs w:val="24"/>
          <w:u w:val="single"/>
        </w:rPr>
        <w:t>zdroji 111, 11H a 11UA vo všetkých kapitolách štátneho rozpočtu dodržaný.</w:t>
      </w:r>
    </w:p>
    <w:p w14:paraId="0C861295" w14:textId="3424D025" w:rsidR="004D69BF" w:rsidRPr="00463607" w:rsidRDefault="004D69BF" w:rsidP="004D69BF">
      <w:pPr>
        <w:spacing w:line="240" w:lineRule="auto"/>
        <w:rPr>
          <w:sz w:val="24"/>
          <w:szCs w:val="24"/>
        </w:rPr>
      </w:pPr>
      <w:r w:rsidRPr="00463607">
        <w:rPr>
          <w:sz w:val="24"/>
          <w:szCs w:val="24"/>
        </w:rPr>
        <w:t>Medziročný nárast výdavkov na mzdy, platy, služobné príjmy a OOV zamestnancov rozpočtových organizácií kapitol štátneho rozp</w:t>
      </w:r>
      <w:r w:rsidR="00F2526F">
        <w:rPr>
          <w:sz w:val="24"/>
          <w:szCs w:val="24"/>
        </w:rPr>
        <w:t>očtu najvýraznejšie ovplyvnilo:</w:t>
      </w:r>
    </w:p>
    <w:p w14:paraId="0E83834C" w14:textId="55AE6A1D" w:rsidR="004D69BF" w:rsidRPr="00463607" w:rsidRDefault="004D69BF" w:rsidP="004D69BF">
      <w:pPr>
        <w:spacing w:line="240" w:lineRule="auto"/>
        <w:ind w:left="142" w:hanging="142"/>
        <w:rPr>
          <w:sz w:val="24"/>
          <w:szCs w:val="24"/>
        </w:rPr>
      </w:pPr>
      <w:r w:rsidRPr="00463607">
        <w:rPr>
          <w:sz w:val="24"/>
          <w:szCs w:val="24"/>
        </w:rPr>
        <w:t>- čiastočné vrátenie viazania v kapitole Ministerstvo vnútra SR v </w:t>
      </w:r>
      <w:r w:rsidR="00F2526F">
        <w:rPr>
          <w:sz w:val="24"/>
          <w:szCs w:val="24"/>
        </w:rPr>
        <w:t>sume 28 092 tis. eur viazané od </w:t>
      </w:r>
      <w:r w:rsidRPr="00463607">
        <w:rPr>
          <w:sz w:val="24"/>
          <w:szCs w:val="24"/>
        </w:rPr>
        <w:t>roku 2022 z dôvodu optimalizácie počtu policajtov a postupného dorovnania na</w:t>
      </w:r>
      <w:r w:rsidR="000F7ABA">
        <w:rPr>
          <w:sz w:val="24"/>
          <w:szCs w:val="24"/>
        </w:rPr>
        <w:t> </w:t>
      </w:r>
      <w:r w:rsidRPr="00463607">
        <w:rPr>
          <w:sz w:val="24"/>
          <w:szCs w:val="24"/>
        </w:rPr>
        <w:t>priemer EÚ do roku 2027 vyplývajúceho z Revízie výdavkov</w:t>
      </w:r>
      <w:r w:rsidR="000F7ABA">
        <w:rPr>
          <w:sz w:val="24"/>
          <w:szCs w:val="24"/>
        </w:rPr>
        <w:t xml:space="preserve"> zamestnanosti a </w:t>
      </w:r>
      <w:r w:rsidR="00F2526F">
        <w:rPr>
          <w:sz w:val="24"/>
          <w:szCs w:val="24"/>
        </w:rPr>
        <w:t>odmeňovania vo </w:t>
      </w:r>
      <w:r w:rsidRPr="00463607">
        <w:rPr>
          <w:sz w:val="24"/>
          <w:szCs w:val="24"/>
        </w:rPr>
        <w:t>verejnej správe, ktorú vláda SR schválila v roku 2020,</w:t>
      </w:r>
    </w:p>
    <w:p w14:paraId="6650B1AE" w14:textId="23D8641F" w:rsidR="004D69BF" w:rsidRPr="00463607" w:rsidRDefault="004D69BF" w:rsidP="004D69BF">
      <w:pPr>
        <w:spacing w:line="240" w:lineRule="auto"/>
        <w:ind w:left="142" w:hanging="142"/>
        <w:rPr>
          <w:sz w:val="24"/>
          <w:szCs w:val="24"/>
        </w:rPr>
      </w:pPr>
      <w:r w:rsidRPr="00463607">
        <w:rPr>
          <w:sz w:val="24"/>
          <w:szCs w:val="24"/>
        </w:rPr>
        <w:t>- schválené l</w:t>
      </w:r>
      <w:r w:rsidR="004D7824">
        <w:rPr>
          <w:sz w:val="24"/>
          <w:szCs w:val="24"/>
        </w:rPr>
        <w:t>egislatívne zmeny v sume 27 763 </w:t>
      </w:r>
      <w:r w:rsidRPr="00463607">
        <w:rPr>
          <w:sz w:val="24"/>
          <w:szCs w:val="24"/>
        </w:rPr>
        <w:t>tis.</w:t>
      </w:r>
      <w:r w:rsidR="001B4BBA">
        <w:rPr>
          <w:sz w:val="24"/>
          <w:szCs w:val="24"/>
        </w:rPr>
        <w:t> </w:t>
      </w:r>
      <w:r w:rsidRPr="00463607">
        <w:rPr>
          <w:sz w:val="24"/>
          <w:szCs w:val="24"/>
        </w:rPr>
        <w:t>eur (najmä Ministerstvo školstva, výskumu, vývoja a mládeže SR v súvislosti so schválenou novelou školského zákona, Ministerstvo práce, sociálnych vecí a rodiny SR v súvislosti so schváleným zákonom o inšpekcii v sociálnych veciach a so zákonom o profesionálnych náhradných rodičoch, Ministerstvo spravodlivosti SR v súvislosti so zriadením troch správnych súdov, Ministerstvo zdravotníctva SR v súvislosti so</w:t>
      </w:r>
      <w:r w:rsidR="004D7824">
        <w:rPr>
          <w:sz w:val="24"/>
          <w:szCs w:val="24"/>
        </w:rPr>
        <w:t> </w:t>
      </w:r>
      <w:r w:rsidRPr="00463607">
        <w:rPr>
          <w:sz w:val="24"/>
          <w:szCs w:val="24"/>
        </w:rPr>
        <w:t>zriadením Detenčného ústavu Hronovce),</w:t>
      </w:r>
    </w:p>
    <w:p w14:paraId="40BD4D75" w14:textId="3CD91A6A" w:rsidR="004D69BF" w:rsidRDefault="004D69BF" w:rsidP="004D69BF">
      <w:pPr>
        <w:spacing w:line="240" w:lineRule="auto"/>
        <w:ind w:left="142" w:hanging="142"/>
        <w:rPr>
          <w:sz w:val="24"/>
          <w:szCs w:val="24"/>
        </w:rPr>
      </w:pPr>
      <w:r w:rsidRPr="00463607">
        <w:rPr>
          <w:sz w:val="24"/>
          <w:szCs w:val="24"/>
        </w:rPr>
        <w:t>- potreba zlepšenia odmeňovania zamestnancov niektorých kapitol štátneho rozpočtu v sume 23</w:t>
      </w:r>
      <w:r w:rsidR="004D7824">
        <w:rPr>
          <w:sz w:val="24"/>
          <w:szCs w:val="24"/>
        </w:rPr>
        <w:t> </w:t>
      </w:r>
      <w:r w:rsidRPr="00463607">
        <w:rPr>
          <w:sz w:val="24"/>
          <w:szCs w:val="24"/>
        </w:rPr>
        <w:t>996</w:t>
      </w:r>
      <w:r w:rsidR="004D7824">
        <w:rPr>
          <w:sz w:val="24"/>
          <w:szCs w:val="24"/>
        </w:rPr>
        <w:t> </w:t>
      </w:r>
      <w:r w:rsidRPr="00463607">
        <w:rPr>
          <w:sz w:val="24"/>
          <w:szCs w:val="24"/>
        </w:rPr>
        <w:t>tis.</w:t>
      </w:r>
      <w:r w:rsidR="004D7824">
        <w:rPr>
          <w:sz w:val="24"/>
          <w:szCs w:val="24"/>
        </w:rPr>
        <w:t> </w:t>
      </w:r>
      <w:r w:rsidRPr="00463607">
        <w:rPr>
          <w:sz w:val="24"/>
          <w:szCs w:val="24"/>
        </w:rPr>
        <w:t>eur (najmä Ministerstvo práce, sociálnych vecí a rodiny SR v súvislosti so</w:t>
      </w:r>
      <w:r w:rsidR="000F7ABA">
        <w:rPr>
          <w:sz w:val="24"/>
          <w:szCs w:val="24"/>
        </w:rPr>
        <w:t> </w:t>
      </w:r>
      <w:r w:rsidRPr="00463607">
        <w:rPr>
          <w:sz w:val="24"/>
          <w:szCs w:val="24"/>
        </w:rPr>
        <w:t>zvýšením ohodnotenia zamestnancov ÚPSVaR SR a zamestnancov C</w:t>
      </w:r>
      <w:r w:rsidR="000F7ABA">
        <w:rPr>
          <w:sz w:val="24"/>
          <w:szCs w:val="24"/>
        </w:rPr>
        <w:t>entier pre </w:t>
      </w:r>
      <w:r>
        <w:rPr>
          <w:sz w:val="24"/>
          <w:szCs w:val="24"/>
        </w:rPr>
        <w:t>deti a</w:t>
      </w:r>
      <w:r w:rsidR="004D7824">
        <w:rPr>
          <w:sz w:val="24"/>
          <w:szCs w:val="24"/>
        </w:rPr>
        <w:t> </w:t>
      </w:r>
      <w:r>
        <w:rPr>
          <w:sz w:val="24"/>
          <w:szCs w:val="24"/>
        </w:rPr>
        <w:t>rodinu</w:t>
      </w:r>
      <w:r w:rsidRPr="00463607">
        <w:rPr>
          <w:sz w:val="24"/>
          <w:szCs w:val="24"/>
        </w:rPr>
        <w:t>, Ministerstvo školstva, výskumu, vývoja a mládeže SR v súvislosti s aplikáciou koeficientu ekonomickej rovnováhy)</w:t>
      </w:r>
      <w:r w:rsidR="004D7824">
        <w:rPr>
          <w:sz w:val="24"/>
          <w:szCs w:val="24"/>
        </w:rPr>
        <w:t>,</w:t>
      </w:r>
    </w:p>
    <w:p w14:paraId="395154E6" w14:textId="05E67B8C" w:rsidR="004D69BF" w:rsidRDefault="004D69BF" w:rsidP="004D69BF">
      <w:pPr>
        <w:spacing w:line="240" w:lineRule="auto"/>
        <w:ind w:left="142" w:hanging="142"/>
        <w:rPr>
          <w:sz w:val="24"/>
          <w:szCs w:val="24"/>
        </w:rPr>
      </w:pPr>
      <w:r w:rsidRPr="00463607">
        <w:rPr>
          <w:sz w:val="24"/>
          <w:szCs w:val="24"/>
        </w:rPr>
        <w:t>- zvýšenie výdavkov na kmeňové administratívne kapacity v sume 13</w:t>
      </w:r>
      <w:r w:rsidR="004D7824">
        <w:rPr>
          <w:sz w:val="24"/>
          <w:szCs w:val="24"/>
        </w:rPr>
        <w:t> </w:t>
      </w:r>
      <w:r w:rsidRPr="00463607">
        <w:rPr>
          <w:sz w:val="24"/>
          <w:szCs w:val="24"/>
        </w:rPr>
        <w:t>883</w:t>
      </w:r>
      <w:r w:rsidR="004D7824">
        <w:rPr>
          <w:sz w:val="24"/>
          <w:szCs w:val="24"/>
        </w:rPr>
        <w:t> tis. </w:t>
      </w:r>
      <w:r w:rsidRPr="00463607">
        <w:rPr>
          <w:sz w:val="24"/>
          <w:szCs w:val="24"/>
        </w:rPr>
        <w:t>eur (dotýka sa kapitol Ministerstvo hospodárstva SR, Ministerstvo investícií, regionálneho rozvoja a informatizácie SR, Ministerstvo pôdohospodárstva a rozvoja vidieka SR, Ministerstvo vnútra SR, Ministerstvo financií SR, Ministerstvo zdravotníctva SR, Ministerstvo životného prostredia SR, Ministerstvo kultúry SR, Ministerstvo školstva, výskumu, vývoja a mládeže SR, Ministerstvo práce, sociálnych vecí a rodiny SR, Najvyšší kontrolný úrad SR, Protimonopolný úrad SR a Úrad vlády SR)</w:t>
      </w:r>
      <w:r w:rsidR="004D7824">
        <w:rPr>
          <w:sz w:val="24"/>
          <w:szCs w:val="24"/>
        </w:rPr>
        <w:t>.</w:t>
      </w:r>
    </w:p>
    <w:p w14:paraId="761E54DE" w14:textId="77777777" w:rsidR="00B27E03" w:rsidRPr="00463607" w:rsidRDefault="00B27E03" w:rsidP="004D69BF">
      <w:pPr>
        <w:spacing w:line="240" w:lineRule="auto"/>
        <w:ind w:left="142" w:hanging="142"/>
        <w:rPr>
          <w:sz w:val="24"/>
          <w:szCs w:val="24"/>
        </w:rPr>
      </w:pPr>
    </w:p>
    <w:p w14:paraId="0032DBC4" w14:textId="1E1CC1F6" w:rsidR="004D69BF" w:rsidRPr="00463607" w:rsidRDefault="004D69BF" w:rsidP="004D69BF">
      <w:pPr>
        <w:spacing w:line="240" w:lineRule="auto"/>
        <w:rPr>
          <w:sz w:val="24"/>
          <w:szCs w:val="24"/>
          <w:u w:val="single"/>
        </w:rPr>
      </w:pPr>
      <w:r w:rsidRPr="00463607">
        <w:rPr>
          <w:sz w:val="24"/>
          <w:szCs w:val="24"/>
          <w:u w:val="single"/>
        </w:rPr>
        <w:lastRenderedPageBreak/>
        <w:t>V roku 2024 boli kapitolám štátneho rozpočtu zv</w:t>
      </w:r>
      <w:r w:rsidR="00B27E03">
        <w:rPr>
          <w:sz w:val="24"/>
          <w:szCs w:val="24"/>
          <w:u w:val="single"/>
        </w:rPr>
        <w:t>ýšené limity mzdových výdavkov:</w:t>
      </w:r>
    </w:p>
    <w:p w14:paraId="3A25AA5F" w14:textId="33616ECE" w:rsidR="004D69BF" w:rsidRPr="00463607" w:rsidRDefault="004D69BF" w:rsidP="004D69BF">
      <w:pPr>
        <w:spacing w:line="240" w:lineRule="auto"/>
        <w:ind w:left="142" w:hanging="142"/>
        <w:rPr>
          <w:sz w:val="24"/>
          <w:szCs w:val="24"/>
        </w:rPr>
      </w:pPr>
      <w:r w:rsidRPr="00463607">
        <w:rPr>
          <w:sz w:val="24"/>
          <w:szCs w:val="24"/>
        </w:rPr>
        <w:t>- na zlepšenie odmeňov</w:t>
      </w:r>
      <w:r w:rsidR="004D7824">
        <w:rPr>
          <w:sz w:val="24"/>
          <w:szCs w:val="24"/>
        </w:rPr>
        <w:t>ania zamestnancov v sume 57 565 </w:t>
      </w:r>
      <w:r w:rsidRPr="00463607">
        <w:rPr>
          <w:sz w:val="24"/>
          <w:szCs w:val="24"/>
        </w:rPr>
        <w:t>tis.</w:t>
      </w:r>
      <w:r w:rsidR="004D7824">
        <w:rPr>
          <w:sz w:val="24"/>
          <w:szCs w:val="24"/>
        </w:rPr>
        <w:t> </w:t>
      </w:r>
      <w:r w:rsidRPr="00463607">
        <w:rPr>
          <w:sz w:val="24"/>
          <w:szCs w:val="24"/>
        </w:rPr>
        <w:t>eur (najmä v kapitole Ministerstvo obrany SR predovšetkým na plnenie úlohových listov ministra obrany v sume 45</w:t>
      </w:r>
      <w:r w:rsidR="004D7824">
        <w:rPr>
          <w:sz w:val="24"/>
          <w:szCs w:val="24"/>
        </w:rPr>
        <w:t> </w:t>
      </w:r>
      <w:r w:rsidRPr="00463607">
        <w:rPr>
          <w:sz w:val="24"/>
          <w:szCs w:val="24"/>
        </w:rPr>
        <w:t>082</w:t>
      </w:r>
      <w:r w:rsidR="004D7824">
        <w:rPr>
          <w:sz w:val="24"/>
          <w:szCs w:val="24"/>
        </w:rPr>
        <w:t> </w:t>
      </w:r>
      <w:r w:rsidRPr="00463607">
        <w:rPr>
          <w:sz w:val="24"/>
          <w:szCs w:val="24"/>
        </w:rPr>
        <w:t>tis.</w:t>
      </w:r>
      <w:r w:rsidR="004D7824">
        <w:rPr>
          <w:sz w:val="24"/>
          <w:szCs w:val="24"/>
        </w:rPr>
        <w:t> </w:t>
      </w:r>
      <w:r w:rsidRPr="00463607">
        <w:rPr>
          <w:sz w:val="24"/>
          <w:szCs w:val="24"/>
        </w:rPr>
        <w:t>eur),</w:t>
      </w:r>
    </w:p>
    <w:p w14:paraId="5205D2E2" w14:textId="216ACF2E" w:rsidR="004D69BF" w:rsidRPr="00463607" w:rsidRDefault="004D69BF" w:rsidP="004D69BF">
      <w:pPr>
        <w:spacing w:line="240" w:lineRule="auto"/>
        <w:ind w:left="142" w:hanging="142"/>
        <w:rPr>
          <w:sz w:val="24"/>
          <w:szCs w:val="24"/>
        </w:rPr>
      </w:pPr>
      <w:r w:rsidRPr="00463607">
        <w:rPr>
          <w:sz w:val="24"/>
          <w:szCs w:val="24"/>
        </w:rPr>
        <w:t>- v súvislosti s medziročným rastom priemernej mesačnej nominálnej mzdy zamestnanca v národnom hospodárstve  boli kapitolám štátneho rozpočtu zvýšené limity mzdových výdavkov na zabezpečenie platov zamestnancov naviazaných na plat poslanca, respektíve na</w:t>
      </w:r>
      <w:r w:rsidR="004D7824">
        <w:rPr>
          <w:sz w:val="24"/>
          <w:szCs w:val="24"/>
        </w:rPr>
        <w:t> </w:t>
      </w:r>
      <w:r w:rsidRPr="00463607">
        <w:rPr>
          <w:sz w:val="24"/>
          <w:szCs w:val="24"/>
        </w:rPr>
        <w:t>rast pri</w:t>
      </w:r>
      <w:r w:rsidR="004D7824">
        <w:rPr>
          <w:sz w:val="24"/>
          <w:szCs w:val="24"/>
        </w:rPr>
        <w:t>emernej mzdy v sume 13 280 tis. </w:t>
      </w:r>
      <w:r w:rsidRPr="00463607">
        <w:rPr>
          <w:sz w:val="24"/>
          <w:szCs w:val="24"/>
        </w:rPr>
        <w:t>eur,</w:t>
      </w:r>
    </w:p>
    <w:p w14:paraId="4477FE32" w14:textId="0BB4F97C" w:rsidR="004D69BF" w:rsidRPr="00463607" w:rsidRDefault="004D69BF" w:rsidP="004D69BF">
      <w:pPr>
        <w:spacing w:line="240" w:lineRule="auto"/>
        <w:ind w:left="142" w:hanging="142"/>
        <w:rPr>
          <w:sz w:val="24"/>
          <w:szCs w:val="24"/>
        </w:rPr>
      </w:pPr>
      <w:r w:rsidRPr="00463607">
        <w:rPr>
          <w:sz w:val="24"/>
          <w:szCs w:val="24"/>
        </w:rPr>
        <w:t xml:space="preserve">- na základe požiadaviek jednotlivých kapitol štátneho rozpočtu o personálne posilnenie </w:t>
      </w:r>
      <w:r w:rsidRPr="004D7824">
        <w:t>na</w:t>
      </w:r>
      <w:r w:rsidR="004D7824">
        <w:t> </w:t>
      </w:r>
      <w:r w:rsidRPr="004D7824">
        <w:t>zabezpečenie</w:t>
      </w:r>
      <w:r w:rsidRPr="00463607">
        <w:rPr>
          <w:sz w:val="24"/>
          <w:szCs w:val="24"/>
        </w:rPr>
        <w:t xml:space="preserve"> ich činností o sumu 11</w:t>
      </w:r>
      <w:r w:rsidR="004D7824">
        <w:rPr>
          <w:sz w:val="24"/>
          <w:szCs w:val="24"/>
        </w:rPr>
        <w:t> </w:t>
      </w:r>
      <w:r w:rsidRPr="00463607">
        <w:rPr>
          <w:sz w:val="24"/>
          <w:szCs w:val="24"/>
        </w:rPr>
        <w:t>007</w:t>
      </w:r>
      <w:r w:rsidR="004D7824">
        <w:rPr>
          <w:sz w:val="24"/>
          <w:szCs w:val="24"/>
        </w:rPr>
        <w:t> </w:t>
      </w:r>
      <w:r w:rsidRPr="00463607">
        <w:rPr>
          <w:sz w:val="24"/>
          <w:szCs w:val="24"/>
        </w:rPr>
        <w:t>tis. eur (najmä na zabezpečenie nového Ministerstva cestovného ruchu a športu SR, na zabezpečenie poskytovania pomoci pri</w:t>
      </w:r>
      <w:r w:rsidR="000F7ABA">
        <w:rPr>
          <w:sz w:val="24"/>
          <w:szCs w:val="24"/>
        </w:rPr>
        <w:t> </w:t>
      </w:r>
      <w:r w:rsidRPr="00463607">
        <w:rPr>
          <w:sz w:val="24"/>
          <w:szCs w:val="24"/>
        </w:rPr>
        <w:t>HYPO úveroch prostredníctvom ÚPSVaR SR v kapitole Ministerstvo práce, sociálnych vecí a rodiny SR, na</w:t>
      </w:r>
      <w:r w:rsidR="004D7824">
        <w:rPr>
          <w:sz w:val="24"/>
          <w:szCs w:val="24"/>
        </w:rPr>
        <w:t> </w:t>
      </w:r>
      <w:r w:rsidRPr="00463607">
        <w:rPr>
          <w:sz w:val="24"/>
          <w:szCs w:val="24"/>
        </w:rPr>
        <w:t>posilnenie a stabilizáciu personálu kybernetickej bezpečnosti v kapitole Ministerstvo vnútra SR),</w:t>
      </w:r>
    </w:p>
    <w:p w14:paraId="4A5F92B0" w14:textId="194A400F" w:rsidR="004D69BF" w:rsidRDefault="004D69BF" w:rsidP="004D69BF">
      <w:pPr>
        <w:spacing w:line="240" w:lineRule="auto"/>
        <w:ind w:left="142" w:hanging="142"/>
        <w:rPr>
          <w:sz w:val="24"/>
          <w:szCs w:val="24"/>
        </w:rPr>
      </w:pPr>
      <w:r w:rsidRPr="00463607">
        <w:rPr>
          <w:sz w:val="24"/>
          <w:szCs w:val="24"/>
        </w:rPr>
        <w:t>- z dôvodu zabezpečenia legislatívnyc</w:t>
      </w:r>
      <w:r w:rsidR="004D7824">
        <w:rPr>
          <w:sz w:val="24"/>
          <w:szCs w:val="24"/>
        </w:rPr>
        <w:t>h zmien a uznesení vlády SR o 2 912 </w:t>
      </w:r>
      <w:r w:rsidRPr="00463607">
        <w:rPr>
          <w:sz w:val="24"/>
          <w:szCs w:val="24"/>
        </w:rPr>
        <w:t>tis.</w:t>
      </w:r>
      <w:r w:rsidR="004D7824">
        <w:rPr>
          <w:sz w:val="24"/>
          <w:szCs w:val="24"/>
        </w:rPr>
        <w:t> </w:t>
      </w:r>
      <w:r w:rsidRPr="00463607">
        <w:rPr>
          <w:sz w:val="24"/>
          <w:szCs w:val="24"/>
        </w:rPr>
        <w:t>eur (najmä Ministerstvo vnútra SR, napríklad v súvislosti s kontrolou vnútorných hraníc s</w:t>
      </w:r>
      <w:r w:rsidR="004D7824">
        <w:rPr>
          <w:sz w:val="24"/>
          <w:szCs w:val="24"/>
        </w:rPr>
        <w:t> </w:t>
      </w:r>
      <w:r w:rsidRPr="00463607">
        <w:rPr>
          <w:sz w:val="24"/>
          <w:szCs w:val="24"/>
        </w:rPr>
        <w:t>Maďarskom, Generálna prokuratúra SR v súvislosti so zabezpečení</w:t>
      </w:r>
      <w:r w:rsidR="000F7ABA">
        <w:rPr>
          <w:sz w:val="24"/>
          <w:szCs w:val="24"/>
        </w:rPr>
        <w:t>m agendy súvisiacej so </w:t>
      </w:r>
      <w:r w:rsidRPr="00463607">
        <w:rPr>
          <w:sz w:val="24"/>
          <w:szCs w:val="24"/>
        </w:rPr>
        <w:t>zrušením ÚŠP).</w:t>
      </w:r>
    </w:p>
    <w:p w14:paraId="4F8B5190" w14:textId="76403C09" w:rsidR="004D69BF" w:rsidRPr="00A428D6" w:rsidRDefault="004D69BF" w:rsidP="004D69BF">
      <w:pPr>
        <w:spacing w:line="240" w:lineRule="auto"/>
        <w:rPr>
          <w:sz w:val="24"/>
          <w:szCs w:val="24"/>
        </w:rPr>
      </w:pPr>
      <w:r w:rsidRPr="00C05B5D">
        <w:rPr>
          <w:b/>
          <w:bCs/>
          <w:sz w:val="24"/>
          <w:szCs w:val="24"/>
        </w:rPr>
        <w:t xml:space="preserve">Pre zamestnancov aparátov ústredných orgánov boli schválené výdavky </w:t>
      </w:r>
      <w:r w:rsidRPr="00A428D6">
        <w:rPr>
          <w:sz w:val="24"/>
          <w:szCs w:val="24"/>
        </w:rPr>
        <w:t>na mzdy, platy, služo</w:t>
      </w:r>
      <w:r w:rsidR="004D7824">
        <w:rPr>
          <w:sz w:val="24"/>
          <w:szCs w:val="24"/>
        </w:rPr>
        <w:t>bné príjmy a OOV v sume 417 182 </w:t>
      </w:r>
      <w:r w:rsidRPr="00A428D6">
        <w:rPr>
          <w:sz w:val="24"/>
          <w:szCs w:val="24"/>
        </w:rPr>
        <w:t>tis.</w:t>
      </w:r>
      <w:r w:rsidR="004D7824">
        <w:rPr>
          <w:sz w:val="24"/>
          <w:szCs w:val="24"/>
        </w:rPr>
        <w:t> </w:t>
      </w:r>
      <w:r w:rsidRPr="00A428D6">
        <w:rPr>
          <w:sz w:val="24"/>
          <w:szCs w:val="24"/>
        </w:rPr>
        <w:t xml:space="preserve">eur ako záväzný ukazovateľ </w:t>
      </w:r>
      <w:r w:rsidRPr="00A428D6">
        <w:rPr>
          <w:b/>
          <w:sz w:val="24"/>
          <w:szCs w:val="24"/>
        </w:rPr>
        <w:t>z kódu 111, 11H a 11UA</w:t>
      </w:r>
      <w:r w:rsidRPr="00A428D6">
        <w:rPr>
          <w:sz w:val="24"/>
          <w:szCs w:val="24"/>
        </w:rPr>
        <w:t>. V priebehu roka bol tento limit rozpočtov</w:t>
      </w:r>
      <w:r w:rsidR="000F7ABA">
        <w:rPr>
          <w:sz w:val="24"/>
          <w:szCs w:val="24"/>
        </w:rPr>
        <w:t>ými opatreniami zvýšený na </w:t>
      </w:r>
      <w:r w:rsidRPr="00A428D6">
        <w:rPr>
          <w:sz w:val="24"/>
          <w:szCs w:val="24"/>
        </w:rPr>
        <w:t>431</w:t>
      </w:r>
      <w:r w:rsidR="004D7824">
        <w:rPr>
          <w:sz w:val="24"/>
          <w:szCs w:val="24"/>
        </w:rPr>
        <w:t> </w:t>
      </w:r>
      <w:r w:rsidRPr="00A428D6">
        <w:rPr>
          <w:sz w:val="24"/>
          <w:szCs w:val="24"/>
        </w:rPr>
        <w:t>168</w:t>
      </w:r>
      <w:r w:rsidR="004D7824">
        <w:rPr>
          <w:sz w:val="24"/>
          <w:szCs w:val="24"/>
        </w:rPr>
        <w:t> tis. </w:t>
      </w:r>
      <w:r w:rsidRPr="00A428D6">
        <w:rPr>
          <w:sz w:val="24"/>
          <w:szCs w:val="24"/>
        </w:rPr>
        <w:t>eur.</w:t>
      </w:r>
    </w:p>
    <w:p w14:paraId="2EC4E32C" w14:textId="52E49C1D" w:rsidR="004D69BF" w:rsidRPr="00A428D6" w:rsidRDefault="004D69BF" w:rsidP="004D69BF">
      <w:pPr>
        <w:spacing w:line="240" w:lineRule="auto"/>
        <w:rPr>
          <w:sz w:val="24"/>
          <w:szCs w:val="24"/>
        </w:rPr>
      </w:pPr>
      <w:r w:rsidRPr="00A428D6">
        <w:rPr>
          <w:sz w:val="24"/>
          <w:szCs w:val="24"/>
        </w:rPr>
        <w:t>Zamestnancom aparátov ústredných orgánov boli za všetky zdroje spolu vyplat</w:t>
      </w:r>
      <w:r w:rsidR="004D7824">
        <w:rPr>
          <w:sz w:val="24"/>
          <w:szCs w:val="24"/>
        </w:rPr>
        <w:t>ené mzdy a platy v sume 507 501 </w:t>
      </w:r>
      <w:r w:rsidRPr="00A428D6">
        <w:rPr>
          <w:sz w:val="24"/>
          <w:szCs w:val="24"/>
        </w:rPr>
        <w:t>tis.</w:t>
      </w:r>
      <w:r w:rsidR="004D7824">
        <w:rPr>
          <w:sz w:val="24"/>
          <w:szCs w:val="24"/>
        </w:rPr>
        <w:t> </w:t>
      </w:r>
      <w:r w:rsidRPr="00A428D6">
        <w:rPr>
          <w:sz w:val="24"/>
          <w:szCs w:val="24"/>
        </w:rPr>
        <w:t>eur. Skutočné výdavky na mzdy, platy, služobné príjmy a OOV zamestnancov aparátu ústredného orgánu za všetky zdroje spolu medziročne vzrástli o 59</w:t>
      </w:r>
      <w:r w:rsidR="004D7824">
        <w:rPr>
          <w:sz w:val="24"/>
          <w:szCs w:val="24"/>
        </w:rPr>
        <w:t> </w:t>
      </w:r>
      <w:r w:rsidRPr="00A428D6">
        <w:rPr>
          <w:sz w:val="24"/>
          <w:szCs w:val="24"/>
        </w:rPr>
        <w:t>089</w:t>
      </w:r>
      <w:r w:rsidR="004D7824">
        <w:rPr>
          <w:sz w:val="24"/>
          <w:szCs w:val="24"/>
        </w:rPr>
        <w:t> </w:t>
      </w:r>
      <w:r w:rsidRPr="00A428D6">
        <w:rPr>
          <w:sz w:val="24"/>
          <w:szCs w:val="24"/>
        </w:rPr>
        <w:t>tis.</w:t>
      </w:r>
      <w:r w:rsidR="004D7824">
        <w:rPr>
          <w:sz w:val="24"/>
          <w:szCs w:val="24"/>
        </w:rPr>
        <w:t> </w:t>
      </w:r>
      <w:r w:rsidRPr="00A428D6">
        <w:rPr>
          <w:sz w:val="24"/>
          <w:szCs w:val="24"/>
        </w:rPr>
        <w:t>eur. Záväzný limit miezd, platov, služobných príjmov a OOV aparátov ústredných orgánov (zdroje 111, 11H a 11UA) bol vo všetkých kapitolách štátneho rozpočtu dodržaný.</w:t>
      </w:r>
    </w:p>
    <w:p w14:paraId="524BCB00" w14:textId="3990902E" w:rsidR="004D69BF" w:rsidRPr="00A428D6" w:rsidRDefault="004D69BF" w:rsidP="004D69BF">
      <w:pPr>
        <w:spacing w:line="240" w:lineRule="auto"/>
        <w:rPr>
          <w:sz w:val="24"/>
          <w:szCs w:val="24"/>
        </w:rPr>
      </w:pPr>
      <w:r w:rsidRPr="00A428D6">
        <w:rPr>
          <w:sz w:val="24"/>
          <w:szCs w:val="24"/>
        </w:rPr>
        <w:t>Na základe vykonaných rozpočtových opatrení vyššie čerpanie mzdových výdavkov v aparátoch ústredných orgánov súviselo najmä s personálnym posilnením niektorých aparátov ú</w:t>
      </w:r>
      <w:r w:rsidR="004D7824">
        <w:rPr>
          <w:sz w:val="24"/>
          <w:szCs w:val="24"/>
        </w:rPr>
        <w:t>stredných orgánov v  sume 7 233 </w:t>
      </w:r>
      <w:r w:rsidRPr="00A428D6">
        <w:rPr>
          <w:sz w:val="24"/>
          <w:szCs w:val="24"/>
        </w:rPr>
        <w:t>tis. eur (najmä v kapitole Ministerstvo cestovného ruchu a športu SR v súvislosti so zriaden</w:t>
      </w:r>
      <w:r w:rsidR="004D7824">
        <w:rPr>
          <w:sz w:val="24"/>
          <w:szCs w:val="24"/>
        </w:rPr>
        <w:t>ím nového ministerstva v sume 3 </w:t>
      </w:r>
      <w:r w:rsidRPr="00A428D6">
        <w:rPr>
          <w:sz w:val="24"/>
          <w:szCs w:val="24"/>
        </w:rPr>
        <w:t>924 tis. eur a v kapitole Ministerstvo vnútra SR na posilnenie a stabilizáciu personálu kyberne</w:t>
      </w:r>
      <w:r w:rsidR="004D7824">
        <w:rPr>
          <w:sz w:val="24"/>
          <w:szCs w:val="24"/>
        </w:rPr>
        <w:t>tickej bezpečnosti v sume 1 177 </w:t>
      </w:r>
      <w:r w:rsidRPr="00A428D6">
        <w:rPr>
          <w:sz w:val="24"/>
          <w:szCs w:val="24"/>
        </w:rPr>
        <w:t>tis.</w:t>
      </w:r>
      <w:r w:rsidR="004D7824">
        <w:rPr>
          <w:sz w:val="24"/>
          <w:szCs w:val="24"/>
        </w:rPr>
        <w:t> </w:t>
      </w:r>
      <w:r w:rsidRPr="00A428D6">
        <w:rPr>
          <w:sz w:val="24"/>
          <w:szCs w:val="24"/>
        </w:rPr>
        <w:t>eur), s hmotnou stimuláciou zamestnancov</w:t>
      </w:r>
      <w:r w:rsidR="004D7824">
        <w:rPr>
          <w:sz w:val="24"/>
          <w:szCs w:val="24"/>
        </w:rPr>
        <w:t xml:space="preserve"> v sume 4 820 </w:t>
      </w:r>
      <w:r w:rsidRPr="00A428D6">
        <w:rPr>
          <w:sz w:val="24"/>
          <w:szCs w:val="24"/>
        </w:rPr>
        <w:t>tis.</w:t>
      </w:r>
      <w:r w:rsidR="004D7824">
        <w:rPr>
          <w:sz w:val="24"/>
          <w:szCs w:val="24"/>
        </w:rPr>
        <w:t> </w:t>
      </w:r>
      <w:r w:rsidRPr="00A428D6">
        <w:rPr>
          <w:sz w:val="24"/>
          <w:szCs w:val="24"/>
        </w:rPr>
        <w:t>eur (najmä Mini</w:t>
      </w:r>
      <w:r w:rsidR="004D7824">
        <w:rPr>
          <w:sz w:val="24"/>
          <w:szCs w:val="24"/>
        </w:rPr>
        <w:t>sterstvo obrany SR v sume 2 453 </w:t>
      </w:r>
      <w:r w:rsidRPr="00A428D6">
        <w:rPr>
          <w:sz w:val="24"/>
          <w:szCs w:val="24"/>
        </w:rPr>
        <w:t>tis. eur, Ministerstvo životného prostre</w:t>
      </w:r>
      <w:r w:rsidR="004D7824">
        <w:rPr>
          <w:sz w:val="24"/>
          <w:szCs w:val="24"/>
        </w:rPr>
        <w:t>dia SR v sume 1 600 tis. eur) a </w:t>
      </w:r>
      <w:r w:rsidRPr="00A428D6">
        <w:rPr>
          <w:sz w:val="24"/>
          <w:szCs w:val="24"/>
        </w:rPr>
        <w:t>so zaradením Úradu pre reguláciu sieťových odvetví medzi aparáty ústredných orgánov v nadväznosti na novelu zákona č.</w:t>
      </w:r>
      <w:r w:rsidR="004D7824">
        <w:rPr>
          <w:sz w:val="24"/>
          <w:szCs w:val="24"/>
        </w:rPr>
        <w:t> </w:t>
      </w:r>
      <w:r w:rsidRPr="00A428D6">
        <w:rPr>
          <w:sz w:val="24"/>
          <w:szCs w:val="24"/>
        </w:rPr>
        <w:t>575/2001</w:t>
      </w:r>
      <w:r w:rsidR="004D7824">
        <w:rPr>
          <w:sz w:val="24"/>
          <w:szCs w:val="24"/>
        </w:rPr>
        <w:t> Z. </w:t>
      </w:r>
      <w:r w:rsidRPr="00A428D6">
        <w:rPr>
          <w:sz w:val="24"/>
          <w:szCs w:val="24"/>
        </w:rPr>
        <w:t>z. o</w:t>
      </w:r>
      <w:r w:rsidR="000F7ABA">
        <w:rPr>
          <w:sz w:val="24"/>
          <w:szCs w:val="24"/>
        </w:rPr>
        <w:t> </w:t>
      </w:r>
      <w:r w:rsidRPr="00A428D6">
        <w:rPr>
          <w:sz w:val="24"/>
          <w:szCs w:val="24"/>
        </w:rPr>
        <w:t>organizácii činnosti vlády a</w:t>
      </w:r>
      <w:r w:rsidR="004D7824">
        <w:rPr>
          <w:sz w:val="24"/>
          <w:szCs w:val="24"/>
        </w:rPr>
        <w:t> </w:t>
      </w:r>
      <w:r w:rsidRPr="00A428D6">
        <w:rPr>
          <w:sz w:val="24"/>
          <w:szCs w:val="24"/>
        </w:rPr>
        <w:t>organizácii ús</w:t>
      </w:r>
      <w:r w:rsidR="000F7ABA">
        <w:rPr>
          <w:sz w:val="24"/>
          <w:szCs w:val="24"/>
        </w:rPr>
        <w:t>trednej štátnej správy v sume 2 </w:t>
      </w:r>
      <w:r w:rsidRPr="00A428D6">
        <w:rPr>
          <w:sz w:val="24"/>
          <w:szCs w:val="24"/>
        </w:rPr>
        <w:t>479 tis. eur. Na zabezpečenie zvýšenia platových náležitostí ústavných činiteľov, ústavných sudcov, sudcov, prokurátorov  od 1. januára 2024 a zamestnancov naviazaných na plat poslanca sa zvýšili mzdové výdavky v celkovej sume 2</w:t>
      </w:r>
      <w:r w:rsidR="004D7824">
        <w:rPr>
          <w:sz w:val="24"/>
          <w:szCs w:val="24"/>
        </w:rPr>
        <w:t> </w:t>
      </w:r>
      <w:r w:rsidRPr="00A428D6">
        <w:rPr>
          <w:sz w:val="24"/>
          <w:szCs w:val="24"/>
        </w:rPr>
        <w:t>122</w:t>
      </w:r>
      <w:r w:rsidR="004D7824">
        <w:rPr>
          <w:sz w:val="24"/>
          <w:szCs w:val="24"/>
        </w:rPr>
        <w:t> </w:t>
      </w:r>
      <w:r w:rsidRPr="00A428D6">
        <w:rPr>
          <w:sz w:val="24"/>
          <w:szCs w:val="24"/>
        </w:rPr>
        <w:t>tis. eur.</w:t>
      </w:r>
    </w:p>
    <w:p w14:paraId="330C14AF" w14:textId="77777777" w:rsidR="0066704D" w:rsidRDefault="0066704D">
      <w:pPr>
        <w:spacing w:after="160" w:line="259" w:lineRule="auto"/>
        <w:jc w:val="left"/>
        <w:rPr>
          <w:b/>
          <w:color w:val="5B9BD5" w:themeColor="accent1"/>
          <w:sz w:val="24"/>
          <w:szCs w:val="24"/>
        </w:rPr>
      </w:pPr>
      <w:r>
        <w:rPr>
          <w:b/>
          <w:color w:val="5B9BD5" w:themeColor="accent1"/>
          <w:sz w:val="24"/>
          <w:szCs w:val="24"/>
        </w:rPr>
        <w:br w:type="page"/>
      </w:r>
    </w:p>
    <w:p w14:paraId="6146810E" w14:textId="61847F14" w:rsidR="004D69BF" w:rsidRPr="00040B78" w:rsidRDefault="004D69BF" w:rsidP="004D69BF">
      <w:pPr>
        <w:spacing w:line="240" w:lineRule="auto"/>
        <w:rPr>
          <w:b/>
          <w:color w:val="5B9BD5" w:themeColor="accent1"/>
          <w:sz w:val="24"/>
          <w:szCs w:val="24"/>
        </w:rPr>
      </w:pPr>
      <w:r w:rsidRPr="00040B78">
        <w:rPr>
          <w:b/>
          <w:color w:val="5B9BD5" w:themeColor="accent1"/>
          <w:sz w:val="24"/>
          <w:szCs w:val="24"/>
        </w:rPr>
        <w:lastRenderedPageBreak/>
        <w:t>Zamestnanosť v rozpočtových organizáciách ústrednej správy</w:t>
      </w:r>
    </w:p>
    <w:p w14:paraId="68D1EF05" w14:textId="60159102" w:rsidR="004D69BF" w:rsidRDefault="004D69BF" w:rsidP="004D69BF">
      <w:pPr>
        <w:spacing w:line="240" w:lineRule="auto"/>
        <w:rPr>
          <w:sz w:val="24"/>
          <w:szCs w:val="24"/>
        </w:rPr>
      </w:pPr>
      <w:r w:rsidRPr="00A428D6">
        <w:rPr>
          <w:b/>
          <w:sz w:val="24"/>
          <w:szCs w:val="24"/>
        </w:rPr>
        <w:t>Limit počtu zamestnancov</w:t>
      </w:r>
      <w:r w:rsidRPr="00A428D6">
        <w:rPr>
          <w:sz w:val="24"/>
          <w:szCs w:val="24"/>
        </w:rPr>
        <w:t xml:space="preserve"> </w:t>
      </w:r>
      <w:r w:rsidRPr="00086D49">
        <w:rPr>
          <w:b/>
          <w:bCs/>
          <w:sz w:val="24"/>
          <w:szCs w:val="24"/>
        </w:rPr>
        <w:t>pre rozpočtové organizácie</w:t>
      </w:r>
      <w:r w:rsidRPr="00A428D6">
        <w:rPr>
          <w:sz w:val="24"/>
          <w:szCs w:val="24"/>
        </w:rPr>
        <w:t xml:space="preserve"> kapitol štátneho rozpočtu</w:t>
      </w:r>
      <w:r>
        <w:rPr>
          <w:sz w:val="24"/>
          <w:szCs w:val="24"/>
        </w:rPr>
        <w:t xml:space="preserve"> (vrátane aparátov ústredných orgánov) </w:t>
      </w:r>
      <w:r w:rsidRPr="00A428D6">
        <w:rPr>
          <w:sz w:val="24"/>
          <w:szCs w:val="24"/>
        </w:rPr>
        <w:t>na rok 2024 bol schválený uznesením vlády SR č.</w:t>
      </w:r>
      <w:r w:rsidR="004D7824">
        <w:rPr>
          <w:sz w:val="24"/>
          <w:szCs w:val="24"/>
        </w:rPr>
        <w:t> </w:t>
      </w:r>
      <w:r w:rsidRPr="00A428D6">
        <w:rPr>
          <w:sz w:val="24"/>
          <w:szCs w:val="24"/>
        </w:rPr>
        <w:t>712/2023 k Návrhu rozpočtu verejnej správy na roky 2024 až 2026 v počte 131</w:t>
      </w:r>
      <w:r w:rsidR="004D7824">
        <w:rPr>
          <w:sz w:val="24"/>
          <w:szCs w:val="24"/>
        </w:rPr>
        <w:t> </w:t>
      </w:r>
      <w:r w:rsidR="000F7ABA">
        <w:rPr>
          <w:sz w:val="24"/>
          <w:szCs w:val="24"/>
        </w:rPr>
        <w:t>869 osôb (r. </w:t>
      </w:r>
      <w:r w:rsidRPr="00A428D6">
        <w:rPr>
          <w:sz w:val="24"/>
          <w:szCs w:val="24"/>
        </w:rPr>
        <w:t>2</w:t>
      </w:r>
      <w:r w:rsidR="004D7824">
        <w:rPr>
          <w:sz w:val="24"/>
          <w:szCs w:val="24"/>
        </w:rPr>
        <w:t>023: 128 </w:t>
      </w:r>
      <w:r w:rsidRPr="00A428D6">
        <w:rPr>
          <w:sz w:val="24"/>
          <w:szCs w:val="24"/>
        </w:rPr>
        <w:t>662).</w:t>
      </w:r>
    </w:p>
    <w:p w14:paraId="58CB7319" w14:textId="3435D184" w:rsidR="004D69BF" w:rsidRPr="00A428D6" w:rsidRDefault="004D69BF" w:rsidP="004D69BF">
      <w:pPr>
        <w:spacing w:line="240" w:lineRule="auto"/>
        <w:rPr>
          <w:sz w:val="24"/>
          <w:szCs w:val="24"/>
        </w:rPr>
      </w:pPr>
      <w:r w:rsidRPr="00A428D6">
        <w:rPr>
          <w:sz w:val="24"/>
          <w:szCs w:val="24"/>
        </w:rPr>
        <w:t>Schválený limit počtu zamestnancov rozpočtových organizácií medziročne stúpol o</w:t>
      </w:r>
      <w:r w:rsidR="004D7824">
        <w:rPr>
          <w:sz w:val="24"/>
          <w:szCs w:val="24"/>
        </w:rPr>
        <w:t> </w:t>
      </w:r>
      <w:r w:rsidRPr="00A428D6">
        <w:rPr>
          <w:sz w:val="24"/>
          <w:szCs w:val="24"/>
        </w:rPr>
        <w:t>3</w:t>
      </w:r>
      <w:r w:rsidR="004D7824">
        <w:rPr>
          <w:sz w:val="24"/>
          <w:szCs w:val="24"/>
        </w:rPr>
        <w:t xml:space="preserve"> </w:t>
      </w:r>
      <w:r w:rsidRPr="00A428D6">
        <w:rPr>
          <w:sz w:val="24"/>
          <w:szCs w:val="24"/>
        </w:rPr>
        <w:t>207 osôb. Na náraste počtu zamestnancov sa najvýraznejšie podieľalo čiastočné vrátenie systemizovaných miest policajtov v počte 907 osôb v kapitole Ministerstvo vnútra SR a zabezpečenie novej legislatívy, a to najmä v súvislosti s prijatím novely školského zákona o</w:t>
      </w:r>
      <w:r w:rsidR="000F7ABA">
        <w:rPr>
          <w:sz w:val="24"/>
          <w:szCs w:val="24"/>
        </w:rPr>
        <w:t> </w:t>
      </w:r>
      <w:r w:rsidRPr="00A428D6">
        <w:rPr>
          <w:sz w:val="24"/>
          <w:szCs w:val="24"/>
        </w:rPr>
        <w:t xml:space="preserve">870 osôb v kapitole Ministerstvo školstva, výskumu, vývoja </w:t>
      </w:r>
      <w:r w:rsidR="004D7824">
        <w:rPr>
          <w:sz w:val="24"/>
          <w:szCs w:val="24"/>
        </w:rPr>
        <w:t>a mládeže SR a nového zákona č. </w:t>
      </w:r>
      <w:r w:rsidRPr="00A428D6">
        <w:rPr>
          <w:sz w:val="24"/>
          <w:szCs w:val="24"/>
        </w:rPr>
        <w:t>345/2022</w:t>
      </w:r>
      <w:r w:rsidR="004D7824">
        <w:rPr>
          <w:sz w:val="24"/>
          <w:szCs w:val="24"/>
        </w:rPr>
        <w:t> Z. </w:t>
      </w:r>
      <w:r w:rsidRPr="00A428D6">
        <w:rPr>
          <w:sz w:val="24"/>
          <w:szCs w:val="24"/>
        </w:rPr>
        <w:t>z. o inšpekcii v sociálnych veciach o 166 osôb v kapitole Ministerstvo práce, sociálnych vecí a</w:t>
      </w:r>
      <w:r w:rsidR="004D7824">
        <w:rPr>
          <w:sz w:val="24"/>
          <w:szCs w:val="24"/>
        </w:rPr>
        <w:t> </w:t>
      </w:r>
      <w:r w:rsidRPr="00A428D6">
        <w:rPr>
          <w:sz w:val="24"/>
          <w:szCs w:val="24"/>
        </w:rPr>
        <w:t>rodiny SR. Na zabezpečenie osta</w:t>
      </w:r>
      <w:r w:rsidR="000F7ABA">
        <w:rPr>
          <w:sz w:val="24"/>
          <w:szCs w:val="24"/>
        </w:rPr>
        <w:t>tných legislatívnych zmien sa v </w:t>
      </w:r>
      <w:r w:rsidRPr="00A428D6">
        <w:rPr>
          <w:sz w:val="24"/>
          <w:szCs w:val="24"/>
        </w:rPr>
        <w:t>ostatných dotknutých kapitolách štátneho rozpočtu zvyšuje počet zamestnancov celkovo o</w:t>
      </w:r>
      <w:r w:rsidR="000F7ABA">
        <w:rPr>
          <w:sz w:val="24"/>
          <w:szCs w:val="24"/>
        </w:rPr>
        <w:t> </w:t>
      </w:r>
      <w:r w:rsidRPr="00A428D6">
        <w:rPr>
          <w:sz w:val="24"/>
          <w:szCs w:val="24"/>
        </w:rPr>
        <w:t>652 osôb.</w:t>
      </w:r>
    </w:p>
    <w:p w14:paraId="100B6F96" w14:textId="6AC75CBD" w:rsidR="004D69BF" w:rsidRPr="00A428D6" w:rsidRDefault="004D69BF" w:rsidP="004D69BF">
      <w:pPr>
        <w:spacing w:line="240" w:lineRule="auto"/>
        <w:rPr>
          <w:sz w:val="24"/>
          <w:szCs w:val="24"/>
        </w:rPr>
      </w:pPr>
      <w:r w:rsidRPr="00A428D6">
        <w:rPr>
          <w:sz w:val="24"/>
          <w:szCs w:val="24"/>
        </w:rPr>
        <w:t>V rámci schváleného limitu počtu zamestnancov rozpočtových organizácií kapitol štátneho rozpočtu boli uznesením vlády Slovenskej republiky č.</w:t>
      </w:r>
      <w:r w:rsidR="004D7824">
        <w:rPr>
          <w:sz w:val="24"/>
          <w:szCs w:val="24"/>
        </w:rPr>
        <w:t> </w:t>
      </w:r>
      <w:r w:rsidRPr="00A428D6">
        <w:rPr>
          <w:sz w:val="24"/>
          <w:szCs w:val="24"/>
        </w:rPr>
        <w:t>488/2023 schválené aj administratívne kapacity osobitne sledované v počte 1 528 osôb. Skutočný počet administratívnych kapacít osobitne sl</w:t>
      </w:r>
      <w:r w:rsidR="000F7ABA">
        <w:rPr>
          <w:sz w:val="24"/>
          <w:szCs w:val="24"/>
        </w:rPr>
        <w:t xml:space="preserve">edovaných v roku 2024 dosiahol </w:t>
      </w:r>
      <w:r w:rsidRPr="00A428D6">
        <w:rPr>
          <w:sz w:val="24"/>
          <w:szCs w:val="24"/>
        </w:rPr>
        <w:t>počet 1</w:t>
      </w:r>
      <w:r w:rsidR="004D7824">
        <w:rPr>
          <w:sz w:val="24"/>
          <w:szCs w:val="24"/>
        </w:rPr>
        <w:t> </w:t>
      </w:r>
      <w:r w:rsidRPr="00A428D6">
        <w:rPr>
          <w:sz w:val="24"/>
          <w:szCs w:val="24"/>
        </w:rPr>
        <w:t>191 osôb.</w:t>
      </w:r>
    </w:p>
    <w:p w14:paraId="21C47761" w14:textId="067AE437" w:rsidR="004D69BF" w:rsidRPr="00A428D6" w:rsidRDefault="004D69BF" w:rsidP="004D69BF">
      <w:pPr>
        <w:spacing w:line="240" w:lineRule="auto"/>
        <w:rPr>
          <w:sz w:val="24"/>
          <w:szCs w:val="24"/>
        </w:rPr>
      </w:pPr>
      <w:r w:rsidRPr="00A428D6">
        <w:rPr>
          <w:sz w:val="24"/>
          <w:szCs w:val="24"/>
        </w:rPr>
        <w:t>V priebehu roka 2024 bol limit počtu zamestnancov rozpočtových organizácií zvýšený rozpočtovými opatreniami na 134</w:t>
      </w:r>
      <w:r w:rsidR="004D7824">
        <w:rPr>
          <w:sz w:val="24"/>
          <w:szCs w:val="24"/>
        </w:rPr>
        <w:t> 064 osôb (o 2 </w:t>
      </w:r>
      <w:r w:rsidRPr="00A428D6">
        <w:rPr>
          <w:sz w:val="24"/>
          <w:szCs w:val="24"/>
        </w:rPr>
        <w:t>195 osôb).</w:t>
      </w:r>
    </w:p>
    <w:p w14:paraId="09248C53" w14:textId="71CEB824" w:rsidR="004D69BF" w:rsidRDefault="004D69BF" w:rsidP="004D69BF">
      <w:pPr>
        <w:spacing w:line="240" w:lineRule="auto"/>
        <w:rPr>
          <w:sz w:val="24"/>
          <w:szCs w:val="24"/>
        </w:rPr>
      </w:pPr>
      <w:r w:rsidRPr="00A428D6">
        <w:rPr>
          <w:sz w:val="24"/>
          <w:szCs w:val="24"/>
        </w:rPr>
        <w:t>Z dôvodu zamestnávania projektových zamestnancov, ktorý</w:t>
      </w:r>
      <w:r w:rsidR="004D7824">
        <w:rPr>
          <w:sz w:val="24"/>
          <w:szCs w:val="24"/>
        </w:rPr>
        <w:t>ch mzdové výdavky sú hradené zo </w:t>
      </w:r>
      <w:r w:rsidRPr="00A428D6">
        <w:rPr>
          <w:sz w:val="24"/>
          <w:szCs w:val="24"/>
        </w:rPr>
        <w:t>zdrojov Európskej únie, bolo realizované zvýšenie limitov počtov zamestnancov o 1</w:t>
      </w:r>
      <w:r w:rsidR="004D7824">
        <w:rPr>
          <w:sz w:val="24"/>
          <w:szCs w:val="24"/>
        </w:rPr>
        <w:t> </w:t>
      </w:r>
      <w:r w:rsidRPr="00A428D6">
        <w:rPr>
          <w:sz w:val="24"/>
          <w:szCs w:val="24"/>
        </w:rPr>
        <w:t>553</w:t>
      </w:r>
      <w:r w:rsidR="004D7824">
        <w:rPr>
          <w:sz w:val="24"/>
          <w:szCs w:val="24"/>
        </w:rPr>
        <w:t> </w:t>
      </w:r>
      <w:r w:rsidRPr="00A428D6">
        <w:rPr>
          <w:sz w:val="24"/>
          <w:szCs w:val="24"/>
        </w:rPr>
        <w:t>osôb, a to najmä v</w:t>
      </w:r>
      <w:r>
        <w:rPr>
          <w:sz w:val="24"/>
          <w:szCs w:val="24"/>
        </w:rPr>
        <w:t> </w:t>
      </w:r>
      <w:r w:rsidRPr="00A428D6">
        <w:rPr>
          <w:sz w:val="24"/>
          <w:szCs w:val="24"/>
        </w:rPr>
        <w:t>kapitolách</w:t>
      </w:r>
      <w:r>
        <w:rPr>
          <w:sz w:val="24"/>
          <w:szCs w:val="24"/>
        </w:rPr>
        <w:t>:</w:t>
      </w:r>
      <w:r w:rsidRPr="00A428D6">
        <w:rPr>
          <w:sz w:val="24"/>
          <w:szCs w:val="24"/>
        </w:rPr>
        <w:t xml:space="preserve"> Ministerstvo práce, sociálnych vecí a rodiny SR v počte 1 371 osôb, Úrad vlády SR o 96 osôb a Ministerstvo vnútra SR o 59 osôb.</w:t>
      </w:r>
    </w:p>
    <w:p w14:paraId="5A27F596" w14:textId="6DCF2945" w:rsidR="004D69BF" w:rsidRPr="00A428D6" w:rsidRDefault="004D69BF" w:rsidP="004D69BF">
      <w:pPr>
        <w:spacing w:line="240" w:lineRule="auto"/>
        <w:rPr>
          <w:strike/>
          <w:sz w:val="24"/>
          <w:szCs w:val="24"/>
        </w:rPr>
      </w:pPr>
      <w:r w:rsidRPr="00A428D6">
        <w:rPr>
          <w:sz w:val="24"/>
          <w:szCs w:val="24"/>
        </w:rPr>
        <w:t>Na základe požiadaviek jednotlivých kapitol štátneho rozpočtu o personálne posilnenie sa v priebehu roka upravil limit počtu zamestnancov rozpočtových organizácií o 379 osôb, napríklad v kapitole Ministerstvo cestovného ruchu a športu SR na zabezpečenie vzniku nového ministerstva o 145 osôb, v kapitole Ministerstvo práce, sociálnych vecí a rodiny SR o 127 osôb na zabezpečenie poskytovania pomoci pri HYPO úveroch prostredníctvom ÚPSVaR, o 35 osôb v kapitole Ministerstvo pôdohospodárstva a rozvoja vidieka SR na</w:t>
      </w:r>
      <w:r w:rsidR="000F7ABA">
        <w:rPr>
          <w:sz w:val="24"/>
          <w:szCs w:val="24"/>
        </w:rPr>
        <w:t> </w:t>
      </w:r>
      <w:r w:rsidRPr="00A428D6">
        <w:rPr>
          <w:sz w:val="24"/>
          <w:szCs w:val="24"/>
        </w:rPr>
        <w:t>administráciu Programu rozvoja vidieka v nadväznosti na uznesenie vlády SR č.</w:t>
      </w:r>
      <w:r w:rsidR="004D7824">
        <w:rPr>
          <w:sz w:val="24"/>
          <w:szCs w:val="24"/>
        </w:rPr>
        <w:t> </w:t>
      </w:r>
      <w:r w:rsidR="000F7ABA">
        <w:rPr>
          <w:sz w:val="24"/>
          <w:szCs w:val="24"/>
        </w:rPr>
        <w:t>245/2024 a </w:t>
      </w:r>
      <w:r w:rsidRPr="00A428D6">
        <w:rPr>
          <w:sz w:val="24"/>
          <w:szCs w:val="24"/>
        </w:rPr>
        <w:t>o 33 osôb v kapitole Ministerstvo hospodárstva SR na zabezpečenie agendy súvisiacej s kompenzáciou vyšších cien energií.</w:t>
      </w:r>
    </w:p>
    <w:p w14:paraId="4A05667D" w14:textId="04EEAB19" w:rsidR="004D69BF" w:rsidRPr="00A428D6" w:rsidRDefault="004D69BF" w:rsidP="004D69BF">
      <w:pPr>
        <w:spacing w:line="240" w:lineRule="auto"/>
        <w:rPr>
          <w:sz w:val="24"/>
          <w:szCs w:val="24"/>
        </w:rPr>
      </w:pPr>
      <w:r w:rsidRPr="00A428D6">
        <w:rPr>
          <w:b/>
          <w:sz w:val="24"/>
          <w:szCs w:val="24"/>
        </w:rPr>
        <w:t>Skutočné plnenie počtu zamestnancov rozpočtových organizácií kapitol štátneho rozpočtu dosiahlo úroveň 123</w:t>
      </w:r>
      <w:r w:rsidR="004D7824">
        <w:rPr>
          <w:b/>
          <w:sz w:val="24"/>
          <w:szCs w:val="24"/>
        </w:rPr>
        <w:t> </w:t>
      </w:r>
      <w:r w:rsidRPr="00A428D6">
        <w:rPr>
          <w:b/>
          <w:sz w:val="24"/>
          <w:szCs w:val="24"/>
        </w:rPr>
        <w:t xml:space="preserve">453 osôb, čo je v porovnaní s ich skutočným plnením v roku 2023 o 246 osôb menej. </w:t>
      </w:r>
      <w:r w:rsidRPr="00A428D6">
        <w:rPr>
          <w:sz w:val="24"/>
          <w:szCs w:val="24"/>
        </w:rPr>
        <w:t>V porovnaní s pôvodne schváleným limitom počtu zamestnancov je skutočnosť nižšia o 8 416 osôb (6,4</w:t>
      </w:r>
      <w:r w:rsidR="004D7824">
        <w:rPr>
          <w:sz w:val="24"/>
          <w:szCs w:val="24"/>
        </w:rPr>
        <w:t> </w:t>
      </w:r>
      <w:r w:rsidRPr="00A428D6">
        <w:rPr>
          <w:sz w:val="24"/>
          <w:szCs w:val="24"/>
        </w:rPr>
        <w:t>%) a v porovnaní s upraveným limitom na rok 2024 nižšia o</w:t>
      </w:r>
      <w:r w:rsidR="004D7824">
        <w:rPr>
          <w:sz w:val="24"/>
          <w:szCs w:val="24"/>
        </w:rPr>
        <w:t> </w:t>
      </w:r>
      <w:r w:rsidRPr="00A428D6">
        <w:rPr>
          <w:sz w:val="24"/>
          <w:szCs w:val="24"/>
        </w:rPr>
        <w:t>10</w:t>
      </w:r>
      <w:r w:rsidR="004D7824">
        <w:rPr>
          <w:sz w:val="24"/>
          <w:szCs w:val="24"/>
        </w:rPr>
        <w:t> </w:t>
      </w:r>
      <w:r w:rsidRPr="00A428D6">
        <w:rPr>
          <w:sz w:val="24"/>
          <w:szCs w:val="24"/>
        </w:rPr>
        <w:t>611 osôb (7,9</w:t>
      </w:r>
      <w:r w:rsidR="004D7824">
        <w:rPr>
          <w:sz w:val="24"/>
          <w:szCs w:val="24"/>
        </w:rPr>
        <w:t> </w:t>
      </w:r>
      <w:r w:rsidRPr="00A428D6">
        <w:rPr>
          <w:sz w:val="24"/>
          <w:szCs w:val="24"/>
        </w:rPr>
        <w:t>%).</w:t>
      </w:r>
    </w:p>
    <w:p w14:paraId="4C39B1EF" w14:textId="62E4B27B" w:rsidR="004D69BF" w:rsidRPr="00A428D6" w:rsidRDefault="004D69BF" w:rsidP="004D69BF">
      <w:pPr>
        <w:spacing w:line="240" w:lineRule="auto"/>
        <w:rPr>
          <w:sz w:val="24"/>
          <w:szCs w:val="24"/>
        </w:rPr>
      </w:pPr>
      <w:r w:rsidRPr="00A428D6">
        <w:rPr>
          <w:sz w:val="24"/>
          <w:szCs w:val="24"/>
        </w:rPr>
        <w:t xml:space="preserve">Pre </w:t>
      </w:r>
      <w:r w:rsidRPr="00A428D6">
        <w:rPr>
          <w:b/>
          <w:sz w:val="24"/>
          <w:szCs w:val="24"/>
        </w:rPr>
        <w:t>aparáty ústredných orgánov</w:t>
      </w:r>
      <w:r w:rsidRPr="00A428D6">
        <w:rPr>
          <w:sz w:val="24"/>
          <w:szCs w:val="24"/>
        </w:rPr>
        <w:t xml:space="preserve"> bol na rok 2024 schválený záväzný </w:t>
      </w:r>
      <w:r w:rsidRPr="00A428D6">
        <w:rPr>
          <w:b/>
          <w:sz w:val="24"/>
          <w:szCs w:val="24"/>
        </w:rPr>
        <w:t>limit počtu zamestnancov</w:t>
      </w:r>
      <w:r w:rsidRPr="00A428D6">
        <w:rPr>
          <w:sz w:val="24"/>
          <w:szCs w:val="24"/>
        </w:rPr>
        <w:t xml:space="preserve"> 16 085 osôb, z toho administratívne kapacity osobitne sledované v počte 1 470 osôb. Schválený limit počtu zamestnancov bol v priebehu roka zvýšený o 420 osôb na</w:t>
      </w:r>
      <w:r w:rsidR="000F7ABA">
        <w:rPr>
          <w:sz w:val="24"/>
          <w:szCs w:val="24"/>
        </w:rPr>
        <w:t> </w:t>
      </w:r>
      <w:r w:rsidR="004D7824">
        <w:rPr>
          <w:sz w:val="24"/>
          <w:szCs w:val="24"/>
        </w:rPr>
        <w:t xml:space="preserve">16 505 osôb. </w:t>
      </w:r>
      <w:r w:rsidRPr="00A428D6">
        <w:rPr>
          <w:sz w:val="24"/>
          <w:szCs w:val="24"/>
        </w:rPr>
        <w:t>Najčastejšími dôvodmi úprav zvýšenia počtu zamestnancov aparátov ústredných orgánov bolo zabezpečenie projektových zamestnancov v počte 168 osôb, personálne posilnenie aparátov ústredných orgánov v počte 161 osôb (najmä v kapitole Ministerstvo cestovného ruchu a športu SR v súvislosti so zriadením nového ministerstva o 68 osôb, v kapitole Ministerstvo hospodárstva SR na zabezpečenie agendy súvisiacej s kompenzáciou vyšších cien energií o 33 osôb) a zmeny súvisiace s novou legislatívou v počte 113</w:t>
      </w:r>
      <w:r w:rsidR="004D7824">
        <w:rPr>
          <w:sz w:val="24"/>
          <w:szCs w:val="24"/>
        </w:rPr>
        <w:t xml:space="preserve"> osôb najmä </w:t>
      </w:r>
      <w:r w:rsidR="004D7824">
        <w:rPr>
          <w:sz w:val="24"/>
          <w:szCs w:val="24"/>
        </w:rPr>
        <w:lastRenderedPageBreak/>
        <w:t>v kapitole Úrad pre </w:t>
      </w:r>
      <w:r w:rsidRPr="00A428D6">
        <w:rPr>
          <w:sz w:val="24"/>
          <w:szCs w:val="24"/>
        </w:rPr>
        <w:t>reguláciu sieťových odvetví v súvislosti s novelou kompetenčného zákona (zaradenie ÚRSO medzi ostatné</w:t>
      </w:r>
      <w:r w:rsidR="004D7824">
        <w:rPr>
          <w:sz w:val="24"/>
          <w:szCs w:val="24"/>
        </w:rPr>
        <w:t xml:space="preserve"> ústredné orgány štátnej správy – </w:t>
      </w:r>
      <w:r w:rsidRPr="00A428D6">
        <w:rPr>
          <w:sz w:val="24"/>
          <w:szCs w:val="24"/>
        </w:rPr>
        <w:t>presun 107 osôb z podriadenej rozpočtovej organizácie do aparátu ústredného orgánu).</w:t>
      </w:r>
    </w:p>
    <w:p w14:paraId="5C6C0693" w14:textId="1086A048" w:rsidR="004D69BF" w:rsidRPr="00A428D6" w:rsidRDefault="004D69BF" w:rsidP="004D69BF">
      <w:pPr>
        <w:spacing w:line="240" w:lineRule="auto"/>
        <w:rPr>
          <w:sz w:val="24"/>
          <w:szCs w:val="24"/>
        </w:rPr>
      </w:pPr>
      <w:r w:rsidRPr="00032C12">
        <w:rPr>
          <w:b/>
          <w:bCs/>
          <w:sz w:val="24"/>
          <w:szCs w:val="24"/>
        </w:rPr>
        <w:t>Skutočný počet zamestnancov v aparátoch ústredných orgánov v roku 2024 dosiahol počet</w:t>
      </w:r>
      <w:r w:rsidR="004D7824">
        <w:rPr>
          <w:b/>
          <w:bCs/>
          <w:sz w:val="24"/>
          <w:szCs w:val="24"/>
        </w:rPr>
        <w:t xml:space="preserve"> </w:t>
      </w:r>
      <w:r w:rsidRPr="00032C12">
        <w:rPr>
          <w:b/>
          <w:bCs/>
          <w:sz w:val="24"/>
          <w:szCs w:val="24"/>
        </w:rPr>
        <w:t>13</w:t>
      </w:r>
      <w:r w:rsidR="004D7824">
        <w:rPr>
          <w:b/>
          <w:bCs/>
          <w:sz w:val="24"/>
          <w:szCs w:val="24"/>
        </w:rPr>
        <w:t> </w:t>
      </w:r>
      <w:r w:rsidRPr="00032C12">
        <w:rPr>
          <w:b/>
          <w:bCs/>
          <w:sz w:val="24"/>
          <w:szCs w:val="24"/>
        </w:rPr>
        <w:t>994 osôb, v porovnaní s rokom 2023 ide o nárast o 667 osôb (4,8</w:t>
      </w:r>
      <w:r w:rsidR="004D7824">
        <w:rPr>
          <w:b/>
          <w:bCs/>
          <w:sz w:val="24"/>
          <w:szCs w:val="24"/>
        </w:rPr>
        <w:t> </w:t>
      </w:r>
      <w:r w:rsidRPr="00032C12">
        <w:rPr>
          <w:b/>
          <w:bCs/>
          <w:sz w:val="24"/>
          <w:szCs w:val="24"/>
        </w:rPr>
        <w:t>%).</w:t>
      </w:r>
      <w:r w:rsidRPr="00A428D6">
        <w:rPr>
          <w:sz w:val="24"/>
          <w:szCs w:val="24"/>
        </w:rPr>
        <w:t xml:space="preserve"> Skutočný počet administratívnych kapacít osobitne sledovaných v roku 2024 v aparátoch ústredných orgánov dosiahol počet 1 133 osôb.</w:t>
      </w:r>
    </w:p>
    <w:p w14:paraId="37450CB2" w14:textId="5A66182E" w:rsidR="004D69BF" w:rsidRPr="00A428D6" w:rsidRDefault="004D69BF" w:rsidP="004D69BF">
      <w:pPr>
        <w:spacing w:line="240" w:lineRule="auto"/>
        <w:rPr>
          <w:sz w:val="24"/>
          <w:szCs w:val="24"/>
        </w:rPr>
      </w:pPr>
      <w:r w:rsidRPr="00A428D6">
        <w:rPr>
          <w:sz w:val="24"/>
          <w:szCs w:val="24"/>
        </w:rPr>
        <w:t>Uznesením vlády SR č.</w:t>
      </w:r>
      <w:r w:rsidR="004D7824">
        <w:rPr>
          <w:sz w:val="24"/>
          <w:szCs w:val="24"/>
        </w:rPr>
        <w:t> </w:t>
      </w:r>
      <w:r w:rsidRPr="00A428D6">
        <w:rPr>
          <w:sz w:val="24"/>
          <w:szCs w:val="24"/>
        </w:rPr>
        <w:t>712/2023 bola v prílohe č.</w:t>
      </w:r>
      <w:r w:rsidR="004D7824">
        <w:rPr>
          <w:sz w:val="24"/>
          <w:szCs w:val="24"/>
        </w:rPr>
        <w:t> </w:t>
      </w:r>
      <w:r w:rsidRPr="00A428D6">
        <w:rPr>
          <w:sz w:val="24"/>
          <w:szCs w:val="24"/>
        </w:rPr>
        <w:t>2 na rok 2024 schválená systemizácia príslušníkov finančnej správy, systemizácia policajtov v štátnej službe, systemizácia príslušníkov Hasičského a záchranného zboru a príslušníkov Horskej záchrannej služby v štátnej službe a systemizácia profesionálnych vojakov v štátnej službe. Záväzné ukazovatele systemizácie z kódu zdroja 111 boli vo všetkých dotknutých kapitolách št</w:t>
      </w:r>
      <w:r w:rsidR="004D7824">
        <w:rPr>
          <w:sz w:val="24"/>
          <w:szCs w:val="24"/>
        </w:rPr>
        <w:t>átneho rozpočtu dodržané.</w:t>
      </w:r>
    </w:p>
    <w:p w14:paraId="6F04D397" w14:textId="39E69D1F" w:rsidR="004D69BF" w:rsidRPr="00A428D6" w:rsidRDefault="004D69BF" w:rsidP="004D69BF">
      <w:pPr>
        <w:spacing w:line="240" w:lineRule="auto"/>
        <w:rPr>
          <w:b/>
          <w:i/>
          <w:sz w:val="24"/>
          <w:szCs w:val="24"/>
        </w:rPr>
      </w:pPr>
      <w:r w:rsidRPr="00A428D6">
        <w:rPr>
          <w:b/>
          <w:i/>
          <w:sz w:val="24"/>
          <w:szCs w:val="24"/>
        </w:rPr>
        <w:t>Prehľad o plnení limitu počtu zamestnancov rozpočtových organizácií kapitol štátneho rozpočtu, miezd, platov, služobných príjmov a ostatných osobných vyrovnaní aparátov ústredných orgánov kapitol štátneho rozpočtu na rok 2024 vrátane vyhodnotenia systemizácií schválených uznesením vlády SR je uvedený v tabuľkách 23, 25, 26, 27 a 28 tabuľkovej časti štátneho záverečného účtu.</w:t>
      </w:r>
    </w:p>
    <w:p w14:paraId="27363A46" w14:textId="77777777" w:rsidR="004D69BF" w:rsidRPr="00040B78" w:rsidRDefault="004D69BF" w:rsidP="004D69BF">
      <w:pPr>
        <w:spacing w:line="240" w:lineRule="auto"/>
        <w:rPr>
          <w:b/>
          <w:color w:val="5B9BD5" w:themeColor="accent1"/>
          <w:sz w:val="24"/>
          <w:szCs w:val="24"/>
        </w:rPr>
      </w:pPr>
      <w:r w:rsidRPr="00040B78">
        <w:rPr>
          <w:b/>
          <w:color w:val="5B9BD5" w:themeColor="accent1"/>
          <w:sz w:val="24"/>
          <w:szCs w:val="24"/>
        </w:rPr>
        <w:t>Poistné a príspevok do poisťovní</w:t>
      </w:r>
    </w:p>
    <w:p w14:paraId="666650FD" w14:textId="2A69725B" w:rsidR="004D69BF" w:rsidRDefault="004D69BF" w:rsidP="004D69BF">
      <w:pPr>
        <w:spacing w:line="240" w:lineRule="auto"/>
        <w:rPr>
          <w:rFonts w:eastAsia="Times New Roman" w:cs="Times New Roman"/>
          <w:sz w:val="24"/>
          <w:szCs w:val="24"/>
          <w:lang w:eastAsia="sk-SK"/>
        </w:rPr>
      </w:pPr>
      <w:r w:rsidRPr="00F966C2">
        <w:rPr>
          <w:rFonts w:cs="Times New Roman"/>
          <w:sz w:val="24"/>
          <w:szCs w:val="24"/>
        </w:rPr>
        <w:t>Kapitoly štátneho rozpočtu rozpísali v roku 202</w:t>
      </w:r>
      <w:r>
        <w:rPr>
          <w:rFonts w:cs="Times New Roman"/>
          <w:sz w:val="24"/>
          <w:szCs w:val="24"/>
        </w:rPr>
        <w:t>4</w:t>
      </w:r>
      <w:r w:rsidRPr="00F966C2">
        <w:rPr>
          <w:rFonts w:cs="Times New Roman"/>
          <w:sz w:val="24"/>
          <w:szCs w:val="24"/>
        </w:rPr>
        <w:t xml:space="preserve"> výdavky na poistné a príspevok do</w:t>
      </w:r>
      <w:r>
        <w:rPr>
          <w:rFonts w:cs="Times New Roman"/>
          <w:sz w:val="24"/>
          <w:szCs w:val="24"/>
        </w:rPr>
        <w:t> </w:t>
      </w:r>
      <w:r w:rsidRPr="00F966C2">
        <w:rPr>
          <w:rFonts w:cs="Times New Roman"/>
          <w:sz w:val="24"/>
          <w:szCs w:val="24"/>
        </w:rPr>
        <w:t xml:space="preserve">poisťovní v sume </w:t>
      </w:r>
      <w:r>
        <w:rPr>
          <w:rFonts w:cs="Times New Roman"/>
          <w:sz w:val="24"/>
          <w:szCs w:val="24"/>
        </w:rPr>
        <w:t>1 170</w:t>
      </w:r>
      <w:r w:rsidR="004D7824">
        <w:rPr>
          <w:rFonts w:cs="Times New Roman"/>
          <w:sz w:val="24"/>
          <w:szCs w:val="24"/>
        </w:rPr>
        <w:t> </w:t>
      </w:r>
      <w:r>
        <w:rPr>
          <w:rFonts w:cs="Times New Roman"/>
          <w:sz w:val="24"/>
          <w:szCs w:val="24"/>
        </w:rPr>
        <w:t>281</w:t>
      </w:r>
      <w:r w:rsidR="004D7824">
        <w:rPr>
          <w:rFonts w:cs="Times New Roman"/>
          <w:sz w:val="24"/>
          <w:szCs w:val="24"/>
        </w:rPr>
        <w:t> </w:t>
      </w:r>
      <w:r>
        <w:rPr>
          <w:rFonts w:cs="Times New Roman"/>
          <w:sz w:val="24"/>
          <w:szCs w:val="24"/>
        </w:rPr>
        <w:t>tis.</w:t>
      </w:r>
      <w:r w:rsidR="004D7824">
        <w:rPr>
          <w:rFonts w:cs="Times New Roman"/>
          <w:sz w:val="24"/>
          <w:szCs w:val="24"/>
        </w:rPr>
        <w:t> </w:t>
      </w:r>
      <w:r>
        <w:rPr>
          <w:rFonts w:cs="Times New Roman"/>
          <w:sz w:val="24"/>
          <w:szCs w:val="24"/>
        </w:rPr>
        <w:t>eur, čo bolo medziročne viac o 129</w:t>
      </w:r>
      <w:r w:rsidR="004D7824">
        <w:rPr>
          <w:rFonts w:cs="Times New Roman"/>
          <w:sz w:val="24"/>
          <w:szCs w:val="24"/>
        </w:rPr>
        <w:t> </w:t>
      </w:r>
      <w:r>
        <w:rPr>
          <w:rFonts w:cs="Times New Roman"/>
          <w:sz w:val="24"/>
          <w:szCs w:val="24"/>
        </w:rPr>
        <w:t>577</w:t>
      </w:r>
      <w:r w:rsidR="004D7824">
        <w:rPr>
          <w:rFonts w:cs="Times New Roman"/>
          <w:sz w:val="24"/>
          <w:szCs w:val="24"/>
        </w:rPr>
        <w:t> </w:t>
      </w:r>
      <w:r>
        <w:rPr>
          <w:rFonts w:cs="Times New Roman"/>
          <w:sz w:val="24"/>
          <w:szCs w:val="24"/>
        </w:rPr>
        <w:t>tis.</w:t>
      </w:r>
      <w:r w:rsidR="004D7824">
        <w:rPr>
          <w:rFonts w:cs="Times New Roman"/>
          <w:sz w:val="24"/>
          <w:szCs w:val="24"/>
        </w:rPr>
        <w:t> </w:t>
      </w:r>
      <w:r>
        <w:rPr>
          <w:rFonts w:cs="Times New Roman"/>
          <w:sz w:val="24"/>
          <w:szCs w:val="24"/>
        </w:rPr>
        <w:t>eur</w:t>
      </w:r>
      <w:r w:rsidRPr="00F966C2">
        <w:rPr>
          <w:rFonts w:cs="Times New Roman"/>
          <w:sz w:val="24"/>
          <w:szCs w:val="24"/>
        </w:rPr>
        <w:t>. Skutočné výdavky na</w:t>
      </w:r>
      <w:r w:rsidR="004D7824">
        <w:rPr>
          <w:rFonts w:cs="Times New Roman"/>
          <w:sz w:val="24"/>
          <w:szCs w:val="24"/>
        </w:rPr>
        <w:t> </w:t>
      </w:r>
      <w:r w:rsidRPr="00F966C2">
        <w:rPr>
          <w:rFonts w:cs="Times New Roman"/>
          <w:sz w:val="24"/>
          <w:szCs w:val="24"/>
        </w:rPr>
        <w:t xml:space="preserve">poistné a príspevok do poisťovní súhrnne za všetky zdroje </w:t>
      </w:r>
      <w:r>
        <w:rPr>
          <w:rFonts w:cs="Times New Roman"/>
          <w:sz w:val="24"/>
          <w:szCs w:val="24"/>
        </w:rPr>
        <w:t>dosiahli 1 204</w:t>
      </w:r>
      <w:r w:rsidR="004D7824">
        <w:rPr>
          <w:rFonts w:cs="Times New Roman"/>
          <w:sz w:val="24"/>
          <w:szCs w:val="24"/>
        </w:rPr>
        <w:t> </w:t>
      </w:r>
      <w:r>
        <w:rPr>
          <w:rFonts w:cs="Times New Roman"/>
          <w:sz w:val="24"/>
          <w:szCs w:val="24"/>
        </w:rPr>
        <w:t>808</w:t>
      </w:r>
      <w:r w:rsidR="004D7824">
        <w:rPr>
          <w:rFonts w:cs="Times New Roman"/>
          <w:sz w:val="24"/>
          <w:szCs w:val="24"/>
        </w:rPr>
        <w:t> </w:t>
      </w:r>
      <w:r>
        <w:rPr>
          <w:rFonts w:cs="Times New Roman"/>
          <w:sz w:val="24"/>
          <w:szCs w:val="24"/>
        </w:rPr>
        <w:t>tis.</w:t>
      </w:r>
      <w:r w:rsidR="004D7824">
        <w:rPr>
          <w:rFonts w:cs="Times New Roman"/>
          <w:sz w:val="24"/>
          <w:szCs w:val="24"/>
        </w:rPr>
        <w:t> eur a </w:t>
      </w:r>
      <w:r w:rsidRPr="00F966C2">
        <w:rPr>
          <w:rFonts w:cs="Times New Roman"/>
          <w:sz w:val="24"/>
          <w:szCs w:val="24"/>
        </w:rPr>
        <w:t>medziročne vzrástli o</w:t>
      </w:r>
      <w:r w:rsidR="004D7824">
        <w:rPr>
          <w:rFonts w:cs="Times New Roman"/>
          <w:sz w:val="24"/>
          <w:szCs w:val="24"/>
        </w:rPr>
        <w:t> </w:t>
      </w:r>
      <w:r>
        <w:rPr>
          <w:rFonts w:cs="Times New Roman"/>
          <w:sz w:val="24"/>
          <w:szCs w:val="24"/>
        </w:rPr>
        <w:t>111</w:t>
      </w:r>
      <w:r w:rsidR="004D7824">
        <w:rPr>
          <w:rFonts w:cs="Times New Roman"/>
          <w:sz w:val="24"/>
          <w:szCs w:val="24"/>
        </w:rPr>
        <w:t> </w:t>
      </w:r>
      <w:r>
        <w:rPr>
          <w:rFonts w:cs="Times New Roman"/>
          <w:sz w:val="24"/>
          <w:szCs w:val="24"/>
        </w:rPr>
        <w:t>218</w:t>
      </w:r>
      <w:r w:rsidR="004D7824">
        <w:rPr>
          <w:rFonts w:cs="Times New Roman"/>
          <w:sz w:val="24"/>
          <w:szCs w:val="24"/>
        </w:rPr>
        <w:t> </w:t>
      </w:r>
      <w:r w:rsidRPr="00F966C2">
        <w:rPr>
          <w:rFonts w:cs="Times New Roman"/>
          <w:sz w:val="24"/>
          <w:szCs w:val="24"/>
        </w:rPr>
        <w:t>tis.</w:t>
      </w:r>
      <w:r w:rsidR="004D7824">
        <w:rPr>
          <w:rFonts w:cs="Times New Roman"/>
          <w:sz w:val="24"/>
          <w:szCs w:val="24"/>
        </w:rPr>
        <w:t> </w:t>
      </w:r>
      <w:r w:rsidRPr="00F966C2">
        <w:rPr>
          <w:rFonts w:cs="Times New Roman"/>
          <w:sz w:val="24"/>
          <w:szCs w:val="24"/>
        </w:rPr>
        <w:t>eur. Vyššie čerpanie výdavkov na</w:t>
      </w:r>
      <w:r>
        <w:rPr>
          <w:rFonts w:cs="Times New Roman"/>
          <w:sz w:val="24"/>
          <w:szCs w:val="24"/>
        </w:rPr>
        <w:t> </w:t>
      </w:r>
      <w:r w:rsidR="004D7824">
        <w:rPr>
          <w:rFonts w:cs="Times New Roman"/>
          <w:sz w:val="24"/>
          <w:szCs w:val="24"/>
        </w:rPr>
        <w:t>poistné nadväzuje na </w:t>
      </w:r>
      <w:r w:rsidRPr="00F966C2">
        <w:rPr>
          <w:rFonts w:cs="Times New Roman"/>
          <w:sz w:val="24"/>
          <w:szCs w:val="24"/>
        </w:rPr>
        <w:t>zvýšené čerpanie výdavkov na mzdy, platy, služobné príjmy a ostatné osobné výdavky</w:t>
      </w:r>
      <w:r>
        <w:rPr>
          <w:rFonts w:cs="Times New Roman"/>
          <w:sz w:val="24"/>
          <w:szCs w:val="24"/>
        </w:rPr>
        <w:t>.</w:t>
      </w:r>
      <w:r w:rsidRPr="00F966C2">
        <w:rPr>
          <w:rFonts w:cs="Times New Roman"/>
          <w:sz w:val="24"/>
          <w:szCs w:val="24"/>
        </w:rPr>
        <w:t xml:space="preserve"> Výdavky na</w:t>
      </w:r>
      <w:r>
        <w:rPr>
          <w:rFonts w:cs="Times New Roman"/>
          <w:sz w:val="24"/>
          <w:szCs w:val="24"/>
        </w:rPr>
        <w:t> </w:t>
      </w:r>
      <w:r w:rsidRPr="00F966C2">
        <w:rPr>
          <w:rFonts w:cs="Times New Roman"/>
          <w:sz w:val="24"/>
          <w:szCs w:val="24"/>
        </w:rPr>
        <w:t>poistné a príspevok do poisťovní boli čerpané v tejto štruktúre</w:t>
      </w:r>
      <w:r>
        <w:rPr>
          <w:rFonts w:cs="Times New Roman"/>
          <w:sz w:val="24"/>
          <w:szCs w:val="24"/>
        </w:rPr>
        <w:t xml:space="preserve"> (podľa významnosti)</w:t>
      </w:r>
      <w:r w:rsidRPr="00F966C2">
        <w:rPr>
          <w:rFonts w:eastAsia="Times New Roman" w:cs="Times New Roman"/>
          <w:sz w:val="24"/>
          <w:szCs w:val="24"/>
          <w:lang w:eastAsia="sk-SK"/>
        </w:rPr>
        <w:t>:</w:t>
      </w:r>
    </w:p>
    <w:p w14:paraId="7E3DF7A3" w14:textId="0C2ABA8C" w:rsidR="004D69BF" w:rsidRPr="00434CD9" w:rsidRDefault="004D69BF" w:rsidP="004D69BF">
      <w:pPr>
        <w:spacing w:line="240" w:lineRule="auto"/>
        <w:rPr>
          <w:rFonts w:eastAsia="Times New Roman" w:cs="Times New Roman"/>
          <w:sz w:val="24"/>
          <w:szCs w:val="24"/>
          <w:lang w:eastAsia="sk-SK"/>
        </w:rPr>
      </w:pPr>
      <w:r w:rsidRPr="00F966C2">
        <w:rPr>
          <w:rFonts w:cs="Times New Roman"/>
          <w:b/>
          <w:i/>
          <w:sz w:val="24"/>
          <w:szCs w:val="24"/>
        </w:rPr>
        <w:t>Výdavky na poistné do Sociálnej poisťovne</w:t>
      </w:r>
      <w:r>
        <w:rPr>
          <w:rFonts w:cs="Times New Roman"/>
          <w:sz w:val="24"/>
          <w:szCs w:val="24"/>
        </w:rPr>
        <w:t xml:space="preserve"> v</w:t>
      </w:r>
      <w:r w:rsidR="004D7824">
        <w:rPr>
          <w:rFonts w:cs="Times New Roman"/>
          <w:sz w:val="24"/>
          <w:szCs w:val="24"/>
        </w:rPr>
        <w:t> sume 471 </w:t>
      </w:r>
      <w:r>
        <w:rPr>
          <w:rFonts w:cs="Times New Roman"/>
          <w:sz w:val="24"/>
          <w:szCs w:val="24"/>
        </w:rPr>
        <w:t>259 </w:t>
      </w:r>
      <w:r w:rsidRPr="00F966C2">
        <w:rPr>
          <w:rFonts w:cs="Times New Roman"/>
          <w:sz w:val="24"/>
          <w:szCs w:val="24"/>
        </w:rPr>
        <w:t>tis.</w:t>
      </w:r>
      <w:r>
        <w:rPr>
          <w:rFonts w:cs="Times New Roman"/>
          <w:sz w:val="24"/>
          <w:szCs w:val="24"/>
        </w:rPr>
        <w:t> </w:t>
      </w:r>
      <w:r w:rsidRPr="00F966C2">
        <w:rPr>
          <w:rFonts w:cs="Times New Roman"/>
          <w:sz w:val="24"/>
          <w:szCs w:val="24"/>
        </w:rPr>
        <w:t>eur</w:t>
      </w:r>
      <w:r>
        <w:rPr>
          <w:rFonts w:cs="Times New Roman"/>
          <w:sz w:val="24"/>
          <w:szCs w:val="24"/>
        </w:rPr>
        <w:t>,</w:t>
      </w:r>
      <w:r w:rsidRPr="00F966C2">
        <w:rPr>
          <w:rFonts w:cs="Times New Roman"/>
          <w:sz w:val="24"/>
          <w:szCs w:val="24"/>
        </w:rPr>
        <w:t xml:space="preserve"> z toho najvyšší objem tvorilo poistné na starobné poistenie v sume </w:t>
      </w:r>
      <w:r>
        <w:rPr>
          <w:rFonts w:cs="Times New Roman"/>
          <w:sz w:val="24"/>
          <w:szCs w:val="24"/>
        </w:rPr>
        <w:t>268</w:t>
      </w:r>
      <w:r w:rsidR="004D7824">
        <w:rPr>
          <w:rFonts w:cs="Times New Roman"/>
          <w:sz w:val="24"/>
          <w:szCs w:val="24"/>
        </w:rPr>
        <w:t> </w:t>
      </w:r>
      <w:r>
        <w:rPr>
          <w:rFonts w:cs="Times New Roman"/>
          <w:sz w:val="24"/>
          <w:szCs w:val="24"/>
        </w:rPr>
        <w:t>918 </w:t>
      </w:r>
      <w:r w:rsidRPr="00F966C2">
        <w:rPr>
          <w:rFonts w:cs="Times New Roman"/>
          <w:sz w:val="24"/>
          <w:szCs w:val="24"/>
        </w:rPr>
        <w:t>tis.</w:t>
      </w:r>
      <w:r w:rsidR="004D7824">
        <w:rPr>
          <w:rFonts w:cs="Times New Roman"/>
          <w:sz w:val="24"/>
          <w:szCs w:val="24"/>
        </w:rPr>
        <w:t> </w:t>
      </w:r>
      <w:r w:rsidRPr="00F966C2">
        <w:rPr>
          <w:rFonts w:cs="Times New Roman"/>
          <w:sz w:val="24"/>
          <w:szCs w:val="24"/>
        </w:rPr>
        <w:t>eur, poistné do rezervného</w:t>
      </w:r>
      <w:r w:rsidR="004D7824">
        <w:rPr>
          <w:rFonts w:cs="Times New Roman"/>
          <w:sz w:val="24"/>
          <w:szCs w:val="24"/>
        </w:rPr>
        <w:t xml:space="preserve"> fondu solidarity v sume 90 904 </w:t>
      </w:r>
      <w:r>
        <w:rPr>
          <w:rFonts w:cs="Times New Roman"/>
          <w:sz w:val="24"/>
          <w:szCs w:val="24"/>
        </w:rPr>
        <w:t>tis</w:t>
      </w:r>
      <w:r w:rsidRPr="00F966C2">
        <w:rPr>
          <w:rFonts w:cs="Times New Roman"/>
          <w:sz w:val="24"/>
          <w:szCs w:val="24"/>
        </w:rPr>
        <w:t>.</w:t>
      </w:r>
      <w:r w:rsidR="004D7824">
        <w:rPr>
          <w:rFonts w:cs="Times New Roman"/>
          <w:sz w:val="24"/>
          <w:szCs w:val="24"/>
        </w:rPr>
        <w:t> </w:t>
      </w:r>
      <w:r w:rsidRPr="00F966C2">
        <w:rPr>
          <w:rFonts w:cs="Times New Roman"/>
          <w:sz w:val="24"/>
          <w:szCs w:val="24"/>
        </w:rPr>
        <w:t xml:space="preserve">eur a poistné na invalidné poistenie v sume </w:t>
      </w:r>
      <w:r w:rsidR="004D7824">
        <w:rPr>
          <w:rFonts w:cs="Times New Roman"/>
          <w:sz w:val="24"/>
          <w:szCs w:val="24"/>
        </w:rPr>
        <w:t>53 </w:t>
      </w:r>
      <w:r>
        <w:rPr>
          <w:rFonts w:cs="Times New Roman"/>
          <w:sz w:val="24"/>
          <w:szCs w:val="24"/>
        </w:rPr>
        <w:t>828 </w:t>
      </w:r>
      <w:r w:rsidRPr="00F966C2">
        <w:rPr>
          <w:rFonts w:cs="Times New Roman"/>
          <w:sz w:val="24"/>
          <w:szCs w:val="24"/>
        </w:rPr>
        <w:t>tis.</w:t>
      </w:r>
      <w:r w:rsidR="004D7824">
        <w:rPr>
          <w:rFonts w:cs="Times New Roman"/>
          <w:sz w:val="24"/>
          <w:szCs w:val="24"/>
        </w:rPr>
        <w:t> </w:t>
      </w:r>
      <w:r w:rsidRPr="00F966C2">
        <w:rPr>
          <w:rFonts w:cs="Times New Roman"/>
          <w:sz w:val="24"/>
          <w:szCs w:val="24"/>
        </w:rPr>
        <w:t>eur</w:t>
      </w:r>
      <w:r w:rsidRPr="00434CD9">
        <w:rPr>
          <w:rFonts w:eastAsia="Times New Roman" w:cs="Times New Roman"/>
          <w:sz w:val="24"/>
          <w:szCs w:val="24"/>
          <w:lang w:eastAsia="sk-SK"/>
        </w:rPr>
        <w:t>.</w:t>
      </w:r>
    </w:p>
    <w:p w14:paraId="2A52207A" w14:textId="55234A4D" w:rsidR="004D69BF" w:rsidRPr="00F966C2" w:rsidRDefault="004D69BF" w:rsidP="004D69BF">
      <w:pPr>
        <w:spacing w:line="240" w:lineRule="auto"/>
        <w:rPr>
          <w:rFonts w:eastAsia="Times New Roman" w:cs="Times New Roman"/>
          <w:sz w:val="24"/>
          <w:szCs w:val="24"/>
          <w:lang w:eastAsia="sk-SK"/>
        </w:rPr>
      </w:pPr>
      <w:r w:rsidRPr="00F966C2">
        <w:rPr>
          <w:rFonts w:eastAsia="Times New Roman" w:cs="Times New Roman"/>
          <w:b/>
          <w:i/>
          <w:sz w:val="24"/>
          <w:szCs w:val="24"/>
          <w:lang w:eastAsia="sk-SK"/>
        </w:rPr>
        <w:t>Poistné na osobitné účty</w:t>
      </w:r>
      <w:r w:rsidRPr="00F966C2">
        <w:rPr>
          <w:rFonts w:eastAsia="Times New Roman" w:cs="Times New Roman"/>
          <w:sz w:val="24"/>
          <w:szCs w:val="24"/>
          <w:lang w:eastAsia="sk-SK"/>
        </w:rPr>
        <w:t xml:space="preserve"> </w:t>
      </w:r>
      <w:r w:rsidRPr="00F966C2">
        <w:rPr>
          <w:rFonts w:cs="Times New Roman"/>
          <w:sz w:val="24"/>
          <w:szCs w:val="24"/>
        </w:rPr>
        <w:t>v kapitolách štátneho rozpočtu, do pôsobnosti ktorých patrí riadenie ozbrojených, bezpečnostných a záchranných zložiek d</w:t>
      </w:r>
      <w:r w:rsidR="004D7824">
        <w:rPr>
          <w:rFonts w:cs="Times New Roman"/>
          <w:sz w:val="24"/>
          <w:szCs w:val="24"/>
        </w:rPr>
        <w:t>osiahlo sumu 329 669 </w:t>
      </w:r>
      <w:r>
        <w:rPr>
          <w:rFonts w:cs="Times New Roman"/>
          <w:sz w:val="24"/>
          <w:szCs w:val="24"/>
        </w:rPr>
        <w:t>tis.</w:t>
      </w:r>
      <w:r w:rsidR="004D7824">
        <w:rPr>
          <w:rFonts w:cs="Times New Roman"/>
          <w:sz w:val="24"/>
          <w:szCs w:val="24"/>
        </w:rPr>
        <w:t> </w:t>
      </w:r>
      <w:r>
        <w:rPr>
          <w:rFonts w:cs="Times New Roman"/>
          <w:sz w:val="24"/>
          <w:szCs w:val="24"/>
        </w:rPr>
        <w:t>eur,</w:t>
      </w:r>
      <w:r w:rsidRPr="00F966C2">
        <w:rPr>
          <w:rFonts w:cs="Times New Roman"/>
          <w:sz w:val="24"/>
          <w:szCs w:val="24"/>
        </w:rPr>
        <w:t xml:space="preserve"> z toho rozhodujúci podiel predstavovalo poistné na výsluhový dôchodok v sume </w:t>
      </w:r>
      <w:r>
        <w:rPr>
          <w:rFonts w:cs="Times New Roman"/>
          <w:sz w:val="24"/>
          <w:szCs w:val="24"/>
        </w:rPr>
        <w:t>254</w:t>
      </w:r>
      <w:r w:rsidR="004D7824">
        <w:rPr>
          <w:rFonts w:cs="Times New Roman"/>
          <w:sz w:val="24"/>
          <w:szCs w:val="24"/>
        </w:rPr>
        <w:t> </w:t>
      </w:r>
      <w:r>
        <w:rPr>
          <w:rFonts w:cs="Times New Roman"/>
          <w:sz w:val="24"/>
          <w:szCs w:val="24"/>
        </w:rPr>
        <w:t>456</w:t>
      </w:r>
      <w:r w:rsidRPr="00F966C2">
        <w:rPr>
          <w:rFonts w:cs="Times New Roman"/>
          <w:sz w:val="24"/>
          <w:szCs w:val="24"/>
        </w:rPr>
        <w:t xml:space="preserve"> tis. eur. Poistné na invalidný výsluhový dôchodok dosiahlo sumu </w:t>
      </w:r>
      <w:r w:rsidR="004D7824">
        <w:rPr>
          <w:rFonts w:cs="Times New Roman"/>
          <w:sz w:val="24"/>
          <w:szCs w:val="24"/>
        </w:rPr>
        <w:t>38 </w:t>
      </w:r>
      <w:r>
        <w:rPr>
          <w:rFonts w:cs="Times New Roman"/>
          <w:sz w:val="24"/>
          <w:szCs w:val="24"/>
        </w:rPr>
        <w:t>459</w:t>
      </w:r>
      <w:r w:rsidR="004D7824">
        <w:rPr>
          <w:rFonts w:cs="Times New Roman"/>
          <w:sz w:val="24"/>
          <w:szCs w:val="24"/>
        </w:rPr>
        <w:t> tis. eur a na </w:t>
      </w:r>
      <w:r w:rsidRPr="00F966C2">
        <w:rPr>
          <w:rFonts w:cs="Times New Roman"/>
          <w:sz w:val="24"/>
          <w:szCs w:val="24"/>
        </w:rPr>
        <w:t>nemo</w:t>
      </w:r>
      <w:r w:rsidR="004D7824">
        <w:rPr>
          <w:rFonts w:cs="Times New Roman"/>
          <w:sz w:val="24"/>
          <w:szCs w:val="24"/>
        </w:rPr>
        <w:t>censké zabezpečenie sumu 17 </w:t>
      </w:r>
      <w:r>
        <w:rPr>
          <w:rFonts w:cs="Times New Roman"/>
          <w:sz w:val="24"/>
          <w:szCs w:val="24"/>
        </w:rPr>
        <w:t>736 </w:t>
      </w:r>
      <w:r w:rsidRPr="00F966C2">
        <w:rPr>
          <w:rFonts w:cs="Times New Roman"/>
          <w:sz w:val="24"/>
          <w:szCs w:val="24"/>
        </w:rPr>
        <w:t>tis.</w:t>
      </w:r>
      <w:r w:rsidR="004D7824">
        <w:rPr>
          <w:rFonts w:cs="Times New Roman"/>
          <w:sz w:val="24"/>
          <w:szCs w:val="24"/>
        </w:rPr>
        <w:t> </w:t>
      </w:r>
      <w:r w:rsidRPr="00F966C2">
        <w:rPr>
          <w:rFonts w:cs="Times New Roman"/>
          <w:sz w:val="24"/>
          <w:szCs w:val="24"/>
        </w:rPr>
        <w:t>eur</w:t>
      </w:r>
      <w:r w:rsidRPr="00F966C2">
        <w:rPr>
          <w:rFonts w:eastAsia="Times New Roman" w:cs="Times New Roman"/>
          <w:sz w:val="24"/>
          <w:szCs w:val="24"/>
          <w:lang w:eastAsia="sk-SK"/>
        </w:rPr>
        <w:t>.</w:t>
      </w:r>
      <w:r>
        <w:rPr>
          <w:rFonts w:eastAsia="Times New Roman" w:cs="Times New Roman"/>
          <w:sz w:val="24"/>
          <w:szCs w:val="24"/>
          <w:lang w:eastAsia="sk-SK"/>
        </w:rPr>
        <w:t xml:space="preserve"> Medziročný nárast poistného n</w:t>
      </w:r>
      <w:r w:rsidR="004D7824">
        <w:rPr>
          <w:rFonts w:eastAsia="Times New Roman" w:cs="Times New Roman"/>
          <w:sz w:val="24"/>
          <w:szCs w:val="24"/>
          <w:lang w:eastAsia="sk-SK"/>
        </w:rPr>
        <w:t>a osobitné účty dosiahol 11 407 </w:t>
      </w:r>
      <w:r>
        <w:rPr>
          <w:rFonts w:eastAsia="Times New Roman" w:cs="Times New Roman"/>
          <w:sz w:val="24"/>
          <w:szCs w:val="24"/>
          <w:lang w:eastAsia="sk-SK"/>
        </w:rPr>
        <w:t>tis.</w:t>
      </w:r>
      <w:r w:rsidR="004D7824">
        <w:rPr>
          <w:rFonts w:eastAsia="Times New Roman" w:cs="Times New Roman"/>
          <w:sz w:val="24"/>
          <w:szCs w:val="24"/>
          <w:lang w:eastAsia="sk-SK"/>
        </w:rPr>
        <w:t> </w:t>
      </w:r>
      <w:r>
        <w:rPr>
          <w:rFonts w:eastAsia="Times New Roman" w:cs="Times New Roman"/>
          <w:sz w:val="24"/>
          <w:szCs w:val="24"/>
          <w:lang w:eastAsia="sk-SK"/>
        </w:rPr>
        <w:t>eur. Z celkového objemu poistného na osobitné účty tvorí 54,4</w:t>
      </w:r>
      <w:r w:rsidR="004D7824">
        <w:rPr>
          <w:rFonts w:eastAsia="Times New Roman" w:cs="Times New Roman"/>
          <w:sz w:val="24"/>
          <w:szCs w:val="24"/>
          <w:lang w:eastAsia="sk-SK"/>
        </w:rPr>
        <w:t> </w:t>
      </w:r>
      <w:r>
        <w:rPr>
          <w:rFonts w:eastAsia="Times New Roman" w:cs="Times New Roman"/>
          <w:sz w:val="24"/>
          <w:szCs w:val="24"/>
          <w:lang w:eastAsia="sk-SK"/>
        </w:rPr>
        <w:t>% Ministerstvo vnútra SR a 28,4</w:t>
      </w:r>
      <w:r w:rsidR="004D7824">
        <w:rPr>
          <w:rFonts w:eastAsia="Times New Roman" w:cs="Times New Roman"/>
          <w:sz w:val="24"/>
          <w:szCs w:val="24"/>
          <w:lang w:eastAsia="sk-SK"/>
        </w:rPr>
        <w:t> </w:t>
      </w:r>
      <w:r>
        <w:rPr>
          <w:rFonts w:eastAsia="Times New Roman" w:cs="Times New Roman"/>
          <w:sz w:val="24"/>
          <w:szCs w:val="24"/>
          <w:lang w:eastAsia="sk-SK"/>
        </w:rPr>
        <w:t>% Ministerstvo obrany SR.</w:t>
      </w:r>
    </w:p>
    <w:p w14:paraId="2BB4B054" w14:textId="35B1B3FB" w:rsidR="004D69BF" w:rsidRPr="00F966C2" w:rsidRDefault="004D69BF" w:rsidP="004D69BF">
      <w:pPr>
        <w:spacing w:line="240" w:lineRule="auto"/>
        <w:rPr>
          <w:rFonts w:eastAsia="Times New Roman" w:cs="Times New Roman"/>
          <w:sz w:val="24"/>
          <w:szCs w:val="24"/>
          <w:lang w:eastAsia="sk-SK"/>
        </w:rPr>
      </w:pPr>
      <w:r w:rsidRPr="00F966C2">
        <w:rPr>
          <w:rFonts w:eastAsia="Times New Roman" w:cs="Times New Roman"/>
          <w:b/>
          <w:i/>
          <w:sz w:val="24"/>
          <w:szCs w:val="24"/>
          <w:lang w:eastAsia="sk-SK"/>
        </w:rPr>
        <w:t>Poistné do zdravotných poisťovní</w:t>
      </w:r>
      <w:r w:rsidRPr="00F966C2">
        <w:rPr>
          <w:rFonts w:eastAsia="Times New Roman" w:cs="Times New Roman"/>
          <w:sz w:val="24"/>
          <w:szCs w:val="24"/>
          <w:lang w:eastAsia="sk-SK"/>
        </w:rPr>
        <w:t xml:space="preserve"> </w:t>
      </w:r>
      <w:r>
        <w:rPr>
          <w:rFonts w:eastAsia="Times New Roman" w:cs="Times New Roman"/>
          <w:sz w:val="24"/>
          <w:szCs w:val="24"/>
          <w:lang w:eastAsia="sk-SK"/>
        </w:rPr>
        <w:t>bo</w:t>
      </w:r>
      <w:r w:rsidR="004D7824">
        <w:rPr>
          <w:rFonts w:eastAsia="Times New Roman" w:cs="Times New Roman"/>
          <w:sz w:val="24"/>
          <w:szCs w:val="24"/>
          <w:lang w:eastAsia="sk-SK"/>
        </w:rPr>
        <w:t>lo realizované vo výške 375 483 </w:t>
      </w:r>
      <w:r>
        <w:rPr>
          <w:rFonts w:eastAsia="Times New Roman" w:cs="Times New Roman"/>
          <w:sz w:val="24"/>
          <w:szCs w:val="24"/>
          <w:lang w:eastAsia="sk-SK"/>
        </w:rPr>
        <w:t>tis.</w:t>
      </w:r>
      <w:r w:rsidR="004D7824">
        <w:rPr>
          <w:rFonts w:eastAsia="Times New Roman" w:cs="Times New Roman"/>
          <w:sz w:val="24"/>
          <w:szCs w:val="24"/>
          <w:lang w:eastAsia="sk-SK"/>
        </w:rPr>
        <w:t> </w:t>
      </w:r>
      <w:r>
        <w:rPr>
          <w:rFonts w:eastAsia="Times New Roman" w:cs="Times New Roman"/>
          <w:sz w:val="24"/>
          <w:szCs w:val="24"/>
          <w:lang w:eastAsia="sk-SK"/>
        </w:rPr>
        <w:t xml:space="preserve">eur, </w:t>
      </w:r>
      <w:r w:rsidRPr="00F966C2">
        <w:rPr>
          <w:rFonts w:cs="Times New Roman"/>
          <w:sz w:val="24"/>
          <w:szCs w:val="24"/>
        </w:rPr>
        <w:t>v tom do</w:t>
      </w:r>
      <w:r>
        <w:rPr>
          <w:rFonts w:cs="Times New Roman"/>
          <w:sz w:val="24"/>
          <w:szCs w:val="24"/>
        </w:rPr>
        <w:t xml:space="preserve"> štátnej </w:t>
      </w:r>
      <w:r w:rsidRPr="00F966C2">
        <w:rPr>
          <w:rFonts w:cs="Times New Roman"/>
          <w:sz w:val="24"/>
          <w:szCs w:val="24"/>
        </w:rPr>
        <w:t xml:space="preserve">Všeobecnej zdravotnej poisťovne bolo odvedených </w:t>
      </w:r>
      <w:r>
        <w:rPr>
          <w:rFonts w:cs="Times New Roman"/>
          <w:sz w:val="24"/>
          <w:szCs w:val="24"/>
        </w:rPr>
        <w:t>238</w:t>
      </w:r>
      <w:r w:rsidR="004D7824">
        <w:rPr>
          <w:rFonts w:cs="Times New Roman"/>
          <w:sz w:val="24"/>
          <w:szCs w:val="24"/>
        </w:rPr>
        <w:t> </w:t>
      </w:r>
      <w:r>
        <w:rPr>
          <w:rFonts w:cs="Times New Roman"/>
          <w:sz w:val="24"/>
          <w:szCs w:val="24"/>
        </w:rPr>
        <w:t>275</w:t>
      </w:r>
      <w:r w:rsidR="004D7824">
        <w:rPr>
          <w:rFonts w:cs="Times New Roman"/>
          <w:sz w:val="24"/>
          <w:szCs w:val="24"/>
        </w:rPr>
        <w:t> </w:t>
      </w:r>
      <w:r>
        <w:rPr>
          <w:rFonts w:cs="Times New Roman"/>
          <w:sz w:val="24"/>
          <w:szCs w:val="24"/>
        </w:rPr>
        <w:t>tis.</w:t>
      </w:r>
      <w:r w:rsidR="004D7824">
        <w:rPr>
          <w:rFonts w:cs="Times New Roman"/>
          <w:sz w:val="24"/>
          <w:szCs w:val="24"/>
        </w:rPr>
        <w:t> </w:t>
      </w:r>
      <w:r>
        <w:rPr>
          <w:rFonts w:cs="Times New Roman"/>
          <w:sz w:val="24"/>
          <w:szCs w:val="24"/>
        </w:rPr>
        <w:t xml:space="preserve">eur </w:t>
      </w:r>
      <w:r w:rsidRPr="00F966C2">
        <w:rPr>
          <w:rFonts w:cs="Times New Roman"/>
          <w:sz w:val="24"/>
          <w:szCs w:val="24"/>
        </w:rPr>
        <w:t xml:space="preserve">a do ostatných zdravotných poisťovní </w:t>
      </w:r>
      <w:r>
        <w:rPr>
          <w:rFonts w:cs="Times New Roman"/>
          <w:sz w:val="24"/>
          <w:szCs w:val="24"/>
        </w:rPr>
        <w:t>137</w:t>
      </w:r>
      <w:r w:rsidR="004D7824">
        <w:rPr>
          <w:rFonts w:cs="Times New Roman"/>
          <w:sz w:val="24"/>
          <w:szCs w:val="24"/>
        </w:rPr>
        <w:t> </w:t>
      </w:r>
      <w:r>
        <w:rPr>
          <w:rFonts w:cs="Times New Roman"/>
          <w:sz w:val="24"/>
          <w:szCs w:val="24"/>
        </w:rPr>
        <w:t>207</w:t>
      </w:r>
      <w:r w:rsidR="004D7824">
        <w:rPr>
          <w:rFonts w:cs="Times New Roman"/>
          <w:sz w:val="24"/>
          <w:szCs w:val="24"/>
        </w:rPr>
        <w:t> </w:t>
      </w:r>
      <w:r w:rsidRPr="00F966C2">
        <w:rPr>
          <w:rFonts w:cs="Times New Roman"/>
          <w:sz w:val="24"/>
          <w:szCs w:val="24"/>
        </w:rPr>
        <w:t>tis.</w:t>
      </w:r>
      <w:r w:rsidR="004D7824">
        <w:rPr>
          <w:rFonts w:cs="Times New Roman"/>
          <w:sz w:val="24"/>
          <w:szCs w:val="24"/>
        </w:rPr>
        <w:t> </w:t>
      </w:r>
      <w:r w:rsidRPr="00F966C2">
        <w:rPr>
          <w:rFonts w:cs="Times New Roman"/>
          <w:sz w:val="24"/>
          <w:szCs w:val="24"/>
        </w:rPr>
        <w:t>eur</w:t>
      </w:r>
      <w:r w:rsidR="004D7824">
        <w:rPr>
          <w:rFonts w:cs="Times New Roman"/>
          <w:sz w:val="24"/>
          <w:szCs w:val="24"/>
        </w:rPr>
        <w:t>.</w:t>
      </w:r>
    </w:p>
    <w:p w14:paraId="4DDD4F58" w14:textId="07170024" w:rsidR="004D69BF" w:rsidRPr="00434CD9" w:rsidRDefault="004D69BF" w:rsidP="004D69BF">
      <w:pPr>
        <w:spacing w:line="240" w:lineRule="auto"/>
        <w:rPr>
          <w:rFonts w:cs="Times New Roman"/>
          <w:sz w:val="24"/>
          <w:szCs w:val="24"/>
        </w:rPr>
      </w:pPr>
      <w:r w:rsidRPr="00F966C2">
        <w:rPr>
          <w:rFonts w:eastAsia="Times New Roman" w:cs="Times New Roman"/>
          <w:b/>
          <w:i/>
          <w:sz w:val="24"/>
          <w:szCs w:val="24"/>
          <w:lang w:eastAsia="sk-SK"/>
        </w:rPr>
        <w:t>Príspevok do doplnkových dôchodkových poisťovní</w:t>
      </w:r>
      <w:r w:rsidRPr="00F966C2">
        <w:rPr>
          <w:rFonts w:eastAsia="Times New Roman" w:cs="Times New Roman"/>
          <w:sz w:val="24"/>
          <w:szCs w:val="24"/>
          <w:lang w:eastAsia="sk-SK"/>
        </w:rPr>
        <w:t xml:space="preserve"> </w:t>
      </w:r>
      <w:r w:rsidRPr="00F966C2">
        <w:rPr>
          <w:rFonts w:cs="Times New Roman"/>
          <w:sz w:val="24"/>
          <w:szCs w:val="24"/>
        </w:rPr>
        <w:t>bol odv</w:t>
      </w:r>
      <w:r>
        <w:rPr>
          <w:rFonts w:cs="Times New Roman"/>
          <w:sz w:val="24"/>
          <w:szCs w:val="24"/>
        </w:rPr>
        <w:t>edený v sume 28</w:t>
      </w:r>
      <w:r w:rsidR="004D7824">
        <w:rPr>
          <w:rFonts w:cs="Times New Roman"/>
          <w:sz w:val="24"/>
          <w:szCs w:val="24"/>
        </w:rPr>
        <w:t> </w:t>
      </w:r>
      <w:r>
        <w:rPr>
          <w:rFonts w:cs="Times New Roman"/>
          <w:sz w:val="24"/>
          <w:szCs w:val="24"/>
        </w:rPr>
        <w:t>3083 tis. eur.</w:t>
      </w:r>
    </w:p>
    <w:p w14:paraId="3E39D216" w14:textId="77777777" w:rsidR="004D69BF" w:rsidRPr="00040B78" w:rsidRDefault="004D69BF" w:rsidP="004D69BF">
      <w:pPr>
        <w:spacing w:line="240" w:lineRule="auto"/>
        <w:rPr>
          <w:b/>
          <w:color w:val="5B9BD5" w:themeColor="accent1"/>
          <w:sz w:val="24"/>
          <w:szCs w:val="24"/>
        </w:rPr>
      </w:pPr>
      <w:r w:rsidRPr="00040B78">
        <w:rPr>
          <w:b/>
          <w:color w:val="5B9BD5" w:themeColor="accent1"/>
          <w:sz w:val="24"/>
          <w:szCs w:val="24"/>
        </w:rPr>
        <w:t>Tovary a služby</w:t>
      </w:r>
    </w:p>
    <w:p w14:paraId="111D175A" w14:textId="46CEF169" w:rsidR="004D69BF" w:rsidRDefault="004D69BF" w:rsidP="004D7824">
      <w:pPr>
        <w:suppressAutoHyphens/>
        <w:spacing w:line="240" w:lineRule="auto"/>
        <w:rPr>
          <w:rFonts w:eastAsia="Times New Roman" w:cs="Times New Roman"/>
          <w:sz w:val="24"/>
          <w:szCs w:val="24"/>
          <w:u w:val="single"/>
          <w:lang w:eastAsia="sk-SK"/>
        </w:rPr>
      </w:pPr>
      <w:r w:rsidRPr="005A00C0">
        <w:rPr>
          <w:rFonts w:eastAsia="Calibri" w:cs="Times New Roman"/>
          <w:sz w:val="24"/>
          <w:szCs w:val="24"/>
        </w:rPr>
        <w:t xml:space="preserve">Výdavky na tovary a služby boli rozpočtované v sume </w:t>
      </w:r>
      <w:r w:rsidR="004D7824">
        <w:rPr>
          <w:rFonts w:eastAsia="Calibri" w:cs="Times New Roman"/>
          <w:sz w:val="24"/>
          <w:szCs w:val="24"/>
        </w:rPr>
        <w:t>3 362 206 </w:t>
      </w:r>
      <w:r>
        <w:rPr>
          <w:rFonts w:eastAsia="Calibri" w:cs="Times New Roman"/>
          <w:sz w:val="24"/>
          <w:szCs w:val="24"/>
        </w:rPr>
        <w:t>tis.</w:t>
      </w:r>
      <w:r w:rsidR="004D7824">
        <w:rPr>
          <w:rFonts w:eastAsia="Calibri" w:cs="Times New Roman"/>
          <w:sz w:val="24"/>
          <w:szCs w:val="24"/>
        </w:rPr>
        <w:t> </w:t>
      </w:r>
      <w:r>
        <w:rPr>
          <w:rFonts w:eastAsia="Calibri" w:cs="Times New Roman"/>
          <w:sz w:val="24"/>
          <w:szCs w:val="24"/>
        </w:rPr>
        <w:t>eur, čo bolo oproti roku 2023 výrazne menej. Medziročný pokles v plánovaných výdavkoch v rámci tejto ekonomickej kategórie predstavoval 6 045</w:t>
      </w:r>
      <w:r w:rsidR="004D7824">
        <w:rPr>
          <w:rFonts w:eastAsia="Calibri" w:cs="Times New Roman"/>
          <w:sz w:val="24"/>
          <w:szCs w:val="24"/>
        </w:rPr>
        <w:t> </w:t>
      </w:r>
      <w:r>
        <w:rPr>
          <w:rFonts w:eastAsia="Calibri" w:cs="Times New Roman"/>
          <w:sz w:val="24"/>
          <w:szCs w:val="24"/>
        </w:rPr>
        <w:t>356</w:t>
      </w:r>
      <w:r w:rsidR="004D7824">
        <w:rPr>
          <w:rFonts w:eastAsia="Calibri" w:cs="Times New Roman"/>
          <w:sz w:val="24"/>
          <w:szCs w:val="24"/>
        </w:rPr>
        <w:t> </w:t>
      </w:r>
      <w:r>
        <w:rPr>
          <w:rFonts w:eastAsia="Calibri" w:cs="Times New Roman"/>
          <w:sz w:val="24"/>
          <w:szCs w:val="24"/>
        </w:rPr>
        <w:t>tis.</w:t>
      </w:r>
      <w:r w:rsidR="004D7824">
        <w:rPr>
          <w:rFonts w:eastAsia="Calibri" w:cs="Times New Roman"/>
          <w:sz w:val="24"/>
          <w:szCs w:val="24"/>
        </w:rPr>
        <w:t> </w:t>
      </w:r>
      <w:r>
        <w:rPr>
          <w:rFonts w:eastAsia="Calibri" w:cs="Times New Roman"/>
          <w:sz w:val="24"/>
          <w:szCs w:val="24"/>
        </w:rPr>
        <w:t xml:space="preserve">eur, a to hlavne na ostatných službách, kde sa v roku 2023 rozpočtovali aj výdavky na energopomoc (napríklad v kapitole MH SR, MZ SR </w:t>
      </w:r>
      <w:r w:rsidR="004D7824">
        <w:rPr>
          <w:rFonts w:eastAsia="Calibri" w:cs="Times New Roman"/>
          <w:sz w:val="24"/>
          <w:szCs w:val="24"/>
        </w:rPr>
        <w:lastRenderedPageBreak/>
        <w:t>a</w:t>
      </w:r>
      <w:r w:rsidR="000F7ABA">
        <w:rPr>
          <w:rFonts w:eastAsia="Calibri" w:cs="Times New Roman"/>
          <w:sz w:val="24"/>
          <w:szCs w:val="24"/>
        </w:rPr>
        <w:t> </w:t>
      </w:r>
      <w:r w:rsidR="004D7824">
        <w:rPr>
          <w:rFonts w:eastAsia="Calibri" w:cs="Times New Roman"/>
          <w:sz w:val="24"/>
          <w:szCs w:val="24"/>
        </w:rPr>
        <w:t>MPSVaR SR, spolu za 2 605 300 </w:t>
      </w:r>
      <w:r>
        <w:rPr>
          <w:rFonts w:eastAsia="Calibri" w:cs="Times New Roman"/>
          <w:sz w:val="24"/>
          <w:szCs w:val="24"/>
        </w:rPr>
        <w:t>tis.</w:t>
      </w:r>
      <w:r w:rsidR="004D7824">
        <w:rPr>
          <w:rFonts w:eastAsia="Calibri" w:cs="Times New Roman"/>
          <w:sz w:val="24"/>
          <w:szCs w:val="24"/>
        </w:rPr>
        <w:t> </w:t>
      </w:r>
      <w:r>
        <w:rPr>
          <w:rFonts w:eastAsia="Calibri" w:cs="Times New Roman"/>
          <w:sz w:val="24"/>
          <w:szCs w:val="24"/>
        </w:rPr>
        <w:t xml:space="preserve">eur), ktoré sa v roku 2024 rozpočtovali v kapitole Všeobecná pokladničná správa ako rezerva, ďalej niektoré zdroje </w:t>
      </w:r>
      <w:r w:rsidR="001D6597">
        <w:rPr>
          <w:rFonts w:eastAsia="Calibri" w:cs="Times New Roman"/>
          <w:sz w:val="24"/>
          <w:szCs w:val="24"/>
        </w:rPr>
        <w:t>EÚ</w:t>
      </w:r>
      <w:r>
        <w:rPr>
          <w:rFonts w:eastAsia="Calibri" w:cs="Times New Roman"/>
          <w:sz w:val="24"/>
          <w:szCs w:val="24"/>
        </w:rPr>
        <w:t>, ktoré sa v roku 2023 rozpočtovali vo vyššej miere vzhľadom na dočerpávanie prostriedkov 3.</w:t>
      </w:r>
      <w:r w:rsidR="004D7824">
        <w:rPr>
          <w:rFonts w:eastAsia="Calibri" w:cs="Times New Roman"/>
          <w:sz w:val="24"/>
          <w:szCs w:val="24"/>
        </w:rPr>
        <w:t> </w:t>
      </w:r>
      <w:r>
        <w:rPr>
          <w:rFonts w:eastAsia="Calibri" w:cs="Times New Roman"/>
          <w:sz w:val="24"/>
          <w:szCs w:val="24"/>
        </w:rPr>
        <w:t xml:space="preserve">programového obdobia, ale aj </w:t>
      </w:r>
      <w:r w:rsidR="004D7824">
        <w:rPr>
          <w:rFonts w:eastAsia="Calibri" w:cs="Times New Roman"/>
          <w:sz w:val="24"/>
          <w:szCs w:val="24"/>
        </w:rPr>
        <w:t>z</w:t>
      </w:r>
      <w:r w:rsidRPr="008E112F">
        <w:rPr>
          <w:rFonts w:eastAsia="Calibri" w:cs="Times New Roman"/>
          <w:sz w:val="24"/>
          <w:szCs w:val="24"/>
        </w:rPr>
        <w:t xml:space="preserve"> celkových výdavkov za </w:t>
      </w:r>
      <w:r w:rsidRPr="009D1DCA">
        <w:rPr>
          <w:rFonts w:eastAsia="Calibri" w:cs="Times New Roman"/>
          <w:b/>
          <w:i/>
          <w:iCs/>
          <w:sz w:val="24"/>
          <w:szCs w:val="24"/>
        </w:rPr>
        <w:t>služby</w:t>
      </w:r>
      <w:r w:rsidRPr="008E112F">
        <w:rPr>
          <w:rFonts w:eastAsia="Calibri" w:cs="Times New Roman"/>
          <w:sz w:val="24"/>
          <w:szCs w:val="24"/>
        </w:rPr>
        <w:t>,</w:t>
      </w:r>
      <w:r w:rsidRPr="008E112F">
        <w:rPr>
          <w:rFonts w:eastAsia="Calibri" w:cs="Times New Roman"/>
          <w:b/>
          <w:i/>
          <w:sz w:val="24"/>
          <w:szCs w:val="24"/>
        </w:rPr>
        <w:t xml:space="preserve"> </w:t>
      </w:r>
      <w:r w:rsidRPr="008E112F">
        <w:rPr>
          <w:rFonts w:eastAsia="Calibri" w:cs="Times New Roman"/>
          <w:sz w:val="24"/>
          <w:szCs w:val="24"/>
        </w:rPr>
        <w:t xml:space="preserve">realizovaných vo výške </w:t>
      </w:r>
      <w:r>
        <w:rPr>
          <w:rFonts w:eastAsia="Calibri" w:cs="Times New Roman"/>
          <w:sz w:val="24"/>
          <w:szCs w:val="24"/>
        </w:rPr>
        <w:t>1</w:t>
      </w:r>
      <w:r w:rsidR="008644B4">
        <w:rPr>
          <w:rFonts w:eastAsia="Calibri" w:cs="Times New Roman"/>
          <w:sz w:val="24"/>
          <w:szCs w:val="24"/>
        </w:rPr>
        <w:t> </w:t>
      </w:r>
      <w:r>
        <w:rPr>
          <w:rFonts w:eastAsia="Calibri" w:cs="Times New Roman"/>
          <w:sz w:val="24"/>
          <w:szCs w:val="24"/>
        </w:rPr>
        <w:t>256</w:t>
      </w:r>
      <w:r w:rsidR="008644B4">
        <w:rPr>
          <w:rFonts w:eastAsia="Calibri" w:cs="Times New Roman"/>
          <w:sz w:val="24"/>
          <w:szCs w:val="24"/>
        </w:rPr>
        <w:t> </w:t>
      </w:r>
      <w:r>
        <w:rPr>
          <w:rFonts w:eastAsia="Calibri" w:cs="Times New Roman"/>
          <w:sz w:val="24"/>
          <w:szCs w:val="24"/>
        </w:rPr>
        <w:t>652</w:t>
      </w:r>
      <w:r w:rsidRPr="008E112F">
        <w:rPr>
          <w:rFonts w:eastAsia="Calibri" w:cs="Times New Roman"/>
          <w:sz w:val="24"/>
          <w:szCs w:val="24"/>
        </w:rPr>
        <w:t> tis. eur,</w:t>
      </w:r>
      <w:r w:rsidRPr="008E112F">
        <w:rPr>
          <w:rFonts w:eastAsia="Calibri" w:cs="Times New Roman"/>
          <w:i/>
          <w:sz w:val="24"/>
          <w:szCs w:val="24"/>
        </w:rPr>
        <w:t xml:space="preserve"> </w:t>
      </w:r>
      <w:r w:rsidRPr="008E112F">
        <w:rPr>
          <w:rFonts w:eastAsia="Calibri" w:cs="Times New Roman"/>
          <w:sz w:val="24"/>
          <w:szCs w:val="24"/>
        </w:rPr>
        <w:t>boli najvyššie výdavky vynaložené</w:t>
      </w:r>
      <w:r w:rsidRPr="008E112F">
        <w:rPr>
          <w:rFonts w:eastAsia="Calibri" w:cs="Times New Roman"/>
          <w:color w:val="FF0000"/>
          <w:sz w:val="24"/>
          <w:szCs w:val="24"/>
        </w:rPr>
        <w:t xml:space="preserve"> </w:t>
      </w:r>
      <w:r w:rsidRPr="00992865">
        <w:rPr>
          <w:rFonts w:eastAsia="Calibri" w:cs="Times New Roman"/>
          <w:sz w:val="24"/>
          <w:szCs w:val="24"/>
        </w:rPr>
        <w:t>na</w:t>
      </w:r>
      <w:r w:rsidR="008644B4">
        <w:rPr>
          <w:rFonts w:eastAsia="Calibri" w:cs="Times New Roman"/>
          <w:sz w:val="24"/>
          <w:szCs w:val="24"/>
        </w:rPr>
        <w:t> </w:t>
      </w:r>
      <w:r w:rsidRPr="00992865">
        <w:rPr>
          <w:rFonts w:eastAsia="Times New Roman" w:cs="Times New Roman"/>
          <w:bCs/>
          <w:iCs/>
          <w:sz w:val="24"/>
          <w:szCs w:val="24"/>
          <w:lang w:eastAsia="sk-SK"/>
        </w:rPr>
        <w:t>špeciálne služby</w:t>
      </w:r>
      <w:r w:rsidRPr="00992865">
        <w:rPr>
          <w:rFonts w:eastAsia="Times New Roman" w:cs="Times New Roman"/>
          <w:sz w:val="24"/>
          <w:szCs w:val="24"/>
          <w:lang w:eastAsia="sk-SK"/>
        </w:rPr>
        <w:t xml:space="preserve"> vo výške 306</w:t>
      </w:r>
      <w:r w:rsidR="008644B4">
        <w:rPr>
          <w:rFonts w:eastAsia="Times New Roman" w:cs="Times New Roman"/>
          <w:sz w:val="24"/>
          <w:szCs w:val="24"/>
          <w:lang w:eastAsia="sk-SK"/>
        </w:rPr>
        <w:t> </w:t>
      </w:r>
      <w:r w:rsidRPr="00992865">
        <w:rPr>
          <w:rFonts w:eastAsia="Times New Roman" w:cs="Times New Roman"/>
          <w:sz w:val="24"/>
          <w:szCs w:val="24"/>
          <w:lang w:eastAsia="sk-SK"/>
        </w:rPr>
        <w:t>753 tis. eur, ško</w:t>
      </w:r>
      <w:r w:rsidR="008644B4">
        <w:rPr>
          <w:rFonts w:eastAsia="Times New Roman" w:cs="Times New Roman"/>
          <w:sz w:val="24"/>
          <w:szCs w:val="24"/>
          <w:lang w:eastAsia="sk-SK"/>
        </w:rPr>
        <w:t>lenia, kurzy a semináre 248 653 </w:t>
      </w:r>
      <w:r w:rsidRPr="00992865">
        <w:rPr>
          <w:rFonts w:eastAsia="Times New Roman" w:cs="Times New Roman"/>
          <w:sz w:val="24"/>
          <w:szCs w:val="24"/>
          <w:lang w:eastAsia="sk-SK"/>
        </w:rPr>
        <w:t>tis.</w:t>
      </w:r>
      <w:r w:rsidR="008644B4">
        <w:rPr>
          <w:rFonts w:eastAsia="Times New Roman" w:cs="Times New Roman"/>
          <w:sz w:val="24"/>
          <w:szCs w:val="24"/>
          <w:lang w:eastAsia="sk-SK"/>
        </w:rPr>
        <w:t xml:space="preserve"> eur, platby za </w:t>
      </w:r>
      <w:r w:rsidR="008644B4" w:rsidRPr="00B972B6">
        <w:rPr>
          <w:rFonts w:eastAsia="Times New Roman" w:cs="Times New Roman"/>
          <w:sz w:val="24"/>
          <w:szCs w:val="24"/>
          <w:lang w:eastAsia="sk-SK"/>
        </w:rPr>
        <w:t>dostupnosť 191 </w:t>
      </w:r>
      <w:r w:rsidRPr="00B972B6">
        <w:rPr>
          <w:rFonts w:eastAsia="Times New Roman" w:cs="Times New Roman"/>
          <w:sz w:val="24"/>
          <w:szCs w:val="24"/>
          <w:lang w:eastAsia="sk-SK"/>
        </w:rPr>
        <w:t>1</w:t>
      </w:r>
      <w:r w:rsidR="00B972B6" w:rsidRPr="00B972B6">
        <w:rPr>
          <w:rFonts w:eastAsia="Times New Roman" w:cs="Times New Roman"/>
          <w:sz w:val="24"/>
          <w:szCs w:val="24"/>
          <w:lang w:eastAsia="sk-SK"/>
        </w:rPr>
        <w:t>3</w:t>
      </w:r>
      <w:r w:rsidRPr="00B972B6">
        <w:rPr>
          <w:rFonts w:eastAsia="Times New Roman" w:cs="Times New Roman"/>
          <w:sz w:val="24"/>
          <w:szCs w:val="24"/>
          <w:lang w:eastAsia="sk-SK"/>
        </w:rPr>
        <w:t>6</w:t>
      </w:r>
      <w:r w:rsidR="008644B4" w:rsidRPr="00B972B6">
        <w:rPr>
          <w:rFonts w:eastAsia="Times New Roman" w:cs="Times New Roman"/>
          <w:sz w:val="24"/>
          <w:szCs w:val="24"/>
          <w:lang w:eastAsia="sk-SK"/>
        </w:rPr>
        <w:t> </w:t>
      </w:r>
      <w:r w:rsidRPr="00B972B6">
        <w:rPr>
          <w:rFonts w:eastAsia="Times New Roman" w:cs="Times New Roman"/>
          <w:sz w:val="24"/>
          <w:szCs w:val="24"/>
          <w:lang w:eastAsia="sk-SK"/>
        </w:rPr>
        <w:t>tis.</w:t>
      </w:r>
      <w:r w:rsidR="008644B4" w:rsidRPr="00B972B6">
        <w:rPr>
          <w:rFonts w:eastAsia="Times New Roman" w:cs="Times New Roman"/>
          <w:sz w:val="24"/>
          <w:szCs w:val="24"/>
          <w:lang w:eastAsia="sk-SK"/>
        </w:rPr>
        <w:t> </w:t>
      </w:r>
      <w:r w:rsidRPr="00B972B6">
        <w:rPr>
          <w:rFonts w:eastAsia="Times New Roman" w:cs="Times New Roman"/>
          <w:sz w:val="24"/>
          <w:szCs w:val="24"/>
          <w:lang w:eastAsia="sk-SK"/>
        </w:rPr>
        <w:t>eur</w:t>
      </w:r>
      <w:r w:rsidR="008644B4" w:rsidRPr="00B972B6">
        <w:rPr>
          <w:rFonts w:eastAsia="Times New Roman" w:cs="Times New Roman"/>
          <w:sz w:val="24"/>
          <w:szCs w:val="24"/>
          <w:lang w:eastAsia="sk-SK"/>
        </w:rPr>
        <w:t xml:space="preserve"> a všeobecné</w:t>
      </w:r>
      <w:r w:rsidR="008644B4">
        <w:rPr>
          <w:rFonts w:eastAsia="Times New Roman" w:cs="Times New Roman"/>
          <w:sz w:val="24"/>
          <w:szCs w:val="24"/>
          <w:lang w:eastAsia="sk-SK"/>
        </w:rPr>
        <w:t xml:space="preserve"> služby za 93 176 </w:t>
      </w:r>
      <w:r w:rsidRPr="00992865">
        <w:rPr>
          <w:rFonts w:eastAsia="Times New Roman" w:cs="Times New Roman"/>
          <w:sz w:val="24"/>
          <w:szCs w:val="24"/>
          <w:lang w:eastAsia="sk-SK"/>
        </w:rPr>
        <w:t>tis.</w:t>
      </w:r>
      <w:r w:rsidR="008644B4">
        <w:rPr>
          <w:rFonts w:eastAsia="Times New Roman" w:cs="Times New Roman"/>
          <w:sz w:val="24"/>
          <w:szCs w:val="24"/>
          <w:lang w:eastAsia="sk-SK"/>
        </w:rPr>
        <w:t> </w:t>
      </w:r>
      <w:r w:rsidRPr="00992865">
        <w:rPr>
          <w:rFonts w:eastAsia="Times New Roman" w:cs="Times New Roman"/>
          <w:sz w:val="24"/>
          <w:szCs w:val="24"/>
          <w:lang w:eastAsia="sk-SK"/>
        </w:rPr>
        <w:t>eur.</w:t>
      </w:r>
    </w:p>
    <w:p w14:paraId="24159D3B" w14:textId="42305992" w:rsidR="004D69BF" w:rsidRDefault="004D69BF" w:rsidP="004D69BF">
      <w:pPr>
        <w:shd w:val="clear" w:color="auto" w:fill="FFFFFF"/>
        <w:spacing w:after="160" w:line="240" w:lineRule="auto"/>
        <w:rPr>
          <w:rFonts w:eastAsia="Calibri" w:cs="Times New Roman"/>
          <w:sz w:val="24"/>
          <w:szCs w:val="24"/>
          <w:shd w:val="clear" w:color="auto" w:fill="FFFFFF"/>
        </w:rPr>
      </w:pPr>
      <w:r>
        <w:rPr>
          <w:rFonts w:eastAsia="Times New Roman" w:cs="Times New Roman"/>
          <w:sz w:val="24"/>
          <w:szCs w:val="24"/>
          <w:lang w:eastAsia="sk-SK"/>
        </w:rPr>
        <w:t xml:space="preserve">Zo </w:t>
      </w:r>
      <w:r w:rsidRPr="00992865">
        <w:rPr>
          <w:rFonts w:eastAsia="Times New Roman" w:cs="Times New Roman"/>
          <w:sz w:val="24"/>
          <w:szCs w:val="24"/>
          <w:u w:val="single"/>
          <w:lang w:eastAsia="sk-SK"/>
        </w:rPr>
        <w:t>špeciálnych služieb</w:t>
      </w:r>
      <w:r>
        <w:rPr>
          <w:rFonts w:eastAsia="Times New Roman" w:cs="Times New Roman"/>
          <w:sz w:val="24"/>
          <w:szCs w:val="24"/>
          <w:lang w:eastAsia="sk-SK"/>
        </w:rPr>
        <w:t xml:space="preserve"> </w:t>
      </w:r>
      <w:r w:rsidRPr="008E112F">
        <w:rPr>
          <w:rFonts w:eastAsia="Times New Roman" w:cs="Times New Roman"/>
          <w:sz w:val="24"/>
          <w:szCs w:val="24"/>
          <w:lang w:eastAsia="sk-SK"/>
        </w:rPr>
        <w:t>vyčerpalo</w:t>
      </w:r>
      <w:r w:rsidRPr="008E112F">
        <w:rPr>
          <w:rFonts w:eastAsia="Times New Roman" w:cs="Times New Roman"/>
          <w:color w:val="FF0000"/>
          <w:sz w:val="24"/>
          <w:szCs w:val="24"/>
          <w:lang w:eastAsia="sk-SK"/>
        </w:rPr>
        <w:t xml:space="preserve"> </w:t>
      </w:r>
      <w:r w:rsidRPr="00992865">
        <w:rPr>
          <w:rFonts w:eastAsia="Times New Roman" w:cs="Times New Roman"/>
          <w:sz w:val="24"/>
          <w:szCs w:val="24"/>
          <w:lang w:eastAsia="sk-SK"/>
        </w:rPr>
        <w:t>Ministerstvo obrany S</w:t>
      </w:r>
      <w:r w:rsidR="008644B4">
        <w:rPr>
          <w:rFonts w:eastAsia="Times New Roman" w:cs="Times New Roman"/>
          <w:sz w:val="24"/>
          <w:szCs w:val="24"/>
          <w:lang w:eastAsia="sk-SK"/>
        </w:rPr>
        <w:t>R 120 </w:t>
      </w:r>
      <w:r w:rsidRPr="00992865">
        <w:rPr>
          <w:rFonts w:eastAsia="Times New Roman" w:cs="Times New Roman"/>
          <w:sz w:val="24"/>
          <w:szCs w:val="24"/>
          <w:lang w:eastAsia="sk-SK"/>
        </w:rPr>
        <w:t>983 tis. eur,</w:t>
      </w:r>
      <w:r w:rsidRPr="00992865">
        <w:rPr>
          <w:rFonts w:eastAsia="Times New Roman" w:cs="Times New Roman"/>
          <w:color w:val="FF0000"/>
          <w:sz w:val="24"/>
          <w:szCs w:val="24"/>
          <w:lang w:eastAsia="sk-SK"/>
        </w:rPr>
        <w:t xml:space="preserve"> </w:t>
      </w:r>
      <w:r w:rsidRPr="00992865">
        <w:rPr>
          <w:rFonts w:eastAsia="Calibri" w:cs="Times New Roman"/>
          <w:sz w:val="24"/>
          <w:szCs w:val="24"/>
          <w:shd w:val="clear" w:color="auto" w:fill="FFFFFF"/>
        </w:rPr>
        <w:t>najmä na zabezpečenie plnenia úloh v rámci obrany štátu a v </w:t>
      </w:r>
      <w:r w:rsidRPr="00992865">
        <w:rPr>
          <w:rFonts w:eastAsia="Times New Roman" w:cs="Times New Roman"/>
          <w:sz w:val="24"/>
          <w:szCs w:val="24"/>
          <w:lang w:eastAsia="sk-SK"/>
        </w:rPr>
        <w:t>súvislosti s realizáciou modernizačných projektov rezortu obrany.</w:t>
      </w:r>
      <w:r w:rsidRPr="00992865">
        <w:rPr>
          <w:rFonts w:eastAsia="Times New Roman" w:cs="Times New Roman"/>
          <w:color w:val="FF0000"/>
          <w:sz w:val="24"/>
          <w:szCs w:val="24"/>
          <w:lang w:eastAsia="sk-SK"/>
        </w:rPr>
        <w:t xml:space="preserve"> </w:t>
      </w:r>
      <w:r w:rsidRPr="00992865">
        <w:rPr>
          <w:rFonts w:eastAsia="Times New Roman" w:cs="Times New Roman"/>
          <w:sz w:val="24"/>
          <w:szCs w:val="24"/>
          <w:lang w:eastAsia="sk-SK"/>
        </w:rPr>
        <w:t>Na čerpaní výdavkov na špeciálne služby sa tiež podieľala Slove</w:t>
      </w:r>
      <w:r w:rsidR="008644B4">
        <w:rPr>
          <w:rFonts w:eastAsia="Times New Roman" w:cs="Times New Roman"/>
          <w:sz w:val="24"/>
          <w:szCs w:val="24"/>
          <w:lang w:eastAsia="sk-SK"/>
        </w:rPr>
        <w:t>nská informačná služba sumou 87 </w:t>
      </w:r>
      <w:r w:rsidRPr="00992865">
        <w:rPr>
          <w:rFonts w:eastAsia="Times New Roman" w:cs="Times New Roman"/>
          <w:sz w:val="24"/>
          <w:szCs w:val="24"/>
          <w:lang w:eastAsia="sk-SK"/>
        </w:rPr>
        <w:t>383 tis. eur a</w:t>
      </w:r>
      <w:r w:rsidRPr="00992865">
        <w:rPr>
          <w:rFonts w:eastAsia="Times New Roman" w:cs="Times New Roman"/>
          <w:color w:val="FF0000"/>
          <w:sz w:val="24"/>
          <w:szCs w:val="24"/>
          <w:lang w:eastAsia="sk-SK"/>
        </w:rPr>
        <w:t xml:space="preserve"> </w:t>
      </w:r>
      <w:r w:rsidRPr="00992865">
        <w:rPr>
          <w:rFonts w:eastAsia="Calibri" w:cs="Times New Roman"/>
          <w:sz w:val="24"/>
          <w:szCs w:val="24"/>
        </w:rPr>
        <w:t>Ministerstvo spravodlivosti SR v sume</w:t>
      </w:r>
      <w:r w:rsidRPr="008E112F">
        <w:rPr>
          <w:rFonts w:eastAsia="Calibri" w:cs="Times New Roman"/>
          <w:sz w:val="24"/>
          <w:szCs w:val="24"/>
        </w:rPr>
        <w:t xml:space="preserve"> 1</w:t>
      </w:r>
      <w:r w:rsidR="008644B4">
        <w:rPr>
          <w:rFonts w:eastAsia="Calibri" w:cs="Times New Roman"/>
          <w:sz w:val="24"/>
          <w:szCs w:val="24"/>
        </w:rPr>
        <w:t>6 </w:t>
      </w:r>
      <w:r>
        <w:rPr>
          <w:rFonts w:eastAsia="Calibri" w:cs="Times New Roman"/>
          <w:sz w:val="24"/>
          <w:szCs w:val="24"/>
        </w:rPr>
        <w:t>580</w:t>
      </w:r>
      <w:r w:rsidRPr="008E112F">
        <w:rPr>
          <w:rFonts w:eastAsia="Calibri" w:cs="Times New Roman"/>
          <w:sz w:val="24"/>
          <w:szCs w:val="24"/>
        </w:rPr>
        <w:t> tis. eur, ktoré prostredníctvom</w:t>
      </w:r>
      <w:r w:rsidRPr="008E112F">
        <w:rPr>
          <w:rFonts w:eastAsia="Calibri" w:cs="Times New Roman"/>
          <w:sz w:val="24"/>
          <w:szCs w:val="24"/>
          <w:shd w:val="clear" w:color="auto" w:fill="FFFFFF"/>
        </w:rPr>
        <w:t xml:space="preserve"> týchto finančných prostriedkov realizovalo v prevažnej miere platby pre advokátov, notárov, exekútorov a súdne poplatky.</w:t>
      </w:r>
    </w:p>
    <w:p w14:paraId="6C3DA97C" w14:textId="43BCA650" w:rsidR="004D69BF" w:rsidRPr="008E112F" w:rsidRDefault="004D69BF" w:rsidP="004D69BF">
      <w:pPr>
        <w:shd w:val="clear" w:color="auto" w:fill="FFFFFF"/>
        <w:spacing w:after="160" w:line="240" w:lineRule="auto"/>
        <w:rPr>
          <w:rFonts w:eastAsia="Calibri" w:cs="Times New Roman"/>
          <w:sz w:val="24"/>
          <w:szCs w:val="24"/>
        </w:rPr>
      </w:pPr>
      <w:r>
        <w:rPr>
          <w:rFonts w:eastAsia="Calibri" w:cs="Times New Roman"/>
          <w:sz w:val="24"/>
          <w:szCs w:val="24"/>
          <w:shd w:val="clear" w:color="auto" w:fill="FFFFFF"/>
        </w:rPr>
        <w:t xml:space="preserve">Pre rezort obrany bol upravený rozpočet výdavkov na </w:t>
      </w:r>
      <w:r w:rsidRPr="00992865">
        <w:rPr>
          <w:rFonts w:eastAsia="Calibri" w:cs="Times New Roman"/>
          <w:sz w:val="24"/>
          <w:szCs w:val="24"/>
          <w:u w:val="single"/>
          <w:shd w:val="clear" w:color="auto" w:fill="FFFFFF"/>
        </w:rPr>
        <w:t>školenia, kurzy a semináre</w:t>
      </w:r>
      <w:r>
        <w:rPr>
          <w:rFonts w:eastAsia="Calibri" w:cs="Times New Roman"/>
          <w:sz w:val="24"/>
          <w:szCs w:val="24"/>
          <w:shd w:val="clear" w:color="auto" w:fill="FFFFFF"/>
        </w:rPr>
        <w:t xml:space="preserve"> o</w:t>
      </w:r>
      <w:r w:rsidR="008644B4">
        <w:rPr>
          <w:rFonts w:eastAsia="Calibri" w:cs="Times New Roman"/>
          <w:sz w:val="24"/>
          <w:szCs w:val="24"/>
          <w:shd w:val="clear" w:color="auto" w:fill="FFFFFF"/>
        </w:rPr>
        <w:t> </w:t>
      </w:r>
      <w:r>
        <w:rPr>
          <w:rFonts w:eastAsia="Calibri" w:cs="Times New Roman"/>
          <w:sz w:val="24"/>
          <w:szCs w:val="24"/>
          <w:shd w:val="clear" w:color="auto" w:fill="FFFFFF"/>
        </w:rPr>
        <w:t>231</w:t>
      </w:r>
      <w:r w:rsidR="008644B4">
        <w:rPr>
          <w:rFonts w:eastAsia="Calibri" w:cs="Times New Roman"/>
          <w:sz w:val="24"/>
          <w:szCs w:val="24"/>
          <w:shd w:val="clear" w:color="auto" w:fill="FFFFFF"/>
        </w:rPr>
        <w:t> </w:t>
      </w:r>
      <w:r>
        <w:rPr>
          <w:rFonts w:eastAsia="Calibri" w:cs="Times New Roman"/>
          <w:sz w:val="24"/>
          <w:szCs w:val="24"/>
          <w:shd w:val="clear" w:color="auto" w:fill="FFFFFF"/>
        </w:rPr>
        <w:t>817</w:t>
      </w:r>
      <w:r w:rsidR="008644B4">
        <w:rPr>
          <w:rFonts w:eastAsia="Calibri" w:cs="Times New Roman"/>
          <w:sz w:val="24"/>
          <w:szCs w:val="24"/>
          <w:shd w:val="clear" w:color="auto" w:fill="FFFFFF"/>
        </w:rPr>
        <w:t xml:space="preserve"> tis. eur </w:t>
      </w:r>
      <w:r>
        <w:rPr>
          <w:rFonts w:eastAsia="Calibri" w:cs="Times New Roman"/>
          <w:sz w:val="24"/>
          <w:szCs w:val="24"/>
          <w:shd w:val="clear" w:color="auto" w:fill="FFFFFF"/>
        </w:rPr>
        <w:t>z dôvodu zabezpečenia výdavkov v programoch obrana a rozvoj obrany, čo zároveň zvýšilo skutočné výdavky oproti rozpočtu o 231</w:t>
      </w:r>
      <w:r w:rsidR="008644B4">
        <w:rPr>
          <w:rFonts w:eastAsia="Calibri" w:cs="Times New Roman"/>
          <w:sz w:val="24"/>
          <w:szCs w:val="24"/>
          <w:shd w:val="clear" w:color="auto" w:fill="FFFFFF"/>
        </w:rPr>
        <w:t> </w:t>
      </w:r>
      <w:r>
        <w:rPr>
          <w:rFonts w:eastAsia="Calibri" w:cs="Times New Roman"/>
          <w:sz w:val="24"/>
          <w:szCs w:val="24"/>
          <w:shd w:val="clear" w:color="auto" w:fill="FFFFFF"/>
        </w:rPr>
        <w:t>811</w:t>
      </w:r>
      <w:r w:rsidR="008644B4">
        <w:rPr>
          <w:rFonts w:eastAsia="Calibri" w:cs="Times New Roman"/>
          <w:sz w:val="24"/>
          <w:szCs w:val="24"/>
          <w:shd w:val="clear" w:color="auto" w:fill="FFFFFF"/>
        </w:rPr>
        <w:t> tis. </w:t>
      </w:r>
      <w:r>
        <w:rPr>
          <w:rFonts w:eastAsia="Calibri" w:cs="Times New Roman"/>
          <w:sz w:val="24"/>
          <w:szCs w:val="24"/>
          <w:shd w:val="clear" w:color="auto" w:fill="FFFFFF"/>
        </w:rPr>
        <w:t>eur.</w:t>
      </w:r>
    </w:p>
    <w:p w14:paraId="149BFE13" w14:textId="7D24B756" w:rsidR="004D69BF" w:rsidRPr="008E112F" w:rsidRDefault="004D69BF" w:rsidP="004D69BF">
      <w:pPr>
        <w:shd w:val="clear" w:color="auto" w:fill="FFFFFF"/>
        <w:spacing w:after="160" w:line="240" w:lineRule="auto"/>
        <w:rPr>
          <w:rFonts w:eastAsia="Calibri" w:cs="Times New Roman"/>
          <w:sz w:val="24"/>
          <w:szCs w:val="24"/>
        </w:rPr>
      </w:pPr>
      <w:r w:rsidRPr="00992865">
        <w:rPr>
          <w:rFonts w:eastAsia="Times New Roman" w:cs="Times New Roman"/>
          <w:bCs/>
          <w:iCs/>
          <w:sz w:val="24"/>
          <w:szCs w:val="24"/>
          <w:u w:val="single"/>
          <w:lang w:eastAsia="sk-SK"/>
        </w:rPr>
        <w:t>Platby za dostupnosť</w:t>
      </w:r>
      <w:r>
        <w:rPr>
          <w:rFonts w:eastAsia="Times New Roman" w:cs="Times New Roman"/>
          <w:bCs/>
          <w:iCs/>
          <w:sz w:val="24"/>
          <w:szCs w:val="24"/>
          <w:lang w:eastAsia="sk-SK"/>
        </w:rPr>
        <w:t xml:space="preserve"> boli</w:t>
      </w:r>
      <w:r w:rsidRPr="008E112F">
        <w:rPr>
          <w:rFonts w:eastAsia="Times New Roman" w:cs="Times New Roman"/>
          <w:color w:val="FF0000"/>
          <w:sz w:val="24"/>
          <w:szCs w:val="24"/>
          <w:lang w:eastAsia="sk-SK"/>
        </w:rPr>
        <w:t xml:space="preserve"> </w:t>
      </w:r>
      <w:r w:rsidRPr="008E112F">
        <w:rPr>
          <w:rFonts w:eastAsia="Times New Roman" w:cs="Times New Roman"/>
          <w:sz w:val="24"/>
          <w:szCs w:val="24"/>
          <w:lang w:eastAsia="sk-SK"/>
        </w:rPr>
        <w:t xml:space="preserve">realizované výlučne prostredníctvom </w:t>
      </w:r>
      <w:r w:rsidRPr="00D91AEC">
        <w:rPr>
          <w:rFonts w:eastAsia="Times New Roman" w:cs="Times New Roman"/>
          <w:sz w:val="24"/>
          <w:szCs w:val="24"/>
          <w:lang w:eastAsia="sk-SK"/>
        </w:rPr>
        <w:t>Ministerstva dopravy SR v</w:t>
      </w:r>
      <w:r w:rsidR="008644B4">
        <w:rPr>
          <w:rFonts w:eastAsia="Times New Roman" w:cs="Times New Roman"/>
          <w:sz w:val="24"/>
          <w:szCs w:val="24"/>
          <w:lang w:eastAsia="sk-SK"/>
        </w:rPr>
        <w:t> </w:t>
      </w:r>
      <w:r w:rsidRPr="008E112F">
        <w:rPr>
          <w:rFonts w:eastAsia="Times New Roman" w:cs="Times New Roman"/>
          <w:sz w:val="24"/>
          <w:szCs w:val="24"/>
          <w:lang w:eastAsia="sk-SK"/>
        </w:rPr>
        <w:t>sume</w:t>
      </w:r>
      <w:r w:rsidR="008644B4">
        <w:rPr>
          <w:rFonts w:eastAsia="Times New Roman" w:cs="Times New Roman"/>
          <w:sz w:val="24"/>
          <w:szCs w:val="24"/>
          <w:lang w:eastAsia="sk-SK"/>
        </w:rPr>
        <w:t xml:space="preserve"> </w:t>
      </w:r>
      <w:r>
        <w:rPr>
          <w:rFonts w:eastAsia="Times New Roman" w:cs="Times New Roman"/>
          <w:sz w:val="24"/>
          <w:szCs w:val="24"/>
          <w:lang w:eastAsia="sk-SK"/>
        </w:rPr>
        <w:t>190</w:t>
      </w:r>
      <w:r w:rsidR="008644B4">
        <w:rPr>
          <w:rFonts w:eastAsia="Times New Roman" w:cs="Times New Roman"/>
          <w:sz w:val="24"/>
          <w:szCs w:val="24"/>
          <w:lang w:eastAsia="sk-SK"/>
        </w:rPr>
        <w:t> </w:t>
      </w:r>
      <w:r>
        <w:rPr>
          <w:rFonts w:eastAsia="Times New Roman" w:cs="Times New Roman"/>
          <w:sz w:val="24"/>
          <w:szCs w:val="24"/>
          <w:lang w:eastAsia="sk-SK"/>
        </w:rPr>
        <w:t>977</w:t>
      </w:r>
      <w:r w:rsidRPr="008E112F">
        <w:rPr>
          <w:rFonts w:eastAsia="Times New Roman" w:cs="Times New Roman"/>
          <w:sz w:val="24"/>
          <w:szCs w:val="24"/>
          <w:lang w:eastAsia="sk-SK"/>
        </w:rPr>
        <w:t> tis. eur.</w:t>
      </w:r>
      <w:r w:rsidRPr="008E112F">
        <w:rPr>
          <w:rFonts w:eastAsia="Times New Roman" w:cs="Times New Roman"/>
          <w:color w:val="FF0000"/>
          <w:sz w:val="24"/>
          <w:szCs w:val="24"/>
          <w:lang w:eastAsia="sk-SK"/>
        </w:rPr>
        <w:t xml:space="preserve"> </w:t>
      </w:r>
      <w:r w:rsidRPr="008E112F">
        <w:rPr>
          <w:rFonts w:eastAsia="Times New Roman" w:cs="Times New Roman"/>
          <w:sz w:val="24"/>
          <w:szCs w:val="24"/>
          <w:lang w:eastAsia="sk-SK"/>
        </w:rPr>
        <w:t>Finančné prostriedky boli použité na platbu za dostupnosť pre</w:t>
      </w:r>
      <w:r w:rsidR="008644B4">
        <w:rPr>
          <w:rFonts w:eastAsia="Times New Roman" w:cs="Times New Roman"/>
          <w:sz w:val="24"/>
          <w:szCs w:val="24"/>
          <w:lang w:eastAsia="sk-SK"/>
        </w:rPr>
        <w:t> </w:t>
      </w:r>
      <w:r w:rsidRPr="008E112F">
        <w:rPr>
          <w:rFonts w:eastAsia="Times New Roman" w:cs="Times New Roman"/>
          <w:sz w:val="24"/>
          <w:szCs w:val="24"/>
          <w:lang w:eastAsia="sk-SK"/>
        </w:rPr>
        <w:t>PPP projekty</w:t>
      </w:r>
      <w:r w:rsidR="008644B4">
        <w:rPr>
          <w:rFonts w:eastAsia="Times New Roman" w:cs="Times New Roman"/>
          <w:sz w:val="24"/>
          <w:szCs w:val="24"/>
          <w:lang w:eastAsia="sk-SK"/>
        </w:rPr>
        <w:t> </w:t>
      </w:r>
      <w:r>
        <w:rPr>
          <w:rFonts w:eastAsia="Times New Roman" w:cs="Times New Roman"/>
          <w:sz w:val="24"/>
          <w:szCs w:val="24"/>
          <w:lang w:eastAsia="sk-SK"/>
        </w:rPr>
        <w:t>–</w:t>
      </w:r>
      <w:r w:rsidR="008644B4">
        <w:rPr>
          <w:rFonts w:eastAsia="Times New Roman" w:cs="Times New Roman"/>
          <w:sz w:val="24"/>
          <w:szCs w:val="24"/>
          <w:lang w:eastAsia="sk-SK"/>
        </w:rPr>
        <w:t> </w:t>
      </w:r>
      <w:r>
        <w:rPr>
          <w:rFonts w:eastAsia="Times New Roman" w:cs="Times New Roman"/>
          <w:sz w:val="24"/>
          <w:szCs w:val="24"/>
          <w:lang w:eastAsia="sk-SK"/>
        </w:rPr>
        <w:t>R1, D4/R7.</w:t>
      </w:r>
    </w:p>
    <w:p w14:paraId="3F6ED47A" w14:textId="5BEA9BAD" w:rsidR="004D69BF" w:rsidRPr="008E112F" w:rsidRDefault="004D69BF" w:rsidP="004D69BF">
      <w:pPr>
        <w:shd w:val="clear" w:color="auto" w:fill="FFFFFF"/>
        <w:spacing w:after="160" w:line="240" w:lineRule="auto"/>
        <w:rPr>
          <w:rFonts w:eastAsia="Calibri" w:cs="Times New Roman"/>
          <w:sz w:val="24"/>
          <w:szCs w:val="24"/>
        </w:rPr>
      </w:pPr>
      <w:r>
        <w:rPr>
          <w:rFonts w:eastAsia="Calibri" w:cs="Times New Roman"/>
          <w:sz w:val="24"/>
          <w:szCs w:val="24"/>
        </w:rPr>
        <w:t>V</w:t>
      </w:r>
      <w:r w:rsidRPr="008E112F">
        <w:rPr>
          <w:rFonts w:eastAsia="Calibri" w:cs="Times New Roman"/>
          <w:sz w:val="24"/>
          <w:szCs w:val="24"/>
        </w:rPr>
        <w:t>ýdavky na</w:t>
      </w:r>
      <w:r w:rsidRPr="008E112F">
        <w:rPr>
          <w:rFonts w:eastAsia="Calibri" w:cs="Times New Roman"/>
          <w:b/>
          <w:i/>
          <w:sz w:val="24"/>
          <w:szCs w:val="24"/>
        </w:rPr>
        <w:t xml:space="preserve"> </w:t>
      </w:r>
      <w:r w:rsidRPr="00992865">
        <w:rPr>
          <w:rFonts w:eastAsia="Calibri" w:cs="Times New Roman"/>
          <w:bCs/>
          <w:iCs/>
          <w:sz w:val="24"/>
          <w:szCs w:val="24"/>
          <w:u w:val="single"/>
        </w:rPr>
        <w:t>všeobecné služby</w:t>
      </w:r>
      <w:r w:rsidRPr="003049F4">
        <w:rPr>
          <w:rFonts w:eastAsia="Calibri" w:cs="Times New Roman"/>
          <w:bCs/>
          <w:iCs/>
          <w:sz w:val="24"/>
          <w:szCs w:val="24"/>
        </w:rPr>
        <w:t xml:space="preserve"> </w:t>
      </w:r>
      <w:r w:rsidRPr="008E112F">
        <w:rPr>
          <w:rFonts w:eastAsia="Calibri" w:cs="Times New Roman"/>
          <w:sz w:val="24"/>
          <w:szCs w:val="24"/>
        </w:rPr>
        <w:t xml:space="preserve">dosiahli skutočné čerpanie </w:t>
      </w:r>
      <w:r w:rsidR="008644B4">
        <w:rPr>
          <w:rFonts w:eastAsia="Calibri" w:cs="Times New Roman"/>
          <w:sz w:val="24"/>
          <w:szCs w:val="24"/>
        </w:rPr>
        <w:t>93 </w:t>
      </w:r>
      <w:r>
        <w:rPr>
          <w:rFonts w:eastAsia="Calibri" w:cs="Times New Roman"/>
          <w:sz w:val="24"/>
          <w:szCs w:val="24"/>
        </w:rPr>
        <w:t>176</w:t>
      </w:r>
      <w:r w:rsidRPr="008E112F">
        <w:rPr>
          <w:rFonts w:eastAsia="Calibri" w:cs="Times New Roman"/>
          <w:sz w:val="24"/>
          <w:szCs w:val="24"/>
        </w:rPr>
        <w:t> tis. eur</w:t>
      </w:r>
      <w:r w:rsidRPr="008E112F">
        <w:rPr>
          <w:rFonts w:eastAsia="Calibri" w:cs="Times New Roman"/>
          <w:i/>
          <w:sz w:val="24"/>
          <w:szCs w:val="24"/>
        </w:rPr>
        <w:t>.</w:t>
      </w:r>
      <w:r w:rsidRPr="008E112F">
        <w:rPr>
          <w:rFonts w:eastAsia="Calibri" w:cs="Times New Roman"/>
          <w:i/>
          <w:color w:val="FF0000"/>
          <w:sz w:val="24"/>
          <w:szCs w:val="24"/>
        </w:rPr>
        <w:t xml:space="preserve"> </w:t>
      </w:r>
      <w:r w:rsidRPr="008E112F">
        <w:rPr>
          <w:rFonts w:eastAsia="Calibri" w:cs="Times New Roman"/>
          <w:sz w:val="24"/>
          <w:szCs w:val="24"/>
        </w:rPr>
        <w:t>Ide o výkony obstarávané dodávateľským spôsobom, ktoré predstavujú služby súvisiace so správou štátnych budov a</w:t>
      </w:r>
      <w:r>
        <w:rPr>
          <w:rFonts w:eastAsia="Calibri" w:cs="Times New Roman"/>
          <w:sz w:val="24"/>
          <w:szCs w:val="24"/>
        </w:rPr>
        <w:t> </w:t>
      </w:r>
      <w:r w:rsidRPr="008E112F">
        <w:rPr>
          <w:rFonts w:eastAsia="Calibri" w:cs="Times New Roman"/>
          <w:sz w:val="24"/>
          <w:szCs w:val="24"/>
        </w:rPr>
        <w:t>zariadení</w:t>
      </w:r>
      <w:r>
        <w:rPr>
          <w:rFonts w:eastAsia="Calibri" w:cs="Times New Roman"/>
          <w:sz w:val="24"/>
          <w:szCs w:val="24"/>
        </w:rPr>
        <w:t xml:space="preserve"> </w:t>
      </w:r>
      <w:r w:rsidRPr="008E112F">
        <w:rPr>
          <w:rFonts w:eastAsia="Calibri" w:cs="Times New Roman"/>
          <w:sz w:val="24"/>
          <w:szCs w:val="24"/>
        </w:rPr>
        <w:t>(napr. čistiace a upratovacie služby, odvoz a likvidácia odpadu, ako aj platby za externé služby, ako sú tlmočenie, prekladateľské služby, výkon revízií a kontrol dopravnej techniky, výdavky na prevádzku varovného systému civilnej obrany, odmeny asistentom poslancov a podobne).</w:t>
      </w:r>
    </w:p>
    <w:p w14:paraId="19DA214B" w14:textId="2686FDE8" w:rsidR="004D69BF" w:rsidRPr="008E112F" w:rsidRDefault="004D69BF" w:rsidP="004D69BF">
      <w:pPr>
        <w:spacing w:line="240" w:lineRule="auto"/>
        <w:rPr>
          <w:rFonts w:eastAsia="Calibri" w:cs="Times New Roman"/>
          <w:sz w:val="24"/>
          <w:szCs w:val="24"/>
        </w:rPr>
      </w:pPr>
      <w:r w:rsidRPr="009D1DCA">
        <w:rPr>
          <w:rFonts w:eastAsia="Calibri" w:cs="Times New Roman"/>
          <w:b/>
          <w:i/>
          <w:iCs/>
          <w:sz w:val="24"/>
          <w:szCs w:val="24"/>
        </w:rPr>
        <w:t>Rutinná a štandardná údržba</w:t>
      </w:r>
      <w:r w:rsidRPr="008E112F">
        <w:rPr>
          <w:rFonts w:eastAsia="Calibri" w:cs="Times New Roman"/>
          <w:color w:val="FF0000"/>
          <w:sz w:val="24"/>
          <w:szCs w:val="24"/>
        </w:rPr>
        <w:t xml:space="preserve"> </w:t>
      </w:r>
      <w:r w:rsidRPr="008E112F">
        <w:rPr>
          <w:rFonts w:eastAsia="Calibri" w:cs="Times New Roman"/>
          <w:sz w:val="24"/>
          <w:szCs w:val="24"/>
        </w:rPr>
        <w:t xml:space="preserve">predstavovala výdavky v sume </w:t>
      </w:r>
      <w:r w:rsidR="008644B4">
        <w:rPr>
          <w:rFonts w:eastAsia="Calibri" w:cs="Times New Roman"/>
          <w:sz w:val="24"/>
          <w:szCs w:val="24"/>
        </w:rPr>
        <w:t>449 </w:t>
      </w:r>
      <w:r>
        <w:rPr>
          <w:rFonts w:eastAsia="Calibri" w:cs="Times New Roman"/>
          <w:sz w:val="24"/>
          <w:szCs w:val="24"/>
        </w:rPr>
        <w:t>189</w:t>
      </w:r>
      <w:r w:rsidRPr="008E112F">
        <w:rPr>
          <w:rFonts w:eastAsia="Calibri" w:cs="Times New Roman"/>
          <w:sz w:val="24"/>
          <w:szCs w:val="24"/>
        </w:rPr>
        <w:t> tis. eur. Išlo najmä o dodávateľsky obstarávané práce a výkony, ktorými sa zabezpečuje bežná prevádzka majetku, napr. budov, prevádzkového zariadenia, kancelárskeho vybavenia, softvéru a pod.</w:t>
      </w:r>
      <w:r w:rsidRPr="008E112F">
        <w:rPr>
          <w:rFonts w:eastAsia="Calibri" w:cs="Times New Roman"/>
          <w:color w:val="FF0000"/>
          <w:sz w:val="24"/>
          <w:szCs w:val="24"/>
        </w:rPr>
        <w:t xml:space="preserve"> </w:t>
      </w:r>
      <w:r w:rsidRPr="008E112F">
        <w:rPr>
          <w:rFonts w:eastAsia="Calibri" w:cs="Times New Roman"/>
          <w:sz w:val="24"/>
          <w:szCs w:val="24"/>
        </w:rPr>
        <w:t xml:space="preserve">Objemovo najväčšie čerpanie si vyžiadala údržba </w:t>
      </w:r>
      <w:r w:rsidRPr="008E112F">
        <w:rPr>
          <w:rFonts w:eastAsia="Calibri" w:cs="Times New Roman"/>
          <w:b/>
          <w:i/>
          <w:sz w:val="24"/>
          <w:szCs w:val="24"/>
        </w:rPr>
        <w:t>budov, objektov alebo ich častí</w:t>
      </w:r>
      <w:r w:rsidRPr="008E112F">
        <w:rPr>
          <w:rFonts w:eastAsia="Calibri" w:cs="Times New Roman"/>
          <w:color w:val="FF0000"/>
          <w:sz w:val="24"/>
          <w:szCs w:val="24"/>
        </w:rPr>
        <w:t xml:space="preserve"> </w:t>
      </w:r>
      <w:r w:rsidRPr="008E112F">
        <w:rPr>
          <w:rFonts w:eastAsia="Calibri" w:cs="Times New Roman"/>
          <w:sz w:val="24"/>
          <w:szCs w:val="24"/>
        </w:rPr>
        <w:t>(</w:t>
      </w:r>
      <w:r>
        <w:rPr>
          <w:rFonts w:eastAsia="Calibri" w:cs="Times New Roman"/>
          <w:sz w:val="24"/>
          <w:szCs w:val="24"/>
        </w:rPr>
        <w:t>139</w:t>
      </w:r>
      <w:r w:rsidR="008644B4">
        <w:rPr>
          <w:rFonts w:eastAsia="Calibri" w:cs="Times New Roman"/>
          <w:sz w:val="24"/>
          <w:szCs w:val="24"/>
        </w:rPr>
        <w:t> </w:t>
      </w:r>
      <w:r>
        <w:rPr>
          <w:rFonts w:eastAsia="Calibri" w:cs="Times New Roman"/>
          <w:sz w:val="24"/>
          <w:szCs w:val="24"/>
        </w:rPr>
        <w:t>841</w:t>
      </w:r>
      <w:r w:rsidR="008644B4">
        <w:rPr>
          <w:rFonts w:eastAsia="Calibri" w:cs="Times New Roman"/>
          <w:sz w:val="24"/>
          <w:szCs w:val="24"/>
        </w:rPr>
        <w:t> </w:t>
      </w:r>
      <w:r w:rsidRPr="008E112F">
        <w:rPr>
          <w:rFonts w:eastAsia="Calibri" w:cs="Times New Roman"/>
          <w:sz w:val="24"/>
          <w:szCs w:val="24"/>
        </w:rPr>
        <w:t xml:space="preserve">tis. eur), údržba </w:t>
      </w:r>
      <w:r w:rsidRPr="008E112F">
        <w:rPr>
          <w:rFonts w:eastAsia="Calibri" w:cs="Times New Roman"/>
          <w:b/>
          <w:i/>
          <w:sz w:val="24"/>
          <w:szCs w:val="24"/>
        </w:rPr>
        <w:t>unikátneho</w:t>
      </w:r>
      <w:r w:rsidRPr="008E112F">
        <w:rPr>
          <w:rFonts w:eastAsia="Calibri" w:cs="Times New Roman"/>
          <w:sz w:val="24"/>
          <w:szCs w:val="24"/>
        </w:rPr>
        <w:t xml:space="preserve"> </w:t>
      </w:r>
      <w:r w:rsidRPr="008E112F">
        <w:rPr>
          <w:rFonts w:eastAsia="Calibri" w:cs="Times New Roman"/>
          <w:b/>
          <w:i/>
          <w:sz w:val="24"/>
          <w:szCs w:val="24"/>
        </w:rPr>
        <w:t>softvéru</w:t>
      </w:r>
      <w:r w:rsidRPr="008E112F">
        <w:rPr>
          <w:rFonts w:eastAsia="Calibri" w:cs="Times New Roman"/>
          <w:sz w:val="24"/>
          <w:szCs w:val="24"/>
        </w:rPr>
        <w:t xml:space="preserve"> (1</w:t>
      </w:r>
      <w:r>
        <w:rPr>
          <w:rFonts w:eastAsia="Calibri" w:cs="Times New Roman"/>
          <w:sz w:val="24"/>
          <w:szCs w:val="24"/>
        </w:rPr>
        <w:t>45</w:t>
      </w:r>
      <w:r w:rsidR="008644B4">
        <w:rPr>
          <w:rFonts w:eastAsia="Calibri" w:cs="Times New Roman"/>
          <w:sz w:val="24"/>
          <w:szCs w:val="24"/>
        </w:rPr>
        <w:t> </w:t>
      </w:r>
      <w:r>
        <w:rPr>
          <w:rFonts w:eastAsia="Calibri" w:cs="Times New Roman"/>
          <w:sz w:val="24"/>
          <w:szCs w:val="24"/>
        </w:rPr>
        <w:t>886</w:t>
      </w:r>
      <w:r w:rsidRPr="008E112F">
        <w:rPr>
          <w:rFonts w:eastAsia="Calibri" w:cs="Times New Roman"/>
          <w:sz w:val="24"/>
          <w:szCs w:val="24"/>
        </w:rPr>
        <w:t> tis. eur),</w:t>
      </w:r>
      <w:r w:rsidRPr="008E112F">
        <w:rPr>
          <w:rFonts w:eastAsia="Calibri" w:cs="Times New Roman"/>
          <w:color w:val="FF0000"/>
          <w:sz w:val="24"/>
          <w:szCs w:val="24"/>
        </w:rPr>
        <w:t xml:space="preserve"> </w:t>
      </w:r>
      <w:r w:rsidRPr="008E112F">
        <w:rPr>
          <w:rFonts w:eastAsia="Calibri" w:cs="Times New Roman"/>
          <w:b/>
          <w:i/>
          <w:sz w:val="24"/>
          <w:szCs w:val="24"/>
        </w:rPr>
        <w:t>komunikačnej infraštruktúry</w:t>
      </w:r>
      <w:r w:rsidRPr="008E112F">
        <w:rPr>
          <w:rFonts w:eastAsia="Calibri" w:cs="Times New Roman"/>
          <w:sz w:val="24"/>
          <w:szCs w:val="24"/>
        </w:rPr>
        <w:t xml:space="preserve"> (</w:t>
      </w:r>
      <w:r>
        <w:rPr>
          <w:rFonts w:eastAsia="Calibri" w:cs="Times New Roman"/>
          <w:sz w:val="24"/>
          <w:szCs w:val="24"/>
        </w:rPr>
        <w:t>54</w:t>
      </w:r>
      <w:r w:rsidR="008644B4">
        <w:rPr>
          <w:rFonts w:eastAsia="Calibri" w:cs="Times New Roman"/>
          <w:sz w:val="24"/>
          <w:szCs w:val="24"/>
        </w:rPr>
        <w:t> </w:t>
      </w:r>
      <w:r>
        <w:rPr>
          <w:rFonts w:eastAsia="Calibri" w:cs="Times New Roman"/>
          <w:sz w:val="24"/>
          <w:szCs w:val="24"/>
        </w:rPr>
        <w:t>657</w:t>
      </w:r>
      <w:r w:rsidRPr="008E112F">
        <w:rPr>
          <w:rFonts w:eastAsia="Calibri" w:cs="Times New Roman"/>
          <w:sz w:val="24"/>
          <w:szCs w:val="24"/>
        </w:rPr>
        <w:t> tis. eur),</w:t>
      </w:r>
      <w:r w:rsidRPr="008E112F">
        <w:rPr>
          <w:rFonts w:eastAsia="Calibri" w:cs="Times New Roman"/>
          <w:color w:val="FF0000"/>
          <w:sz w:val="24"/>
          <w:szCs w:val="24"/>
        </w:rPr>
        <w:t xml:space="preserve"> </w:t>
      </w:r>
      <w:r w:rsidRPr="008E112F">
        <w:rPr>
          <w:rFonts w:eastAsia="Calibri" w:cs="Times New Roman"/>
          <w:sz w:val="24"/>
          <w:szCs w:val="24"/>
        </w:rPr>
        <w:t xml:space="preserve">údržba </w:t>
      </w:r>
      <w:r w:rsidRPr="008E112F">
        <w:rPr>
          <w:rFonts w:eastAsia="Calibri" w:cs="Times New Roman"/>
          <w:b/>
          <w:i/>
          <w:sz w:val="24"/>
          <w:szCs w:val="24"/>
        </w:rPr>
        <w:t>špeciálnych strojov, prístrojov, zariadení</w:t>
      </w:r>
      <w:r w:rsidRPr="008E112F">
        <w:rPr>
          <w:rFonts w:eastAsia="Calibri" w:cs="Times New Roman"/>
          <w:sz w:val="24"/>
          <w:szCs w:val="24"/>
        </w:rPr>
        <w:t xml:space="preserve"> </w:t>
      </w:r>
      <w:r w:rsidRPr="008E112F">
        <w:rPr>
          <w:rFonts w:eastAsia="Calibri" w:cs="Times New Roman"/>
          <w:b/>
          <w:i/>
          <w:sz w:val="24"/>
          <w:szCs w:val="24"/>
        </w:rPr>
        <w:t xml:space="preserve">a techniky </w:t>
      </w:r>
      <w:r w:rsidRPr="008E112F">
        <w:rPr>
          <w:rFonts w:eastAsia="Calibri" w:cs="Times New Roman"/>
          <w:sz w:val="24"/>
          <w:szCs w:val="24"/>
        </w:rPr>
        <w:t>(</w:t>
      </w:r>
      <w:r w:rsidR="008644B4">
        <w:rPr>
          <w:rFonts w:eastAsia="Calibri" w:cs="Times New Roman"/>
          <w:sz w:val="24"/>
          <w:szCs w:val="24"/>
        </w:rPr>
        <w:t>53 </w:t>
      </w:r>
      <w:r>
        <w:rPr>
          <w:rFonts w:eastAsia="Calibri" w:cs="Times New Roman"/>
          <w:sz w:val="24"/>
          <w:szCs w:val="24"/>
        </w:rPr>
        <w:t>348</w:t>
      </w:r>
      <w:r w:rsidRPr="008E112F">
        <w:rPr>
          <w:rFonts w:eastAsia="Calibri" w:cs="Times New Roman"/>
          <w:sz w:val="24"/>
          <w:szCs w:val="24"/>
        </w:rPr>
        <w:t> tis. eur)</w:t>
      </w:r>
      <w:r>
        <w:rPr>
          <w:rFonts w:eastAsia="Calibri" w:cs="Times New Roman"/>
          <w:sz w:val="24"/>
          <w:szCs w:val="24"/>
        </w:rPr>
        <w:t>.</w:t>
      </w:r>
    </w:p>
    <w:p w14:paraId="603BECF9" w14:textId="2822E1EC" w:rsidR="004D69BF" w:rsidRDefault="004D69BF" w:rsidP="004D69BF">
      <w:pPr>
        <w:spacing w:line="240" w:lineRule="auto"/>
        <w:rPr>
          <w:rFonts w:eastAsia="Calibri" w:cs="Times New Roman"/>
          <w:sz w:val="24"/>
          <w:szCs w:val="24"/>
        </w:rPr>
      </w:pPr>
      <w:r>
        <w:rPr>
          <w:rFonts w:eastAsia="Calibri" w:cs="Times New Roman"/>
          <w:sz w:val="24"/>
          <w:szCs w:val="24"/>
        </w:rPr>
        <w:t>Z pohľadu kapitol predstavujú najvyššie výdavky u Ministerstva dopravy SR, a to na</w:t>
      </w:r>
      <w:r w:rsidR="008644B4">
        <w:rPr>
          <w:rFonts w:eastAsia="Calibri" w:cs="Times New Roman"/>
          <w:sz w:val="24"/>
          <w:szCs w:val="24"/>
        </w:rPr>
        <w:t> </w:t>
      </w:r>
      <w:r>
        <w:rPr>
          <w:rFonts w:eastAsia="Calibri" w:cs="Times New Roman"/>
          <w:sz w:val="24"/>
          <w:szCs w:val="24"/>
        </w:rPr>
        <w:t>správu a</w:t>
      </w:r>
      <w:r w:rsidR="008644B4">
        <w:rPr>
          <w:rFonts w:eastAsia="Calibri" w:cs="Times New Roman"/>
          <w:sz w:val="24"/>
          <w:szCs w:val="24"/>
        </w:rPr>
        <w:t> </w:t>
      </w:r>
      <w:r>
        <w:rPr>
          <w:rFonts w:eastAsia="Calibri" w:cs="Times New Roman"/>
          <w:sz w:val="24"/>
          <w:szCs w:val="24"/>
        </w:rPr>
        <w:t>údržbu budov a ob</w:t>
      </w:r>
      <w:r w:rsidR="008644B4">
        <w:rPr>
          <w:rFonts w:eastAsia="Calibri" w:cs="Times New Roman"/>
          <w:sz w:val="24"/>
          <w:szCs w:val="24"/>
        </w:rPr>
        <w:t>jektov súvisiacich s cestami I. </w:t>
      </w:r>
      <w:r>
        <w:rPr>
          <w:rFonts w:eastAsia="Calibri" w:cs="Times New Roman"/>
          <w:sz w:val="24"/>
          <w:szCs w:val="24"/>
        </w:rPr>
        <w:t>triedy a diaľnicam</w:t>
      </w:r>
      <w:r w:rsidR="008644B4">
        <w:rPr>
          <w:rFonts w:eastAsia="Calibri" w:cs="Times New Roman"/>
          <w:sz w:val="24"/>
          <w:szCs w:val="24"/>
        </w:rPr>
        <w:t>i (82 430 </w:t>
      </w:r>
      <w:r>
        <w:rPr>
          <w:rFonts w:eastAsia="Calibri" w:cs="Times New Roman"/>
          <w:sz w:val="24"/>
          <w:szCs w:val="24"/>
        </w:rPr>
        <w:t>tis.</w:t>
      </w:r>
      <w:r w:rsidR="008644B4">
        <w:rPr>
          <w:rFonts w:eastAsia="Calibri" w:cs="Times New Roman"/>
          <w:sz w:val="24"/>
          <w:szCs w:val="24"/>
        </w:rPr>
        <w:t> </w:t>
      </w:r>
      <w:r>
        <w:rPr>
          <w:rFonts w:eastAsia="Calibri" w:cs="Times New Roman"/>
          <w:sz w:val="24"/>
          <w:szCs w:val="24"/>
        </w:rPr>
        <w:t>eur), u Ministerstva financií SR ná</w:t>
      </w:r>
      <w:r w:rsidR="008644B4">
        <w:rPr>
          <w:rFonts w:eastAsia="Calibri" w:cs="Times New Roman"/>
          <w:sz w:val="24"/>
          <w:szCs w:val="24"/>
        </w:rPr>
        <w:t>klady na údržbu softvéru 52 360 </w:t>
      </w:r>
      <w:r>
        <w:rPr>
          <w:rFonts w:eastAsia="Calibri" w:cs="Times New Roman"/>
          <w:sz w:val="24"/>
          <w:szCs w:val="24"/>
        </w:rPr>
        <w:t>tis.</w:t>
      </w:r>
      <w:r w:rsidR="008644B4">
        <w:rPr>
          <w:rFonts w:eastAsia="Calibri" w:cs="Times New Roman"/>
          <w:sz w:val="24"/>
          <w:szCs w:val="24"/>
        </w:rPr>
        <w:t> </w:t>
      </w:r>
      <w:r>
        <w:rPr>
          <w:rFonts w:eastAsia="Calibri" w:cs="Times New Roman"/>
          <w:sz w:val="24"/>
          <w:szCs w:val="24"/>
        </w:rPr>
        <w:t>eur, u Ministerstva vnútra SR výdavky na kom</w:t>
      </w:r>
      <w:r w:rsidR="008644B4">
        <w:rPr>
          <w:rFonts w:eastAsia="Calibri" w:cs="Times New Roman"/>
          <w:sz w:val="24"/>
          <w:szCs w:val="24"/>
        </w:rPr>
        <w:t>unikačnú infraštruktúru (53 077 </w:t>
      </w:r>
      <w:r>
        <w:rPr>
          <w:rFonts w:eastAsia="Calibri" w:cs="Times New Roman"/>
          <w:sz w:val="24"/>
          <w:szCs w:val="24"/>
        </w:rPr>
        <w:t>tis.</w:t>
      </w:r>
      <w:r w:rsidR="008644B4">
        <w:rPr>
          <w:rFonts w:eastAsia="Calibri" w:cs="Times New Roman"/>
          <w:sz w:val="24"/>
          <w:szCs w:val="24"/>
        </w:rPr>
        <w:t> </w:t>
      </w:r>
      <w:r>
        <w:rPr>
          <w:rFonts w:eastAsia="Calibri" w:cs="Times New Roman"/>
          <w:sz w:val="24"/>
          <w:szCs w:val="24"/>
        </w:rPr>
        <w:t>eur</w:t>
      </w:r>
      <w:r w:rsidR="008644B4">
        <w:rPr>
          <w:rFonts w:eastAsia="Calibri" w:cs="Times New Roman"/>
          <w:sz w:val="24"/>
          <w:szCs w:val="24"/>
        </w:rPr>
        <w:t>) a u Ministerstva obrany SR na </w:t>
      </w:r>
      <w:r>
        <w:rPr>
          <w:rFonts w:eastAsia="Calibri" w:cs="Times New Roman"/>
          <w:sz w:val="24"/>
          <w:szCs w:val="24"/>
        </w:rPr>
        <w:t>údržbu špeciálnych strojov, prístrojov a zariadení (3</w:t>
      </w:r>
      <w:r w:rsidR="008644B4">
        <w:rPr>
          <w:rFonts w:eastAsia="Calibri" w:cs="Times New Roman"/>
          <w:sz w:val="24"/>
          <w:szCs w:val="24"/>
        </w:rPr>
        <w:t>7 367 </w:t>
      </w:r>
      <w:r>
        <w:rPr>
          <w:rFonts w:eastAsia="Calibri" w:cs="Times New Roman"/>
          <w:sz w:val="24"/>
          <w:szCs w:val="24"/>
        </w:rPr>
        <w:t>tis.</w:t>
      </w:r>
      <w:r w:rsidR="008644B4">
        <w:rPr>
          <w:rFonts w:eastAsia="Calibri" w:cs="Times New Roman"/>
          <w:sz w:val="24"/>
          <w:szCs w:val="24"/>
        </w:rPr>
        <w:t> </w:t>
      </w:r>
      <w:r>
        <w:rPr>
          <w:rFonts w:eastAsia="Calibri" w:cs="Times New Roman"/>
          <w:sz w:val="24"/>
          <w:szCs w:val="24"/>
        </w:rPr>
        <w:t>eur)</w:t>
      </w:r>
      <w:r w:rsidR="008644B4">
        <w:rPr>
          <w:rFonts w:eastAsia="Calibri" w:cs="Times New Roman"/>
          <w:sz w:val="24"/>
          <w:szCs w:val="24"/>
        </w:rPr>
        <w:t>.</w:t>
      </w:r>
    </w:p>
    <w:p w14:paraId="75FEE52B" w14:textId="5A5603A7" w:rsidR="004D69BF" w:rsidRPr="008E112F" w:rsidRDefault="004D69BF" w:rsidP="004D69BF">
      <w:pPr>
        <w:spacing w:line="240" w:lineRule="auto"/>
        <w:rPr>
          <w:rFonts w:eastAsia="Calibri" w:cs="Times New Roman"/>
          <w:sz w:val="24"/>
          <w:szCs w:val="24"/>
        </w:rPr>
      </w:pPr>
      <w:r w:rsidRPr="00795D97">
        <w:rPr>
          <w:rFonts w:eastAsia="Calibri" w:cs="Times New Roman"/>
          <w:sz w:val="24"/>
          <w:szCs w:val="24"/>
        </w:rPr>
        <w:t>Výdavky na</w:t>
      </w:r>
      <w:r w:rsidRPr="00795D97">
        <w:rPr>
          <w:rFonts w:eastAsia="Calibri" w:cs="Times New Roman"/>
          <w:b/>
          <w:sz w:val="24"/>
          <w:szCs w:val="24"/>
        </w:rPr>
        <w:t> </w:t>
      </w:r>
      <w:r w:rsidRPr="009D1741">
        <w:rPr>
          <w:rFonts w:eastAsia="Calibri" w:cs="Times New Roman"/>
          <w:b/>
          <w:i/>
          <w:iCs/>
          <w:sz w:val="24"/>
          <w:szCs w:val="24"/>
        </w:rPr>
        <w:t>materiál</w:t>
      </w:r>
      <w:r w:rsidRPr="00795D97">
        <w:rPr>
          <w:rFonts w:eastAsia="Calibri" w:cs="Times New Roman"/>
          <w:sz w:val="24"/>
          <w:szCs w:val="24"/>
        </w:rPr>
        <w:t xml:space="preserve"> predstavujú </w:t>
      </w:r>
      <w:r>
        <w:rPr>
          <w:rFonts w:eastAsia="Calibri" w:cs="Times New Roman"/>
          <w:sz w:val="24"/>
          <w:szCs w:val="24"/>
        </w:rPr>
        <w:t>tretie</w:t>
      </w:r>
      <w:r w:rsidRPr="00795D97">
        <w:rPr>
          <w:rFonts w:eastAsia="Calibri" w:cs="Times New Roman"/>
          <w:sz w:val="24"/>
          <w:szCs w:val="24"/>
        </w:rPr>
        <w:t xml:space="preserve"> najvyššie čerpanie finančných prostriedkov </w:t>
      </w:r>
      <w:r w:rsidRPr="008E112F">
        <w:rPr>
          <w:rFonts w:eastAsia="Calibri" w:cs="Times New Roman"/>
          <w:sz w:val="24"/>
          <w:szCs w:val="24"/>
        </w:rPr>
        <w:t xml:space="preserve">v rámci tovarov a služieb. Dosiahli sumu </w:t>
      </w:r>
      <w:r w:rsidR="008644B4">
        <w:rPr>
          <w:rFonts w:eastAsia="Calibri" w:cs="Times New Roman"/>
          <w:sz w:val="24"/>
          <w:szCs w:val="24"/>
        </w:rPr>
        <w:t>304 </w:t>
      </w:r>
      <w:r>
        <w:rPr>
          <w:rFonts w:eastAsia="Calibri" w:cs="Times New Roman"/>
          <w:sz w:val="24"/>
          <w:szCs w:val="24"/>
        </w:rPr>
        <w:t>234</w:t>
      </w:r>
      <w:r w:rsidRPr="008E112F">
        <w:rPr>
          <w:rFonts w:eastAsia="Calibri" w:cs="Times New Roman"/>
          <w:sz w:val="24"/>
          <w:szCs w:val="24"/>
        </w:rPr>
        <w:t> tis. eur, pričom ide o výdavky, ktoré súvisia priamo s bežnou prevádzkou jednotlivých rozpočtových organizácií, ale aj s poskytovaním určitej formy pomoci napr. pre fyzické osoby.</w:t>
      </w:r>
    </w:p>
    <w:p w14:paraId="4EAAA538" w14:textId="02BB63CF" w:rsidR="004D69BF" w:rsidRDefault="004D69BF" w:rsidP="004D69BF">
      <w:pPr>
        <w:shd w:val="clear" w:color="auto" w:fill="FFFFFF"/>
        <w:spacing w:line="240" w:lineRule="auto"/>
        <w:rPr>
          <w:rFonts w:eastAsia="Calibri" w:cs="Times New Roman"/>
          <w:sz w:val="24"/>
          <w:szCs w:val="24"/>
          <w:lang w:eastAsia="sk-SK"/>
        </w:rPr>
      </w:pPr>
      <w:r w:rsidRPr="008E112F">
        <w:rPr>
          <w:rFonts w:eastAsia="Calibri" w:cs="Times New Roman"/>
          <w:sz w:val="24"/>
          <w:szCs w:val="24"/>
          <w:lang w:eastAsia="sk-SK"/>
        </w:rPr>
        <w:t xml:space="preserve">Najviac prostriedkov sa vynaložilo </w:t>
      </w:r>
      <w:r w:rsidRPr="006172B6">
        <w:rPr>
          <w:rFonts w:eastAsia="Calibri" w:cs="Times New Roman"/>
          <w:sz w:val="24"/>
          <w:szCs w:val="24"/>
          <w:lang w:eastAsia="sk-SK"/>
        </w:rPr>
        <w:t>na</w:t>
      </w:r>
      <w:r w:rsidRPr="006172B6">
        <w:rPr>
          <w:rFonts w:eastAsia="Calibri" w:cs="Times New Roman"/>
          <w:i/>
          <w:sz w:val="24"/>
          <w:szCs w:val="24"/>
          <w:lang w:eastAsia="sk-SK"/>
        </w:rPr>
        <w:t xml:space="preserve"> </w:t>
      </w:r>
      <w:r w:rsidRPr="006172B6">
        <w:rPr>
          <w:rFonts w:eastAsia="Calibri" w:cs="Times New Roman"/>
          <w:iCs/>
          <w:sz w:val="24"/>
          <w:szCs w:val="24"/>
          <w:u w:val="single"/>
          <w:lang w:eastAsia="sk-SK"/>
        </w:rPr>
        <w:t>špeciálny materiál</w:t>
      </w:r>
      <w:r w:rsidRPr="008E112F">
        <w:rPr>
          <w:rFonts w:eastAsia="Calibri" w:cs="Times New Roman"/>
          <w:sz w:val="24"/>
          <w:szCs w:val="24"/>
          <w:lang w:eastAsia="sk-SK"/>
        </w:rPr>
        <w:t xml:space="preserve"> (</w:t>
      </w:r>
      <w:r w:rsidR="008644B4">
        <w:rPr>
          <w:rFonts w:eastAsia="Calibri" w:cs="Times New Roman"/>
          <w:sz w:val="24"/>
          <w:szCs w:val="24"/>
          <w:lang w:eastAsia="sk-SK"/>
        </w:rPr>
        <w:t>90 </w:t>
      </w:r>
      <w:r>
        <w:rPr>
          <w:rFonts w:eastAsia="Calibri" w:cs="Times New Roman"/>
          <w:sz w:val="24"/>
          <w:szCs w:val="24"/>
          <w:lang w:eastAsia="sk-SK"/>
        </w:rPr>
        <w:t>146</w:t>
      </w:r>
      <w:r w:rsidRPr="008E112F">
        <w:rPr>
          <w:rFonts w:eastAsia="Calibri" w:cs="Times New Roman"/>
          <w:sz w:val="24"/>
          <w:szCs w:val="24"/>
          <w:lang w:eastAsia="sk-SK"/>
        </w:rPr>
        <w:t xml:space="preserve"> tis. eur). </w:t>
      </w:r>
      <w:r w:rsidRPr="008E112F">
        <w:rPr>
          <w:rFonts w:eastAsia="Calibri" w:cs="Times New Roman"/>
          <w:sz w:val="24"/>
          <w:szCs w:val="24"/>
        </w:rPr>
        <w:t xml:space="preserve">Na tejto podpoložke sa </w:t>
      </w:r>
      <w:r w:rsidRPr="00B3511E">
        <w:rPr>
          <w:rFonts w:eastAsia="Calibri" w:cs="Times New Roman"/>
          <w:sz w:val="24"/>
          <w:szCs w:val="24"/>
        </w:rPr>
        <w:t>najvýznamnejšie podieľalo Ministerstvo obrany SR sumou 79</w:t>
      </w:r>
      <w:r w:rsidR="008644B4">
        <w:rPr>
          <w:rFonts w:eastAsia="Calibri" w:cs="Times New Roman"/>
          <w:sz w:val="24"/>
          <w:szCs w:val="24"/>
        </w:rPr>
        <w:t> </w:t>
      </w:r>
      <w:r w:rsidRPr="00B3511E">
        <w:rPr>
          <w:rFonts w:eastAsia="Calibri" w:cs="Times New Roman"/>
          <w:sz w:val="24"/>
          <w:szCs w:val="24"/>
        </w:rPr>
        <w:t>412 tis. eur, ktoré realizovalo úhrady najmä na nákup munície, výzbroje, techniky a náhradných dielov pre letecký výcvik, výcvik pozemných zložiek Ozbrojených síl SR, pre operácie v rámci</w:t>
      </w:r>
      <w:r w:rsidRPr="00B3511E">
        <w:rPr>
          <w:rFonts w:eastAsia="Calibri" w:cs="Times New Roman"/>
          <w:sz w:val="24"/>
          <w:szCs w:val="24"/>
          <w:lang w:eastAsia="sk-SK"/>
        </w:rPr>
        <w:t xml:space="preserve"> </w:t>
      </w:r>
      <w:r w:rsidRPr="00B3511E">
        <w:rPr>
          <w:rFonts w:eastAsia="Calibri" w:cs="Times New Roman"/>
          <w:sz w:val="24"/>
          <w:szCs w:val="24"/>
          <w:lang w:eastAsia="sk-SK"/>
        </w:rPr>
        <w:lastRenderedPageBreak/>
        <w:t>medzinárodného krízového manažmentu. Ministerstvo vnútra SR čerpalo v rámci tejto podpoložky sumu</w:t>
      </w:r>
      <w:r w:rsidR="008644B4">
        <w:rPr>
          <w:rFonts w:eastAsia="Calibri" w:cs="Times New Roman"/>
          <w:sz w:val="24"/>
          <w:szCs w:val="24"/>
          <w:lang w:eastAsia="sk-SK"/>
        </w:rPr>
        <w:t xml:space="preserve"> 9 </w:t>
      </w:r>
      <w:r w:rsidRPr="00B3511E">
        <w:rPr>
          <w:rFonts w:eastAsia="Calibri" w:cs="Times New Roman"/>
          <w:sz w:val="24"/>
          <w:szCs w:val="24"/>
          <w:lang w:eastAsia="sk-SK"/>
        </w:rPr>
        <w:t>741 tis. eur najmä na obstaranie osobných dokladov</w:t>
      </w:r>
      <w:r w:rsidRPr="008E112F">
        <w:rPr>
          <w:rFonts w:eastAsia="Calibri" w:cs="Times New Roman"/>
          <w:sz w:val="24"/>
          <w:szCs w:val="24"/>
          <w:lang w:eastAsia="sk-SK"/>
        </w:rPr>
        <w:t xml:space="preserve"> a dokladov k vozidlám (občiansky preukaz, cestovný pas s</w:t>
      </w:r>
      <w:r w:rsidR="008644B4">
        <w:rPr>
          <w:rFonts w:eastAsia="Calibri" w:cs="Times New Roman"/>
          <w:sz w:val="24"/>
          <w:szCs w:val="24"/>
          <w:lang w:eastAsia="sk-SK"/>
        </w:rPr>
        <w:t> </w:t>
      </w:r>
      <w:r w:rsidRPr="008E112F">
        <w:rPr>
          <w:rFonts w:eastAsia="Calibri" w:cs="Times New Roman"/>
          <w:sz w:val="24"/>
          <w:szCs w:val="24"/>
          <w:lang w:eastAsia="sk-SK"/>
        </w:rPr>
        <w:t>biometriou, osvedčenie o evidencii vozidla, vodičský preukaz formát EÚ) a na nákup výzbroje a munície.</w:t>
      </w:r>
    </w:p>
    <w:p w14:paraId="03914644" w14:textId="181F6B43" w:rsidR="004D69BF" w:rsidRDefault="004D69BF" w:rsidP="004D69BF">
      <w:pPr>
        <w:shd w:val="clear" w:color="auto" w:fill="FFFFFF"/>
        <w:spacing w:line="240" w:lineRule="auto"/>
        <w:rPr>
          <w:rFonts w:eastAsia="Calibri" w:cs="Times New Roman"/>
          <w:sz w:val="24"/>
          <w:szCs w:val="24"/>
          <w:lang w:eastAsia="sk-SK"/>
        </w:rPr>
      </w:pPr>
      <w:r>
        <w:rPr>
          <w:rFonts w:eastAsia="Calibri" w:cs="Times New Roman"/>
          <w:sz w:val="24"/>
          <w:szCs w:val="24"/>
          <w:lang w:eastAsia="sk-SK"/>
        </w:rPr>
        <w:t xml:space="preserve">Ďalšie hodnotovo významné položky materiálu boli výdavky na </w:t>
      </w:r>
      <w:r w:rsidRPr="00A7496B">
        <w:rPr>
          <w:rFonts w:eastAsia="Calibri" w:cs="Times New Roman"/>
          <w:sz w:val="24"/>
          <w:szCs w:val="24"/>
          <w:u w:val="single"/>
          <w:lang w:eastAsia="sk-SK"/>
        </w:rPr>
        <w:t>materiál všeobecnej povahy</w:t>
      </w:r>
      <w:r w:rsidR="008644B4">
        <w:rPr>
          <w:rFonts w:eastAsia="Calibri" w:cs="Times New Roman"/>
          <w:sz w:val="24"/>
          <w:szCs w:val="24"/>
          <w:lang w:eastAsia="sk-SK"/>
        </w:rPr>
        <w:t xml:space="preserve"> (56 920 </w:t>
      </w:r>
      <w:r>
        <w:rPr>
          <w:rFonts w:eastAsia="Calibri" w:cs="Times New Roman"/>
          <w:sz w:val="24"/>
          <w:szCs w:val="24"/>
          <w:lang w:eastAsia="sk-SK"/>
        </w:rPr>
        <w:t>tis.</w:t>
      </w:r>
      <w:r w:rsidR="008644B4">
        <w:rPr>
          <w:rFonts w:eastAsia="Calibri" w:cs="Times New Roman"/>
          <w:sz w:val="24"/>
          <w:szCs w:val="24"/>
          <w:lang w:eastAsia="sk-SK"/>
        </w:rPr>
        <w:t> </w:t>
      </w:r>
      <w:r>
        <w:rPr>
          <w:rFonts w:eastAsia="Calibri" w:cs="Times New Roman"/>
          <w:sz w:val="24"/>
          <w:szCs w:val="24"/>
          <w:lang w:eastAsia="sk-SK"/>
        </w:rPr>
        <w:t xml:space="preserve">eur), </w:t>
      </w:r>
      <w:r w:rsidRPr="00A7496B">
        <w:rPr>
          <w:rFonts w:eastAsia="Calibri" w:cs="Times New Roman"/>
          <w:sz w:val="24"/>
          <w:szCs w:val="24"/>
          <w:u w:val="single"/>
          <w:lang w:eastAsia="sk-SK"/>
        </w:rPr>
        <w:t>licencie</w:t>
      </w:r>
      <w:r w:rsidR="008644B4">
        <w:rPr>
          <w:rFonts w:eastAsia="Calibri" w:cs="Times New Roman"/>
          <w:sz w:val="24"/>
          <w:szCs w:val="24"/>
          <w:lang w:eastAsia="sk-SK"/>
        </w:rPr>
        <w:t xml:space="preserve"> k používaným softvérom 32 006 </w:t>
      </w:r>
      <w:r>
        <w:rPr>
          <w:rFonts w:eastAsia="Calibri" w:cs="Times New Roman"/>
          <w:sz w:val="24"/>
          <w:szCs w:val="24"/>
          <w:lang w:eastAsia="sk-SK"/>
        </w:rPr>
        <w:t>tis.</w:t>
      </w:r>
      <w:r w:rsidR="008644B4">
        <w:rPr>
          <w:rFonts w:eastAsia="Calibri" w:cs="Times New Roman"/>
          <w:sz w:val="24"/>
          <w:szCs w:val="24"/>
          <w:lang w:eastAsia="sk-SK"/>
        </w:rPr>
        <w:t> </w:t>
      </w:r>
      <w:r>
        <w:rPr>
          <w:rFonts w:eastAsia="Calibri" w:cs="Times New Roman"/>
          <w:sz w:val="24"/>
          <w:szCs w:val="24"/>
          <w:lang w:eastAsia="sk-SK"/>
        </w:rPr>
        <w:t xml:space="preserve">eur, </w:t>
      </w:r>
      <w:r w:rsidRPr="00A7496B">
        <w:rPr>
          <w:rFonts w:eastAsia="Calibri" w:cs="Times New Roman"/>
          <w:sz w:val="24"/>
          <w:szCs w:val="24"/>
          <w:u w:val="single"/>
          <w:lang w:eastAsia="sk-SK"/>
        </w:rPr>
        <w:t>pracovné odevy a pracovné pomôcky</w:t>
      </w:r>
      <w:r w:rsidR="008644B4">
        <w:rPr>
          <w:rFonts w:eastAsia="Calibri" w:cs="Times New Roman"/>
          <w:sz w:val="24"/>
          <w:szCs w:val="24"/>
          <w:lang w:eastAsia="sk-SK"/>
        </w:rPr>
        <w:t xml:space="preserve"> (29 372 </w:t>
      </w:r>
      <w:r>
        <w:rPr>
          <w:rFonts w:eastAsia="Calibri" w:cs="Times New Roman"/>
          <w:sz w:val="24"/>
          <w:szCs w:val="24"/>
          <w:lang w:eastAsia="sk-SK"/>
        </w:rPr>
        <w:t>tis.</w:t>
      </w:r>
      <w:r w:rsidR="008644B4">
        <w:rPr>
          <w:rFonts w:eastAsia="Calibri" w:cs="Times New Roman"/>
          <w:sz w:val="24"/>
          <w:szCs w:val="24"/>
          <w:lang w:eastAsia="sk-SK"/>
        </w:rPr>
        <w:t> </w:t>
      </w:r>
      <w:r>
        <w:rPr>
          <w:rFonts w:eastAsia="Calibri" w:cs="Times New Roman"/>
          <w:sz w:val="24"/>
          <w:szCs w:val="24"/>
          <w:lang w:eastAsia="sk-SK"/>
        </w:rPr>
        <w:t xml:space="preserve">eur), </w:t>
      </w:r>
      <w:r w:rsidRPr="00A7496B">
        <w:rPr>
          <w:rFonts w:eastAsia="Calibri" w:cs="Times New Roman"/>
          <w:sz w:val="24"/>
          <w:szCs w:val="24"/>
          <w:u w:val="single"/>
          <w:lang w:eastAsia="sk-SK"/>
        </w:rPr>
        <w:t>nákup potravín</w:t>
      </w:r>
      <w:r>
        <w:rPr>
          <w:rFonts w:eastAsia="Calibri" w:cs="Times New Roman"/>
          <w:sz w:val="24"/>
          <w:szCs w:val="24"/>
          <w:lang w:eastAsia="sk-SK"/>
        </w:rPr>
        <w:t xml:space="preserve"> (22</w:t>
      </w:r>
      <w:r w:rsidR="008644B4">
        <w:rPr>
          <w:rFonts w:eastAsia="Calibri" w:cs="Times New Roman"/>
          <w:sz w:val="24"/>
          <w:szCs w:val="24"/>
          <w:lang w:eastAsia="sk-SK"/>
        </w:rPr>
        <w:t> </w:t>
      </w:r>
      <w:r>
        <w:rPr>
          <w:rFonts w:eastAsia="Calibri" w:cs="Times New Roman"/>
          <w:sz w:val="24"/>
          <w:szCs w:val="24"/>
          <w:lang w:eastAsia="sk-SK"/>
        </w:rPr>
        <w:t>457</w:t>
      </w:r>
      <w:r w:rsidR="008644B4">
        <w:rPr>
          <w:rFonts w:eastAsia="Calibri" w:cs="Times New Roman"/>
          <w:sz w:val="24"/>
          <w:szCs w:val="24"/>
          <w:lang w:eastAsia="sk-SK"/>
        </w:rPr>
        <w:t> </w:t>
      </w:r>
      <w:r>
        <w:rPr>
          <w:rFonts w:eastAsia="Calibri" w:cs="Times New Roman"/>
          <w:sz w:val="24"/>
          <w:szCs w:val="24"/>
          <w:lang w:eastAsia="sk-SK"/>
        </w:rPr>
        <w:t>tis.</w:t>
      </w:r>
      <w:r w:rsidR="008644B4">
        <w:rPr>
          <w:rFonts w:eastAsia="Calibri" w:cs="Times New Roman"/>
          <w:sz w:val="24"/>
          <w:szCs w:val="24"/>
          <w:lang w:eastAsia="sk-SK"/>
        </w:rPr>
        <w:t> </w:t>
      </w:r>
      <w:r>
        <w:rPr>
          <w:rFonts w:eastAsia="Calibri" w:cs="Times New Roman"/>
          <w:sz w:val="24"/>
          <w:szCs w:val="24"/>
          <w:lang w:eastAsia="sk-SK"/>
        </w:rPr>
        <w:t xml:space="preserve">eur), </w:t>
      </w:r>
      <w:r w:rsidRPr="00A7496B">
        <w:rPr>
          <w:rFonts w:eastAsia="Calibri" w:cs="Times New Roman"/>
          <w:sz w:val="24"/>
          <w:szCs w:val="24"/>
          <w:u w:val="single"/>
          <w:lang w:eastAsia="sk-SK"/>
        </w:rPr>
        <w:t>materiál súvisiaci s výpočtovou technikou</w:t>
      </w:r>
      <w:r w:rsidR="008644B4">
        <w:rPr>
          <w:rFonts w:eastAsia="Calibri" w:cs="Times New Roman"/>
          <w:sz w:val="24"/>
          <w:szCs w:val="24"/>
          <w:lang w:eastAsia="sk-SK"/>
        </w:rPr>
        <w:t xml:space="preserve"> 27 771 </w:t>
      </w:r>
      <w:r>
        <w:rPr>
          <w:rFonts w:eastAsia="Calibri" w:cs="Times New Roman"/>
          <w:sz w:val="24"/>
          <w:szCs w:val="24"/>
          <w:lang w:eastAsia="sk-SK"/>
        </w:rPr>
        <w:t>tis.</w:t>
      </w:r>
      <w:r w:rsidR="008644B4">
        <w:rPr>
          <w:rFonts w:eastAsia="Calibri" w:cs="Times New Roman"/>
          <w:sz w:val="24"/>
          <w:szCs w:val="24"/>
          <w:lang w:eastAsia="sk-SK"/>
        </w:rPr>
        <w:t> </w:t>
      </w:r>
      <w:r>
        <w:rPr>
          <w:rFonts w:eastAsia="Calibri" w:cs="Times New Roman"/>
          <w:sz w:val="24"/>
          <w:szCs w:val="24"/>
          <w:lang w:eastAsia="sk-SK"/>
        </w:rPr>
        <w:t>eur.</w:t>
      </w:r>
    </w:p>
    <w:p w14:paraId="774147E9" w14:textId="77777777" w:rsidR="004D69BF" w:rsidRPr="00040B78" w:rsidRDefault="004D69BF" w:rsidP="004D69BF">
      <w:pPr>
        <w:spacing w:after="160" w:line="259" w:lineRule="auto"/>
        <w:jc w:val="left"/>
        <w:rPr>
          <w:b/>
          <w:color w:val="5B9BD5" w:themeColor="accent1"/>
          <w:sz w:val="24"/>
          <w:szCs w:val="24"/>
        </w:rPr>
      </w:pPr>
      <w:r w:rsidRPr="00040B78">
        <w:rPr>
          <w:b/>
          <w:color w:val="5B9BD5" w:themeColor="accent1"/>
          <w:sz w:val="24"/>
          <w:szCs w:val="24"/>
        </w:rPr>
        <w:t>Bežné transfery</w:t>
      </w:r>
    </w:p>
    <w:p w14:paraId="1E70B21A" w14:textId="3C90BB9E" w:rsidR="004D69BF" w:rsidRPr="008E112F" w:rsidRDefault="004D69BF" w:rsidP="004D69BF">
      <w:pPr>
        <w:spacing w:line="240" w:lineRule="auto"/>
        <w:rPr>
          <w:rFonts w:eastAsia="Calibri" w:cs="Times New Roman"/>
          <w:sz w:val="24"/>
          <w:szCs w:val="24"/>
        </w:rPr>
      </w:pPr>
      <w:r w:rsidRPr="008E112F">
        <w:rPr>
          <w:rFonts w:eastAsia="Calibri" w:cs="Times New Roman"/>
          <w:sz w:val="24"/>
          <w:szCs w:val="24"/>
        </w:rPr>
        <w:t xml:space="preserve">Bežné transfery, </w:t>
      </w:r>
      <w:r>
        <w:rPr>
          <w:rFonts w:eastAsia="Calibri" w:cs="Times New Roman"/>
          <w:sz w:val="24"/>
          <w:szCs w:val="24"/>
        </w:rPr>
        <w:t xml:space="preserve">ktoré sú poskytované hlavne právnickým organizáciám, subjektom verejnej správy, ale aj </w:t>
      </w:r>
      <w:r w:rsidRPr="008E112F">
        <w:rPr>
          <w:rFonts w:eastAsia="Calibri" w:cs="Times New Roman"/>
          <w:sz w:val="24"/>
          <w:szCs w:val="24"/>
        </w:rPr>
        <w:t>jednotlivcom</w:t>
      </w:r>
      <w:r>
        <w:rPr>
          <w:rFonts w:eastAsia="Calibri" w:cs="Times New Roman"/>
          <w:sz w:val="24"/>
          <w:szCs w:val="24"/>
        </w:rPr>
        <w:t xml:space="preserve">, nefinančným subjektom či do zahraničia, </w:t>
      </w:r>
      <w:r w:rsidRPr="008E112F">
        <w:rPr>
          <w:rFonts w:eastAsia="Calibri" w:cs="Times New Roman"/>
          <w:sz w:val="24"/>
          <w:szCs w:val="24"/>
        </w:rPr>
        <w:t>tvorili v roku 202</w:t>
      </w:r>
      <w:r>
        <w:rPr>
          <w:rFonts w:eastAsia="Calibri" w:cs="Times New Roman"/>
          <w:sz w:val="24"/>
          <w:szCs w:val="24"/>
        </w:rPr>
        <w:t>4</w:t>
      </w:r>
      <w:r w:rsidRPr="008E112F">
        <w:rPr>
          <w:rFonts w:eastAsia="Calibri" w:cs="Times New Roman"/>
          <w:sz w:val="24"/>
          <w:szCs w:val="24"/>
        </w:rPr>
        <w:t xml:space="preserve"> </w:t>
      </w:r>
      <w:r>
        <w:rPr>
          <w:rFonts w:eastAsia="Calibri" w:cs="Times New Roman"/>
          <w:sz w:val="24"/>
          <w:szCs w:val="24"/>
        </w:rPr>
        <w:t>65</w:t>
      </w:r>
      <w:r w:rsidRPr="008E112F">
        <w:rPr>
          <w:rFonts w:eastAsia="Calibri" w:cs="Times New Roman"/>
          <w:sz w:val="24"/>
          <w:szCs w:val="24"/>
        </w:rPr>
        <w:t> %</w:t>
      </w:r>
      <w:r>
        <w:rPr>
          <w:rFonts w:eastAsia="Calibri" w:cs="Times New Roman"/>
          <w:sz w:val="24"/>
          <w:szCs w:val="24"/>
        </w:rPr>
        <w:t xml:space="preserve"> celkových výdavkov a až 74,3</w:t>
      </w:r>
      <w:r w:rsidR="008644B4">
        <w:rPr>
          <w:rFonts w:eastAsia="Calibri" w:cs="Times New Roman"/>
          <w:sz w:val="24"/>
          <w:szCs w:val="24"/>
        </w:rPr>
        <w:t> </w:t>
      </w:r>
      <w:r>
        <w:rPr>
          <w:rFonts w:eastAsia="Calibri" w:cs="Times New Roman"/>
          <w:sz w:val="24"/>
          <w:szCs w:val="24"/>
        </w:rPr>
        <w:t>% bežných výdavkov</w:t>
      </w:r>
      <w:r w:rsidRPr="008E112F">
        <w:rPr>
          <w:rFonts w:eastAsia="Calibri" w:cs="Times New Roman"/>
          <w:sz w:val="24"/>
          <w:szCs w:val="24"/>
        </w:rPr>
        <w:t>.</w:t>
      </w:r>
    </w:p>
    <w:p w14:paraId="646D5E0B" w14:textId="184E3E74" w:rsidR="004D69BF" w:rsidRDefault="004D69BF" w:rsidP="004D69BF">
      <w:pPr>
        <w:spacing w:line="240" w:lineRule="auto"/>
        <w:rPr>
          <w:rFonts w:eastAsia="Calibri" w:cs="Times New Roman"/>
          <w:sz w:val="24"/>
          <w:szCs w:val="24"/>
        </w:rPr>
      </w:pPr>
      <w:r>
        <w:rPr>
          <w:rFonts w:eastAsia="Calibri" w:cs="Times New Roman"/>
          <w:sz w:val="24"/>
          <w:szCs w:val="24"/>
        </w:rPr>
        <w:t>Z pohľadu použitých zdrojov, ktoré sa na bežné transfery uvoľnili, išlo najmä o zdroj štátneho rozpočtu, 17 699</w:t>
      </w:r>
      <w:r w:rsidR="000F7ABA">
        <w:rPr>
          <w:rFonts w:eastAsia="Calibri" w:cs="Times New Roman"/>
          <w:sz w:val="24"/>
          <w:szCs w:val="24"/>
        </w:rPr>
        <w:t> </w:t>
      </w:r>
      <w:r>
        <w:rPr>
          <w:rFonts w:eastAsia="Calibri" w:cs="Times New Roman"/>
          <w:sz w:val="24"/>
          <w:szCs w:val="24"/>
        </w:rPr>
        <w:t>244</w:t>
      </w:r>
      <w:r w:rsidR="000F7ABA">
        <w:rPr>
          <w:rFonts w:eastAsia="Calibri" w:cs="Times New Roman"/>
          <w:sz w:val="24"/>
          <w:szCs w:val="24"/>
        </w:rPr>
        <w:t> </w:t>
      </w:r>
      <w:r>
        <w:rPr>
          <w:rFonts w:eastAsia="Calibri" w:cs="Times New Roman"/>
          <w:sz w:val="24"/>
          <w:szCs w:val="24"/>
        </w:rPr>
        <w:t>tis.</w:t>
      </w:r>
      <w:r w:rsidR="00922722">
        <w:rPr>
          <w:rFonts w:eastAsia="Calibri" w:cs="Times New Roman"/>
          <w:sz w:val="24"/>
          <w:szCs w:val="24"/>
        </w:rPr>
        <w:t> eur</w:t>
      </w:r>
      <w:r>
        <w:rPr>
          <w:rFonts w:eastAsia="Calibri" w:cs="Times New Roman"/>
          <w:sz w:val="24"/>
          <w:szCs w:val="24"/>
        </w:rPr>
        <w:t xml:space="preserve"> (bez spolufinancovani</w:t>
      </w:r>
      <w:r w:rsidR="008644B4">
        <w:rPr>
          <w:rFonts w:eastAsia="Calibri" w:cs="Times New Roman"/>
          <w:sz w:val="24"/>
          <w:szCs w:val="24"/>
        </w:rPr>
        <w:t>a) a zdroj eurofondov 1 959 938 </w:t>
      </w:r>
      <w:r w:rsidR="000F7ABA">
        <w:rPr>
          <w:rFonts w:eastAsia="Calibri" w:cs="Times New Roman"/>
          <w:sz w:val="24"/>
          <w:szCs w:val="24"/>
        </w:rPr>
        <w:t>tis. </w:t>
      </w:r>
      <w:r>
        <w:rPr>
          <w:rFonts w:eastAsia="Calibri" w:cs="Times New Roman"/>
          <w:sz w:val="24"/>
          <w:szCs w:val="24"/>
        </w:rPr>
        <w:t>eur. Z plánu obnovy (bez DPH) bolo použitých 146</w:t>
      </w:r>
      <w:r w:rsidR="00922722">
        <w:rPr>
          <w:rFonts w:eastAsia="Calibri" w:cs="Times New Roman"/>
          <w:sz w:val="24"/>
          <w:szCs w:val="24"/>
        </w:rPr>
        <w:t> </w:t>
      </w:r>
      <w:r>
        <w:rPr>
          <w:rFonts w:eastAsia="Calibri" w:cs="Times New Roman"/>
          <w:sz w:val="24"/>
          <w:szCs w:val="24"/>
        </w:rPr>
        <w:t>029</w:t>
      </w:r>
      <w:r w:rsidR="00922722">
        <w:rPr>
          <w:rFonts w:eastAsia="Calibri" w:cs="Times New Roman"/>
          <w:sz w:val="24"/>
          <w:szCs w:val="24"/>
        </w:rPr>
        <w:t> </w:t>
      </w:r>
      <w:r>
        <w:rPr>
          <w:rFonts w:eastAsia="Calibri" w:cs="Times New Roman"/>
          <w:sz w:val="24"/>
          <w:szCs w:val="24"/>
        </w:rPr>
        <w:t>tis.</w:t>
      </w:r>
      <w:r w:rsidR="00922722">
        <w:rPr>
          <w:rFonts w:eastAsia="Calibri" w:cs="Times New Roman"/>
          <w:sz w:val="24"/>
          <w:szCs w:val="24"/>
        </w:rPr>
        <w:t> </w:t>
      </w:r>
      <w:r>
        <w:rPr>
          <w:rFonts w:eastAsia="Calibri" w:cs="Times New Roman"/>
          <w:sz w:val="24"/>
          <w:szCs w:val="24"/>
        </w:rPr>
        <w:t>eur. Štátny rozpočet financoval transfer do Sociáln</w:t>
      </w:r>
      <w:r w:rsidR="00922722">
        <w:rPr>
          <w:rFonts w:eastAsia="Calibri" w:cs="Times New Roman"/>
          <w:sz w:val="24"/>
          <w:szCs w:val="24"/>
        </w:rPr>
        <w:t>ej poisťovne vo výške 2 720 000 </w:t>
      </w:r>
      <w:r>
        <w:rPr>
          <w:rFonts w:eastAsia="Calibri" w:cs="Times New Roman"/>
          <w:sz w:val="24"/>
          <w:szCs w:val="24"/>
        </w:rPr>
        <w:t>tis.</w:t>
      </w:r>
      <w:r w:rsidR="00922722">
        <w:rPr>
          <w:rFonts w:eastAsia="Calibri" w:cs="Times New Roman"/>
          <w:sz w:val="24"/>
          <w:szCs w:val="24"/>
        </w:rPr>
        <w:t> </w:t>
      </w:r>
      <w:r>
        <w:rPr>
          <w:rFonts w:eastAsia="Calibri" w:cs="Times New Roman"/>
          <w:sz w:val="24"/>
          <w:szCs w:val="24"/>
        </w:rPr>
        <w:t>eur na zabezpečenie vyplácania dôchodkov a dávok, transfer na saldo účet, z dôvodu vykrytia výdavkov súvisiacich s obsluhou dlhu štátneho rozpočtu, 1 189</w:t>
      </w:r>
      <w:r w:rsidR="00922722">
        <w:rPr>
          <w:rFonts w:eastAsia="Calibri" w:cs="Times New Roman"/>
          <w:sz w:val="24"/>
          <w:szCs w:val="24"/>
        </w:rPr>
        <w:t> </w:t>
      </w:r>
      <w:r>
        <w:rPr>
          <w:rFonts w:eastAsia="Calibri" w:cs="Times New Roman"/>
          <w:sz w:val="24"/>
          <w:szCs w:val="24"/>
        </w:rPr>
        <w:t>226</w:t>
      </w:r>
      <w:r w:rsidR="00922722">
        <w:rPr>
          <w:rFonts w:eastAsia="Calibri" w:cs="Times New Roman"/>
          <w:sz w:val="24"/>
          <w:szCs w:val="24"/>
        </w:rPr>
        <w:t> </w:t>
      </w:r>
      <w:r>
        <w:rPr>
          <w:rFonts w:eastAsia="Calibri" w:cs="Times New Roman"/>
          <w:sz w:val="24"/>
          <w:szCs w:val="24"/>
        </w:rPr>
        <w:t>tis.</w:t>
      </w:r>
      <w:r w:rsidR="00922722">
        <w:rPr>
          <w:rFonts w:eastAsia="Calibri" w:cs="Times New Roman"/>
          <w:sz w:val="24"/>
          <w:szCs w:val="24"/>
        </w:rPr>
        <w:t> </w:t>
      </w:r>
      <w:r>
        <w:rPr>
          <w:rFonts w:eastAsia="Calibri" w:cs="Times New Roman"/>
          <w:sz w:val="24"/>
          <w:szCs w:val="24"/>
        </w:rPr>
        <w:t>eur, ako aj transfery obciam a VÚC na</w:t>
      </w:r>
      <w:r w:rsidR="00922722">
        <w:rPr>
          <w:rFonts w:eastAsia="Calibri" w:cs="Times New Roman"/>
          <w:sz w:val="24"/>
          <w:szCs w:val="24"/>
        </w:rPr>
        <w:t> </w:t>
      </w:r>
      <w:r>
        <w:rPr>
          <w:rFonts w:eastAsia="Calibri" w:cs="Times New Roman"/>
          <w:sz w:val="24"/>
          <w:szCs w:val="24"/>
        </w:rPr>
        <w:t xml:space="preserve">úhradu nákladov preneseného </w:t>
      </w:r>
      <w:r w:rsidR="00922722">
        <w:rPr>
          <w:rFonts w:eastAsia="Calibri" w:cs="Times New Roman"/>
          <w:sz w:val="24"/>
          <w:szCs w:val="24"/>
        </w:rPr>
        <w:t>výkonu štátnej správy 2 280 350 </w:t>
      </w:r>
      <w:r>
        <w:rPr>
          <w:rFonts w:eastAsia="Calibri" w:cs="Times New Roman"/>
          <w:sz w:val="24"/>
          <w:szCs w:val="24"/>
        </w:rPr>
        <w:t>tis.</w:t>
      </w:r>
      <w:r w:rsidR="00922722">
        <w:rPr>
          <w:rFonts w:eastAsia="Calibri" w:cs="Times New Roman"/>
          <w:sz w:val="24"/>
          <w:szCs w:val="24"/>
        </w:rPr>
        <w:t> </w:t>
      </w:r>
      <w:r>
        <w:rPr>
          <w:rFonts w:eastAsia="Calibri" w:cs="Times New Roman"/>
          <w:sz w:val="24"/>
          <w:szCs w:val="24"/>
        </w:rPr>
        <w:t>eur, ostatné transfer</w:t>
      </w:r>
      <w:r w:rsidR="00922722">
        <w:rPr>
          <w:rFonts w:eastAsia="Calibri" w:cs="Times New Roman"/>
          <w:sz w:val="24"/>
          <w:szCs w:val="24"/>
        </w:rPr>
        <w:t>y obciam a VÚC vo výške 336 879 </w:t>
      </w:r>
      <w:r>
        <w:rPr>
          <w:rFonts w:eastAsia="Calibri" w:cs="Times New Roman"/>
          <w:sz w:val="24"/>
          <w:szCs w:val="24"/>
        </w:rPr>
        <w:t>tis.</w:t>
      </w:r>
      <w:r w:rsidR="00922722">
        <w:rPr>
          <w:rFonts w:eastAsia="Calibri" w:cs="Times New Roman"/>
          <w:sz w:val="24"/>
          <w:szCs w:val="24"/>
        </w:rPr>
        <w:t> </w:t>
      </w:r>
      <w:r>
        <w:rPr>
          <w:rFonts w:eastAsia="Calibri" w:cs="Times New Roman"/>
          <w:sz w:val="24"/>
          <w:szCs w:val="24"/>
        </w:rPr>
        <w:t>eur. Významné sú aj sumy príspevkov jednotlivcom, napríklad na platené poistné za skupiny osôb ustanovených zákonom 2 601</w:t>
      </w:r>
      <w:r w:rsidR="00922722">
        <w:rPr>
          <w:rFonts w:eastAsia="Calibri" w:cs="Times New Roman"/>
          <w:sz w:val="24"/>
          <w:szCs w:val="24"/>
        </w:rPr>
        <w:t> </w:t>
      </w:r>
      <w:r>
        <w:rPr>
          <w:rFonts w:eastAsia="Calibri" w:cs="Times New Roman"/>
          <w:sz w:val="24"/>
          <w:szCs w:val="24"/>
        </w:rPr>
        <w:t>163</w:t>
      </w:r>
      <w:r w:rsidR="00922722">
        <w:rPr>
          <w:rFonts w:eastAsia="Calibri" w:cs="Times New Roman"/>
          <w:sz w:val="24"/>
          <w:szCs w:val="24"/>
        </w:rPr>
        <w:t> </w:t>
      </w:r>
      <w:r>
        <w:rPr>
          <w:rFonts w:eastAsia="Calibri" w:cs="Times New Roman"/>
          <w:sz w:val="24"/>
          <w:szCs w:val="24"/>
        </w:rPr>
        <w:t>tis.</w:t>
      </w:r>
      <w:r w:rsidR="00922722">
        <w:rPr>
          <w:rFonts w:eastAsia="Calibri" w:cs="Times New Roman"/>
          <w:sz w:val="24"/>
          <w:szCs w:val="24"/>
        </w:rPr>
        <w:t> </w:t>
      </w:r>
      <w:r>
        <w:rPr>
          <w:rFonts w:eastAsia="Calibri" w:cs="Times New Roman"/>
          <w:sz w:val="24"/>
          <w:szCs w:val="24"/>
        </w:rPr>
        <w:t>eur, na</w:t>
      </w:r>
      <w:r w:rsidR="00922722">
        <w:rPr>
          <w:rFonts w:eastAsia="Calibri" w:cs="Times New Roman"/>
          <w:sz w:val="24"/>
          <w:szCs w:val="24"/>
        </w:rPr>
        <w:t> </w:t>
      </w:r>
      <w:r>
        <w:rPr>
          <w:rFonts w:eastAsia="Calibri" w:cs="Times New Roman"/>
          <w:sz w:val="24"/>
          <w:szCs w:val="24"/>
        </w:rPr>
        <w:t>peňažné príspevky na kompenzáciu 743 482 tis. eu</w:t>
      </w:r>
      <w:r w:rsidR="008644B4">
        <w:rPr>
          <w:rFonts w:eastAsia="Calibri" w:cs="Times New Roman"/>
          <w:sz w:val="24"/>
          <w:szCs w:val="24"/>
        </w:rPr>
        <w:t>r, na prídavok na dieťa 782 190 </w:t>
      </w:r>
      <w:r>
        <w:rPr>
          <w:rFonts w:eastAsia="Calibri" w:cs="Times New Roman"/>
          <w:sz w:val="24"/>
          <w:szCs w:val="24"/>
        </w:rPr>
        <w:t>tis.</w:t>
      </w:r>
      <w:r w:rsidR="008644B4">
        <w:rPr>
          <w:rFonts w:eastAsia="Calibri" w:cs="Times New Roman"/>
          <w:sz w:val="24"/>
          <w:szCs w:val="24"/>
        </w:rPr>
        <w:t> </w:t>
      </w:r>
      <w:r w:rsidR="00922722">
        <w:rPr>
          <w:rFonts w:eastAsia="Calibri" w:cs="Times New Roman"/>
          <w:sz w:val="24"/>
          <w:szCs w:val="24"/>
        </w:rPr>
        <w:t>eur, na </w:t>
      </w:r>
      <w:r>
        <w:rPr>
          <w:rFonts w:eastAsia="Calibri" w:cs="Times New Roman"/>
          <w:sz w:val="24"/>
          <w:szCs w:val="24"/>
        </w:rPr>
        <w:t>rodičovský príspevok 649</w:t>
      </w:r>
      <w:r w:rsidR="008644B4">
        <w:rPr>
          <w:rFonts w:eastAsia="Calibri" w:cs="Times New Roman"/>
          <w:sz w:val="24"/>
          <w:szCs w:val="24"/>
        </w:rPr>
        <w:t> </w:t>
      </w:r>
      <w:r>
        <w:rPr>
          <w:rFonts w:eastAsia="Calibri" w:cs="Times New Roman"/>
          <w:sz w:val="24"/>
          <w:szCs w:val="24"/>
        </w:rPr>
        <w:t>252</w:t>
      </w:r>
      <w:r w:rsidR="008644B4">
        <w:rPr>
          <w:rFonts w:eastAsia="Calibri" w:cs="Times New Roman"/>
          <w:sz w:val="24"/>
          <w:szCs w:val="24"/>
        </w:rPr>
        <w:t> </w:t>
      </w:r>
      <w:r>
        <w:rPr>
          <w:rFonts w:eastAsia="Calibri" w:cs="Times New Roman"/>
          <w:sz w:val="24"/>
          <w:szCs w:val="24"/>
        </w:rPr>
        <w:t>tis.</w:t>
      </w:r>
      <w:r w:rsidR="008644B4">
        <w:rPr>
          <w:rFonts w:eastAsia="Calibri" w:cs="Times New Roman"/>
          <w:sz w:val="24"/>
          <w:szCs w:val="24"/>
        </w:rPr>
        <w:t> </w:t>
      </w:r>
      <w:r>
        <w:rPr>
          <w:rFonts w:eastAsia="Calibri" w:cs="Times New Roman"/>
          <w:sz w:val="24"/>
          <w:szCs w:val="24"/>
        </w:rPr>
        <w:t>eur.</w:t>
      </w:r>
    </w:p>
    <w:p w14:paraId="53AC1097" w14:textId="0E599843" w:rsidR="004D69BF" w:rsidRDefault="004D69BF" w:rsidP="008644B4">
      <w:pPr>
        <w:spacing w:line="240" w:lineRule="auto"/>
        <w:rPr>
          <w:rFonts w:eastAsia="Calibri" w:cs="Times New Roman"/>
          <w:sz w:val="24"/>
          <w:szCs w:val="24"/>
        </w:rPr>
      </w:pPr>
      <w:r>
        <w:rPr>
          <w:rFonts w:eastAsia="Calibri" w:cs="Times New Roman"/>
          <w:sz w:val="24"/>
          <w:szCs w:val="24"/>
        </w:rPr>
        <w:t>Zo zdrojov rozpočtu EÚ (eurofondy) sú hradené napríklad dotácie poľnohospodárom vo</w:t>
      </w:r>
      <w:r w:rsidR="008644B4">
        <w:rPr>
          <w:rFonts w:eastAsia="Calibri" w:cs="Times New Roman"/>
          <w:sz w:val="24"/>
          <w:szCs w:val="24"/>
        </w:rPr>
        <w:t> </w:t>
      </w:r>
      <w:r>
        <w:rPr>
          <w:rFonts w:eastAsia="Calibri" w:cs="Times New Roman"/>
          <w:sz w:val="24"/>
          <w:szCs w:val="24"/>
        </w:rPr>
        <w:t>forme priamych platieb a iných foriem dotácií, 789</w:t>
      </w:r>
      <w:r w:rsidR="008644B4">
        <w:rPr>
          <w:rFonts w:eastAsia="Calibri" w:cs="Times New Roman"/>
          <w:sz w:val="24"/>
          <w:szCs w:val="24"/>
        </w:rPr>
        <w:t> </w:t>
      </w:r>
      <w:r>
        <w:rPr>
          <w:rFonts w:eastAsia="Calibri" w:cs="Times New Roman"/>
          <w:sz w:val="24"/>
          <w:szCs w:val="24"/>
        </w:rPr>
        <w:t>680</w:t>
      </w:r>
      <w:r w:rsidR="008644B4">
        <w:rPr>
          <w:rFonts w:eastAsia="Calibri" w:cs="Times New Roman"/>
          <w:sz w:val="24"/>
          <w:szCs w:val="24"/>
        </w:rPr>
        <w:t> </w:t>
      </w:r>
      <w:r>
        <w:rPr>
          <w:rFonts w:eastAsia="Calibri" w:cs="Times New Roman"/>
          <w:sz w:val="24"/>
          <w:szCs w:val="24"/>
        </w:rPr>
        <w:t>tis.</w:t>
      </w:r>
      <w:r w:rsidR="008644B4">
        <w:rPr>
          <w:rFonts w:eastAsia="Calibri" w:cs="Times New Roman"/>
          <w:sz w:val="24"/>
          <w:szCs w:val="24"/>
        </w:rPr>
        <w:t> </w:t>
      </w:r>
      <w:r>
        <w:rPr>
          <w:rFonts w:eastAsia="Calibri" w:cs="Times New Roman"/>
          <w:sz w:val="24"/>
          <w:szCs w:val="24"/>
        </w:rPr>
        <w:t>eur, aktív</w:t>
      </w:r>
      <w:r w:rsidR="008644B4">
        <w:rPr>
          <w:rFonts w:eastAsia="Calibri" w:cs="Times New Roman"/>
          <w:sz w:val="24"/>
          <w:szCs w:val="24"/>
        </w:rPr>
        <w:t>ne opatrenia trhu práce 115 976 </w:t>
      </w:r>
      <w:r>
        <w:rPr>
          <w:rFonts w:eastAsia="Calibri" w:cs="Times New Roman"/>
          <w:sz w:val="24"/>
          <w:szCs w:val="24"/>
        </w:rPr>
        <w:t>tis.</w:t>
      </w:r>
      <w:r w:rsidR="008644B4">
        <w:rPr>
          <w:rFonts w:eastAsia="Calibri" w:cs="Times New Roman"/>
          <w:sz w:val="24"/>
          <w:szCs w:val="24"/>
        </w:rPr>
        <w:t> </w:t>
      </w:r>
      <w:r>
        <w:rPr>
          <w:rFonts w:eastAsia="Calibri" w:cs="Times New Roman"/>
          <w:sz w:val="24"/>
          <w:szCs w:val="24"/>
        </w:rPr>
        <w:t>eur, a transfery z jednotlivých štrukturálnych fondov podľa programových období (bližšie pozri kapitolu 3.4 Vzťahy ŠR s EÚ). Plán obnovy pomohol financovať transfery napríklad verejným vysokým školám vo výške 40 885 tis. eur najmä na efektívnejšie riadenie a posilnenie financovania výskumu, vývoja a inovácií, prilákanie a udržanie talentov, príspevkovým organi</w:t>
      </w:r>
      <w:r w:rsidR="008644B4">
        <w:rPr>
          <w:rFonts w:eastAsia="Calibri" w:cs="Times New Roman"/>
          <w:sz w:val="24"/>
          <w:szCs w:val="24"/>
        </w:rPr>
        <w:t>záciám bolo poskytnutých 30 446 </w:t>
      </w:r>
      <w:r>
        <w:rPr>
          <w:rFonts w:eastAsia="Calibri" w:cs="Times New Roman"/>
          <w:sz w:val="24"/>
          <w:szCs w:val="24"/>
        </w:rPr>
        <w:t>tis.</w:t>
      </w:r>
      <w:r w:rsidR="008644B4">
        <w:rPr>
          <w:rFonts w:eastAsia="Calibri" w:cs="Times New Roman"/>
          <w:sz w:val="24"/>
          <w:szCs w:val="24"/>
        </w:rPr>
        <w:t> </w:t>
      </w:r>
      <w:r>
        <w:rPr>
          <w:rFonts w:eastAsia="Calibri" w:cs="Times New Roman"/>
          <w:sz w:val="24"/>
          <w:szCs w:val="24"/>
        </w:rPr>
        <w:t>eur v oblasti životného prostredia, zdravotnej starostlivosti a vzdelávania.</w:t>
      </w:r>
    </w:p>
    <w:p w14:paraId="0B05539D" w14:textId="0B8AF707" w:rsidR="004D69BF" w:rsidRDefault="004D69BF" w:rsidP="004D69BF">
      <w:pPr>
        <w:spacing w:line="240" w:lineRule="auto"/>
        <w:rPr>
          <w:rFonts w:eastAsia="Calibri" w:cs="Times New Roman"/>
          <w:sz w:val="24"/>
          <w:szCs w:val="24"/>
        </w:rPr>
      </w:pPr>
      <w:r w:rsidRPr="008E112F">
        <w:rPr>
          <w:rFonts w:eastAsia="Calibri" w:cs="Times New Roman"/>
          <w:sz w:val="24"/>
          <w:szCs w:val="24"/>
        </w:rPr>
        <w:t>Prehľad bežných transferov podľa skupín prijímateľov poskytuje nasledovná tabuľka:</w:t>
      </w:r>
    </w:p>
    <w:p w14:paraId="55043082" w14:textId="402D9CED" w:rsidR="008F4860" w:rsidRPr="008F4860" w:rsidRDefault="008F4860" w:rsidP="008F4860">
      <w:pPr>
        <w:pStyle w:val="Popis"/>
        <w:keepNext/>
        <w:spacing w:after="120"/>
        <w:rPr>
          <w:rFonts w:eastAsia="Times New Roman" w:cs="Times New Roman"/>
          <w:b/>
          <w:bCs/>
          <w:i w:val="0"/>
          <w:iCs w:val="0"/>
          <w:color w:val="5B9BD5"/>
          <w:sz w:val="20"/>
          <w:szCs w:val="20"/>
          <w:lang w:eastAsia="sk-SK"/>
        </w:rPr>
      </w:pPr>
      <w:bookmarkStart w:id="116" w:name="_Toc196313657"/>
      <w:bookmarkStart w:id="117" w:name="_Toc196389278"/>
      <w:r w:rsidRPr="008F4860">
        <w:rPr>
          <w:rFonts w:eastAsia="Times New Roman" w:cs="Times New Roman"/>
          <w:b/>
          <w:bCs/>
          <w:i w:val="0"/>
          <w:iCs w:val="0"/>
          <w:color w:val="5B9BD5"/>
          <w:sz w:val="20"/>
          <w:szCs w:val="20"/>
          <w:lang w:eastAsia="sk-SK"/>
        </w:rPr>
        <w:t xml:space="preserve">Tabuľka </w:t>
      </w:r>
      <w:r w:rsidRPr="008F4860">
        <w:rPr>
          <w:rFonts w:eastAsia="Times New Roman" w:cs="Times New Roman"/>
          <w:b/>
          <w:bCs/>
          <w:i w:val="0"/>
          <w:iCs w:val="0"/>
          <w:color w:val="5B9BD5"/>
          <w:sz w:val="20"/>
          <w:szCs w:val="20"/>
          <w:lang w:eastAsia="sk-SK"/>
        </w:rPr>
        <w:fldChar w:fldCharType="begin"/>
      </w:r>
      <w:r w:rsidRPr="008F4860">
        <w:rPr>
          <w:rFonts w:eastAsia="Times New Roman" w:cs="Times New Roman"/>
          <w:b/>
          <w:bCs/>
          <w:i w:val="0"/>
          <w:iCs w:val="0"/>
          <w:color w:val="5B9BD5"/>
          <w:sz w:val="20"/>
          <w:szCs w:val="20"/>
          <w:lang w:eastAsia="sk-SK"/>
        </w:rPr>
        <w:instrText xml:space="preserve"> SEQ Tabuľka \* ARABIC </w:instrText>
      </w:r>
      <w:r w:rsidRPr="008F4860">
        <w:rPr>
          <w:rFonts w:eastAsia="Times New Roman" w:cs="Times New Roman"/>
          <w:b/>
          <w:bCs/>
          <w:i w:val="0"/>
          <w:iCs w:val="0"/>
          <w:color w:val="5B9BD5"/>
          <w:sz w:val="20"/>
          <w:szCs w:val="20"/>
          <w:lang w:eastAsia="sk-SK"/>
        </w:rPr>
        <w:fldChar w:fldCharType="separate"/>
      </w:r>
      <w:r w:rsidR="00C64CBA">
        <w:rPr>
          <w:rFonts w:eastAsia="Times New Roman" w:cs="Times New Roman"/>
          <w:b/>
          <w:bCs/>
          <w:i w:val="0"/>
          <w:iCs w:val="0"/>
          <w:noProof/>
          <w:color w:val="5B9BD5"/>
          <w:sz w:val="20"/>
          <w:szCs w:val="20"/>
          <w:lang w:eastAsia="sk-SK"/>
        </w:rPr>
        <w:t>31</w:t>
      </w:r>
      <w:r w:rsidRPr="008F4860">
        <w:rPr>
          <w:rFonts w:eastAsia="Times New Roman" w:cs="Times New Roman"/>
          <w:b/>
          <w:bCs/>
          <w:i w:val="0"/>
          <w:iCs w:val="0"/>
          <w:color w:val="5B9BD5"/>
          <w:sz w:val="20"/>
          <w:szCs w:val="20"/>
          <w:lang w:eastAsia="sk-SK"/>
        </w:rPr>
        <w:fldChar w:fldCharType="end"/>
      </w:r>
      <w:r w:rsidRPr="008F4860">
        <w:rPr>
          <w:rFonts w:eastAsia="Times New Roman" w:cs="Times New Roman"/>
          <w:b/>
          <w:bCs/>
          <w:i w:val="0"/>
          <w:iCs w:val="0"/>
          <w:color w:val="5B9BD5"/>
          <w:sz w:val="20"/>
          <w:szCs w:val="20"/>
          <w:lang w:eastAsia="sk-SK"/>
        </w:rPr>
        <w:t xml:space="preserve"> - Bežné transfery štátneho rozpočtu</w:t>
      </w:r>
      <w:bookmarkEnd w:id="116"/>
      <w:bookmarkEnd w:id="117"/>
    </w:p>
    <w:tbl>
      <w:tblPr>
        <w:tblW w:w="5000" w:type="pct"/>
        <w:tblLayout w:type="fixed"/>
        <w:tblCellMar>
          <w:left w:w="70" w:type="dxa"/>
          <w:right w:w="70" w:type="dxa"/>
        </w:tblCellMar>
        <w:tblLook w:val="04A0" w:firstRow="1" w:lastRow="0" w:firstColumn="1" w:lastColumn="0" w:noHBand="0" w:noVBand="1"/>
      </w:tblPr>
      <w:tblGrid>
        <w:gridCol w:w="3967"/>
        <w:gridCol w:w="993"/>
        <w:gridCol w:w="991"/>
        <w:gridCol w:w="993"/>
        <w:gridCol w:w="993"/>
        <w:gridCol w:w="993"/>
      </w:tblGrid>
      <w:tr w:rsidR="004D69BF" w:rsidRPr="00D0395E" w14:paraId="3C5F8A2A" w14:textId="77777777" w:rsidTr="00A7279C">
        <w:trPr>
          <w:trHeight w:val="330"/>
          <w:tblHeader/>
        </w:trPr>
        <w:tc>
          <w:tcPr>
            <w:tcW w:w="2221" w:type="pct"/>
            <w:vMerge w:val="restart"/>
            <w:tcBorders>
              <w:top w:val="single" w:sz="4" w:space="0" w:color="auto"/>
              <w:left w:val="nil"/>
              <w:bottom w:val="single" w:sz="8" w:space="0" w:color="000000"/>
              <w:right w:val="nil"/>
            </w:tcBorders>
            <w:shd w:val="clear" w:color="auto" w:fill="auto"/>
            <w:vAlign w:val="center"/>
            <w:hideMark/>
          </w:tcPr>
          <w:p w14:paraId="20D20935" w14:textId="77777777" w:rsidR="004D69BF" w:rsidRPr="00D0395E" w:rsidRDefault="004D69BF" w:rsidP="000240DA">
            <w:pPr>
              <w:spacing w:after="0" w:line="240" w:lineRule="auto"/>
              <w:jc w:val="lef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v tis. eur</w:t>
            </w:r>
          </w:p>
        </w:tc>
        <w:tc>
          <w:tcPr>
            <w:tcW w:w="556" w:type="pct"/>
            <w:tcBorders>
              <w:top w:val="single" w:sz="4" w:space="0" w:color="auto"/>
              <w:left w:val="nil"/>
              <w:bottom w:val="nil"/>
              <w:right w:val="nil"/>
            </w:tcBorders>
            <w:shd w:val="clear" w:color="auto" w:fill="auto"/>
            <w:noWrap/>
            <w:vAlign w:val="center"/>
            <w:hideMark/>
          </w:tcPr>
          <w:p w14:paraId="34B804EE"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2022 S</w:t>
            </w:r>
          </w:p>
        </w:tc>
        <w:tc>
          <w:tcPr>
            <w:tcW w:w="555" w:type="pct"/>
            <w:tcBorders>
              <w:top w:val="single" w:sz="4" w:space="0" w:color="auto"/>
              <w:left w:val="nil"/>
              <w:bottom w:val="nil"/>
              <w:right w:val="nil"/>
            </w:tcBorders>
            <w:shd w:val="clear" w:color="auto" w:fill="auto"/>
            <w:noWrap/>
            <w:vAlign w:val="center"/>
            <w:hideMark/>
          </w:tcPr>
          <w:p w14:paraId="12A1EDAA"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2023 S</w:t>
            </w:r>
          </w:p>
        </w:tc>
        <w:tc>
          <w:tcPr>
            <w:tcW w:w="556" w:type="pct"/>
            <w:tcBorders>
              <w:top w:val="single" w:sz="4" w:space="0" w:color="auto"/>
              <w:left w:val="nil"/>
              <w:bottom w:val="nil"/>
              <w:right w:val="nil"/>
            </w:tcBorders>
            <w:shd w:val="clear" w:color="auto" w:fill="auto"/>
            <w:noWrap/>
            <w:vAlign w:val="center"/>
            <w:hideMark/>
          </w:tcPr>
          <w:p w14:paraId="69274602"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2024 R</w:t>
            </w:r>
          </w:p>
        </w:tc>
        <w:tc>
          <w:tcPr>
            <w:tcW w:w="556" w:type="pct"/>
            <w:tcBorders>
              <w:top w:val="single" w:sz="4" w:space="0" w:color="auto"/>
              <w:left w:val="nil"/>
              <w:bottom w:val="nil"/>
              <w:right w:val="nil"/>
            </w:tcBorders>
            <w:shd w:val="clear" w:color="auto" w:fill="auto"/>
            <w:noWrap/>
            <w:vAlign w:val="center"/>
            <w:hideMark/>
          </w:tcPr>
          <w:p w14:paraId="22B59DDC"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2024 S</w:t>
            </w:r>
          </w:p>
        </w:tc>
        <w:tc>
          <w:tcPr>
            <w:tcW w:w="556" w:type="pct"/>
            <w:tcBorders>
              <w:top w:val="single" w:sz="4" w:space="0" w:color="auto"/>
              <w:left w:val="nil"/>
              <w:bottom w:val="nil"/>
              <w:right w:val="nil"/>
            </w:tcBorders>
            <w:shd w:val="clear" w:color="auto" w:fill="auto"/>
            <w:noWrap/>
            <w:vAlign w:val="center"/>
            <w:hideMark/>
          </w:tcPr>
          <w:p w14:paraId="2C75C050"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Rozdiel</w:t>
            </w:r>
          </w:p>
        </w:tc>
      </w:tr>
      <w:tr w:rsidR="004D69BF" w:rsidRPr="00D0395E" w14:paraId="6770026D" w14:textId="77777777" w:rsidTr="00685F68">
        <w:trPr>
          <w:trHeight w:val="46"/>
          <w:tblHeader/>
        </w:trPr>
        <w:tc>
          <w:tcPr>
            <w:tcW w:w="2221" w:type="pct"/>
            <w:vMerge/>
            <w:tcBorders>
              <w:top w:val="nil"/>
              <w:left w:val="nil"/>
              <w:bottom w:val="single" w:sz="4" w:space="0" w:color="auto"/>
              <w:right w:val="nil"/>
            </w:tcBorders>
            <w:vAlign w:val="center"/>
            <w:hideMark/>
          </w:tcPr>
          <w:p w14:paraId="38444393" w14:textId="77777777" w:rsidR="004D69BF" w:rsidRPr="00D0395E" w:rsidRDefault="004D69BF" w:rsidP="000240DA">
            <w:pPr>
              <w:spacing w:after="0" w:line="240" w:lineRule="auto"/>
              <w:jc w:val="left"/>
              <w:rPr>
                <w:rFonts w:eastAsia="Times New Roman" w:cs="Times New Roman"/>
                <w:b/>
                <w:bCs/>
                <w:color w:val="000000"/>
                <w:sz w:val="18"/>
                <w:szCs w:val="18"/>
                <w:lang w:eastAsia="sk-SK"/>
              </w:rPr>
            </w:pPr>
          </w:p>
        </w:tc>
        <w:tc>
          <w:tcPr>
            <w:tcW w:w="556" w:type="pct"/>
            <w:tcBorders>
              <w:top w:val="nil"/>
              <w:left w:val="nil"/>
              <w:bottom w:val="single" w:sz="4" w:space="0" w:color="auto"/>
              <w:right w:val="nil"/>
            </w:tcBorders>
            <w:shd w:val="clear" w:color="auto" w:fill="auto"/>
            <w:noWrap/>
            <w:vAlign w:val="center"/>
            <w:hideMark/>
          </w:tcPr>
          <w:p w14:paraId="2DE141D5"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w:t>
            </w:r>
          </w:p>
        </w:tc>
        <w:tc>
          <w:tcPr>
            <w:tcW w:w="555" w:type="pct"/>
            <w:tcBorders>
              <w:top w:val="nil"/>
              <w:left w:val="nil"/>
              <w:bottom w:val="single" w:sz="4" w:space="0" w:color="auto"/>
              <w:right w:val="nil"/>
            </w:tcBorders>
            <w:shd w:val="clear" w:color="auto" w:fill="auto"/>
            <w:noWrap/>
            <w:vAlign w:val="center"/>
            <w:hideMark/>
          </w:tcPr>
          <w:p w14:paraId="35A763A4"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w:t>
            </w:r>
          </w:p>
        </w:tc>
        <w:tc>
          <w:tcPr>
            <w:tcW w:w="556" w:type="pct"/>
            <w:tcBorders>
              <w:top w:val="nil"/>
              <w:left w:val="nil"/>
              <w:bottom w:val="single" w:sz="4" w:space="0" w:color="auto"/>
              <w:right w:val="nil"/>
            </w:tcBorders>
            <w:shd w:val="clear" w:color="auto" w:fill="auto"/>
            <w:noWrap/>
            <w:vAlign w:val="center"/>
            <w:hideMark/>
          </w:tcPr>
          <w:p w14:paraId="71A66D8E"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w:t>
            </w:r>
          </w:p>
        </w:tc>
        <w:tc>
          <w:tcPr>
            <w:tcW w:w="556" w:type="pct"/>
            <w:tcBorders>
              <w:top w:val="nil"/>
              <w:left w:val="nil"/>
              <w:bottom w:val="single" w:sz="4" w:space="0" w:color="auto"/>
              <w:right w:val="nil"/>
            </w:tcBorders>
            <w:shd w:val="clear" w:color="auto" w:fill="auto"/>
            <w:noWrap/>
            <w:vAlign w:val="center"/>
            <w:hideMark/>
          </w:tcPr>
          <w:p w14:paraId="18C5DEC5"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4</w:t>
            </w:r>
          </w:p>
        </w:tc>
        <w:tc>
          <w:tcPr>
            <w:tcW w:w="556" w:type="pct"/>
            <w:tcBorders>
              <w:top w:val="nil"/>
              <w:left w:val="nil"/>
              <w:bottom w:val="single" w:sz="4" w:space="0" w:color="auto"/>
              <w:right w:val="nil"/>
            </w:tcBorders>
            <w:shd w:val="clear" w:color="auto" w:fill="auto"/>
            <w:noWrap/>
            <w:vAlign w:val="center"/>
            <w:hideMark/>
          </w:tcPr>
          <w:p w14:paraId="79FFDA8B"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5=4-3</w:t>
            </w:r>
          </w:p>
        </w:tc>
      </w:tr>
      <w:tr w:rsidR="004D69BF" w:rsidRPr="00D0395E" w14:paraId="2C5DF6C8" w14:textId="77777777" w:rsidTr="00A7279C">
        <w:trPr>
          <w:trHeight w:val="330"/>
        </w:trPr>
        <w:tc>
          <w:tcPr>
            <w:tcW w:w="2221" w:type="pct"/>
            <w:tcBorders>
              <w:top w:val="single" w:sz="4" w:space="0" w:color="auto"/>
              <w:left w:val="nil"/>
              <w:bottom w:val="nil"/>
              <w:right w:val="nil"/>
            </w:tcBorders>
            <w:shd w:val="clear" w:color="auto" w:fill="auto"/>
            <w:noWrap/>
            <w:vAlign w:val="center"/>
            <w:hideMark/>
          </w:tcPr>
          <w:p w14:paraId="4F19FA38"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Transfery v rámci verejnej správy</w:t>
            </w:r>
          </w:p>
        </w:tc>
        <w:tc>
          <w:tcPr>
            <w:tcW w:w="556" w:type="pct"/>
            <w:tcBorders>
              <w:top w:val="single" w:sz="4" w:space="0" w:color="auto"/>
              <w:left w:val="nil"/>
              <w:bottom w:val="nil"/>
              <w:right w:val="nil"/>
            </w:tcBorders>
            <w:shd w:val="clear" w:color="auto" w:fill="auto"/>
            <w:vAlign w:val="center"/>
            <w:hideMark/>
          </w:tcPr>
          <w:p w14:paraId="32A12264"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6 942 096</w:t>
            </w:r>
          </w:p>
        </w:tc>
        <w:tc>
          <w:tcPr>
            <w:tcW w:w="555" w:type="pct"/>
            <w:tcBorders>
              <w:top w:val="single" w:sz="4" w:space="0" w:color="auto"/>
              <w:left w:val="nil"/>
              <w:bottom w:val="nil"/>
              <w:right w:val="nil"/>
            </w:tcBorders>
            <w:shd w:val="clear" w:color="auto" w:fill="auto"/>
            <w:vAlign w:val="center"/>
            <w:hideMark/>
          </w:tcPr>
          <w:p w14:paraId="6AB12D51"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7 726 188</w:t>
            </w:r>
          </w:p>
        </w:tc>
        <w:tc>
          <w:tcPr>
            <w:tcW w:w="556" w:type="pct"/>
            <w:tcBorders>
              <w:top w:val="single" w:sz="4" w:space="0" w:color="auto"/>
              <w:left w:val="nil"/>
              <w:bottom w:val="nil"/>
              <w:right w:val="nil"/>
            </w:tcBorders>
            <w:shd w:val="clear" w:color="auto" w:fill="auto"/>
            <w:vAlign w:val="center"/>
            <w:hideMark/>
          </w:tcPr>
          <w:p w14:paraId="2A24783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8 031 226</w:t>
            </w:r>
          </w:p>
        </w:tc>
        <w:tc>
          <w:tcPr>
            <w:tcW w:w="556" w:type="pct"/>
            <w:tcBorders>
              <w:top w:val="single" w:sz="4" w:space="0" w:color="auto"/>
              <w:left w:val="nil"/>
              <w:bottom w:val="nil"/>
              <w:right w:val="nil"/>
            </w:tcBorders>
            <w:shd w:val="clear" w:color="auto" w:fill="auto"/>
            <w:vAlign w:val="center"/>
            <w:hideMark/>
          </w:tcPr>
          <w:p w14:paraId="542465C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9 923 665</w:t>
            </w:r>
          </w:p>
        </w:tc>
        <w:tc>
          <w:tcPr>
            <w:tcW w:w="556" w:type="pct"/>
            <w:tcBorders>
              <w:top w:val="single" w:sz="4" w:space="0" w:color="auto"/>
              <w:left w:val="nil"/>
              <w:bottom w:val="nil"/>
              <w:right w:val="nil"/>
            </w:tcBorders>
            <w:shd w:val="clear" w:color="auto" w:fill="auto"/>
            <w:vAlign w:val="center"/>
            <w:hideMark/>
          </w:tcPr>
          <w:p w14:paraId="1361DCBD"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1 892 439</w:t>
            </w:r>
          </w:p>
        </w:tc>
      </w:tr>
      <w:tr w:rsidR="004D69BF" w:rsidRPr="00D0395E" w14:paraId="55A9B895" w14:textId="77777777" w:rsidTr="00A7279C">
        <w:trPr>
          <w:trHeight w:val="330"/>
        </w:trPr>
        <w:tc>
          <w:tcPr>
            <w:tcW w:w="2221" w:type="pct"/>
            <w:tcBorders>
              <w:top w:val="nil"/>
              <w:left w:val="nil"/>
              <w:bottom w:val="nil"/>
              <w:right w:val="nil"/>
            </w:tcBorders>
            <w:shd w:val="clear" w:color="auto" w:fill="auto"/>
            <w:noWrap/>
            <w:vAlign w:val="center"/>
            <w:hideMark/>
          </w:tcPr>
          <w:p w14:paraId="2BD1325F"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z toho</w:t>
            </w:r>
          </w:p>
        </w:tc>
        <w:tc>
          <w:tcPr>
            <w:tcW w:w="556" w:type="pct"/>
            <w:tcBorders>
              <w:top w:val="nil"/>
              <w:left w:val="nil"/>
              <w:bottom w:val="nil"/>
              <w:right w:val="nil"/>
            </w:tcBorders>
            <w:shd w:val="clear" w:color="auto" w:fill="auto"/>
            <w:vAlign w:val="center"/>
            <w:hideMark/>
          </w:tcPr>
          <w:p w14:paraId="13862694" w14:textId="77777777" w:rsidR="004D69BF" w:rsidRPr="00D0395E" w:rsidRDefault="004D69BF" w:rsidP="000240DA">
            <w:pPr>
              <w:spacing w:after="0" w:line="240" w:lineRule="auto"/>
              <w:jc w:val="left"/>
              <w:rPr>
                <w:rFonts w:eastAsia="Times New Roman" w:cs="Times New Roman"/>
                <w:color w:val="000000"/>
                <w:sz w:val="18"/>
                <w:szCs w:val="18"/>
                <w:lang w:eastAsia="sk-SK"/>
              </w:rPr>
            </w:pPr>
          </w:p>
        </w:tc>
        <w:tc>
          <w:tcPr>
            <w:tcW w:w="555" w:type="pct"/>
            <w:tcBorders>
              <w:top w:val="nil"/>
              <w:left w:val="nil"/>
              <w:bottom w:val="nil"/>
              <w:right w:val="nil"/>
            </w:tcBorders>
            <w:shd w:val="clear" w:color="auto" w:fill="auto"/>
            <w:vAlign w:val="center"/>
            <w:hideMark/>
          </w:tcPr>
          <w:p w14:paraId="1C82BADC" w14:textId="77777777" w:rsidR="004D69BF" w:rsidRPr="00D0395E" w:rsidRDefault="004D69BF" w:rsidP="000240DA">
            <w:pPr>
              <w:spacing w:after="0" w:line="240" w:lineRule="auto"/>
              <w:jc w:val="right"/>
              <w:rPr>
                <w:rFonts w:eastAsia="Times New Roman" w:cs="Times New Roman"/>
                <w:sz w:val="18"/>
                <w:szCs w:val="18"/>
                <w:lang w:eastAsia="sk-SK"/>
              </w:rPr>
            </w:pPr>
          </w:p>
        </w:tc>
        <w:tc>
          <w:tcPr>
            <w:tcW w:w="556" w:type="pct"/>
            <w:tcBorders>
              <w:top w:val="nil"/>
              <w:left w:val="nil"/>
              <w:bottom w:val="nil"/>
              <w:right w:val="nil"/>
            </w:tcBorders>
            <w:shd w:val="clear" w:color="auto" w:fill="auto"/>
            <w:vAlign w:val="center"/>
            <w:hideMark/>
          </w:tcPr>
          <w:p w14:paraId="5E473B26" w14:textId="77777777" w:rsidR="004D69BF" w:rsidRPr="00D0395E" w:rsidRDefault="004D69BF" w:rsidP="000240DA">
            <w:pPr>
              <w:spacing w:after="0" w:line="240" w:lineRule="auto"/>
              <w:jc w:val="right"/>
              <w:rPr>
                <w:rFonts w:eastAsia="Times New Roman" w:cs="Times New Roman"/>
                <w:sz w:val="18"/>
                <w:szCs w:val="18"/>
                <w:lang w:eastAsia="sk-SK"/>
              </w:rPr>
            </w:pPr>
          </w:p>
        </w:tc>
        <w:tc>
          <w:tcPr>
            <w:tcW w:w="556" w:type="pct"/>
            <w:tcBorders>
              <w:top w:val="nil"/>
              <w:left w:val="nil"/>
              <w:bottom w:val="nil"/>
              <w:right w:val="nil"/>
            </w:tcBorders>
            <w:shd w:val="clear" w:color="auto" w:fill="auto"/>
            <w:vAlign w:val="center"/>
            <w:hideMark/>
          </w:tcPr>
          <w:p w14:paraId="6DB5079B" w14:textId="77777777" w:rsidR="004D69BF" w:rsidRPr="00D0395E" w:rsidRDefault="004D69BF" w:rsidP="000240DA">
            <w:pPr>
              <w:spacing w:after="0" w:line="240" w:lineRule="auto"/>
              <w:jc w:val="right"/>
              <w:rPr>
                <w:rFonts w:eastAsia="Times New Roman" w:cs="Times New Roman"/>
                <w:sz w:val="18"/>
                <w:szCs w:val="18"/>
                <w:lang w:eastAsia="sk-SK"/>
              </w:rPr>
            </w:pPr>
          </w:p>
        </w:tc>
        <w:tc>
          <w:tcPr>
            <w:tcW w:w="556" w:type="pct"/>
            <w:tcBorders>
              <w:top w:val="nil"/>
              <w:left w:val="nil"/>
              <w:bottom w:val="nil"/>
              <w:right w:val="nil"/>
            </w:tcBorders>
            <w:shd w:val="clear" w:color="auto" w:fill="auto"/>
            <w:vAlign w:val="center"/>
            <w:hideMark/>
          </w:tcPr>
          <w:p w14:paraId="54F1A73D" w14:textId="77777777" w:rsidR="004D69BF" w:rsidRPr="00D0395E" w:rsidRDefault="004D69BF" w:rsidP="000240DA">
            <w:pPr>
              <w:spacing w:after="0" w:line="240" w:lineRule="auto"/>
              <w:jc w:val="right"/>
              <w:rPr>
                <w:rFonts w:eastAsia="Times New Roman" w:cs="Times New Roman"/>
                <w:color w:val="000000"/>
                <w:sz w:val="18"/>
                <w:szCs w:val="18"/>
                <w:lang w:eastAsia="sk-SK"/>
              </w:rPr>
            </w:pPr>
          </w:p>
        </w:tc>
      </w:tr>
      <w:tr w:rsidR="004D69BF" w:rsidRPr="00D0395E" w14:paraId="3F5F61C8" w14:textId="77777777" w:rsidTr="00A7279C">
        <w:trPr>
          <w:trHeight w:val="330"/>
        </w:trPr>
        <w:tc>
          <w:tcPr>
            <w:tcW w:w="2221" w:type="pct"/>
            <w:tcBorders>
              <w:top w:val="nil"/>
              <w:left w:val="nil"/>
              <w:bottom w:val="nil"/>
              <w:right w:val="nil"/>
            </w:tcBorders>
            <w:shd w:val="clear" w:color="auto" w:fill="auto"/>
            <w:noWrap/>
            <w:vAlign w:val="center"/>
            <w:hideMark/>
          </w:tcPr>
          <w:p w14:paraId="6B1B1BC5"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Sociálnej poisťovni</w:t>
            </w:r>
          </w:p>
        </w:tc>
        <w:tc>
          <w:tcPr>
            <w:tcW w:w="556" w:type="pct"/>
            <w:tcBorders>
              <w:top w:val="nil"/>
              <w:left w:val="nil"/>
              <w:bottom w:val="nil"/>
              <w:right w:val="nil"/>
            </w:tcBorders>
            <w:shd w:val="clear" w:color="auto" w:fill="auto"/>
            <w:vAlign w:val="center"/>
            <w:hideMark/>
          </w:tcPr>
          <w:p w14:paraId="0A054723"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107 734</w:t>
            </w:r>
          </w:p>
        </w:tc>
        <w:tc>
          <w:tcPr>
            <w:tcW w:w="555" w:type="pct"/>
            <w:tcBorders>
              <w:top w:val="nil"/>
              <w:left w:val="nil"/>
              <w:bottom w:val="nil"/>
              <w:right w:val="nil"/>
            </w:tcBorders>
            <w:shd w:val="clear" w:color="auto" w:fill="auto"/>
            <w:vAlign w:val="center"/>
            <w:hideMark/>
          </w:tcPr>
          <w:p w14:paraId="0786B2DB"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1 172 509</w:t>
            </w:r>
          </w:p>
        </w:tc>
        <w:tc>
          <w:tcPr>
            <w:tcW w:w="556" w:type="pct"/>
            <w:tcBorders>
              <w:top w:val="nil"/>
              <w:left w:val="nil"/>
              <w:bottom w:val="nil"/>
              <w:right w:val="nil"/>
            </w:tcBorders>
            <w:shd w:val="clear" w:color="auto" w:fill="auto"/>
            <w:vAlign w:val="center"/>
            <w:hideMark/>
          </w:tcPr>
          <w:p w14:paraId="55882452"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1 600 000</w:t>
            </w:r>
          </w:p>
        </w:tc>
        <w:tc>
          <w:tcPr>
            <w:tcW w:w="556" w:type="pct"/>
            <w:tcBorders>
              <w:top w:val="nil"/>
              <w:left w:val="nil"/>
              <w:bottom w:val="nil"/>
              <w:right w:val="nil"/>
            </w:tcBorders>
            <w:shd w:val="clear" w:color="auto" w:fill="auto"/>
            <w:vAlign w:val="center"/>
            <w:hideMark/>
          </w:tcPr>
          <w:p w14:paraId="62E6306F"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2 744 462</w:t>
            </w:r>
          </w:p>
        </w:tc>
        <w:tc>
          <w:tcPr>
            <w:tcW w:w="556" w:type="pct"/>
            <w:tcBorders>
              <w:top w:val="nil"/>
              <w:left w:val="nil"/>
              <w:bottom w:val="nil"/>
              <w:right w:val="nil"/>
            </w:tcBorders>
            <w:shd w:val="clear" w:color="auto" w:fill="auto"/>
            <w:vAlign w:val="center"/>
            <w:hideMark/>
          </w:tcPr>
          <w:p w14:paraId="33DCF994"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1 144 392</w:t>
            </w:r>
          </w:p>
        </w:tc>
      </w:tr>
      <w:tr w:rsidR="004D69BF" w:rsidRPr="00D0395E" w14:paraId="2CCD68BA" w14:textId="77777777" w:rsidTr="00A7279C">
        <w:trPr>
          <w:trHeight w:val="330"/>
        </w:trPr>
        <w:tc>
          <w:tcPr>
            <w:tcW w:w="2221" w:type="pct"/>
            <w:tcBorders>
              <w:top w:val="nil"/>
              <w:left w:val="nil"/>
              <w:bottom w:val="nil"/>
              <w:right w:val="nil"/>
            </w:tcBorders>
            <w:shd w:val="clear" w:color="auto" w:fill="auto"/>
            <w:noWrap/>
            <w:vAlign w:val="center"/>
            <w:hideMark/>
          </w:tcPr>
          <w:p w14:paraId="49370647"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rozpočtovej organizácii</w:t>
            </w:r>
          </w:p>
        </w:tc>
        <w:tc>
          <w:tcPr>
            <w:tcW w:w="556" w:type="pct"/>
            <w:tcBorders>
              <w:top w:val="nil"/>
              <w:left w:val="nil"/>
              <w:bottom w:val="nil"/>
              <w:right w:val="nil"/>
            </w:tcBorders>
            <w:shd w:val="clear" w:color="auto" w:fill="auto"/>
            <w:vAlign w:val="center"/>
            <w:hideMark/>
          </w:tcPr>
          <w:p w14:paraId="5EF8BCB7"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2 043 238</w:t>
            </w:r>
          </w:p>
        </w:tc>
        <w:tc>
          <w:tcPr>
            <w:tcW w:w="555" w:type="pct"/>
            <w:tcBorders>
              <w:top w:val="nil"/>
              <w:left w:val="nil"/>
              <w:bottom w:val="nil"/>
              <w:right w:val="nil"/>
            </w:tcBorders>
            <w:shd w:val="clear" w:color="auto" w:fill="auto"/>
            <w:vAlign w:val="center"/>
            <w:hideMark/>
          </w:tcPr>
          <w:p w14:paraId="076C9A0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1 176 278</w:t>
            </w:r>
          </w:p>
        </w:tc>
        <w:tc>
          <w:tcPr>
            <w:tcW w:w="556" w:type="pct"/>
            <w:tcBorders>
              <w:top w:val="nil"/>
              <w:left w:val="nil"/>
              <w:bottom w:val="nil"/>
              <w:right w:val="nil"/>
            </w:tcBorders>
            <w:shd w:val="clear" w:color="auto" w:fill="auto"/>
            <w:vAlign w:val="center"/>
            <w:hideMark/>
          </w:tcPr>
          <w:p w14:paraId="6C5E3823"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1 418 616</w:t>
            </w:r>
          </w:p>
        </w:tc>
        <w:tc>
          <w:tcPr>
            <w:tcW w:w="556" w:type="pct"/>
            <w:tcBorders>
              <w:top w:val="nil"/>
              <w:left w:val="nil"/>
              <w:bottom w:val="nil"/>
              <w:right w:val="nil"/>
            </w:tcBorders>
            <w:shd w:val="clear" w:color="auto" w:fill="auto"/>
            <w:vAlign w:val="center"/>
            <w:hideMark/>
          </w:tcPr>
          <w:p w14:paraId="759C93FE"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1 309 488</w:t>
            </w:r>
          </w:p>
        </w:tc>
        <w:tc>
          <w:tcPr>
            <w:tcW w:w="556" w:type="pct"/>
            <w:tcBorders>
              <w:top w:val="nil"/>
              <w:left w:val="nil"/>
              <w:bottom w:val="nil"/>
              <w:right w:val="nil"/>
            </w:tcBorders>
            <w:shd w:val="clear" w:color="auto" w:fill="auto"/>
            <w:vAlign w:val="center"/>
            <w:hideMark/>
          </w:tcPr>
          <w:p w14:paraId="12E66C17"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-109 128</w:t>
            </w:r>
          </w:p>
        </w:tc>
      </w:tr>
      <w:tr w:rsidR="004D69BF" w:rsidRPr="00D0395E" w14:paraId="57627DB2" w14:textId="77777777" w:rsidTr="00A7279C">
        <w:trPr>
          <w:trHeight w:val="330"/>
        </w:trPr>
        <w:tc>
          <w:tcPr>
            <w:tcW w:w="2221" w:type="pct"/>
            <w:tcBorders>
              <w:top w:val="nil"/>
              <w:left w:val="nil"/>
              <w:bottom w:val="nil"/>
              <w:right w:val="nil"/>
            </w:tcBorders>
            <w:shd w:val="clear" w:color="auto" w:fill="auto"/>
            <w:noWrap/>
            <w:vAlign w:val="center"/>
            <w:hideMark/>
          </w:tcPr>
          <w:p w14:paraId="5F376E27"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obci </w:t>
            </w:r>
          </w:p>
        </w:tc>
        <w:tc>
          <w:tcPr>
            <w:tcW w:w="556" w:type="pct"/>
            <w:tcBorders>
              <w:top w:val="nil"/>
              <w:left w:val="nil"/>
              <w:bottom w:val="nil"/>
              <w:right w:val="nil"/>
            </w:tcBorders>
            <w:shd w:val="clear" w:color="auto" w:fill="auto"/>
            <w:vAlign w:val="center"/>
            <w:hideMark/>
          </w:tcPr>
          <w:p w14:paraId="6C89AC0D"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1 485 099</w:t>
            </w:r>
          </w:p>
        </w:tc>
        <w:tc>
          <w:tcPr>
            <w:tcW w:w="555" w:type="pct"/>
            <w:tcBorders>
              <w:top w:val="nil"/>
              <w:left w:val="nil"/>
              <w:bottom w:val="nil"/>
              <w:right w:val="nil"/>
            </w:tcBorders>
            <w:shd w:val="clear" w:color="auto" w:fill="auto"/>
            <w:vAlign w:val="center"/>
            <w:hideMark/>
          </w:tcPr>
          <w:p w14:paraId="789A5F69"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2 042 605</w:t>
            </w:r>
          </w:p>
        </w:tc>
        <w:tc>
          <w:tcPr>
            <w:tcW w:w="556" w:type="pct"/>
            <w:tcBorders>
              <w:top w:val="nil"/>
              <w:left w:val="nil"/>
              <w:bottom w:val="nil"/>
              <w:right w:val="nil"/>
            </w:tcBorders>
            <w:shd w:val="clear" w:color="auto" w:fill="auto"/>
            <w:vAlign w:val="center"/>
            <w:hideMark/>
          </w:tcPr>
          <w:p w14:paraId="554B468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1 887 797</w:t>
            </w:r>
          </w:p>
        </w:tc>
        <w:tc>
          <w:tcPr>
            <w:tcW w:w="556" w:type="pct"/>
            <w:tcBorders>
              <w:top w:val="nil"/>
              <w:left w:val="nil"/>
              <w:bottom w:val="nil"/>
              <w:right w:val="nil"/>
            </w:tcBorders>
            <w:shd w:val="clear" w:color="auto" w:fill="auto"/>
            <w:vAlign w:val="center"/>
            <w:hideMark/>
          </w:tcPr>
          <w:p w14:paraId="43DDFEA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2 100 571</w:t>
            </w:r>
          </w:p>
        </w:tc>
        <w:tc>
          <w:tcPr>
            <w:tcW w:w="556" w:type="pct"/>
            <w:tcBorders>
              <w:top w:val="nil"/>
              <w:left w:val="nil"/>
              <w:bottom w:val="nil"/>
              <w:right w:val="nil"/>
            </w:tcBorders>
            <w:shd w:val="clear" w:color="auto" w:fill="auto"/>
            <w:vAlign w:val="center"/>
            <w:hideMark/>
          </w:tcPr>
          <w:p w14:paraId="367F9421"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212 774</w:t>
            </w:r>
          </w:p>
        </w:tc>
      </w:tr>
      <w:tr w:rsidR="004D69BF" w:rsidRPr="00D0395E" w14:paraId="628415FA" w14:textId="77777777" w:rsidTr="00A7279C">
        <w:trPr>
          <w:trHeight w:val="330"/>
        </w:trPr>
        <w:tc>
          <w:tcPr>
            <w:tcW w:w="2221" w:type="pct"/>
            <w:tcBorders>
              <w:top w:val="nil"/>
              <w:left w:val="nil"/>
              <w:bottom w:val="nil"/>
              <w:right w:val="nil"/>
            </w:tcBorders>
            <w:shd w:val="clear" w:color="auto" w:fill="auto"/>
            <w:noWrap/>
            <w:vAlign w:val="center"/>
            <w:hideMark/>
          </w:tcPr>
          <w:p w14:paraId="787CE8FB"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z toho </w:t>
            </w:r>
          </w:p>
        </w:tc>
        <w:tc>
          <w:tcPr>
            <w:tcW w:w="556" w:type="pct"/>
            <w:tcBorders>
              <w:top w:val="nil"/>
              <w:left w:val="nil"/>
              <w:bottom w:val="nil"/>
              <w:right w:val="nil"/>
            </w:tcBorders>
            <w:shd w:val="clear" w:color="auto" w:fill="auto"/>
            <w:vAlign w:val="center"/>
            <w:hideMark/>
          </w:tcPr>
          <w:p w14:paraId="6B02E4C9" w14:textId="77777777" w:rsidR="004D69BF" w:rsidRPr="00D0395E" w:rsidRDefault="004D69BF" w:rsidP="000240DA">
            <w:pPr>
              <w:spacing w:after="0" w:line="240" w:lineRule="auto"/>
              <w:jc w:val="left"/>
              <w:rPr>
                <w:rFonts w:eastAsia="Times New Roman" w:cs="Times New Roman"/>
                <w:color w:val="000000"/>
                <w:sz w:val="18"/>
                <w:szCs w:val="18"/>
                <w:lang w:eastAsia="sk-SK"/>
              </w:rPr>
            </w:pPr>
          </w:p>
        </w:tc>
        <w:tc>
          <w:tcPr>
            <w:tcW w:w="555" w:type="pct"/>
            <w:tcBorders>
              <w:top w:val="nil"/>
              <w:left w:val="nil"/>
              <w:bottom w:val="nil"/>
              <w:right w:val="nil"/>
            </w:tcBorders>
            <w:shd w:val="clear" w:color="auto" w:fill="auto"/>
            <w:vAlign w:val="center"/>
            <w:hideMark/>
          </w:tcPr>
          <w:p w14:paraId="690FD9BE" w14:textId="77777777" w:rsidR="004D69BF" w:rsidRPr="00D0395E" w:rsidRDefault="004D69BF" w:rsidP="000240DA">
            <w:pPr>
              <w:spacing w:after="0" w:line="240" w:lineRule="auto"/>
              <w:jc w:val="right"/>
              <w:rPr>
                <w:rFonts w:eastAsia="Times New Roman" w:cs="Times New Roman"/>
                <w:sz w:val="18"/>
                <w:szCs w:val="18"/>
                <w:lang w:eastAsia="sk-SK"/>
              </w:rPr>
            </w:pPr>
          </w:p>
        </w:tc>
        <w:tc>
          <w:tcPr>
            <w:tcW w:w="556" w:type="pct"/>
            <w:tcBorders>
              <w:top w:val="nil"/>
              <w:left w:val="nil"/>
              <w:bottom w:val="nil"/>
              <w:right w:val="nil"/>
            </w:tcBorders>
            <w:shd w:val="clear" w:color="auto" w:fill="auto"/>
            <w:vAlign w:val="center"/>
            <w:hideMark/>
          </w:tcPr>
          <w:p w14:paraId="20214F6D" w14:textId="77777777" w:rsidR="004D69BF" w:rsidRPr="00D0395E" w:rsidRDefault="004D69BF" w:rsidP="000240DA">
            <w:pPr>
              <w:spacing w:after="0" w:line="240" w:lineRule="auto"/>
              <w:jc w:val="right"/>
              <w:rPr>
                <w:rFonts w:eastAsia="Times New Roman" w:cs="Times New Roman"/>
                <w:sz w:val="18"/>
                <w:szCs w:val="18"/>
                <w:lang w:eastAsia="sk-SK"/>
              </w:rPr>
            </w:pPr>
          </w:p>
        </w:tc>
        <w:tc>
          <w:tcPr>
            <w:tcW w:w="556" w:type="pct"/>
            <w:tcBorders>
              <w:top w:val="nil"/>
              <w:left w:val="nil"/>
              <w:bottom w:val="nil"/>
              <w:right w:val="nil"/>
            </w:tcBorders>
            <w:shd w:val="clear" w:color="auto" w:fill="auto"/>
            <w:vAlign w:val="center"/>
            <w:hideMark/>
          </w:tcPr>
          <w:p w14:paraId="38F0D6AC" w14:textId="77777777" w:rsidR="004D69BF" w:rsidRPr="00D0395E" w:rsidRDefault="004D69BF" w:rsidP="000240DA">
            <w:pPr>
              <w:spacing w:after="0" w:line="240" w:lineRule="auto"/>
              <w:jc w:val="right"/>
              <w:rPr>
                <w:rFonts w:eastAsia="Times New Roman" w:cs="Times New Roman"/>
                <w:sz w:val="18"/>
                <w:szCs w:val="18"/>
                <w:lang w:eastAsia="sk-SK"/>
              </w:rPr>
            </w:pPr>
          </w:p>
        </w:tc>
        <w:tc>
          <w:tcPr>
            <w:tcW w:w="556" w:type="pct"/>
            <w:tcBorders>
              <w:top w:val="nil"/>
              <w:left w:val="nil"/>
              <w:bottom w:val="nil"/>
              <w:right w:val="nil"/>
            </w:tcBorders>
            <w:shd w:val="clear" w:color="auto" w:fill="auto"/>
            <w:vAlign w:val="center"/>
            <w:hideMark/>
          </w:tcPr>
          <w:p w14:paraId="0A6868AB" w14:textId="77777777" w:rsidR="004D69BF" w:rsidRPr="00D0395E" w:rsidRDefault="004D69BF" w:rsidP="000240DA">
            <w:pPr>
              <w:spacing w:after="0" w:line="240" w:lineRule="auto"/>
              <w:jc w:val="right"/>
              <w:rPr>
                <w:rFonts w:eastAsia="Times New Roman" w:cs="Times New Roman"/>
                <w:color w:val="000000"/>
                <w:sz w:val="18"/>
                <w:szCs w:val="18"/>
                <w:lang w:eastAsia="sk-SK"/>
              </w:rPr>
            </w:pPr>
          </w:p>
        </w:tc>
      </w:tr>
      <w:tr w:rsidR="004D69BF" w:rsidRPr="00D0395E" w14:paraId="6E01DFBF" w14:textId="77777777" w:rsidTr="00A7279C">
        <w:trPr>
          <w:trHeight w:val="330"/>
        </w:trPr>
        <w:tc>
          <w:tcPr>
            <w:tcW w:w="2221" w:type="pct"/>
            <w:tcBorders>
              <w:top w:val="nil"/>
              <w:left w:val="nil"/>
              <w:bottom w:val="nil"/>
              <w:right w:val="nil"/>
            </w:tcBorders>
            <w:shd w:val="clear" w:color="auto" w:fill="auto"/>
            <w:noWrap/>
            <w:vAlign w:val="center"/>
            <w:hideMark/>
          </w:tcPr>
          <w:p w14:paraId="34CCD283" w14:textId="77777777" w:rsidR="00A7279C" w:rsidRDefault="004D69BF" w:rsidP="000240DA">
            <w:pPr>
              <w:spacing w:after="0" w:line="240" w:lineRule="auto"/>
              <w:ind w:left="357" w:hanging="357"/>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na úhradu nákladov preneseného výkonu </w:t>
            </w:r>
          </w:p>
          <w:p w14:paraId="004BF7F5" w14:textId="6134772D" w:rsidR="004D69BF" w:rsidRPr="00D0395E" w:rsidRDefault="004D69BF" w:rsidP="00A7279C">
            <w:pPr>
              <w:spacing w:after="0" w:line="240" w:lineRule="auto"/>
              <w:ind w:left="357"/>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štátnej správy</w:t>
            </w:r>
          </w:p>
        </w:tc>
        <w:tc>
          <w:tcPr>
            <w:tcW w:w="556" w:type="pct"/>
            <w:tcBorders>
              <w:top w:val="nil"/>
              <w:left w:val="nil"/>
              <w:bottom w:val="nil"/>
              <w:right w:val="nil"/>
            </w:tcBorders>
            <w:shd w:val="clear" w:color="auto" w:fill="auto"/>
            <w:vAlign w:val="center"/>
            <w:hideMark/>
          </w:tcPr>
          <w:p w14:paraId="7D742733"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1 270 357</w:t>
            </w:r>
          </w:p>
        </w:tc>
        <w:tc>
          <w:tcPr>
            <w:tcW w:w="555" w:type="pct"/>
            <w:tcBorders>
              <w:top w:val="nil"/>
              <w:left w:val="nil"/>
              <w:bottom w:val="nil"/>
              <w:right w:val="nil"/>
            </w:tcBorders>
            <w:shd w:val="clear" w:color="auto" w:fill="auto"/>
            <w:vAlign w:val="center"/>
            <w:hideMark/>
          </w:tcPr>
          <w:p w14:paraId="6C10CE61"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1 450 171</w:t>
            </w:r>
          </w:p>
        </w:tc>
        <w:tc>
          <w:tcPr>
            <w:tcW w:w="556" w:type="pct"/>
            <w:tcBorders>
              <w:top w:val="nil"/>
              <w:left w:val="nil"/>
              <w:bottom w:val="nil"/>
              <w:right w:val="nil"/>
            </w:tcBorders>
            <w:shd w:val="clear" w:color="auto" w:fill="auto"/>
            <w:vAlign w:val="center"/>
            <w:hideMark/>
          </w:tcPr>
          <w:p w14:paraId="5BCA5B6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1 611 068</w:t>
            </w:r>
          </w:p>
        </w:tc>
        <w:tc>
          <w:tcPr>
            <w:tcW w:w="556" w:type="pct"/>
            <w:tcBorders>
              <w:top w:val="nil"/>
              <w:left w:val="nil"/>
              <w:bottom w:val="nil"/>
              <w:right w:val="nil"/>
            </w:tcBorders>
            <w:shd w:val="clear" w:color="auto" w:fill="auto"/>
            <w:vAlign w:val="center"/>
            <w:hideMark/>
          </w:tcPr>
          <w:p w14:paraId="7D210AC7"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1 612 589</w:t>
            </w:r>
          </w:p>
        </w:tc>
        <w:tc>
          <w:tcPr>
            <w:tcW w:w="556" w:type="pct"/>
            <w:tcBorders>
              <w:top w:val="nil"/>
              <w:left w:val="nil"/>
              <w:bottom w:val="nil"/>
              <w:right w:val="nil"/>
            </w:tcBorders>
            <w:shd w:val="clear" w:color="auto" w:fill="auto"/>
            <w:vAlign w:val="center"/>
            <w:hideMark/>
          </w:tcPr>
          <w:p w14:paraId="77A7735E"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1 521</w:t>
            </w:r>
          </w:p>
        </w:tc>
      </w:tr>
      <w:tr w:rsidR="004D69BF" w:rsidRPr="00D0395E" w14:paraId="1E1D2648" w14:textId="77777777" w:rsidTr="00A7279C">
        <w:trPr>
          <w:trHeight w:val="330"/>
        </w:trPr>
        <w:tc>
          <w:tcPr>
            <w:tcW w:w="2221" w:type="pct"/>
            <w:tcBorders>
              <w:top w:val="nil"/>
              <w:left w:val="nil"/>
              <w:bottom w:val="nil"/>
              <w:right w:val="nil"/>
            </w:tcBorders>
            <w:shd w:val="clear" w:color="auto" w:fill="auto"/>
            <w:noWrap/>
            <w:vAlign w:val="center"/>
            <w:hideMark/>
          </w:tcPr>
          <w:p w14:paraId="58F1934D"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VÚC</w:t>
            </w:r>
          </w:p>
        </w:tc>
        <w:tc>
          <w:tcPr>
            <w:tcW w:w="556" w:type="pct"/>
            <w:tcBorders>
              <w:top w:val="nil"/>
              <w:left w:val="nil"/>
              <w:bottom w:val="nil"/>
              <w:right w:val="nil"/>
            </w:tcBorders>
            <w:shd w:val="clear" w:color="auto" w:fill="auto"/>
            <w:vAlign w:val="center"/>
            <w:hideMark/>
          </w:tcPr>
          <w:p w14:paraId="46ACE6FC"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578 645</w:t>
            </w:r>
          </w:p>
        </w:tc>
        <w:tc>
          <w:tcPr>
            <w:tcW w:w="555" w:type="pct"/>
            <w:tcBorders>
              <w:top w:val="nil"/>
              <w:left w:val="nil"/>
              <w:bottom w:val="nil"/>
              <w:right w:val="nil"/>
            </w:tcBorders>
            <w:shd w:val="clear" w:color="auto" w:fill="auto"/>
            <w:vAlign w:val="center"/>
            <w:hideMark/>
          </w:tcPr>
          <w:p w14:paraId="72262E9B"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703 903</w:t>
            </w:r>
          </w:p>
        </w:tc>
        <w:tc>
          <w:tcPr>
            <w:tcW w:w="556" w:type="pct"/>
            <w:tcBorders>
              <w:top w:val="nil"/>
              <w:left w:val="nil"/>
              <w:bottom w:val="nil"/>
              <w:right w:val="nil"/>
            </w:tcBorders>
            <w:shd w:val="clear" w:color="auto" w:fill="auto"/>
            <w:vAlign w:val="center"/>
            <w:hideMark/>
          </w:tcPr>
          <w:p w14:paraId="3DD6E113"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681 388</w:t>
            </w:r>
          </w:p>
        </w:tc>
        <w:tc>
          <w:tcPr>
            <w:tcW w:w="556" w:type="pct"/>
            <w:tcBorders>
              <w:top w:val="nil"/>
              <w:left w:val="nil"/>
              <w:bottom w:val="nil"/>
              <w:right w:val="nil"/>
            </w:tcBorders>
            <w:shd w:val="clear" w:color="auto" w:fill="auto"/>
            <w:vAlign w:val="center"/>
            <w:hideMark/>
          </w:tcPr>
          <w:p w14:paraId="77857DF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698 518</w:t>
            </w:r>
          </w:p>
        </w:tc>
        <w:tc>
          <w:tcPr>
            <w:tcW w:w="556" w:type="pct"/>
            <w:tcBorders>
              <w:top w:val="nil"/>
              <w:left w:val="nil"/>
              <w:bottom w:val="nil"/>
              <w:right w:val="nil"/>
            </w:tcBorders>
            <w:shd w:val="clear" w:color="auto" w:fill="auto"/>
            <w:vAlign w:val="center"/>
            <w:hideMark/>
          </w:tcPr>
          <w:p w14:paraId="573EC51F"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17 130</w:t>
            </w:r>
          </w:p>
        </w:tc>
      </w:tr>
      <w:tr w:rsidR="004D69BF" w:rsidRPr="00D0395E" w14:paraId="39B0E0AB" w14:textId="77777777" w:rsidTr="00A7279C">
        <w:trPr>
          <w:trHeight w:val="330"/>
        </w:trPr>
        <w:tc>
          <w:tcPr>
            <w:tcW w:w="2221" w:type="pct"/>
            <w:tcBorders>
              <w:top w:val="nil"/>
              <w:left w:val="nil"/>
              <w:bottom w:val="nil"/>
              <w:right w:val="nil"/>
            </w:tcBorders>
            <w:shd w:val="clear" w:color="auto" w:fill="auto"/>
            <w:noWrap/>
            <w:vAlign w:val="center"/>
            <w:hideMark/>
          </w:tcPr>
          <w:p w14:paraId="5F5260D6"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z toho </w:t>
            </w:r>
          </w:p>
        </w:tc>
        <w:tc>
          <w:tcPr>
            <w:tcW w:w="556" w:type="pct"/>
            <w:tcBorders>
              <w:top w:val="nil"/>
              <w:left w:val="nil"/>
              <w:bottom w:val="nil"/>
              <w:right w:val="nil"/>
            </w:tcBorders>
            <w:shd w:val="clear" w:color="auto" w:fill="auto"/>
            <w:vAlign w:val="center"/>
            <w:hideMark/>
          </w:tcPr>
          <w:p w14:paraId="7659D2EC" w14:textId="77777777" w:rsidR="004D69BF" w:rsidRPr="00D0395E" w:rsidRDefault="004D69BF" w:rsidP="000240DA">
            <w:pPr>
              <w:spacing w:after="0" w:line="240" w:lineRule="auto"/>
              <w:jc w:val="left"/>
              <w:rPr>
                <w:rFonts w:eastAsia="Times New Roman" w:cs="Times New Roman"/>
                <w:color w:val="000000"/>
                <w:sz w:val="18"/>
                <w:szCs w:val="18"/>
                <w:lang w:eastAsia="sk-SK"/>
              </w:rPr>
            </w:pPr>
          </w:p>
        </w:tc>
        <w:tc>
          <w:tcPr>
            <w:tcW w:w="555" w:type="pct"/>
            <w:tcBorders>
              <w:top w:val="nil"/>
              <w:left w:val="nil"/>
              <w:bottom w:val="nil"/>
              <w:right w:val="nil"/>
            </w:tcBorders>
            <w:shd w:val="clear" w:color="auto" w:fill="auto"/>
            <w:vAlign w:val="center"/>
            <w:hideMark/>
          </w:tcPr>
          <w:p w14:paraId="6EFD9820" w14:textId="77777777" w:rsidR="004D69BF" w:rsidRPr="00D0395E" w:rsidRDefault="004D69BF" w:rsidP="000240DA">
            <w:pPr>
              <w:spacing w:after="0" w:line="240" w:lineRule="auto"/>
              <w:jc w:val="right"/>
              <w:rPr>
                <w:rFonts w:eastAsia="Times New Roman" w:cs="Times New Roman"/>
                <w:sz w:val="18"/>
                <w:szCs w:val="18"/>
                <w:lang w:eastAsia="sk-SK"/>
              </w:rPr>
            </w:pPr>
          </w:p>
        </w:tc>
        <w:tc>
          <w:tcPr>
            <w:tcW w:w="556" w:type="pct"/>
            <w:tcBorders>
              <w:top w:val="nil"/>
              <w:left w:val="nil"/>
              <w:bottom w:val="nil"/>
              <w:right w:val="nil"/>
            </w:tcBorders>
            <w:shd w:val="clear" w:color="auto" w:fill="auto"/>
            <w:vAlign w:val="center"/>
            <w:hideMark/>
          </w:tcPr>
          <w:p w14:paraId="11C1EF26" w14:textId="77777777" w:rsidR="004D69BF" w:rsidRPr="00D0395E" w:rsidRDefault="004D69BF" w:rsidP="000240DA">
            <w:pPr>
              <w:spacing w:after="0" w:line="240" w:lineRule="auto"/>
              <w:jc w:val="right"/>
              <w:rPr>
                <w:rFonts w:eastAsia="Times New Roman" w:cs="Times New Roman"/>
                <w:sz w:val="18"/>
                <w:szCs w:val="18"/>
                <w:lang w:eastAsia="sk-SK"/>
              </w:rPr>
            </w:pPr>
          </w:p>
        </w:tc>
        <w:tc>
          <w:tcPr>
            <w:tcW w:w="556" w:type="pct"/>
            <w:tcBorders>
              <w:top w:val="nil"/>
              <w:left w:val="nil"/>
              <w:bottom w:val="nil"/>
              <w:right w:val="nil"/>
            </w:tcBorders>
            <w:shd w:val="clear" w:color="auto" w:fill="auto"/>
            <w:vAlign w:val="center"/>
            <w:hideMark/>
          </w:tcPr>
          <w:p w14:paraId="58005175" w14:textId="77777777" w:rsidR="004D69BF" w:rsidRPr="00D0395E" w:rsidRDefault="004D69BF" w:rsidP="000240DA">
            <w:pPr>
              <w:spacing w:after="0" w:line="240" w:lineRule="auto"/>
              <w:jc w:val="right"/>
              <w:rPr>
                <w:rFonts w:eastAsia="Times New Roman" w:cs="Times New Roman"/>
                <w:sz w:val="18"/>
                <w:szCs w:val="18"/>
                <w:lang w:eastAsia="sk-SK"/>
              </w:rPr>
            </w:pPr>
          </w:p>
        </w:tc>
        <w:tc>
          <w:tcPr>
            <w:tcW w:w="556" w:type="pct"/>
            <w:tcBorders>
              <w:top w:val="nil"/>
              <w:left w:val="nil"/>
              <w:bottom w:val="nil"/>
              <w:right w:val="nil"/>
            </w:tcBorders>
            <w:shd w:val="clear" w:color="auto" w:fill="auto"/>
            <w:vAlign w:val="center"/>
            <w:hideMark/>
          </w:tcPr>
          <w:p w14:paraId="1F41C860" w14:textId="77777777" w:rsidR="004D69BF" w:rsidRPr="00D0395E" w:rsidRDefault="004D69BF" w:rsidP="000240DA">
            <w:pPr>
              <w:spacing w:after="0" w:line="240" w:lineRule="auto"/>
              <w:jc w:val="right"/>
              <w:rPr>
                <w:rFonts w:eastAsia="Times New Roman" w:cs="Times New Roman"/>
                <w:color w:val="000000"/>
                <w:sz w:val="18"/>
                <w:szCs w:val="18"/>
                <w:lang w:eastAsia="sk-SK"/>
              </w:rPr>
            </w:pPr>
          </w:p>
        </w:tc>
      </w:tr>
      <w:tr w:rsidR="004D69BF" w:rsidRPr="00D0395E" w14:paraId="0138EF93" w14:textId="77777777" w:rsidTr="00A7279C">
        <w:trPr>
          <w:trHeight w:val="330"/>
        </w:trPr>
        <w:tc>
          <w:tcPr>
            <w:tcW w:w="2221" w:type="pct"/>
            <w:tcBorders>
              <w:top w:val="nil"/>
              <w:left w:val="nil"/>
              <w:bottom w:val="nil"/>
              <w:right w:val="nil"/>
            </w:tcBorders>
            <w:shd w:val="clear" w:color="auto" w:fill="auto"/>
            <w:noWrap/>
            <w:vAlign w:val="center"/>
            <w:hideMark/>
          </w:tcPr>
          <w:p w14:paraId="6E9A6CAA" w14:textId="77777777" w:rsidR="00A7279C" w:rsidRDefault="004D69BF" w:rsidP="000240DA">
            <w:pPr>
              <w:spacing w:after="0" w:line="240" w:lineRule="auto"/>
              <w:ind w:left="357" w:hanging="357"/>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lastRenderedPageBreak/>
              <w:t xml:space="preserve">       na úhradu nákladov preneseného výkonu </w:t>
            </w:r>
          </w:p>
          <w:p w14:paraId="51A7D923" w14:textId="3547B0DE" w:rsidR="004D69BF" w:rsidRPr="00D0395E" w:rsidRDefault="00A7279C" w:rsidP="00A7279C">
            <w:pPr>
              <w:spacing w:after="0" w:line="240" w:lineRule="auto"/>
              <w:ind w:left="357"/>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štátnej </w:t>
            </w:r>
            <w:r w:rsidR="004D69BF" w:rsidRPr="00D0395E">
              <w:rPr>
                <w:rFonts w:eastAsia="Times New Roman" w:cs="Times New Roman"/>
                <w:color w:val="000000"/>
                <w:sz w:val="18"/>
                <w:szCs w:val="18"/>
                <w:lang w:eastAsia="sk-SK"/>
              </w:rPr>
              <w:t>správy</w:t>
            </w:r>
          </w:p>
        </w:tc>
        <w:tc>
          <w:tcPr>
            <w:tcW w:w="556" w:type="pct"/>
            <w:tcBorders>
              <w:top w:val="nil"/>
              <w:left w:val="nil"/>
              <w:bottom w:val="nil"/>
              <w:right w:val="nil"/>
            </w:tcBorders>
            <w:shd w:val="clear" w:color="auto" w:fill="auto"/>
            <w:vAlign w:val="center"/>
            <w:hideMark/>
          </w:tcPr>
          <w:p w14:paraId="2F41E577"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546 227</w:t>
            </w:r>
          </w:p>
        </w:tc>
        <w:tc>
          <w:tcPr>
            <w:tcW w:w="555" w:type="pct"/>
            <w:tcBorders>
              <w:top w:val="nil"/>
              <w:left w:val="nil"/>
              <w:bottom w:val="nil"/>
              <w:right w:val="nil"/>
            </w:tcBorders>
            <w:shd w:val="clear" w:color="auto" w:fill="auto"/>
            <w:vAlign w:val="center"/>
            <w:hideMark/>
          </w:tcPr>
          <w:p w14:paraId="0E0CC03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637 506</w:t>
            </w:r>
          </w:p>
        </w:tc>
        <w:tc>
          <w:tcPr>
            <w:tcW w:w="556" w:type="pct"/>
            <w:tcBorders>
              <w:top w:val="nil"/>
              <w:left w:val="nil"/>
              <w:bottom w:val="nil"/>
              <w:right w:val="nil"/>
            </w:tcBorders>
            <w:shd w:val="clear" w:color="auto" w:fill="auto"/>
            <w:vAlign w:val="center"/>
            <w:hideMark/>
          </w:tcPr>
          <w:p w14:paraId="1A373B2D"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678 287</w:t>
            </w:r>
          </w:p>
        </w:tc>
        <w:tc>
          <w:tcPr>
            <w:tcW w:w="556" w:type="pct"/>
            <w:tcBorders>
              <w:top w:val="nil"/>
              <w:left w:val="nil"/>
              <w:bottom w:val="nil"/>
              <w:right w:val="nil"/>
            </w:tcBorders>
            <w:shd w:val="clear" w:color="auto" w:fill="auto"/>
            <w:vAlign w:val="center"/>
            <w:hideMark/>
          </w:tcPr>
          <w:p w14:paraId="53E5F979"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683 572</w:t>
            </w:r>
          </w:p>
        </w:tc>
        <w:tc>
          <w:tcPr>
            <w:tcW w:w="556" w:type="pct"/>
            <w:tcBorders>
              <w:top w:val="nil"/>
              <w:left w:val="nil"/>
              <w:bottom w:val="nil"/>
              <w:right w:val="nil"/>
            </w:tcBorders>
            <w:shd w:val="clear" w:color="auto" w:fill="auto"/>
            <w:vAlign w:val="center"/>
            <w:hideMark/>
          </w:tcPr>
          <w:p w14:paraId="38A085C7"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5 285</w:t>
            </w:r>
          </w:p>
        </w:tc>
      </w:tr>
      <w:tr w:rsidR="004D69BF" w:rsidRPr="00D0395E" w14:paraId="3E8C30E3" w14:textId="77777777" w:rsidTr="00A7279C">
        <w:trPr>
          <w:trHeight w:val="330"/>
        </w:trPr>
        <w:tc>
          <w:tcPr>
            <w:tcW w:w="2221" w:type="pct"/>
            <w:tcBorders>
              <w:top w:val="nil"/>
              <w:left w:val="nil"/>
              <w:bottom w:val="nil"/>
              <w:right w:val="nil"/>
            </w:tcBorders>
            <w:shd w:val="clear" w:color="auto" w:fill="auto"/>
            <w:noWrap/>
            <w:vAlign w:val="center"/>
            <w:hideMark/>
          </w:tcPr>
          <w:p w14:paraId="004B8A70"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Verejnej vysokej škole</w:t>
            </w:r>
          </w:p>
        </w:tc>
        <w:tc>
          <w:tcPr>
            <w:tcW w:w="556" w:type="pct"/>
            <w:tcBorders>
              <w:top w:val="nil"/>
              <w:left w:val="nil"/>
              <w:bottom w:val="nil"/>
              <w:right w:val="nil"/>
            </w:tcBorders>
            <w:shd w:val="clear" w:color="auto" w:fill="auto"/>
            <w:vAlign w:val="center"/>
            <w:hideMark/>
          </w:tcPr>
          <w:p w14:paraId="6D0A885C"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662 248</w:t>
            </w:r>
          </w:p>
        </w:tc>
        <w:tc>
          <w:tcPr>
            <w:tcW w:w="555" w:type="pct"/>
            <w:tcBorders>
              <w:top w:val="nil"/>
              <w:left w:val="nil"/>
              <w:bottom w:val="nil"/>
              <w:right w:val="nil"/>
            </w:tcBorders>
            <w:shd w:val="clear" w:color="auto" w:fill="auto"/>
            <w:vAlign w:val="center"/>
            <w:hideMark/>
          </w:tcPr>
          <w:p w14:paraId="481E1410"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746 863</w:t>
            </w:r>
          </w:p>
        </w:tc>
        <w:tc>
          <w:tcPr>
            <w:tcW w:w="556" w:type="pct"/>
            <w:tcBorders>
              <w:top w:val="nil"/>
              <w:left w:val="nil"/>
              <w:bottom w:val="nil"/>
              <w:right w:val="nil"/>
            </w:tcBorders>
            <w:shd w:val="clear" w:color="auto" w:fill="auto"/>
            <w:vAlign w:val="center"/>
            <w:hideMark/>
          </w:tcPr>
          <w:p w14:paraId="44F487B3"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807 175</w:t>
            </w:r>
          </w:p>
        </w:tc>
        <w:tc>
          <w:tcPr>
            <w:tcW w:w="556" w:type="pct"/>
            <w:tcBorders>
              <w:top w:val="nil"/>
              <w:left w:val="nil"/>
              <w:bottom w:val="nil"/>
              <w:right w:val="nil"/>
            </w:tcBorders>
            <w:shd w:val="clear" w:color="auto" w:fill="auto"/>
            <w:vAlign w:val="center"/>
            <w:hideMark/>
          </w:tcPr>
          <w:p w14:paraId="7406A85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852 910</w:t>
            </w:r>
          </w:p>
        </w:tc>
        <w:tc>
          <w:tcPr>
            <w:tcW w:w="556" w:type="pct"/>
            <w:tcBorders>
              <w:top w:val="nil"/>
              <w:left w:val="nil"/>
              <w:bottom w:val="nil"/>
              <w:right w:val="nil"/>
            </w:tcBorders>
            <w:shd w:val="clear" w:color="auto" w:fill="auto"/>
            <w:vAlign w:val="center"/>
            <w:hideMark/>
          </w:tcPr>
          <w:p w14:paraId="3E758C17"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45 735</w:t>
            </w:r>
          </w:p>
        </w:tc>
      </w:tr>
      <w:tr w:rsidR="004D69BF" w:rsidRPr="00D0395E" w14:paraId="59F14296" w14:textId="77777777" w:rsidTr="00A7279C">
        <w:trPr>
          <w:trHeight w:val="330"/>
        </w:trPr>
        <w:tc>
          <w:tcPr>
            <w:tcW w:w="2221" w:type="pct"/>
            <w:tcBorders>
              <w:top w:val="nil"/>
              <w:left w:val="nil"/>
              <w:bottom w:val="nil"/>
              <w:right w:val="nil"/>
            </w:tcBorders>
            <w:shd w:val="clear" w:color="auto" w:fill="auto"/>
            <w:noWrap/>
            <w:vAlign w:val="center"/>
            <w:hideMark/>
          </w:tcPr>
          <w:p w14:paraId="233C48D6"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Príspevkovej organizácii</w:t>
            </w:r>
          </w:p>
        </w:tc>
        <w:tc>
          <w:tcPr>
            <w:tcW w:w="556" w:type="pct"/>
            <w:tcBorders>
              <w:top w:val="nil"/>
              <w:left w:val="nil"/>
              <w:bottom w:val="nil"/>
              <w:right w:val="nil"/>
            </w:tcBorders>
            <w:shd w:val="clear" w:color="auto" w:fill="auto"/>
            <w:vAlign w:val="center"/>
            <w:hideMark/>
          </w:tcPr>
          <w:p w14:paraId="5AC30172"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854 439</w:t>
            </w:r>
          </w:p>
        </w:tc>
        <w:tc>
          <w:tcPr>
            <w:tcW w:w="555" w:type="pct"/>
            <w:tcBorders>
              <w:top w:val="nil"/>
              <w:left w:val="nil"/>
              <w:bottom w:val="nil"/>
              <w:right w:val="nil"/>
            </w:tcBorders>
            <w:shd w:val="clear" w:color="auto" w:fill="auto"/>
            <w:vAlign w:val="center"/>
            <w:hideMark/>
          </w:tcPr>
          <w:p w14:paraId="061B6C1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623 870</w:t>
            </w:r>
          </w:p>
        </w:tc>
        <w:tc>
          <w:tcPr>
            <w:tcW w:w="556" w:type="pct"/>
            <w:tcBorders>
              <w:top w:val="nil"/>
              <w:left w:val="nil"/>
              <w:bottom w:val="nil"/>
              <w:right w:val="nil"/>
            </w:tcBorders>
            <w:shd w:val="clear" w:color="auto" w:fill="auto"/>
            <w:vAlign w:val="center"/>
            <w:hideMark/>
          </w:tcPr>
          <w:p w14:paraId="650ED452"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346 932</w:t>
            </w:r>
          </w:p>
        </w:tc>
        <w:tc>
          <w:tcPr>
            <w:tcW w:w="556" w:type="pct"/>
            <w:tcBorders>
              <w:top w:val="nil"/>
              <w:left w:val="nil"/>
              <w:bottom w:val="nil"/>
              <w:right w:val="nil"/>
            </w:tcBorders>
            <w:shd w:val="clear" w:color="auto" w:fill="auto"/>
            <w:vAlign w:val="center"/>
            <w:hideMark/>
          </w:tcPr>
          <w:p w14:paraId="04F43472"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699 001</w:t>
            </w:r>
          </w:p>
        </w:tc>
        <w:tc>
          <w:tcPr>
            <w:tcW w:w="556" w:type="pct"/>
            <w:tcBorders>
              <w:top w:val="nil"/>
              <w:left w:val="nil"/>
              <w:bottom w:val="nil"/>
              <w:right w:val="nil"/>
            </w:tcBorders>
            <w:shd w:val="clear" w:color="auto" w:fill="auto"/>
            <w:vAlign w:val="center"/>
            <w:hideMark/>
          </w:tcPr>
          <w:p w14:paraId="278CA70C"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352 069</w:t>
            </w:r>
          </w:p>
        </w:tc>
      </w:tr>
      <w:tr w:rsidR="004D69BF" w:rsidRPr="00D0395E" w14:paraId="4A59DB95" w14:textId="77777777" w:rsidTr="00A7279C">
        <w:trPr>
          <w:trHeight w:val="330"/>
        </w:trPr>
        <w:tc>
          <w:tcPr>
            <w:tcW w:w="2221" w:type="pct"/>
            <w:tcBorders>
              <w:top w:val="nil"/>
              <w:left w:val="nil"/>
              <w:bottom w:val="nil"/>
              <w:right w:val="nil"/>
            </w:tcBorders>
            <w:shd w:val="clear" w:color="auto" w:fill="auto"/>
            <w:noWrap/>
            <w:vAlign w:val="center"/>
            <w:hideMark/>
          </w:tcPr>
          <w:p w14:paraId="17945C6C"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Železniciam SR</w:t>
            </w:r>
          </w:p>
        </w:tc>
        <w:tc>
          <w:tcPr>
            <w:tcW w:w="556" w:type="pct"/>
            <w:tcBorders>
              <w:top w:val="nil"/>
              <w:left w:val="nil"/>
              <w:bottom w:val="nil"/>
              <w:right w:val="nil"/>
            </w:tcBorders>
            <w:shd w:val="clear" w:color="auto" w:fill="auto"/>
            <w:vAlign w:val="center"/>
            <w:hideMark/>
          </w:tcPr>
          <w:p w14:paraId="31AA4C3D"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377 820</w:t>
            </w:r>
          </w:p>
        </w:tc>
        <w:tc>
          <w:tcPr>
            <w:tcW w:w="555" w:type="pct"/>
            <w:tcBorders>
              <w:top w:val="nil"/>
              <w:left w:val="nil"/>
              <w:bottom w:val="nil"/>
              <w:right w:val="nil"/>
            </w:tcBorders>
            <w:shd w:val="clear" w:color="auto" w:fill="auto"/>
            <w:vAlign w:val="center"/>
            <w:hideMark/>
          </w:tcPr>
          <w:p w14:paraId="6D3B920E"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414 404</w:t>
            </w:r>
          </w:p>
        </w:tc>
        <w:tc>
          <w:tcPr>
            <w:tcW w:w="556" w:type="pct"/>
            <w:tcBorders>
              <w:top w:val="nil"/>
              <w:left w:val="nil"/>
              <w:bottom w:val="nil"/>
              <w:right w:val="nil"/>
            </w:tcBorders>
            <w:shd w:val="clear" w:color="auto" w:fill="auto"/>
            <w:vAlign w:val="center"/>
            <w:hideMark/>
          </w:tcPr>
          <w:p w14:paraId="215F1162"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474 697</w:t>
            </w:r>
          </w:p>
        </w:tc>
        <w:tc>
          <w:tcPr>
            <w:tcW w:w="556" w:type="pct"/>
            <w:tcBorders>
              <w:top w:val="nil"/>
              <w:left w:val="nil"/>
              <w:bottom w:val="nil"/>
              <w:right w:val="nil"/>
            </w:tcBorders>
            <w:shd w:val="clear" w:color="auto" w:fill="auto"/>
            <w:vAlign w:val="center"/>
            <w:hideMark/>
          </w:tcPr>
          <w:p w14:paraId="572A9E76"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475 224</w:t>
            </w:r>
          </w:p>
        </w:tc>
        <w:tc>
          <w:tcPr>
            <w:tcW w:w="556" w:type="pct"/>
            <w:tcBorders>
              <w:top w:val="nil"/>
              <w:left w:val="nil"/>
              <w:bottom w:val="nil"/>
              <w:right w:val="nil"/>
            </w:tcBorders>
            <w:shd w:val="clear" w:color="auto" w:fill="auto"/>
            <w:vAlign w:val="center"/>
            <w:hideMark/>
          </w:tcPr>
          <w:p w14:paraId="190E081C"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527</w:t>
            </w:r>
          </w:p>
        </w:tc>
      </w:tr>
      <w:tr w:rsidR="004D69BF" w:rsidRPr="00D0395E" w14:paraId="22C8C117" w14:textId="77777777" w:rsidTr="00A7279C">
        <w:trPr>
          <w:trHeight w:val="330"/>
        </w:trPr>
        <w:tc>
          <w:tcPr>
            <w:tcW w:w="2221" w:type="pct"/>
            <w:tcBorders>
              <w:top w:val="nil"/>
              <w:left w:val="nil"/>
              <w:bottom w:val="nil"/>
              <w:right w:val="nil"/>
            </w:tcBorders>
            <w:shd w:val="clear" w:color="auto" w:fill="auto"/>
            <w:noWrap/>
            <w:vAlign w:val="center"/>
            <w:hideMark/>
          </w:tcPr>
          <w:p w14:paraId="7449D2EB"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Železničnej spoločnosti Slovensko</w:t>
            </w:r>
          </w:p>
        </w:tc>
        <w:tc>
          <w:tcPr>
            <w:tcW w:w="556" w:type="pct"/>
            <w:tcBorders>
              <w:top w:val="nil"/>
              <w:left w:val="nil"/>
              <w:bottom w:val="nil"/>
              <w:right w:val="nil"/>
            </w:tcBorders>
            <w:shd w:val="clear" w:color="auto" w:fill="auto"/>
            <w:vAlign w:val="center"/>
            <w:hideMark/>
          </w:tcPr>
          <w:p w14:paraId="4F2D81DF"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379 548</w:t>
            </w:r>
          </w:p>
        </w:tc>
        <w:tc>
          <w:tcPr>
            <w:tcW w:w="555" w:type="pct"/>
            <w:tcBorders>
              <w:top w:val="nil"/>
              <w:left w:val="nil"/>
              <w:bottom w:val="nil"/>
              <w:right w:val="nil"/>
            </w:tcBorders>
            <w:shd w:val="clear" w:color="auto" w:fill="auto"/>
            <w:vAlign w:val="center"/>
            <w:hideMark/>
          </w:tcPr>
          <w:p w14:paraId="1FDC35A2"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411 526</w:t>
            </w:r>
          </w:p>
        </w:tc>
        <w:tc>
          <w:tcPr>
            <w:tcW w:w="556" w:type="pct"/>
            <w:tcBorders>
              <w:top w:val="nil"/>
              <w:left w:val="nil"/>
              <w:bottom w:val="nil"/>
              <w:right w:val="nil"/>
            </w:tcBorders>
            <w:shd w:val="clear" w:color="auto" w:fill="auto"/>
            <w:vAlign w:val="center"/>
            <w:hideMark/>
          </w:tcPr>
          <w:p w14:paraId="5E0257B9"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428 585</w:t>
            </w:r>
          </w:p>
        </w:tc>
        <w:tc>
          <w:tcPr>
            <w:tcW w:w="556" w:type="pct"/>
            <w:tcBorders>
              <w:top w:val="nil"/>
              <w:left w:val="nil"/>
              <w:bottom w:val="nil"/>
              <w:right w:val="nil"/>
            </w:tcBorders>
            <w:shd w:val="clear" w:color="auto" w:fill="auto"/>
            <w:vAlign w:val="center"/>
            <w:hideMark/>
          </w:tcPr>
          <w:p w14:paraId="1AEC462D"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428 793</w:t>
            </w:r>
          </w:p>
        </w:tc>
        <w:tc>
          <w:tcPr>
            <w:tcW w:w="556" w:type="pct"/>
            <w:tcBorders>
              <w:top w:val="nil"/>
              <w:left w:val="nil"/>
              <w:bottom w:val="nil"/>
              <w:right w:val="nil"/>
            </w:tcBorders>
            <w:shd w:val="clear" w:color="auto" w:fill="auto"/>
            <w:vAlign w:val="center"/>
            <w:hideMark/>
          </w:tcPr>
          <w:p w14:paraId="754CEA63"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208</w:t>
            </w:r>
          </w:p>
        </w:tc>
      </w:tr>
      <w:tr w:rsidR="004D69BF" w:rsidRPr="00D0395E" w14:paraId="53D7F8C6" w14:textId="77777777" w:rsidTr="00A7279C">
        <w:trPr>
          <w:trHeight w:val="330"/>
        </w:trPr>
        <w:tc>
          <w:tcPr>
            <w:tcW w:w="2221" w:type="pct"/>
            <w:tcBorders>
              <w:top w:val="nil"/>
              <w:left w:val="nil"/>
              <w:bottom w:val="nil"/>
              <w:right w:val="nil"/>
            </w:tcBorders>
            <w:shd w:val="clear" w:color="auto" w:fill="auto"/>
            <w:noWrap/>
            <w:vAlign w:val="center"/>
            <w:hideMark/>
          </w:tcPr>
          <w:p w14:paraId="0AA46334"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Štátnemu účelovému fondu</w:t>
            </w:r>
          </w:p>
        </w:tc>
        <w:tc>
          <w:tcPr>
            <w:tcW w:w="556" w:type="pct"/>
            <w:tcBorders>
              <w:top w:val="nil"/>
              <w:left w:val="nil"/>
              <w:bottom w:val="nil"/>
              <w:right w:val="nil"/>
            </w:tcBorders>
            <w:shd w:val="clear" w:color="auto" w:fill="auto"/>
            <w:vAlign w:val="center"/>
            <w:hideMark/>
          </w:tcPr>
          <w:p w14:paraId="5F7E7F2E"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154 976</w:t>
            </w:r>
          </w:p>
        </w:tc>
        <w:tc>
          <w:tcPr>
            <w:tcW w:w="555" w:type="pct"/>
            <w:tcBorders>
              <w:top w:val="nil"/>
              <w:left w:val="nil"/>
              <w:bottom w:val="nil"/>
              <w:right w:val="nil"/>
            </w:tcBorders>
            <w:shd w:val="clear" w:color="auto" w:fill="auto"/>
            <w:vAlign w:val="center"/>
            <w:hideMark/>
          </w:tcPr>
          <w:p w14:paraId="12E1F7E2"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74 361</w:t>
            </w:r>
          </w:p>
        </w:tc>
        <w:tc>
          <w:tcPr>
            <w:tcW w:w="556" w:type="pct"/>
            <w:tcBorders>
              <w:top w:val="nil"/>
              <w:left w:val="nil"/>
              <w:bottom w:val="nil"/>
              <w:right w:val="nil"/>
            </w:tcBorders>
            <w:shd w:val="clear" w:color="auto" w:fill="auto"/>
            <w:vAlign w:val="center"/>
            <w:hideMark/>
          </w:tcPr>
          <w:p w14:paraId="01EF495C"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81 028</w:t>
            </w:r>
          </w:p>
        </w:tc>
        <w:tc>
          <w:tcPr>
            <w:tcW w:w="556" w:type="pct"/>
            <w:tcBorders>
              <w:top w:val="nil"/>
              <w:left w:val="nil"/>
              <w:bottom w:val="nil"/>
              <w:right w:val="nil"/>
            </w:tcBorders>
            <w:shd w:val="clear" w:color="auto" w:fill="auto"/>
            <w:vAlign w:val="center"/>
            <w:hideMark/>
          </w:tcPr>
          <w:p w14:paraId="53DE00FF"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229 886</w:t>
            </w:r>
          </w:p>
        </w:tc>
        <w:tc>
          <w:tcPr>
            <w:tcW w:w="556" w:type="pct"/>
            <w:tcBorders>
              <w:top w:val="nil"/>
              <w:left w:val="nil"/>
              <w:bottom w:val="nil"/>
              <w:right w:val="nil"/>
            </w:tcBorders>
            <w:shd w:val="clear" w:color="auto" w:fill="auto"/>
            <w:vAlign w:val="center"/>
            <w:hideMark/>
          </w:tcPr>
          <w:p w14:paraId="06D927C9"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148 858</w:t>
            </w:r>
          </w:p>
        </w:tc>
      </w:tr>
      <w:tr w:rsidR="004D69BF" w:rsidRPr="00D0395E" w14:paraId="7F869BAA" w14:textId="77777777" w:rsidTr="00A7279C">
        <w:trPr>
          <w:trHeight w:val="330"/>
        </w:trPr>
        <w:tc>
          <w:tcPr>
            <w:tcW w:w="2221" w:type="pct"/>
            <w:tcBorders>
              <w:top w:val="nil"/>
              <w:left w:val="nil"/>
              <w:bottom w:val="nil"/>
              <w:right w:val="nil"/>
            </w:tcBorders>
            <w:shd w:val="clear" w:color="auto" w:fill="auto"/>
            <w:noWrap/>
            <w:vAlign w:val="center"/>
            <w:hideMark/>
          </w:tcPr>
          <w:p w14:paraId="1F6FAAF5"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Verejnej výskumnej inštitúcii</w:t>
            </w:r>
          </w:p>
        </w:tc>
        <w:tc>
          <w:tcPr>
            <w:tcW w:w="556" w:type="pct"/>
            <w:tcBorders>
              <w:top w:val="nil"/>
              <w:left w:val="nil"/>
              <w:bottom w:val="nil"/>
              <w:right w:val="nil"/>
            </w:tcBorders>
            <w:shd w:val="clear" w:color="auto" w:fill="auto"/>
            <w:vAlign w:val="center"/>
            <w:hideMark/>
          </w:tcPr>
          <w:p w14:paraId="19FE497B"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99 023</w:t>
            </w:r>
          </w:p>
        </w:tc>
        <w:tc>
          <w:tcPr>
            <w:tcW w:w="555" w:type="pct"/>
            <w:tcBorders>
              <w:top w:val="nil"/>
              <w:left w:val="nil"/>
              <w:bottom w:val="nil"/>
              <w:right w:val="nil"/>
            </w:tcBorders>
            <w:shd w:val="clear" w:color="auto" w:fill="auto"/>
            <w:vAlign w:val="center"/>
            <w:hideMark/>
          </w:tcPr>
          <w:p w14:paraId="4B55AA4E"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115 326</w:t>
            </w:r>
          </w:p>
        </w:tc>
        <w:tc>
          <w:tcPr>
            <w:tcW w:w="556" w:type="pct"/>
            <w:tcBorders>
              <w:top w:val="nil"/>
              <w:left w:val="nil"/>
              <w:bottom w:val="nil"/>
              <w:right w:val="nil"/>
            </w:tcBorders>
            <w:shd w:val="clear" w:color="auto" w:fill="auto"/>
            <w:vAlign w:val="center"/>
            <w:hideMark/>
          </w:tcPr>
          <w:p w14:paraId="30735C23"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107 720</w:t>
            </w:r>
          </w:p>
        </w:tc>
        <w:tc>
          <w:tcPr>
            <w:tcW w:w="556" w:type="pct"/>
            <w:tcBorders>
              <w:top w:val="nil"/>
              <w:left w:val="nil"/>
              <w:bottom w:val="nil"/>
              <w:right w:val="nil"/>
            </w:tcBorders>
            <w:shd w:val="clear" w:color="auto" w:fill="auto"/>
            <w:vAlign w:val="center"/>
            <w:hideMark/>
          </w:tcPr>
          <w:p w14:paraId="54A27079"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143 783</w:t>
            </w:r>
          </w:p>
        </w:tc>
        <w:tc>
          <w:tcPr>
            <w:tcW w:w="556" w:type="pct"/>
            <w:tcBorders>
              <w:top w:val="nil"/>
              <w:left w:val="nil"/>
              <w:bottom w:val="nil"/>
              <w:right w:val="nil"/>
            </w:tcBorders>
            <w:shd w:val="clear" w:color="auto" w:fill="auto"/>
            <w:vAlign w:val="center"/>
            <w:hideMark/>
          </w:tcPr>
          <w:p w14:paraId="76C1AFE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36 063</w:t>
            </w:r>
          </w:p>
        </w:tc>
      </w:tr>
      <w:tr w:rsidR="004D69BF" w:rsidRPr="00D0395E" w14:paraId="742851BC" w14:textId="77777777" w:rsidTr="00A7279C">
        <w:trPr>
          <w:trHeight w:val="480"/>
        </w:trPr>
        <w:tc>
          <w:tcPr>
            <w:tcW w:w="2221" w:type="pct"/>
            <w:tcBorders>
              <w:top w:val="nil"/>
              <w:left w:val="nil"/>
              <w:bottom w:val="nil"/>
              <w:right w:val="nil"/>
            </w:tcBorders>
            <w:shd w:val="clear" w:color="auto" w:fill="auto"/>
            <w:vAlign w:val="center"/>
            <w:hideMark/>
          </w:tcPr>
          <w:p w14:paraId="6A0ECC1B" w14:textId="57E849C2"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Transfery jednotlivcom a nezisk. </w:t>
            </w:r>
            <w:r w:rsidR="00A7279C">
              <w:rPr>
                <w:rFonts w:eastAsia="Times New Roman" w:cs="Times New Roman"/>
                <w:color w:val="000000"/>
                <w:sz w:val="18"/>
                <w:szCs w:val="18"/>
                <w:lang w:eastAsia="sk-SK"/>
              </w:rPr>
              <w:t>práv.</w:t>
            </w:r>
            <w:r w:rsidR="00922722">
              <w:rPr>
                <w:rFonts w:eastAsia="Times New Roman" w:cs="Times New Roman"/>
                <w:color w:val="000000"/>
                <w:sz w:val="18"/>
                <w:szCs w:val="18"/>
                <w:lang w:eastAsia="sk-SK"/>
              </w:rPr>
              <w:t> </w:t>
            </w:r>
            <w:r w:rsidR="00A7279C">
              <w:rPr>
                <w:rFonts w:eastAsia="Times New Roman" w:cs="Times New Roman"/>
                <w:color w:val="000000"/>
                <w:sz w:val="18"/>
                <w:szCs w:val="18"/>
                <w:lang w:eastAsia="sk-SK"/>
              </w:rPr>
              <w:t>osobám</w:t>
            </w:r>
          </w:p>
        </w:tc>
        <w:tc>
          <w:tcPr>
            <w:tcW w:w="556" w:type="pct"/>
            <w:tcBorders>
              <w:top w:val="nil"/>
              <w:left w:val="nil"/>
              <w:bottom w:val="nil"/>
              <w:right w:val="nil"/>
            </w:tcBorders>
            <w:shd w:val="clear" w:color="auto" w:fill="auto"/>
            <w:vAlign w:val="center"/>
            <w:hideMark/>
          </w:tcPr>
          <w:p w14:paraId="54B911AE"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5 687 424</w:t>
            </w:r>
          </w:p>
        </w:tc>
        <w:tc>
          <w:tcPr>
            <w:tcW w:w="555" w:type="pct"/>
            <w:tcBorders>
              <w:top w:val="nil"/>
              <w:left w:val="nil"/>
              <w:bottom w:val="nil"/>
              <w:right w:val="nil"/>
            </w:tcBorders>
            <w:shd w:val="clear" w:color="auto" w:fill="auto"/>
            <w:vAlign w:val="center"/>
            <w:hideMark/>
          </w:tcPr>
          <w:p w14:paraId="5AE8334D"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7 105 251</w:t>
            </w:r>
          </w:p>
        </w:tc>
        <w:tc>
          <w:tcPr>
            <w:tcW w:w="556" w:type="pct"/>
            <w:tcBorders>
              <w:top w:val="nil"/>
              <w:left w:val="nil"/>
              <w:bottom w:val="nil"/>
              <w:right w:val="nil"/>
            </w:tcBorders>
            <w:shd w:val="clear" w:color="auto" w:fill="auto"/>
            <w:vAlign w:val="center"/>
            <w:hideMark/>
          </w:tcPr>
          <w:p w14:paraId="1904EAD0"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8 097 049</w:t>
            </w:r>
          </w:p>
        </w:tc>
        <w:tc>
          <w:tcPr>
            <w:tcW w:w="556" w:type="pct"/>
            <w:tcBorders>
              <w:top w:val="nil"/>
              <w:left w:val="nil"/>
              <w:bottom w:val="nil"/>
              <w:right w:val="nil"/>
            </w:tcBorders>
            <w:shd w:val="clear" w:color="auto" w:fill="auto"/>
            <w:vAlign w:val="center"/>
            <w:hideMark/>
          </w:tcPr>
          <w:p w14:paraId="6CB0FF3B"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6 815 692</w:t>
            </w:r>
          </w:p>
        </w:tc>
        <w:tc>
          <w:tcPr>
            <w:tcW w:w="556" w:type="pct"/>
            <w:tcBorders>
              <w:top w:val="nil"/>
              <w:left w:val="nil"/>
              <w:bottom w:val="nil"/>
              <w:right w:val="nil"/>
            </w:tcBorders>
            <w:shd w:val="clear" w:color="auto" w:fill="auto"/>
            <w:vAlign w:val="center"/>
            <w:hideMark/>
          </w:tcPr>
          <w:p w14:paraId="5D3C7A2F"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-1 281 357</w:t>
            </w:r>
          </w:p>
        </w:tc>
      </w:tr>
      <w:tr w:rsidR="004D69BF" w:rsidRPr="00D0395E" w14:paraId="37B3578E" w14:textId="77777777" w:rsidTr="00A7279C">
        <w:trPr>
          <w:trHeight w:val="330"/>
        </w:trPr>
        <w:tc>
          <w:tcPr>
            <w:tcW w:w="2221" w:type="pct"/>
            <w:tcBorders>
              <w:top w:val="nil"/>
              <w:left w:val="nil"/>
              <w:bottom w:val="nil"/>
              <w:right w:val="nil"/>
            </w:tcBorders>
            <w:shd w:val="clear" w:color="auto" w:fill="auto"/>
            <w:vAlign w:val="center"/>
            <w:hideMark/>
          </w:tcPr>
          <w:p w14:paraId="49D49261"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z toho</w:t>
            </w:r>
          </w:p>
        </w:tc>
        <w:tc>
          <w:tcPr>
            <w:tcW w:w="556" w:type="pct"/>
            <w:tcBorders>
              <w:top w:val="nil"/>
              <w:left w:val="nil"/>
              <w:bottom w:val="nil"/>
              <w:right w:val="nil"/>
            </w:tcBorders>
            <w:shd w:val="clear" w:color="auto" w:fill="auto"/>
            <w:vAlign w:val="center"/>
            <w:hideMark/>
          </w:tcPr>
          <w:p w14:paraId="7B008174" w14:textId="77777777" w:rsidR="004D69BF" w:rsidRPr="00D0395E" w:rsidRDefault="004D69BF" w:rsidP="000240DA">
            <w:pPr>
              <w:spacing w:after="0" w:line="240" w:lineRule="auto"/>
              <w:jc w:val="left"/>
              <w:rPr>
                <w:rFonts w:eastAsia="Times New Roman" w:cs="Times New Roman"/>
                <w:color w:val="000000"/>
                <w:sz w:val="18"/>
                <w:szCs w:val="18"/>
                <w:lang w:eastAsia="sk-SK"/>
              </w:rPr>
            </w:pPr>
          </w:p>
        </w:tc>
        <w:tc>
          <w:tcPr>
            <w:tcW w:w="555" w:type="pct"/>
            <w:tcBorders>
              <w:top w:val="nil"/>
              <w:left w:val="nil"/>
              <w:bottom w:val="nil"/>
              <w:right w:val="nil"/>
            </w:tcBorders>
            <w:shd w:val="clear" w:color="auto" w:fill="auto"/>
            <w:vAlign w:val="center"/>
            <w:hideMark/>
          </w:tcPr>
          <w:p w14:paraId="5D7346C2" w14:textId="77777777" w:rsidR="004D69BF" w:rsidRPr="00D0395E" w:rsidRDefault="004D69BF" w:rsidP="000240DA">
            <w:pPr>
              <w:spacing w:after="0" w:line="240" w:lineRule="auto"/>
              <w:jc w:val="right"/>
              <w:rPr>
                <w:rFonts w:eastAsia="Times New Roman" w:cs="Times New Roman"/>
                <w:sz w:val="18"/>
                <w:szCs w:val="18"/>
                <w:lang w:eastAsia="sk-SK"/>
              </w:rPr>
            </w:pPr>
          </w:p>
        </w:tc>
        <w:tc>
          <w:tcPr>
            <w:tcW w:w="556" w:type="pct"/>
            <w:tcBorders>
              <w:top w:val="nil"/>
              <w:left w:val="nil"/>
              <w:bottom w:val="nil"/>
              <w:right w:val="nil"/>
            </w:tcBorders>
            <w:shd w:val="clear" w:color="auto" w:fill="auto"/>
            <w:vAlign w:val="center"/>
            <w:hideMark/>
          </w:tcPr>
          <w:p w14:paraId="2A6E77FD" w14:textId="77777777" w:rsidR="004D69BF" w:rsidRPr="00D0395E" w:rsidRDefault="004D69BF" w:rsidP="000240DA">
            <w:pPr>
              <w:spacing w:after="0" w:line="240" w:lineRule="auto"/>
              <w:jc w:val="right"/>
              <w:rPr>
                <w:rFonts w:eastAsia="Times New Roman" w:cs="Times New Roman"/>
                <w:sz w:val="18"/>
                <w:szCs w:val="18"/>
                <w:lang w:eastAsia="sk-SK"/>
              </w:rPr>
            </w:pPr>
          </w:p>
        </w:tc>
        <w:tc>
          <w:tcPr>
            <w:tcW w:w="556" w:type="pct"/>
            <w:tcBorders>
              <w:top w:val="nil"/>
              <w:left w:val="nil"/>
              <w:bottom w:val="nil"/>
              <w:right w:val="nil"/>
            </w:tcBorders>
            <w:shd w:val="clear" w:color="auto" w:fill="auto"/>
            <w:vAlign w:val="center"/>
            <w:hideMark/>
          </w:tcPr>
          <w:p w14:paraId="6AFDF3E2" w14:textId="77777777" w:rsidR="004D69BF" w:rsidRPr="00D0395E" w:rsidRDefault="004D69BF" w:rsidP="000240DA">
            <w:pPr>
              <w:spacing w:after="0" w:line="240" w:lineRule="auto"/>
              <w:jc w:val="right"/>
              <w:rPr>
                <w:rFonts w:eastAsia="Times New Roman" w:cs="Times New Roman"/>
                <w:sz w:val="18"/>
                <w:szCs w:val="18"/>
                <w:lang w:eastAsia="sk-SK"/>
              </w:rPr>
            </w:pPr>
          </w:p>
        </w:tc>
        <w:tc>
          <w:tcPr>
            <w:tcW w:w="556" w:type="pct"/>
            <w:tcBorders>
              <w:top w:val="nil"/>
              <w:left w:val="nil"/>
              <w:bottom w:val="nil"/>
              <w:right w:val="nil"/>
            </w:tcBorders>
            <w:shd w:val="clear" w:color="auto" w:fill="auto"/>
            <w:vAlign w:val="center"/>
            <w:hideMark/>
          </w:tcPr>
          <w:p w14:paraId="2B82102D" w14:textId="77777777" w:rsidR="004D69BF" w:rsidRPr="00D0395E" w:rsidRDefault="004D69BF" w:rsidP="000240DA">
            <w:pPr>
              <w:spacing w:after="0" w:line="240" w:lineRule="auto"/>
              <w:jc w:val="right"/>
              <w:rPr>
                <w:rFonts w:eastAsia="Times New Roman" w:cs="Times New Roman"/>
                <w:color w:val="000000"/>
                <w:sz w:val="18"/>
                <w:szCs w:val="18"/>
                <w:lang w:eastAsia="sk-SK"/>
              </w:rPr>
            </w:pPr>
          </w:p>
        </w:tc>
      </w:tr>
      <w:tr w:rsidR="004D69BF" w:rsidRPr="00D0395E" w14:paraId="7FD76BC8" w14:textId="77777777" w:rsidTr="00A7279C">
        <w:trPr>
          <w:trHeight w:val="480"/>
        </w:trPr>
        <w:tc>
          <w:tcPr>
            <w:tcW w:w="2221" w:type="pct"/>
            <w:tcBorders>
              <w:top w:val="nil"/>
              <w:left w:val="nil"/>
              <w:bottom w:val="nil"/>
              <w:right w:val="nil"/>
            </w:tcBorders>
            <w:shd w:val="clear" w:color="auto" w:fill="auto"/>
            <w:vAlign w:val="center"/>
            <w:hideMark/>
          </w:tcPr>
          <w:p w14:paraId="7632A7D1" w14:textId="77777777" w:rsidR="004D69BF" w:rsidRPr="00D0395E" w:rsidRDefault="004D69BF" w:rsidP="000240DA">
            <w:pPr>
              <w:spacing w:after="0" w:line="240" w:lineRule="auto"/>
              <w:ind w:left="215" w:hanging="215"/>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na platené poistné za skupiny osôb ustanoveného zákonom</w:t>
            </w:r>
          </w:p>
        </w:tc>
        <w:tc>
          <w:tcPr>
            <w:tcW w:w="556" w:type="pct"/>
            <w:tcBorders>
              <w:top w:val="nil"/>
              <w:left w:val="nil"/>
              <w:bottom w:val="nil"/>
              <w:right w:val="nil"/>
            </w:tcBorders>
            <w:shd w:val="clear" w:color="auto" w:fill="auto"/>
            <w:vAlign w:val="center"/>
            <w:hideMark/>
          </w:tcPr>
          <w:p w14:paraId="105CF6D6"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1 718 317</w:t>
            </w:r>
          </w:p>
        </w:tc>
        <w:tc>
          <w:tcPr>
            <w:tcW w:w="555" w:type="pct"/>
            <w:tcBorders>
              <w:top w:val="nil"/>
              <w:left w:val="nil"/>
              <w:bottom w:val="nil"/>
              <w:right w:val="nil"/>
            </w:tcBorders>
            <w:shd w:val="clear" w:color="auto" w:fill="auto"/>
            <w:vAlign w:val="center"/>
            <w:hideMark/>
          </w:tcPr>
          <w:p w14:paraId="59763799"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2 534 128</w:t>
            </w:r>
          </w:p>
        </w:tc>
        <w:tc>
          <w:tcPr>
            <w:tcW w:w="556" w:type="pct"/>
            <w:tcBorders>
              <w:top w:val="nil"/>
              <w:left w:val="nil"/>
              <w:bottom w:val="nil"/>
              <w:right w:val="nil"/>
            </w:tcBorders>
            <w:shd w:val="clear" w:color="auto" w:fill="auto"/>
            <w:vAlign w:val="center"/>
            <w:hideMark/>
          </w:tcPr>
          <w:p w14:paraId="273FC9D7"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2 612 663</w:t>
            </w:r>
          </w:p>
        </w:tc>
        <w:tc>
          <w:tcPr>
            <w:tcW w:w="556" w:type="pct"/>
            <w:tcBorders>
              <w:top w:val="nil"/>
              <w:left w:val="nil"/>
              <w:bottom w:val="nil"/>
              <w:right w:val="nil"/>
            </w:tcBorders>
            <w:shd w:val="clear" w:color="auto" w:fill="auto"/>
            <w:vAlign w:val="center"/>
            <w:hideMark/>
          </w:tcPr>
          <w:p w14:paraId="552F0E1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2 601 163</w:t>
            </w:r>
          </w:p>
        </w:tc>
        <w:tc>
          <w:tcPr>
            <w:tcW w:w="556" w:type="pct"/>
            <w:tcBorders>
              <w:top w:val="nil"/>
              <w:left w:val="nil"/>
              <w:bottom w:val="nil"/>
              <w:right w:val="nil"/>
            </w:tcBorders>
            <w:shd w:val="clear" w:color="auto" w:fill="auto"/>
            <w:vAlign w:val="center"/>
            <w:hideMark/>
          </w:tcPr>
          <w:p w14:paraId="093CE2D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-11 500</w:t>
            </w:r>
          </w:p>
        </w:tc>
      </w:tr>
      <w:tr w:rsidR="004D69BF" w:rsidRPr="00D0395E" w14:paraId="4764E872" w14:textId="77777777" w:rsidTr="00A7279C">
        <w:trPr>
          <w:trHeight w:val="330"/>
        </w:trPr>
        <w:tc>
          <w:tcPr>
            <w:tcW w:w="2221" w:type="pct"/>
            <w:tcBorders>
              <w:top w:val="nil"/>
              <w:left w:val="nil"/>
              <w:bottom w:val="nil"/>
              <w:right w:val="nil"/>
            </w:tcBorders>
            <w:shd w:val="clear" w:color="auto" w:fill="auto"/>
            <w:vAlign w:val="center"/>
            <w:hideMark/>
          </w:tcPr>
          <w:p w14:paraId="064EC667" w14:textId="77777777" w:rsidR="004D69BF" w:rsidRPr="00D0395E" w:rsidRDefault="004D69BF" w:rsidP="000240DA">
            <w:pPr>
              <w:spacing w:after="0" w:line="240" w:lineRule="auto"/>
              <w:ind w:left="215" w:hanging="215"/>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na dôchodkové dávky zo starobného poistenia</w:t>
            </w:r>
          </w:p>
        </w:tc>
        <w:tc>
          <w:tcPr>
            <w:tcW w:w="556" w:type="pct"/>
            <w:tcBorders>
              <w:top w:val="nil"/>
              <w:left w:val="nil"/>
              <w:bottom w:val="nil"/>
              <w:right w:val="nil"/>
            </w:tcBorders>
            <w:shd w:val="clear" w:color="auto" w:fill="auto"/>
            <w:vAlign w:val="center"/>
            <w:hideMark/>
          </w:tcPr>
          <w:p w14:paraId="171E22E1"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0</w:t>
            </w:r>
          </w:p>
        </w:tc>
        <w:tc>
          <w:tcPr>
            <w:tcW w:w="555" w:type="pct"/>
            <w:tcBorders>
              <w:top w:val="nil"/>
              <w:left w:val="nil"/>
              <w:bottom w:val="nil"/>
              <w:right w:val="nil"/>
            </w:tcBorders>
            <w:shd w:val="clear" w:color="auto" w:fill="auto"/>
            <w:vAlign w:val="center"/>
            <w:hideMark/>
          </w:tcPr>
          <w:p w14:paraId="7A2CD3D2"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0</w:t>
            </w:r>
          </w:p>
        </w:tc>
        <w:tc>
          <w:tcPr>
            <w:tcW w:w="556" w:type="pct"/>
            <w:tcBorders>
              <w:top w:val="nil"/>
              <w:left w:val="nil"/>
              <w:bottom w:val="nil"/>
              <w:right w:val="nil"/>
            </w:tcBorders>
            <w:shd w:val="clear" w:color="auto" w:fill="auto"/>
            <w:vAlign w:val="center"/>
            <w:hideMark/>
          </w:tcPr>
          <w:p w14:paraId="24C72770"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822 904</w:t>
            </w:r>
          </w:p>
        </w:tc>
        <w:tc>
          <w:tcPr>
            <w:tcW w:w="556" w:type="pct"/>
            <w:tcBorders>
              <w:top w:val="nil"/>
              <w:left w:val="nil"/>
              <w:bottom w:val="nil"/>
              <w:right w:val="nil"/>
            </w:tcBorders>
            <w:shd w:val="clear" w:color="auto" w:fill="auto"/>
            <w:vAlign w:val="center"/>
            <w:hideMark/>
          </w:tcPr>
          <w:p w14:paraId="0740A8D1"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0</w:t>
            </w:r>
          </w:p>
        </w:tc>
        <w:tc>
          <w:tcPr>
            <w:tcW w:w="556" w:type="pct"/>
            <w:tcBorders>
              <w:top w:val="nil"/>
              <w:left w:val="nil"/>
              <w:bottom w:val="nil"/>
              <w:right w:val="nil"/>
            </w:tcBorders>
            <w:shd w:val="clear" w:color="auto" w:fill="auto"/>
            <w:vAlign w:val="center"/>
            <w:hideMark/>
          </w:tcPr>
          <w:p w14:paraId="5699051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-822 904</w:t>
            </w:r>
          </w:p>
        </w:tc>
      </w:tr>
      <w:tr w:rsidR="004D69BF" w:rsidRPr="00D0395E" w14:paraId="192276A5" w14:textId="77777777" w:rsidTr="00A7279C">
        <w:trPr>
          <w:trHeight w:val="330"/>
        </w:trPr>
        <w:tc>
          <w:tcPr>
            <w:tcW w:w="2221" w:type="pct"/>
            <w:tcBorders>
              <w:top w:val="nil"/>
              <w:left w:val="nil"/>
              <w:bottom w:val="nil"/>
              <w:right w:val="nil"/>
            </w:tcBorders>
            <w:shd w:val="clear" w:color="auto" w:fill="auto"/>
            <w:vAlign w:val="center"/>
            <w:hideMark/>
          </w:tcPr>
          <w:p w14:paraId="053633E3"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na prídavok na dieťa</w:t>
            </w:r>
          </w:p>
        </w:tc>
        <w:tc>
          <w:tcPr>
            <w:tcW w:w="556" w:type="pct"/>
            <w:tcBorders>
              <w:top w:val="nil"/>
              <w:left w:val="nil"/>
              <w:bottom w:val="nil"/>
              <w:right w:val="nil"/>
            </w:tcBorders>
            <w:shd w:val="clear" w:color="auto" w:fill="auto"/>
            <w:vAlign w:val="center"/>
            <w:hideMark/>
          </w:tcPr>
          <w:p w14:paraId="0B71301C"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372 588</w:t>
            </w:r>
          </w:p>
        </w:tc>
        <w:tc>
          <w:tcPr>
            <w:tcW w:w="555" w:type="pct"/>
            <w:tcBorders>
              <w:top w:val="nil"/>
              <w:left w:val="nil"/>
              <w:bottom w:val="nil"/>
              <w:right w:val="nil"/>
            </w:tcBorders>
            <w:shd w:val="clear" w:color="auto" w:fill="auto"/>
            <w:vAlign w:val="center"/>
            <w:hideMark/>
          </w:tcPr>
          <w:p w14:paraId="104F4ED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778 585</w:t>
            </w:r>
          </w:p>
        </w:tc>
        <w:tc>
          <w:tcPr>
            <w:tcW w:w="556" w:type="pct"/>
            <w:tcBorders>
              <w:top w:val="nil"/>
              <w:left w:val="nil"/>
              <w:bottom w:val="nil"/>
              <w:right w:val="nil"/>
            </w:tcBorders>
            <w:shd w:val="clear" w:color="auto" w:fill="auto"/>
            <w:vAlign w:val="center"/>
            <w:hideMark/>
          </w:tcPr>
          <w:p w14:paraId="4D8FFEBF"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817 363</w:t>
            </w:r>
          </w:p>
        </w:tc>
        <w:tc>
          <w:tcPr>
            <w:tcW w:w="556" w:type="pct"/>
            <w:tcBorders>
              <w:top w:val="nil"/>
              <w:left w:val="nil"/>
              <w:bottom w:val="nil"/>
              <w:right w:val="nil"/>
            </w:tcBorders>
            <w:shd w:val="clear" w:color="auto" w:fill="auto"/>
            <w:vAlign w:val="center"/>
            <w:hideMark/>
          </w:tcPr>
          <w:p w14:paraId="282CB629"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815 211</w:t>
            </w:r>
          </w:p>
        </w:tc>
        <w:tc>
          <w:tcPr>
            <w:tcW w:w="556" w:type="pct"/>
            <w:tcBorders>
              <w:top w:val="nil"/>
              <w:left w:val="nil"/>
              <w:bottom w:val="nil"/>
              <w:right w:val="nil"/>
            </w:tcBorders>
            <w:shd w:val="clear" w:color="auto" w:fill="auto"/>
            <w:vAlign w:val="center"/>
            <w:hideMark/>
          </w:tcPr>
          <w:p w14:paraId="56551564"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-2 152</w:t>
            </w:r>
          </w:p>
        </w:tc>
      </w:tr>
      <w:tr w:rsidR="004D69BF" w:rsidRPr="00D0395E" w14:paraId="779C7E78" w14:textId="77777777" w:rsidTr="00A7279C">
        <w:trPr>
          <w:trHeight w:val="330"/>
        </w:trPr>
        <w:tc>
          <w:tcPr>
            <w:tcW w:w="2221" w:type="pct"/>
            <w:tcBorders>
              <w:top w:val="nil"/>
              <w:left w:val="nil"/>
              <w:bottom w:val="nil"/>
              <w:right w:val="nil"/>
            </w:tcBorders>
            <w:shd w:val="clear" w:color="auto" w:fill="auto"/>
            <w:vAlign w:val="center"/>
            <w:hideMark/>
          </w:tcPr>
          <w:p w14:paraId="5A2E5F32"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na peňažné príspevky na kompenzáciu</w:t>
            </w:r>
          </w:p>
        </w:tc>
        <w:tc>
          <w:tcPr>
            <w:tcW w:w="556" w:type="pct"/>
            <w:tcBorders>
              <w:top w:val="nil"/>
              <w:left w:val="nil"/>
              <w:bottom w:val="nil"/>
              <w:right w:val="nil"/>
            </w:tcBorders>
            <w:shd w:val="clear" w:color="auto" w:fill="auto"/>
            <w:vAlign w:val="center"/>
            <w:hideMark/>
          </w:tcPr>
          <w:p w14:paraId="4006F767"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811 002</w:t>
            </w:r>
          </w:p>
        </w:tc>
        <w:tc>
          <w:tcPr>
            <w:tcW w:w="555" w:type="pct"/>
            <w:tcBorders>
              <w:top w:val="nil"/>
              <w:left w:val="nil"/>
              <w:bottom w:val="nil"/>
              <w:right w:val="nil"/>
            </w:tcBorders>
            <w:shd w:val="clear" w:color="auto" w:fill="auto"/>
            <w:vAlign w:val="center"/>
            <w:hideMark/>
          </w:tcPr>
          <w:p w14:paraId="664DF60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610 040</w:t>
            </w:r>
          </w:p>
        </w:tc>
        <w:tc>
          <w:tcPr>
            <w:tcW w:w="556" w:type="pct"/>
            <w:tcBorders>
              <w:top w:val="nil"/>
              <w:left w:val="nil"/>
              <w:bottom w:val="nil"/>
              <w:right w:val="nil"/>
            </w:tcBorders>
            <w:shd w:val="clear" w:color="auto" w:fill="auto"/>
            <w:vAlign w:val="center"/>
            <w:hideMark/>
          </w:tcPr>
          <w:p w14:paraId="57E40238" w14:textId="7ADB97A7" w:rsidR="004D69BF" w:rsidRPr="00D0395E" w:rsidRDefault="004D69BF" w:rsidP="00B810F7">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668 </w:t>
            </w:r>
            <w:r w:rsidR="00B810F7">
              <w:rPr>
                <w:rFonts w:eastAsia="Times New Roman" w:cs="Times New Roman"/>
                <w:color w:val="000000"/>
                <w:sz w:val="18"/>
                <w:szCs w:val="18"/>
                <w:lang w:eastAsia="sk-SK"/>
              </w:rPr>
              <w:t>142</w:t>
            </w:r>
          </w:p>
        </w:tc>
        <w:tc>
          <w:tcPr>
            <w:tcW w:w="556" w:type="pct"/>
            <w:tcBorders>
              <w:top w:val="nil"/>
              <w:left w:val="nil"/>
              <w:bottom w:val="nil"/>
              <w:right w:val="nil"/>
            </w:tcBorders>
            <w:shd w:val="clear" w:color="auto" w:fill="auto"/>
            <w:vAlign w:val="center"/>
            <w:hideMark/>
          </w:tcPr>
          <w:p w14:paraId="61360777"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743 482</w:t>
            </w:r>
          </w:p>
        </w:tc>
        <w:tc>
          <w:tcPr>
            <w:tcW w:w="556" w:type="pct"/>
            <w:tcBorders>
              <w:top w:val="nil"/>
              <w:left w:val="nil"/>
              <w:bottom w:val="nil"/>
              <w:right w:val="nil"/>
            </w:tcBorders>
            <w:shd w:val="clear" w:color="auto" w:fill="auto"/>
            <w:vAlign w:val="center"/>
            <w:hideMark/>
          </w:tcPr>
          <w:p w14:paraId="70C95A5C" w14:textId="1D150DF6" w:rsidR="004D69BF" w:rsidRPr="00D0395E" w:rsidRDefault="00B810F7" w:rsidP="00B810F7">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75</w:t>
            </w:r>
            <w:r w:rsidR="004D69BF" w:rsidRPr="00D0395E">
              <w:rPr>
                <w:rFonts w:eastAsia="Times New Roman" w:cs="Times New Roman"/>
                <w:color w:val="000000"/>
                <w:sz w:val="18"/>
                <w:szCs w:val="18"/>
                <w:lang w:eastAsia="sk-SK"/>
              </w:rPr>
              <w:t xml:space="preserve"> </w:t>
            </w:r>
            <w:r>
              <w:rPr>
                <w:rFonts w:eastAsia="Times New Roman" w:cs="Times New Roman"/>
                <w:color w:val="000000"/>
                <w:sz w:val="18"/>
                <w:szCs w:val="18"/>
                <w:lang w:eastAsia="sk-SK"/>
              </w:rPr>
              <w:t>340</w:t>
            </w:r>
          </w:p>
        </w:tc>
      </w:tr>
      <w:tr w:rsidR="004D69BF" w:rsidRPr="00D0395E" w14:paraId="0A2F3C0D" w14:textId="77777777" w:rsidTr="00A7279C">
        <w:trPr>
          <w:trHeight w:val="330"/>
        </w:trPr>
        <w:tc>
          <w:tcPr>
            <w:tcW w:w="2221" w:type="pct"/>
            <w:tcBorders>
              <w:top w:val="nil"/>
              <w:left w:val="nil"/>
              <w:bottom w:val="nil"/>
              <w:right w:val="nil"/>
            </w:tcBorders>
            <w:shd w:val="clear" w:color="auto" w:fill="auto"/>
            <w:vAlign w:val="center"/>
            <w:hideMark/>
          </w:tcPr>
          <w:p w14:paraId="49ACB5F5"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na rodičovský príspevok</w:t>
            </w:r>
          </w:p>
        </w:tc>
        <w:tc>
          <w:tcPr>
            <w:tcW w:w="556" w:type="pct"/>
            <w:tcBorders>
              <w:top w:val="nil"/>
              <w:left w:val="nil"/>
              <w:bottom w:val="nil"/>
              <w:right w:val="nil"/>
            </w:tcBorders>
            <w:shd w:val="clear" w:color="auto" w:fill="auto"/>
            <w:vAlign w:val="center"/>
            <w:hideMark/>
          </w:tcPr>
          <w:p w14:paraId="01CD554B"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605 723</w:t>
            </w:r>
          </w:p>
        </w:tc>
        <w:tc>
          <w:tcPr>
            <w:tcW w:w="555" w:type="pct"/>
            <w:tcBorders>
              <w:top w:val="nil"/>
              <w:left w:val="nil"/>
              <w:bottom w:val="nil"/>
              <w:right w:val="nil"/>
            </w:tcBorders>
            <w:shd w:val="clear" w:color="auto" w:fill="auto"/>
            <w:vAlign w:val="center"/>
            <w:hideMark/>
          </w:tcPr>
          <w:p w14:paraId="3D4DD731"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657 272</w:t>
            </w:r>
          </w:p>
        </w:tc>
        <w:tc>
          <w:tcPr>
            <w:tcW w:w="556" w:type="pct"/>
            <w:tcBorders>
              <w:top w:val="nil"/>
              <w:left w:val="nil"/>
              <w:bottom w:val="nil"/>
              <w:right w:val="nil"/>
            </w:tcBorders>
            <w:shd w:val="clear" w:color="auto" w:fill="auto"/>
            <w:vAlign w:val="center"/>
            <w:hideMark/>
          </w:tcPr>
          <w:p w14:paraId="6E454E70"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745 770</w:t>
            </w:r>
          </w:p>
        </w:tc>
        <w:tc>
          <w:tcPr>
            <w:tcW w:w="556" w:type="pct"/>
            <w:tcBorders>
              <w:top w:val="nil"/>
              <w:left w:val="nil"/>
              <w:bottom w:val="nil"/>
              <w:right w:val="nil"/>
            </w:tcBorders>
            <w:shd w:val="clear" w:color="auto" w:fill="auto"/>
            <w:vAlign w:val="center"/>
            <w:hideMark/>
          </w:tcPr>
          <w:p w14:paraId="73DF152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694 253</w:t>
            </w:r>
          </w:p>
        </w:tc>
        <w:tc>
          <w:tcPr>
            <w:tcW w:w="556" w:type="pct"/>
            <w:tcBorders>
              <w:top w:val="nil"/>
              <w:left w:val="nil"/>
              <w:bottom w:val="nil"/>
              <w:right w:val="nil"/>
            </w:tcBorders>
            <w:shd w:val="clear" w:color="auto" w:fill="auto"/>
            <w:vAlign w:val="center"/>
            <w:hideMark/>
          </w:tcPr>
          <w:p w14:paraId="503B3363"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-51 517</w:t>
            </w:r>
          </w:p>
        </w:tc>
      </w:tr>
      <w:tr w:rsidR="004D69BF" w:rsidRPr="00D0395E" w14:paraId="2D0286EC" w14:textId="77777777" w:rsidTr="00A7279C">
        <w:trPr>
          <w:trHeight w:val="480"/>
        </w:trPr>
        <w:tc>
          <w:tcPr>
            <w:tcW w:w="2221" w:type="pct"/>
            <w:tcBorders>
              <w:top w:val="nil"/>
              <w:left w:val="nil"/>
              <w:bottom w:val="nil"/>
              <w:right w:val="nil"/>
            </w:tcBorders>
            <w:shd w:val="clear" w:color="auto" w:fill="auto"/>
            <w:vAlign w:val="center"/>
            <w:hideMark/>
          </w:tcPr>
          <w:p w14:paraId="32228C4C" w14:textId="77777777" w:rsidR="00A7279C" w:rsidRDefault="004D69BF" w:rsidP="000240DA">
            <w:pPr>
              <w:spacing w:after="0" w:line="240" w:lineRule="auto"/>
              <w:ind w:left="215" w:hanging="215"/>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občianskemu združeniu, nadácii a</w:t>
            </w:r>
            <w:r w:rsidR="00A7279C">
              <w:rPr>
                <w:rFonts w:eastAsia="Times New Roman" w:cs="Times New Roman"/>
                <w:color w:val="000000"/>
                <w:sz w:val="18"/>
                <w:szCs w:val="18"/>
                <w:lang w:eastAsia="sk-SK"/>
              </w:rPr>
              <w:t> </w:t>
            </w:r>
          </w:p>
          <w:p w14:paraId="511F8574" w14:textId="74DF35DE" w:rsidR="004D69BF" w:rsidRPr="00D0395E" w:rsidRDefault="004D69BF" w:rsidP="00A7279C">
            <w:pPr>
              <w:spacing w:after="0" w:line="240" w:lineRule="auto"/>
              <w:ind w:left="215"/>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neinvestič</w:t>
            </w:r>
            <w:r w:rsidR="00A7279C">
              <w:rPr>
                <w:rFonts w:eastAsia="Times New Roman" w:cs="Times New Roman"/>
                <w:color w:val="000000"/>
                <w:sz w:val="18"/>
                <w:szCs w:val="18"/>
                <w:lang w:eastAsia="sk-SK"/>
              </w:rPr>
              <w:t xml:space="preserve">. </w:t>
            </w:r>
            <w:r w:rsidRPr="00D0395E">
              <w:rPr>
                <w:rFonts w:eastAsia="Times New Roman" w:cs="Times New Roman"/>
                <w:color w:val="000000"/>
                <w:sz w:val="18"/>
                <w:szCs w:val="18"/>
                <w:lang w:eastAsia="sk-SK"/>
              </w:rPr>
              <w:t>fondu</w:t>
            </w:r>
          </w:p>
        </w:tc>
        <w:tc>
          <w:tcPr>
            <w:tcW w:w="556" w:type="pct"/>
            <w:tcBorders>
              <w:top w:val="nil"/>
              <w:left w:val="nil"/>
              <w:bottom w:val="nil"/>
              <w:right w:val="nil"/>
            </w:tcBorders>
            <w:shd w:val="clear" w:color="auto" w:fill="auto"/>
            <w:vAlign w:val="center"/>
            <w:hideMark/>
          </w:tcPr>
          <w:p w14:paraId="414F9EF6"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197 951</w:t>
            </w:r>
          </w:p>
        </w:tc>
        <w:tc>
          <w:tcPr>
            <w:tcW w:w="555" w:type="pct"/>
            <w:tcBorders>
              <w:top w:val="nil"/>
              <w:left w:val="nil"/>
              <w:bottom w:val="nil"/>
              <w:right w:val="nil"/>
            </w:tcBorders>
            <w:shd w:val="clear" w:color="auto" w:fill="auto"/>
            <w:vAlign w:val="center"/>
            <w:hideMark/>
          </w:tcPr>
          <w:p w14:paraId="26922BD2"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246 612</w:t>
            </w:r>
          </w:p>
        </w:tc>
        <w:tc>
          <w:tcPr>
            <w:tcW w:w="556" w:type="pct"/>
            <w:tcBorders>
              <w:top w:val="nil"/>
              <w:left w:val="nil"/>
              <w:bottom w:val="nil"/>
              <w:right w:val="nil"/>
            </w:tcBorders>
            <w:shd w:val="clear" w:color="auto" w:fill="auto"/>
            <w:vAlign w:val="center"/>
            <w:hideMark/>
          </w:tcPr>
          <w:p w14:paraId="50A7D2B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152 366</w:t>
            </w:r>
          </w:p>
        </w:tc>
        <w:tc>
          <w:tcPr>
            <w:tcW w:w="556" w:type="pct"/>
            <w:tcBorders>
              <w:top w:val="nil"/>
              <w:left w:val="nil"/>
              <w:bottom w:val="nil"/>
              <w:right w:val="nil"/>
            </w:tcBorders>
            <w:shd w:val="clear" w:color="auto" w:fill="auto"/>
            <w:vAlign w:val="center"/>
            <w:hideMark/>
          </w:tcPr>
          <w:p w14:paraId="514B452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232 456</w:t>
            </w:r>
          </w:p>
        </w:tc>
        <w:tc>
          <w:tcPr>
            <w:tcW w:w="556" w:type="pct"/>
            <w:tcBorders>
              <w:top w:val="nil"/>
              <w:left w:val="nil"/>
              <w:bottom w:val="nil"/>
              <w:right w:val="nil"/>
            </w:tcBorders>
            <w:shd w:val="clear" w:color="auto" w:fill="auto"/>
            <w:vAlign w:val="center"/>
            <w:hideMark/>
          </w:tcPr>
          <w:p w14:paraId="4FA94D2D"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80 090</w:t>
            </w:r>
          </w:p>
        </w:tc>
      </w:tr>
      <w:tr w:rsidR="004D69BF" w:rsidRPr="00D0395E" w14:paraId="72905BE0" w14:textId="77777777" w:rsidTr="00A7279C">
        <w:trPr>
          <w:trHeight w:val="330"/>
        </w:trPr>
        <w:tc>
          <w:tcPr>
            <w:tcW w:w="2221" w:type="pct"/>
            <w:tcBorders>
              <w:top w:val="nil"/>
              <w:left w:val="nil"/>
              <w:bottom w:val="nil"/>
              <w:right w:val="nil"/>
            </w:tcBorders>
            <w:shd w:val="clear" w:color="auto" w:fill="auto"/>
            <w:vAlign w:val="center"/>
            <w:hideMark/>
          </w:tcPr>
          <w:p w14:paraId="54FEE1D3" w14:textId="77777777" w:rsidR="004D69BF" w:rsidRPr="00D0395E" w:rsidRDefault="004D69BF" w:rsidP="000240DA">
            <w:pPr>
              <w:spacing w:after="0" w:line="240" w:lineRule="auto"/>
              <w:ind w:left="215" w:hanging="215"/>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na dávku v hmotnej núdzi a príspevky k dávke</w:t>
            </w:r>
          </w:p>
        </w:tc>
        <w:tc>
          <w:tcPr>
            <w:tcW w:w="556" w:type="pct"/>
            <w:tcBorders>
              <w:top w:val="nil"/>
              <w:left w:val="nil"/>
              <w:bottom w:val="nil"/>
              <w:right w:val="nil"/>
            </w:tcBorders>
            <w:shd w:val="clear" w:color="auto" w:fill="auto"/>
            <w:vAlign w:val="center"/>
            <w:hideMark/>
          </w:tcPr>
          <w:p w14:paraId="512A508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106 746</w:t>
            </w:r>
          </w:p>
        </w:tc>
        <w:tc>
          <w:tcPr>
            <w:tcW w:w="555" w:type="pct"/>
            <w:tcBorders>
              <w:top w:val="nil"/>
              <w:left w:val="nil"/>
              <w:bottom w:val="nil"/>
              <w:right w:val="nil"/>
            </w:tcBorders>
            <w:shd w:val="clear" w:color="auto" w:fill="auto"/>
            <w:vAlign w:val="center"/>
            <w:hideMark/>
          </w:tcPr>
          <w:p w14:paraId="5F60A5C2"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118 038</w:t>
            </w:r>
          </w:p>
        </w:tc>
        <w:tc>
          <w:tcPr>
            <w:tcW w:w="556" w:type="pct"/>
            <w:tcBorders>
              <w:top w:val="nil"/>
              <w:left w:val="nil"/>
              <w:bottom w:val="nil"/>
              <w:right w:val="nil"/>
            </w:tcBorders>
            <w:shd w:val="clear" w:color="auto" w:fill="auto"/>
            <w:vAlign w:val="center"/>
            <w:hideMark/>
          </w:tcPr>
          <w:p w14:paraId="19C3E556"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262 910</w:t>
            </w:r>
          </w:p>
        </w:tc>
        <w:tc>
          <w:tcPr>
            <w:tcW w:w="556" w:type="pct"/>
            <w:tcBorders>
              <w:top w:val="nil"/>
              <w:left w:val="nil"/>
              <w:bottom w:val="nil"/>
              <w:right w:val="nil"/>
            </w:tcBorders>
            <w:shd w:val="clear" w:color="auto" w:fill="auto"/>
            <w:vAlign w:val="center"/>
            <w:hideMark/>
          </w:tcPr>
          <w:p w14:paraId="0B41D043"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133 112</w:t>
            </w:r>
          </w:p>
        </w:tc>
        <w:tc>
          <w:tcPr>
            <w:tcW w:w="556" w:type="pct"/>
            <w:tcBorders>
              <w:top w:val="nil"/>
              <w:left w:val="nil"/>
              <w:bottom w:val="nil"/>
              <w:right w:val="nil"/>
            </w:tcBorders>
            <w:shd w:val="clear" w:color="auto" w:fill="auto"/>
            <w:vAlign w:val="center"/>
            <w:hideMark/>
          </w:tcPr>
          <w:p w14:paraId="76DF60C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-129 798</w:t>
            </w:r>
          </w:p>
        </w:tc>
      </w:tr>
      <w:tr w:rsidR="004D69BF" w:rsidRPr="00D0395E" w14:paraId="4E162AC7" w14:textId="77777777" w:rsidTr="00A7279C">
        <w:trPr>
          <w:trHeight w:val="330"/>
        </w:trPr>
        <w:tc>
          <w:tcPr>
            <w:tcW w:w="2221" w:type="pct"/>
            <w:tcBorders>
              <w:top w:val="nil"/>
              <w:left w:val="nil"/>
              <w:bottom w:val="nil"/>
              <w:right w:val="nil"/>
            </w:tcBorders>
            <w:shd w:val="clear" w:color="auto" w:fill="auto"/>
            <w:vAlign w:val="center"/>
            <w:hideMark/>
          </w:tcPr>
          <w:p w14:paraId="27219963"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súkromnej škole</w:t>
            </w:r>
          </w:p>
        </w:tc>
        <w:tc>
          <w:tcPr>
            <w:tcW w:w="556" w:type="pct"/>
            <w:tcBorders>
              <w:top w:val="nil"/>
              <w:left w:val="nil"/>
              <w:bottom w:val="nil"/>
              <w:right w:val="nil"/>
            </w:tcBorders>
            <w:shd w:val="clear" w:color="auto" w:fill="auto"/>
            <w:vAlign w:val="center"/>
            <w:hideMark/>
          </w:tcPr>
          <w:p w14:paraId="4F062BED"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123 224</w:t>
            </w:r>
          </w:p>
        </w:tc>
        <w:tc>
          <w:tcPr>
            <w:tcW w:w="555" w:type="pct"/>
            <w:tcBorders>
              <w:top w:val="nil"/>
              <w:left w:val="nil"/>
              <w:bottom w:val="nil"/>
              <w:right w:val="nil"/>
            </w:tcBorders>
            <w:shd w:val="clear" w:color="auto" w:fill="auto"/>
            <w:vAlign w:val="center"/>
            <w:hideMark/>
          </w:tcPr>
          <w:p w14:paraId="3AD00F72"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152 090</w:t>
            </w:r>
          </w:p>
        </w:tc>
        <w:tc>
          <w:tcPr>
            <w:tcW w:w="556" w:type="pct"/>
            <w:tcBorders>
              <w:top w:val="nil"/>
              <w:left w:val="nil"/>
              <w:bottom w:val="nil"/>
              <w:right w:val="nil"/>
            </w:tcBorders>
            <w:shd w:val="clear" w:color="auto" w:fill="auto"/>
            <w:vAlign w:val="center"/>
            <w:hideMark/>
          </w:tcPr>
          <w:p w14:paraId="5AED54E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177 102</w:t>
            </w:r>
          </w:p>
        </w:tc>
        <w:tc>
          <w:tcPr>
            <w:tcW w:w="556" w:type="pct"/>
            <w:tcBorders>
              <w:top w:val="nil"/>
              <w:left w:val="nil"/>
              <w:bottom w:val="nil"/>
              <w:right w:val="nil"/>
            </w:tcBorders>
            <w:shd w:val="clear" w:color="auto" w:fill="auto"/>
            <w:vAlign w:val="center"/>
            <w:hideMark/>
          </w:tcPr>
          <w:p w14:paraId="5DDF804E"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186 683</w:t>
            </w:r>
          </w:p>
        </w:tc>
        <w:tc>
          <w:tcPr>
            <w:tcW w:w="556" w:type="pct"/>
            <w:tcBorders>
              <w:top w:val="nil"/>
              <w:left w:val="nil"/>
              <w:bottom w:val="nil"/>
              <w:right w:val="nil"/>
            </w:tcBorders>
            <w:shd w:val="clear" w:color="auto" w:fill="auto"/>
            <w:vAlign w:val="center"/>
            <w:hideMark/>
          </w:tcPr>
          <w:p w14:paraId="624A0E5F"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9 581</w:t>
            </w:r>
          </w:p>
        </w:tc>
      </w:tr>
      <w:tr w:rsidR="004D69BF" w:rsidRPr="00D0395E" w14:paraId="08286768" w14:textId="77777777" w:rsidTr="00A7279C">
        <w:trPr>
          <w:trHeight w:val="330"/>
        </w:trPr>
        <w:tc>
          <w:tcPr>
            <w:tcW w:w="2221" w:type="pct"/>
            <w:tcBorders>
              <w:top w:val="nil"/>
              <w:left w:val="nil"/>
              <w:bottom w:val="nil"/>
              <w:right w:val="nil"/>
            </w:tcBorders>
            <w:shd w:val="clear" w:color="auto" w:fill="auto"/>
            <w:vAlign w:val="center"/>
            <w:hideMark/>
          </w:tcPr>
          <w:p w14:paraId="4373ED15"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cirkevnej škole</w:t>
            </w:r>
          </w:p>
        </w:tc>
        <w:tc>
          <w:tcPr>
            <w:tcW w:w="556" w:type="pct"/>
            <w:tcBorders>
              <w:top w:val="nil"/>
              <w:left w:val="nil"/>
              <w:bottom w:val="nil"/>
              <w:right w:val="nil"/>
            </w:tcBorders>
            <w:shd w:val="clear" w:color="auto" w:fill="auto"/>
            <w:vAlign w:val="center"/>
            <w:hideMark/>
          </w:tcPr>
          <w:p w14:paraId="515B21D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133 155</w:t>
            </w:r>
          </w:p>
        </w:tc>
        <w:tc>
          <w:tcPr>
            <w:tcW w:w="555" w:type="pct"/>
            <w:tcBorders>
              <w:top w:val="nil"/>
              <w:left w:val="nil"/>
              <w:bottom w:val="nil"/>
              <w:right w:val="nil"/>
            </w:tcBorders>
            <w:shd w:val="clear" w:color="auto" w:fill="auto"/>
            <w:vAlign w:val="center"/>
            <w:hideMark/>
          </w:tcPr>
          <w:p w14:paraId="302DD51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164 358</w:t>
            </w:r>
          </w:p>
        </w:tc>
        <w:tc>
          <w:tcPr>
            <w:tcW w:w="556" w:type="pct"/>
            <w:tcBorders>
              <w:top w:val="nil"/>
              <w:left w:val="nil"/>
              <w:bottom w:val="nil"/>
              <w:right w:val="nil"/>
            </w:tcBorders>
            <w:shd w:val="clear" w:color="auto" w:fill="auto"/>
            <w:vAlign w:val="center"/>
            <w:hideMark/>
          </w:tcPr>
          <w:p w14:paraId="69550F6C"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175 679</w:t>
            </w:r>
          </w:p>
        </w:tc>
        <w:tc>
          <w:tcPr>
            <w:tcW w:w="556" w:type="pct"/>
            <w:tcBorders>
              <w:top w:val="nil"/>
              <w:left w:val="nil"/>
              <w:bottom w:val="nil"/>
              <w:right w:val="nil"/>
            </w:tcBorders>
            <w:shd w:val="clear" w:color="auto" w:fill="auto"/>
            <w:vAlign w:val="center"/>
            <w:hideMark/>
          </w:tcPr>
          <w:p w14:paraId="7F3D9F49"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183 147</w:t>
            </w:r>
          </w:p>
        </w:tc>
        <w:tc>
          <w:tcPr>
            <w:tcW w:w="556" w:type="pct"/>
            <w:tcBorders>
              <w:top w:val="nil"/>
              <w:left w:val="nil"/>
              <w:bottom w:val="nil"/>
              <w:right w:val="nil"/>
            </w:tcBorders>
            <w:shd w:val="clear" w:color="auto" w:fill="auto"/>
            <w:vAlign w:val="center"/>
            <w:hideMark/>
          </w:tcPr>
          <w:p w14:paraId="7A14B9C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7 468</w:t>
            </w:r>
          </w:p>
        </w:tc>
      </w:tr>
      <w:tr w:rsidR="004D69BF" w:rsidRPr="00D0395E" w14:paraId="3F7E598D" w14:textId="77777777" w:rsidTr="00A7279C">
        <w:trPr>
          <w:trHeight w:val="330"/>
        </w:trPr>
        <w:tc>
          <w:tcPr>
            <w:tcW w:w="2221" w:type="pct"/>
            <w:tcBorders>
              <w:top w:val="nil"/>
              <w:left w:val="nil"/>
              <w:bottom w:val="nil"/>
              <w:right w:val="nil"/>
            </w:tcBorders>
            <w:shd w:val="clear" w:color="auto" w:fill="auto"/>
            <w:vAlign w:val="center"/>
            <w:hideMark/>
          </w:tcPr>
          <w:p w14:paraId="1113BF59"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neziskovej organizácii</w:t>
            </w:r>
          </w:p>
        </w:tc>
        <w:tc>
          <w:tcPr>
            <w:tcW w:w="556" w:type="pct"/>
            <w:tcBorders>
              <w:top w:val="nil"/>
              <w:left w:val="nil"/>
              <w:bottom w:val="nil"/>
              <w:right w:val="nil"/>
            </w:tcBorders>
            <w:shd w:val="clear" w:color="auto" w:fill="auto"/>
            <w:vAlign w:val="center"/>
            <w:hideMark/>
          </w:tcPr>
          <w:p w14:paraId="3DA08682"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151 293</w:t>
            </w:r>
          </w:p>
        </w:tc>
        <w:tc>
          <w:tcPr>
            <w:tcW w:w="555" w:type="pct"/>
            <w:tcBorders>
              <w:top w:val="nil"/>
              <w:left w:val="nil"/>
              <w:bottom w:val="nil"/>
              <w:right w:val="nil"/>
            </w:tcBorders>
            <w:shd w:val="clear" w:color="auto" w:fill="auto"/>
            <w:vAlign w:val="center"/>
            <w:hideMark/>
          </w:tcPr>
          <w:p w14:paraId="52550683"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147 440</w:t>
            </w:r>
          </w:p>
        </w:tc>
        <w:tc>
          <w:tcPr>
            <w:tcW w:w="556" w:type="pct"/>
            <w:tcBorders>
              <w:top w:val="nil"/>
              <w:left w:val="nil"/>
              <w:bottom w:val="nil"/>
              <w:right w:val="nil"/>
            </w:tcBorders>
            <w:shd w:val="clear" w:color="auto" w:fill="auto"/>
            <w:vAlign w:val="center"/>
            <w:hideMark/>
          </w:tcPr>
          <w:p w14:paraId="22E7AEE7"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201 485</w:t>
            </w:r>
          </w:p>
        </w:tc>
        <w:tc>
          <w:tcPr>
            <w:tcW w:w="556" w:type="pct"/>
            <w:tcBorders>
              <w:top w:val="nil"/>
              <w:left w:val="nil"/>
              <w:bottom w:val="nil"/>
              <w:right w:val="nil"/>
            </w:tcBorders>
            <w:shd w:val="clear" w:color="auto" w:fill="auto"/>
            <w:vAlign w:val="center"/>
            <w:hideMark/>
          </w:tcPr>
          <w:p w14:paraId="2D2D8932"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162 450</w:t>
            </w:r>
          </w:p>
        </w:tc>
        <w:tc>
          <w:tcPr>
            <w:tcW w:w="556" w:type="pct"/>
            <w:tcBorders>
              <w:top w:val="nil"/>
              <w:left w:val="nil"/>
              <w:bottom w:val="nil"/>
              <w:right w:val="nil"/>
            </w:tcBorders>
            <w:shd w:val="clear" w:color="auto" w:fill="auto"/>
            <w:vAlign w:val="center"/>
            <w:hideMark/>
          </w:tcPr>
          <w:p w14:paraId="46F4FC42"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-39 035</w:t>
            </w:r>
          </w:p>
        </w:tc>
      </w:tr>
      <w:tr w:rsidR="004D69BF" w:rsidRPr="00D0395E" w14:paraId="03134BB9" w14:textId="77777777" w:rsidTr="00A7279C">
        <w:trPr>
          <w:trHeight w:val="330"/>
        </w:trPr>
        <w:tc>
          <w:tcPr>
            <w:tcW w:w="2221" w:type="pct"/>
            <w:tcBorders>
              <w:top w:val="nil"/>
              <w:left w:val="nil"/>
              <w:bottom w:val="nil"/>
              <w:right w:val="nil"/>
            </w:tcBorders>
            <w:shd w:val="clear" w:color="auto" w:fill="auto"/>
            <w:vAlign w:val="center"/>
            <w:hideMark/>
          </w:tcPr>
          <w:p w14:paraId="6D3E4D70"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jednotlivcovi</w:t>
            </w:r>
          </w:p>
        </w:tc>
        <w:tc>
          <w:tcPr>
            <w:tcW w:w="556" w:type="pct"/>
            <w:tcBorders>
              <w:top w:val="nil"/>
              <w:left w:val="nil"/>
              <w:bottom w:val="nil"/>
              <w:right w:val="nil"/>
            </w:tcBorders>
            <w:shd w:val="clear" w:color="auto" w:fill="auto"/>
            <w:vAlign w:val="center"/>
            <w:hideMark/>
          </w:tcPr>
          <w:p w14:paraId="0A2DAC04"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97 705</w:t>
            </w:r>
          </w:p>
        </w:tc>
        <w:tc>
          <w:tcPr>
            <w:tcW w:w="555" w:type="pct"/>
            <w:tcBorders>
              <w:top w:val="nil"/>
              <w:left w:val="nil"/>
              <w:bottom w:val="nil"/>
              <w:right w:val="nil"/>
            </w:tcBorders>
            <w:shd w:val="clear" w:color="auto" w:fill="auto"/>
            <w:vAlign w:val="center"/>
            <w:hideMark/>
          </w:tcPr>
          <w:p w14:paraId="152CBF57"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74 085</w:t>
            </w:r>
          </w:p>
        </w:tc>
        <w:tc>
          <w:tcPr>
            <w:tcW w:w="556" w:type="pct"/>
            <w:tcBorders>
              <w:top w:val="nil"/>
              <w:left w:val="nil"/>
              <w:bottom w:val="nil"/>
              <w:right w:val="nil"/>
            </w:tcBorders>
            <w:shd w:val="clear" w:color="auto" w:fill="auto"/>
            <w:vAlign w:val="center"/>
            <w:hideMark/>
          </w:tcPr>
          <w:p w14:paraId="70B534AF"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185 778</w:t>
            </w:r>
          </w:p>
        </w:tc>
        <w:tc>
          <w:tcPr>
            <w:tcW w:w="556" w:type="pct"/>
            <w:tcBorders>
              <w:top w:val="nil"/>
              <w:left w:val="nil"/>
              <w:bottom w:val="nil"/>
              <w:right w:val="nil"/>
            </w:tcBorders>
            <w:shd w:val="clear" w:color="auto" w:fill="auto"/>
            <w:vAlign w:val="center"/>
            <w:hideMark/>
          </w:tcPr>
          <w:p w14:paraId="72B313BC"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101 409</w:t>
            </w:r>
          </w:p>
        </w:tc>
        <w:tc>
          <w:tcPr>
            <w:tcW w:w="556" w:type="pct"/>
            <w:tcBorders>
              <w:top w:val="nil"/>
              <w:left w:val="nil"/>
              <w:bottom w:val="nil"/>
              <w:right w:val="nil"/>
            </w:tcBorders>
            <w:shd w:val="clear" w:color="auto" w:fill="auto"/>
            <w:vAlign w:val="center"/>
            <w:hideMark/>
          </w:tcPr>
          <w:p w14:paraId="5B08FE5E"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-84 369</w:t>
            </w:r>
          </w:p>
        </w:tc>
      </w:tr>
      <w:tr w:rsidR="004D69BF" w:rsidRPr="00D0395E" w14:paraId="0650D826" w14:textId="77777777" w:rsidTr="00A7279C">
        <w:trPr>
          <w:trHeight w:val="330"/>
        </w:trPr>
        <w:tc>
          <w:tcPr>
            <w:tcW w:w="2221" w:type="pct"/>
            <w:tcBorders>
              <w:top w:val="nil"/>
              <w:left w:val="nil"/>
              <w:bottom w:val="nil"/>
              <w:right w:val="nil"/>
            </w:tcBorders>
            <w:shd w:val="clear" w:color="auto" w:fill="auto"/>
            <w:noWrap/>
            <w:vAlign w:val="center"/>
            <w:hideMark/>
          </w:tcPr>
          <w:p w14:paraId="164C9715"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Transfery nefinančným subjektom</w:t>
            </w:r>
          </w:p>
        </w:tc>
        <w:tc>
          <w:tcPr>
            <w:tcW w:w="556" w:type="pct"/>
            <w:tcBorders>
              <w:top w:val="nil"/>
              <w:left w:val="nil"/>
              <w:bottom w:val="nil"/>
              <w:right w:val="nil"/>
            </w:tcBorders>
            <w:shd w:val="clear" w:color="auto" w:fill="auto"/>
            <w:vAlign w:val="center"/>
            <w:hideMark/>
          </w:tcPr>
          <w:p w14:paraId="134CADD1"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1 147 850</w:t>
            </w:r>
          </w:p>
        </w:tc>
        <w:tc>
          <w:tcPr>
            <w:tcW w:w="555" w:type="pct"/>
            <w:tcBorders>
              <w:top w:val="nil"/>
              <w:left w:val="nil"/>
              <w:bottom w:val="nil"/>
              <w:right w:val="nil"/>
            </w:tcBorders>
            <w:shd w:val="clear" w:color="auto" w:fill="auto"/>
            <w:vAlign w:val="center"/>
            <w:hideMark/>
          </w:tcPr>
          <w:p w14:paraId="7FB4E358"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4 020 638</w:t>
            </w:r>
          </w:p>
        </w:tc>
        <w:tc>
          <w:tcPr>
            <w:tcW w:w="556" w:type="pct"/>
            <w:tcBorders>
              <w:top w:val="nil"/>
              <w:left w:val="nil"/>
              <w:bottom w:val="nil"/>
              <w:right w:val="nil"/>
            </w:tcBorders>
            <w:shd w:val="clear" w:color="auto" w:fill="auto"/>
            <w:vAlign w:val="center"/>
            <w:hideMark/>
          </w:tcPr>
          <w:p w14:paraId="59829E8E"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2 214 618</w:t>
            </w:r>
          </w:p>
        </w:tc>
        <w:tc>
          <w:tcPr>
            <w:tcW w:w="556" w:type="pct"/>
            <w:tcBorders>
              <w:top w:val="nil"/>
              <w:left w:val="nil"/>
              <w:bottom w:val="nil"/>
              <w:right w:val="nil"/>
            </w:tcBorders>
            <w:shd w:val="clear" w:color="auto" w:fill="auto"/>
            <w:vAlign w:val="center"/>
            <w:hideMark/>
          </w:tcPr>
          <w:p w14:paraId="03098388"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2 378 981</w:t>
            </w:r>
          </w:p>
        </w:tc>
        <w:tc>
          <w:tcPr>
            <w:tcW w:w="556" w:type="pct"/>
            <w:tcBorders>
              <w:top w:val="nil"/>
              <w:left w:val="nil"/>
              <w:bottom w:val="nil"/>
              <w:right w:val="nil"/>
            </w:tcBorders>
            <w:shd w:val="clear" w:color="auto" w:fill="auto"/>
            <w:vAlign w:val="center"/>
            <w:hideMark/>
          </w:tcPr>
          <w:p w14:paraId="1F07B8FF"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164 363</w:t>
            </w:r>
          </w:p>
        </w:tc>
      </w:tr>
      <w:tr w:rsidR="004D69BF" w:rsidRPr="00D0395E" w14:paraId="3D6CCDB0" w14:textId="77777777" w:rsidTr="00A7279C">
        <w:trPr>
          <w:trHeight w:val="330"/>
        </w:trPr>
        <w:tc>
          <w:tcPr>
            <w:tcW w:w="2221" w:type="pct"/>
            <w:tcBorders>
              <w:top w:val="nil"/>
              <w:left w:val="nil"/>
              <w:bottom w:val="nil"/>
              <w:right w:val="nil"/>
            </w:tcBorders>
            <w:shd w:val="clear" w:color="auto" w:fill="auto"/>
            <w:noWrap/>
            <w:vAlign w:val="center"/>
            <w:hideMark/>
          </w:tcPr>
          <w:p w14:paraId="6680D530"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Transfery do zahraničia</w:t>
            </w:r>
          </w:p>
        </w:tc>
        <w:tc>
          <w:tcPr>
            <w:tcW w:w="556" w:type="pct"/>
            <w:tcBorders>
              <w:top w:val="nil"/>
              <w:left w:val="nil"/>
              <w:bottom w:val="nil"/>
              <w:right w:val="nil"/>
            </w:tcBorders>
            <w:shd w:val="clear" w:color="auto" w:fill="auto"/>
            <w:vAlign w:val="center"/>
            <w:hideMark/>
          </w:tcPr>
          <w:p w14:paraId="777F72CB"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1 028 943</w:t>
            </w:r>
          </w:p>
        </w:tc>
        <w:tc>
          <w:tcPr>
            <w:tcW w:w="555" w:type="pct"/>
            <w:tcBorders>
              <w:top w:val="nil"/>
              <w:left w:val="nil"/>
              <w:bottom w:val="nil"/>
              <w:right w:val="nil"/>
            </w:tcBorders>
            <w:shd w:val="clear" w:color="auto" w:fill="auto"/>
            <w:vAlign w:val="center"/>
            <w:hideMark/>
          </w:tcPr>
          <w:p w14:paraId="6F63C636"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1 071 926</w:t>
            </w:r>
          </w:p>
        </w:tc>
        <w:tc>
          <w:tcPr>
            <w:tcW w:w="556" w:type="pct"/>
            <w:tcBorders>
              <w:top w:val="nil"/>
              <w:left w:val="nil"/>
              <w:bottom w:val="nil"/>
              <w:right w:val="nil"/>
            </w:tcBorders>
            <w:shd w:val="clear" w:color="auto" w:fill="auto"/>
            <w:vAlign w:val="center"/>
            <w:hideMark/>
          </w:tcPr>
          <w:p w14:paraId="61B7F82E"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1 171 665</w:t>
            </w:r>
          </w:p>
        </w:tc>
        <w:tc>
          <w:tcPr>
            <w:tcW w:w="556" w:type="pct"/>
            <w:tcBorders>
              <w:top w:val="nil"/>
              <w:left w:val="nil"/>
              <w:bottom w:val="nil"/>
              <w:right w:val="nil"/>
            </w:tcBorders>
            <w:shd w:val="clear" w:color="auto" w:fill="auto"/>
            <w:vAlign w:val="center"/>
            <w:hideMark/>
          </w:tcPr>
          <w:p w14:paraId="69B8F292"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928 684</w:t>
            </w:r>
          </w:p>
        </w:tc>
        <w:tc>
          <w:tcPr>
            <w:tcW w:w="556" w:type="pct"/>
            <w:tcBorders>
              <w:top w:val="nil"/>
              <w:left w:val="nil"/>
              <w:bottom w:val="nil"/>
              <w:right w:val="nil"/>
            </w:tcBorders>
            <w:shd w:val="clear" w:color="auto" w:fill="auto"/>
            <w:vAlign w:val="center"/>
            <w:hideMark/>
          </w:tcPr>
          <w:p w14:paraId="773EC086"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-242 981</w:t>
            </w:r>
          </w:p>
        </w:tc>
      </w:tr>
      <w:tr w:rsidR="004D69BF" w:rsidRPr="00D0395E" w14:paraId="71C3497B" w14:textId="77777777" w:rsidTr="00A7279C">
        <w:trPr>
          <w:trHeight w:val="345"/>
        </w:trPr>
        <w:tc>
          <w:tcPr>
            <w:tcW w:w="2221" w:type="pct"/>
            <w:tcBorders>
              <w:top w:val="nil"/>
              <w:left w:val="nil"/>
              <w:bottom w:val="single" w:sz="4" w:space="0" w:color="auto"/>
              <w:right w:val="nil"/>
            </w:tcBorders>
            <w:shd w:val="clear" w:color="auto" w:fill="auto"/>
            <w:vAlign w:val="center"/>
            <w:hideMark/>
          </w:tcPr>
          <w:p w14:paraId="121BC044" w14:textId="77777777" w:rsidR="004D69BF" w:rsidRPr="00D0395E" w:rsidRDefault="004D69BF" w:rsidP="000240DA">
            <w:pPr>
              <w:spacing w:after="0" w:line="240" w:lineRule="auto"/>
              <w:jc w:val="left"/>
              <w:rPr>
                <w:rFonts w:eastAsia="Times New Roman" w:cs="Times New Roman"/>
                <w:color w:val="000000"/>
                <w:sz w:val="18"/>
                <w:szCs w:val="18"/>
                <w:lang w:eastAsia="sk-SK"/>
              </w:rPr>
            </w:pPr>
            <w:r w:rsidRPr="00D0395E">
              <w:rPr>
                <w:rFonts w:eastAsia="Times New Roman" w:cs="Times New Roman"/>
                <w:color w:val="000000"/>
                <w:sz w:val="18"/>
                <w:szCs w:val="18"/>
                <w:lang w:eastAsia="sk-SK"/>
              </w:rPr>
              <w:t>Transfery do tuzemských finančných inštitúcií</w:t>
            </w:r>
          </w:p>
        </w:tc>
        <w:tc>
          <w:tcPr>
            <w:tcW w:w="556" w:type="pct"/>
            <w:tcBorders>
              <w:top w:val="nil"/>
              <w:left w:val="nil"/>
              <w:bottom w:val="single" w:sz="4" w:space="0" w:color="auto"/>
              <w:right w:val="nil"/>
            </w:tcBorders>
            <w:shd w:val="clear" w:color="auto" w:fill="auto"/>
            <w:vAlign w:val="center"/>
            <w:hideMark/>
          </w:tcPr>
          <w:p w14:paraId="4DABB6B0"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16 474</w:t>
            </w:r>
          </w:p>
        </w:tc>
        <w:tc>
          <w:tcPr>
            <w:tcW w:w="555" w:type="pct"/>
            <w:tcBorders>
              <w:top w:val="nil"/>
              <w:left w:val="nil"/>
              <w:bottom w:val="single" w:sz="4" w:space="0" w:color="auto"/>
              <w:right w:val="nil"/>
            </w:tcBorders>
            <w:shd w:val="clear" w:color="auto" w:fill="auto"/>
            <w:vAlign w:val="center"/>
            <w:hideMark/>
          </w:tcPr>
          <w:p w14:paraId="4F8C4A70"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122 161</w:t>
            </w:r>
          </w:p>
        </w:tc>
        <w:tc>
          <w:tcPr>
            <w:tcW w:w="556" w:type="pct"/>
            <w:tcBorders>
              <w:top w:val="nil"/>
              <w:left w:val="nil"/>
              <w:bottom w:val="single" w:sz="4" w:space="0" w:color="auto"/>
              <w:right w:val="nil"/>
            </w:tcBorders>
            <w:shd w:val="clear" w:color="auto" w:fill="auto"/>
            <w:vAlign w:val="center"/>
            <w:hideMark/>
          </w:tcPr>
          <w:p w14:paraId="541095FC"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7 447</w:t>
            </w:r>
          </w:p>
        </w:tc>
        <w:tc>
          <w:tcPr>
            <w:tcW w:w="556" w:type="pct"/>
            <w:tcBorders>
              <w:top w:val="nil"/>
              <w:left w:val="nil"/>
              <w:bottom w:val="single" w:sz="4" w:space="0" w:color="auto"/>
              <w:right w:val="nil"/>
            </w:tcBorders>
            <w:shd w:val="clear" w:color="auto" w:fill="auto"/>
            <w:vAlign w:val="center"/>
            <w:hideMark/>
          </w:tcPr>
          <w:p w14:paraId="1B56C296"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3 663</w:t>
            </w:r>
          </w:p>
        </w:tc>
        <w:tc>
          <w:tcPr>
            <w:tcW w:w="556" w:type="pct"/>
            <w:tcBorders>
              <w:top w:val="nil"/>
              <w:left w:val="nil"/>
              <w:bottom w:val="single" w:sz="4" w:space="0" w:color="auto"/>
              <w:right w:val="nil"/>
            </w:tcBorders>
            <w:shd w:val="clear" w:color="auto" w:fill="auto"/>
            <w:vAlign w:val="center"/>
            <w:hideMark/>
          </w:tcPr>
          <w:p w14:paraId="6A73A664"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-3 784</w:t>
            </w:r>
          </w:p>
        </w:tc>
      </w:tr>
      <w:tr w:rsidR="004D69BF" w:rsidRPr="00D0395E" w14:paraId="6ABAA501" w14:textId="77777777" w:rsidTr="00A7279C">
        <w:trPr>
          <w:trHeight w:val="345"/>
        </w:trPr>
        <w:tc>
          <w:tcPr>
            <w:tcW w:w="2221" w:type="pct"/>
            <w:tcBorders>
              <w:top w:val="single" w:sz="4" w:space="0" w:color="auto"/>
              <w:left w:val="nil"/>
              <w:bottom w:val="single" w:sz="4" w:space="0" w:color="auto"/>
              <w:right w:val="nil"/>
            </w:tcBorders>
            <w:shd w:val="clear" w:color="auto" w:fill="auto"/>
            <w:vAlign w:val="center"/>
            <w:hideMark/>
          </w:tcPr>
          <w:p w14:paraId="6BE6D6E3" w14:textId="77777777" w:rsidR="004D69BF" w:rsidRPr="00D0395E" w:rsidRDefault="004D69BF" w:rsidP="000240DA">
            <w:pPr>
              <w:spacing w:after="0"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Spolu</w:t>
            </w:r>
          </w:p>
        </w:tc>
        <w:tc>
          <w:tcPr>
            <w:tcW w:w="556" w:type="pct"/>
            <w:tcBorders>
              <w:top w:val="single" w:sz="4" w:space="0" w:color="auto"/>
              <w:left w:val="nil"/>
              <w:bottom w:val="single" w:sz="4" w:space="0" w:color="auto"/>
              <w:right w:val="nil"/>
            </w:tcBorders>
            <w:shd w:val="clear" w:color="auto" w:fill="auto"/>
            <w:noWrap/>
            <w:vAlign w:val="center"/>
            <w:hideMark/>
          </w:tcPr>
          <w:p w14:paraId="11CEAF30"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14 822 787</w:t>
            </w:r>
          </w:p>
        </w:tc>
        <w:tc>
          <w:tcPr>
            <w:tcW w:w="555" w:type="pct"/>
            <w:tcBorders>
              <w:top w:val="single" w:sz="4" w:space="0" w:color="auto"/>
              <w:left w:val="nil"/>
              <w:bottom w:val="single" w:sz="4" w:space="0" w:color="auto"/>
              <w:right w:val="nil"/>
            </w:tcBorders>
            <w:shd w:val="clear" w:color="auto" w:fill="auto"/>
            <w:noWrap/>
            <w:vAlign w:val="center"/>
            <w:hideMark/>
          </w:tcPr>
          <w:p w14:paraId="41238D7E"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20 046 164</w:t>
            </w:r>
          </w:p>
        </w:tc>
        <w:tc>
          <w:tcPr>
            <w:tcW w:w="556" w:type="pct"/>
            <w:tcBorders>
              <w:top w:val="single" w:sz="4" w:space="0" w:color="auto"/>
              <w:left w:val="nil"/>
              <w:bottom w:val="single" w:sz="4" w:space="0" w:color="auto"/>
              <w:right w:val="nil"/>
            </w:tcBorders>
            <w:shd w:val="clear" w:color="auto" w:fill="auto"/>
            <w:noWrap/>
            <w:vAlign w:val="center"/>
            <w:hideMark/>
          </w:tcPr>
          <w:p w14:paraId="0BF7F870"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19 522 005</w:t>
            </w:r>
          </w:p>
        </w:tc>
        <w:tc>
          <w:tcPr>
            <w:tcW w:w="556" w:type="pct"/>
            <w:tcBorders>
              <w:top w:val="single" w:sz="4" w:space="0" w:color="auto"/>
              <w:left w:val="nil"/>
              <w:bottom w:val="single" w:sz="4" w:space="0" w:color="auto"/>
              <w:right w:val="nil"/>
            </w:tcBorders>
            <w:shd w:val="clear" w:color="auto" w:fill="auto"/>
            <w:noWrap/>
            <w:vAlign w:val="center"/>
            <w:hideMark/>
          </w:tcPr>
          <w:p w14:paraId="4302961D"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20 050 685</w:t>
            </w:r>
          </w:p>
        </w:tc>
        <w:tc>
          <w:tcPr>
            <w:tcW w:w="556" w:type="pct"/>
            <w:tcBorders>
              <w:top w:val="single" w:sz="4" w:space="0" w:color="auto"/>
              <w:left w:val="nil"/>
              <w:bottom w:val="single" w:sz="4" w:space="0" w:color="auto"/>
              <w:right w:val="nil"/>
            </w:tcBorders>
            <w:shd w:val="clear" w:color="auto" w:fill="auto"/>
            <w:noWrap/>
            <w:vAlign w:val="center"/>
            <w:hideMark/>
          </w:tcPr>
          <w:p w14:paraId="55459D91"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528 680</w:t>
            </w:r>
          </w:p>
        </w:tc>
      </w:tr>
    </w:tbl>
    <w:p w14:paraId="48D180C5" w14:textId="0E83BFE5" w:rsidR="001B4BBA" w:rsidRPr="001B4BBA" w:rsidRDefault="001B4BBA" w:rsidP="00A7279C">
      <w:pPr>
        <w:spacing w:line="240" w:lineRule="auto"/>
        <w:ind w:left="7650"/>
        <w:rPr>
          <w:rFonts w:eastAsia="Calibri" w:cs="Times New Roman"/>
          <w:sz w:val="18"/>
          <w:szCs w:val="18"/>
        </w:rPr>
      </w:pPr>
      <w:r w:rsidRPr="001B4BBA">
        <w:rPr>
          <w:rFonts w:eastAsia="Calibri" w:cs="Times New Roman"/>
          <w:sz w:val="18"/>
          <w:szCs w:val="18"/>
        </w:rPr>
        <w:t>Zdroj: MF SR</w:t>
      </w:r>
    </w:p>
    <w:p w14:paraId="457CF839" w14:textId="3920D151" w:rsidR="004D69BF" w:rsidRDefault="004D69BF" w:rsidP="004D69BF">
      <w:pPr>
        <w:spacing w:line="240" w:lineRule="auto"/>
        <w:rPr>
          <w:rFonts w:eastAsia="Calibri" w:cs="Times New Roman"/>
          <w:sz w:val="24"/>
          <w:szCs w:val="24"/>
        </w:rPr>
      </w:pPr>
      <w:r w:rsidRPr="008E112F">
        <w:rPr>
          <w:rFonts w:eastAsia="Calibri" w:cs="Times New Roman"/>
          <w:b/>
          <w:i/>
          <w:sz w:val="24"/>
          <w:szCs w:val="24"/>
        </w:rPr>
        <w:t xml:space="preserve">Sociálnej poisťovni </w:t>
      </w:r>
      <w:r w:rsidRPr="002A13E3">
        <w:rPr>
          <w:rFonts w:eastAsia="Calibri" w:cs="Times New Roman"/>
          <w:bCs/>
          <w:iCs/>
          <w:sz w:val="24"/>
          <w:szCs w:val="24"/>
        </w:rPr>
        <w:t xml:space="preserve">bol </w:t>
      </w:r>
      <w:r>
        <w:rPr>
          <w:rFonts w:eastAsia="Calibri" w:cs="Times New Roman"/>
          <w:bCs/>
          <w:iCs/>
          <w:sz w:val="24"/>
          <w:szCs w:val="24"/>
        </w:rPr>
        <w:t xml:space="preserve">prostredníctvom </w:t>
      </w:r>
      <w:r w:rsidRPr="008E112F">
        <w:rPr>
          <w:rFonts w:eastAsia="Calibri" w:cs="Times New Roman"/>
          <w:sz w:val="24"/>
          <w:szCs w:val="24"/>
        </w:rPr>
        <w:t>Všeobecnej pokladničnej správy</w:t>
      </w:r>
      <w:r>
        <w:rPr>
          <w:rFonts w:eastAsia="Calibri" w:cs="Times New Roman"/>
          <w:sz w:val="24"/>
          <w:szCs w:val="24"/>
        </w:rPr>
        <w:t xml:space="preserve"> poskytn</w:t>
      </w:r>
      <w:r w:rsidR="008644B4">
        <w:rPr>
          <w:rFonts w:eastAsia="Calibri" w:cs="Times New Roman"/>
          <w:sz w:val="24"/>
          <w:szCs w:val="24"/>
        </w:rPr>
        <w:t>utý transfer vo výške 2 720 000 </w:t>
      </w:r>
      <w:r>
        <w:rPr>
          <w:rFonts w:eastAsia="Calibri" w:cs="Times New Roman"/>
          <w:sz w:val="24"/>
          <w:szCs w:val="24"/>
        </w:rPr>
        <w:t>tis.</w:t>
      </w:r>
      <w:r w:rsidR="008644B4">
        <w:rPr>
          <w:rFonts w:eastAsia="Calibri" w:cs="Times New Roman"/>
          <w:sz w:val="24"/>
          <w:szCs w:val="24"/>
        </w:rPr>
        <w:t> </w:t>
      </w:r>
      <w:r>
        <w:rPr>
          <w:rFonts w:eastAsia="Calibri" w:cs="Times New Roman"/>
          <w:sz w:val="24"/>
          <w:szCs w:val="24"/>
        </w:rPr>
        <w:t>eur, pričom v rozpočte schvále</w:t>
      </w:r>
      <w:r w:rsidR="008644B4">
        <w:rPr>
          <w:rFonts w:eastAsia="Calibri" w:cs="Times New Roman"/>
          <w:sz w:val="24"/>
          <w:szCs w:val="24"/>
        </w:rPr>
        <w:t>ný objem predstavoval 1 600 000 </w:t>
      </w:r>
      <w:r>
        <w:rPr>
          <w:rFonts w:eastAsia="Calibri" w:cs="Times New Roman"/>
          <w:sz w:val="24"/>
          <w:szCs w:val="24"/>
        </w:rPr>
        <w:t>tis.</w:t>
      </w:r>
      <w:r w:rsidR="008644B4">
        <w:rPr>
          <w:rFonts w:eastAsia="Calibri" w:cs="Times New Roman"/>
          <w:sz w:val="24"/>
          <w:szCs w:val="24"/>
        </w:rPr>
        <w:t> </w:t>
      </w:r>
      <w:r>
        <w:rPr>
          <w:rFonts w:eastAsia="Calibri" w:cs="Times New Roman"/>
          <w:sz w:val="24"/>
          <w:szCs w:val="24"/>
        </w:rPr>
        <w:t>eur. Vyššie ako plánované transfery boli z dôvodu vyplatenie 13.</w:t>
      </w:r>
      <w:r w:rsidR="008644B4">
        <w:rPr>
          <w:rFonts w:eastAsia="Calibri" w:cs="Times New Roman"/>
          <w:sz w:val="24"/>
          <w:szCs w:val="24"/>
        </w:rPr>
        <w:t> </w:t>
      </w:r>
      <w:r>
        <w:rPr>
          <w:rFonts w:eastAsia="Calibri" w:cs="Times New Roman"/>
          <w:sz w:val="24"/>
          <w:szCs w:val="24"/>
        </w:rPr>
        <w:t>dôchodku (823</w:t>
      </w:r>
      <w:r w:rsidR="008644B4">
        <w:rPr>
          <w:rFonts w:eastAsia="Calibri" w:cs="Times New Roman"/>
          <w:sz w:val="24"/>
          <w:szCs w:val="24"/>
        </w:rPr>
        <w:t> </w:t>
      </w:r>
      <w:r>
        <w:rPr>
          <w:rFonts w:eastAsia="Calibri" w:cs="Times New Roman"/>
          <w:sz w:val="24"/>
          <w:szCs w:val="24"/>
        </w:rPr>
        <w:t>019</w:t>
      </w:r>
      <w:r w:rsidR="008644B4">
        <w:rPr>
          <w:rFonts w:eastAsia="Calibri" w:cs="Times New Roman"/>
          <w:sz w:val="24"/>
          <w:szCs w:val="24"/>
        </w:rPr>
        <w:t> </w:t>
      </w:r>
      <w:r>
        <w:rPr>
          <w:rFonts w:eastAsia="Calibri" w:cs="Times New Roman"/>
          <w:sz w:val="24"/>
          <w:szCs w:val="24"/>
        </w:rPr>
        <w:t>tis.</w:t>
      </w:r>
      <w:r w:rsidR="008644B4">
        <w:rPr>
          <w:rFonts w:eastAsia="Calibri" w:cs="Times New Roman"/>
          <w:sz w:val="24"/>
          <w:szCs w:val="24"/>
        </w:rPr>
        <w:t> </w:t>
      </w:r>
      <w:r>
        <w:rPr>
          <w:rFonts w:eastAsia="Calibri" w:cs="Times New Roman"/>
          <w:sz w:val="24"/>
          <w:szCs w:val="24"/>
        </w:rPr>
        <w:t>eur), na</w:t>
      </w:r>
      <w:r w:rsidR="008644B4">
        <w:rPr>
          <w:rFonts w:eastAsia="Calibri" w:cs="Times New Roman"/>
          <w:sz w:val="24"/>
          <w:szCs w:val="24"/>
        </w:rPr>
        <w:t> </w:t>
      </w:r>
      <w:r>
        <w:rPr>
          <w:rFonts w:eastAsia="Calibri" w:cs="Times New Roman"/>
          <w:sz w:val="24"/>
          <w:szCs w:val="24"/>
        </w:rPr>
        <w:t>ktorého prostriedky boli rozpočtované vo Všeobecnej pokladničnej správe, ďalšie zvýšené výdavky Sociálnej poisťovne súviseli s vyšším vyplácaním predčasných starobných dôchodkov z dôvodu zmeny podmienok ako aj s vyšším vyplácaním starobných dôchodkov než počítal rozpočet.</w:t>
      </w:r>
    </w:p>
    <w:p w14:paraId="664B7DAB" w14:textId="0CEE91D1" w:rsidR="004D69BF" w:rsidRPr="000254D0" w:rsidRDefault="004D69BF" w:rsidP="004D69BF">
      <w:pPr>
        <w:shd w:val="clear" w:color="auto" w:fill="FFFFFF"/>
        <w:spacing w:before="120" w:line="240" w:lineRule="auto"/>
        <w:rPr>
          <w:rFonts w:eastAsia="Calibri" w:cs="Times New Roman"/>
          <w:sz w:val="24"/>
          <w:szCs w:val="24"/>
          <w:lang w:eastAsia="sk-SK"/>
        </w:rPr>
      </w:pPr>
      <w:r>
        <w:rPr>
          <w:rFonts w:eastAsia="Calibri" w:cs="Times New Roman"/>
          <w:b/>
          <w:i/>
          <w:sz w:val="24"/>
          <w:szCs w:val="24"/>
          <w:lang w:eastAsia="sk-SK"/>
        </w:rPr>
        <w:t>T</w:t>
      </w:r>
      <w:r w:rsidRPr="008E112F">
        <w:rPr>
          <w:rFonts w:eastAsia="Calibri" w:cs="Times New Roman"/>
          <w:b/>
          <w:i/>
          <w:sz w:val="24"/>
          <w:szCs w:val="24"/>
          <w:lang w:eastAsia="sk-SK"/>
        </w:rPr>
        <w:t>ransfery rozpočtovej organizácii</w:t>
      </w:r>
      <w:r w:rsidRPr="008E112F">
        <w:rPr>
          <w:rFonts w:eastAsia="Calibri" w:cs="Times New Roman"/>
          <w:sz w:val="24"/>
          <w:szCs w:val="24"/>
          <w:lang w:eastAsia="sk-SK"/>
        </w:rPr>
        <w:t xml:space="preserve"> v sume </w:t>
      </w:r>
      <w:r>
        <w:rPr>
          <w:rFonts w:eastAsia="Calibri" w:cs="Times New Roman"/>
          <w:sz w:val="24"/>
          <w:szCs w:val="24"/>
          <w:lang w:eastAsia="sk-SK"/>
        </w:rPr>
        <w:t>1 309</w:t>
      </w:r>
      <w:r w:rsidR="008644B4">
        <w:rPr>
          <w:rFonts w:eastAsia="Calibri" w:cs="Times New Roman"/>
          <w:sz w:val="24"/>
          <w:szCs w:val="24"/>
          <w:lang w:eastAsia="sk-SK"/>
        </w:rPr>
        <w:t> </w:t>
      </w:r>
      <w:r>
        <w:rPr>
          <w:rFonts w:eastAsia="Calibri" w:cs="Times New Roman"/>
          <w:sz w:val="24"/>
          <w:szCs w:val="24"/>
          <w:lang w:eastAsia="sk-SK"/>
        </w:rPr>
        <w:t>448</w:t>
      </w:r>
      <w:r w:rsidR="008644B4">
        <w:rPr>
          <w:rFonts w:eastAsia="Calibri" w:cs="Times New Roman"/>
          <w:sz w:val="24"/>
          <w:szCs w:val="24"/>
          <w:lang w:eastAsia="sk-SK"/>
        </w:rPr>
        <w:t> </w:t>
      </w:r>
      <w:r w:rsidRPr="008E112F">
        <w:rPr>
          <w:rFonts w:eastAsia="Calibri" w:cs="Times New Roman"/>
          <w:sz w:val="24"/>
          <w:szCs w:val="24"/>
          <w:lang w:eastAsia="sk-SK"/>
        </w:rPr>
        <w:t>tis. eur</w:t>
      </w:r>
      <w:r>
        <w:rPr>
          <w:rFonts w:eastAsia="Calibri" w:cs="Times New Roman"/>
          <w:sz w:val="24"/>
          <w:szCs w:val="24"/>
          <w:lang w:eastAsia="sk-SK"/>
        </w:rPr>
        <w:t xml:space="preserve"> obsahovali </w:t>
      </w:r>
      <w:r w:rsidRPr="008E112F">
        <w:rPr>
          <w:rFonts w:eastAsia="Calibri" w:cs="Times New Roman"/>
          <w:sz w:val="24"/>
          <w:szCs w:val="24"/>
          <w:lang w:eastAsia="sk-SK"/>
        </w:rPr>
        <w:t xml:space="preserve">najmä </w:t>
      </w:r>
      <w:r>
        <w:rPr>
          <w:rFonts w:eastAsia="Calibri" w:cs="Times New Roman"/>
          <w:sz w:val="24"/>
          <w:szCs w:val="24"/>
          <w:lang w:eastAsia="sk-SK"/>
        </w:rPr>
        <w:t xml:space="preserve">krytie potrieb </w:t>
      </w:r>
      <w:r w:rsidRPr="008E112F">
        <w:rPr>
          <w:rFonts w:eastAsia="Calibri" w:cs="Times New Roman"/>
          <w:sz w:val="24"/>
          <w:szCs w:val="24"/>
          <w:lang w:eastAsia="sk-SK"/>
        </w:rPr>
        <w:t xml:space="preserve">saldo účtu Štátny dlh v sume </w:t>
      </w:r>
      <w:r>
        <w:rPr>
          <w:rFonts w:eastAsia="Calibri" w:cs="Times New Roman"/>
          <w:sz w:val="24"/>
          <w:szCs w:val="24"/>
        </w:rPr>
        <w:t>1 189</w:t>
      </w:r>
      <w:r w:rsidR="008644B4">
        <w:rPr>
          <w:rFonts w:eastAsia="Calibri" w:cs="Times New Roman"/>
          <w:sz w:val="24"/>
          <w:szCs w:val="24"/>
        </w:rPr>
        <w:t> </w:t>
      </w:r>
      <w:r>
        <w:rPr>
          <w:rFonts w:eastAsia="Calibri" w:cs="Times New Roman"/>
          <w:sz w:val="24"/>
          <w:szCs w:val="24"/>
        </w:rPr>
        <w:t>026</w:t>
      </w:r>
      <w:r w:rsidR="008644B4">
        <w:rPr>
          <w:rFonts w:eastAsia="Calibri" w:cs="Times New Roman"/>
          <w:sz w:val="24"/>
          <w:szCs w:val="24"/>
        </w:rPr>
        <w:t> </w:t>
      </w:r>
      <w:r w:rsidRPr="008E112F">
        <w:rPr>
          <w:rFonts w:eastAsia="Calibri" w:cs="Times New Roman"/>
          <w:sz w:val="24"/>
          <w:szCs w:val="24"/>
          <w:lang w:eastAsia="sk-SK"/>
        </w:rPr>
        <w:t xml:space="preserve">tis. eur. </w:t>
      </w:r>
      <w:r>
        <w:rPr>
          <w:rFonts w:eastAsia="Calibri" w:cs="Times New Roman"/>
          <w:sz w:val="24"/>
          <w:szCs w:val="24"/>
          <w:lang w:eastAsia="sk-SK"/>
        </w:rPr>
        <w:t>Ide o účet, na ktorý počas roka smerujú inkasované príjmy z obchodov so štátnym dlhom a výdavkov na štátny dlh (napr. splátky úrokov). Saldo účet umožňuje efektívnejšie riadiť štátny dlh a z dosahovaných príjmov kryť požiadavky na výdavky, ktoré by boli inak uhrádzané zo štátneho rozpočtu. Na príjmy alebo potrebu dofinancovania výdavkov štátneho dlhu majú vplyv úrokové sadzby na trhu, objem dlhu a početnosť obchodov.</w:t>
      </w:r>
    </w:p>
    <w:p w14:paraId="13799364" w14:textId="5F069974" w:rsidR="008F4860" w:rsidRPr="008F4860" w:rsidRDefault="008F4860" w:rsidP="008F4860">
      <w:pPr>
        <w:pStyle w:val="Popis"/>
        <w:keepNext/>
        <w:spacing w:after="120"/>
        <w:rPr>
          <w:rFonts w:eastAsia="Times New Roman" w:cs="Times New Roman"/>
          <w:b/>
          <w:bCs/>
          <w:i w:val="0"/>
          <w:iCs w:val="0"/>
          <w:color w:val="5B9BD5"/>
          <w:sz w:val="20"/>
          <w:szCs w:val="20"/>
          <w:lang w:eastAsia="sk-SK"/>
        </w:rPr>
      </w:pPr>
      <w:bookmarkStart w:id="118" w:name="_Toc196313658"/>
      <w:bookmarkStart w:id="119" w:name="_Toc196389279"/>
      <w:r w:rsidRPr="008F4860">
        <w:rPr>
          <w:rFonts w:eastAsia="Times New Roman" w:cs="Times New Roman"/>
          <w:b/>
          <w:bCs/>
          <w:i w:val="0"/>
          <w:iCs w:val="0"/>
          <w:color w:val="5B9BD5"/>
          <w:sz w:val="20"/>
          <w:szCs w:val="20"/>
          <w:lang w:eastAsia="sk-SK"/>
        </w:rPr>
        <w:lastRenderedPageBreak/>
        <w:t xml:space="preserve">Tabuľka </w:t>
      </w:r>
      <w:r w:rsidRPr="008F4860">
        <w:rPr>
          <w:rFonts w:eastAsia="Times New Roman" w:cs="Times New Roman"/>
          <w:b/>
          <w:bCs/>
          <w:i w:val="0"/>
          <w:iCs w:val="0"/>
          <w:color w:val="5B9BD5"/>
          <w:sz w:val="20"/>
          <w:szCs w:val="20"/>
          <w:lang w:eastAsia="sk-SK"/>
        </w:rPr>
        <w:fldChar w:fldCharType="begin"/>
      </w:r>
      <w:r w:rsidRPr="008F4860">
        <w:rPr>
          <w:rFonts w:eastAsia="Times New Roman" w:cs="Times New Roman"/>
          <w:b/>
          <w:bCs/>
          <w:i w:val="0"/>
          <w:iCs w:val="0"/>
          <w:color w:val="5B9BD5"/>
          <w:sz w:val="20"/>
          <w:szCs w:val="20"/>
          <w:lang w:eastAsia="sk-SK"/>
        </w:rPr>
        <w:instrText xml:space="preserve"> SEQ Tabuľka \* ARABIC </w:instrText>
      </w:r>
      <w:r w:rsidRPr="008F4860">
        <w:rPr>
          <w:rFonts w:eastAsia="Times New Roman" w:cs="Times New Roman"/>
          <w:b/>
          <w:bCs/>
          <w:i w:val="0"/>
          <w:iCs w:val="0"/>
          <w:color w:val="5B9BD5"/>
          <w:sz w:val="20"/>
          <w:szCs w:val="20"/>
          <w:lang w:eastAsia="sk-SK"/>
        </w:rPr>
        <w:fldChar w:fldCharType="separate"/>
      </w:r>
      <w:r w:rsidR="00C64CBA">
        <w:rPr>
          <w:rFonts w:eastAsia="Times New Roman" w:cs="Times New Roman"/>
          <w:b/>
          <w:bCs/>
          <w:i w:val="0"/>
          <w:iCs w:val="0"/>
          <w:noProof/>
          <w:color w:val="5B9BD5"/>
          <w:sz w:val="20"/>
          <w:szCs w:val="20"/>
          <w:lang w:eastAsia="sk-SK"/>
        </w:rPr>
        <w:t>32</w:t>
      </w:r>
      <w:r w:rsidRPr="008F4860">
        <w:rPr>
          <w:rFonts w:eastAsia="Times New Roman" w:cs="Times New Roman"/>
          <w:b/>
          <w:bCs/>
          <w:i w:val="0"/>
          <w:iCs w:val="0"/>
          <w:color w:val="5B9BD5"/>
          <w:sz w:val="20"/>
          <w:szCs w:val="20"/>
          <w:lang w:eastAsia="sk-SK"/>
        </w:rPr>
        <w:fldChar w:fldCharType="end"/>
      </w:r>
      <w:r w:rsidRPr="008F4860">
        <w:rPr>
          <w:rFonts w:eastAsia="Times New Roman" w:cs="Times New Roman"/>
          <w:b/>
          <w:bCs/>
          <w:i w:val="0"/>
          <w:iCs w:val="0"/>
          <w:color w:val="5B9BD5"/>
          <w:sz w:val="20"/>
          <w:szCs w:val="20"/>
          <w:lang w:eastAsia="sk-SK"/>
        </w:rPr>
        <w:t xml:space="preserve"> - Výdavky na dlhovú službu</w:t>
      </w:r>
      <w:bookmarkEnd w:id="118"/>
      <w:bookmarkEnd w:id="119"/>
    </w:p>
    <w:tbl>
      <w:tblPr>
        <w:tblW w:w="5000" w:type="pct"/>
        <w:tblCellMar>
          <w:left w:w="70" w:type="dxa"/>
          <w:right w:w="70" w:type="dxa"/>
        </w:tblCellMar>
        <w:tblLook w:val="04A0" w:firstRow="1" w:lastRow="0" w:firstColumn="1" w:lastColumn="0" w:noHBand="0" w:noVBand="1"/>
      </w:tblPr>
      <w:tblGrid>
        <w:gridCol w:w="2472"/>
        <w:gridCol w:w="1786"/>
        <w:gridCol w:w="1372"/>
        <w:gridCol w:w="1120"/>
        <w:gridCol w:w="1216"/>
        <w:gridCol w:w="964"/>
      </w:tblGrid>
      <w:tr w:rsidR="004D69BF" w:rsidRPr="00D0395E" w14:paraId="1B567E69" w14:textId="77777777" w:rsidTr="00963B72">
        <w:trPr>
          <w:trHeight w:val="286"/>
          <w:tblHeader/>
        </w:trPr>
        <w:tc>
          <w:tcPr>
            <w:tcW w:w="1384" w:type="pct"/>
            <w:vMerge w:val="restart"/>
            <w:tcBorders>
              <w:top w:val="single" w:sz="4" w:space="0" w:color="auto"/>
              <w:left w:val="nil"/>
              <w:right w:val="nil"/>
            </w:tcBorders>
            <w:shd w:val="clear" w:color="000000" w:fill="FFFFFF"/>
            <w:vAlign w:val="center"/>
            <w:hideMark/>
          </w:tcPr>
          <w:p w14:paraId="00A0E729" w14:textId="77777777" w:rsidR="004D69BF" w:rsidRPr="00D0395E" w:rsidRDefault="004D69BF" w:rsidP="000240DA">
            <w:pPr>
              <w:spacing w:after="0" w:line="240" w:lineRule="auto"/>
              <w:jc w:val="lef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v tis. eur</w:t>
            </w:r>
          </w:p>
        </w:tc>
        <w:tc>
          <w:tcPr>
            <w:tcW w:w="1000" w:type="pct"/>
            <w:tcBorders>
              <w:top w:val="single" w:sz="4" w:space="0" w:color="auto"/>
              <w:left w:val="nil"/>
              <w:right w:val="nil"/>
            </w:tcBorders>
            <w:shd w:val="clear" w:color="000000" w:fill="FFFFFF"/>
            <w:vAlign w:val="center"/>
          </w:tcPr>
          <w:p w14:paraId="37D0BD60"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2022 S</w:t>
            </w:r>
          </w:p>
        </w:tc>
        <w:tc>
          <w:tcPr>
            <w:tcW w:w="768" w:type="pct"/>
            <w:tcBorders>
              <w:top w:val="single" w:sz="4" w:space="0" w:color="auto"/>
              <w:left w:val="nil"/>
              <w:right w:val="nil"/>
            </w:tcBorders>
            <w:shd w:val="clear" w:color="000000" w:fill="FFFFFF"/>
            <w:vAlign w:val="center"/>
          </w:tcPr>
          <w:p w14:paraId="5DFDEF87"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2023 S</w:t>
            </w:r>
          </w:p>
        </w:tc>
        <w:tc>
          <w:tcPr>
            <w:tcW w:w="627" w:type="pct"/>
            <w:tcBorders>
              <w:top w:val="single" w:sz="4" w:space="0" w:color="auto"/>
              <w:left w:val="nil"/>
              <w:bottom w:val="nil"/>
              <w:right w:val="nil"/>
            </w:tcBorders>
            <w:shd w:val="clear" w:color="000000" w:fill="FFFFFF"/>
            <w:vAlign w:val="center"/>
            <w:hideMark/>
          </w:tcPr>
          <w:p w14:paraId="71DB09AC"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2024 R</w:t>
            </w:r>
          </w:p>
        </w:tc>
        <w:tc>
          <w:tcPr>
            <w:tcW w:w="681" w:type="pct"/>
            <w:tcBorders>
              <w:top w:val="single" w:sz="4" w:space="0" w:color="auto"/>
              <w:left w:val="nil"/>
              <w:bottom w:val="nil"/>
              <w:right w:val="nil"/>
            </w:tcBorders>
            <w:shd w:val="clear" w:color="000000" w:fill="FFFFFF"/>
            <w:vAlign w:val="center"/>
            <w:hideMark/>
          </w:tcPr>
          <w:p w14:paraId="7B0F0072"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2024 S</w:t>
            </w:r>
          </w:p>
        </w:tc>
        <w:tc>
          <w:tcPr>
            <w:tcW w:w="540" w:type="pct"/>
            <w:tcBorders>
              <w:top w:val="single" w:sz="4" w:space="0" w:color="auto"/>
              <w:left w:val="nil"/>
              <w:bottom w:val="nil"/>
              <w:right w:val="nil"/>
            </w:tcBorders>
            <w:shd w:val="clear" w:color="000000" w:fill="FFFFFF"/>
            <w:vAlign w:val="center"/>
            <w:hideMark/>
          </w:tcPr>
          <w:p w14:paraId="09910416"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Rozdiel</w:t>
            </w:r>
          </w:p>
        </w:tc>
      </w:tr>
      <w:tr w:rsidR="004D69BF" w:rsidRPr="00D0395E" w14:paraId="470E2954" w14:textId="77777777" w:rsidTr="00963B72">
        <w:trPr>
          <w:trHeight w:val="286"/>
          <w:tblHeader/>
        </w:trPr>
        <w:tc>
          <w:tcPr>
            <w:tcW w:w="1384" w:type="pct"/>
            <w:vMerge/>
            <w:tcBorders>
              <w:left w:val="nil"/>
              <w:bottom w:val="single" w:sz="4" w:space="0" w:color="auto"/>
              <w:right w:val="nil"/>
            </w:tcBorders>
            <w:shd w:val="clear" w:color="000000" w:fill="FFFFFF"/>
            <w:vAlign w:val="center"/>
            <w:hideMark/>
          </w:tcPr>
          <w:p w14:paraId="603C4162"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p>
        </w:tc>
        <w:tc>
          <w:tcPr>
            <w:tcW w:w="1000" w:type="pct"/>
            <w:tcBorders>
              <w:left w:val="nil"/>
              <w:bottom w:val="single" w:sz="4" w:space="0" w:color="auto"/>
              <w:right w:val="nil"/>
            </w:tcBorders>
            <w:shd w:val="clear" w:color="000000" w:fill="FFFFFF"/>
            <w:vAlign w:val="center"/>
          </w:tcPr>
          <w:p w14:paraId="02A53222"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w:t>
            </w:r>
          </w:p>
        </w:tc>
        <w:tc>
          <w:tcPr>
            <w:tcW w:w="768" w:type="pct"/>
            <w:tcBorders>
              <w:left w:val="nil"/>
              <w:bottom w:val="single" w:sz="4" w:space="0" w:color="auto"/>
              <w:right w:val="nil"/>
            </w:tcBorders>
            <w:shd w:val="clear" w:color="000000" w:fill="FFFFFF"/>
            <w:vAlign w:val="center"/>
          </w:tcPr>
          <w:p w14:paraId="1680FA8D"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w:t>
            </w:r>
          </w:p>
        </w:tc>
        <w:tc>
          <w:tcPr>
            <w:tcW w:w="627" w:type="pct"/>
            <w:tcBorders>
              <w:top w:val="nil"/>
              <w:left w:val="nil"/>
              <w:bottom w:val="single" w:sz="4" w:space="0" w:color="auto"/>
              <w:right w:val="nil"/>
            </w:tcBorders>
            <w:shd w:val="clear" w:color="000000" w:fill="FFFFFF"/>
            <w:vAlign w:val="center"/>
            <w:hideMark/>
          </w:tcPr>
          <w:p w14:paraId="6D18AF8A"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w:t>
            </w:r>
          </w:p>
        </w:tc>
        <w:tc>
          <w:tcPr>
            <w:tcW w:w="681" w:type="pct"/>
            <w:tcBorders>
              <w:top w:val="nil"/>
              <w:left w:val="nil"/>
              <w:bottom w:val="single" w:sz="4" w:space="0" w:color="auto"/>
              <w:right w:val="nil"/>
            </w:tcBorders>
            <w:shd w:val="clear" w:color="000000" w:fill="FFFFFF"/>
            <w:vAlign w:val="center"/>
            <w:hideMark/>
          </w:tcPr>
          <w:p w14:paraId="67133A71"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4</w:t>
            </w:r>
          </w:p>
        </w:tc>
        <w:tc>
          <w:tcPr>
            <w:tcW w:w="540" w:type="pct"/>
            <w:tcBorders>
              <w:top w:val="nil"/>
              <w:left w:val="nil"/>
              <w:bottom w:val="single" w:sz="4" w:space="0" w:color="auto"/>
              <w:right w:val="nil"/>
            </w:tcBorders>
            <w:shd w:val="clear" w:color="000000" w:fill="FFFFFF"/>
            <w:vAlign w:val="center"/>
            <w:hideMark/>
          </w:tcPr>
          <w:p w14:paraId="67B5DDE3" w14:textId="77777777" w:rsidR="004D69BF" w:rsidRPr="00D0395E" w:rsidRDefault="004D69BF" w:rsidP="000240DA">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5=4-3</w:t>
            </w:r>
          </w:p>
        </w:tc>
      </w:tr>
      <w:tr w:rsidR="004D69BF" w:rsidRPr="00D0395E" w14:paraId="1BE1B5BB" w14:textId="77777777" w:rsidTr="00963B72">
        <w:trPr>
          <w:trHeight w:val="298"/>
        </w:trPr>
        <w:tc>
          <w:tcPr>
            <w:tcW w:w="1384" w:type="pct"/>
            <w:tcBorders>
              <w:top w:val="nil"/>
              <w:left w:val="nil"/>
              <w:bottom w:val="nil"/>
              <w:right w:val="nil"/>
            </w:tcBorders>
            <w:shd w:val="clear" w:color="auto" w:fill="auto"/>
            <w:noWrap/>
            <w:vAlign w:val="center"/>
            <w:hideMark/>
          </w:tcPr>
          <w:p w14:paraId="05544985"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dlhová služba - transfer</w:t>
            </w:r>
          </w:p>
        </w:tc>
        <w:tc>
          <w:tcPr>
            <w:tcW w:w="1000" w:type="pct"/>
            <w:tcBorders>
              <w:top w:val="nil"/>
              <w:left w:val="nil"/>
              <w:bottom w:val="nil"/>
              <w:right w:val="nil"/>
            </w:tcBorders>
            <w:vAlign w:val="center"/>
          </w:tcPr>
          <w:p w14:paraId="0D952A2B"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1 059 061</w:t>
            </w:r>
          </w:p>
        </w:tc>
        <w:tc>
          <w:tcPr>
            <w:tcW w:w="768" w:type="pct"/>
            <w:tcBorders>
              <w:top w:val="nil"/>
              <w:left w:val="nil"/>
              <w:bottom w:val="nil"/>
              <w:right w:val="nil"/>
            </w:tcBorders>
            <w:vAlign w:val="center"/>
          </w:tcPr>
          <w:p w14:paraId="2E7F659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1 072 931</w:t>
            </w:r>
          </w:p>
        </w:tc>
        <w:tc>
          <w:tcPr>
            <w:tcW w:w="627" w:type="pct"/>
            <w:tcBorders>
              <w:top w:val="nil"/>
              <w:left w:val="nil"/>
              <w:bottom w:val="nil"/>
              <w:right w:val="nil"/>
            </w:tcBorders>
            <w:shd w:val="clear" w:color="auto" w:fill="auto"/>
            <w:vAlign w:val="center"/>
          </w:tcPr>
          <w:p w14:paraId="68697E57"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1 356 568</w:t>
            </w:r>
          </w:p>
        </w:tc>
        <w:tc>
          <w:tcPr>
            <w:tcW w:w="681" w:type="pct"/>
            <w:tcBorders>
              <w:top w:val="nil"/>
              <w:left w:val="nil"/>
              <w:bottom w:val="nil"/>
              <w:right w:val="nil"/>
            </w:tcBorders>
            <w:shd w:val="clear" w:color="auto" w:fill="auto"/>
            <w:vAlign w:val="center"/>
          </w:tcPr>
          <w:p w14:paraId="3220AEB1"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1 189 026</w:t>
            </w:r>
          </w:p>
        </w:tc>
        <w:tc>
          <w:tcPr>
            <w:tcW w:w="540" w:type="pct"/>
            <w:tcBorders>
              <w:top w:val="nil"/>
              <w:left w:val="nil"/>
              <w:bottom w:val="nil"/>
              <w:right w:val="nil"/>
            </w:tcBorders>
            <w:shd w:val="clear" w:color="auto" w:fill="auto"/>
            <w:vAlign w:val="center"/>
          </w:tcPr>
          <w:p w14:paraId="2ADA8309"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-167 542</w:t>
            </w:r>
          </w:p>
        </w:tc>
      </w:tr>
      <w:tr w:rsidR="004D69BF" w:rsidRPr="00D0395E" w14:paraId="1A2CAA9F" w14:textId="77777777" w:rsidTr="00963B72">
        <w:trPr>
          <w:trHeight w:val="298"/>
        </w:trPr>
        <w:tc>
          <w:tcPr>
            <w:tcW w:w="1384" w:type="pct"/>
            <w:tcBorders>
              <w:top w:val="single" w:sz="4" w:space="0" w:color="auto"/>
              <w:left w:val="nil"/>
              <w:bottom w:val="single" w:sz="4" w:space="0" w:color="auto"/>
              <w:right w:val="nil"/>
            </w:tcBorders>
            <w:shd w:val="clear" w:color="000000" w:fill="FFFFFF"/>
            <w:vAlign w:val="center"/>
            <w:hideMark/>
          </w:tcPr>
          <w:p w14:paraId="3D058905" w14:textId="77777777" w:rsidR="004D69BF" w:rsidRPr="00D0395E" w:rsidRDefault="004D69BF" w:rsidP="000240DA">
            <w:pPr>
              <w:spacing w:after="0" w:line="240" w:lineRule="auto"/>
              <w:jc w:val="left"/>
              <w:rPr>
                <w:rFonts w:eastAsia="Times New Roman" w:cs="Times New Roman"/>
                <w:b/>
                <w:bCs/>
                <w:color w:val="000000"/>
                <w:sz w:val="18"/>
                <w:szCs w:val="18"/>
                <w:lang w:eastAsia="sk-SK"/>
              </w:rPr>
            </w:pPr>
          </w:p>
        </w:tc>
        <w:tc>
          <w:tcPr>
            <w:tcW w:w="1000" w:type="pct"/>
            <w:tcBorders>
              <w:top w:val="single" w:sz="4" w:space="0" w:color="auto"/>
              <w:left w:val="nil"/>
              <w:bottom w:val="single" w:sz="4" w:space="0" w:color="auto"/>
              <w:right w:val="nil"/>
            </w:tcBorders>
            <w:vAlign w:val="center"/>
          </w:tcPr>
          <w:p w14:paraId="1866669A"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1 059 061</w:t>
            </w:r>
          </w:p>
        </w:tc>
        <w:tc>
          <w:tcPr>
            <w:tcW w:w="768" w:type="pct"/>
            <w:tcBorders>
              <w:top w:val="single" w:sz="4" w:space="0" w:color="auto"/>
              <w:left w:val="nil"/>
              <w:bottom w:val="single" w:sz="4" w:space="0" w:color="auto"/>
              <w:right w:val="nil"/>
            </w:tcBorders>
            <w:vAlign w:val="center"/>
          </w:tcPr>
          <w:p w14:paraId="2B7AD6FF"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1 072 931</w:t>
            </w:r>
          </w:p>
        </w:tc>
        <w:tc>
          <w:tcPr>
            <w:tcW w:w="627" w:type="pct"/>
            <w:tcBorders>
              <w:top w:val="single" w:sz="4" w:space="0" w:color="auto"/>
              <w:left w:val="nil"/>
              <w:bottom w:val="single" w:sz="4" w:space="0" w:color="auto"/>
              <w:right w:val="nil"/>
            </w:tcBorders>
            <w:shd w:val="clear" w:color="auto" w:fill="auto"/>
            <w:vAlign w:val="center"/>
          </w:tcPr>
          <w:p w14:paraId="2296BF31"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1 356 568</w:t>
            </w:r>
          </w:p>
        </w:tc>
        <w:tc>
          <w:tcPr>
            <w:tcW w:w="681" w:type="pct"/>
            <w:tcBorders>
              <w:top w:val="single" w:sz="4" w:space="0" w:color="auto"/>
              <w:left w:val="nil"/>
              <w:bottom w:val="single" w:sz="4" w:space="0" w:color="auto"/>
              <w:right w:val="nil"/>
            </w:tcBorders>
            <w:shd w:val="clear" w:color="auto" w:fill="auto"/>
            <w:vAlign w:val="center"/>
          </w:tcPr>
          <w:p w14:paraId="0C318A61"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1 189 026</w:t>
            </w:r>
          </w:p>
        </w:tc>
        <w:tc>
          <w:tcPr>
            <w:tcW w:w="540" w:type="pct"/>
            <w:tcBorders>
              <w:top w:val="single" w:sz="4" w:space="0" w:color="auto"/>
              <w:left w:val="nil"/>
              <w:bottom w:val="single" w:sz="4" w:space="0" w:color="auto"/>
              <w:right w:val="nil"/>
            </w:tcBorders>
            <w:shd w:val="clear" w:color="auto" w:fill="auto"/>
            <w:vAlign w:val="center"/>
          </w:tcPr>
          <w:p w14:paraId="63965AF7"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-167 542</w:t>
            </w:r>
          </w:p>
        </w:tc>
      </w:tr>
    </w:tbl>
    <w:p w14:paraId="3E9A5706" w14:textId="0BB1F213" w:rsidR="004D69BF" w:rsidRDefault="004D69BF" w:rsidP="00A7279C">
      <w:pPr>
        <w:shd w:val="clear" w:color="auto" w:fill="FFFFFF"/>
        <w:spacing w:line="240" w:lineRule="auto"/>
        <w:ind w:left="7650"/>
        <w:rPr>
          <w:rFonts w:eastAsia="Calibri" w:cs="Times New Roman"/>
          <w:sz w:val="18"/>
          <w:szCs w:val="18"/>
        </w:rPr>
      </w:pPr>
      <w:r w:rsidRPr="00736668">
        <w:rPr>
          <w:rFonts w:eastAsia="Calibri" w:cs="Times New Roman"/>
          <w:sz w:val="18"/>
          <w:szCs w:val="18"/>
        </w:rPr>
        <w:t>Zdroj: MF SR</w:t>
      </w:r>
    </w:p>
    <w:p w14:paraId="79379F5F" w14:textId="77777777" w:rsidR="00A7279C" w:rsidRDefault="00A7279C" w:rsidP="00A7279C">
      <w:pPr>
        <w:spacing w:line="240" w:lineRule="auto"/>
        <w:rPr>
          <w:rFonts w:eastAsia="Times New Roman" w:cs="Times New Roman"/>
          <w:sz w:val="24"/>
          <w:szCs w:val="24"/>
          <w:lang w:eastAsia="sk-SK"/>
        </w:rPr>
      </w:pPr>
      <w:r w:rsidRPr="007D091B">
        <w:rPr>
          <w:rFonts w:eastAsia="Times New Roman" w:cs="Times New Roman"/>
          <w:sz w:val="24"/>
          <w:szCs w:val="24"/>
          <w:lang w:eastAsia="sk-SK"/>
        </w:rPr>
        <w:t>Na hotovostnom princípe došlo v roku 2024 oproti schválenému rozpočtu výdavkov spojených so správou št</w:t>
      </w:r>
      <w:r>
        <w:rPr>
          <w:rFonts w:eastAsia="Times New Roman" w:cs="Times New Roman"/>
          <w:sz w:val="24"/>
          <w:szCs w:val="24"/>
          <w:lang w:eastAsia="sk-SK"/>
        </w:rPr>
        <w:t>átneho dlhu k úspore v sume 167 542 </w:t>
      </w:r>
      <w:r w:rsidRPr="007D091B">
        <w:rPr>
          <w:rFonts w:eastAsia="Times New Roman" w:cs="Times New Roman"/>
          <w:sz w:val="24"/>
          <w:szCs w:val="24"/>
          <w:lang w:eastAsia="sk-SK"/>
        </w:rPr>
        <w:t>tis.</w:t>
      </w:r>
      <w:r>
        <w:rPr>
          <w:rFonts w:eastAsia="Times New Roman" w:cs="Times New Roman"/>
          <w:sz w:val="24"/>
          <w:szCs w:val="24"/>
          <w:lang w:eastAsia="sk-SK"/>
        </w:rPr>
        <w:t> </w:t>
      </w:r>
      <w:r w:rsidRPr="007D091B">
        <w:rPr>
          <w:rFonts w:eastAsia="Times New Roman" w:cs="Times New Roman"/>
          <w:sz w:val="24"/>
          <w:szCs w:val="24"/>
          <w:lang w:eastAsia="sk-SK"/>
        </w:rPr>
        <w:t>eu</w:t>
      </w:r>
      <w:r>
        <w:rPr>
          <w:rFonts w:eastAsia="Times New Roman" w:cs="Times New Roman"/>
          <w:sz w:val="24"/>
          <w:szCs w:val="24"/>
          <w:lang w:eastAsia="sk-SK"/>
        </w:rPr>
        <w:t>r. Na menšie hotovostné saldo v </w:t>
      </w:r>
      <w:r w:rsidRPr="007D091B">
        <w:rPr>
          <w:rFonts w:eastAsia="Times New Roman" w:cs="Times New Roman"/>
          <w:sz w:val="24"/>
          <w:szCs w:val="24"/>
          <w:lang w:eastAsia="sk-SK"/>
        </w:rPr>
        <w:t>roku 2024 vplývali inkasované prémie pri predaji dlhopisov s väčšími kupónmi ako bol dosiahnutý výnos v aukcii a krátkodobé investovanie dočasných voľných finančných prostriedkov na</w:t>
      </w:r>
      <w:r>
        <w:rPr>
          <w:rFonts w:eastAsia="Times New Roman" w:cs="Times New Roman"/>
          <w:sz w:val="24"/>
          <w:szCs w:val="24"/>
          <w:lang w:eastAsia="sk-SK"/>
        </w:rPr>
        <w:t> </w:t>
      </w:r>
      <w:r w:rsidRPr="007D091B">
        <w:rPr>
          <w:rFonts w:eastAsia="Times New Roman" w:cs="Times New Roman"/>
          <w:sz w:val="24"/>
          <w:szCs w:val="24"/>
          <w:lang w:eastAsia="sk-SK"/>
        </w:rPr>
        <w:t>peňažnom trhu. Rok 2024 znamenal obrat v smere monetárnej politiky ECB. Od</w:t>
      </w:r>
      <w:r>
        <w:rPr>
          <w:rFonts w:eastAsia="Times New Roman" w:cs="Times New Roman"/>
          <w:sz w:val="24"/>
          <w:szCs w:val="24"/>
          <w:lang w:eastAsia="sk-SK"/>
        </w:rPr>
        <w:t> </w:t>
      </w:r>
      <w:r w:rsidRPr="007D091B">
        <w:rPr>
          <w:rFonts w:eastAsia="Times New Roman" w:cs="Times New Roman"/>
          <w:sz w:val="24"/>
          <w:szCs w:val="24"/>
          <w:lang w:eastAsia="sk-SK"/>
        </w:rPr>
        <w:t>druhej polovice roka 2024 začala ECB pod vplyvom doznievajúcej inflácie znižovať základné úrokové miery. Základná úroková miera E</w:t>
      </w:r>
      <w:r>
        <w:rPr>
          <w:rFonts w:eastAsia="Times New Roman" w:cs="Times New Roman"/>
          <w:sz w:val="24"/>
          <w:szCs w:val="24"/>
          <w:lang w:eastAsia="sk-SK"/>
        </w:rPr>
        <w:t>CB poklesla od júna 2024 z 4,50 </w:t>
      </w:r>
      <w:r w:rsidRPr="007D091B">
        <w:rPr>
          <w:rFonts w:eastAsia="Times New Roman" w:cs="Times New Roman"/>
          <w:sz w:val="24"/>
          <w:szCs w:val="24"/>
          <w:lang w:eastAsia="sk-SK"/>
        </w:rPr>
        <w:t>%</w:t>
      </w:r>
      <w:r>
        <w:rPr>
          <w:rFonts w:eastAsia="Times New Roman" w:cs="Times New Roman"/>
          <w:sz w:val="24"/>
          <w:szCs w:val="24"/>
          <w:lang w:eastAsia="sk-SK"/>
        </w:rPr>
        <w:t> </w:t>
      </w:r>
      <w:r w:rsidRPr="007D091B">
        <w:rPr>
          <w:rFonts w:eastAsia="Times New Roman" w:cs="Times New Roman"/>
          <w:sz w:val="24"/>
          <w:szCs w:val="24"/>
          <w:lang w:eastAsia="sk-SK"/>
        </w:rPr>
        <w:t>p.</w:t>
      </w:r>
      <w:r>
        <w:rPr>
          <w:rFonts w:eastAsia="Times New Roman" w:cs="Times New Roman"/>
          <w:sz w:val="24"/>
          <w:szCs w:val="24"/>
          <w:lang w:eastAsia="sk-SK"/>
        </w:rPr>
        <w:t> a. na koncoročných 3,15 % </w:t>
      </w:r>
      <w:r w:rsidRPr="007D091B">
        <w:rPr>
          <w:rFonts w:eastAsia="Times New Roman" w:cs="Times New Roman"/>
          <w:sz w:val="24"/>
          <w:szCs w:val="24"/>
          <w:lang w:eastAsia="sk-SK"/>
        </w:rPr>
        <w:t>p.</w:t>
      </w:r>
      <w:r>
        <w:rPr>
          <w:rFonts w:eastAsia="Times New Roman" w:cs="Times New Roman"/>
          <w:sz w:val="24"/>
          <w:szCs w:val="24"/>
          <w:lang w:eastAsia="sk-SK"/>
        </w:rPr>
        <w:t> </w:t>
      </w:r>
      <w:r w:rsidRPr="007D091B">
        <w:rPr>
          <w:rFonts w:eastAsia="Times New Roman" w:cs="Times New Roman"/>
          <w:sz w:val="24"/>
          <w:szCs w:val="24"/>
          <w:lang w:eastAsia="sk-SK"/>
        </w:rPr>
        <w:t>a. Tento trend čiastočne ovplyvnil aj emisné náklady novoemitovaných slovenských štátnych dlhopisov v roku 2024. ECB, prostredníctvom NBS, v roku 2024 prestala nakupovať slovenské štátne dlhopisy na sekundárnom trhu.</w:t>
      </w:r>
    </w:p>
    <w:p w14:paraId="59651344" w14:textId="41090914" w:rsidR="00A7279C" w:rsidRDefault="00A7279C" w:rsidP="00A7279C">
      <w:pPr>
        <w:pStyle w:val="Popis"/>
        <w:keepNext/>
        <w:spacing w:after="120"/>
        <w:rPr>
          <w:rFonts w:eastAsia="Times New Roman" w:cs="Times New Roman"/>
          <w:b/>
          <w:bCs/>
          <w:i w:val="0"/>
          <w:iCs w:val="0"/>
          <w:color w:val="5B9BD5"/>
          <w:sz w:val="20"/>
          <w:szCs w:val="20"/>
          <w:lang w:eastAsia="sk-SK"/>
        </w:rPr>
      </w:pPr>
      <w:bookmarkStart w:id="120" w:name="_Toc196313659"/>
      <w:bookmarkStart w:id="121" w:name="_Toc196389280"/>
      <w:r w:rsidRPr="008F4860">
        <w:rPr>
          <w:rFonts w:eastAsia="Times New Roman" w:cs="Times New Roman"/>
          <w:b/>
          <w:bCs/>
          <w:i w:val="0"/>
          <w:iCs w:val="0"/>
          <w:color w:val="5B9BD5"/>
          <w:sz w:val="20"/>
          <w:szCs w:val="20"/>
          <w:lang w:eastAsia="sk-SK"/>
        </w:rPr>
        <w:t xml:space="preserve">Tabuľka </w:t>
      </w:r>
      <w:r w:rsidRPr="008F4860">
        <w:rPr>
          <w:rFonts w:eastAsia="Times New Roman" w:cs="Times New Roman"/>
          <w:b/>
          <w:bCs/>
          <w:i w:val="0"/>
          <w:iCs w:val="0"/>
          <w:color w:val="5B9BD5"/>
          <w:sz w:val="20"/>
          <w:szCs w:val="20"/>
          <w:lang w:eastAsia="sk-SK"/>
        </w:rPr>
        <w:fldChar w:fldCharType="begin"/>
      </w:r>
      <w:r w:rsidRPr="008F4860">
        <w:rPr>
          <w:rFonts w:eastAsia="Times New Roman" w:cs="Times New Roman"/>
          <w:b/>
          <w:bCs/>
          <w:i w:val="0"/>
          <w:iCs w:val="0"/>
          <w:color w:val="5B9BD5"/>
          <w:sz w:val="20"/>
          <w:szCs w:val="20"/>
          <w:lang w:eastAsia="sk-SK"/>
        </w:rPr>
        <w:instrText xml:space="preserve"> SEQ Tabuľka \* ARABIC </w:instrText>
      </w:r>
      <w:r w:rsidRPr="008F4860">
        <w:rPr>
          <w:rFonts w:eastAsia="Times New Roman" w:cs="Times New Roman"/>
          <w:b/>
          <w:bCs/>
          <w:i w:val="0"/>
          <w:iCs w:val="0"/>
          <w:color w:val="5B9BD5"/>
          <w:sz w:val="20"/>
          <w:szCs w:val="20"/>
          <w:lang w:eastAsia="sk-SK"/>
        </w:rPr>
        <w:fldChar w:fldCharType="separate"/>
      </w:r>
      <w:r w:rsidR="00C64CBA">
        <w:rPr>
          <w:rFonts w:eastAsia="Times New Roman" w:cs="Times New Roman"/>
          <w:b/>
          <w:bCs/>
          <w:i w:val="0"/>
          <w:iCs w:val="0"/>
          <w:noProof/>
          <w:color w:val="5B9BD5"/>
          <w:sz w:val="20"/>
          <w:szCs w:val="20"/>
          <w:lang w:eastAsia="sk-SK"/>
        </w:rPr>
        <w:t>33</w:t>
      </w:r>
      <w:r w:rsidRPr="008F4860">
        <w:rPr>
          <w:rFonts w:eastAsia="Times New Roman" w:cs="Times New Roman"/>
          <w:b/>
          <w:bCs/>
          <w:i w:val="0"/>
          <w:iCs w:val="0"/>
          <w:color w:val="5B9BD5"/>
          <w:sz w:val="20"/>
          <w:szCs w:val="20"/>
          <w:lang w:eastAsia="sk-SK"/>
        </w:rPr>
        <w:fldChar w:fldCharType="end"/>
      </w:r>
      <w:r w:rsidRPr="008F4860">
        <w:rPr>
          <w:rFonts w:eastAsia="Times New Roman" w:cs="Times New Roman"/>
          <w:b/>
          <w:bCs/>
          <w:i w:val="0"/>
          <w:iCs w:val="0"/>
          <w:color w:val="5B9BD5"/>
          <w:sz w:val="20"/>
          <w:szCs w:val="20"/>
          <w:lang w:eastAsia="sk-SK"/>
        </w:rPr>
        <w:t xml:space="preserve"> - Prehľad príjmov a výdavkov na saldo účte Štátneho dlhu</w:t>
      </w:r>
      <w:bookmarkEnd w:id="120"/>
      <w:bookmarkEnd w:id="121"/>
    </w:p>
    <w:tbl>
      <w:tblPr>
        <w:tblW w:w="5000" w:type="pct"/>
        <w:tblCellMar>
          <w:left w:w="70" w:type="dxa"/>
          <w:right w:w="70" w:type="dxa"/>
        </w:tblCellMar>
        <w:tblLook w:val="04A0" w:firstRow="1" w:lastRow="0" w:firstColumn="1" w:lastColumn="0" w:noHBand="0" w:noVBand="1"/>
      </w:tblPr>
      <w:tblGrid>
        <w:gridCol w:w="5261"/>
        <w:gridCol w:w="1270"/>
        <w:gridCol w:w="1181"/>
        <w:gridCol w:w="1218"/>
      </w:tblGrid>
      <w:tr w:rsidR="00A7279C" w:rsidRPr="00D0395E" w14:paraId="64D912D8" w14:textId="77777777" w:rsidTr="00922F60">
        <w:trPr>
          <w:trHeight w:val="372"/>
          <w:tblHeader/>
        </w:trPr>
        <w:tc>
          <w:tcPr>
            <w:tcW w:w="2946" w:type="pct"/>
            <w:tcBorders>
              <w:top w:val="single" w:sz="4" w:space="0" w:color="auto"/>
              <w:left w:val="nil"/>
              <w:bottom w:val="single" w:sz="4" w:space="0" w:color="auto"/>
              <w:right w:val="nil"/>
            </w:tcBorders>
            <w:shd w:val="clear" w:color="auto" w:fill="auto"/>
            <w:noWrap/>
            <w:vAlign w:val="center"/>
            <w:hideMark/>
          </w:tcPr>
          <w:p w14:paraId="4070A34E" w14:textId="77777777" w:rsidR="00A7279C" w:rsidRPr="00D0395E" w:rsidRDefault="00A7279C" w:rsidP="00922F60">
            <w:pPr>
              <w:spacing w:after="0" w:line="240" w:lineRule="auto"/>
              <w:rPr>
                <w:rFonts w:eastAsia="Times New Roman" w:cs="Times New Roman"/>
                <w:b/>
                <w:bCs/>
                <w:sz w:val="18"/>
                <w:szCs w:val="18"/>
                <w:lang w:eastAsia="sk-SK"/>
              </w:rPr>
            </w:pPr>
            <w:r w:rsidRPr="00D0395E">
              <w:rPr>
                <w:rFonts w:eastAsia="Times New Roman" w:cs="Times New Roman"/>
                <w:b/>
                <w:bCs/>
                <w:sz w:val="18"/>
                <w:szCs w:val="18"/>
                <w:lang w:eastAsia="sk-SK"/>
              </w:rPr>
              <w:t>v tis. eur</w:t>
            </w:r>
          </w:p>
        </w:tc>
        <w:tc>
          <w:tcPr>
            <w:tcW w:w="711" w:type="pct"/>
            <w:tcBorders>
              <w:top w:val="single" w:sz="4" w:space="0" w:color="auto"/>
              <w:left w:val="nil"/>
              <w:bottom w:val="single" w:sz="4" w:space="0" w:color="auto"/>
              <w:right w:val="nil"/>
            </w:tcBorders>
            <w:shd w:val="clear" w:color="auto" w:fill="auto"/>
            <w:noWrap/>
            <w:vAlign w:val="center"/>
            <w:hideMark/>
          </w:tcPr>
          <w:p w14:paraId="3C35B8C9" w14:textId="77777777" w:rsidR="00A7279C" w:rsidRPr="00D0395E" w:rsidRDefault="00A7279C" w:rsidP="00922F60">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2022 S</w:t>
            </w:r>
          </w:p>
        </w:tc>
        <w:tc>
          <w:tcPr>
            <w:tcW w:w="661" w:type="pct"/>
            <w:tcBorders>
              <w:top w:val="single" w:sz="4" w:space="0" w:color="auto"/>
              <w:left w:val="nil"/>
              <w:bottom w:val="single" w:sz="4" w:space="0" w:color="auto"/>
              <w:right w:val="nil"/>
            </w:tcBorders>
            <w:shd w:val="clear" w:color="auto" w:fill="auto"/>
            <w:noWrap/>
            <w:vAlign w:val="center"/>
            <w:hideMark/>
          </w:tcPr>
          <w:p w14:paraId="73FEBB80" w14:textId="77777777" w:rsidR="00A7279C" w:rsidRPr="00D0395E" w:rsidRDefault="00A7279C" w:rsidP="00922F60">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2023 S</w:t>
            </w:r>
          </w:p>
        </w:tc>
        <w:tc>
          <w:tcPr>
            <w:tcW w:w="682" w:type="pct"/>
            <w:tcBorders>
              <w:top w:val="single" w:sz="4" w:space="0" w:color="auto"/>
              <w:left w:val="nil"/>
              <w:bottom w:val="single" w:sz="4" w:space="0" w:color="auto"/>
              <w:right w:val="nil"/>
            </w:tcBorders>
            <w:shd w:val="clear" w:color="auto" w:fill="auto"/>
            <w:noWrap/>
            <w:vAlign w:val="center"/>
            <w:hideMark/>
          </w:tcPr>
          <w:p w14:paraId="0E6C1E74" w14:textId="77777777" w:rsidR="00A7279C" w:rsidRPr="00D0395E" w:rsidRDefault="00A7279C" w:rsidP="00922F60">
            <w:pPr>
              <w:spacing w:after="0"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2024 S</w:t>
            </w:r>
          </w:p>
        </w:tc>
      </w:tr>
      <w:tr w:rsidR="00A7279C" w:rsidRPr="00D0395E" w14:paraId="50845D2A" w14:textId="77777777" w:rsidTr="00922F60">
        <w:trPr>
          <w:trHeight w:val="263"/>
        </w:trPr>
        <w:tc>
          <w:tcPr>
            <w:tcW w:w="2946" w:type="pct"/>
            <w:tcBorders>
              <w:top w:val="nil"/>
              <w:left w:val="nil"/>
              <w:bottom w:val="nil"/>
              <w:right w:val="nil"/>
            </w:tcBorders>
            <w:shd w:val="clear" w:color="auto" w:fill="auto"/>
            <w:noWrap/>
            <w:vAlign w:val="center"/>
            <w:hideMark/>
          </w:tcPr>
          <w:p w14:paraId="76B4C5FA" w14:textId="77777777" w:rsidR="00A7279C" w:rsidRPr="00D0395E" w:rsidRDefault="00A7279C" w:rsidP="00922F60">
            <w:pPr>
              <w:spacing w:after="0"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Príjmy</w:t>
            </w:r>
          </w:p>
        </w:tc>
        <w:tc>
          <w:tcPr>
            <w:tcW w:w="711" w:type="pct"/>
            <w:tcBorders>
              <w:top w:val="nil"/>
              <w:left w:val="nil"/>
              <w:bottom w:val="nil"/>
              <w:right w:val="nil"/>
            </w:tcBorders>
            <w:shd w:val="clear" w:color="auto" w:fill="auto"/>
            <w:vAlign w:val="center"/>
          </w:tcPr>
          <w:p w14:paraId="101BFC0A" w14:textId="77777777" w:rsidR="00A7279C" w:rsidRPr="00D0395E" w:rsidRDefault="00A7279C" w:rsidP="00922F60">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1 186 245</w:t>
            </w:r>
          </w:p>
        </w:tc>
        <w:tc>
          <w:tcPr>
            <w:tcW w:w="661" w:type="pct"/>
            <w:tcBorders>
              <w:top w:val="nil"/>
              <w:left w:val="nil"/>
              <w:bottom w:val="nil"/>
              <w:right w:val="nil"/>
            </w:tcBorders>
            <w:shd w:val="clear" w:color="auto" w:fill="auto"/>
            <w:vAlign w:val="center"/>
          </w:tcPr>
          <w:p w14:paraId="1CA0B49F" w14:textId="77777777" w:rsidR="00A7279C" w:rsidRPr="00D0395E" w:rsidRDefault="00A7279C" w:rsidP="00922F60">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1 423 431</w:t>
            </w:r>
          </w:p>
        </w:tc>
        <w:tc>
          <w:tcPr>
            <w:tcW w:w="682" w:type="pct"/>
            <w:tcBorders>
              <w:top w:val="nil"/>
              <w:left w:val="nil"/>
              <w:bottom w:val="nil"/>
              <w:right w:val="nil"/>
            </w:tcBorders>
            <w:shd w:val="clear" w:color="auto" w:fill="auto"/>
            <w:vAlign w:val="center"/>
          </w:tcPr>
          <w:p w14:paraId="5C3DF8F3" w14:textId="77777777" w:rsidR="00A7279C" w:rsidRPr="00D0395E" w:rsidRDefault="00A7279C" w:rsidP="00922F60">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1 709 144</w:t>
            </w:r>
          </w:p>
        </w:tc>
      </w:tr>
      <w:tr w:rsidR="00A7279C" w:rsidRPr="00D0395E" w14:paraId="4D4029A7" w14:textId="77777777" w:rsidTr="00922F60">
        <w:trPr>
          <w:trHeight w:val="263"/>
        </w:trPr>
        <w:tc>
          <w:tcPr>
            <w:tcW w:w="2946" w:type="pct"/>
            <w:tcBorders>
              <w:top w:val="nil"/>
              <w:left w:val="nil"/>
              <w:bottom w:val="nil"/>
              <w:right w:val="nil"/>
            </w:tcBorders>
            <w:shd w:val="clear" w:color="auto" w:fill="auto"/>
            <w:noWrap/>
            <w:vAlign w:val="center"/>
          </w:tcPr>
          <w:p w14:paraId="00F6FAC4" w14:textId="77777777" w:rsidR="00A7279C" w:rsidRPr="00D0395E" w:rsidRDefault="00A7279C" w:rsidP="00922F60">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v tom</w:t>
            </w:r>
          </w:p>
        </w:tc>
        <w:tc>
          <w:tcPr>
            <w:tcW w:w="711" w:type="pct"/>
            <w:tcBorders>
              <w:top w:val="nil"/>
              <w:left w:val="nil"/>
              <w:bottom w:val="nil"/>
              <w:right w:val="nil"/>
            </w:tcBorders>
            <w:shd w:val="clear" w:color="auto" w:fill="auto"/>
            <w:vAlign w:val="center"/>
          </w:tcPr>
          <w:p w14:paraId="1DFED0E6" w14:textId="77777777" w:rsidR="00A7279C" w:rsidRPr="00D0395E" w:rsidRDefault="00A7279C" w:rsidP="00922F60">
            <w:pPr>
              <w:spacing w:after="0" w:line="240" w:lineRule="auto"/>
              <w:jc w:val="right"/>
              <w:rPr>
                <w:rFonts w:eastAsia="Times New Roman" w:cs="Times New Roman"/>
                <w:color w:val="000000"/>
                <w:sz w:val="18"/>
                <w:szCs w:val="18"/>
                <w:lang w:eastAsia="sk-SK"/>
              </w:rPr>
            </w:pPr>
          </w:p>
        </w:tc>
        <w:tc>
          <w:tcPr>
            <w:tcW w:w="661" w:type="pct"/>
            <w:tcBorders>
              <w:top w:val="nil"/>
              <w:left w:val="nil"/>
              <w:bottom w:val="nil"/>
              <w:right w:val="nil"/>
            </w:tcBorders>
            <w:shd w:val="clear" w:color="auto" w:fill="auto"/>
            <w:vAlign w:val="center"/>
          </w:tcPr>
          <w:p w14:paraId="53A0DB06" w14:textId="77777777" w:rsidR="00A7279C" w:rsidRPr="00D0395E" w:rsidRDefault="00A7279C" w:rsidP="00922F60">
            <w:pPr>
              <w:spacing w:after="0" w:line="240" w:lineRule="auto"/>
              <w:jc w:val="right"/>
              <w:rPr>
                <w:rFonts w:eastAsia="Times New Roman" w:cs="Times New Roman"/>
                <w:color w:val="000000"/>
                <w:sz w:val="18"/>
                <w:szCs w:val="18"/>
                <w:lang w:eastAsia="sk-SK"/>
              </w:rPr>
            </w:pPr>
          </w:p>
        </w:tc>
        <w:tc>
          <w:tcPr>
            <w:tcW w:w="682" w:type="pct"/>
            <w:tcBorders>
              <w:top w:val="nil"/>
              <w:left w:val="nil"/>
              <w:bottom w:val="nil"/>
              <w:right w:val="nil"/>
            </w:tcBorders>
            <w:shd w:val="clear" w:color="auto" w:fill="auto"/>
            <w:vAlign w:val="center"/>
          </w:tcPr>
          <w:p w14:paraId="5CFF67DB" w14:textId="77777777" w:rsidR="00A7279C" w:rsidRPr="00D0395E" w:rsidRDefault="00A7279C" w:rsidP="00922F60">
            <w:pPr>
              <w:spacing w:after="0" w:line="240" w:lineRule="auto"/>
              <w:jc w:val="right"/>
              <w:rPr>
                <w:rFonts w:eastAsia="Times New Roman" w:cs="Times New Roman"/>
                <w:color w:val="000000"/>
                <w:sz w:val="18"/>
                <w:szCs w:val="18"/>
                <w:lang w:eastAsia="sk-SK"/>
              </w:rPr>
            </w:pPr>
          </w:p>
        </w:tc>
      </w:tr>
      <w:tr w:rsidR="00A7279C" w:rsidRPr="00D0395E" w14:paraId="4020C464" w14:textId="77777777" w:rsidTr="00922F60">
        <w:trPr>
          <w:trHeight w:val="263"/>
        </w:trPr>
        <w:tc>
          <w:tcPr>
            <w:tcW w:w="2946" w:type="pct"/>
            <w:tcBorders>
              <w:top w:val="nil"/>
              <w:left w:val="nil"/>
              <w:bottom w:val="nil"/>
              <w:right w:val="nil"/>
            </w:tcBorders>
            <w:shd w:val="clear" w:color="auto" w:fill="auto"/>
            <w:noWrap/>
            <w:vAlign w:val="center"/>
          </w:tcPr>
          <w:p w14:paraId="318AD77E" w14:textId="77777777" w:rsidR="00A7279C" w:rsidRPr="00D0395E" w:rsidRDefault="00A7279C" w:rsidP="00685F68">
            <w:pPr>
              <w:spacing w:after="0" w:line="240" w:lineRule="auto"/>
              <w:ind w:firstLine="215"/>
              <w:rPr>
                <w:rFonts w:eastAsia="Times New Roman" w:cs="Times New Roman"/>
                <w:color w:val="000000"/>
                <w:sz w:val="18"/>
                <w:szCs w:val="18"/>
                <w:lang w:eastAsia="sk-SK"/>
              </w:rPr>
            </w:pPr>
            <w:r w:rsidRPr="00D0395E">
              <w:rPr>
                <w:rFonts w:eastAsia="Times New Roman" w:cs="Times New Roman"/>
                <w:color w:val="000000"/>
                <w:sz w:val="18"/>
                <w:szCs w:val="18"/>
                <w:lang w:eastAsia="sk-SK"/>
              </w:rPr>
              <w:t>príjmy z úrokov, AÚV, prémií ŠD</w:t>
            </w:r>
          </w:p>
        </w:tc>
        <w:tc>
          <w:tcPr>
            <w:tcW w:w="711" w:type="pct"/>
            <w:tcBorders>
              <w:top w:val="nil"/>
              <w:left w:val="nil"/>
              <w:bottom w:val="nil"/>
              <w:right w:val="nil"/>
            </w:tcBorders>
            <w:shd w:val="clear" w:color="auto" w:fill="auto"/>
            <w:vAlign w:val="center"/>
          </w:tcPr>
          <w:p w14:paraId="3679BEDC" w14:textId="77777777" w:rsidR="00A7279C" w:rsidRPr="00D0395E" w:rsidRDefault="00A7279C" w:rsidP="00922F60">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127 184</w:t>
            </w:r>
          </w:p>
        </w:tc>
        <w:tc>
          <w:tcPr>
            <w:tcW w:w="661" w:type="pct"/>
            <w:tcBorders>
              <w:top w:val="nil"/>
              <w:left w:val="nil"/>
              <w:bottom w:val="nil"/>
              <w:right w:val="nil"/>
            </w:tcBorders>
            <w:shd w:val="clear" w:color="auto" w:fill="auto"/>
            <w:vAlign w:val="center"/>
          </w:tcPr>
          <w:p w14:paraId="779BDFB3" w14:textId="77777777" w:rsidR="00A7279C" w:rsidRPr="00D0395E" w:rsidRDefault="00A7279C" w:rsidP="00922F60">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350 500</w:t>
            </w:r>
          </w:p>
        </w:tc>
        <w:tc>
          <w:tcPr>
            <w:tcW w:w="682" w:type="pct"/>
            <w:tcBorders>
              <w:top w:val="nil"/>
              <w:left w:val="nil"/>
              <w:bottom w:val="nil"/>
              <w:right w:val="nil"/>
            </w:tcBorders>
            <w:shd w:val="clear" w:color="auto" w:fill="auto"/>
            <w:vAlign w:val="center"/>
          </w:tcPr>
          <w:p w14:paraId="31E1D7CE" w14:textId="77777777" w:rsidR="00A7279C" w:rsidRPr="00D0395E" w:rsidRDefault="00A7279C" w:rsidP="00922F60">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520 118</w:t>
            </w:r>
          </w:p>
        </w:tc>
      </w:tr>
      <w:tr w:rsidR="00A7279C" w:rsidRPr="00D0395E" w14:paraId="724BA740" w14:textId="77777777" w:rsidTr="00922F60">
        <w:trPr>
          <w:trHeight w:val="263"/>
        </w:trPr>
        <w:tc>
          <w:tcPr>
            <w:tcW w:w="2946" w:type="pct"/>
            <w:tcBorders>
              <w:top w:val="nil"/>
              <w:left w:val="nil"/>
              <w:bottom w:val="nil"/>
              <w:right w:val="nil"/>
            </w:tcBorders>
            <w:shd w:val="clear" w:color="auto" w:fill="auto"/>
            <w:noWrap/>
            <w:vAlign w:val="center"/>
          </w:tcPr>
          <w:p w14:paraId="441AFFE7" w14:textId="77777777" w:rsidR="00A7279C" w:rsidRPr="00D0395E" w:rsidRDefault="00A7279C" w:rsidP="00685F68">
            <w:pPr>
              <w:spacing w:after="0" w:line="240" w:lineRule="auto"/>
              <w:ind w:firstLine="215"/>
              <w:rPr>
                <w:rFonts w:eastAsia="Times New Roman" w:cs="Times New Roman"/>
                <w:color w:val="000000"/>
                <w:sz w:val="18"/>
                <w:szCs w:val="18"/>
                <w:lang w:eastAsia="sk-SK"/>
              </w:rPr>
            </w:pPr>
            <w:r w:rsidRPr="00D0395E">
              <w:rPr>
                <w:rFonts w:eastAsia="Times New Roman" w:cs="Times New Roman"/>
                <w:color w:val="000000"/>
                <w:sz w:val="18"/>
                <w:szCs w:val="18"/>
                <w:lang w:eastAsia="sk-SK"/>
              </w:rPr>
              <w:t>transfer zo štátneho rozpočtu</w:t>
            </w:r>
          </w:p>
        </w:tc>
        <w:tc>
          <w:tcPr>
            <w:tcW w:w="711" w:type="pct"/>
            <w:tcBorders>
              <w:top w:val="nil"/>
              <w:left w:val="nil"/>
              <w:bottom w:val="nil"/>
              <w:right w:val="nil"/>
            </w:tcBorders>
            <w:shd w:val="clear" w:color="auto" w:fill="auto"/>
            <w:vAlign w:val="center"/>
          </w:tcPr>
          <w:p w14:paraId="5AD81702" w14:textId="77777777" w:rsidR="00A7279C" w:rsidRPr="00D0395E" w:rsidRDefault="00A7279C" w:rsidP="00922F60">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1 059 061</w:t>
            </w:r>
          </w:p>
        </w:tc>
        <w:tc>
          <w:tcPr>
            <w:tcW w:w="661" w:type="pct"/>
            <w:tcBorders>
              <w:top w:val="nil"/>
              <w:left w:val="nil"/>
              <w:bottom w:val="nil"/>
              <w:right w:val="nil"/>
            </w:tcBorders>
            <w:shd w:val="clear" w:color="auto" w:fill="auto"/>
            <w:vAlign w:val="center"/>
          </w:tcPr>
          <w:p w14:paraId="2EF79C9E" w14:textId="77777777" w:rsidR="00A7279C" w:rsidRPr="00D0395E" w:rsidRDefault="00A7279C" w:rsidP="00922F60">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1 072 931</w:t>
            </w:r>
          </w:p>
        </w:tc>
        <w:tc>
          <w:tcPr>
            <w:tcW w:w="682" w:type="pct"/>
            <w:tcBorders>
              <w:top w:val="nil"/>
              <w:left w:val="nil"/>
              <w:bottom w:val="nil"/>
              <w:right w:val="nil"/>
            </w:tcBorders>
            <w:shd w:val="clear" w:color="auto" w:fill="auto"/>
            <w:vAlign w:val="center"/>
          </w:tcPr>
          <w:p w14:paraId="6C401AA9" w14:textId="77777777" w:rsidR="00A7279C" w:rsidRPr="00D0395E" w:rsidRDefault="00A7279C" w:rsidP="00922F60">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1 189 026</w:t>
            </w:r>
          </w:p>
        </w:tc>
      </w:tr>
      <w:tr w:rsidR="00A7279C" w:rsidRPr="00D0395E" w14:paraId="0068254D" w14:textId="77777777" w:rsidTr="00922F60">
        <w:trPr>
          <w:trHeight w:val="263"/>
        </w:trPr>
        <w:tc>
          <w:tcPr>
            <w:tcW w:w="2946" w:type="pct"/>
            <w:tcBorders>
              <w:top w:val="nil"/>
              <w:left w:val="nil"/>
              <w:bottom w:val="nil"/>
              <w:right w:val="nil"/>
            </w:tcBorders>
            <w:shd w:val="clear" w:color="auto" w:fill="auto"/>
            <w:noWrap/>
            <w:vAlign w:val="center"/>
            <w:hideMark/>
          </w:tcPr>
          <w:p w14:paraId="5B5C24C8" w14:textId="77777777" w:rsidR="00A7279C" w:rsidRPr="00D0395E" w:rsidRDefault="00A7279C" w:rsidP="00922F60">
            <w:pPr>
              <w:spacing w:after="0"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Výdavky spolu</w:t>
            </w:r>
          </w:p>
        </w:tc>
        <w:tc>
          <w:tcPr>
            <w:tcW w:w="711" w:type="pct"/>
            <w:tcBorders>
              <w:top w:val="nil"/>
              <w:left w:val="nil"/>
              <w:bottom w:val="nil"/>
              <w:right w:val="nil"/>
            </w:tcBorders>
            <w:shd w:val="clear" w:color="auto" w:fill="auto"/>
            <w:vAlign w:val="center"/>
            <w:hideMark/>
          </w:tcPr>
          <w:p w14:paraId="78FBE119" w14:textId="77777777" w:rsidR="00A7279C" w:rsidRPr="00D0395E" w:rsidRDefault="00A7279C" w:rsidP="00922F60">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1 186 245</w:t>
            </w:r>
          </w:p>
        </w:tc>
        <w:tc>
          <w:tcPr>
            <w:tcW w:w="661" w:type="pct"/>
            <w:tcBorders>
              <w:top w:val="nil"/>
              <w:left w:val="nil"/>
              <w:bottom w:val="nil"/>
              <w:right w:val="nil"/>
            </w:tcBorders>
            <w:shd w:val="clear" w:color="auto" w:fill="auto"/>
            <w:vAlign w:val="center"/>
            <w:hideMark/>
          </w:tcPr>
          <w:p w14:paraId="71F7711E" w14:textId="77777777" w:rsidR="00A7279C" w:rsidRPr="00D0395E" w:rsidRDefault="00A7279C" w:rsidP="00922F60">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1 423 431</w:t>
            </w:r>
          </w:p>
        </w:tc>
        <w:tc>
          <w:tcPr>
            <w:tcW w:w="682" w:type="pct"/>
            <w:tcBorders>
              <w:top w:val="nil"/>
              <w:left w:val="nil"/>
              <w:bottom w:val="nil"/>
              <w:right w:val="nil"/>
            </w:tcBorders>
            <w:shd w:val="clear" w:color="auto" w:fill="auto"/>
            <w:vAlign w:val="center"/>
          </w:tcPr>
          <w:p w14:paraId="3CBB819C" w14:textId="77777777" w:rsidR="00A7279C" w:rsidRPr="00D0395E" w:rsidRDefault="00A7279C" w:rsidP="00922F60">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1 703 465</w:t>
            </w:r>
          </w:p>
        </w:tc>
      </w:tr>
      <w:tr w:rsidR="00A7279C" w:rsidRPr="00D0395E" w14:paraId="2B576F13" w14:textId="77777777" w:rsidTr="00922F60">
        <w:trPr>
          <w:trHeight w:val="275"/>
        </w:trPr>
        <w:tc>
          <w:tcPr>
            <w:tcW w:w="2946" w:type="pct"/>
            <w:tcBorders>
              <w:top w:val="nil"/>
              <w:left w:val="nil"/>
              <w:bottom w:val="nil"/>
              <w:right w:val="nil"/>
            </w:tcBorders>
            <w:shd w:val="clear" w:color="auto" w:fill="auto"/>
            <w:noWrap/>
            <w:vAlign w:val="center"/>
            <w:hideMark/>
          </w:tcPr>
          <w:p w14:paraId="366BB677" w14:textId="77777777" w:rsidR="00A7279C" w:rsidRPr="00D0395E" w:rsidRDefault="00A7279C" w:rsidP="00922F60">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v tom: </w:t>
            </w:r>
          </w:p>
        </w:tc>
        <w:tc>
          <w:tcPr>
            <w:tcW w:w="711" w:type="pct"/>
            <w:tcBorders>
              <w:top w:val="nil"/>
              <w:left w:val="nil"/>
              <w:bottom w:val="nil"/>
              <w:right w:val="nil"/>
            </w:tcBorders>
            <w:shd w:val="clear" w:color="auto" w:fill="auto"/>
            <w:noWrap/>
            <w:vAlign w:val="center"/>
            <w:hideMark/>
          </w:tcPr>
          <w:p w14:paraId="5D43D59C" w14:textId="77777777" w:rsidR="00A7279C" w:rsidRPr="00D0395E" w:rsidRDefault="00A7279C" w:rsidP="00922F60">
            <w:pPr>
              <w:spacing w:after="0" w:line="240" w:lineRule="auto"/>
              <w:rPr>
                <w:rFonts w:eastAsia="Times New Roman" w:cs="Times New Roman"/>
                <w:color w:val="000000"/>
                <w:sz w:val="18"/>
                <w:szCs w:val="18"/>
                <w:lang w:eastAsia="sk-SK"/>
              </w:rPr>
            </w:pPr>
          </w:p>
        </w:tc>
        <w:tc>
          <w:tcPr>
            <w:tcW w:w="661" w:type="pct"/>
            <w:tcBorders>
              <w:top w:val="nil"/>
              <w:left w:val="nil"/>
              <w:bottom w:val="nil"/>
              <w:right w:val="nil"/>
            </w:tcBorders>
            <w:shd w:val="clear" w:color="auto" w:fill="auto"/>
            <w:vAlign w:val="center"/>
            <w:hideMark/>
          </w:tcPr>
          <w:p w14:paraId="0E66BCDB" w14:textId="77777777" w:rsidR="00A7279C" w:rsidRPr="00D0395E" w:rsidRDefault="00A7279C" w:rsidP="00922F60">
            <w:pPr>
              <w:spacing w:after="0" w:line="240" w:lineRule="auto"/>
              <w:rPr>
                <w:rFonts w:eastAsia="Times New Roman" w:cs="Times New Roman"/>
                <w:sz w:val="18"/>
                <w:szCs w:val="18"/>
                <w:lang w:eastAsia="sk-SK"/>
              </w:rPr>
            </w:pPr>
          </w:p>
        </w:tc>
        <w:tc>
          <w:tcPr>
            <w:tcW w:w="682" w:type="pct"/>
            <w:tcBorders>
              <w:top w:val="nil"/>
              <w:left w:val="nil"/>
              <w:bottom w:val="nil"/>
              <w:right w:val="nil"/>
            </w:tcBorders>
            <w:shd w:val="clear" w:color="auto" w:fill="auto"/>
            <w:vAlign w:val="center"/>
          </w:tcPr>
          <w:p w14:paraId="1667E8B7" w14:textId="77777777" w:rsidR="00A7279C" w:rsidRPr="00D0395E" w:rsidRDefault="00A7279C" w:rsidP="00922F60">
            <w:pPr>
              <w:spacing w:after="0" w:line="240" w:lineRule="auto"/>
              <w:rPr>
                <w:rFonts w:eastAsia="Times New Roman" w:cs="Times New Roman"/>
                <w:sz w:val="18"/>
                <w:szCs w:val="18"/>
                <w:lang w:eastAsia="sk-SK"/>
              </w:rPr>
            </w:pPr>
          </w:p>
        </w:tc>
      </w:tr>
      <w:tr w:rsidR="00A7279C" w:rsidRPr="00D0395E" w14:paraId="6917F2EE" w14:textId="77777777" w:rsidTr="00922F60">
        <w:trPr>
          <w:trHeight w:val="263"/>
        </w:trPr>
        <w:tc>
          <w:tcPr>
            <w:tcW w:w="2946" w:type="pct"/>
            <w:tcBorders>
              <w:top w:val="nil"/>
              <w:left w:val="nil"/>
              <w:bottom w:val="nil"/>
              <w:right w:val="nil"/>
            </w:tcBorders>
            <w:shd w:val="clear" w:color="auto" w:fill="auto"/>
            <w:noWrap/>
            <w:vAlign w:val="center"/>
            <w:hideMark/>
          </w:tcPr>
          <w:p w14:paraId="544D0764" w14:textId="77777777" w:rsidR="00A7279C" w:rsidRPr="00685F68" w:rsidRDefault="00A7279C" w:rsidP="00922F60">
            <w:pPr>
              <w:spacing w:after="0" w:line="240" w:lineRule="auto"/>
              <w:rPr>
                <w:rFonts w:eastAsia="Times New Roman" w:cs="Times New Roman"/>
                <w:color w:val="000000"/>
                <w:sz w:val="18"/>
                <w:szCs w:val="18"/>
                <w:lang w:eastAsia="sk-SK"/>
              </w:rPr>
            </w:pPr>
            <w:r w:rsidRPr="00685F68">
              <w:rPr>
                <w:rFonts w:eastAsia="Times New Roman" w:cs="Times New Roman"/>
                <w:color w:val="000000"/>
                <w:sz w:val="18"/>
                <w:szCs w:val="18"/>
                <w:lang w:eastAsia="sk-SK"/>
              </w:rPr>
              <w:t xml:space="preserve">   úroky zo štátnych dlhopisov + obchodov + úverov</w:t>
            </w:r>
          </w:p>
        </w:tc>
        <w:tc>
          <w:tcPr>
            <w:tcW w:w="711" w:type="pct"/>
            <w:tcBorders>
              <w:top w:val="nil"/>
              <w:left w:val="nil"/>
              <w:bottom w:val="nil"/>
              <w:right w:val="nil"/>
            </w:tcBorders>
            <w:shd w:val="clear" w:color="auto" w:fill="auto"/>
            <w:vAlign w:val="center"/>
            <w:hideMark/>
          </w:tcPr>
          <w:p w14:paraId="2A2158DA" w14:textId="77777777" w:rsidR="00A7279C" w:rsidRPr="00685F68" w:rsidRDefault="00A7279C" w:rsidP="00922F60">
            <w:pPr>
              <w:spacing w:after="0" w:line="240" w:lineRule="auto"/>
              <w:jc w:val="right"/>
              <w:rPr>
                <w:rFonts w:eastAsia="Times New Roman" w:cs="Times New Roman"/>
                <w:color w:val="000000"/>
                <w:sz w:val="18"/>
                <w:szCs w:val="18"/>
                <w:lang w:eastAsia="sk-SK"/>
              </w:rPr>
            </w:pPr>
            <w:r w:rsidRPr="00685F68">
              <w:rPr>
                <w:rFonts w:eastAsia="Times New Roman" w:cs="Times New Roman"/>
                <w:color w:val="000000"/>
                <w:sz w:val="18"/>
                <w:szCs w:val="18"/>
                <w:lang w:eastAsia="sk-SK"/>
              </w:rPr>
              <w:t>1 142 785</w:t>
            </w:r>
          </w:p>
        </w:tc>
        <w:tc>
          <w:tcPr>
            <w:tcW w:w="661" w:type="pct"/>
            <w:tcBorders>
              <w:top w:val="nil"/>
              <w:left w:val="nil"/>
              <w:bottom w:val="nil"/>
              <w:right w:val="nil"/>
            </w:tcBorders>
            <w:shd w:val="clear" w:color="auto" w:fill="auto"/>
            <w:vAlign w:val="center"/>
            <w:hideMark/>
          </w:tcPr>
          <w:p w14:paraId="5C5A6EA6" w14:textId="77777777" w:rsidR="00A7279C" w:rsidRPr="00685F68" w:rsidRDefault="00A7279C" w:rsidP="00922F60">
            <w:pPr>
              <w:spacing w:after="0" w:line="240" w:lineRule="auto"/>
              <w:jc w:val="right"/>
              <w:rPr>
                <w:rFonts w:eastAsia="Times New Roman" w:cs="Times New Roman"/>
                <w:color w:val="000000"/>
                <w:sz w:val="18"/>
                <w:szCs w:val="18"/>
                <w:lang w:eastAsia="sk-SK"/>
              </w:rPr>
            </w:pPr>
            <w:r w:rsidRPr="00685F68">
              <w:rPr>
                <w:rFonts w:eastAsia="Times New Roman" w:cs="Times New Roman"/>
                <w:color w:val="000000"/>
                <w:sz w:val="18"/>
                <w:szCs w:val="18"/>
                <w:lang w:eastAsia="sk-SK"/>
              </w:rPr>
              <w:t>1 165 597</w:t>
            </w:r>
          </w:p>
        </w:tc>
        <w:tc>
          <w:tcPr>
            <w:tcW w:w="682" w:type="pct"/>
            <w:tcBorders>
              <w:top w:val="nil"/>
              <w:left w:val="nil"/>
              <w:bottom w:val="nil"/>
              <w:right w:val="nil"/>
            </w:tcBorders>
            <w:shd w:val="clear" w:color="auto" w:fill="auto"/>
            <w:vAlign w:val="center"/>
          </w:tcPr>
          <w:p w14:paraId="1453ACC6" w14:textId="77777777" w:rsidR="00A7279C" w:rsidRPr="00685F68" w:rsidRDefault="00A7279C" w:rsidP="00922F60">
            <w:pPr>
              <w:spacing w:after="0" w:line="240" w:lineRule="auto"/>
              <w:jc w:val="right"/>
              <w:rPr>
                <w:rFonts w:eastAsia="Times New Roman" w:cs="Times New Roman"/>
                <w:color w:val="000000"/>
                <w:sz w:val="18"/>
                <w:szCs w:val="18"/>
                <w:lang w:eastAsia="sk-SK"/>
              </w:rPr>
            </w:pPr>
            <w:r w:rsidRPr="00685F68">
              <w:rPr>
                <w:rFonts w:eastAsia="Times New Roman" w:cs="Times New Roman"/>
                <w:color w:val="000000"/>
                <w:sz w:val="18"/>
                <w:szCs w:val="18"/>
                <w:lang w:eastAsia="sk-SK"/>
              </w:rPr>
              <w:t>1 382 732</w:t>
            </w:r>
          </w:p>
        </w:tc>
      </w:tr>
      <w:tr w:rsidR="00A7279C" w:rsidRPr="00D0395E" w14:paraId="03B644A7" w14:textId="77777777" w:rsidTr="00922F60">
        <w:trPr>
          <w:trHeight w:val="263"/>
        </w:trPr>
        <w:tc>
          <w:tcPr>
            <w:tcW w:w="2946" w:type="pct"/>
            <w:tcBorders>
              <w:top w:val="nil"/>
              <w:left w:val="nil"/>
              <w:bottom w:val="nil"/>
              <w:right w:val="nil"/>
            </w:tcBorders>
            <w:shd w:val="clear" w:color="auto" w:fill="auto"/>
            <w:noWrap/>
            <w:vAlign w:val="center"/>
            <w:hideMark/>
          </w:tcPr>
          <w:p w14:paraId="56CF8DD8" w14:textId="77777777" w:rsidR="00A7279C" w:rsidRPr="00685F68" w:rsidRDefault="00A7279C" w:rsidP="00922F60">
            <w:pPr>
              <w:spacing w:after="0" w:line="240" w:lineRule="auto"/>
              <w:rPr>
                <w:rFonts w:eastAsia="Times New Roman" w:cs="Times New Roman"/>
                <w:color w:val="000000"/>
                <w:sz w:val="18"/>
                <w:szCs w:val="18"/>
                <w:lang w:eastAsia="sk-SK"/>
              </w:rPr>
            </w:pPr>
            <w:r w:rsidRPr="00685F68">
              <w:rPr>
                <w:rFonts w:eastAsia="Times New Roman" w:cs="Times New Roman"/>
                <w:color w:val="000000"/>
                <w:sz w:val="18"/>
                <w:szCs w:val="18"/>
                <w:lang w:eastAsia="sk-SK"/>
              </w:rPr>
              <w:t xml:space="preserve">   úroky z refinančného systému - ŠP</w:t>
            </w:r>
          </w:p>
        </w:tc>
        <w:tc>
          <w:tcPr>
            <w:tcW w:w="711" w:type="pct"/>
            <w:tcBorders>
              <w:top w:val="nil"/>
              <w:left w:val="nil"/>
              <w:bottom w:val="nil"/>
              <w:right w:val="nil"/>
            </w:tcBorders>
            <w:shd w:val="clear" w:color="auto" w:fill="auto"/>
            <w:vAlign w:val="center"/>
            <w:hideMark/>
          </w:tcPr>
          <w:p w14:paraId="73817B32" w14:textId="77777777" w:rsidR="00A7279C" w:rsidRPr="00685F68" w:rsidRDefault="00A7279C" w:rsidP="00922F60">
            <w:pPr>
              <w:spacing w:after="0" w:line="240" w:lineRule="auto"/>
              <w:jc w:val="right"/>
              <w:rPr>
                <w:rFonts w:eastAsia="Times New Roman" w:cs="Times New Roman"/>
                <w:color w:val="000000"/>
                <w:sz w:val="18"/>
                <w:szCs w:val="18"/>
                <w:lang w:eastAsia="sk-SK"/>
              </w:rPr>
            </w:pPr>
            <w:r w:rsidRPr="00685F68">
              <w:rPr>
                <w:rFonts w:eastAsia="Times New Roman" w:cs="Times New Roman"/>
                <w:color w:val="000000"/>
                <w:sz w:val="18"/>
                <w:szCs w:val="18"/>
                <w:lang w:eastAsia="sk-SK"/>
              </w:rPr>
              <w:t>25 161</w:t>
            </w:r>
          </w:p>
        </w:tc>
        <w:tc>
          <w:tcPr>
            <w:tcW w:w="661" w:type="pct"/>
            <w:tcBorders>
              <w:top w:val="nil"/>
              <w:left w:val="nil"/>
              <w:bottom w:val="nil"/>
              <w:right w:val="nil"/>
            </w:tcBorders>
            <w:shd w:val="clear" w:color="auto" w:fill="auto"/>
            <w:vAlign w:val="center"/>
            <w:hideMark/>
          </w:tcPr>
          <w:p w14:paraId="4960244D" w14:textId="77777777" w:rsidR="00A7279C" w:rsidRPr="00685F68" w:rsidRDefault="00A7279C" w:rsidP="00922F60">
            <w:pPr>
              <w:spacing w:after="0" w:line="240" w:lineRule="auto"/>
              <w:jc w:val="right"/>
              <w:rPr>
                <w:rFonts w:eastAsia="Times New Roman" w:cs="Times New Roman"/>
                <w:color w:val="000000"/>
                <w:sz w:val="18"/>
                <w:szCs w:val="18"/>
                <w:lang w:eastAsia="sk-SK"/>
              </w:rPr>
            </w:pPr>
            <w:r w:rsidRPr="00685F68">
              <w:rPr>
                <w:rFonts w:eastAsia="Times New Roman" w:cs="Times New Roman"/>
                <w:color w:val="000000"/>
                <w:sz w:val="18"/>
                <w:szCs w:val="18"/>
                <w:lang w:eastAsia="sk-SK"/>
              </w:rPr>
              <w:t>196 996</w:t>
            </w:r>
          </w:p>
        </w:tc>
        <w:tc>
          <w:tcPr>
            <w:tcW w:w="682" w:type="pct"/>
            <w:tcBorders>
              <w:top w:val="nil"/>
              <w:left w:val="nil"/>
              <w:bottom w:val="nil"/>
              <w:right w:val="nil"/>
            </w:tcBorders>
            <w:shd w:val="clear" w:color="auto" w:fill="auto"/>
            <w:vAlign w:val="center"/>
          </w:tcPr>
          <w:p w14:paraId="085D709F" w14:textId="77777777" w:rsidR="00A7279C" w:rsidRPr="00685F68" w:rsidRDefault="00A7279C" w:rsidP="00922F60">
            <w:pPr>
              <w:spacing w:after="0" w:line="240" w:lineRule="auto"/>
              <w:jc w:val="right"/>
              <w:rPr>
                <w:rFonts w:eastAsia="Times New Roman" w:cs="Times New Roman"/>
                <w:color w:val="000000"/>
                <w:sz w:val="18"/>
                <w:szCs w:val="18"/>
                <w:lang w:eastAsia="sk-SK"/>
              </w:rPr>
            </w:pPr>
            <w:r w:rsidRPr="00685F68">
              <w:rPr>
                <w:rFonts w:eastAsia="Times New Roman" w:cs="Times New Roman"/>
                <w:color w:val="000000"/>
                <w:sz w:val="18"/>
                <w:szCs w:val="18"/>
                <w:lang w:eastAsia="sk-SK"/>
              </w:rPr>
              <w:t>291 569</w:t>
            </w:r>
          </w:p>
        </w:tc>
      </w:tr>
      <w:tr w:rsidR="00A7279C" w:rsidRPr="00D0395E" w14:paraId="4907251A" w14:textId="77777777" w:rsidTr="00922F60">
        <w:trPr>
          <w:trHeight w:val="263"/>
        </w:trPr>
        <w:tc>
          <w:tcPr>
            <w:tcW w:w="2946" w:type="pct"/>
            <w:tcBorders>
              <w:top w:val="nil"/>
              <w:left w:val="nil"/>
              <w:right w:val="nil"/>
            </w:tcBorders>
            <w:shd w:val="clear" w:color="auto" w:fill="auto"/>
            <w:noWrap/>
            <w:vAlign w:val="center"/>
            <w:hideMark/>
          </w:tcPr>
          <w:p w14:paraId="027479B0" w14:textId="77777777" w:rsidR="00A7279C" w:rsidRPr="00685F68" w:rsidRDefault="00A7279C" w:rsidP="00922F60">
            <w:pPr>
              <w:spacing w:after="0" w:line="240" w:lineRule="auto"/>
              <w:rPr>
                <w:rFonts w:eastAsia="Times New Roman" w:cs="Times New Roman"/>
                <w:color w:val="000000"/>
                <w:sz w:val="18"/>
                <w:szCs w:val="18"/>
                <w:lang w:eastAsia="sk-SK"/>
              </w:rPr>
            </w:pPr>
            <w:r w:rsidRPr="00685F68">
              <w:rPr>
                <w:rFonts w:eastAsia="Times New Roman" w:cs="Times New Roman"/>
                <w:color w:val="000000"/>
                <w:sz w:val="18"/>
                <w:szCs w:val="18"/>
                <w:lang w:eastAsia="sk-SK"/>
              </w:rPr>
              <w:t xml:space="preserve">   disážio (diskont CP)</w:t>
            </w:r>
          </w:p>
        </w:tc>
        <w:tc>
          <w:tcPr>
            <w:tcW w:w="711" w:type="pct"/>
            <w:tcBorders>
              <w:top w:val="nil"/>
              <w:left w:val="nil"/>
              <w:right w:val="nil"/>
            </w:tcBorders>
            <w:shd w:val="clear" w:color="auto" w:fill="auto"/>
            <w:vAlign w:val="center"/>
            <w:hideMark/>
          </w:tcPr>
          <w:p w14:paraId="496CFF32" w14:textId="77777777" w:rsidR="00A7279C" w:rsidRPr="00685F68" w:rsidRDefault="00A7279C" w:rsidP="00922F60">
            <w:pPr>
              <w:spacing w:after="0" w:line="240" w:lineRule="auto"/>
              <w:jc w:val="right"/>
              <w:rPr>
                <w:rFonts w:eastAsia="Times New Roman" w:cs="Times New Roman"/>
                <w:color w:val="000000"/>
                <w:sz w:val="18"/>
                <w:szCs w:val="18"/>
                <w:lang w:eastAsia="sk-SK"/>
              </w:rPr>
            </w:pPr>
            <w:r w:rsidRPr="00685F68">
              <w:rPr>
                <w:rFonts w:eastAsia="Times New Roman" w:cs="Times New Roman"/>
                <w:color w:val="000000"/>
                <w:sz w:val="18"/>
                <w:szCs w:val="18"/>
                <w:lang w:eastAsia="sk-SK"/>
              </w:rPr>
              <w:t>13 524</w:t>
            </w:r>
          </w:p>
        </w:tc>
        <w:tc>
          <w:tcPr>
            <w:tcW w:w="661" w:type="pct"/>
            <w:tcBorders>
              <w:top w:val="nil"/>
              <w:left w:val="nil"/>
              <w:right w:val="nil"/>
            </w:tcBorders>
            <w:shd w:val="clear" w:color="auto" w:fill="auto"/>
            <w:vAlign w:val="center"/>
            <w:hideMark/>
          </w:tcPr>
          <w:p w14:paraId="75870C16" w14:textId="77777777" w:rsidR="00A7279C" w:rsidRPr="00685F68" w:rsidRDefault="00A7279C" w:rsidP="00922F60">
            <w:pPr>
              <w:spacing w:after="0" w:line="240" w:lineRule="auto"/>
              <w:jc w:val="right"/>
              <w:rPr>
                <w:rFonts w:eastAsia="Times New Roman" w:cs="Times New Roman"/>
                <w:color w:val="000000"/>
                <w:sz w:val="18"/>
                <w:szCs w:val="18"/>
                <w:lang w:eastAsia="sk-SK"/>
              </w:rPr>
            </w:pPr>
            <w:r w:rsidRPr="00685F68">
              <w:rPr>
                <w:rFonts w:eastAsia="Times New Roman" w:cs="Times New Roman"/>
                <w:color w:val="000000"/>
                <w:sz w:val="18"/>
                <w:szCs w:val="18"/>
                <w:lang w:eastAsia="sk-SK"/>
              </w:rPr>
              <w:t>48 160</w:t>
            </w:r>
          </w:p>
        </w:tc>
        <w:tc>
          <w:tcPr>
            <w:tcW w:w="682" w:type="pct"/>
            <w:tcBorders>
              <w:top w:val="nil"/>
              <w:left w:val="nil"/>
              <w:right w:val="nil"/>
            </w:tcBorders>
            <w:shd w:val="clear" w:color="auto" w:fill="auto"/>
            <w:vAlign w:val="center"/>
          </w:tcPr>
          <w:p w14:paraId="58E7A08D" w14:textId="77777777" w:rsidR="00A7279C" w:rsidRPr="00685F68" w:rsidRDefault="00A7279C" w:rsidP="00922F60">
            <w:pPr>
              <w:spacing w:after="0" w:line="240" w:lineRule="auto"/>
              <w:jc w:val="right"/>
              <w:rPr>
                <w:rFonts w:eastAsia="Times New Roman" w:cs="Times New Roman"/>
                <w:color w:val="000000"/>
                <w:sz w:val="18"/>
                <w:szCs w:val="18"/>
                <w:lang w:eastAsia="sk-SK"/>
              </w:rPr>
            </w:pPr>
            <w:r w:rsidRPr="00685F68">
              <w:rPr>
                <w:rFonts w:eastAsia="Times New Roman" w:cs="Times New Roman"/>
                <w:color w:val="000000"/>
                <w:sz w:val="18"/>
                <w:szCs w:val="18"/>
                <w:lang w:eastAsia="sk-SK"/>
              </w:rPr>
              <w:t>15 002</w:t>
            </w:r>
          </w:p>
        </w:tc>
      </w:tr>
      <w:tr w:rsidR="00A7279C" w:rsidRPr="00D0395E" w14:paraId="0B36C849" w14:textId="77777777" w:rsidTr="00922F60">
        <w:trPr>
          <w:trHeight w:val="263"/>
        </w:trPr>
        <w:tc>
          <w:tcPr>
            <w:tcW w:w="2946" w:type="pct"/>
            <w:tcBorders>
              <w:top w:val="nil"/>
              <w:left w:val="nil"/>
              <w:bottom w:val="single" w:sz="4" w:space="0" w:color="auto"/>
              <w:right w:val="nil"/>
            </w:tcBorders>
            <w:shd w:val="clear" w:color="auto" w:fill="auto"/>
            <w:noWrap/>
            <w:vAlign w:val="center"/>
            <w:hideMark/>
          </w:tcPr>
          <w:p w14:paraId="32273528" w14:textId="77777777" w:rsidR="00A7279C" w:rsidRPr="00685F68" w:rsidRDefault="00A7279C" w:rsidP="00922F60">
            <w:pPr>
              <w:spacing w:after="0" w:line="240" w:lineRule="auto"/>
              <w:rPr>
                <w:rFonts w:eastAsia="Times New Roman" w:cs="Times New Roman"/>
                <w:color w:val="000000"/>
                <w:sz w:val="18"/>
                <w:szCs w:val="18"/>
                <w:lang w:eastAsia="sk-SK"/>
              </w:rPr>
            </w:pPr>
            <w:r w:rsidRPr="00685F68">
              <w:rPr>
                <w:rFonts w:eastAsia="Times New Roman" w:cs="Times New Roman"/>
                <w:color w:val="000000"/>
                <w:sz w:val="18"/>
                <w:szCs w:val="18"/>
                <w:lang w:eastAsia="sk-SK"/>
              </w:rPr>
              <w:t xml:space="preserve">   poplatky </w:t>
            </w:r>
          </w:p>
        </w:tc>
        <w:tc>
          <w:tcPr>
            <w:tcW w:w="711" w:type="pct"/>
            <w:tcBorders>
              <w:top w:val="nil"/>
              <w:left w:val="nil"/>
              <w:bottom w:val="single" w:sz="4" w:space="0" w:color="auto"/>
              <w:right w:val="nil"/>
            </w:tcBorders>
            <w:shd w:val="clear" w:color="auto" w:fill="auto"/>
            <w:vAlign w:val="center"/>
            <w:hideMark/>
          </w:tcPr>
          <w:p w14:paraId="252F09CA" w14:textId="77777777" w:rsidR="00A7279C" w:rsidRPr="00685F68" w:rsidRDefault="00A7279C" w:rsidP="00922F60">
            <w:pPr>
              <w:spacing w:after="0" w:line="240" w:lineRule="auto"/>
              <w:jc w:val="right"/>
              <w:rPr>
                <w:rFonts w:eastAsia="Times New Roman" w:cs="Times New Roman"/>
                <w:color w:val="000000"/>
                <w:sz w:val="18"/>
                <w:szCs w:val="18"/>
                <w:lang w:eastAsia="sk-SK"/>
              </w:rPr>
            </w:pPr>
            <w:r w:rsidRPr="00685F68">
              <w:rPr>
                <w:rFonts w:eastAsia="Times New Roman" w:cs="Times New Roman"/>
                <w:color w:val="000000"/>
                <w:sz w:val="18"/>
                <w:szCs w:val="18"/>
                <w:lang w:eastAsia="sk-SK"/>
              </w:rPr>
              <w:t>4 775</w:t>
            </w:r>
          </w:p>
        </w:tc>
        <w:tc>
          <w:tcPr>
            <w:tcW w:w="661" w:type="pct"/>
            <w:tcBorders>
              <w:top w:val="nil"/>
              <w:left w:val="nil"/>
              <w:bottom w:val="single" w:sz="4" w:space="0" w:color="auto"/>
              <w:right w:val="nil"/>
            </w:tcBorders>
            <w:shd w:val="clear" w:color="auto" w:fill="auto"/>
            <w:vAlign w:val="center"/>
            <w:hideMark/>
          </w:tcPr>
          <w:p w14:paraId="18973E16" w14:textId="77777777" w:rsidR="00A7279C" w:rsidRPr="00685F68" w:rsidRDefault="00A7279C" w:rsidP="00922F60">
            <w:pPr>
              <w:spacing w:after="0" w:line="240" w:lineRule="auto"/>
              <w:jc w:val="right"/>
              <w:rPr>
                <w:rFonts w:eastAsia="Times New Roman" w:cs="Times New Roman"/>
                <w:color w:val="000000"/>
                <w:sz w:val="18"/>
                <w:szCs w:val="18"/>
                <w:lang w:eastAsia="sk-SK"/>
              </w:rPr>
            </w:pPr>
            <w:r w:rsidRPr="00685F68">
              <w:rPr>
                <w:rFonts w:eastAsia="Times New Roman" w:cs="Times New Roman"/>
                <w:color w:val="000000"/>
                <w:sz w:val="18"/>
                <w:szCs w:val="18"/>
                <w:lang w:eastAsia="sk-SK"/>
              </w:rPr>
              <w:t>12 678</w:t>
            </w:r>
          </w:p>
        </w:tc>
        <w:tc>
          <w:tcPr>
            <w:tcW w:w="682" w:type="pct"/>
            <w:tcBorders>
              <w:top w:val="nil"/>
              <w:left w:val="nil"/>
              <w:bottom w:val="single" w:sz="4" w:space="0" w:color="auto"/>
              <w:right w:val="nil"/>
            </w:tcBorders>
            <w:shd w:val="clear" w:color="auto" w:fill="auto"/>
            <w:vAlign w:val="center"/>
          </w:tcPr>
          <w:p w14:paraId="7D359234" w14:textId="77777777" w:rsidR="00A7279C" w:rsidRPr="00685F68" w:rsidRDefault="00A7279C" w:rsidP="00922F60">
            <w:pPr>
              <w:spacing w:after="0" w:line="240" w:lineRule="auto"/>
              <w:jc w:val="right"/>
              <w:rPr>
                <w:rFonts w:eastAsia="Times New Roman" w:cs="Times New Roman"/>
                <w:color w:val="000000"/>
                <w:sz w:val="18"/>
                <w:szCs w:val="18"/>
                <w:lang w:eastAsia="sk-SK"/>
              </w:rPr>
            </w:pPr>
            <w:r w:rsidRPr="00685F68">
              <w:rPr>
                <w:rFonts w:eastAsia="Times New Roman" w:cs="Times New Roman"/>
                <w:color w:val="000000"/>
                <w:sz w:val="18"/>
                <w:szCs w:val="18"/>
                <w:lang w:eastAsia="sk-SK"/>
              </w:rPr>
              <w:t>14 162</w:t>
            </w:r>
          </w:p>
        </w:tc>
      </w:tr>
    </w:tbl>
    <w:p w14:paraId="2CED5B08" w14:textId="63A8265F" w:rsidR="00A7279C" w:rsidRDefault="00A7279C" w:rsidP="00A7279C">
      <w:pPr>
        <w:spacing w:line="240" w:lineRule="auto"/>
        <w:ind w:firstLine="7797"/>
        <w:rPr>
          <w:rFonts w:eastAsia="Times New Roman" w:cs="Times New Roman"/>
          <w:sz w:val="24"/>
          <w:szCs w:val="24"/>
          <w:lang w:eastAsia="sk-SK"/>
        </w:rPr>
      </w:pPr>
      <w:r w:rsidRPr="00736668">
        <w:rPr>
          <w:rFonts w:eastAsia="Times New Roman" w:cs="Times New Roman"/>
          <w:sz w:val="18"/>
          <w:szCs w:val="18"/>
        </w:rPr>
        <w:t>Zdroj: MF SR</w:t>
      </w:r>
    </w:p>
    <w:p w14:paraId="46CBA083" w14:textId="77777777" w:rsidR="00076144" w:rsidRDefault="00076144" w:rsidP="00076144">
      <w:pPr>
        <w:spacing w:line="240" w:lineRule="auto"/>
        <w:rPr>
          <w:rFonts w:eastAsia="Times New Roman" w:cs="Times New Roman"/>
          <w:sz w:val="24"/>
          <w:szCs w:val="24"/>
          <w:lang w:eastAsia="sk-SK"/>
        </w:rPr>
      </w:pPr>
      <w:r w:rsidRPr="007D091B">
        <w:rPr>
          <w:rFonts w:eastAsia="Times New Roman" w:cs="Times New Roman"/>
          <w:sz w:val="24"/>
          <w:szCs w:val="24"/>
          <w:lang w:eastAsia="sk-SK"/>
        </w:rPr>
        <w:t>Vďaka optimálnemu budovaniu a riadeniu rizikových ukazovateľov a priemernej splatnosti dlhového portfólia v minulosti sa pokračujúci rast výnosov v roku 2024 premietol do</w:t>
      </w:r>
      <w:r>
        <w:rPr>
          <w:rFonts w:eastAsia="Times New Roman" w:cs="Times New Roman"/>
          <w:sz w:val="24"/>
          <w:szCs w:val="24"/>
          <w:lang w:eastAsia="sk-SK"/>
        </w:rPr>
        <w:t> </w:t>
      </w:r>
      <w:r w:rsidRPr="007D091B">
        <w:rPr>
          <w:rFonts w:eastAsia="Times New Roman" w:cs="Times New Roman"/>
          <w:sz w:val="24"/>
          <w:szCs w:val="24"/>
          <w:lang w:eastAsia="sk-SK"/>
        </w:rPr>
        <w:t>celkového portfólia dlhu len v obmedzenej miere. Priemerná vážená úroková sadzba celkových záväzkov štátu vzrástla z úrovne 1,82</w:t>
      </w:r>
      <w:r>
        <w:rPr>
          <w:rFonts w:eastAsia="Times New Roman" w:cs="Times New Roman"/>
          <w:sz w:val="24"/>
          <w:szCs w:val="24"/>
          <w:lang w:eastAsia="sk-SK"/>
        </w:rPr>
        <w:t> </w:t>
      </w:r>
      <w:r w:rsidRPr="007D091B">
        <w:rPr>
          <w:rFonts w:eastAsia="Times New Roman" w:cs="Times New Roman"/>
          <w:sz w:val="24"/>
          <w:szCs w:val="24"/>
          <w:lang w:eastAsia="sk-SK"/>
        </w:rPr>
        <w:t>%</w:t>
      </w:r>
      <w:r>
        <w:rPr>
          <w:rFonts w:eastAsia="Times New Roman" w:cs="Times New Roman"/>
          <w:sz w:val="24"/>
          <w:szCs w:val="24"/>
          <w:lang w:eastAsia="sk-SK"/>
        </w:rPr>
        <w:t> </w:t>
      </w:r>
      <w:r w:rsidRPr="007D091B">
        <w:rPr>
          <w:rFonts w:eastAsia="Times New Roman" w:cs="Times New Roman"/>
          <w:sz w:val="24"/>
          <w:szCs w:val="24"/>
          <w:lang w:eastAsia="sk-SK"/>
        </w:rPr>
        <w:t>p.</w:t>
      </w:r>
      <w:r>
        <w:rPr>
          <w:rFonts w:eastAsia="Times New Roman" w:cs="Times New Roman"/>
          <w:sz w:val="24"/>
          <w:szCs w:val="24"/>
          <w:lang w:eastAsia="sk-SK"/>
        </w:rPr>
        <w:t> a. v roku 2023 na úroveň 2,05 % </w:t>
      </w:r>
      <w:r w:rsidRPr="007D091B">
        <w:rPr>
          <w:rFonts w:eastAsia="Times New Roman" w:cs="Times New Roman"/>
          <w:sz w:val="24"/>
          <w:szCs w:val="24"/>
          <w:lang w:eastAsia="sk-SK"/>
        </w:rPr>
        <w:t>p.</w:t>
      </w:r>
      <w:r>
        <w:rPr>
          <w:rFonts w:eastAsia="Times New Roman" w:cs="Times New Roman"/>
          <w:sz w:val="24"/>
          <w:szCs w:val="24"/>
          <w:lang w:eastAsia="sk-SK"/>
        </w:rPr>
        <w:t> </w:t>
      </w:r>
      <w:r w:rsidRPr="007D091B">
        <w:rPr>
          <w:rFonts w:eastAsia="Times New Roman" w:cs="Times New Roman"/>
          <w:sz w:val="24"/>
          <w:szCs w:val="24"/>
          <w:lang w:eastAsia="sk-SK"/>
        </w:rPr>
        <w:t>a. na konci roka 2024. Na</w:t>
      </w:r>
      <w:r>
        <w:rPr>
          <w:rFonts w:eastAsia="Times New Roman" w:cs="Times New Roman"/>
          <w:sz w:val="24"/>
          <w:szCs w:val="24"/>
          <w:lang w:eastAsia="sk-SK"/>
        </w:rPr>
        <w:t> </w:t>
      </w:r>
      <w:r w:rsidRPr="007D091B">
        <w:rPr>
          <w:rFonts w:eastAsia="Times New Roman" w:cs="Times New Roman"/>
          <w:sz w:val="24"/>
          <w:szCs w:val="24"/>
          <w:lang w:eastAsia="sk-SK"/>
        </w:rPr>
        <w:t>správu štátneho dlhu pozitívne vplýval aj systém ŠP, ktorý zabezpečil, že SR mala k</w:t>
      </w:r>
      <w:r>
        <w:rPr>
          <w:rFonts w:eastAsia="Times New Roman" w:cs="Times New Roman"/>
          <w:sz w:val="24"/>
          <w:szCs w:val="24"/>
          <w:lang w:eastAsia="sk-SK"/>
        </w:rPr>
        <w:t> </w:t>
      </w:r>
      <w:r w:rsidRPr="007D091B">
        <w:rPr>
          <w:rFonts w:eastAsia="Times New Roman" w:cs="Times New Roman"/>
          <w:sz w:val="24"/>
          <w:szCs w:val="24"/>
          <w:lang w:eastAsia="sk-SK"/>
        </w:rPr>
        <w:t>dispozícii stabilné a lacné zdroje financovania, ktoré slúžili hlavne ako hotovostná rezerva v</w:t>
      </w:r>
      <w:r>
        <w:rPr>
          <w:rFonts w:eastAsia="Times New Roman" w:cs="Times New Roman"/>
          <w:sz w:val="24"/>
          <w:szCs w:val="24"/>
          <w:lang w:eastAsia="sk-SK"/>
        </w:rPr>
        <w:t> </w:t>
      </w:r>
      <w:r w:rsidRPr="007D091B">
        <w:rPr>
          <w:rFonts w:eastAsia="Times New Roman" w:cs="Times New Roman"/>
          <w:sz w:val="24"/>
          <w:szCs w:val="24"/>
          <w:lang w:eastAsia="sk-SK"/>
        </w:rPr>
        <w:t xml:space="preserve">zhoršených časoch na </w:t>
      </w:r>
      <w:r w:rsidRPr="00C820A5">
        <w:rPr>
          <w:rFonts w:eastAsia="Times New Roman" w:cs="Times New Roman"/>
          <w:sz w:val="24"/>
          <w:szCs w:val="24"/>
          <w:lang w:eastAsia="sk-SK"/>
        </w:rPr>
        <w:t>finančnom trhu</w:t>
      </w:r>
    </w:p>
    <w:p w14:paraId="1D3B7969" w14:textId="7E0E5875" w:rsidR="004D69BF" w:rsidRPr="00551BFF" w:rsidRDefault="004D69BF" w:rsidP="004D69BF">
      <w:pPr>
        <w:spacing w:line="240" w:lineRule="auto"/>
        <w:rPr>
          <w:rFonts w:eastAsia="Calibri" w:cs="Times New Roman"/>
          <w:bCs/>
          <w:iCs/>
          <w:sz w:val="24"/>
          <w:szCs w:val="24"/>
        </w:rPr>
      </w:pPr>
      <w:r>
        <w:rPr>
          <w:rFonts w:eastAsia="Calibri" w:cs="Times New Roman"/>
          <w:b/>
          <w:i/>
          <w:sz w:val="24"/>
          <w:szCs w:val="24"/>
        </w:rPr>
        <w:t xml:space="preserve">Obciam </w:t>
      </w:r>
      <w:r>
        <w:rPr>
          <w:rFonts w:eastAsia="Calibri" w:cs="Times New Roman"/>
          <w:bCs/>
          <w:iCs/>
          <w:sz w:val="24"/>
          <w:szCs w:val="24"/>
        </w:rPr>
        <w:t>bolo poskytnutých v roku 2024 na bežných transferoch úhrnom o 212</w:t>
      </w:r>
      <w:r w:rsidR="008644B4">
        <w:rPr>
          <w:rFonts w:eastAsia="Calibri" w:cs="Times New Roman"/>
          <w:bCs/>
          <w:iCs/>
          <w:sz w:val="24"/>
          <w:szCs w:val="24"/>
        </w:rPr>
        <w:t> </w:t>
      </w:r>
      <w:r>
        <w:rPr>
          <w:rFonts w:eastAsia="Calibri" w:cs="Times New Roman"/>
          <w:bCs/>
          <w:iCs/>
          <w:sz w:val="24"/>
          <w:szCs w:val="24"/>
        </w:rPr>
        <w:t>774</w:t>
      </w:r>
      <w:r w:rsidR="008644B4">
        <w:rPr>
          <w:rFonts w:eastAsia="Calibri" w:cs="Times New Roman"/>
          <w:bCs/>
          <w:iCs/>
          <w:sz w:val="24"/>
          <w:szCs w:val="24"/>
        </w:rPr>
        <w:t> </w:t>
      </w:r>
      <w:r>
        <w:rPr>
          <w:rFonts w:eastAsia="Calibri" w:cs="Times New Roman"/>
          <w:bCs/>
          <w:iCs/>
          <w:sz w:val="24"/>
          <w:szCs w:val="24"/>
        </w:rPr>
        <w:t>tis.</w:t>
      </w:r>
      <w:r w:rsidR="008644B4">
        <w:rPr>
          <w:rFonts w:eastAsia="Calibri" w:cs="Times New Roman"/>
          <w:bCs/>
          <w:iCs/>
          <w:sz w:val="24"/>
          <w:szCs w:val="24"/>
        </w:rPr>
        <w:t> </w:t>
      </w:r>
      <w:r>
        <w:rPr>
          <w:rFonts w:eastAsia="Calibri" w:cs="Times New Roman"/>
          <w:bCs/>
          <w:iCs/>
          <w:sz w:val="24"/>
          <w:szCs w:val="24"/>
        </w:rPr>
        <w:t>eur viac ako sa pôvodne rozpočtovalo. Prekročenie rozpočtu o 211</w:t>
      </w:r>
      <w:r w:rsidR="008644B4">
        <w:rPr>
          <w:rFonts w:eastAsia="Calibri" w:cs="Times New Roman"/>
          <w:bCs/>
          <w:iCs/>
          <w:sz w:val="24"/>
          <w:szCs w:val="24"/>
        </w:rPr>
        <w:t> </w:t>
      </w:r>
      <w:r>
        <w:rPr>
          <w:rFonts w:eastAsia="Calibri" w:cs="Times New Roman"/>
          <w:bCs/>
          <w:iCs/>
          <w:sz w:val="24"/>
          <w:szCs w:val="24"/>
        </w:rPr>
        <w:t>253</w:t>
      </w:r>
      <w:r w:rsidR="008644B4">
        <w:rPr>
          <w:rFonts w:eastAsia="Calibri" w:cs="Times New Roman"/>
          <w:bCs/>
          <w:iCs/>
          <w:sz w:val="24"/>
          <w:szCs w:val="24"/>
        </w:rPr>
        <w:t> </w:t>
      </w:r>
      <w:r>
        <w:rPr>
          <w:rFonts w:eastAsia="Calibri" w:cs="Times New Roman"/>
          <w:bCs/>
          <w:iCs/>
          <w:sz w:val="24"/>
          <w:szCs w:val="24"/>
        </w:rPr>
        <w:t>tis.</w:t>
      </w:r>
      <w:r w:rsidR="008644B4">
        <w:rPr>
          <w:rFonts w:eastAsia="Calibri" w:cs="Times New Roman"/>
          <w:bCs/>
          <w:iCs/>
          <w:sz w:val="24"/>
          <w:szCs w:val="24"/>
        </w:rPr>
        <w:t> </w:t>
      </w:r>
      <w:r>
        <w:rPr>
          <w:rFonts w:eastAsia="Calibri" w:cs="Times New Roman"/>
          <w:bCs/>
          <w:iCs/>
          <w:sz w:val="24"/>
          <w:szCs w:val="24"/>
        </w:rPr>
        <w:t>eur bolo hlavne na</w:t>
      </w:r>
      <w:r w:rsidR="008644B4">
        <w:rPr>
          <w:rFonts w:eastAsia="Calibri" w:cs="Times New Roman"/>
          <w:bCs/>
          <w:iCs/>
          <w:sz w:val="24"/>
          <w:szCs w:val="24"/>
        </w:rPr>
        <w:t> </w:t>
      </w:r>
      <w:r>
        <w:rPr>
          <w:rFonts w:eastAsia="Calibri" w:cs="Times New Roman"/>
          <w:bCs/>
          <w:iCs/>
          <w:sz w:val="24"/>
          <w:szCs w:val="24"/>
        </w:rPr>
        <w:t>transferoch, ktoré nesúviseli s úhradou nákladov na prenesený výkon štátnej správy. Vyššie čerpanie EU fondov umožnilo aj vyššie bežné transfery zo zdrojov EU o 132</w:t>
      </w:r>
      <w:r w:rsidR="008644B4">
        <w:rPr>
          <w:rFonts w:eastAsia="Calibri" w:cs="Times New Roman"/>
          <w:bCs/>
          <w:iCs/>
          <w:sz w:val="24"/>
          <w:szCs w:val="24"/>
        </w:rPr>
        <w:t> </w:t>
      </w:r>
      <w:r>
        <w:rPr>
          <w:rFonts w:eastAsia="Calibri" w:cs="Times New Roman"/>
          <w:bCs/>
          <w:iCs/>
          <w:sz w:val="24"/>
          <w:szCs w:val="24"/>
        </w:rPr>
        <w:t>260</w:t>
      </w:r>
      <w:r w:rsidR="008644B4">
        <w:rPr>
          <w:rFonts w:eastAsia="Calibri" w:cs="Times New Roman"/>
          <w:bCs/>
          <w:iCs/>
          <w:sz w:val="24"/>
          <w:szCs w:val="24"/>
        </w:rPr>
        <w:t> </w:t>
      </w:r>
      <w:r>
        <w:rPr>
          <w:rFonts w:eastAsia="Calibri" w:cs="Times New Roman"/>
          <w:bCs/>
          <w:iCs/>
          <w:sz w:val="24"/>
          <w:szCs w:val="24"/>
        </w:rPr>
        <w:t>tis.</w:t>
      </w:r>
      <w:r w:rsidR="008644B4">
        <w:rPr>
          <w:rFonts w:eastAsia="Calibri" w:cs="Times New Roman"/>
          <w:bCs/>
          <w:iCs/>
          <w:sz w:val="24"/>
          <w:szCs w:val="24"/>
        </w:rPr>
        <w:t> </w:t>
      </w:r>
      <w:r>
        <w:rPr>
          <w:rFonts w:eastAsia="Calibri" w:cs="Times New Roman"/>
          <w:bCs/>
          <w:iCs/>
          <w:sz w:val="24"/>
          <w:szCs w:val="24"/>
        </w:rPr>
        <w:t>eur. Prostriedky zo zdroja ŠR boli vyššie o 71</w:t>
      </w:r>
      <w:r w:rsidR="008644B4">
        <w:rPr>
          <w:rFonts w:eastAsia="Calibri" w:cs="Times New Roman"/>
          <w:bCs/>
          <w:iCs/>
          <w:sz w:val="24"/>
          <w:szCs w:val="24"/>
        </w:rPr>
        <w:t> </w:t>
      </w:r>
      <w:r>
        <w:rPr>
          <w:rFonts w:eastAsia="Calibri" w:cs="Times New Roman"/>
          <w:bCs/>
          <w:iCs/>
          <w:sz w:val="24"/>
          <w:szCs w:val="24"/>
        </w:rPr>
        <w:t>475</w:t>
      </w:r>
      <w:r w:rsidR="008644B4">
        <w:rPr>
          <w:rFonts w:eastAsia="Calibri" w:cs="Times New Roman"/>
          <w:bCs/>
          <w:iCs/>
          <w:sz w:val="24"/>
          <w:szCs w:val="24"/>
        </w:rPr>
        <w:t> </w:t>
      </w:r>
      <w:r>
        <w:rPr>
          <w:rFonts w:eastAsia="Calibri" w:cs="Times New Roman"/>
          <w:bCs/>
          <w:iCs/>
          <w:sz w:val="24"/>
          <w:szCs w:val="24"/>
        </w:rPr>
        <w:t>tis.</w:t>
      </w:r>
      <w:r w:rsidR="008644B4">
        <w:rPr>
          <w:rFonts w:eastAsia="Calibri" w:cs="Times New Roman"/>
          <w:bCs/>
          <w:iCs/>
          <w:sz w:val="24"/>
          <w:szCs w:val="24"/>
        </w:rPr>
        <w:t> </w:t>
      </w:r>
      <w:r>
        <w:rPr>
          <w:rFonts w:eastAsia="Calibri" w:cs="Times New Roman"/>
          <w:bCs/>
          <w:iCs/>
          <w:sz w:val="24"/>
          <w:szCs w:val="24"/>
        </w:rPr>
        <w:t>eur.</w:t>
      </w:r>
    </w:p>
    <w:p w14:paraId="0DAD7B1A" w14:textId="0074810C" w:rsidR="004D69BF" w:rsidRPr="008E112F" w:rsidRDefault="004D69BF" w:rsidP="004D69BF">
      <w:pPr>
        <w:spacing w:line="240" w:lineRule="auto"/>
        <w:rPr>
          <w:rFonts w:eastAsia="Calibri" w:cs="Times New Roman"/>
          <w:sz w:val="24"/>
          <w:szCs w:val="24"/>
        </w:rPr>
      </w:pPr>
      <w:r w:rsidRPr="008E112F">
        <w:rPr>
          <w:rFonts w:eastAsia="Calibri" w:cs="Times New Roman"/>
          <w:b/>
          <w:i/>
          <w:sz w:val="24"/>
          <w:szCs w:val="24"/>
        </w:rPr>
        <w:t>Verejným vysokým školám</w:t>
      </w:r>
      <w:r w:rsidRPr="008E112F">
        <w:rPr>
          <w:rFonts w:eastAsia="Calibri" w:cs="Times New Roman"/>
          <w:sz w:val="24"/>
          <w:szCs w:val="24"/>
        </w:rPr>
        <w:t xml:space="preserve"> boli poskytnuté finančné </w:t>
      </w:r>
      <w:r w:rsidRPr="00327D28">
        <w:rPr>
          <w:rFonts w:eastAsia="Calibri" w:cs="Times New Roman"/>
          <w:sz w:val="24"/>
          <w:szCs w:val="24"/>
        </w:rPr>
        <w:t>prostriedky v sume 852</w:t>
      </w:r>
      <w:r w:rsidR="002D69DE">
        <w:rPr>
          <w:rFonts w:eastAsia="Calibri" w:cs="Times New Roman"/>
          <w:sz w:val="24"/>
          <w:szCs w:val="24"/>
        </w:rPr>
        <w:t> </w:t>
      </w:r>
      <w:r w:rsidRPr="00327D28">
        <w:rPr>
          <w:rFonts w:eastAsia="Calibri" w:cs="Times New Roman"/>
          <w:sz w:val="24"/>
          <w:szCs w:val="24"/>
        </w:rPr>
        <w:t>910</w:t>
      </w:r>
      <w:r w:rsidR="002D69DE">
        <w:rPr>
          <w:rFonts w:eastAsia="Calibri" w:cs="Times New Roman"/>
          <w:sz w:val="24"/>
          <w:szCs w:val="24"/>
        </w:rPr>
        <w:t> </w:t>
      </w:r>
      <w:r w:rsidRPr="00327D28">
        <w:rPr>
          <w:rFonts w:eastAsia="Calibri" w:cs="Times New Roman"/>
          <w:sz w:val="24"/>
          <w:szCs w:val="24"/>
        </w:rPr>
        <w:t>tis.</w:t>
      </w:r>
      <w:r w:rsidR="002D69DE">
        <w:rPr>
          <w:rFonts w:eastAsia="Calibri" w:cs="Times New Roman"/>
          <w:sz w:val="24"/>
          <w:szCs w:val="24"/>
        </w:rPr>
        <w:t> </w:t>
      </w:r>
      <w:r w:rsidRPr="00327D28">
        <w:rPr>
          <w:rFonts w:eastAsia="Calibri" w:cs="Times New Roman"/>
          <w:sz w:val="24"/>
          <w:szCs w:val="24"/>
        </w:rPr>
        <w:t xml:space="preserve">eur, a to predovšetkým </w:t>
      </w:r>
      <w:r>
        <w:rPr>
          <w:rFonts w:eastAsia="Calibri" w:cs="Times New Roman"/>
          <w:sz w:val="24"/>
          <w:szCs w:val="24"/>
        </w:rPr>
        <w:t xml:space="preserve">na </w:t>
      </w:r>
      <w:r w:rsidRPr="008E112F">
        <w:rPr>
          <w:rFonts w:eastAsia="Calibri" w:cs="Times New Roman"/>
          <w:sz w:val="24"/>
          <w:szCs w:val="24"/>
        </w:rPr>
        <w:t>uskutočňovanie akredito</w:t>
      </w:r>
      <w:r w:rsidR="002D69DE">
        <w:rPr>
          <w:rFonts w:eastAsia="Calibri" w:cs="Times New Roman"/>
          <w:sz w:val="24"/>
          <w:szCs w:val="24"/>
        </w:rPr>
        <w:t>vaných študijných programov, na </w:t>
      </w:r>
      <w:r w:rsidRPr="008E112F">
        <w:rPr>
          <w:rFonts w:eastAsia="Calibri" w:cs="Times New Roman"/>
          <w:sz w:val="24"/>
          <w:szCs w:val="24"/>
        </w:rPr>
        <w:t xml:space="preserve">výskumnú, vývojovú a umeleckú činnosť, na rozvoj verejných vysokých škôl a sociálnu podporu študentov, na štipendiá zahraničným študentom prijatým na štipendijné pobyty na slovenské vysoké školy, štipendiá študentom z radov Slovákov žijúcich v zahraničí poskytovaných formou vládnych štipendií, </w:t>
      </w:r>
      <w:r>
        <w:rPr>
          <w:rFonts w:eastAsia="Calibri" w:cs="Times New Roman"/>
          <w:sz w:val="24"/>
          <w:szCs w:val="24"/>
        </w:rPr>
        <w:t xml:space="preserve">na podporu stravovania, ubytovania, športových a kultúrnych </w:t>
      </w:r>
      <w:r>
        <w:rPr>
          <w:rFonts w:eastAsia="Calibri" w:cs="Times New Roman"/>
          <w:sz w:val="24"/>
          <w:szCs w:val="24"/>
        </w:rPr>
        <w:lastRenderedPageBreak/>
        <w:t>aktivít študentov a pastoračných centier. Na Slovensku bolo v roku 2024 spolu 20 verejných vysokých škôl.</w:t>
      </w:r>
    </w:p>
    <w:p w14:paraId="535852A3" w14:textId="617AC1BE" w:rsidR="004D69BF" w:rsidRDefault="004D69BF" w:rsidP="004D69BF">
      <w:pPr>
        <w:spacing w:line="240" w:lineRule="auto"/>
        <w:rPr>
          <w:rFonts w:eastAsia="Calibri" w:cs="Times New Roman"/>
          <w:sz w:val="24"/>
          <w:szCs w:val="24"/>
        </w:rPr>
      </w:pPr>
      <w:r w:rsidRPr="008602E3">
        <w:rPr>
          <w:rFonts w:eastAsia="Calibri" w:cs="Times New Roman"/>
          <w:b/>
          <w:bCs/>
          <w:sz w:val="24"/>
          <w:szCs w:val="24"/>
        </w:rPr>
        <w:t>Príspevkovým organizáciám</w:t>
      </w:r>
      <w:r>
        <w:rPr>
          <w:rFonts w:eastAsia="Calibri" w:cs="Times New Roman"/>
          <w:sz w:val="24"/>
          <w:szCs w:val="24"/>
        </w:rPr>
        <w:t xml:space="preserve"> štátu ako aj samosprávnym bolo poskytnutých 699</w:t>
      </w:r>
      <w:r w:rsidR="002D69DE">
        <w:rPr>
          <w:rFonts w:eastAsia="Calibri" w:cs="Times New Roman"/>
          <w:sz w:val="24"/>
          <w:szCs w:val="24"/>
        </w:rPr>
        <w:t> </w:t>
      </w:r>
      <w:r>
        <w:rPr>
          <w:rFonts w:eastAsia="Calibri" w:cs="Times New Roman"/>
          <w:sz w:val="24"/>
          <w:szCs w:val="24"/>
        </w:rPr>
        <w:t>001</w:t>
      </w:r>
      <w:r w:rsidR="002D69DE">
        <w:rPr>
          <w:rFonts w:eastAsia="Calibri" w:cs="Times New Roman"/>
          <w:sz w:val="24"/>
          <w:szCs w:val="24"/>
        </w:rPr>
        <w:t> </w:t>
      </w:r>
      <w:r>
        <w:rPr>
          <w:rFonts w:eastAsia="Calibri" w:cs="Times New Roman"/>
          <w:sz w:val="24"/>
          <w:szCs w:val="24"/>
        </w:rPr>
        <w:t>tis.</w:t>
      </w:r>
      <w:r w:rsidR="002D69DE">
        <w:rPr>
          <w:rFonts w:eastAsia="Calibri" w:cs="Times New Roman"/>
          <w:sz w:val="24"/>
          <w:szCs w:val="24"/>
        </w:rPr>
        <w:t> </w:t>
      </w:r>
      <w:r>
        <w:rPr>
          <w:rFonts w:eastAsia="Calibri" w:cs="Times New Roman"/>
          <w:sz w:val="24"/>
          <w:szCs w:val="24"/>
        </w:rPr>
        <w:t>eur a oproti rozpočtu ide o významné prekročenie pôvodne schváleného rozpočtu. Na prekročení rozpočtu o 352</w:t>
      </w:r>
      <w:r w:rsidR="002D69DE">
        <w:rPr>
          <w:rFonts w:eastAsia="Calibri" w:cs="Times New Roman"/>
          <w:sz w:val="24"/>
          <w:szCs w:val="24"/>
        </w:rPr>
        <w:t> </w:t>
      </w:r>
      <w:r>
        <w:rPr>
          <w:rFonts w:eastAsia="Calibri" w:cs="Times New Roman"/>
          <w:sz w:val="24"/>
          <w:szCs w:val="24"/>
        </w:rPr>
        <w:t>069</w:t>
      </w:r>
      <w:r w:rsidR="002D69DE">
        <w:rPr>
          <w:rFonts w:eastAsia="Calibri" w:cs="Times New Roman"/>
          <w:sz w:val="24"/>
          <w:szCs w:val="24"/>
        </w:rPr>
        <w:t> </w:t>
      </w:r>
      <w:r>
        <w:rPr>
          <w:rFonts w:eastAsia="Calibri" w:cs="Times New Roman"/>
          <w:sz w:val="24"/>
          <w:szCs w:val="24"/>
        </w:rPr>
        <w:t>tis.</w:t>
      </w:r>
      <w:r w:rsidR="002D69DE">
        <w:rPr>
          <w:rFonts w:eastAsia="Calibri" w:cs="Times New Roman"/>
          <w:sz w:val="24"/>
          <w:szCs w:val="24"/>
        </w:rPr>
        <w:t> </w:t>
      </w:r>
      <w:r>
        <w:rPr>
          <w:rFonts w:eastAsia="Calibri" w:cs="Times New Roman"/>
          <w:sz w:val="24"/>
          <w:szCs w:val="24"/>
        </w:rPr>
        <w:t xml:space="preserve">eur sa podieľajú najmä zdroje </w:t>
      </w:r>
      <w:r w:rsidR="001D6597">
        <w:rPr>
          <w:rFonts w:eastAsia="Calibri" w:cs="Times New Roman"/>
          <w:sz w:val="24"/>
          <w:szCs w:val="24"/>
        </w:rPr>
        <w:t>EÚ</w:t>
      </w:r>
      <w:r>
        <w:rPr>
          <w:rFonts w:eastAsia="Calibri" w:cs="Times New Roman"/>
          <w:sz w:val="24"/>
          <w:szCs w:val="24"/>
        </w:rPr>
        <w:t>, 167</w:t>
      </w:r>
      <w:r w:rsidR="002D69DE">
        <w:rPr>
          <w:rFonts w:eastAsia="Calibri" w:cs="Times New Roman"/>
          <w:sz w:val="24"/>
          <w:szCs w:val="24"/>
        </w:rPr>
        <w:t> </w:t>
      </w:r>
      <w:r>
        <w:rPr>
          <w:rFonts w:eastAsia="Calibri" w:cs="Times New Roman"/>
          <w:sz w:val="24"/>
          <w:szCs w:val="24"/>
        </w:rPr>
        <w:t>280</w:t>
      </w:r>
      <w:r w:rsidR="002D69DE">
        <w:rPr>
          <w:rFonts w:eastAsia="Calibri" w:cs="Times New Roman"/>
          <w:sz w:val="24"/>
          <w:szCs w:val="24"/>
        </w:rPr>
        <w:t> </w:t>
      </w:r>
      <w:r>
        <w:rPr>
          <w:rFonts w:eastAsia="Calibri" w:cs="Times New Roman"/>
          <w:sz w:val="24"/>
          <w:szCs w:val="24"/>
        </w:rPr>
        <w:t>tis.</w:t>
      </w:r>
      <w:r w:rsidR="002D69DE">
        <w:rPr>
          <w:rFonts w:eastAsia="Calibri" w:cs="Times New Roman"/>
          <w:sz w:val="24"/>
          <w:szCs w:val="24"/>
        </w:rPr>
        <w:t> </w:t>
      </w:r>
      <w:r>
        <w:rPr>
          <w:rFonts w:eastAsia="Calibri" w:cs="Times New Roman"/>
          <w:sz w:val="24"/>
          <w:szCs w:val="24"/>
        </w:rPr>
        <w:t>eur a zdr</w:t>
      </w:r>
      <w:r w:rsidR="002D69DE">
        <w:rPr>
          <w:rFonts w:eastAsia="Calibri" w:cs="Times New Roman"/>
          <w:sz w:val="24"/>
          <w:szCs w:val="24"/>
        </w:rPr>
        <w:t>oje štátneho rozpočtu o 119 656 </w:t>
      </w:r>
      <w:r>
        <w:rPr>
          <w:rFonts w:eastAsia="Calibri" w:cs="Times New Roman"/>
          <w:sz w:val="24"/>
          <w:szCs w:val="24"/>
        </w:rPr>
        <w:t>tis.</w:t>
      </w:r>
      <w:r w:rsidR="002D69DE">
        <w:rPr>
          <w:rFonts w:eastAsia="Calibri" w:cs="Times New Roman"/>
          <w:sz w:val="24"/>
          <w:szCs w:val="24"/>
        </w:rPr>
        <w:t> </w:t>
      </w:r>
      <w:r>
        <w:rPr>
          <w:rFonts w:eastAsia="Calibri" w:cs="Times New Roman"/>
          <w:sz w:val="24"/>
          <w:szCs w:val="24"/>
        </w:rPr>
        <w:t>eur. Najvýznamnejšie hodnoty boli poskytnuté z kapitoly Ministerstva školstva, vývoja, výskumu a mládeže (184 </w:t>
      </w:r>
      <w:r w:rsidRPr="002D69DE">
        <w:t>249tis</w:t>
      </w:r>
      <w:r>
        <w:rPr>
          <w:rFonts w:eastAsia="Calibri" w:cs="Times New Roman"/>
          <w:sz w:val="24"/>
          <w:szCs w:val="24"/>
        </w:rPr>
        <w:t>.</w:t>
      </w:r>
      <w:r w:rsidR="002D69DE">
        <w:rPr>
          <w:rFonts w:eastAsia="Calibri" w:cs="Times New Roman"/>
          <w:sz w:val="24"/>
          <w:szCs w:val="24"/>
        </w:rPr>
        <w:t> </w:t>
      </w:r>
      <w:r>
        <w:rPr>
          <w:rFonts w:eastAsia="Calibri" w:cs="Times New Roman"/>
          <w:sz w:val="24"/>
          <w:szCs w:val="24"/>
        </w:rPr>
        <w:t>eur), Ministerstvo investícií, regionálneho rozv</w:t>
      </w:r>
      <w:r w:rsidR="002D69DE">
        <w:rPr>
          <w:rFonts w:eastAsia="Calibri" w:cs="Times New Roman"/>
          <w:sz w:val="24"/>
          <w:szCs w:val="24"/>
        </w:rPr>
        <w:t>oja a informatizácie SR (95 803 </w:t>
      </w:r>
      <w:r>
        <w:rPr>
          <w:rFonts w:eastAsia="Calibri" w:cs="Times New Roman"/>
          <w:sz w:val="24"/>
          <w:szCs w:val="24"/>
        </w:rPr>
        <w:t>tis.</w:t>
      </w:r>
      <w:r w:rsidR="002D69DE">
        <w:rPr>
          <w:rFonts w:eastAsia="Calibri" w:cs="Times New Roman"/>
          <w:sz w:val="24"/>
          <w:szCs w:val="24"/>
        </w:rPr>
        <w:t> </w:t>
      </w:r>
      <w:r>
        <w:rPr>
          <w:rFonts w:eastAsia="Calibri" w:cs="Times New Roman"/>
          <w:sz w:val="24"/>
          <w:szCs w:val="24"/>
        </w:rPr>
        <w:t>eur), Ministerstvo zdravotníctva SR (86</w:t>
      </w:r>
      <w:r w:rsidR="002D69DE">
        <w:rPr>
          <w:rFonts w:eastAsia="Calibri" w:cs="Times New Roman"/>
          <w:sz w:val="24"/>
          <w:szCs w:val="24"/>
        </w:rPr>
        <w:t> </w:t>
      </w:r>
      <w:r>
        <w:rPr>
          <w:rFonts w:eastAsia="Calibri" w:cs="Times New Roman"/>
          <w:sz w:val="24"/>
          <w:szCs w:val="24"/>
        </w:rPr>
        <w:t>475</w:t>
      </w:r>
      <w:r w:rsidR="002D69DE">
        <w:rPr>
          <w:rFonts w:eastAsia="Calibri" w:cs="Times New Roman"/>
          <w:sz w:val="24"/>
          <w:szCs w:val="24"/>
        </w:rPr>
        <w:t> </w:t>
      </w:r>
      <w:r>
        <w:rPr>
          <w:rFonts w:eastAsia="Calibri" w:cs="Times New Roman"/>
          <w:sz w:val="24"/>
          <w:szCs w:val="24"/>
        </w:rPr>
        <w:t>tis.</w:t>
      </w:r>
      <w:r w:rsidR="002D69DE">
        <w:rPr>
          <w:rFonts w:eastAsia="Calibri" w:cs="Times New Roman"/>
          <w:sz w:val="24"/>
          <w:szCs w:val="24"/>
        </w:rPr>
        <w:t> </w:t>
      </w:r>
      <w:r>
        <w:rPr>
          <w:rFonts w:eastAsia="Calibri" w:cs="Times New Roman"/>
          <w:sz w:val="24"/>
          <w:szCs w:val="24"/>
        </w:rPr>
        <w:t>eur),</w:t>
      </w:r>
      <w:r w:rsidR="002D69DE">
        <w:rPr>
          <w:rFonts w:eastAsia="Calibri" w:cs="Times New Roman"/>
          <w:sz w:val="24"/>
          <w:szCs w:val="24"/>
        </w:rPr>
        <w:t xml:space="preserve"> Ministerstvo obrany SR (80 233 </w:t>
      </w:r>
      <w:r>
        <w:rPr>
          <w:rFonts w:eastAsia="Calibri" w:cs="Times New Roman"/>
          <w:sz w:val="24"/>
          <w:szCs w:val="24"/>
        </w:rPr>
        <w:t>tis.</w:t>
      </w:r>
      <w:r w:rsidR="002D69DE">
        <w:rPr>
          <w:rFonts w:eastAsia="Calibri" w:cs="Times New Roman"/>
          <w:sz w:val="24"/>
          <w:szCs w:val="24"/>
        </w:rPr>
        <w:t> </w:t>
      </w:r>
      <w:r>
        <w:rPr>
          <w:rFonts w:eastAsia="Calibri" w:cs="Times New Roman"/>
          <w:sz w:val="24"/>
          <w:szCs w:val="24"/>
        </w:rPr>
        <w:t>eur).</w:t>
      </w:r>
    </w:p>
    <w:p w14:paraId="7E6707E9" w14:textId="2CE154C6" w:rsidR="004D69BF" w:rsidRPr="00AF3CDE" w:rsidRDefault="004D69BF" w:rsidP="004D69BF">
      <w:pPr>
        <w:spacing w:line="240" w:lineRule="auto"/>
        <w:rPr>
          <w:rFonts w:eastAsia="Calibri" w:cs="Times New Roman"/>
          <w:sz w:val="24"/>
          <w:szCs w:val="24"/>
        </w:rPr>
      </w:pPr>
      <w:r w:rsidRPr="008E112F">
        <w:rPr>
          <w:rFonts w:eastAsia="Calibri" w:cs="Times New Roman"/>
          <w:sz w:val="24"/>
          <w:szCs w:val="24"/>
        </w:rPr>
        <w:t xml:space="preserve">Transfery </w:t>
      </w:r>
      <w:r w:rsidRPr="008E112F">
        <w:rPr>
          <w:rFonts w:eastAsia="Calibri" w:cs="Times New Roman"/>
          <w:b/>
          <w:i/>
          <w:sz w:val="24"/>
          <w:szCs w:val="24"/>
        </w:rPr>
        <w:t>Železniciam SR</w:t>
      </w:r>
      <w:r w:rsidRPr="008E112F">
        <w:rPr>
          <w:rFonts w:eastAsia="Calibri" w:cs="Times New Roman"/>
          <w:b/>
          <w:color w:val="FF0000"/>
          <w:sz w:val="24"/>
          <w:szCs w:val="24"/>
        </w:rPr>
        <w:t xml:space="preserve"> </w:t>
      </w:r>
      <w:r w:rsidRPr="008E112F">
        <w:rPr>
          <w:rFonts w:eastAsia="Calibri" w:cs="Times New Roman"/>
          <w:sz w:val="24"/>
          <w:szCs w:val="24"/>
        </w:rPr>
        <w:t xml:space="preserve">v sume </w:t>
      </w:r>
      <w:r>
        <w:rPr>
          <w:rFonts w:eastAsia="Calibri" w:cs="Times New Roman"/>
          <w:sz w:val="24"/>
          <w:szCs w:val="24"/>
        </w:rPr>
        <w:t>475</w:t>
      </w:r>
      <w:r w:rsidR="002D69DE">
        <w:rPr>
          <w:rFonts w:eastAsia="Calibri" w:cs="Times New Roman"/>
          <w:sz w:val="24"/>
          <w:szCs w:val="24"/>
        </w:rPr>
        <w:t> </w:t>
      </w:r>
      <w:r>
        <w:rPr>
          <w:rFonts w:eastAsia="Calibri" w:cs="Times New Roman"/>
          <w:sz w:val="24"/>
          <w:szCs w:val="24"/>
        </w:rPr>
        <w:t>224</w:t>
      </w:r>
      <w:r w:rsidR="002D69DE">
        <w:rPr>
          <w:rFonts w:eastAsia="Calibri" w:cs="Times New Roman"/>
          <w:sz w:val="24"/>
          <w:szCs w:val="24"/>
        </w:rPr>
        <w:t> </w:t>
      </w:r>
      <w:r>
        <w:rPr>
          <w:rFonts w:eastAsia="Calibri" w:cs="Times New Roman"/>
          <w:sz w:val="24"/>
          <w:szCs w:val="24"/>
        </w:rPr>
        <w:t>tis.</w:t>
      </w:r>
      <w:r w:rsidR="002D69DE">
        <w:rPr>
          <w:rFonts w:eastAsia="Calibri" w:cs="Times New Roman"/>
          <w:sz w:val="24"/>
          <w:szCs w:val="24"/>
        </w:rPr>
        <w:t> </w:t>
      </w:r>
      <w:r>
        <w:rPr>
          <w:rFonts w:eastAsia="Calibri" w:cs="Times New Roman"/>
          <w:sz w:val="24"/>
          <w:szCs w:val="24"/>
        </w:rPr>
        <w:t xml:space="preserve">eur, </w:t>
      </w:r>
      <w:r w:rsidRPr="008E112F">
        <w:rPr>
          <w:rFonts w:eastAsia="Calibri" w:cs="Times New Roman"/>
          <w:b/>
          <w:i/>
          <w:iCs/>
          <w:sz w:val="24"/>
          <w:szCs w:val="24"/>
        </w:rPr>
        <w:t>Železničnej spoločnosti Slovensko,</w:t>
      </w:r>
      <w:r w:rsidR="002D69DE">
        <w:rPr>
          <w:rFonts w:eastAsia="Calibri" w:cs="Times New Roman"/>
          <w:b/>
          <w:i/>
          <w:iCs/>
          <w:sz w:val="24"/>
          <w:szCs w:val="24"/>
        </w:rPr>
        <w:t> </w:t>
      </w:r>
      <w:r>
        <w:rPr>
          <w:rFonts w:eastAsia="Calibri" w:cs="Times New Roman"/>
          <w:b/>
          <w:i/>
          <w:iCs/>
          <w:sz w:val="24"/>
          <w:szCs w:val="24"/>
        </w:rPr>
        <w:t>a.</w:t>
      </w:r>
      <w:r w:rsidR="002D69DE">
        <w:rPr>
          <w:rFonts w:eastAsia="Calibri" w:cs="Times New Roman"/>
          <w:b/>
          <w:i/>
          <w:iCs/>
          <w:sz w:val="24"/>
          <w:szCs w:val="24"/>
        </w:rPr>
        <w:t> </w:t>
      </w:r>
      <w:r>
        <w:rPr>
          <w:rFonts w:eastAsia="Calibri" w:cs="Times New Roman"/>
          <w:b/>
          <w:i/>
          <w:iCs/>
          <w:sz w:val="24"/>
          <w:szCs w:val="24"/>
        </w:rPr>
        <w:t xml:space="preserve">s. </w:t>
      </w:r>
      <w:r w:rsidRPr="007771DE">
        <w:rPr>
          <w:rFonts w:eastAsia="Calibri" w:cs="Times New Roman"/>
          <w:bCs/>
          <w:sz w:val="24"/>
          <w:szCs w:val="24"/>
        </w:rPr>
        <w:t xml:space="preserve">v sume </w:t>
      </w:r>
      <w:r w:rsidRPr="001C54E4">
        <w:rPr>
          <w:rFonts w:eastAsia="Calibri" w:cs="Times New Roman"/>
          <w:bCs/>
          <w:sz w:val="24"/>
          <w:szCs w:val="24"/>
        </w:rPr>
        <w:t>428</w:t>
      </w:r>
      <w:r w:rsidR="002D69DE">
        <w:rPr>
          <w:rFonts w:eastAsia="Calibri" w:cs="Times New Roman"/>
          <w:bCs/>
          <w:sz w:val="24"/>
          <w:szCs w:val="24"/>
        </w:rPr>
        <w:t> </w:t>
      </w:r>
      <w:r w:rsidRPr="001C54E4">
        <w:rPr>
          <w:rFonts w:eastAsia="Calibri" w:cs="Times New Roman"/>
          <w:bCs/>
          <w:sz w:val="24"/>
          <w:szCs w:val="24"/>
        </w:rPr>
        <w:t>793</w:t>
      </w:r>
      <w:r w:rsidR="002D69DE">
        <w:rPr>
          <w:rFonts w:eastAsia="Calibri" w:cs="Times New Roman"/>
          <w:bCs/>
          <w:sz w:val="24"/>
          <w:szCs w:val="24"/>
        </w:rPr>
        <w:t> </w:t>
      </w:r>
      <w:r w:rsidRPr="001C54E4">
        <w:rPr>
          <w:rFonts w:eastAsia="Calibri" w:cs="Times New Roman"/>
          <w:bCs/>
          <w:sz w:val="24"/>
          <w:szCs w:val="24"/>
        </w:rPr>
        <w:t>tis.</w:t>
      </w:r>
      <w:r w:rsidR="002D69DE">
        <w:rPr>
          <w:rFonts w:eastAsia="Calibri" w:cs="Times New Roman"/>
          <w:bCs/>
          <w:sz w:val="24"/>
          <w:szCs w:val="24"/>
        </w:rPr>
        <w:t> </w:t>
      </w:r>
      <w:r w:rsidRPr="001C54E4">
        <w:rPr>
          <w:rFonts w:eastAsia="Calibri" w:cs="Times New Roman"/>
          <w:bCs/>
          <w:sz w:val="24"/>
          <w:szCs w:val="24"/>
        </w:rPr>
        <w:t>eur,</w:t>
      </w:r>
      <w:r w:rsidRPr="001C54E4">
        <w:rPr>
          <w:rFonts w:eastAsia="Calibri" w:cs="Times New Roman"/>
          <w:sz w:val="24"/>
          <w:szCs w:val="24"/>
        </w:rPr>
        <w:t xml:space="preserve"> poskytla najmä</w:t>
      </w:r>
      <w:r w:rsidRPr="008E112F">
        <w:rPr>
          <w:rFonts w:eastAsia="Calibri" w:cs="Times New Roman"/>
          <w:sz w:val="24"/>
          <w:szCs w:val="24"/>
        </w:rPr>
        <w:t xml:space="preserve"> </w:t>
      </w:r>
      <w:r w:rsidRPr="00384B8E">
        <w:rPr>
          <w:rFonts w:eastAsia="Calibri" w:cs="Times New Roman"/>
          <w:sz w:val="24"/>
          <w:szCs w:val="24"/>
        </w:rPr>
        <w:t>kapitola Ministerstva dopravy SR na</w:t>
      </w:r>
      <w:r w:rsidR="002D69DE">
        <w:rPr>
          <w:rFonts w:eastAsia="Calibri" w:cs="Times New Roman"/>
          <w:sz w:val="24"/>
          <w:szCs w:val="24"/>
        </w:rPr>
        <w:t> </w:t>
      </w:r>
      <w:r w:rsidRPr="008E112F">
        <w:rPr>
          <w:rFonts w:eastAsia="Calibri" w:cs="Times New Roman"/>
          <w:sz w:val="24"/>
          <w:szCs w:val="24"/>
        </w:rPr>
        <w:t>zabezpečenie prevádzky železničnej infraštruktúry a servisných zariadení</w:t>
      </w:r>
      <w:r>
        <w:rPr>
          <w:rFonts w:eastAsia="Calibri" w:cs="Times New Roman"/>
          <w:sz w:val="24"/>
          <w:szCs w:val="24"/>
        </w:rPr>
        <w:t xml:space="preserve">, </w:t>
      </w:r>
      <w:r w:rsidRPr="008E112F">
        <w:rPr>
          <w:rFonts w:eastAsia="Calibri" w:cs="Times New Roman"/>
          <w:sz w:val="24"/>
          <w:szCs w:val="24"/>
        </w:rPr>
        <w:t>na zabezpečenie</w:t>
      </w:r>
      <w:r w:rsidRPr="008E112F">
        <w:rPr>
          <w:rFonts w:eastAsia="Calibri" w:cs="Times New Roman"/>
          <w:sz w:val="24"/>
          <w:szCs w:val="24"/>
          <w:shd w:val="clear" w:color="auto" w:fill="FFFFFF"/>
        </w:rPr>
        <w:t xml:space="preserve"> dopravných služieb vo verejnom záujme pri prevádzkovaní osobnej </w:t>
      </w:r>
      <w:r>
        <w:rPr>
          <w:rFonts w:eastAsia="Calibri" w:cs="Times New Roman"/>
          <w:sz w:val="24"/>
          <w:szCs w:val="24"/>
          <w:shd w:val="clear" w:color="auto" w:fill="FFFFFF"/>
        </w:rPr>
        <w:t xml:space="preserve">vlakovej </w:t>
      </w:r>
      <w:r w:rsidRPr="008E112F">
        <w:rPr>
          <w:rFonts w:eastAsia="Calibri" w:cs="Times New Roman"/>
          <w:sz w:val="24"/>
          <w:szCs w:val="24"/>
          <w:shd w:val="clear" w:color="auto" w:fill="FFFFFF"/>
        </w:rPr>
        <w:t>dopravy.</w:t>
      </w:r>
    </w:p>
    <w:p w14:paraId="51A76789" w14:textId="37A53889" w:rsidR="004D69BF" w:rsidRPr="008E112F" w:rsidRDefault="004D69BF" w:rsidP="004D69BF">
      <w:pPr>
        <w:spacing w:line="240" w:lineRule="auto"/>
        <w:rPr>
          <w:rFonts w:eastAsia="Times New Roman" w:cs="Times New Roman"/>
          <w:iCs/>
          <w:sz w:val="24"/>
          <w:szCs w:val="24"/>
          <w:lang w:eastAsia="sk-SK"/>
        </w:rPr>
      </w:pPr>
      <w:r w:rsidRPr="005F1C11">
        <w:rPr>
          <w:rFonts w:eastAsia="Calibri" w:cs="Times New Roman"/>
          <w:sz w:val="24"/>
          <w:szCs w:val="24"/>
        </w:rPr>
        <w:t xml:space="preserve">Transfery </w:t>
      </w:r>
      <w:r w:rsidRPr="005F1C11">
        <w:rPr>
          <w:rFonts w:eastAsia="Calibri" w:cs="Times New Roman"/>
          <w:b/>
          <w:i/>
          <w:sz w:val="24"/>
          <w:szCs w:val="24"/>
        </w:rPr>
        <w:t>štátnym účelovým fondom</w:t>
      </w:r>
      <w:r w:rsidRPr="005F1C11">
        <w:rPr>
          <w:rFonts w:eastAsia="Calibri" w:cs="Times New Roman"/>
          <w:color w:val="FF0000"/>
          <w:sz w:val="24"/>
          <w:szCs w:val="24"/>
        </w:rPr>
        <w:t xml:space="preserve"> </w:t>
      </w:r>
      <w:r w:rsidR="002D69DE">
        <w:rPr>
          <w:rFonts w:eastAsia="Calibri" w:cs="Times New Roman"/>
          <w:sz w:val="24"/>
          <w:szCs w:val="24"/>
        </w:rPr>
        <w:t>boli čerpané v objeme 229 </w:t>
      </w:r>
      <w:r w:rsidRPr="005F1C11">
        <w:rPr>
          <w:rFonts w:eastAsia="Calibri" w:cs="Times New Roman"/>
          <w:sz w:val="24"/>
          <w:szCs w:val="24"/>
        </w:rPr>
        <w:t>886 tis. eur, pričom ro</w:t>
      </w:r>
      <w:r w:rsidR="002D69DE">
        <w:rPr>
          <w:rFonts w:eastAsia="Calibri" w:cs="Times New Roman"/>
          <w:sz w:val="24"/>
          <w:szCs w:val="24"/>
        </w:rPr>
        <w:t>zpočet bol prekročený o 148 858 </w:t>
      </w:r>
      <w:r w:rsidRPr="005F1C11">
        <w:rPr>
          <w:rFonts w:eastAsia="Calibri" w:cs="Times New Roman"/>
          <w:sz w:val="24"/>
          <w:szCs w:val="24"/>
        </w:rPr>
        <w:t>tis.</w:t>
      </w:r>
      <w:r w:rsidR="002D69DE">
        <w:rPr>
          <w:rFonts w:eastAsia="Calibri" w:cs="Times New Roman"/>
          <w:sz w:val="24"/>
          <w:szCs w:val="24"/>
        </w:rPr>
        <w:t> </w:t>
      </w:r>
      <w:r w:rsidRPr="005F1C11">
        <w:rPr>
          <w:rFonts w:eastAsia="Calibri" w:cs="Times New Roman"/>
          <w:sz w:val="24"/>
          <w:szCs w:val="24"/>
        </w:rPr>
        <w:t>eur. Najväčší objem poskytlo Ministerstvo dopravy SR 122</w:t>
      </w:r>
      <w:r w:rsidR="002D69DE">
        <w:rPr>
          <w:rFonts w:eastAsia="Calibri" w:cs="Times New Roman"/>
          <w:sz w:val="24"/>
          <w:szCs w:val="24"/>
        </w:rPr>
        <w:t> </w:t>
      </w:r>
      <w:r w:rsidRPr="005F1C11">
        <w:rPr>
          <w:rFonts w:eastAsia="Calibri" w:cs="Times New Roman"/>
          <w:sz w:val="24"/>
          <w:szCs w:val="24"/>
        </w:rPr>
        <w:t>437</w:t>
      </w:r>
      <w:r w:rsidR="002D69DE">
        <w:rPr>
          <w:rFonts w:eastAsia="Calibri" w:cs="Times New Roman"/>
          <w:sz w:val="24"/>
          <w:szCs w:val="24"/>
        </w:rPr>
        <w:t> </w:t>
      </w:r>
      <w:r w:rsidRPr="005F1C11">
        <w:rPr>
          <w:rFonts w:eastAsia="Calibri" w:cs="Times New Roman"/>
          <w:sz w:val="24"/>
          <w:szCs w:val="24"/>
        </w:rPr>
        <w:t>tis</w:t>
      </w:r>
      <w:r w:rsidR="002D69DE">
        <w:rPr>
          <w:rFonts w:eastAsia="Calibri" w:cs="Times New Roman"/>
          <w:sz w:val="24"/>
          <w:szCs w:val="24"/>
        </w:rPr>
        <w:t>. </w:t>
      </w:r>
      <w:r w:rsidRPr="005F1C11">
        <w:rPr>
          <w:rFonts w:eastAsia="Calibri" w:cs="Times New Roman"/>
          <w:sz w:val="24"/>
          <w:szCs w:val="24"/>
        </w:rPr>
        <w:t>eur</w:t>
      </w:r>
      <w:r>
        <w:rPr>
          <w:rFonts w:eastAsia="Calibri" w:cs="Times New Roman"/>
          <w:sz w:val="24"/>
          <w:szCs w:val="24"/>
        </w:rPr>
        <w:t>. Ministerstvo hospodárstva SR</w:t>
      </w:r>
      <w:r w:rsidRPr="008E112F">
        <w:rPr>
          <w:rFonts w:eastAsia="Calibri" w:cs="Times New Roman"/>
          <w:sz w:val="24"/>
          <w:szCs w:val="24"/>
        </w:rPr>
        <w:t xml:space="preserve"> </w:t>
      </w:r>
      <w:r>
        <w:rPr>
          <w:rFonts w:eastAsia="Calibri" w:cs="Times New Roman"/>
          <w:sz w:val="24"/>
          <w:szCs w:val="24"/>
        </w:rPr>
        <w:t>53</w:t>
      </w:r>
      <w:r w:rsidR="002D69DE">
        <w:rPr>
          <w:rFonts w:eastAsia="Calibri" w:cs="Times New Roman"/>
          <w:sz w:val="24"/>
          <w:szCs w:val="24"/>
        </w:rPr>
        <w:t> </w:t>
      </w:r>
      <w:r>
        <w:rPr>
          <w:rFonts w:eastAsia="Calibri" w:cs="Times New Roman"/>
          <w:sz w:val="24"/>
          <w:szCs w:val="24"/>
        </w:rPr>
        <w:t>986</w:t>
      </w:r>
      <w:r w:rsidR="002D69DE">
        <w:rPr>
          <w:rFonts w:eastAsia="Calibri" w:cs="Times New Roman"/>
          <w:sz w:val="24"/>
          <w:szCs w:val="24"/>
        </w:rPr>
        <w:t> </w:t>
      </w:r>
      <w:r w:rsidRPr="008E112F">
        <w:rPr>
          <w:rFonts w:eastAsia="Calibri" w:cs="Times New Roman"/>
          <w:sz w:val="24"/>
          <w:szCs w:val="24"/>
        </w:rPr>
        <w:t xml:space="preserve">tis. eur </w:t>
      </w:r>
      <w:r>
        <w:rPr>
          <w:rFonts w:eastAsia="Calibri" w:cs="Times New Roman"/>
          <w:sz w:val="24"/>
          <w:szCs w:val="24"/>
        </w:rPr>
        <w:t xml:space="preserve">poskytlo </w:t>
      </w:r>
      <w:r w:rsidRPr="008E112F">
        <w:rPr>
          <w:rFonts w:eastAsia="Times New Roman" w:cs="Times New Roman"/>
          <w:iCs/>
          <w:sz w:val="24"/>
          <w:szCs w:val="24"/>
          <w:lang w:eastAsia="sk-SK"/>
        </w:rPr>
        <w:t xml:space="preserve">Národnému jadrovému fondu </w:t>
      </w:r>
      <w:r>
        <w:rPr>
          <w:rFonts w:eastAsia="Times New Roman" w:cs="Times New Roman"/>
          <w:iCs/>
          <w:sz w:val="24"/>
          <w:szCs w:val="24"/>
          <w:lang w:eastAsia="sk-SK"/>
        </w:rPr>
        <w:t>z </w:t>
      </w:r>
      <w:r w:rsidRPr="008E112F">
        <w:rPr>
          <w:rFonts w:eastAsia="Times New Roman" w:cs="Times New Roman"/>
          <w:iCs/>
          <w:sz w:val="24"/>
          <w:szCs w:val="24"/>
          <w:lang w:eastAsia="sk-SK"/>
        </w:rPr>
        <w:t>odvod</w:t>
      </w:r>
      <w:r>
        <w:rPr>
          <w:rFonts w:eastAsia="Times New Roman" w:cs="Times New Roman"/>
          <w:iCs/>
          <w:sz w:val="24"/>
          <w:szCs w:val="24"/>
          <w:lang w:eastAsia="sk-SK"/>
        </w:rPr>
        <w:t xml:space="preserve">u </w:t>
      </w:r>
      <w:r w:rsidRPr="00526639">
        <w:rPr>
          <w:color w:val="000000" w:themeColor="text1"/>
          <w:sz w:val="24"/>
          <w:szCs w:val="24"/>
        </w:rPr>
        <w:t>prevádzkovateľov distribučných sústav a prenosovej sústavy</w:t>
      </w:r>
      <w:r w:rsidRPr="008E112F">
        <w:rPr>
          <w:rFonts w:eastAsia="Times New Roman" w:cs="Times New Roman"/>
          <w:iCs/>
          <w:sz w:val="24"/>
          <w:szCs w:val="24"/>
          <w:lang w:eastAsia="sk-SK"/>
        </w:rPr>
        <w:t>.</w:t>
      </w:r>
      <w:r>
        <w:rPr>
          <w:rFonts w:eastAsia="Times New Roman" w:cs="Times New Roman"/>
          <w:iCs/>
          <w:sz w:val="24"/>
          <w:szCs w:val="24"/>
          <w:lang w:eastAsia="sk-SK"/>
        </w:rPr>
        <w:t xml:space="preserve"> Ministerstvo cestovného ruchu a športu poskytlo Fondu na podporu športu 52</w:t>
      </w:r>
      <w:r w:rsidR="002D69DE">
        <w:rPr>
          <w:rFonts w:eastAsia="Times New Roman" w:cs="Times New Roman"/>
          <w:iCs/>
          <w:sz w:val="24"/>
          <w:szCs w:val="24"/>
          <w:lang w:eastAsia="sk-SK"/>
        </w:rPr>
        <w:t> </w:t>
      </w:r>
      <w:r>
        <w:rPr>
          <w:rFonts w:eastAsia="Times New Roman" w:cs="Times New Roman"/>
          <w:iCs/>
          <w:sz w:val="24"/>
          <w:szCs w:val="24"/>
          <w:lang w:eastAsia="sk-SK"/>
        </w:rPr>
        <w:t>986</w:t>
      </w:r>
      <w:r w:rsidR="002D69DE">
        <w:rPr>
          <w:rFonts w:eastAsia="Times New Roman" w:cs="Times New Roman"/>
          <w:iCs/>
          <w:sz w:val="24"/>
          <w:szCs w:val="24"/>
          <w:lang w:eastAsia="sk-SK"/>
        </w:rPr>
        <w:t> </w:t>
      </w:r>
      <w:r>
        <w:rPr>
          <w:rFonts w:eastAsia="Times New Roman" w:cs="Times New Roman"/>
          <w:iCs/>
          <w:sz w:val="24"/>
          <w:szCs w:val="24"/>
          <w:lang w:eastAsia="sk-SK"/>
        </w:rPr>
        <w:t>tis.</w:t>
      </w:r>
      <w:r w:rsidR="002D69DE">
        <w:rPr>
          <w:rFonts w:eastAsia="Times New Roman" w:cs="Times New Roman"/>
          <w:iCs/>
          <w:sz w:val="24"/>
          <w:szCs w:val="24"/>
          <w:lang w:eastAsia="sk-SK"/>
        </w:rPr>
        <w:t> </w:t>
      </w:r>
      <w:r>
        <w:rPr>
          <w:rFonts w:eastAsia="Times New Roman" w:cs="Times New Roman"/>
          <w:iCs/>
          <w:sz w:val="24"/>
          <w:szCs w:val="24"/>
          <w:lang w:eastAsia="sk-SK"/>
        </w:rPr>
        <w:t>eur na</w:t>
      </w:r>
      <w:r w:rsidR="00922722">
        <w:rPr>
          <w:rFonts w:eastAsia="Times New Roman" w:cs="Times New Roman"/>
          <w:iCs/>
          <w:sz w:val="24"/>
          <w:szCs w:val="24"/>
          <w:lang w:eastAsia="sk-SK"/>
        </w:rPr>
        <w:t> </w:t>
      </w:r>
      <w:r>
        <w:rPr>
          <w:rFonts w:eastAsia="Times New Roman" w:cs="Times New Roman"/>
          <w:iCs/>
          <w:sz w:val="24"/>
          <w:szCs w:val="24"/>
          <w:lang w:eastAsia="sk-SK"/>
        </w:rPr>
        <w:t>podporu športu, športových poduj</w:t>
      </w:r>
      <w:r w:rsidR="002D69DE">
        <w:rPr>
          <w:rFonts w:eastAsia="Times New Roman" w:cs="Times New Roman"/>
          <w:iCs/>
          <w:sz w:val="24"/>
          <w:szCs w:val="24"/>
          <w:lang w:eastAsia="sk-SK"/>
        </w:rPr>
        <w:t>atí a športovej infraštruktúry.</w:t>
      </w:r>
    </w:p>
    <w:p w14:paraId="1E3BD035" w14:textId="1F50CA2B" w:rsidR="004D69BF" w:rsidRDefault="004D69BF" w:rsidP="004D69BF">
      <w:pPr>
        <w:spacing w:line="240" w:lineRule="auto"/>
        <w:rPr>
          <w:rFonts w:eastAsia="Calibri" w:cs="Times New Roman"/>
          <w:bCs/>
          <w:sz w:val="24"/>
          <w:szCs w:val="24"/>
        </w:rPr>
      </w:pPr>
      <w:r w:rsidRPr="00065F93">
        <w:rPr>
          <w:rFonts w:eastAsia="Calibri" w:cs="Times New Roman"/>
          <w:bCs/>
          <w:sz w:val="24"/>
          <w:szCs w:val="24"/>
        </w:rPr>
        <w:t xml:space="preserve">Spomedzi transferov jednotlivcom sú </w:t>
      </w:r>
      <w:r>
        <w:rPr>
          <w:rFonts w:eastAsia="Calibri" w:cs="Times New Roman"/>
          <w:bCs/>
          <w:sz w:val="24"/>
          <w:szCs w:val="24"/>
        </w:rPr>
        <w:t xml:space="preserve">najvýznamnejšie </w:t>
      </w:r>
      <w:r w:rsidRPr="00065F93">
        <w:rPr>
          <w:rFonts w:eastAsia="Calibri" w:cs="Times New Roman"/>
          <w:b/>
          <w:sz w:val="24"/>
          <w:szCs w:val="24"/>
        </w:rPr>
        <w:t>transfery vo forme rôznych sociálnych dávok</w:t>
      </w:r>
      <w:r>
        <w:rPr>
          <w:rFonts w:eastAsia="Calibri" w:cs="Times New Roman"/>
          <w:bCs/>
          <w:sz w:val="24"/>
          <w:szCs w:val="24"/>
        </w:rPr>
        <w:t xml:space="preserve">, prídavkov, príspevkov a príplatkov k dávkam. Najvyššiu sumu dosiahlo </w:t>
      </w:r>
      <w:r w:rsidRPr="00196FF7">
        <w:rPr>
          <w:rFonts w:eastAsia="Calibri" w:cs="Times New Roman"/>
          <w:bCs/>
          <w:sz w:val="24"/>
          <w:szCs w:val="24"/>
          <w:u w:val="single"/>
        </w:rPr>
        <w:t>poistné na</w:t>
      </w:r>
      <w:r w:rsidR="0086373B">
        <w:rPr>
          <w:rFonts w:eastAsia="Calibri" w:cs="Times New Roman"/>
          <w:bCs/>
          <w:sz w:val="24"/>
          <w:szCs w:val="24"/>
          <w:u w:val="single"/>
        </w:rPr>
        <w:t> </w:t>
      </w:r>
      <w:r w:rsidRPr="00196FF7">
        <w:rPr>
          <w:rFonts w:eastAsia="Calibri" w:cs="Times New Roman"/>
          <w:bCs/>
          <w:sz w:val="24"/>
          <w:szCs w:val="24"/>
          <w:u w:val="single"/>
        </w:rPr>
        <w:t>skupiny osôb ustanovených zákonom</w:t>
      </w:r>
      <w:r>
        <w:rPr>
          <w:rFonts w:eastAsia="Calibri" w:cs="Times New Roman"/>
          <w:bCs/>
          <w:sz w:val="24"/>
          <w:szCs w:val="24"/>
        </w:rPr>
        <w:t>, ktoré vypláca najmä Ministers</w:t>
      </w:r>
      <w:r w:rsidR="0086373B">
        <w:rPr>
          <w:rFonts w:eastAsia="Calibri" w:cs="Times New Roman"/>
          <w:bCs/>
          <w:sz w:val="24"/>
          <w:szCs w:val="24"/>
        </w:rPr>
        <w:t>tvo zdravotníctva SR (2 112 480 </w:t>
      </w:r>
      <w:r>
        <w:rPr>
          <w:rFonts w:eastAsia="Calibri" w:cs="Times New Roman"/>
          <w:bCs/>
          <w:sz w:val="24"/>
          <w:szCs w:val="24"/>
        </w:rPr>
        <w:t>tis.</w:t>
      </w:r>
      <w:r w:rsidR="0086373B">
        <w:rPr>
          <w:rFonts w:eastAsia="Calibri" w:cs="Times New Roman"/>
          <w:bCs/>
          <w:sz w:val="24"/>
          <w:szCs w:val="24"/>
        </w:rPr>
        <w:t> </w:t>
      </w:r>
      <w:r>
        <w:rPr>
          <w:rFonts w:eastAsia="Calibri" w:cs="Times New Roman"/>
          <w:bCs/>
          <w:sz w:val="24"/>
          <w:szCs w:val="24"/>
        </w:rPr>
        <w:t>eur) a Ministerstvo práce, sociálnych vecí a rodiny SR (488</w:t>
      </w:r>
      <w:r w:rsidR="0086373B">
        <w:rPr>
          <w:rFonts w:eastAsia="Calibri" w:cs="Times New Roman"/>
          <w:bCs/>
          <w:sz w:val="24"/>
          <w:szCs w:val="24"/>
        </w:rPr>
        <w:t> </w:t>
      </w:r>
      <w:r>
        <w:rPr>
          <w:rFonts w:eastAsia="Calibri" w:cs="Times New Roman"/>
          <w:bCs/>
          <w:sz w:val="24"/>
          <w:szCs w:val="24"/>
        </w:rPr>
        <w:t>683</w:t>
      </w:r>
      <w:r w:rsidR="0086373B">
        <w:rPr>
          <w:rFonts w:eastAsia="Calibri" w:cs="Times New Roman"/>
          <w:bCs/>
          <w:sz w:val="24"/>
          <w:szCs w:val="24"/>
        </w:rPr>
        <w:t> </w:t>
      </w:r>
      <w:r>
        <w:rPr>
          <w:rFonts w:eastAsia="Calibri" w:cs="Times New Roman"/>
          <w:bCs/>
          <w:sz w:val="24"/>
          <w:szCs w:val="24"/>
        </w:rPr>
        <w:t>tis.</w:t>
      </w:r>
      <w:r w:rsidR="0086373B">
        <w:rPr>
          <w:rFonts w:eastAsia="Calibri" w:cs="Times New Roman"/>
          <w:bCs/>
          <w:sz w:val="24"/>
          <w:szCs w:val="24"/>
        </w:rPr>
        <w:t> </w:t>
      </w:r>
      <w:r>
        <w:rPr>
          <w:rFonts w:eastAsia="Calibri" w:cs="Times New Roman"/>
          <w:bCs/>
          <w:sz w:val="24"/>
          <w:szCs w:val="24"/>
        </w:rPr>
        <w:t xml:space="preserve">eur). Ide o transfery do Sociálnej poisťovne a zdravotných poisťovní napríklad za štátom platené poistné na zdravotné poistenie v </w:t>
      </w:r>
      <w:r w:rsidR="0086373B">
        <w:rPr>
          <w:rFonts w:eastAsia="Calibri" w:cs="Times New Roman"/>
          <w:sz w:val="24"/>
          <w:szCs w:val="24"/>
        </w:rPr>
        <w:t>súlade so zákonom č. </w:t>
      </w:r>
      <w:r w:rsidRPr="009B204F">
        <w:rPr>
          <w:rFonts w:eastAsia="Calibri" w:cs="Times New Roman"/>
          <w:sz w:val="24"/>
          <w:szCs w:val="24"/>
        </w:rPr>
        <w:t>580/2004</w:t>
      </w:r>
      <w:r w:rsidR="0086373B">
        <w:rPr>
          <w:rFonts w:eastAsia="Calibri" w:cs="Times New Roman"/>
          <w:sz w:val="24"/>
          <w:szCs w:val="24"/>
        </w:rPr>
        <w:t> Z. </w:t>
      </w:r>
      <w:r w:rsidR="00922722">
        <w:rPr>
          <w:rFonts w:eastAsia="Calibri" w:cs="Times New Roman"/>
          <w:sz w:val="24"/>
          <w:szCs w:val="24"/>
        </w:rPr>
        <w:t>z. o </w:t>
      </w:r>
      <w:r w:rsidRPr="009B204F">
        <w:rPr>
          <w:rFonts w:eastAsia="Calibri" w:cs="Times New Roman"/>
          <w:sz w:val="24"/>
          <w:szCs w:val="24"/>
        </w:rPr>
        <w:t>zdravotnom poistení a</w:t>
      </w:r>
      <w:r w:rsidR="0086373B">
        <w:rPr>
          <w:rFonts w:eastAsia="Calibri" w:cs="Times New Roman"/>
          <w:sz w:val="24"/>
          <w:szCs w:val="24"/>
        </w:rPr>
        <w:t> </w:t>
      </w:r>
      <w:r w:rsidRPr="009B204F">
        <w:rPr>
          <w:rFonts w:eastAsia="Calibri" w:cs="Times New Roman"/>
          <w:sz w:val="24"/>
          <w:szCs w:val="24"/>
        </w:rPr>
        <w:t>o</w:t>
      </w:r>
      <w:r w:rsidR="0086373B">
        <w:rPr>
          <w:rFonts w:eastAsia="Calibri" w:cs="Times New Roman"/>
          <w:sz w:val="24"/>
          <w:szCs w:val="24"/>
        </w:rPr>
        <w:t> </w:t>
      </w:r>
      <w:r w:rsidRPr="009B204F">
        <w:rPr>
          <w:rFonts w:eastAsia="Calibri" w:cs="Times New Roman"/>
          <w:sz w:val="24"/>
          <w:szCs w:val="24"/>
        </w:rPr>
        <w:t>zmene a doplnení zákona č</w:t>
      </w:r>
      <w:r w:rsidRPr="00C07E13">
        <w:rPr>
          <w:rFonts w:eastAsia="Calibri" w:cs="Times New Roman"/>
          <w:sz w:val="24"/>
          <w:szCs w:val="24"/>
        </w:rPr>
        <w:t>. </w:t>
      </w:r>
      <w:hyperlink r:id="rId17" w:history="1">
        <w:r w:rsidRPr="00C07E13">
          <w:rPr>
            <w:rFonts w:eastAsia="Calibri" w:cs="Times New Roman"/>
            <w:sz w:val="24"/>
            <w:szCs w:val="24"/>
          </w:rPr>
          <w:t>95/2002</w:t>
        </w:r>
        <w:r w:rsidR="0086373B">
          <w:rPr>
            <w:rFonts w:eastAsia="Calibri" w:cs="Times New Roman"/>
            <w:sz w:val="24"/>
            <w:szCs w:val="24"/>
          </w:rPr>
          <w:t> Z. </w:t>
        </w:r>
        <w:r w:rsidRPr="00C07E13">
          <w:rPr>
            <w:rFonts w:eastAsia="Calibri" w:cs="Times New Roman"/>
            <w:sz w:val="24"/>
            <w:szCs w:val="24"/>
          </w:rPr>
          <w:t>z.</w:t>
        </w:r>
      </w:hyperlink>
      <w:r w:rsidR="00922722">
        <w:rPr>
          <w:rFonts w:eastAsia="Calibri" w:cs="Times New Roman"/>
          <w:sz w:val="24"/>
          <w:szCs w:val="24"/>
        </w:rPr>
        <w:t> o poisťovníctve a </w:t>
      </w:r>
      <w:r w:rsidRPr="00C07E13">
        <w:rPr>
          <w:rFonts w:eastAsia="Calibri" w:cs="Times New Roman"/>
          <w:sz w:val="24"/>
          <w:szCs w:val="24"/>
        </w:rPr>
        <w:t>o</w:t>
      </w:r>
      <w:r w:rsidR="00922722">
        <w:rPr>
          <w:rFonts w:eastAsia="Calibri" w:cs="Times New Roman"/>
          <w:sz w:val="24"/>
          <w:szCs w:val="24"/>
        </w:rPr>
        <w:t> </w:t>
      </w:r>
      <w:r w:rsidRPr="00C07E13">
        <w:rPr>
          <w:rFonts w:eastAsia="Calibri" w:cs="Times New Roman"/>
          <w:sz w:val="24"/>
          <w:szCs w:val="24"/>
        </w:rPr>
        <w:t>zmene a doplnení niektorých zákonov v</w:t>
      </w:r>
      <w:r w:rsidR="0086373B">
        <w:rPr>
          <w:rFonts w:eastAsia="Calibri" w:cs="Times New Roman"/>
          <w:sz w:val="24"/>
          <w:szCs w:val="24"/>
        </w:rPr>
        <w:t> </w:t>
      </w:r>
      <w:r w:rsidRPr="00C07E13">
        <w:rPr>
          <w:rFonts w:eastAsia="Calibri" w:cs="Times New Roman"/>
          <w:sz w:val="24"/>
          <w:szCs w:val="24"/>
        </w:rPr>
        <w:t>znení zákona č. </w:t>
      </w:r>
      <w:hyperlink r:id="rId18" w:history="1">
        <w:r w:rsidRPr="00C07E13">
          <w:rPr>
            <w:rFonts w:eastAsia="Calibri" w:cs="Times New Roman"/>
            <w:sz w:val="24"/>
            <w:szCs w:val="24"/>
          </w:rPr>
          <w:t>718/2004</w:t>
        </w:r>
        <w:r w:rsidR="0086373B">
          <w:rPr>
            <w:rFonts w:eastAsia="Calibri" w:cs="Times New Roman"/>
            <w:sz w:val="24"/>
            <w:szCs w:val="24"/>
          </w:rPr>
          <w:t> </w:t>
        </w:r>
        <w:r w:rsidRPr="00C07E13">
          <w:rPr>
            <w:rFonts w:eastAsia="Calibri" w:cs="Times New Roman"/>
            <w:sz w:val="24"/>
            <w:szCs w:val="24"/>
          </w:rPr>
          <w:t>Z. z.</w:t>
        </w:r>
      </w:hyperlink>
      <w:r w:rsidR="00922722">
        <w:rPr>
          <w:rFonts w:eastAsia="Calibri" w:cs="Times New Roman"/>
          <w:sz w:val="24"/>
          <w:szCs w:val="24"/>
        </w:rPr>
        <w:t>, na </w:t>
      </w:r>
      <w:r w:rsidRPr="009B204F">
        <w:rPr>
          <w:rFonts w:eastAsia="Calibri" w:cs="Times New Roman"/>
          <w:sz w:val="24"/>
          <w:szCs w:val="24"/>
        </w:rPr>
        <w:t>úhradu zdravotnej starostlivosti za poistencov štátu, za poistencov, ktorí nie sú zamestnancami alebo samostatne zárobkovo činnými osobami</w:t>
      </w:r>
      <w:r>
        <w:rPr>
          <w:rFonts w:eastAsia="Calibri" w:cs="Times New Roman"/>
          <w:bCs/>
          <w:sz w:val="24"/>
          <w:szCs w:val="24"/>
        </w:rPr>
        <w:t>, na</w:t>
      </w:r>
      <w:r w:rsidR="0086373B">
        <w:rPr>
          <w:rFonts w:eastAsia="Calibri" w:cs="Times New Roman"/>
          <w:bCs/>
          <w:sz w:val="24"/>
          <w:szCs w:val="24"/>
        </w:rPr>
        <w:t> </w:t>
      </w:r>
      <w:r>
        <w:rPr>
          <w:rFonts w:eastAsia="Calibri" w:cs="Times New Roman"/>
          <w:bCs/>
          <w:sz w:val="24"/>
          <w:szCs w:val="24"/>
        </w:rPr>
        <w:t>starobné poistenie a povinné príspevky na</w:t>
      </w:r>
      <w:r w:rsidR="00922722">
        <w:rPr>
          <w:rFonts w:eastAsia="Calibri" w:cs="Times New Roman"/>
          <w:bCs/>
          <w:sz w:val="24"/>
          <w:szCs w:val="24"/>
        </w:rPr>
        <w:t> </w:t>
      </w:r>
      <w:r>
        <w:rPr>
          <w:rFonts w:eastAsia="Calibri" w:cs="Times New Roman"/>
          <w:bCs/>
          <w:sz w:val="24"/>
          <w:szCs w:val="24"/>
        </w:rPr>
        <w:t>starobné dôchodkové sporenie, poistné n</w:t>
      </w:r>
      <w:r w:rsidR="0086373B">
        <w:rPr>
          <w:rFonts w:eastAsia="Calibri" w:cs="Times New Roman"/>
          <w:bCs/>
          <w:sz w:val="24"/>
          <w:szCs w:val="24"/>
        </w:rPr>
        <w:t>a </w:t>
      </w:r>
      <w:r>
        <w:rPr>
          <w:rFonts w:eastAsia="Calibri" w:cs="Times New Roman"/>
          <w:bCs/>
          <w:sz w:val="24"/>
          <w:szCs w:val="24"/>
        </w:rPr>
        <w:t>invalidné poist</w:t>
      </w:r>
      <w:r w:rsidR="00922722">
        <w:rPr>
          <w:rFonts w:eastAsia="Calibri" w:cs="Times New Roman"/>
          <w:bCs/>
          <w:sz w:val="24"/>
          <w:szCs w:val="24"/>
        </w:rPr>
        <w:t>enie a poistné do </w:t>
      </w:r>
      <w:r>
        <w:rPr>
          <w:rFonts w:eastAsia="Calibri" w:cs="Times New Roman"/>
          <w:bCs/>
          <w:sz w:val="24"/>
          <w:szCs w:val="24"/>
        </w:rPr>
        <w:t>rezervného fondu solidarity za osoby podľa §</w:t>
      </w:r>
      <w:r w:rsidR="0086373B">
        <w:rPr>
          <w:rFonts w:eastAsia="Calibri" w:cs="Times New Roman"/>
          <w:bCs/>
          <w:sz w:val="24"/>
          <w:szCs w:val="24"/>
        </w:rPr>
        <w:t> </w:t>
      </w:r>
      <w:r>
        <w:rPr>
          <w:rFonts w:eastAsia="Calibri" w:cs="Times New Roman"/>
          <w:bCs/>
          <w:sz w:val="24"/>
          <w:szCs w:val="24"/>
        </w:rPr>
        <w:t>128</w:t>
      </w:r>
      <w:r w:rsidR="0086373B">
        <w:rPr>
          <w:rFonts w:eastAsia="Calibri" w:cs="Times New Roman"/>
          <w:bCs/>
          <w:sz w:val="24"/>
          <w:szCs w:val="24"/>
        </w:rPr>
        <w:t xml:space="preserve"> </w:t>
      </w:r>
      <w:r w:rsidRPr="00981765">
        <w:rPr>
          <w:rFonts w:eastAsia="Calibri" w:cs="Times New Roman"/>
          <w:bCs/>
          <w:sz w:val="24"/>
          <w:szCs w:val="24"/>
        </w:rPr>
        <w:t>ods.</w:t>
      </w:r>
      <w:r w:rsidR="0086373B">
        <w:rPr>
          <w:rFonts w:eastAsia="Calibri" w:cs="Times New Roman"/>
          <w:bCs/>
          <w:sz w:val="24"/>
          <w:szCs w:val="24"/>
        </w:rPr>
        <w:t> </w:t>
      </w:r>
      <w:r w:rsidRPr="00981765">
        <w:rPr>
          <w:rFonts w:eastAsia="Calibri" w:cs="Times New Roman"/>
          <w:bCs/>
          <w:sz w:val="24"/>
          <w:szCs w:val="24"/>
        </w:rPr>
        <w:t>2 zákona</w:t>
      </w:r>
      <w:r w:rsidR="0086373B">
        <w:rPr>
          <w:rFonts w:eastAsia="Calibri" w:cs="Times New Roman"/>
          <w:bCs/>
          <w:sz w:val="24"/>
          <w:szCs w:val="24"/>
        </w:rPr>
        <w:t xml:space="preserve"> </w:t>
      </w:r>
      <w:r w:rsidRPr="00981765">
        <w:rPr>
          <w:rFonts w:eastAsia="Calibri" w:cs="Times New Roman"/>
          <w:bCs/>
          <w:sz w:val="24"/>
          <w:szCs w:val="24"/>
        </w:rPr>
        <w:t>č.</w:t>
      </w:r>
      <w:r w:rsidR="0086373B">
        <w:rPr>
          <w:rFonts w:eastAsia="Calibri" w:cs="Times New Roman"/>
          <w:bCs/>
          <w:sz w:val="24"/>
          <w:szCs w:val="24"/>
        </w:rPr>
        <w:t> </w:t>
      </w:r>
      <w:r w:rsidRPr="00981765">
        <w:rPr>
          <w:rFonts w:eastAsia="Calibri" w:cs="Times New Roman"/>
          <w:bCs/>
          <w:sz w:val="24"/>
          <w:szCs w:val="24"/>
        </w:rPr>
        <w:t>461/2003</w:t>
      </w:r>
      <w:r w:rsidR="0086373B">
        <w:rPr>
          <w:rFonts w:eastAsia="Calibri" w:cs="Times New Roman"/>
          <w:bCs/>
          <w:sz w:val="24"/>
          <w:szCs w:val="24"/>
        </w:rPr>
        <w:t> Z. </w:t>
      </w:r>
      <w:r w:rsidRPr="00981765">
        <w:rPr>
          <w:rFonts w:eastAsia="Calibri" w:cs="Times New Roman"/>
          <w:bCs/>
          <w:sz w:val="24"/>
          <w:szCs w:val="24"/>
        </w:rPr>
        <w:t>z. o sociálnom poistení v</w:t>
      </w:r>
      <w:r w:rsidR="00922722">
        <w:rPr>
          <w:rFonts w:eastAsia="Calibri" w:cs="Times New Roman"/>
          <w:bCs/>
          <w:sz w:val="24"/>
          <w:szCs w:val="24"/>
        </w:rPr>
        <w:t> </w:t>
      </w:r>
      <w:r w:rsidRPr="00981765">
        <w:rPr>
          <w:rFonts w:eastAsia="Calibri" w:cs="Times New Roman"/>
          <w:bCs/>
          <w:sz w:val="24"/>
          <w:szCs w:val="24"/>
        </w:rPr>
        <w:t>znení neskorších predpisov</w:t>
      </w:r>
      <w:r>
        <w:rPr>
          <w:rFonts w:eastAsia="Calibri" w:cs="Times New Roman"/>
          <w:bCs/>
          <w:sz w:val="24"/>
          <w:szCs w:val="24"/>
        </w:rPr>
        <w:t>.</w:t>
      </w:r>
    </w:p>
    <w:p w14:paraId="77AF4822" w14:textId="0CD9AA91" w:rsidR="004D69BF" w:rsidRDefault="004D69BF" w:rsidP="004D69BF">
      <w:pPr>
        <w:spacing w:line="240" w:lineRule="auto"/>
        <w:rPr>
          <w:rFonts w:eastAsia="Calibri" w:cs="Times New Roman"/>
          <w:bCs/>
          <w:sz w:val="24"/>
          <w:szCs w:val="24"/>
        </w:rPr>
      </w:pPr>
      <w:r>
        <w:rPr>
          <w:rFonts w:eastAsia="Calibri" w:cs="Times New Roman"/>
          <w:bCs/>
          <w:sz w:val="24"/>
          <w:szCs w:val="24"/>
        </w:rPr>
        <w:t>Ďalej išlo o prídavok na dieťa, na peňažné príspevky na kompenzáciu (na osobnú asistenciu, na</w:t>
      </w:r>
      <w:r w:rsidR="00AA0772">
        <w:rPr>
          <w:rFonts w:eastAsia="Calibri" w:cs="Times New Roman"/>
          <w:bCs/>
          <w:sz w:val="24"/>
          <w:szCs w:val="24"/>
        </w:rPr>
        <w:t> </w:t>
      </w:r>
      <w:r>
        <w:rPr>
          <w:rFonts w:eastAsia="Calibri" w:cs="Times New Roman"/>
          <w:bCs/>
          <w:sz w:val="24"/>
          <w:szCs w:val="24"/>
        </w:rPr>
        <w:t>kúpu osobného motorového vozidla, na opatrovanie, úpravu bytu a podobne), na</w:t>
      </w:r>
      <w:r w:rsidR="00AA0772">
        <w:rPr>
          <w:rFonts w:eastAsia="Calibri" w:cs="Times New Roman"/>
          <w:bCs/>
          <w:sz w:val="24"/>
          <w:szCs w:val="24"/>
        </w:rPr>
        <w:t> </w:t>
      </w:r>
      <w:r>
        <w:rPr>
          <w:rFonts w:eastAsia="Calibri" w:cs="Times New Roman"/>
          <w:bCs/>
          <w:sz w:val="24"/>
          <w:szCs w:val="24"/>
        </w:rPr>
        <w:t>rodičovský príspevok, na aktívne opatrenia trhu práce a na dávku v hmotnej núdzi a príspevky k dávke. Skutočné čerpanie týchto dávok sa odvíja aj od zmien v legislatíve, počte poberateľov dávok po</w:t>
      </w:r>
      <w:r w:rsidR="00AA0772">
        <w:rPr>
          <w:rFonts w:eastAsia="Calibri" w:cs="Times New Roman"/>
          <w:bCs/>
          <w:sz w:val="24"/>
          <w:szCs w:val="24"/>
        </w:rPr>
        <w:t> </w:t>
      </w:r>
      <w:r>
        <w:rPr>
          <w:rFonts w:eastAsia="Calibri" w:cs="Times New Roman"/>
          <w:bCs/>
          <w:sz w:val="24"/>
          <w:szCs w:val="24"/>
        </w:rPr>
        <w:t>splnení podmienok ako aj ďalších súvisiacich faktorov.</w:t>
      </w:r>
    </w:p>
    <w:p w14:paraId="1A6F3A1D" w14:textId="77777777" w:rsidR="004D69BF" w:rsidRDefault="004D69BF" w:rsidP="004D69BF">
      <w:pPr>
        <w:spacing w:line="240" w:lineRule="auto"/>
        <w:rPr>
          <w:rFonts w:eastAsia="Calibri" w:cs="Times New Roman"/>
          <w:bCs/>
          <w:sz w:val="24"/>
          <w:szCs w:val="24"/>
        </w:rPr>
      </w:pPr>
      <w:r>
        <w:rPr>
          <w:rFonts w:eastAsia="Calibri" w:cs="Times New Roman"/>
          <w:bCs/>
          <w:sz w:val="24"/>
          <w:szCs w:val="24"/>
        </w:rPr>
        <w:t>Napríklad v sociálnej oblasti došlo k viacerým zmenám, ktoré zvýšili rozpočtované hodnoty jednotlivých dávok ako aj ich skutočné čerpanie, a to aj v medziročnom porovnaní. Išlo najmä o tieto zmeny:</w:t>
      </w:r>
    </w:p>
    <w:p w14:paraId="38152475" w14:textId="05EBA043" w:rsidR="004D69BF" w:rsidRPr="00AA0772" w:rsidRDefault="004D69BF" w:rsidP="004D69BF">
      <w:pPr>
        <w:pStyle w:val="Odsekzoznamu"/>
        <w:numPr>
          <w:ilvl w:val="0"/>
          <w:numId w:val="35"/>
        </w:numPr>
        <w:jc w:val="both"/>
        <w:rPr>
          <w:rFonts w:ascii="Times New Roman" w:eastAsia="Calibri" w:hAnsi="Times New Roman"/>
          <w:bCs/>
          <w:sz w:val="24"/>
          <w:szCs w:val="24"/>
        </w:rPr>
      </w:pPr>
      <w:r w:rsidRPr="00AA0772">
        <w:rPr>
          <w:rFonts w:ascii="Times New Roman" w:eastAsia="Calibri" w:hAnsi="Times New Roman"/>
          <w:bCs/>
          <w:sz w:val="24"/>
          <w:szCs w:val="24"/>
        </w:rPr>
        <w:t>Opatrením MPSVR SR č.</w:t>
      </w:r>
      <w:r w:rsidR="00AA0772">
        <w:rPr>
          <w:rFonts w:ascii="Times New Roman" w:eastAsia="Calibri" w:hAnsi="Times New Roman"/>
          <w:bCs/>
          <w:sz w:val="24"/>
          <w:szCs w:val="24"/>
        </w:rPr>
        <w:t> </w:t>
      </w:r>
      <w:r w:rsidRPr="00AA0772">
        <w:rPr>
          <w:rFonts w:ascii="Times New Roman" w:eastAsia="Calibri" w:hAnsi="Times New Roman"/>
          <w:bCs/>
          <w:sz w:val="24"/>
          <w:szCs w:val="24"/>
        </w:rPr>
        <w:t>377/2023</w:t>
      </w:r>
      <w:r w:rsidR="00AA0772">
        <w:rPr>
          <w:rFonts w:ascii="Times New Roman" w:eastAsia="Calibri" w:hAnsi="Times New Roman"/>
          <w:bCs/>
          <w:sz w:val="24"/>
          <w:szCs w:val="24"/>
        </w:rPr>
        <w:t> Z. </w:t>
      </w:r>
      <w:r w:rsidRPr="00AA0772">
        <w:rPr>
          <w:rFonts w:ascii="Times New Roman" w:eastAsia="Calibri" w:hAnsi="Times New Roman"/>
          <w:bCs/>
          <w:sz w:val="24"/>
          <w:szCs w:val="24"/>
        </w:rPr>
        <w:t>z. o úprave súm pomoci v</w:t>
      </w:r>
      <w:r w:rsidR="00AA0772">
        <w:rPr>
          <w:rFonts w:ascii="Times New Roman" w:eastAsia="Calibri" w:hAnsi="Times New Roman"/>
          <w:bCs/>
          <w:sz w:val="24"/>
          <w:szCs w:val="24"/>
        </w:rPr>
        <w:t> </w:t>
      </w:r>
      <w:r w:rsidRPr="00AA0772">
        <w:rPr>
          <w:rFonts w:ascii="Times New Roman" w:eastAsia="Calibri" w:hAnsi="Times New Roman"/>
          <w:bCs/>
          <w:sz w:val="24"/>
          <w:szCs w:val="24"/>
        </w:rPr>
        <w:t>hmotnej núdzi s</w:t>
      </w:r>
      <w:r w:rsidR="00AA0772">
        <w:rPr>
          <w:rFonts w:ascii="Times New Roman" w:eastAsia="Calibri" w:hAnsi="Times New Roman"/>
          <w:bCs/>
          <w:sz w:val="24"/>
          <w:szCs w:val="24"/>
        </w:rPr>
        <w:t> účinnosťou od 1. </w:t>
      </w:r>
      <w:r w:rsidRPr="00AA0772">
        <w:rPr>
          <w:rFonts w:ascii="Times New Roman" w:eastAsia="Calibri" w:hAnsi="Times New Roman"/>
          <w:bCs/>
          <w:sz w:val="24"/>
          <w:szCs w:val="24"/>
        </w:rPr>
        <w:t>októbra 20</w:t>
      </w:r>
      <w:r w:rsidR="00AA0772">
        <w:rPr>
          <w:rFonts w:ascii="Times New Roman" w:eastAsia="Calibri" w:hAnsi="Times New Roman"/>
          <w:bCs/>
          <w:sz w:val="24"/>
          <w:szCs w:val="24"/>
        </w:rPr>
        <w:t>23 došlo k zvýšeniu súm dávky v </w:t>
      </w:r>
      <w:r w:rsidRPr="00AA0772">
        <w:rPr>
          <w:rFonts w:ascii="Times New Roman" w:eastAsia="Calibri" w:hAnsi="Times New Roman"/>
          <w:bCs/>
          <w:sz w:val="24"/>
          <w:szCs w:val="24"/>
        </w:rPr>
        <w:t>hmotnej núdzi, ochranného príspevku, aktivačného príspevku, príspevku na nezaopatrené dieťa a</w:t>
      </w:r>
      <w:r w:rsidR="00AA0772">
        <w:rPr>
          <w:rFonts w:ascii="Times New Roman" w:eastAsia="Calibri" w:hAnsi="Times New Roman"/>
          <w:bCs/>
          <w:sz w:val="24"/>
          <w:szCs w:val="24"/>
        </w:rPr>
        <w:t> </w:t>
      </w:r>
      <w:r w:rsidRPr="00AA0772">
        <w:rPr>
          <w:rFonts w:ascii="Times New Roman" w:eastAsia="Calibri" w:hAnsi="Times New Roman"/>
          <w:bCs/>
          <w:sz w:val="24"/>
          <w:szCs w:val="24"/>
        </w:rPr>
        <w:t>príspevku na bývanie na základe koeficientu ras</w:t>
      </w:r>
      <w:r w:rsidR="00922722">
        <w:rPr>
          <w:rFonts w:ascii="Times New Roman" w:eastAsia="Calibri" w:hAnsi="Times New Roman"/>
          <w:bCs/>
          <w:sz w:val="24"/>
          <w:szCs w:val="24"/>
        </w:rPr>
        <w:t>tu čistých peňažných príjmov na </w:t>
      </w:r>
      <w:r w:rsidRPr="00AA0772">
        <w:rPr>
          <w:rFonts w:ascii="Times New Roman" w:eastAsia="Calibri" w:hAnsi="Times New Roman"/>
          <w:bCs/>
          <w:sz w:val="24"/>
          <w:szCs w:val="24"/>
        </w:rPr>
        <w:t>osobu</w:t>
      </w:r>
      <w:r w:rsidR="00AA0772">
        <w:rPr>
          <w:rFonts w:ascii="Times New Roman" w:eastAsia="Calibri" w:hAnsi="Times New Roman"/>
          <w:bCs/>
          <w:sz w:val="24"/>
          <w:szCs w:val="24"/>
        </w:rPr>
        <w:t>.</w:t>
      </w:r>
    </w:p>
    <w:p w14:paraId="1E245FA4" w14:textId="04A20037" w:rsidR="004D69BF" w:rsidRPr="00AA0772" w:rsidRDefault="004D69BF" w:rsidP="004D69BF">
      <w:pPr>
        <w:pStyle w:val="Odsekzoznamu"/>
        <w:numPr>
          <w:ilvl w:val="0"/>
          <w:numId w:val="35"/>
        </w:numPr>
        <w:jc w:val="both"/>
        <w:rPr>
          <w:rFonts w:ascii="Times New Roman" w:eastAsia="Calibri" w:hAnsi="Times New Roman"/>
          <w:bCs/>
          <w:sz w:val="24"/>
          <w:szCs w:val="24"/>
        </w:rPr>
      </w:pPr>
      <w:r w:rsidRPr="00AA0772">
        <w:rPr>
          <w:rFonts w:ascii="Times New Roman" w:eastAsia="Calibri" w:hAnsi="Times New Roman"/>
          <w:bCs/>
          <w:sz w:val="24"/>
          <w:szCs w:val="24"/>
        </w:rPr>
        <w:lastRenderedPageBreak/>
        <w:t>Zákonom č. 210/2023 Z. z., k</w:t>
      </w:r>
      <w:r w:rsidR="00AA0772">
        <w:rPr>
          <w:rFonts w:ascii="Times New Roman" w:eastAsia="Calibri" w:hAnsi="Times New Roman"/>
          <w:bCs/>
          <w:sz w:val="24"/>
          <w:szCs w:val="24"/>
        </w:rPr>
        <w:t>torým sa mení a dopĺňa zákon č. </w:t>
      </w:r>
      <w:r w:rsidRPr="00AA0772">
        <w:rPr>
          <w:rFonts w:ascii="Times New Roman" w:eastAsia="Calibri" w:hAnsi="Times New Roman"/>
          <w:bCs/>
          <w:sz w:val="24"/>
          <w:szCs w:val="24"/>
        </w:rPr>
        <w:t>461/2003</w:t>
      </w:r>
      <w:r w:rsidR="00AA0772">
        <w:rPr>
          <w:rFonts w:ascii="Times New Roman" w:eastAsia="Calibri" w:hAnsi="Times New Roman"/>
          <w:bCs/>
          <w:sz w:val="24"/>
          <w:szCs w:val="24"/>
        </w:rPr>
        <w:t> </w:t>
      </w:r>
      <w:r w:rsidRPr="00AA0772">
        <w:rPr>
          <w:rFonts w:ascii="Times New Roman" w:eastAsia="Calibri" w:hAnsi="Times New Roman"/>
          <w:bCs/>
          <w:sz w:val="24"/>
          <w:szCs w:val="24"/>
        </w:rPr>
        <w:t>Z.</w:t>
      </w:r>
      <w:r w:rsidR="00AA0772">
        <w:rPr>
          <w:rFonts w:ascii="Times New Roman" w:eastAsia="Calibri" w:hAnsi="Times New Roman"/>
          <w:bCs/>
          <w:sz w:val="24"/>
          <w:szCs w:val="24"/>
        </w:rPr>
        <w:t> </w:t>
      </w:r>
      <w:r w:rsidRPr="00AA0772">
        <w:rPr>
          <w:rFonts w:ascii="Times New Roman" w:eastAsia="Calibri" w:hAnsi="Times New Roman"/>
          <w:bCs/>
          <w:sz w:val="24"/>
          <w:szCs w:val="24"/>
        </w:rPr>
        <w:t>z. o</w:t>
      </w:r>
      <w:r w:rsidR="00AA0772">
        <w:rPr>
          <w:rFonts w:ascii="Times New Roman" w:eastAsia="Calibri" w:hAnsi="Times New Roman"/>
          <w:bCs/>
          <w:sz w:val="24"/>
          <w:szCs w:val="24"/>
        </w:rPr>
        <w:t> </w:t>
      </w:r>
      <w:r w:rsidRPr="00AA0772">
        <w:rPr>
          <w:rFonts w:ascii="Times New Roman" w:eastAsia="Calibri" w:hAnsi="Times New Roman"/>
          <w:bCs/>
          <w:sz w:val="24"/>
          <w:szCs w:val="24"/>
        </w:rPr>
        <w:t>sociálnom poistení v znení neskorších predpisov a ktorým sa menia a dopĺňajú niektoré zákony, sa s úč</w:t>
      </w:r>
      <w:r w:rsidR="00AA0772">
        <w:rPr>
          <w:rFonts w:ascii="Times New Roman" w:eastAsia="Calibri" w:hAnsi="Times New Roman"/>
          <w:bCs/>
          <w:sz w:val="24"/>
          <w:szCs w:val="24"/>
        </w:rPr>
        <w:t>innosťou od 1. </w:t>
      </w:r>
      <w:r w:rsidRPr="00AA0772">
        <w:rPr>
          <w:rFonts w:ascii="Times New Roman" w:eastAsia="Calibri" w:hAnsi="Times New Roman"/>
          <w:bCs/>
          <w:sz w:val="24"/>
          <w:szCs w:val="24"/>
        </w:rPr>
        <w:t>augusta 2023 zvýšili sumy rodičovského príspevku</w:t>
      </w:r>
      <w:r w:rsidR="00AA0772">
        <w:rPr>
          <w:rFonts w:ascii="Times New Roman" w:eastAsia="Calibri" w:hAnsi="Times New Roman"/>
          <w:bCs/>
          <w:sz w:val="24"/>
          <w:szCs w:val="24"/>
        </w:rPr>
        <w:t>.</w:t>
      </w:r>
    </w:p>
    <w:p w14:paraId="7475E6D3" w14:textId="6B516C82" w:rsidR="004D69BF" w:rsidRPr="00AA0772" w:rsidRDefault="00AA0772" w:rsidP="004D69BF">
      <w:pPr>
        <w:pStyle w:val="Odsekzoznamu"/>
        <w:numPr>
          <w:ilvl w:val="0"/>
          <w:numId w:val="35"/>
        </w:numPr>
        <w:jc w:val="both"/>
        <w:rPr>
          <w:rFonts w:ascii="Times New Roman" w:eastAsia="Calibri" w:hAnsi="Times New Roman"/>
          <w:bCs/>
          <w:sz w:val="24"/>
          <w:szCs w:val="24"/>
        </w:rPr>
      </w:pPr>
      <w:r>
        <w:rPr>
          <w:rFonts w:ascii="Times New Roman" w:eastAsia="Calibri" w:hAnsi="Times New Roman"/>
          <w:bCs/>
          <w:sz w:val="24"/>
          <w:szCs w:val="24"/>
        </w:rPr>
        <w:t>Opatrením MPSVR SR č. </w:t>
      </w:r>
      <w:r w:rsidR="004D69BF" w:rsidRPr="00AA0772">
        <w:rPr>
          <w:rFonts w:ascii="Times New Roman" w:eastAsia="Calibri" w:hAnsi="Times New Roman"/>
          <w:bCs/>
          <w:sz w:val="24"/>
          <w:szCs w:val="24"/>
        </w:rPr>
        <w:t>482/2023</w:t>
      </w:r>
      <w:r>
        <w:rPr>
          <w:rFonts w:ascii="Times New Roman" w:eastAsia="Calibri" w:hAnsi="Times New Roman"/>
          <w:bCs/>
          <w:sz w:val="24"/>
          <w:szCs w:val="24"/>
        </w:rPr>
        <w:t> Z. </w:t>
      </w:r>
      <w:r w:rsidR="004D69BF" w:rsidRPr="00AA0772">
        <w:rPr>
          <w:rFonts w:ascii="Times New Roman" w:eastAsia="Calibri" w:hAnsi="Times New Roman"/>
          <w:bCs/>
          <w:sz w:val="24"/>
          <w:szCs w:val="24"/>
        </w:rPr>
        <w:t>z. o úprave súm a koeficientov kompenzačného príspevk</w:t>
      </w:r>
      <w:r>
        <w:rPr>
          <w:rFonts w:ascii="Times New Roman" w:eastAsia="Calibri" w:hAnsi="Times New Roman"/>
          <w:bCs/>
          <w:sz w:val="24"/>
          <w:szCs w:val="24"/>
        </w:rPr>
        <w:t>u baníkom sa s účinnosťou od 1. </w:t>
      </w:r>
      <w:r w:rsidR="004D69BF" w:rsidRPr="00AA0772">
        <w:rPr>
          <w:rFonts w:ascii="Times New Roman" w:eastAsia="Calibri" w:hAnsi="Times New Roman"/>
          <w:bCs/>
          <w:sz w:val="24"/>
          <w:szCs w:val="24"/>
        </w:rPr>
        <w:t>januára 2024 zvýšili sumy kompenzačného príspevku pre zamestnancov, ktorí ukončili zamestnanie so</w:t>
      </w:r>
      <w:r w:rsidR="00766E41">
        <w:rPr>
          <w:rFonts w:ascii="Times New Roman" w:eastAsia="Calibri" w:hAnsi="Times New Roman"/>
          <w:bCs/>
          <w:sz w:val="24"/>
          <w:szCs w:val="24"/>
        </w:rPr>
        <w:t> </w:t>
      </w:r>
      <w:r w:rsidR="004D69BF" w:rsidRPr="00AA0772">
        <w:rPr>
          <w:rFonts w:ascii="Times New Roman" w:eastAsia="Calibri" w:hAnsi="Times New Roman"/>
          <w:bCs/>
          <w:sz w:val="24"/>
          <w:szCs w:val="24"/>
        </w:rPr>
        <w:t>stálym pracoviskom v</w:t>
      </w:r>
      <w:r>
        <w:rPr>
          <w:rFonts w:ascii="Times New Roman" w:eastAsia="Calibri" w:hAnsi="Times New Roman"/>
          <w:bCs/>
          <w:sz w:val="24"/>
          <w:szCs w:val="24"/>
        </w:rPr>
        <w:t> </w:t>
      </w:r>
      <w:r w:rsidR="004D69BF" w:rsidRPr="00AA0772">
        <w:rPr>
          <w:rFonts w:ascii="Times New Roman" w:eastAsia="Calibri" w:hAnsi="Times New Roman"/>
          <w:bCs/>
          <w:sz w:val="24"/>
          <w:szCs w:val="24"/>
        </w:rPr>
        <w:t>podzemí z dôvodu útlmu banskej činnosti.</w:t>
      </w:r>
    </w:p>
    <w:p w14:paraId="6A251B18" w14:textId="167B41D2" w:rsidR="004D69BF" w:rsidRPr="00AA0772" w:rsidRDefault="004D69BF" w:rsidP="004D69BF">
      <w:pPr>
        <w:pStyle w:val="Odsekzoznamu"/>
        <w:numPr>
          <w:ilvl w:val="0"/>
          <w:numId w:val="35"/>
        </w:numPr>
        <w:jc w:val="both"/>
        <w:rPr>
          <w:rFonts w:ascii="Times New Roman" w:eastAsia="Calibri" w:hAnsi="Times New Roman"/>
          <w:bCs/>
          <w:sz w:val="24"/>
          <w:szCs w:val="24"/>
        </w:rPr>
      </w:pPr>
      <w:r w:rsidRPr="00AA0772">
        <w:rPr>
          <w:rFonts w:ascii="Times New Roman" w:eastAsia="Calibri" w:hAnsi="Times New Roman"/>
          <w:bCs/>
          <w:sz w:val="24"/>
          <w:szCs w:val="24"/>
        </w:rPr>
        <w:t>Opatrením MPSVR SR č.</w:t>
      </w:r>
      <w:r w:rsidR="00AA0772">
        <w:rPr>
          <w:rFonts w:ascii="Times New Roman" w:eastAsia="Calibri" w:hAnsi="Times New Roman"/>
          <w:bCs/>
          <w:sz w:val="24"/>
          <w:szCs w:val="24"/>
        </w:rPr>
        <w:t> 149/2024 Z. </w:t>
      </w:r>
      <w:r w:rsidRPr="00AA0772">
        <w:rPr>
          <w:rFonts w:ascii="Times New Roman" w:eastAsia="Calibri" w:hAnsi="Times New Roman"/>
          <w:bCs/>
          <w:sz w:val="24"/>
          <w:szCs w:val="24"/>
        </w:rPr>
        <w:t xml:space="preserve">z. </w:t>
      </w:r>
      <w:r w:rsidR="00AA0772">
        <w:rPr>
          <w:rFonts w:ascii="Times New Roman" w:eastAsia="Calibri" w:hAnsi="Times New Roman"/>
          <w:bCs/>
          <w:sz w:val="24"/>
          <w:szCs w:val="24"/>
        </w:rPr>
        <w:t>o úprave súm životného minima s účinnosťou od 1. </w:t>
      </w:r>
      <w:r w:rsidRPr="00AA0772">
        <w:rPr>
          <w:rFonts w:ascii="Times New Roman" w:eastAsia="Calibri" w:hAnsi="Times New Roman"/>
          <w:bCs/>
          <w:sz w:val="24"/>
          <w:szCs w:val="24"/>
        </w:rPr>
        <w:t>júla 2024 došlo k zvýšeniu súm životného minima na</w:t>
      </w:r>
      <w:r w:rsidR="00922722">
        <w:rPr>
          <w:rFonts w:ascii="Times New Roman" w:eastAsia="Calibri" w:hAnsi="Times New Roman"/>
          <w:bCs/>
          <w:sz w:val="24"/>
          <w:szCs w:val="24"/>
        </w:rPr>
        <w:t> </w:t>
      </w:r>
      <w:r w:rsidRPr="00AA0772">
        <w:rPr>
          <w:rFonts w:ascii="Times New Roman" w:eastAsia="Calibri" w:hAnsi="Times New Roman"/>
          <w:bCs/>
          <w:sz w:val="24"/>
          <w:szCs w:val="24"/>
        </w:rPr>
        <w:t>základe koeficientu rastu životných nákl</w:t>
      </w:r>
      <w:r w:rsidR="00AA0772">
        <w:rPr>
          <w:rFonts w:ascii="Times New Roman" w:eastAsia="Calibri" w:hAnsi="Times New Roman"/>
          <w:bCs/>
          <w:sz w:val="24"/>
          <w:szCs w:val="24"/>
        </w:rPr>
        <w:t>adov nízkopríjmových domácností.</w:t>
      </w:r>
    </w:p>
    <w:p w14:paraId="2C8D5E08" w14:textId="2EE702CF" w:rsidR="004D69BF" w:rsidRPr="00AA0772" w:rsidRDefault="00AA0772" w:rsidP="004D69BF">
      <w:pPr>
        <w:pStyle w:val="Odsekzoznamu"/>
        <w:numPr>
          <w:ilvl w:val="0"/>
          <w:numId w:val="35"/>
        </w:numPr>
        <w:jc w:val="both"/>
        <w:rPr>
          <w:rFonts w:ascii="Times New Roman" w:eastAsia="Calibri" w:hAnsi="Times New Roman"/>
          <w:bCs/>
          <w:sz w:val="24"/>
          <w:szCs w:val="24"/>
        </w:rPr>
      </w:pPr>
      <w:r>
        <w:rPr>
          <w:rFonts w:ascii="Times New Roman" w:eastAsia="Calibri" w:hAnsi="Times New Roman"/>
          <w:bCs/>
          <w:sz w:val="24"/>
          <w:szCs w:val="24"/>
        </w:rPr>
        <w:t>Zákonom č. 203/2023 Z. </w:t>
      </w:r>
      <w:r w:rsidR="004D69BF" w:rsidRPr="00AA0772">
        <w:rPr>
          <w:rFonts w:ascii="Times New Roman" w:eastAsia="Calibri" w:hAnsi="Times New Roman"/>
          <w:bCs/>
          <w:sz w:val="24"/>
          <w:szCs w:val="24"/>
        </w:rPr>
        <w:t>z., k</w:t>
      </w:r>
      <w:r>
        <w:rPr>
          <w:rFonts w:ascii="Times New Roman" w:eastAsia="Calibri" w:hAnsi="Times New Roman"/>
          <w:bCs/>
          <w:sz w:val="24"/>
          <w:szCs w:val="24"/>
        </w:rPr>
        <w:t>torým sa mení a dopĺňa zákon č. </w:t>
      </w:r>
      <w:r w:rsidR="004D69BF" w:rsidRPr="00AA0772">
        <w:rPr>
          <w:rFonts w:ascii="Times New Roman" w:eastAsia="Calibri" w:hAnsi="Times New Roman"/>
          <w:bCs/>
          <w:sz w:val="24"/>
          <w:szCs w:val="24"/>
        </w:rPr>
        <w:t>461/2003</w:t>
      </w:r>
      <w:r>
        <w:rPr>
          <w:rFonts w:ascii="Times New Roman" w:eastAsia="Calibri" w:hAnsi="Times New Roman"/>
          <w:bCs/>
          <w:sz w:val="24"/>
          <w:szCs w:val="24"/>
        </w:rPr>
        <w:t> </w:t>
      </w:r>
      <w:r w:rsidR="004D69BF" w:rsidRPr="00AA0772">
        <w:rPr>
          <w:rFonts w:ascii="Times New Roman" w:eastAsia="Calibri" w:hAnsi="Times New Roman"/>
          <w:bCs/>
          <w:sz w:val="24"/>
          <w:szCs w:val="24"/>
        </w:rPr>
        <w:t>Z.</w:t>
      </w:r>
      <w:r>
        <w:rPr>
          <w:rFonts w:ascii="Times New Roman" w:eastAsia="Calibri" w:hAnsi="Times New Roman"/>
          <w:bCs/>
          <w:sz w:val="24"/>
          <w:szCs w:val="24"/>
        </w:rPr>
        <w:t> </w:t>
      </w:r>
      <w:r w:rsidR="004D69BF" w:rsidRPr="00AA0772">
        <w:rPr>
          <w:rFonts w:ascii="Times New Roman" w:eastAsia="Calibri" w:hAnsi="Times New Roman"/>
          <w:bCs/>
          <w:sz w:val="24"/>
          <w:szCs w:val="24"/>
        </w:rPr>
        <w:t>z. o</w:t>
      </w:r>
      <w:r>
        <w:rPr>
          <w:rFonts w:ascii="Times New Roman" w:eastAsia="Calibri" w:hAnsi="Times New Roman"/>
          <w:bCs/>
          <w:sz w:val="24"/>
          <w:szCs w:val="24"/>
        </w:rPr>
        <w:t> </w:t>
      </w:r>
      <w:r w:rsidR="004D69BF" w:rsidRPr="00AA0772">
        <w:rPr>
          <w:rFonts w:ascii="Times New Roman" w:eastAsia="Calibri" w:hAnsi="Times New Roman"/>
          <w:bCs/>
          <w:sz w:val="24"/>
          <w:szCs w:val="24"/>
        </w:rPr>
        <w:t>sociálnom poistení v znení neskorších predpisov, sa s účinnosťou od 1.</w:t>
      </w:r>
      <w:r>
        <w:rPr>
          <w:rFonts w:ascii="Times New Roman" w:eastAsia="Calibri" w:hAnsi="Times New Roman"/>
          <w:bCs/>
          <w:sz w:val="24"/>
          <w:szCs w:val="24"/>
        </w:rPr>
        <w:t> </w:t>
      </w:r>
      <w:r w:rsidR="004D69BF" w:rsidRPr="00AA0772">
        <w:rPr>
          <w:rFonts w:ascii="Times New Roman" w:eastAsia="Calibri" w:hAnsi="Times New Roman"/>
          <w:bCs/>
          <w:sz w:val="24"/>
          <w:szCs w:val="24"/>
        </w:rPr>
        <w:t>januára 2024 rozšíril okruh poistenkýň, ktoré majú nárok na matersk</w:t>
      </w:r>
      <w:r>
        <w:rPr>
          <w:rFonts w:ascii="Times New Roman" w:eastAsia="Calibri" w:hAnsi="Times New Roman"/>
          <w:bCs/>
          <w:sz w:val="24"/>
          <w:szCs w:val="24"/>
        </w:rPr>
        <w:t>é, s dôrazom na tehotné ženy a </w:t>
      </w:r>
      <w:r w:rsidR="004D69BF" w:rsidRPr="00AA0772">
        <w:rPr>
          <w:rFonts w:ascii="Times New Roman" w:eastAsia="Calibri" w:hAnsi="Times New Roman"/>
          <w:bCs/>
          <w:sz w:val="24"/>
          <w:szCs w:val="24"/>
        </w:rPr>
        <w:t>matky tesne po ukončení štúdia.</w:t>
      </w:r>
    </w:p>
    <w:p w14:paraId="465D2B7A" w14:textId="6DFE2756" w:rsidR="004D69BF" w:rsidRPr="00196FF7" w:rsidRDefault="004D69BF" w:rsidP="00AA0772">
      <w:pPr>
        <w:pStyle w:val="Odsekzoznamu"/>
        <w:numPr>
          <w:ilvl w:val="0"/>
          <w:numId w:val="35"/>
        </w:numPr>
        <w:spacing w:after="120"/>
        <w:ind w:left="782" w:hanging="357"/>
        <w:jc w:val="both"/>
        <w:rPr>
          <w:rFonts w:ascii="Times New Roman" w:eastAsia="Calibri" w:hAnsi="Times New Roman"/>
          <w:bCs/>
        </w:rPr>
      </w:pPr>
      <w:r w:rsidRPr="00AA0772">
        <w:rPr>
          <w:rFonts w:ascii="Times New Roman" w:eastAsia="Calibri" w:hAnsi="Times New Roman"/>
          <w:bCs/>
          <w:sz w:val="24"/>
          <w:szCs w:val="24"/>
        </w:rPr>
        <w:t>Zákonom č.</w:t>
      </w:r>
      <w:r w:rsidR="00AA0772">
        <w:rPr>
          <w:rFonts w:ascii="Times New Roman" w:eastAsia="Calibri" w:hAnsi="Times New Roman"/>
          <w:bCs/>
          <w:sz w:val="24"/>
          <w:szCs w:val="24"/>
        </w:rPr>
        <w:t> </w:t>
      </w:r>
      <w:r w:rsidRPr="00AA0772">
        <w:rPr>
          <w:rFonts w:ascii="Times New Roman" w:eastAsia="Calibri" w:hAnsi="Times New Roman"/>
          <w:bCs/>
          <w:sz w:val="24"/>
          <w:szCs w:val="24"/>
        </w:rPr>
        <w:t>87/2024</w:t>
      </w:r>
      <w:r w:rsidR="00AA0772">
        <w:rPr>
          <w:rFonts w:ascii="Times New Roman" w:eastAsia="Calibri" w:hAnsi="Times New Roman"/>
          <w:bCs/>
          <w:sz w:val="24"/>
          <w:szCs w:val="24"/>
        </w:rPr>
        <w:t> Z. </w:t>
      </w:r>
      <w:r w:rsidRPr="00AA0772">
        <w:rPr>
          <w:rFonts w:ascii="Times New Roman" w:eastAsia="Calibri" w:hAnsi="Times New Roman"/>
          <w:bCs/>
          <w:sz w:val="24"/>
          <w:szCs w:val="24"/>
        </w:rPr>
        <w:t>z., ktorým sa mení a dopĺňa zákon č.</w:t>
      </w:r>
      <w:r w:rsidR="00AA0772">
        <w:rPr>
          <w:rFonts w:ascii="Times New Roman" w:eastAsia="Calibri" w:hAnsi="Times New Roman"/>
          <w:bCs/>
          <w:sz w:val="24"/>
          <w:szCs w:val="24"/>
        </w:rPr>
        <w:t> 461/2003 Z. </w:t>
      </w:r>
      <w:r w:rsidRPr="00AA0772">
        <w:rPr>
          <w:rFonts w:ascii="Times New Roman" w:eastAsia="Calibri" w:hAnsi="Times New Roman"/>
          <w:bCs/>
          <w:sz w:val="24"/>
          <w:szCs w:val="24"/>
        </w:rPr>
        <w:t>z. o</w:t>
      </w:r>
      <w:r w:rsidR="00AA0772">
        <w:rPr>
          <w:rFonts w:ascii="Times New Roman" w:eastAsia="Calibri" w:hAnsi="Times New Roman"/>
          <w:bCs/>
          <w:sz w:val="24"/>
          <w:szCs w:val="24"/>
        </w:rPr>
        <w:t> </w:t>
      </w:r>
      <w:r w:rsidRPr="00AA0772">
        <w:rPr>
          <w:rFonts w:ascii="Times New Roman" w:eastAsia="Calibri" w:hAnsi="Times New Roman"/>
          <w:bCs/>
          <w:sz w:val="24"/>
          <w:szCs w:val="24"/>
        </w:rPr>
        <w:t>sociálnom poistení v znení neskorších predpisov a ktorým sa menia a</w:t>
      </w:r>
      <w:r w:rsidR="00922722">
        <w:rPr>
          <w:rFonts w:ascii="Times New Roman" w:eastAsia="Calibri" w:hAnsi="Times New Roman"/>
          <w:bCs/>
          <w:sz w:val="24"/>
          <w:szCs w:val="24"/>
        </w:rPr>
        <w:t> </w:t>
      </w:r>
      <w:r w:rsidRPr="00AA0772">
        <w:rPr>
          <w:rFonts w:ascii="Times New Roman" w:eastAsia="Calibri" w:hAnsi="Times New Roman"/>
          <w:bCs/>
          <w:sz w:val="24"/>
          <w:szCs w:val="24"/>
        </w:rPr>
        <w:t>dopĺňajú niektor</w:t>
      </w:r>
      <w:r w:rsidR="00AA0772">
        <w:rPr>
          <w:rFonts w:ascii="Times New Roman" w:eastAsia="Calibri" w:hAnsi="Times New Roman"/>
          <w:bCs/>
          <w:sz w:val="24"/>
          <w:szCs w:val="24"/>
        </w:rPr>
        <w:t>é zákony, sa s účinnosťou od 1. </w:t>
      </w:r>
      <w:r w:rsidRPr="00AA0772">
        <w:rPr>
          <w:rFonts w:ascii="Times New Roman" w:eastAsia="Calibri" w:hAnsi="Times New Roman"/>
          <w:bCs/>
          <w:sz w:val="24"/>
          <w:szCs w:val="24"/>
        </w:rPr>
        <w:t>júla 2024 zaviedol 13.</w:t>
      </w:r>
      <w:r w:rsidR="00AA0772">
        <w:rPr>
          <w:rFonts w:ascii="Times New Roman" w:eastAsia="Calibri" w:hAnsi="Times New Roman"/>
          <w:bCs/>
          <w:sz w:val="24"/>
          <w:szCs w:val="24"/>
        </w:rPr>
        <w:t> </w:t>
      </w:r>
      <w:r w:rsidRPr="00AA0772">
        <w:rPr>
          <w:rFonts w:ascii="Times New Roman" w:eastAsia="Calibri" w:hAnsi="Times New Roman"/>
          <w:bCs/>
          <w:sz w:val="24"/>
          <w:szCs w:val="24"/>
        </w:rPr>
        <w:t>dôchodok</w:t>
      </w:r>
      <w:r w:rsidR="00922722">
        <w:rPr>
          <w:rFonts w:ascii="Times New Roman" w:eastAsia="Calibri" w:hAnsi="Times New Roman"/>
          <w:bCs/>
          <w:sz w:val="24"/>
          <w:szCs w:val="24"/>
        </w:rPr>
        <w:t> - </w:t>
      </w:r>
      <w:r w:rsidRPr="00AA0772">
        <w:rPr>
          <w:rFonts w:ascii="Times New Roman" w:eastAsia="Calibri" w:hAnsi="Times New Roman"/>
          <w:bCs/>
          <w:sz w:val="24"/>
          <w:szCs w:val="24"/>
        </w:rPr>
        <w:t>vybrané skupiny poberateľov (doplatky) ako nová dôchodková dávka, ktorá nahrádza dovted</w:t>
      </w:r>
      <w:r w:rsidR="00AA0772">
        <w:rPr>
          <w:rFonts w:ascii="Times New Roman" w:eastAsia="Calibri" w:hAnsi="Times New Roman"/>
          <w:bCs/>
          <w:sz w:val="24"/>
          <w:szCs w:val="24"/>
        </w:rPr>
        <w:t>ajšiu štátnu sociálnu dávku 13. </w:t>
      </w:r>
      <w:r w:rsidRPr="00AA0772">
        <w:rPr>
          <w:rFonts w:ascii="Times New Roman" w:eastAsia="Calibri" w:hAnsi="Times New Roman"/>
          <w:bCs/>
          <w:sz w:val="24"/>
          <w:szCs w:val="24"/>
        </w:rPr>
        <w:t>dôchodok.</w:t>
      </w:r>
    </w:p>
    <w:p w14:paraId="1B04AA85" w14:textId="77777777" w:rsidR="00EC6EF8" w:rsidRDefault="004D69BF" w:rsidP="00EC6EF8">
      <w:pPr>
        <w:spacing w:line="240" w:lineRule="auto"/>
        <w:rPr>
          <w:rFonts w:eastAsia="Calibri" w:cs="Times New Roman"/>
          <w:bCs/>
          <w:sz w:val="24"/>
          <w:szCs w:val="24"/>
        </w:rPr>
      </w:pPr>
      <w:r w:rsidRPr="003D0A1C">
        <w:rPr>
          <w:rFonts w:eastAsia="Calibri" w:cs="Times New Roman"/>
          <w:b/>
          <w:sz w:val="24"/>
          <w:szCs w:val="24"/>
        </w:rPr>
        <w:t>Transfery nefinančným subjektom</w:t>
      </w:r>
      <w:r>
        <w:rPr>
          <w:rFonts w:eastAsia="Calibri" w:cs="Times New Roman"/>
          <w:b/>
          <w:sz w:val="24"/>
          <w:szCs w:val="24"/>
        </w:rPr>
        <w:t xml:space="preserve"> </w:t>
      </w:r>
      <w:r>
        <w:rPr>
          <w:rFonts w:eastAsia="Calibri" w:cs="Times New Roman"/>
          <w:bCs/>
          <w:sz w:val="24"/>
          <w:szCs w:val="24"/>
        </w:rPr>
        <w:t>poskytlo hlavne Ministerstvo hospodárstva SR v sume 1 240</w:t>
      </w:r>
      <w:r w:rsidR="00AA0772">
        <w:rPr>
          <w:rFonts w:eastAsia="Calibri" w:cs="Times New Roman"/>
          <w:bCs/>
          <w:sz w:val="24"/>
          <w:szCs w:val="24"/>
        </w:rPr>
        <w:t> </w:t>
      </w:r>
      <w:r>
        <w:rPr>
          <w:rFonts w:eastAsia="Calibri" w:cs="Times New Roman"/>
          <w:bCs/>
          <w:sz w:val="24"/>
          <w:szCs w:val="24"/>
        </w:rPr>
        <w:t>894</w:t>
      </w:r>
      <w:r w:rsidR="00AA0772">
        <w:rPr>
          <w:rFonts w:eastAsia="Calibri" w:cs="Times New Roman"/>
          <w:bCs/>
          <w:sz w:val="24"/>
          <w:szCs w:val="24"/>
        </w:rPr>
        <w:t> </w:t>
      </w:r>
      <w:r>
        <w:rPr>
          <w:rFonts w:eastAsia="Calibri" w:cs="Times New Roman"/>
          <w:bCs/>
          <w:sz w:val="24"/>
          <w:szCs w:val="24"/>
        </w:rPr>
        <w:t>tis.</w:t>
      </w:r>
      <w:r w:rsidR="00AA0772">
        <w:rPr>
          <w:rFonts w:eastAsia="Calibri" w:cs="Times New Roman"/>
          <w:bCs/>
          <w:sz w:val="24"/>
          <w:szCs w:val="24"/>
        </w:rPr>
        <w:t> </w:t>
      </w:r>
      <w:r>
        <w:rPr>
          <w:rFonts w:eastAsia="Calibri" w:cs="Times New Roman"/>
          <w:bCs/>
          <w:sz w:val="24"/>
          <w:szCs w:val="24"/>
        </w:rPr>
        <w:t>eur a Ministerstvo pôdohospodárstva a rozvoja vidieka SR v sume 978</w:t>
      </w:r>
      <w:r w:rsidR="00AA0772">
        <w:rPr>
          <w:rFonts w:eastAsia="Calibri" w:cs="Times New Roman"/>
          <w:bCs/>
          <w:sz w:val="24"/>
          <w:szCs w:val="24"/>
        </w:rPr>
        <w:t> </w:t>
      </w:r>
      <w:r>
        <w:rPr>
          <w:rFonts w:eastAsia="Calibri" w:cs="Times New Roman"/>
          <w:bCs/>
          <w:sz w:val="24"/>
          <w:szCs w:val="24"/>
        </w:rPr>
        <w:t>718</w:t>
      </w:r>
      <w:r w:rsidR="00AA0772">
        <w:rPr>
          <w:rFonts w:eastAsia="Calibri" w:cs="Times New Roman"/>
          <w:bCs/>
          <w:sz w:val="24"/>
          <w:szCs w:val="24"/>
        </w:rPr>
        <w:t> </w:t>
      </w:r>
      <w:r>
        <w:rPr>
          <w:rFonts w:eastAsia="Calibri" w:cs="Times New Roman"/>
          <w:bCs/>
          <w:sz w:val="24"/>
          <w:szCs w:val="24"/>
        </w:rPr>
        <w:t>tis.</w:t>
      </w:r>
      <w:r w:rsidR="00AA0772">
        <w:rPr>
          <w:rFonts w:eastAsia="Calibri" w:cs="Times New Roman"/>
          <w:bCs/>
          <w:sz w:val="24"/>
          <w:szCs w:val="24"/>
        </w:rPr>
        <w:t> </w:t>
      </w:r>
      <w:r>
        <w:rPr>
          <w:rFonts w:eastAsia="Calibri" w:cs="Times New Roman"/>
          <w:bCs/>
          <w:sz w:val="24"/>
          <w:szCs w:val="24"/>
        </w:rPr>
        <w:t>eur. V prípade Ministerstva hospodárstva SR išlo o poskytovanie dotácií na</w:t>
      </w:r>
      <w:r w:rsidR="00AA0772">
        <w:rPr>
          <w:rFonts w:eastAsia="Calibri" w:cs="Times New Roman"/>
          <w:bCs/>
          <w:sz w:val="24"/>
          <w:szCs w:val="24"/>
        </w:rPr>
        <w:t> </w:t>
      </w:r>
      <w:r>
        <w:rPr>
          <w:rFonts w:eastAsia="Calibri" w:cs="Times New Roman"/>
          <w:bCs/>
          <w:sz w:val="24"/>
          <w:szCs w:val="24"/>
        </w:rPr>
        <w:t>kompenzáciu zvýšených nákladov na energie (tzv. energopomoc), ktoré dosiahlo v hotovostnom vyjadre</w:t>
      </w:r>
      <w:r w:rsidR="00AA0772">
        <w:rPr>
          <w:rFonts w:eastAsia="Calibri" w:cs="Times New Roman"/>
          <w:bCs/>
          <w:sz w:val="24"/>
          <w:szCs w:val="24"/>
        </w:rPr>
        <w:t>ní 1 221 410 </w:t>
      </w:r>
      <w:r>
        <w:rPr>
          <w:rFonts w:eastAsia="Calibri" w:cs="Times New Roman"/>
          <w:bCs/>
          <w:sz w:val="24"/>
          <w:szCs w:val="24"/>
        </w:rPr>
        <w:t>tis.</w:t>
      </w:r>
      <w:r w:rsidR="00AA0772">
        <w:rPr>
          <w:rFonts w:eastAsia="Calibri" w:cs="Times New Roman"/>
          <w:bCs/>
          <w:sz w:val="24"/>
          <w:szCs w:val="24"/>
        </w:rPr>
        <w:t> </w:t>
      </w:r>
      <w:r>
        <w:rPr>
          <w:rFonts w:eastAsia="Calibri" w:cs="Times New Roman"/>
          <w:bCs/>
          <w:sz w:val="24"/>
          <w:szCs w:val="24"/>
        </w:rPr>
        <w:t>eur (z toho za oprávnené</w:t>
      </w:r>
      <w:r w:rsidR="00AA0772">
        <w:rPr>
          <w:rFonts w:eastAsia="Calibri" w:cs="Times New Roman"/>
          <w:bCs/>
          <w:sz w:val="24"/>
          <w:szCs w:val="24"/>
        </w:rPr>
        <w:t xml:space="preserve"> obdobie roku 2023 bolo 190 110 </w:t>
      </w:r>
      <w:r>
        <w:rPr>
          <w:rFonts w:eastAsia="Calibri" w:cs="Times New Roman"/>
          <w:bCs/>
          <w:sz w:val="24"/>
          <w:szCs w:val="24"/>
        </w:rPr>
        <w:t>tis.</w:t>
      </w:r>
      <w:r w:rsidR="00AA0772">
        <w:rPr>
          <w:rFonts w:eastAsia="Calibri" w:cs="Times New Roman"/>
          <w:bCs/>
          <w:sz w:val="24"/>
          <w:szCs w:val="24"/>
        </w:rPr>
        <w:t> </w:t>
      </w:r>
      <w:r>
        <w:rPr>
          <w:rFonts w:eastAsia="Calibri" w:cs="Times New Roman"/>
          <w:bCs/>
          <w:sz w:val="24"/>
          <w:szCs w:val="24"/>
        </w:rPr>
        <w:t>eur). Ministerstvo pôdohospodárstva a rozvoja vidieka SR poskytlo transfery v podobe priamych platieb farmárom, sektorové intervencie, na rozvoj vidieka a podobne.</w:t>
      </w:r>
    </w:p>
    <w:p w14:paraId="0D270DAA" w14:textId="31D6DDB8" w:rsidR="004D69BF" w:rsidRPr="007A7529" w:rsidRDefault="004D69BF" w:rsidP="00EC6EF8">
      <w:pPr>
        <w:spacing w:line="240" w:lineRule="auto"/>
        <w:rPr>
          <w:rFonts w:eastAsia="Calibri" w:cs="Times New Roman"/>
          <w:bCs/>
          <w:sz w:val="24"/>
          <w:szCs w:val="24"/>
        </w:rPr>
      </w:pPr>
      <w:r w:rsidRPr="007A7529">
        <w:rPr>
          <w:rFonts w:eastAsia="Calibri"/>
          <w:b/>
          <w:sz w:val="24"/>
          <w:szCs w:val="24"/>
        </w:rPr>
        <w:t xml:space="preserve">Transfery do zahraničia </w:t>
      </w:r>
      <w:r w:rsidRPr="007A7529">
        <w:rPr>
          <w:rFonts w:eastAsia="Calibri"/>
          <w:bCs/>
          <w:sz w:val="24"/>
          <w:szCs w:val="24"/>
        </w:rPr>
        <w:t xml:space="preserve">sú </w:t>
      </w:r>
      <w:r w:rsidRPr="007A7529">
        <w:rPr>
          <w:rFonts w:eastAsia="Calibri" w:cs="Times New Roman"/>
          <w:bCs/>
          <w:sz w:val="24"/>
          <w:szCs w:val="24"/>
        </w:rPr>
        <w:t>tvorené najmä odvodom SR do všeobecného rozpočtu EÚ na financovanie spoločných programov a politík EÚ. Odvody SR bez tradičných vlastných zdrojov</w:t>
      </w:r>
      <w:r w:rsidR="00AA0772" w:rsidRPr="007A7529">
        <w:rPr>
          <w:rFonts w:eastAsia="Calibri" w:cs="Times New Roman"/>
          <w:bCs/>
          <w:sz w:val="24"/>
          <w:szCs w:val="24"/>
        </w:rPr>
        <w:t> – </w:t>
      </w:r>
      <w:r w:rsidRPr="007A7529">
        <w:rPr>
          <w:rFonts w:eastAsia="Calibri" w:cs="Times New Roman"/>
          <w:bCs/>
          <w:sz w:val="24"/>
          <w:szCs w:val="24"/>
        </w:rPr>
        <w:t>v kapitole VPS boli na rok 2024 rozpočtované vo výške 1 064</w:t>
      </w:r>
      <w:r w:rsidR="00AA0772" w:rsidRPr="007A7529">
        <w:rPr>
          <w:rFonts w:eastAsia="Calibri" w:cs="Times New Roman"/>
          <w:bCs/>
          <w:sz w:val="24"/>
          <w:szCs w:val="24"/>
        </w:rPr>
        <w:t> </w:t>
      </w:r>
      <w:r w:rsidRPr="007A7529">
        <w:rPr>
          <w:rFonts w:eastAsia="Calibri" w:cs="Times New Roman"/>
          <w:bCs/>
          <w:sz w:val="24"/>
          <w:szCs w:val="24"/>
        </w:rPr>
        <w:t>710</w:t>
      </w:r>
      <w:r w:rsidR="00AA0772" w:rsidRPr="007A7529">
        <w:rPr>
          <w:rFonts w:eastAsia="Calibri" w:cs="Times New Roman"/>
          <w:bCs/>
          <w:sz w:val="24"/>
          <w:szCs w:val="24"/>
        </w:rPr>
        <w:t> </w:t>
      </w:r>
      <w:r w:rsidRPr="007A7529">
        <w:rPr>
          <w:rFonts w:eastAsia="Calibri" w:cs="Times New Roman"/>
          <w:bCs/>
          <w:sz w:val="24"/>
          <w:szCs w:val="24"/>
        </w:rPr>
        <w:t>tis.</w:t>
      </w:r>
      <w:r w:rsidR="00AA0772" w:rsidRPr="007A7529">
        <w:rPr>
          <w:rFonts w:eastAsia="Calibri" w:cs="Times New Roman"/>
          <w:bCs/>
          <w:sz w:val="24"/>
          <w:szCs w:val="24"/>
        </w:rPr>
        <w:t> </w:t>
      </w:r>
      <w:r w:rsidRPr="007A7529">
        <w:rPr>
          <w:rFonts w:eastAsia="Calibri" w:cs="Times New Roman"/>
          <w:bCs/>
          <w:sz w:val="24"/>
          <w:szCs w:val="24"/>
        </w:rPr>
        <w:t>eur. Skutočné čerpanie odvodov bez tradičných vlastných zdrojov bolo celkovo vo výške 826</w:t>
      </w:r>
      <w:r w:rsidR="00AA0772" w:rsidRPr="007A7529">
        <w:rPr>
          <w:rFonts w:eastAsia="Calibri" w:cs="Times New Roman"/>
          <w:bCs/>
          <w:sz w:val="24"/>
          <w:szCs w:val="24"/>
        </w:rPr>
        <w:t> </w:t>
      </w:r>
      <w:r w:rsidRPr="007A7529">
        <w:rPr>
          <w:rFonts w:eastAsia="Calibri" w:cs="Times New Roman"/>
          <w:bCs/>
          <w:sz w:val="24"/>
          <w:szCs w:val="24"/>
        </w:rPr>
        <w:t>119</w:t>
      </w:r>
      <w:r w:rsidR="00AA0772" w:rsidRPr="007A7529">
        <w:rPr>
          <w:rFonts w:eastAsia="Calibri" w:cs="Times New Roman"/>
          <w:bCs/>
          <w:sz w:val="24"/>
          <w:szCs w:val="24"/>
        </w:rPr>
        <w:t> </w:t>
      </w:r>
      <w:r w:rsidRPr="007A7529">
        <w:rPr>
          <w:rFonts w:eastAsia="Calibri" w:cs="Times New Roman"/>
          <w:bCs/>
          <w:sz w:val="24"/>
          <w:szCs w:val="24"/>
        </w:rPr>
        <w:t>tis.</w:t>
      </w:r>
      <w:r w:rsidR="00AA0772" w:rsidRPr="007A7529">
        <w:rPr>
          <w:rFonts w:eastAsia="Calibri" w:cs="Times New Roman"/>
          <w:bCs/>
          <w:sz w:val="24"/>
          <w:szCs w:val="24"/>
        </w:rPr>
        <w:t> </w:t>
      </w:r>
      <w:r w:rsidRPr="007A7529">
        <w:rPr>
          <w:rFonts w:eastAsia="Calibri" w:cs="Times New Roman"/>
          <w:bCs/>
          <w:sz w:val="24"/>
          <w:szCs w:val="24"/>
        </w:rPr>
        <w:t>eur (viac v kapitole Vzťahy štátneho rozpočtu k EÚ).</w:t>
      </w:r>
    </w:p>
    <w:p w14:paraId="00FAD9E9" w14:textId="77777777" w:rsidR="004D69BF" w:rsidRPr="002B42D8" w:rsidRDefault="004D69BF" w:rsidP="004D69BF">
      <w:pPr>
        <w:pStyle w:val="Nadpis4"/>
      </w:pPr>
      <w:bookmarkStart w:id="122" w:name="_Toc196314138"/>
      <w:r w:rsidRPr="002B42D8">
        <w:t>Kapitálové výdavky</w:t>
      </w:r>
      <w:bookmarkEnd w:id="122"/>
    </w:p>
    <w:p w14:paraId="32865DEB" w14:textId="77777777" w:rsidR="004D69BF" w:rsidRPr="00663918" w:rsidRDefault="004D69BF" w:rsidP="004D69BF">
      <w:pPr>
        <w:spacing w:line="240" w:lineRule="auto"/>
        <w:rPr>
          <w:sz w:val="24"/>
          <w:szCs w:val="24"/>
        </w:rPr>
      </w:pPr>
      <w:r w:rsidRPr="00663918">
        <w:rPr>
          <w:sz w:val="24"/>
          <w:szCs w:val="24"/>
        </w:rPr>
        <w:t xml:space="preserve">Kapitálové výdavky tvoria výdavky na </w:t>
      </w:r>
      <w:r w:rsidRPr="00663918">
        <w:rPr>
          <w:sz w:val="24"/>
          <w:szCs w:val="24"/>
          <w:u w:val="single"/>
        </w:rPr>
        <w:t>obstaranie hmotného a nehmotného majetku</w:t>
      </w:r>
      <w:r w:rsidRPr="00663918">
        <w:rPr>
          <w:sz w:val="24"/>
          <w:szCs w:val="24"/>
        </w:rPr>
        <w:t>, vrátane výdavkov súvisiacich s obstaraním tohto majetku (napr. projektová dokumentácia, výdavky s prípravou a zabezpečením obstarania majetku) a </w:t>
      </w:r>
      <w:r w:rsidRPr="00663918">
        <w:rPr>
          <w:sz w:val="24"/>
          <w:szCs w:val="24"/>
          <w:u w:val="single"/>
        </w:rPr>
        <w:t>kapitálové transfery</w:t>
      </w:r>
      <w:r w:rsidRPr="00663918">
        <w:rPr>
          <w:sz w:val="24"/>
          <w:szCs w:val="24"/>
        </w:rPr>
        <w:t>, teda platby vykonané s cieľom umožniť príjemcovi nadobudnúť kapitálové aktíva alebo kompenzovať ich poškodenie alebo trvalé zničenie.</w:t>
      </w:r>
    </w:p>
    <w:p w14:paraId="67CDC288" w14:textId="2994C133" w:rsidR="004D69BF" w:rsidRDefault="004D69BF" w:rsidP="004D69BF">
      <w:pPr>
        <w:spacing w:line="240" w:lineRule="auto"/>
        <w:rPr>
          <w:sz w:val="24"/>
          <w:szCs w:val="24"/>
        </w:rPr>
      </w:pPr>
      <w:r w:rsidRPr="00663918">
        <w:rPr>
          <w:sz w:val="24"/>
          <w:szCs w:val="24"/>
        </w:rPr>
        <w:t>Rozpočet kapitálových výdavkov na rok 202</w:t>
      </w:r>
      <w:r>
        <w:rPr>
          <w:sz w:val="24"/>
          <w:szCs w:val="24"/>
        </w:rPr>
        <w:t>4</w:t>
      </w:r>
      <w:r w:rsidRPr="00663918">
        <w:rPr>
          <w:sz w:val="24"/>
          <w:szCs w:val="24"/>
        </w:rPr>
        <w:t xml:space="preserve"> predstavoval sumu </w:t>
      </w:r>
      <w:r w:rsidR="00AA0772">
        <w:rPr>
          <w:sz w:val="24"/>
          <w:szCs w:val="24"/>
        </w:rPr>
        <w:t>3 127 </w:t>
      </w:r>
      <w:r>
        <w:rPr>
          <w:sz w:val="24"/>
          <w:szCs w:val="24"/>
        </w:rPr>
        <w:t>233</w:t>
      </w:r>
      <w:r w:rsidRPr="00663918">
        <w:rPr>
          <w:sz w:val="24"/>
          <w:szCs w:val="24"/>
        </w:rPr>
        <w:t xml:space="preserve"> tis. eur, ktorá sa rozpočtovými opatreniami </w:t>
      </w:r>
      <w:r>
        <w:rPr>
          <w:sz w:val="24"/>
          <w:szCs w:val="24"/>
        </w:rPr>
        <w:t>zvýšili</w:t>
      </w:r>
      <w:r w:rsidRPr="00663918">
        <w:rPr>
          <w:sz w:val="24"/>
          <w:szCs w:val="24"/>
        </w:rPr>
        <w:t xml:space="preserve"> o </w:t>
      </w:r>
      <w:r w:rsidR="00AA0772">
        <w:rPr>
          <w:sz w:val="24"/>
          <w:szCs w:val="24"/>
        </w:rPr>
        <w:t>sumu 771 </w:t>
      </w:r>
      <w:r w:rsidRPr="00B138D3">
        <w:rPr>
          <w:sz w:val="24"/>
          <w:szCs w:val="24"/>
        </w:rPr>
        <w:t>325 tis. eur na 3</w:t>
      </w:r>
      <w:r w:rsidR="00AA0772">
        <w:rPr>
          <w:sz w:val="24"/>
          <w:szCs w:val="24"/>
        </w:rPr>
        <w:t> </w:t>
      </w:r>
      <w:r w:rsidRPr="00B138D3">
        <w:rPr>
          <w:sz w:val="24"/>
          <w:szCs w:val="24"/>
        </w:rPr>
        <w:t>898</w:t>
      </w:r>
      <w:r w:rsidR="00AA0772">
        <w:rPr>
          <w:sz w:val="24"/>
          <w:szCs w:val="24"/>
        </w:rPr>
        <w:t> </w:t>
      </w:r>
      <w:r w:rsidRPr="00B138D3">
        <w:rPr>
          <w:sz w:val="24"/>
          <w:szCs w:val="24"/>
        </w:rPr>
        <w:t>559 tis</w:t>
      </w:r>
      <w:r w:rsidRPr="00663918">
        <w:rPr>
          <w:sz w:val="24"/>
          <w:szCs w:val="24"/>
        </w:rPr>
        <w:t xml:space="preserve">. eur. Skutočné </w:t>
      </w:r>
      <w:r w:rsidRPr="00006284">
        <w:rPr>
          <w:sz w:val="24"/>
          <w:szCs w:val="24"/>
        </w:rPr>
        <w:t xml:space="preserve">čerpanie dosiahlo </w:t>
      </w:r>
      <w:r w:rsidR="00AA0772">
        <w:rPr>
          <w:sz w:val="24"/>
          <w:szCs w:val="24"/>
        </w:rPr>
        <w:t>3 838 </w:t>
      </w:r>
      <w:r>
        <w:rPr>
          <w:sz w:val="24"/>
          <w:szCs w:val="24"/>
        </w:rPr>
        <w:t>138</w:t>
      </w:r>
      <w:r w:rsidRPr="00663918">
        <w:rPr>
          <w:sz w:val="24"/>
          <w:szCs w:val="24"/>
        </w:rPr>
        <w:t> tis. eur a</w:t>
      </w:r>
      <w:r>
        <w:rPr>
          <w:sz w:val="24"/>
          <w:szCs w:val="24"/>
        </w:rPr>
        <w:t xml:space="preserve"> </w:t>
      </w:r>
      <w:r w:rsidRPr="00663918">
        <w:rPr>
          <w:sz w:val="24"/>
          <w:szCs w:val="24"/>
        </w:rPr>
        <w:t xml:space="preserve">oproti predchádzajúcemu </w:t>
      </w:r>
      <w:r>
        <w:rPr>
          <w:sz w:val="24"/>
          <w:szCs w:val="24"/>
        </w:rPr>
        <w:t>roku bolo nižšie o</w:t>
      </w:r>
      <w:r w:rsidR="00AA0772">
        <w:rPr>
          <w:sz w:val="24"/>
          <w:szCs w:val="24"/>
        </w:rPr>
        <w:t> </w:t>
      </w:r>
      <w:r>
        <w:rPr>
          <w:sz w:val="24"/>
          <w:szCs w:val="24"/>
        </w:rPr>
        <w:t>876</w:t>
      </w:r>
      <w:r w:rsidR="00AA0772">
        <w:rPr>
          <w:sz w:val="24"/>
          <w:szCs w:val="24"/>
        </w:rPr>
        <w:t> </w:t>
      </w:r>
      <w:r>
        <w:rPr>
          <w:sz w:val="24"/>
          <w:szCs w:val="24"/>
        </w:rPr>
        <w:t>017 tis. </w:t>
      </w:r>
      <w:r w:rsidRPr="00663918">
        <w:rPr>
          <w:sz w:val="24"/>
          <w:szCs w:val="24"/>
        </w:rPr>
        <w:t xml:space="preserve">eur. Podstatné zmeny v upravenom rozpočte vznikli v dôsledku </w:t>
      </w:r>
      <w:r>
        <w:rPr>
          <w:sz w:val="24"/>
          <w:szCs w:val="24"/>
        </w:rPr>
        <w:t>aplikácie dôsledného monitoringu plnenia rozpočtu a v prípade potreby využitia</w:t>
      </w:r>
      <w:r w:rsidRPr="00663918">
        <w:rPr>
          <w:sz w:val="24"/>
          <w:szCs w:val="24"/>
        </w:rPr>
        <w:t xml:space="preserve"> </w:t>
      </w:r>
      <w:r w:rsidR="00AA0772">
        <w:rPr>
          <w:sz w:val="24"/>
          <w:szCs w:val="24"/>
        </w:rPr>
        <w:t>§ </w:t>
      </w:r>
      <w:r>
        <w:rPr>
          <w:sz w:val="24"/>
          <w:szCs w:val="24"/>
        </w:rPr>
        <w:t>17 ods.</w:t>
      </w:r>
      <w:r w:rsidR="00AA0772">
        <w:rPr>
          <w:sz w:val="24"/>
          <w:szCs w:val="24"/>
        </w:rPr>
        <w:t> </w:t>
      </w:r>
      <w:r>
        <w:rPr>
          <w:sz w:val="24"/>
          <w:szCs w:val="24"/>
        </w:rPr>
        <w:t xml:space="preserve">4, ktorý povoľuje prekročiť limit výdavkov o určité zdroje (napr. prenesené výdavky z minulého obdobia) alebo </w:t>
      </w:r>
      <w:r w:rsidRPr="00663918">
        <w:rPr>
          <w:sz w:val="24"/>
          <w:szCs w:val="24"/>
        </w:rPr>
        <w:t>§</w:t>
      </w:r>
      <w:r w:rsidR="00AA0772">
        <w:rPr>
          <w:sz w:val="24"/>
          <w:szCs w:val="24"/>
        </w:rPr>
        <w:t> </w:t>
      </w:r>
      <w:r w:rsidRPr="00663918">
        <w:rPr>
          <w:sz w:val="24"/>
          <w:szCs w:val="24"/>
        </w:rPr>
        <w:t xml:space="preserve">8 </w:t>
      </w:r>
      <w:r>
        <w:rPr>
          <w:sz w:val="24"/>
          <w:szCs w:val="24"/>
        </w:rPr>
        <w:t>ods.</w:t>
      </w:r>
      <w:r w:rsidR="00AA0772">
        <w:rPr>
          <w:sz w:val="24"/>
          <w:szCs w:val="24"/>
        </w:rPr>
        <w:t> </w:t>
      </w:r>
      <w:r>
        <w:rPr>
          <w:sz w:val="24"/>
          <w:szCs w:val="24"/>
        </w:rPr>
        <w:t xml:space="preserve">6 </w:t>
      </w:r>
      <w:r w:rsidRPr="00663918">
        <w:rPr>
          <w:sz w:val="24"/>
          <w:szCs w:val="24"/>
        </w:rPr>
        <w:t>zákona o rozpočtových pravidlác</w:t>
      </w:r>
      <w:r>
        <w:rPr>
          <w:sz w:val="24"/>
          <w:szCs w:val="24"/>
        </w:rPr>
        <w:t xml:space="preserve">h, ktorý naopak umožňuje viazanie nepoužitých prostriedkov z EU, štátneho rozpočtu určených na spolufinancovanie spoločných </w:t>
      </w:r>
      <w:r>
        <w:rPr>
          <w:sz w:val="24"/>
          <w:szCs w:val="24"/>
        </w:rPr>
        <w:lastRenderedPageBreak/>
        <w:t>programov SR a EU a ďalšie špecifikované zdroje prostriedkov do nasledujúceho obdobia (popis vplyvu prenesených výdavkov štátneho roz</w:t>
      </w:r>
      <w:r w:rsidR="00AA0772">
        <w:rPr>
          <w:sz w:val="24"/>
          <w:szCs w:val="24"/>
        </w:rPr>
        <w:t>počtu je uvedené v kapitole 2).</w:t>
      </w:r>
    </w:p>
    <w:p w14:paraId="42C2AF4B" w14:textId="1E0D4AAC" w:rsidR="00702372" w:rsidRPr="00702372" w:rsidRDefault="00702372" w:rsidP="00587214">
      <w:pPr>
        <w:pStyle w:val="Popis"/>
        <w:keepNext/>
        <w:spacing w:after="120"/>
        <w:rPr>
          <w:rFonts w:eastAsia="Times New Roman" w:cs="Times New Roman"/>
          <w:b/>
          <w:bCs/>
          <w:i w:val="0"/>
          <w:iCs w:val="0"/>
          <w:color w:val="5B9BD5"/>
          <w:sz w:val="20"/>
          <w:szCs w:val="20"/>
          <w:lang w:eastAsia="sk-SK"/>
        </w:rPr>
      </w:pPr>
      <w:bookmarkStart w:id="123" w:name="_Toc196389281"/>
      <w:bookmarkStart w:id="124" w:name="_Toc196313660"/>
      <w:r w:rsidRPr="00702372">
        <w:rPr>
          <w:rFonts w:eastAsia="Times New Roman" w:cs="Times New Roman"/>
          <w:b/>
          <w:bCs/>
          <w:i w:val="0"/>
          <w:iCs w:val="0"/>
          <w:color w:val="5B9BD5"/>
          <w:sz w:val="20"/>
          <w:szCs w:val="20"/>
          <w:lang w:eastAsia="sk-SK"/>
        </w:rPr>
        <w:t xml:space="preserve">Tabuľka </w:t>
      </w:r>
      <w:r w:rsidRPr="00702372">
        <w:rPr>
          <w:rFonts w:eastAsia="Times New Roman" w:cs="Times New Roman"/>
          <w:b/>
          <w:bCs/>
          <w:i w:val="0"/>
          <w:iCs w:val="0"/>
          <w:color w:val="5B9BD5"/>
          <w:sz w:val="20"/>
          <w:szCs w:val="20"/>
          <w:lang w:eastAsia="sk-SK"/>
        </w:rPr>
        <w:fldChar w:fldCharType="begin"/>
      </w:r>
      <w:r w:rsidRPr="00702372">
        <w:rPr>
          <w:rFonts w:eastAsia="Times New Roman" w:cs="Times New Roman"/>
          <w:b/>
          <w:bCs/>
          <w:i w:val="0"/>
          <w:iCs w:val="0"/>
          <w:color w:val="5B9BD5"/>
          <w:sz w:val="20"/>
          <w:szCs w:val="20"/>
          <w:lang w:eastAsia="sk-SK"/>
        </w:rPr>
        <w:instrText xml:space="preserve"> SEQ Tabuľka \* ARABIC </w:instrText>
      </w:r>
      <w:r w:rsidRPr="00702372">
        <w:rPr>
          <w:rFonts w:eastAsia="Times New Roman" w:cs="Times New Roman"/>
          <w:b/>
          <w:bCs/>
          <w:i w:val="0"/>
          <w:iCs w:val="0"/>
          <w:color w:val="5B9BD5"/>
          <w:sz w:val="20"/>
          <w:szCs w:val="20"/>
          <w:lang w:eastAsia="sk-SK"/>
        </w:rPr>
        <w:fldChar w:fldCharType="separate"/>
      </w:r>
      <w:r w:rsidR="00C64CBA">
        <w:rPr>
          <w:rFonts w:eastAsia="Times New Roman" w:cs="Times New Roman"/>
          <w:b/>
          <w:bCs/>
          <w:i w:val="0"/>
          <w:iCs w:val="0"/>
          <w:noProof/>
          <w:color w:val="5B9BD5"/>
          <w:sz w:val="20"/>
          <w:szCs w:val="20"/>
          <w:lang w:eastAsia="sk-SK"/>
        </w:rPr>
        <w:t>34</w:t>
      </w:r>
      <w:r w:rsidRPr="00702372">
        <w:rPr>
          <w:rFonts w:eastAsia="Times New Roman" w:cs="Times New Roman"/>
          <w:b/>
          <w:bCs/>
          <w:i w:val="0"/>
          <w:iCs w:val="0"/>
          <w:color w:val="5B9BD5"/>
          <w:sz w:val="20"/>
          <w:szCs w:val="20"/>
          <w:lang w:eastAsia="sk-SK"/>
        </w:rPr>
        <w:fldChar w:fldCharType="end"/>
      </w:r>
      <w:r w:rsidRPr="00702372">
        <w:rPr>
          <w:rFonts w:eastAsia="Times New Roman" w:cs="Times New Roman"/>
          <w:b/>
          <w:bCs/>
          <w:i w:val="0"/>
          <w:iCs w:val="0"/>
          <w:color w:val="5B9BD5"/>
          <w:sz w:val="20"/>
          <w:szCs w:val="20"/>
          <w:lang w:eastAsia="sk-SK"/>
        </w:rPr>
        <w:t xml:space="preserve"> - Kapitálové výdavky štátneho rozpočtu</w:t>
      </w:r>
      <w:bookmarkEnd w:id="123"/>
      <w:r w:rsidRPr="00702372">
        <w:rPr>
          <w:rFonts w:eastAsia="Times New Roman" w:cs="Times New Roman"/>
          <w:b/>
          <w:bCs/>
          <w:i w:val="0"/>
          <w:iCs w:val="0"/>
          <w:color w:val="5B9BD5"/>
          <w:sz w:val="20"/>
          <w:szCs w:val="20"/>
          <w:lang w:eastAsia="sk-SK"/>
        </w:rPr>
        <w:t xml:space="preserve"> </w:t>
      </w:r>
      <w:bookmarkEnd w:id="124"/>
    </w:p>
    <w:tbl>
      <w:tblPr>
        <w:tblW w:w="5000" w:type="pct"/>
        <w:tblCellMar>
          <w:left w:w="70" w:type="dxa"/>
          <w:right w:w="70" w:type="dxa"/>
        </w:tblCellMar>
        <w:tblLook w:val="04A0" w:firstRow="1" w:lastRow="0" w:firstColumn="1" w:lastColumn="0" w:noHBand="0" w:noVBand="1"/>
      </w:tblPr>
      <w:tblGrid>
        <w:gridCol w:w="3865"/>
        <w:gridCol w:w="916"/>
        <w:gridCol w:w="1072"/>
        <w:gridCol w:w="1013"/>
        <w:gridCol w:w="1032"/>
        <w:gridCol w:w="1032"/>
      </w:tblGrid>
      <w:tr w:rsidR="004D69BF" w:rsidRPr="00D73F08" w14:paraId="1C2BCE86" w14:textId="77777777" w:rsidTr="00963B72">
        <w:trPr>
          <w:trHeight w:val="330"/>
          <w:tblHeader/>
        </w:trPr>
        <w:tc>
          <w:tcPr>
            <w:tcW w:w="2164" w:type="pct"/>
            <w:vMerge w:val="restart"/>
            <w:tcBorders>
              <w:top w:val="single" w:sz="4" w:space="0" w:color="auto"/>
              <w:left w:val="nil"/>
              <w:bottom w:val="single" w:sz="8" w:space="0" w:color="000000"/>
              <w:right w:val="nil"/>
            </w:tcBorders>
            <w:shd w:val="clear" w:color="auto" w:fill="auto"/>
            <w:vAlign w:val="center"/>
            <w:hideMark/>
          </w:tcPr>
          <w:p w14:paraId="1F32BCDD" w14:textId="77777777" w:rsidR="004D69BF" w:rsidRPr="00D73F08" w:rsidRDefault="004D69BF" w:rsidP="000240DA">
            <w:pPr>
              <w:spacing w:after="0" w:line="240" w:lineRule="auto"/>
              <w:jc w:val="left"/>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v tis. eur</w:t>
            </w:r>
            <w:r w:rsidRPr="00D73F08">
              <w:rPr>
                <w:rFonts w:ascii="Arial Narrow" w:eastAsia="Times New Roman" w:hAnsi="Arial Narrow" w:cs="Times New Roman"/>
                <w:b/>
                <w:bCs/>
                <w:color w:val="000000"/>
                <w:sz w:val="18"/>
                <w:szCs w:val="18"/>
                <w:lang w:eastAsia="sk-SK"/>
              </w:rPr>
              <w:t> </w:t>
            </w:r>
          </w:p>
        </w:tc>
        <w:tc>
          <w:tcPr>
            <w:tcW w:w="513" w:type="pct"/>
            <w:tcBorders>
              <w:top w:val="single" w:sz="4" w:space="0" w:color="auto"/>
              <w:left w:val="nil"/>
              <w:bottom w:val="nil"/>
              <w:right w:val="nil"/>
            </w:tcBorders>
            <w:shd w:val="clear" w:color="auto" w:fill="auto"/>
            <w:vAlign w:val="center"/>
            <w:hideMark/>
          </w:tcPr>
          <w:p w14:paraId="7884385B" w14:textId="77777777" w:rsidR="004D69BF" w:rsidRPr="00D73F08" w:rsidRDefault="004D69BF" w:rsidP="000240DA">
            <w:pPr>
              <w:spacing w:after="0" w:line="240" w:lineRule="auto"/>
              <w:jc w:val="center"/>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2022 S</w:t>
            </w:r>
          </w:p>
        </w:tc>
        <w:tc>
          <w:tcPr>
            <w:tcW w:w="600" w:type="pct"/>
            <w:tcBorders>
              <w:top w:val="single" w:sz="4" w:space="0" w:color="auto"/>
              <w:left w:val="nil"/>
              <w:bottom w:val="nil"/>
              <w:right w:val="nil"/>
            </w:tcBorders>
            <w:shd w:val="clear" w:color="auto" w:fill="auto"/>
            <w:vAlign w:val="center"/>
            <w:hideMark/>
          </w:tcPr>
          <w:p w14:paraId="0373059B" w14:textId="77777777" w:rsidR="004D69BF" w:rsidRPr="00D73F08" w:rsidRDefault="004D69BF" w:rsidP="000240DA">
            <w:pPr>
              <w:spacing w:after="0" w:line="240" w:lineRule="auto"/>
              <w:jc w:val="center"/>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2023 S</w:t>
            </w:r>
          </w:p>
        </w:tc>
        <w:tc>
          <w:tcPr>
            <w:tcW w:w="567" w:type="pct"/>
            <w:tcBorders>
              <w:top w:val="single" w:sz="4" w:space="0" w:color="auto"/>
              <w:left w:val="nil"/>
              <w:bottom w:val="nil"/>
              <w:right w:val="nil"/>
            </w:tcBorders>
            <w:shd w:val="clear" w:color="auto" w:fill="auto"/>
            <w:vAlign w:val="center"/>
            <w:hideMark/>
          </w:tcPr>
          <w:p w14:paraId="6EAAB93D" w14:textId="77777777" w:rsidR="004D69BF" w:rsidRPr="00D73F08" w:rsidRDefault="004D69BF" w:rsidP="000240DA">
            <w:pPr>
              <w:spacing w:after="0" w:line="240" w:lineRule="auto"/>
              <w:jc w:val="center"/>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2024 R</w:t>
            </w:r>
          </w:p>
        </w:tc>
        <w:tc>
          <w:tcPr>
            <w:tcW w:w="578" w:type="pct"/>
            <w:tcBorders>
              <w:top w:val="single" w:sz="4" w:space="0" w:color="auto"/>
              <w:left w:val="nil"/>
              <w:bottom w:val="nil"/>
              <w:right w:val="nil"/>
            </w:tcBorders>
            <w:shd w:val="clear" w:color="auto" w:fill="auto"/>
            <w:vAlign w:val="center"/>
            <w:hideMark/>
          </w:tcPr>
          <w:p w14:paraId="26914043" w14:textId="77777777" w:rsidR="004D69BF" w:rsidRPr="00D73F08" w:rsidRDefault="004D69BF" w:rsidP="000240DA">
            <w:pPr>
              <w:spacing w:after="0" w:line="240" w:lineRule="auto"/>
              <w:jc w:val="center"/>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2024 S</w:t>
            </w:r>
          </w:p>
        </w:tc>
        <w:tc>
          <w:tcPr>
            <w:tcW w:w="578" w:type="pct"/>
            <w:tcBorders>
              <w:top w:val="single" w:sz="4" w:space="0" w:color="auto"/>
              <w:left w:val="nil"/>
              <w:bottom w:val="nil"/>
              <w:right w:val="nil"/>
            </w:tcBorders>
            <w:shd w:val="clear" w:color="auto" w:fill="auto"/>
            <w:vAlign w:val="center"/>
            <w:hideMark/>
          </w:tcPr>
          <w:p w14:paraId="2D5B21C8" w14:textId="77777777" w:rsidR="004D69BF" w:rsidRPr="00D73F08" w:rsidRDefault="004D69BF" w:rsidP="000240DA">
            <w:pPr>
              <w:spacing w:after="0" w:line="240" w:lineRule="auto"/>
              <w:jc w:val="center"/>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Rozdiel</w:t>
            </w:r>
          </w:p>
        </w:tc>
      </w:tr>
      <w:tr w:rsidR="004D69BF" w:rsidRPr="00D73F08" w14:paraId="66D76CEB" w14:textId="77777777" w:rsidTr="00963B72">
        <w:trPr>
          <w:trHeight w:val="345"/>
          <w:tblHeader/>
        </w:trPr>
        <w:tc>
          <w:tcPr>
            <w:tcW w:w="2164" w:type="pct"/>
            <w:vMerge/>
            <w:tcBorders>
              <w:top w:val="nil"/>
              <w:left w:val="nil"/>
              <w:bottom w:val="single" w:sz="4" w:space="0" w:color="auto"/>
              <w:right w:val="nil"/>
            </w:tcBorders>
            <w:vAlign w:val="center"/>
            <w:hideMark/>
          </w:tcPr>
          <w:p w14:paraId="579EAE7D" w14:textId="77777777" w:rsidR="004D69BF" w:rsidRPr="00D73F08" w:rsidRDefault="004D69BF" w:rsidP="000240DA">
            <w:pPr>
              <w:spacing w:after="0" w:line="240" w:lineRule="auto"/>
              <w:jc w:val="left"/>
              <w:rPr>
                <w:rFonts w:eastAsia="Times New Roman" w:cs="Times New Roman"/>
                <w:b/>
                <w:bCs/>
                <w:color w:val="000000"/>
                <w:sz w:val="18"/>
                <w:szCs w:val="18"/>
                <w:lang w:eastAsia="sk-SK"/>
              </w:rPr>
            </w:pPr>
          </w:p>
        </w:tc>
        <w:tc>
          <w:tcPr>
            <w:tcW w:w="513" w:type="pct"/>
            <w:tcBorders>
              <w:top w:val="nil"/>
              <w:left w:val="nil"/>
              <w:bottom w:val="single" w:sz="4" w:space="0" w:color="auto"/>
              <w:right w:val="nil"/>
            </w:tcBorders>
            <w:shd w:val="clear" w:color="auto" w:fill="auto"/>
            <w:vAlign w:val="center"/>
            <w:hideMark/>
          </w:tcPr>
          <w:p w14:paraId="7D98DA02" w14:textId="77777777" w:rsidR="004D69BF" w:rsidRPr="00D73F08" w:rsidRDefault="004D69BF" w:rsidP="000240DA">
            <w:pPr>
              <w:spacing w:after="0" w:line="240" w:lineRule="auto"/>
              <w:jc w:val="center"/>
              <w:rPr>
                <w:rFonts w:eastAsia="Times New Roman" w:cs="Times New Roman"/>
                <w:b/>
                <w:bCs/>
                <w:color w:val="000000"/>
                <w:sz w:val="18"/>
                <w:szCs w:val="18"/>
                <w:lang w:eastAsia="sk-SK"/>
              </w:rPr>
            </w:pPr>
            <w:r>
              <w:rPr>
                <w:rFonts w:eastAsia="Times New Roman" w:cs="Times New Roman"/>
                <w:b/>
                <w:bCs/>
                <w:color w:val="000000"/>
                <w:sz w:val="18"/>
                <w:szCs w:val="18"/>
                <w:lang w:eastAsia="sk-SK"/>
              </w:rPr>
              <w:t>1</w:t>
            </w:r>
          </w:p>
        </w:tc>
        <w:tc>
          <w:tcPr>
            <w:tcW w:w="600" w:type="pct"/>
            <w:tcBorders>
              <w:top w:val="nil"/>
              <w:left w:val="nil"/>
              <w:bottom w:val="single" w:sz="4" w:space="0" w:color="auto"/>
              <w:right w:val="nil"/>
            </w:tcBorders>
            <w:shd w:val="clear" w:color="auto" w:fill="auto"/>
            <w:vAlign w:val="center"/>
            <w:hideMark/>
          </w:tcPr>
          <w:p w14:paraId="6BF06E71" w14:textId="77777777" w:rsidR="004D69BF" w:rsidRPr="00D73F08" w:rsidRDefault="004D69BF" w:rsidP="000240DA">
            <w:pPr>
              <w:spacing w:after="0" w:line="240" w:lineRule="auto"/>
              <w:jc w:val="center"/>
              <w:rPr>
                <w:rFonts w:eastAsia="Times New Roman" w:cs="Times New Roman"/>
                <w:b/>
                <w:bCs/>
                <w:color w:val="000000"/>
                <w:sz w:val="18"/>
                <w:szCs w:val="18"/>
                <w:lang w:eastAsia="sk-SK"/>
              </w:rPr>
            </w:pPr>
            <w:r>
              <w:rPr>
                <w:rFonts w:eastAsia="Times New Roman" w:cs="Times New Roman"/>
                <w:b/>
                <w:bCs/>
                <w:color w:val="000000"/>
                <w:sz w:val="18"/>
                <w:szCs w:val="18"/>
                <w:lang w:eastAsia="sk-SK"/>
              </w:rPr>
              <w:t>2</w:t>
            </w:r>
          </w:p>
        </w:tc>
        <w:tc>
          <w:tcPr>
            <w:tcW w:w="567" w:type="pct"/>
            <w:tcBorders>
              <w:top w:val="nil"/>
              <w:left w:val="nil"/>
              <w:bottom w:val="single" w:sz="4" w:space="0" w:color="auto"/>
              <w:right w:val="nil"/>
            </w:tcBorders>
            <w:shd w:val="clear" w:color="auto" w:fill="auto"/>
            <w:vAlign w:val="center"/>
            <w:hideMark/>
          </w:tcPr>
          <w:p w14:paraId="01C9DEAA" w14:textId="77777777" w:rsidR="004D69BF" w:rsidRPr="00D73F08" w:rsidRDefault="004D69BF" w:rsidP="000240DA">
            <w:pPr>
              <w:spacing w:after="0" w:line="240" w:lineRule="auto"/>
              <w:jc w:val="center"/>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3</w:t>
            </w:r>
          </w:p>
        </w:tc>
        <w:tc>
          <w:tcPr>
            <w:tcW w:w="578" w:type="pct"/>
            <w:tcBorders>
              <w:top w:val="nil"/>
              <w:left w:val="nil"/>
              <w:bottom w:val="single" w:sz="4" w:space="0" w:color="auto"/>
              <w:right w:val="nil"/>
            </w:tcBorders>
            <w:shd w:val="clear" w:color="auto" w:fill="auto"/>
            <w:vAlign w:val="center"/>
            <w:hideMark/>
          </w:tcPr>
          <w:p w14:paraId="386FCBBE" w14:textId="77777777" w:rsidR="004D69BF" w:rsidRPr="00D73F08" w:rsidRDefault="004D69BF" w:rsidP="000240DA">
            <w:pPr>
              <w:spacing w:after="0" w:line="240" w:lineRule="auto"/>
              <w:jc w:val="center"/>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4</w:t>
            </w:r>
          </w:p>
        </w:tc>
        <w:tc>
          <w:tcPr>
            <w:tcW w:w="578" w:type="pct"/>
            <w:tcBorders>
              <w:top w:val="nil"/>
              <w:left w:val="nil"/>
              <w:bottom w:val="single" w:sz="4" w:space="0" w:color="auto"/>
              <w:right w:val="nil"/>
            </w:tcBorders>
            <w:shd w:val="clear" w:color="auto" w:fill="auto"/>
            <w:vAlign w:val="center"/>
            <w:hideMark/>
          </w:tcPr>
          <w:p w14:paraId="33E80368" w14:textId="77777777" w:rsidR="004D69BF" w:rsidRPr="00D73F08" w:rsidRDefault="004D69BF" w:rsidP="000240DA">
            <w:pPr>
              <w:spacing w:after="0" w:line="240" w:lineRule="auto"/>
              <w:jc w:val="center"/>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5=4-3</w:t>
            </w:r>
          </w:p>
        </w:tc>
      </w:tr>
      <w:tr w:rsidR="004D69BF" w:rsidRPr="00D73F08" w14:paraId="113C5782" w14:textId="77777777" w:rsidTr="00963B72">
        <w:trPr>
          <w:trHeight w:hRule="exact" w:val="289"/>
        </w:trPr>
        <w:tc>
          <w:tcPr>
            <w:tcW w:w="2164" w:type="pct"/>
            <w:tcBorders>
              <w:top w:val="single" w:sz="4" w:space="0" w:color="auto"/>
              <w:left w:val="nil"/>
              <w:bottom w:val="nil"/>
              <w:right w:val="nil"/>
            </w:tcBorders>
            <w:shd w:val="clear" w:color="auto" w:fill="auto"/>
            <w:vAlign w:val="center"/>
            <w:hideMark/>
          </w:tcPr>
          <w:p w14:paraId="717A5FCA" w14:textId="77777777" w:rsidR="004D69BF" w:rsidRPr="00D73F08" w:rsidRDefault="004D69BF" w:rsidP="000240DA">
            <w:pPr>
              <w:spacing w:after="0" w:line="240" w:lineRule="auto"/>
              <w:jc w:val="left"/>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Obstarávanie kapitálových aktív</w:t>
            </w:r>
          </w:p>
        </w:tc>
        <w:tc>
          <w:tcPr>
            <w:tcW w:w="513" w:type="pct"/>
            <w:tcBorders>
              <w:top w:val="single" w:sz="4" w:space="0" w:color="auto"/>
              <w:left w:val="nil"/>
              <w:bottom w:val="nil"/>
              <w:right w:val="nil"/>
            </w:tcBorders>
            <w:shd w:val="clear" w:color="auto" w:fill="auto"/>
            <w:noWrap/>
            <w:vAlign w:val="center"/>
            <w:hideMark/>
          </w:tcPr>
          <w:p w14:paraId="7EB9C236" w14:textId="77777777" w:rsidR="004D69BF" w:rsidRPr="00D73F08" w:rsidRDefault="004D69BF" w:rsidP="000240DA">
            <w:pPr>
              <w:spacing w:after="0" w:line="240" w:lineRule="auto"/>
              <w:jc w:val="right"/>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1 183 010</w:t>
            </w:r>
          </w:p>
        </w:tc>
        <w:tc>
          <w:tcPr>
            <w:tcW w:w="600" w:type="pct"/>
            <w:tcBorders>
              <w:top w:val="single" w:sz="4" w:space="0" w:color="auto"/>
              <w:left w:val="nil"/>
              <w:bottom w:val="nil"/>
              <w:right w:val="nil"/>
            </w:tcBorders>
            <w:shd w:val="clear" w:color="auto" w:fill="auto"/>
            <w:noWrap/>
            <w:vAlign w:val="center"/>
            <w:hideMark/>
          </w:tcPr>
          <w:p w14:paraId="375C9F4F" w14:textId="77777777" w:rsidR="004D69BF" w:rsidRPr="00D73F08" w:rsidRDefault="004D69BF" w:rsidP="000240DA">
            <w:pPr>
              <w:spacing w:after="0" w:line="240" w:lineRule="auto"/>
              <w:jc w:val="right"/>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1 433 149</w:t>
            </w:r>
          </w:p>
        </w:tc>
        <w:tc>
          <w:tcPr>
            <w:tcW w:w="567" w:type="pct"/>
            <w:tcBorders>
              <w:top w:val="single" w:sz="4" w:space="0" w:color="auto"/>
              <w:left w:val="nil"/>
              <w:bottom w:val="nil"/>
              <w:right w:val="nil"/>
            </w:tcBorders>
            <w:shd w:val="clear" w:color="auto" w:fill="auto"/>
            <w:noWrap/>
            <w:vAlign w:val="center"/>
            <w:hideMark/>
          </w:tcPr>
          <w:p w14:paraId="77585FC1" w14:textId="6801DA7D" w:rsidR="004D69BF" w:rsidRPr="00B138D3" w:rsidRDefault="004D69BF" w:rsidP="00303898">
            <w:pPr>
              <w:spacing w:after="0" w:line="240" w:lineRule="auto"/>
              <w:jc w:val="right"/>
              <w:rPr>
                <w:rFonts w:eastAsia="Times New Roman" w:cs="Times New Roman"/>
                <w:b/>
                <w:bCs/>
                <w:sz w:val="18"/>
                <w:szCs w:val="18"/>
                <w:lang w:eastAsia="sk-SK"/>
              </w:rPr>
            </w:pPr>
            <w:r w:rsidRPr="00B138D3">
              <w:rPr>
                <w:rFonts w:eastAsia="Times New Roman" w:cs="Times New Roman"/>
                <w:b/>
                <w:bCs/>
                <w:sz w:val="18"/>
                <w:szCs w:val="18"/>
                <w:lang w:eastAsia="sk-SK"/>
              </w:rPr>
              <w:t>2 086 20</w:t>
            </w:r>
            <w:r w:rsidR="00303898">
              <w:rPr>
                <w:rFonts w:eastAsia="Times New Roman" w:cs="Times New Roman"/>
                <w:b/>
                <w:bCs/>
                <w:sz w:val="18"/>
                <w:szCs w:val="18"/>
                <w:lang w:eastAsia="sk-SK"/>
              </w:rPr>
              <w:t>2</w:t>
            </w:r>
          </w:p>
        </w:tc>
        <w:tc>
          <w:tcPr>
            <w:tcW w:w="578" w:type="pct"/>
            <w:tcBorders>
              <w:top w:val="single" w:sz="4" w:space="0" w:color="auto"/>
              <w:left w:val="nil"/>
              <w:bottom w:val="nil"/>
              <w:right w:val="nil"/>
            </w:tcBorders>
            <w:shd w:val="clear" w:color="auto" w:fill="auto"/>
            <w:noWrap/>
            <w:vAlign w:val="center"/>
            <w:hideMark/>
          </w:tcPr>
          <w:p w14:paraId="145E68F3" w14:textId="15538E30" w:rsidR="004D69BF" w:rsidRPr="00B138D3" w:rsidRDefault="004D69BF" w:rsidP="00303898">
            <w:pPr>
              <w:spacing w:after="0" w:line="240" w:lineRule="auto"/>
              <w:jc w:val="right"/>
              <w:rPr>
                <w:rFonts w:eastAsia="Times New Roman" w:cs="Times New Roman"/>
                <w:b/>
                <w:bCs/>
                <w:sz w:val="18"/>
                <w:szCs w:val="18"/>
                <w:lang w:eastAsia="sk-SK"/>
              </w:rPr>
            </w:pPr>
            <w:r w:rsidRPr="00B138D3">
              <w:rPr>
                <w:rFonts w:eastAsia="Times New Roman" w:cs="Times New Roman"/>
                <w:b/>
                <w:bCs/>
                <w:sz w:val="18"/>
                <w:szCs w:val="18"/>
                <w:lang w:eastAsia="sk-SK"/>
              </w:rPr>
              <w:t>1 435 55</w:t>
            </w:r>
            <w:r w:rsidR="00303898">
              <w:rPr>
                <w:rFonts w:eastAsia="Times New Roman" w:cs="Times New Roman"/>
                <w:b/>
                <w:bCs/>
                <w:sz w:val="18"/>
                <w:szCs w:val="18"/>
                <w:lang w:eastAsia="sk-SK"/>
              </w:rPr>
              <w:t>8</w:t>
            </w:r>
          </w:p>
        </w:tc>
        <w:tc>
          <w:tcPr>
            <w:tcW w:w="578" w:type="pct"/>
            <w:tcBorders>
              <w:top w:val="single" w:sz="4" w:space="0" w:color="auto"/>
              <w:left w:val="nil"/>
              <w:bottom w:val="nil"/>
              <w:right w:val="nil"/>
            </w:tcBorders>
            <w:shd w:val="clear" w:color="auto" w:fill="auto"/>
            <w:noWrap/>
            <w:vAlign w:val="center"/>
            <w:hideMark/>
          </w:tcPr>
          <w:p w14:paraId="04ECF33E" w14:textId="46700235" w:rsidR="004D69BF" w:rsidRPr="00B138D3" w:rsidRDefault="004D69BF" w:rsidP="00303898">
            <w:pPr>
              <w:spacing w:after="0" w:line="240" w:lineRule="auto"/>
              <w:jc w:val="right"/>
              <w:rPr>
                <w:rFonts w:eastAsia="Times New Roman" w:cs="Times New Roman"/>
                <w:b/>
                <w:bCs/>
                <w:sz w:val="18"/>
                <w:szCs w:val="18"/>
                <w:lang w:eastAsia="sk-SK"/>
              </w:rPr>
            </w:pPr>
            <w:r w:rsidRPr="00B138D3">
              <w:rPr>
                <w:rFonts w:eastAsia="Times New Roman" w:cs="Times New Roman"/>
                <w:b/>
                <w:bCs/>
                <w:sz w:val="18"/>
                <w:szCs w:val="18"/>
                <w:lang w:eastAsia="sk-SK"/>
              </w:rPr>
              <w:t>-650 64</w:t>
            </w:r>
            <w:r w:rsidR="00303898">
              <w:rPr>
                <w:rFonts w:eastAsia="Times New Roman" w:cs="Times New Roman"/>
                <w:b/>
                <w:bCs/>
                <w:sz w:val="18"/>
                <w:szCs w:val="18"/>
                <w:lang w:eastAsia="sk-SK"/>
              </w:rPr>
              <w:t>4</w:t>
            </w:r>
          </w:p>
        </w:tc>
      </w:tr>
      <w:tr w:rsidR="004D69BF" w:rsidRPr="00D73F08" w14:paraId="494F8E48" w14:textId="77777777" w:rsidTr="00963B72">
        <w:trPr>
          <w:trHeight w:hRule="exact" w:val="289"/>
        </w:trPr>
        <w:tc>
          <w:tcPr>
            <w:tcW w:w="2164" w:type="pct"/>
            <w:tcBorders>
              <w:top w:val="nil"/>
              <w:left w:val="nil"/>
              <w:bottom w:val="nil"/>
              <w:right w:val="nil"/>
            </w:tcBorders>
            <w:shd w:val="clear" w:color="auto" w:fill="auto"/>
            <w:vAlign w:val="center"/>
            <w:hideMark/>
          </w:tcPr>
          <w:p w14:paraId="52F5E2BA" w14:textId="77777777" w:rsidR="004D69BF" w:rsidRPr="00D73F08" w:rsidRDefault="004D69BF" w:rsidP="000240DA">
            <w:pPr>
              <w:spacing w:after="0" w:line="240" w:lineRule="auto"/>
              <w:jc w:val="left"/>
              <w:rPr>
                <w:rFonts w:eastAsia="Times New Roman" w:cs="Times New Roman"/>
                <w:color w:val="000000"/>
                <w:sz w:val="18"/>
                <w:szCs w:val="18"/>
                <w:lang w:eastAsia="sk-SK"/>
              </w:rPr>
            </w:pPr>
            <w:r w:rsidRPr="00D73F08">
              <w:rPr>
                <w:rFonts w:eastAsia="Times New Roman" w:cs="Times New Roman"/>
                <w:color w:val="000000"/>
                <w:sz w:val="18"/>
                <w:szCs w:val="18"/>
                <w:lang w:eastAsia="sk-SK"/>
              </w:rPr>
              <w:t xml:space="preserve">  nákup strojov, prístrojov, zariadení, techniky</w:t>
            </w:r>
          </w:p>
        </w:tc>
        <w:tc>
          <w:tcPr>
            <w:tcW w:w="513" w:type="pct"/>
            <w:tcBorders>
              <w:top w:val="nil"/>
              <w:left w:val="nil"/>
              <w:bottom w:val="nil"/>
              <w:right w:val="nil"/>
            </w:tcBorders>
            <w:shd w:val="clear" w:color="auto" w:fill="auto"/>
            <w:noWrap/>
            <w:vAlign w:val="center"/>
            <w:hideMark/>
          </w:tcPr>
          <w:p w14:paraId="3E07E4DE"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251 175</w:t>
            </w:r>
          </w:p>
        </w:tc>
        <w:tc>
          <w:tcPr>
            <w:tcW w:w="600" w:type="pct"/>
            <w:tcBorders>
              <w:top w:val="nil"/>
              <w:left w:val="nil"/>
              <w:bottom w:val="nil"/>
              <w:right w:val="nil"/>
            </w:tcBorders>
            <w:shd w:val="clear" w:color="auto" w:fill="auto"/>
            <w:noWrap/>
            <w:vAlign w:val="center"/>
            <w:hideMark/>
          </w:tcPr>
          <w:p w14:paraId="4FE3F6AF"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500 408</w:t>
            </w:r>
          </w:p>
        </w:tc>
        <w:tc>
          <w:tcPr>
            <w:tcW w:w="567" w:type="pct"/>
            <w:tcBorders>
              <w:top w:val="nil"/>
              <w:left w:val="nil"/>
              <w:bottom w:val="nil"/>
              <w:right w:val="nil"/>
            </w:tcBorders>
            <w:shd w:val="clear" w:color="auto" w:fill="auto"/>
            <w:noWrap/>
            <w:vAlign w:val="center"/>
            <w:hideMark/>
          </w:tcPr>
          <w:p w14:paraId="777B6FD6"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558 159</w:t>
            </w:r>
          </w:p>
        </w:tc>
        <w:tc>
          <w:tcPr>
            <w:tcW w:w="578" w:type="pct"/>
            <w:tcBorders>
              <w:top w:val="nil"/>
              <w:left w:val="nil"/>
              <w:bottom w:val="nil"/>
              <w:right w:val="nil"/>
            </w:tcBorders>
            <w:shd w:val="clear" w:color="auto" w:fill="auto"/>
            <w:noWrap/>
            <w:vAlign w:val="center"/>
            <w:hideMark/>
          </w:tcPr>
          <w:p w14:paraId="557E63E5"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530 983</w:t>
            </w:r>
          </w:p>
        </w:tc>
        <w:tc>
          <w:tcPr>
            <w:tcW w:w="578" w:type="pct"/>
            <w:tcBorders>
              <w:top w:val="nil"/>
              <w:left w:val="nil"/>
              <w:bottom w:val="nil"/>
              <w:right w:val="nil"/>
            </w:tcBorders>
            <w:shd w:val="clear" w:color="auto" w:fill="auto"/>
            <w:noWrap/>
            <w:vAlign w:val="center"/>
            <w:hideMark/>
          </w:tcPr>
          <w:p w14:paraId="6CCB2B78"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-27 176</w:t>
            </w:r>
          </w:p>
        </w:tc>
      </w:tr>
      <w:tr w:rsidR="004D69BF" w:rsidRPr="00D73F08" w14:paraId="09030623" w14:textId="77777777" w:rsidTr="00963B72">
        <w:trPr>
          <w:trHeight w:hRule="exact" w:val="289"/>
        </w:trPr>
        <w:tc>
          <w:tcPr>
            <w:tcW w:w="2164" w:type="pct"/>
            <w:tcBorders>
              <w:top w:val="nil"/>
              <w:left w:val="nil"/>
              <w:bottom w:val="nil"/>
              <w:right w:val="nil"/>
            </w:tcBorders>
            <w:shd w:val="clear" w:color="auto" w:fill="auto"/>
            <w:vAlign w:val="center"/>
            <w:hideMark/>
          </w:tcPr>
          <w:p w14:paraId="0C124B62" w14:textId="77777777" w:rsidR="004D69BF" w:rsidRPr="00D73F08" w:rsidRDefault="004D69BF" w:rsidP="000240DA">
            <w:pPr>
              <w:spacing w:after="0" w:line="240" w:lineRule="auto"/>
              <w:jc w:val="left"/>
              <w:rPr>
                <w:rFonts w:eastAsia="Times New Roman" w:cs="Times New Roman"/>
                <w:color w:val="000000"/>
                <w:sz w:val="18"/>
                <w:szCs w:val="18"/>
                <w:lang w:eastAsia="sk-SK"/>
              </w:rPr>
            </w:pPr>
            <w:r w:rsidRPr="00D73F08">
              <w:rPr>
                <w:rFonts w:eastAsia="Times New Roman" w:cs="Times New Roman"/>
                <w:color w:val="000000"/>
                <w:sz w:val="18"/>
                <w:szCs w:val="18"/>
                <w:lang w:eastAsia="sk-SK"/>
              </w:rPr>
              <w:t xml:space="preserve">  nákup dopravných prostriedkov</w:t>
            </w:r>
          </w:p>
        </w:tc>
        <w:tc>
          <w:tcPr>
            <w:tcW w:w="513" w:type="pct"/>
            <w:tcBorders>
              <w:top w:val="nil"/>
              <w:left w:val="nil"/>
              <w:bottom w:val="nil"/>
              <w:right w:val="nil"/>
            </w:tcBorders>
            <w:shd w:val="clear" w:color="auto" w:fill="auto"/>
            <w:noWrap/>
            <w:vAlign w:val="center"/>
            <w:hideMark/>
          </w:tcPr>
          <w:p w14:paraId="34E29F4E"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581 026</w:t>
            </w:r>
          </w:p>
        </w:tc>
        <w:tc>
          <w:tcPr>
            <w:tcW w:w="600" w:type="pct"/>
            <w:tcBorders>
              <w:top w:val="nil"/>
              <w:left w:val="nil"/>
              <w:bottom w:val="nil"/>
              <w:right w:val="nil"/>
            </w:tcBorders>
            <w:shd w:val="clear" w:color="auto" w:fill="auto"/>
            <w:noWrap/>
            <w:vAlign w:val="center"/>
            <w:hideMark/>
          </w:tcPr>
          <w:p w14:paraId="75064FB8"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310 454</w:t>
            </w:r>
          </w:p>
        </w:tc>
        <w:tc>
          <w:tcPr>
            <w:tcW w:w="567" w:type="pct"/>
            <w:tcBorders>
              <w:top w:val="nil"/>
              <w:left w:val="nil"/>
              <w:bottom w:val="nil"/>
              <w:right w:val="nil"/>
            </w:tcBorders>
            <w:shd w:val="clear" w:color="auto" w:fill="auto"/>
            <w:noWrap/>
            <w:vAlign w:val="center"/>
            <w:hideMark/>
          </w:tcPr>
          <w:p w14:paraId="0E2D44A0"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336 243</w:t>
            </w:r>
          </w:p>
        </w:tc>
        <w:tc>
          <w:tcPr>
            <w:tcW w:w="578" w:type="pct"/>
            <w:tcBorders>
              <w:top w:val="nil"/>
              <w:left w:val="nil"/>
              <w:bottom w:val="nil"/>
              <w:right w:val="nil"/>
            </w:tcBorders>
            <w:shd w:val="clear" w:color="auto" w:fill="auto"/>
            <w:noWrap/>
            <w:vAlign w:val="center"/>
            <w:hideMark/>
          </w:tcPr>
          <w:p w14:paraId="79AE6E7C"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357 558</w:t>
            </w:r>
          </w:p>
        </w:tc>
        <w:tc>
          <w:tcPr>
            <w:tcW w:w="578" w:type="pct"/>
            <w:tcBorders>
              <w:top w:val="nil"/>
              <w:left w:val="nil"/>
              <w:bottom w:val="nil"/>
              <w:right w:val="nil"/>
            </w:tcBorders>
            <w:shd w:val="clear" w:color="auto" w:fill="auto"/>
            <w:noWrap/>
            <w:vAlign w:val="center"/>
            <w:hideMark/>
          </w:tcPr>
          <w:p w14:paraId="33D18C60"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21 315</w:t>
            </w:r>
          </w:p>
        </w:tc>
      </w:tr>
      <w:tr w:rsidR="004D69BF" w:rsidRPr="00D73F08" w14:paraId="7F22287C" w14:textId="77777777" w:rsidTr="00963B72">
        <w:trPr>
          <w:trHeight w:hRule="exact" w:val="289"/>
        </w:trPr>
        <w:tc>
          <w:tcPr>
            <w:tcW w:w="2164" w:type="pct"/>
            <w:tcBorders>
              <w:top w:val="nil"/>
              <w:left w:val="nil"/>
              <w:bottom w:val="nil"/>
              <w:right w:val="nil"/>
            </w:tcBorders>
            <w:shd w:val="clear" w:color="auto" w:fill="auto"/>
            <w:vAlign w:val="center"/>
            <w:hideMark/>
          </w:tcPr>
          <w:p w14:paraId="540F1639" w14:textId="77777777" w:rsidR="004D69BF" w:rsidRPr="00D73F08" w:rsidRDefault="004D69BF" w:rsidP="000240DA">
            <w:pPr>
              <w:spacing w:after="0" w:line="240" w:lineRule="auto"/>
              <w:jc w:val="left"/>
              <w:rPr>
                <w:rFonts w:eastAsia="Times New Roman" w:cs="Times New Roman"/>
                <w:color w:val="000000"/>
                <w:sz w:val="18"/>
                <w:szCs w:val="18"/>
                <w:lang w:eastAsia="sk-SK"/>
              </w:rPr>
            </w:pPr>
            <w:r w:rsidRPr="00D73F08">
              <w:rPr>
                <w:rFonts w:eastAsia="Times New Roman" w:cs="Times New Roman"/>
                <w:color w:val="000000"/>
                <w:sz w:val="18"/>
                <w:szCs w:val="18"/>
                <w:lang w:eastAsia="sk-SK"/>
              </w:rPr>
              <w:t xml:space="preserve">  realizácia stavieb a ich technického zhodnotenia</w:t>
            </w:r>
          </w:p>
        </w:tc>
        <w:tc>
          <w:tcPr>
            <w:tcW w:w="513" w:type="pct"/>
            <w:tcBorders>
              <w:top w:val="nil"/>
              <w:left w:val="nil"/>
              <w:bottom w:val="nil"/>
              <w:right w:val="nil"/>
            </w:tcBorders>
            <w:shd w:val="clear" w:color="auto" w:fill="auto"/>
            <w:noWrap/>
            <w:vAlign w:val="center"/>
            <w:hideMark/>
          </w:tcPr>
          <w:p w14:paraId="61D47AAC"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163 331</w:t>
            </w:r>
          </w:p>
        </w:tc>
        <w:tc>
          <w:tcPr>
            <w:tcW w:w="600" w:type="pct"/>
            <w:tcBorders>
              <w:top w:val="nil"/>
              <w:left w:val="nil"/>
              <w:bottom w:val="nil"/>
              <w:right w:val="nil"/>
            </w:tcBorders>
            <w:shd w:val="clear" w:color="auto" w:fill="auto"/>
            <w:noWrap/>
            <w:vAlign w:val="center"/>
            <w:hideMark/>
          </w:tcPr>
          <w:p w14:paraId="2F72FCE4"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314 795</w:t>
            </w:r>
          </w:p>
        </w:tc>
        <w:tc>
          <w:tcPr>
            <w:tcW w:w="567" w:type="pct"/>
            <w:tcBorders>
              <w:top w:val="nil"/>
              <w:left w:val="nil"/>
              <w:bottom w:val="nil"/>
              <w:right w:val="nil"/>
            </w:tcBorders>
            <w:shd w:val="clear" w:color="auto" w:fill="auto"/>
            <w:noWrap/>
            <w:vAlign w:val="center"/>
            <w:hideMark/>
          </w:tcPr>
          <w:p w14:paraId="695C7996"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657 863</w:t>
            </w:r>
          </w:p>
        </w:tc>
        <w:tc>
          <w:tcPr>
            <w:tcW w:w="578" w:type="pct"/>
            <w:tcBorders>
              <w:top w:val="nil"/>
              <w:left w:val="nil"/>
              <w:bottom w:val="nil"/>
              <w:right w:val="nil"/>
            </w:tcBorders>
            <w:shd w:val="clear" w:color="auto" w:fill="auto"/>
            <w:noWrap/>
            <w:vAlign w:val="center"/>
            <w:hideMark/>
          </w:tcPr>
          <w:p w14:paraId="1BB169A1"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241 607</w:t>
            </w:r>
          </w:p>
        </w:tc>
        <w:tc>
          <w:tcPr>
            <w:tcW w:w="578" w:type="pct"/>
            <w:tcBorders>
              <w:top w:val="nil"/>
              <w:left w:val="nil"/>
              <w:bottom w:val="nil"/>
              <w:right w:val="nil"/>
            </w:tcBorders>
            <w:shd w:val="clear" w:color="auto" w:fill="auto"/>
            <w:noWrap/>
            <w:vAlign w:val="center"/>
            <w:hideMark/>
          </w:tcPr>
          <w:p w14:paraId="002DFBD1"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-416 256</w:t>
            </w:r>
          </w:p>
        </w:tc>
      </w:tr>
      <w:tr w:rsidR="004D69BF" w:rsidRPr="00D73F08" w14:paraId="7EC64D19" w14:textId="77777777" w:rsidTr="00963B72">
        <w:trPr>
          <w:trHeight w:hRule="exact" w:val="289"/>
        </w:trPr>
        <w:tc>
          <w:tcPr>
            <w:tcW w:w="2164" w:type="pct"/>
            <w:tcBorders>
              <w:top w:val="nil"/>
              <w:left w:val="nil"/>
              <w:bottom w:val="nil"/>
              <w:right w:val="nil"/>
            </w:tcBorders>
            <w:shd w:val="clear" w:color="auto" w:fill="auto"/>
            <w:vAlign w:val="center"/>
            <w:hideMark/>
          </w:tcPr>
          <w:p w14:paraId="5C7819A7" w14:textId="77777777" w:rsidR="004D69BF" w:rsidRPr="00D73F08" w:rsidRDefault="004D69BF" w:rsidP="000240DA">
            <w:pPr>
              <w:spacing w:after="0" w:line="240" w:lineRule="auto"/>
              <w:jc w:val="left"/>
              <w:rPr>
                <w:rFonts w:eastAsia="Times New Roman" w:cs="Times New Roman"/>
                <w:color w:val="000000"/>
                <w:sz w:val="18"/>
                <w:szCs w:val="18"/>
                <w:lang w:eastAsia="sk-SK"/>
              </w:rPr>
            </w:pPr>
            <w:r w:rsidRPr="00D73F08">
              <w:rPr>
                <w:rFonts w:eastAsia="Times New Roman" w:cs="Times New Roman"/>
                <w:color w:val="000000"/>
                <w:sz w:val="18"/>
                <w:szCs w:val="18"/>
                <w:lang w:eastAsia="sk-SK"/>
              </w:rPr>
              <w:t xml:space="preserve">  nákup budov, objektov a ich častí</w:t>
            </w:r>
          </w:p>
        </w:tc>
        <w:tc>
          <w:tcPr>
            <w:tcW w:w="513" w:type="pct"/>
            <w:tcBorders>
              <w:top w:val="nil"/>
              <w:left w:val="nil"/>
              <w:bottom w:val="nil"/>
              <w:right w:val="nil"/>
            </w:tcBorders>
            <w:shd w:val="clear" w:color="auto" w:fill="auto"/>
            <w:noWrap/>
            <w:vAlign w:val="center"/>
            <w:hideMark/>
          </w:tcPr>
          <w:p w14:paraId="067D0698"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12 298</w:t>
            </w:r>
          </w:p>
        </w:tc>
        <w:tc>
          <w:tcPr>
            <w:tcW w:w="600" w:type="pct"/>
            <w:tcBorders>
              <w:top w:val="nil"/>
              <w:left w:val="nil"/>
              <w:bottom w:val="nil"/>
              <w:right w:val="nil"/>
            </w:tcBorders>
            <w:shd w:val="clear" w:color="auto" w:fill="auto"/>
            <w:noWrap/>
            <w:vAlign w:val="center"/>
            <w:hideMark/>
          </w:tcPr>
          <w:p w14:paraId="0572B06A"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21 671</w:t>
            </w:r>
          </w:p>
        </w:tc>
        <w:tc>
          <w:tcPr>
            <w:tcW w:w="567" w:type="pct"/>
            <w:tcBorders>
              <w:top w:val="nil"/>
              <w:left w:val="nil"/>
              <w:bottom w:val="nil"/>
              <w:right w:val="nil"/>
            </w:tcBorders>
            <w:shd w:val="clear" w:color="auto" w:fill="auto"/>
            <w:noWrap/>
            <w:vAlign w:val="center"/>
            <w:hideMark/>
          </w:tcPr>
          <w:p w14:paraId="1BE69905"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65 857</w:t>
            </w:r>
          </w:p>
        </w:tc>
        <w:tc>
          <w:tcPr>
            <w:tcW w:w="578" w:type="pct"/>
            <w:tcBorders>
              <w:top w:val="nil"/>
              <w:left w:val="nil"/>
              <w:bottom w:val="nil"/>
              <w:right w:val="nil"/>
            </w:tcBorders>
            <w:shd w:val="clear" w:color="auto" w:fill="auto"/>
            <w:noWrap/>
            <w:vAlign w:val="center"/>
            <w:hideMark/>
          </w:tcPr>
          <w:p w14:paraId="7889055E"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127 595</w:t>
            </w:r>
          </w:p>
        </w:tc>
        <w:tc>
          <w:tcPr>
            <w:tcW w:w="578" w:type="pct"/>
            <w:tcBorders>
              <w:top w:val="nil"/>
              <w:left w:val="nil"/>
              <w:bottom w:val="nil"/>
              <w:right w:val="nil"/>
            </w:tcBorders>
            <w:shd w:val="clear" w:color="auto" w:fill="auto"/>
            <w:noWrap/>
            <w:vAlign w:val="center"/>
            <w:hideMark/>
          </w:tcPr>
          <w:p w14:paraId="3B9FDBF6"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61 738</w:t>
            </w:r>
          </w:p>
        </w:tc>
      </w:tr>
      <w:tr w:rsidR="004D69BF" w:rsidRPr="00D73F08" w14:paraId="11CCF57F" w14:textId="77777777" w:rsidTr="00963B72">
        <w:trPr>
          <w:trHeight w:hRule="exact" w:val="289"/>
        </w:trPr>
        <w:tc>
          <w:tcPr>
            <w:tcW w:w="2164" w:type="pct"/>
            <w:tcBorders>
              <w:top w:val="nil"/>
              <w:left w:val="nil"/>
              <w:bottom w:val="nil"/>
              <w:right w:val="nil"/>
            </w:tcBorders>
            <w:shd w:val="clear" w:color="auto" w:fill="auto"/>
            <w:vAlign w:val="center"/>
            <w:hideMark/>
          </w:tcPr>
          <w:p w14:paraId="1888A508" w14:textId="77777777" w:rsidR="004D69BF" w:rsidRPr="00D73F08" w:rsidRDefault="004D69BF" w:rsidP="000240DA">
            <w:pPr>
              <w:spacing w:after="0" w:line="240" w:lineRule="auto"/>
              <w:jc w:val="left"/>
              <w:rPr>
                <w:rFonts w:eastAsia="Times New Roman" w:cs="Times New Roman"/>
                <w:color w:val="000000"/>
                <w:sz w:val="18"/>
                <w:szCs w:val="18"/>
                <w:lang w:eastAsia="sk-SK"/>
              </w:rPr>
            </w:pPr>
            <w:r w:rsidRPr="00D73F08">
              <w:rPr>
                <w:rFonts w:eastAsia="Times New Roman" w:cs="Times New Roman"/>
                <w:color w:val="000000"/>
                <w:sz w:val="18"/>
                <w:szCs w:val="18"/>
                <w:lang w:eastAsia="sk-SK"/>
              </w:rPr>
              <w:t xml:space="preserve">  rekonštrukcia a modernizácia strojov a zariadení</w:t>
            </w:r>
          </w:p>
        </w:tc>
        <w:tc>
          <w:tcPr>
            <w:tcW w:w="513" w:type="pct"/>
            <w:tcBorders>
              <w:top w:val="nil"/>
              <w:left w:val="nil"/>
              <w:bottom w:val="nil"/>
              <w:right w:val="nil"/>
            </w:tcBorders>
            <w:shd w:val="clear" w:color="auto" w:fill="auto"/>
            <w:noWrap/>
            <w:vAlign w:val="center"/>
            <w:hideMark/>
          </w:tcPr>
          <w:p w14:paraId="4D2FDB94"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w:t>
            </w:r>
          </w:p>
        </w:tc>
        <w:tc>
          <w:tcPr>
            <w:tcW w:w="600" w:type="pct"/>
            <w:tcBorders>
              <w:top w:val="nil"/>
              <w:left w:val="nil"/>
              <w:bottom w:val="nil"/>
              <w:right w:val="nil"/>
            </w:tcBorders>
            <w:shd w:val="clear" w:color="auto" w:fill="auto"/>
            <w:noWrap/>
            <w:vAlign w:val="center"/>
            <w:hideMark/>
          </w:tcPr>
          <w:p w14:paraId="40079508"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105 715</w:t>
            </w:r>
          </w:p>
        </w:tc>
        <w:tc>
          <w:tcPr>
            <w:tcW w:w="567" w:type="pct"/>
            <w:tcBorders>
              <w:top w:val="nil"/>
              <w:left w:val="nil"/>
              <w:bottom w:val="nil"/>
              <w:right w:val="nil"/>
            </w:tcBorders>
            <w:shd w:val="clear" w:color="auto" w:fill="auto"/>
            <w:noWrap/>
            <w:vAlign w:val="center"/>
            <w:hideMark/>
          </w:tcPr>
          <w:p w14:paraId="7DED2CB1"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84 684</w:t>
            </w:r>
          </w:p>
        </w:tc>
        <w:tc>
          <w:tcPr>
            <w:tcW w:w="578" w:type="pct"/>
            <w:tcBorders>
              <w:top w:val="nil"/>
              <w:left w:val="nil"/>
              <w:bottom w:val="nil"/>
              <w:right w:val="nil"/>
            </w:tcBorders>
            <w:shd w:val="clear" w:color="auto" w:fill="auto"/>
            <w:noWrap/>
            <w:vAlign w:val="center"/>
            <w:hideMark/>
          </w:tcPr>
          <w:p w14:paraId="0ED88BDF"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90 697</w:t>
            </w:r>
          </w:p>
        </w:tc>
        <w:tc>
          <w:tcPr>
            <w:tcW w:w="578" w:type="pct"/>
            <w:tcBorders>
              <w:top w:val="nil"/>
              <w:left w:val="nil"/>
              <w:bottom w:val="nil"/>
              <w:right w:val="nil"/>
            </w:tcBorders>
            <w:shd w:val="clear" w:color="auto" w:fill="auto"/>
            <w:noWrap/>
            <w:vAlign w:val="center"/>
            <w:hideMark/>
          </w:tcPr>
          <w:p w14:paraId="247AB05F"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6 013</w:t>
            </w:r>
          </w:p>
        </w:tc>
      </w:tr>
      <w:tr w:rsidR="004D69BF" w:rsidRPr="00D73F08" w14:paraId="32F07D17" w14:textId="77777777" w:rsidTr="00963B72">
        <w:trPr>
          <w:trHeight w:hRule="exact" w:val="289"/>
        </w:trPr>
        <w:tc>
          <w:tcPr>
            <w:tcW w:w="2164" w:type="pct"/>
            <w:tcBorders>
              <w:top w:val="nil"/>
              <w:left w:val="nil"/>
              <w:bottom w:val="nil"/>
              <w:right w:val="nil"/>
            </w:tcBorders>
            <w:shd w:val="clear" w:color="auto" w:fill="auto"/>
            <w:vAlign w:val="center"/>
            <w:hideMark/>
          </w:tcPr>
          <w:p w14:paraId="7EF2B976" w14:textId="77777777" w:rsidR="004D69BF" w:rsidRPr="00D73F08" w:rsidRDefault="004D69BF" w:rsidP="000240DA">
            <w:pPr>
              <w:spacing w:after="0" w:line="240" w:lineRule="auto"/>
              <w:jc w:val="left"/>
              <w:rPr>
                <w:rFonts w:eastAsia="Times New Roman" w:cs="Times New Roman"/>
                <w:color w:val="000000"/>
                <w:sz w:val="18"/>
                <w:szCs w:val="18"/>
                <w:lang w:eastAsia="sk-SK"/>
              </w:rPr>
            </w:pPr>
            <w:r w:rsidRPr="00D73F08">
              <w:rPr>
                <w:rFonts w:eastAsia="Times New Roman" w:cs="Times New Roman"/>
                <w:color w:val="000000"/>
                <w:sz w:val="18"/>
                <w:szCs w:val="18"/>
                <w:lang w:eastAsia="sk-SK"/>
              </w:rPr>
              <w:t xml:space="preserve">  nákup pozemkov a nehmotných aktív</w:t>
            </w:r>
          </w:p>
        </w:tc>
        <w:tc>
          <w:tcPr>
            <w:tcW w:w="513" w:type="pct"/>
            <w:tcBorders>
              <w:top w:val="nil"/>
              <w:left w:val="nil"/>
              <w:bottom w:val="nil"/>
              <w:right w:val="nil"/>
            </w:tcBorders>
            <w:shd w:val="clear" w:color="auto" w:fill="auto"/>
            <w:noWrap/>
            <w:vAlign w:val="center"/>
            <w:hideMark/>
          </w:tcPr>
          <w:p w14:paraId="40C1EA24"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64 679</w:t>
            </w:r>
          </w:p>
        </w:tc>
        <w:tc>
          <w:tcPr>
            <w:tcW w:w="600" w:type="pct"/>
            <w:tcBorders>
              <w:top w:val="nil"/>
              <w:left w:val="nil"/>
              <w:bottom w:val="nil"/>
              <w:right w:val="nil"/>
            </w:tcBorders>
            <w:shd w:val="clear" w:color="auto" w:fill="auto"/>
            <w:noWrap/>
            <w:vAlign w:val="center"/>
            <w:hideMark/>
          </w:tcPr>
          <w:p w14:paraId="6A402DBC"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148 002</w:t>
            </w:r>
          </w:p>
        </w:tc>
        <w:tc>
          <w:tcPr>
            <w:tcW w:w="567" w:type="pct"/>
            <w:tcBorders>
              <w:top w:val="nil"/>
              <w:left w:val="nil"/>
              <w:bottom w:val="nil"/>
              <w:right w:val="nil"/>
            </w:tcBorders>
            <w:shd w:val="clear" w:color="auto" w:fill="auto"/>
            <w:noWrap/>
            <w:vAlign w:val="center"/>
            <w:hideMark/>
          </w:tcPr>
          <w:p w14:paraId="3B276A27"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47 471</w:t>
            </w:r>
          </w:p>
        </w:tc>
        <w:tc>
          <w:tcPr>
            <w:tcW w:w="578" w:type="pct"/>
            <w:tcBorders>
              <w:top w:val="nil"/>
              <w:left w:val="nil"/>
              <w:bottom w:val="nil"/>
              <w:right w:val="nil"/>
            </w:tcBorders>
            <w:shd w:val="clear" w:color="auto" w:fill="auto"/>
            <w:noWrap/>
            <w:vAlign w:val="center"/>
            <w:hideMark/>
          </w:tcPr>
          <w:p w14:paraId="7220205F"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52 242</w:t>
            </w:r>
          </w:p>
        </w:tc>
        <w:tc>
          <w:tcPr>
            <w:tcW w:w="578" w:type="pct"/>
            <w:tcBorders>
              <w:top w:val="nil"/>
              <w:left w:val="nil"/>
              <w:bottom w:val="nil"/>
              <w:right w:val="nil"/>
            </w:tcBorders>
            <w:shd w:val="clear" w:color="auto" w:fill="auto"/>
            <w:noWrap/>
            <w:vAlign w:val="center"/>
            <w:hideMark/>
          </w:tcPr>
          <w:p w14:paraId="5586E448"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4 771</w:t>
            </w:r>
          </w:p>
        </w:tc>
      </w:tr>
      <w:tr w:rsidR="004D69BF" w:rsidRPr="00D73F08" w14:paraId="71A20EFC" w14:textId="77777777" w:rsidTr="00963B72">
        <w:trPr>
          <w:trHeight w:hRule="exact" w:val="289"/>
        </w:trPr>
        <w:tc>
          <w:tcPr>
            <w:tcW w:w="2164" w:type="pct"/>
            <w:tcBorders>
              <w:top w:val="nil"/>
              <w:left w:val="nil"/>
              <w:bottom w:val="nil"/>
              <w:right w:val="nil"/>
            </w:tcBorders>
            <w:shd w:val="clear" w:color="auto" w:fill="auto"/>
            <w:vAlign w:val="center"/>
            <w:hideMark/>
          </w:tcPr>
          <w:p w14:paraId="4EFBBA84" w14:textId="77777777" w:rsidR="004D69BF" w:rsidRPr="00D73F08" w:rsidRDefault="004D69BF" w:rsidP="000240DA">
            <w:pPr>
              <w:spacing w:after="0" w:line="240" w:lineRule="auto"/>
              <w:jc w:val="left"/>
              <w:rPr>
                <w:rFonts w:eastAsia="Times New Roman" w:cs="Times New Roman"/>
                <w:color w:val="000000"/>
                <w:sz w:val="18"/>
                <w:szCs w:val="18"/>
                <w:lang w:eastAsia="sk-SK"/>
              </w:rPr>
            </w:pPr>
            <w:r w:rsidRPr="00D73F08">
              <w:rPr>
                <w:rFonts w:eastAsia="Times New Roman" w:cs="Times New Roman"/>
                <w:color w:val="000000"/>
                <w:sz w:val="18"/>
                <w:szCs w:val="18"/>
                <w:lang w:eastAsia="sk-SK"/>
              </w:rPr>
              <w:t xml:space="preserve">  ost</w:t>
            </w:r>
            <w:r>
              <w:rPr>
                <w:rFonts w:eastAsia="Times New Roman" w:cs="Times New Roman"/>
                <w:color w:val="000000"/>
                <w:sz w:val="18"/>
                <w:szCs w:val="18"/>
                <w:lang w:eastAsia="sk-SK"/>
              </w:rPr>
              <w:t>atné</w:t>
            </w:r>
            <w:r w:rsidRPr="00D73F08">
              <w:rPr>
                <w:rFonts w:eastAsia="Times New Roman" w:cs="Times New Roman"/>
                <w:color w:val="000000"/>
                <w:sz w:val="18"/>
                <w:szCs w:val="18"/>
                <w:lang w:eastAsia="sk-SK"/>
              </w:rPr>
              <w:t xml:space="preserve"> kapitálové výdavky </w:t>
            </w:r>
          </w:p>
        </w:tc>
        <w:tc>
          <w:tcPr>
            <w:tcW w:w="513" w:type="pct"/>
            <w:tcBorders>
              <w:top w:val="nil"/>
              <w:left w:val="nil"/>
              <w:bottom w:val="nil"/>
              <w:right w:val="nil"/>
            </w:tcBorders>
            <w:shd w:val="clear" w:color="auto" w:fill="auto"/>
            <w:noWrap/>
            <w:vAlign w:val="center"/>
            <w:hideMark/>
          </w:tcPr>
          <w:p w14:paraId="2A2F27A8"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110 501</w:t>
            </w:r>
          </w:p>
        </w:tc>
        <w:tc>
          <w:tcPr>
            <w:tcW w:w="600" w:type="pct"/>
            <w:tcBorders>
              <w:top w:val="nil"/>
              <w:left w:val="nil"/>
              <w:bottom w:val="nil"/>
              <w:right w:val="nil"/>
            </w:tcBorders>
            <w:shd w:val="clear" w:color="auto" w:fill="auto"/>
            <w:noWrap/>
            <w:vAlign w:val="center"/>
            <w:hideMark/>
          </w:tcPr>
          <w:p w14:paraId="6E11195E"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32 104</w:t>
            </w:r>
          </w:p>
        </w:tc>
        <w:tc>
          <w:tcPr>
            <w:tcW w:w="567" w:type="pct"/>
            <w:tcBorders>
              <w:top w:val="nil"/>
              <w:left w:val="nil"/>
              <w:bottom w:val="nil"/>
              <w:right w:val="nil"/>
            </w:tcBorders>
            <w:shd w:val="clear" w:color="auto" w:fill="auto"/>
            <w:noWrap/>
            <w:vAlign w:val="center"/>
            <w:hideMark/>
          </w:tcPr>
          <w:p w14:paraId="210713FA"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335 925</w:t>
            </w:r>
          </w:p>
        </w:tc>
        <w:tc>
          <w:tcPr>
            <w:tcW w:w="578" w:type="pct"/>
            <w:tcBorders>
              <w:top w:val="nil"/>
              <w:left w:val="nil"/>
              <w:bottom w:val="nil"/>
              <w:right w:val="nil"/>
            </w:tcBorders>
            <w:shd w:val="clear" w:color="auto" w:fill="auto"/>
            <w:noWrap/>
            <w:vAlign w:val="center"/>
            <w:hideMark/>
          </w:tcPr>
          <w:p w14:paraId="279615CB"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34 876</w:t>
            </w:r>
          </w:p>
        </w:tc>
        <w:tc>
          <w:tcPr>
            <w:tcW w:w="578" w:type="pct"/>
            <w:tcBorders>
              <w:top w:val="nil"/>
              <w:left w:val="nil"/>
              <w:bottom w:val="nil"/>
              <w:right w:val="nil"/>
            </w:tcBorders>
            <w:shd w:val="clear" w:color="auto" w:fill="auto"/>
            <w:noWrap/>
            <w:vAlign w:val="center"/>
            <w:hideMark/>
          </w:tcPr>
          <w:p w14:paraId="43CEDA86"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-301 049</w:t>
            </w:r>
          </w:p>
        </w:tc>
      </w:tr>
      <w:tr w:rsidR="004D69BF" w:rsidRPr="00D73F08" w14:paraId="2E12AAAE" w14:textId="77777777" w:rsidTr="00963B72">
        <w:trPr>
          <w:trHeight w:hRule="exact" w:val="289"/>
        </w:trPr>
        <w:tc>
          <w:tcPr>
            <w:tcW w:w="2164" w:type="pct"/>
            <w:tcBorders>
              <w:top w:val="nil"/>
              <w:left w:val="nil"/>
              <w:bottom w:val="nil"/>
              <w:right w:val="nil"/>
            </w:tcBorders>
            <w:shd w:val="clear" w:color="auto" w:fill="auto"/>
            <w:vAlign w:val="center"/>
            <w:hideMark/>
          </w:tcPr>
          <w:p w14:paraId="7125BE3F" w14:textId="77777777" w:rsidR="004D69BF" w:rsidRPr="00D73F08" w:rsidRDefault="004D69BF" w:rsidP="000240DA">
            <w:pPr>
              <w:spacing w:after="0" w:line="240" w:lineRule="auto"/>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Kapitálové transfery</w:t>
            </w:r>
          </w:p>
        </w:tc>
        <w:tc>
          <w:tcPr>
            <w:tcW w:w="513" w:type="pct"/>
            <w:tcBorders>
              <w:top w:val="nil"/>
              <w:left w:val="nil"/>
              <w:bottom w:val="nil"/>
              <w:right w:val="nil"/>
            </w:tcBorders>
            <w:shd w:val="clear" w:color="auto" w:fill="auto"/>
            <w:noWrap/>
            <w:vAlign w:val="center"/>
            <w:hideMark/>
          </w:tcPr>
          <w:p w14:paraId="50007BE2" w14:textId="77777777" w:rsidR="004D69BF" w:rsidRPr="00D73F08" w:rsidRDefault="004D69BF" w:rsidP="000240DA">
            <w:pPr>
              <w:spacing w:after="0" w:line="240" w:lineRule="auto"/>
              <w:jc w:val="right"/>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1 523 995</w:t>
            </w:r>
          </w:p>
        </w:tc>
        <w:tc>
          <w:tcPr>
            <w:tcW w:w="600" w:type="pct"/>
            <w:tcBorders>
              <w:top w:val="nil"/>
              <w:left w:val="nil"/>
              <w:bottom w:val="nil"/>
              <w:right w:val="nil"/>
            </w:tcBorders>
            <w:shd w:val="clear" w:color="auto" w:fill="auto"/>
            <w:noWrap/>
            <w:vAlign w:val="center"/>
            <w:hideMark/>
          </w:tcPr>
          <w:p w14:paraId="3D9D76D3" w14:textId="77777777" w:rsidR="004D69BF" w:rsidRPr="00D73F08" w:rsidRDefault="004D69BF" w:rsidP="000240DA">
            <w:pPr>
              <w:spacing w:after="0" w:line="240" w:lineRule="auto"/>
              <w:jc w:val="right"/>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3 281 006</w:t>
            </w:r>
          </w:p>
        </w:tc>
        <w:tc>
          <w:tcPr>
            <w:tcW w:w="567" w:type="pct"/>
            <w:tcBorders>
              <w:top w:val="nil"/>
              <w:left w:val="nil"/>
              <w:bottom w:val="nil"/>
              <w:right w:val="nil"/>
            </w:tcBorders>
            <w:shd w:val="clear" w:color="auto" w:fill="auto"/>
            <w:noWrap/>
            <w:vAlign w:val="center"/>
            <w:hideMark/>
          </w:tcPr>
          <w:p w14:paraId="5CE461CE" w14:textId="77777777" w:rsidR="004D69BF" w:rsidRPr="00D73F08" w:rsidRDefault="004D69BF" w:rsidP="000240DA">
            <w:pPr>
              <w:spacing w:after="0" w:line="240" w:lineRule="auto"/>
              <w:jc w:val="right"/>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1 041 031</w:t>
            </w:r>
          </w:p>
        </w:tc>
        <w:tc>
          <w:tcPr>
            <w:tcW w:w="578" w:type="pct"/>
            <w:tcBorders>
              <w:top w:val="nil"/>
              <w:left w:val="nil"/>
              <w:bottom w:val="nil"/>
              <w:right w:val="nil"/>
            </w:tcBorders>
            <w:shd w:val="clear" w:color="auto" w:fill="auto"/>
            <w:noWrap/>
            <w:vAlign w:val="center"/>
            <w:hideMark/>
          </w:tcPr>
          <w:p w14:paraId="4088FDEB" w14:textId="77777777" w:rsidR="004D69BF" w:rsidRPr="00D73F08" w:rsidRDefault="004D69BF" w:rsidP="000240DA">
            <w:pPr>
              <w:spacing w:after="0" w:line="240" w:lineRule="auto"/>
              <w:jc w:val="right"/>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2 402 580</w:t>
            </w:r>
          </w:p>
        </w:tc>
        <w:tc>
          <w:tcPr>
            <w:tcW w:w="578" w:type="pct"/>
            <w:tcBorders>
              <w:top w:val="nil"/>
              <w:left w:val="nil"/>
              <w:bottom w:val="nil"/>
              <w:right w:val="nil"/>
            </w:tcBorders>
            <w:shd w:val="clear" w:color="auto" w:fill="auto"/>
            <w:noWrap/>
            <w:vAlign w:val="center"/>
            <w:hideMark/>
          </w:tcPr>
          <w:p w14:paraId="6281F14B" w14:textId="77777777" w:rsidR="004D69BF" w:rsidRPr="00D73F08" w:rsidRDefault="004D69BF" w:rsidP="000240DA">
            <w:pPr>
              <w:spacing w:after="0" w:line="240" w:lineRule="auto"/>
              <w:jc w:val="right"/>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1 361 549</w:t>
            </w:r>
          </w:p>
        </w:tc>
      </w:tr>
      <w:tr w:rsidR="004D69BF" w:rsidRPr="00D73F08" w14:paraId="407DDE72" w14:textId="77777777" w:rsidTr="00963B72">
        <w:trPr>
          <w:trHeight w:hRule="exact" w:val="289"/>
        </w:trPr>
        <w:tc>
          <w:tcPr>
            <w:tcW w:w="2164" w:type="pct"/>
            <w:tcBorders>
              <w:top w:val="nil"/>
              <w:left w:val="nil"/>
              <w:bottom w:val="nil"/>
              <w:right w:val="nil"/>
            </w:tcBorders>
            <w:shd w:val="clear" w:color="auto" w:fill="auto"/>
            <w:vAlign w:val="center"/>
            <w:hideMark/>
          </w:tcPr>
          <w:p w14:paraId="1D2AA649" w14:textId="77777777" w:rsidR="004D69BF" w:rsidRPr="00D73F08" w:rsidRDefault="004D69BF" w:rsidP="000240DA">
            <w:pPr>
              <w:spacing w:after="0" w:line="240" w:lineRule="auto"/>
              <w:jc w:val="left"/>
              <w:rPr>
                <w:rFonts w:eastAsia="Times New Roman" w:cs="Times New Roman"/>
                <w:color w:val="000000"/>
                <w:sz w:val="18"/>
                <w:szCs w:val="18"/>
                <w:lang w:eastAsia="sk-SK"/>
              </w:rPr>
            </w:pPr>
            <w:r w:rsidRPr="00D73F08">
              <w:rPr>
                <w:rFonts w:eastAsia="Times New Roman" w:cs="Times New Roman"/>
                <w:color w:val="000000"/>
                <w:sz w:val="18"/>
                <w:szCs w:val="18"/>
                <w:lang w:eastAsia="sk-SK"/>
              </w:rPr>
              <w:t xml:space="preserve">  v rámci verejnej správy</w:t>
            </w:r>
          </w:p>
        </w:tc>
        <w:tc>
          <w:tcPr>
            <w:tcW w:w="513" w:type="pct"/>
            <w:tcBorders>
              <w:top w:val="nil"/>
              <w:left w:val="nil"/>
              <w:bottom w:val="nil"/>
              <w:right w:val="nil"/>
            </w:tcBorders>
            <w:shd w:val="clear" w:color="auto" w:fill="auto"/>
            <w:noWrap/>
            <w:vAlign w:val="center"/>
            <w:hideMark/>
          </w:tcPr>
          <w:p w14:paraId="083A0688"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1 235 685</w:t>
            </w:r>
          </w:p>
        </w:tc>
        <w:tc>
          <w:tcPr>
            <w:tcW w:w="600" w:type="pct"/>
            <w:tcBorders>
              <w:top w:val="nil"/>
              <w:left w:val="nil"/>
              <w:bottom w:val="nil"/>
              <w:right w:val="nil"/>
            </w:tcBorders>
            <w:shd w:val="clear" w:color="auto" w:fill="auto"/>
            <w:noWrap/>
            <w:vAlign w:val="center"/>
            <w:hideMark/>
          </w:tcPr>
          <w:p w14:paraId="351931E0"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2 769 589</w:t>
            </w:r>
          </w:p>
        </w:tc>
        <w:tc>
          <w:tcPr>
            <w:tcW w:w="567" w:type="pct"/>
            <w:tcBorders>
              <w:top w:val="nil"/>
              <w:left w:val="nil"/>
              <w:bottom w:val="nil"/>
              <w:right w:val="nil"/>
            </w:tcBorders>
            <w:shd w:val="clear" w:color="auto" w:fill="auto"/>
            <w:noWrap/>
            <w:vAlign w:val="center"/>
            <w:hideMark/>
          </w:tcPr>
          <w:p w14:paraId="229B2722"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208 521</w:t>
            </w:r>
          </w:p>
        </w:tc>
        <w:tc>
          <w:tcPr>
            <w:tcW w:w="578" w:type="pct"/>
            <w:tcBorders>
              <w:top w:val="nil"/>
              <w:left w:val="nil"/>
              <w:bottom w:val="nil"/>
              <w:right w:val="nil"/>
            </w:tcBorders>
            <w:shd w:val="clear" w:color="auto" w:fill="auto"/>
            <w:noWrap/>
            <w:vAlign w:val="center"/>
            <w:hideMark/>
          </w:tcPr>
          <w:p w14:paraId="35390524"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1 800 489</w:t>
            </w:r>
          </w:p>
        </w:tc>
        <w:tc>
          <w:tcPr>
            <w:tcW w:w="578" w:type="pct"/>
            <w:tcBorders>
              <w:top w:val="nil"/>
              <w:left w:val="nil"/>
              <w:bottom w:val="nil"/>
              <w:right w:val="nil"/>
            </w:tcBorders>
            <w:shd w:val="clear" w:color="auto" w:fill="auto"/>
            <w:noWrap/>
            <w:vAlign w:val="center"/>
            <w:hideMark/>
          </w:tcPr>
          <w:p w14:paraId="6786FBFC"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1 591 968</w:t>
            </w:r>
          </w:p>
        </w:tc>
      </w:tr>
      <w:tr w:rsidR="004D69BF" w:rsidRPr="00D73F08" w14:paraId="2C9648FF" w14:textId="77777777" w:rsidTr="00963B72">
        <w:trPr>
          <w:trHeight w:hRule="exact" w:val="289"/>
        </w:trPr>
        <w:tc>
          <w:tcPr>
            <w:tcW w:w="2164" w:type="pct"/>
            <w:tcBorders>
              <w:top w:val="nil"/>
              <w:left w:val="nil"/>
              <w:bottom w:val="nil"/>
              <w:right w:val="nil"/>
            </w:tcBorders>
            <w:shd w:val="clear" w:color="auto" w:fill="auto"/>
            <w:vAlign w:val="center"/>
            <w:hideMark/>
          </w:tcPr>
          <w:p w14:paraId="37CB8478" w14:textId="77777777" w:rsidR="004D69BF" w:rsidRPr="00D73F08" w:rsidRDefault="004D69BF" w:rsidP="000240DA">
            <w:pPr>
              <w:spacing w:after="0" w:line="240" w:lineRule="auto"/>
              <w:jc w:val="left"/>
              <w:rPr>
                <w:rFonts w:eastAsia="Times New Roman" w:cs="Times New Roman"/>
                <w:color w:val="000000"/>
                <w:sz w:val="18"/>
                <w:szCs w:val="18"/>
                <w:lang w:eastAsia="sk-SK"/>
              </w:rPr>
            </w:pPr>
            <w:r w:rsidRPr="00D73F08">
              <w:rPr>
                <w:rFonts w:eastAsia="Times New Roman" w:cs="Times New Roman"/>
                <w:color w:val="000000"/>
                <w:sz w:val="18"/>
                <w:szCs w:val="18"/>
                <w:lang w:eastAsia="sk-SK"/>
              </w:rPr>
              <w:t xml:space="preserve">  nefinančným subjektom </w:t>
            </w:r>
          </w:p>
        </w:tc>
        <w:tc>
          <w:tcPr>
            <w:tcW w:w="513" w:type="pct"/>
            <w:tcBorders>
              <w:top w:val="nil"/>
              <w:left w:val="nil"/>
              <w:bottom w:val="nil"/>
              <w:right w:val="nil"/>
            </w:tcBorders>
            <w:shd w:val="clear" w:color="auto" w:fill="auto"/>
            <w:noWrap/>
            <w:vAlign w:val="center"/>
            <w:hideMark/>
          </w:tcPr>
          <w:p w14:paraId="15A5CD42"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185 732</w:t>
            </w:r>
          </w:p>
        </w:tc>
        <w:tc>
          <w:tcPr>
            <w:tcW w:w="600" w:type="pct"/>
            <w:tcBorders>
              <w:top w:val="nil"/>
              <w:left w:val="nil"/>
              <w:bottom w:val="nil"/>
              <w:right w:val="nil"/>
            </w:tcBorders>
            <w:shd w:val="clear" w:color="auto" w:fill="auto"/>
            <w:noWrap/>
            <w:vAlign w:val="center"/>
            <w:hideMark/>
          </w:tcPr>
          <w:p w14:paraId="14C01267"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414 476</w:t>
            </w:r>
          </w:p>
        </w:tc>
        <w:tc>
          <w:tcPr>
            <w:tcW w:w="567" w:type="pct"/>
            <w:tcBorders>
              <w:top w:val="nil"/>
              <w:left w:val="nil"/>
              <w:bottom w:val="nil"/>
              <w:right w:val="nil"/>
            </w:tcBorders>
            <w:shd w:val="clear" w:color="auto" w:fill="auto"/>
            <w:noWrap/>
            <w:vAlign w:val="center"/>
            <w:hideMark/>
          </w:tcPr>
          <w:p w14:paraId="278EC074"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744 762</w:t>
            </w:r>
          </w:p>
        </w:tc>
        <w:tc>
          <w:tcPr>
            <w:tcW w:w="578" w:type="pct"/>
            <w:tcBorders>
              <w:top w:val="nil"/>
              <w:left w:val="nil"/>
              <w:bottom w:val="nil"/>
              <w:right w:val="nil"/>
            </w:tcBorders>
            <w:shd w:val="clear" w:color="auto" w:fill="auto"/>
            <w:noWrap/>
            <w:vAlign w:val="center"/>
            <w:hideMark/>
          </w:tcPr>
          <w:p w14:paraId="2A79DD1C"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460 855</w:t>
            </w:r>
          </w:p>
        </w:tc>
        <w:tc>
          <w:tcPr>
            <w:tcW w:w="578" w:type="pct"/>
            <w:tcBorders>
              <w:top w:val="nil"/>
              <w:left w:val="nil"/>
              <w:bottom w:val="nil"/>
              <w:right w:val="nil"/>
            </w:tcBorders>
            <w:shd w:val="clear" w:color="auto" w:fill="auto"/>
            <w:noWrap/>
            <w:vAlign w:val="center"/>
            <w:hideMark/>
          </w:tcPr>
          <w:p w14:paraId="20245324"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-283 907</w:t>
            </w:r>
          </w:p>
        </w:tc>
      </w:tr>
      <w:tr w:rsidR="004D69BF" w:rsidRPr="00D73F08" w14:paraId="5697525D" w14:textId="77777777" w:rsidTr="00963B72">
        <w:trPr>
          <w:trHeight w:hRule="exact" w:val="289"/>
        </w:trPr>
        <w:tc>
          <w:tcPr>
            <w:tcW w:w="2164" w:type="pct"/>
            <w:tcBorders>
              <w:top w:val="nil"/>
              <w:left w:val="nil"/>
              <w:bottom w:val="nil"/>
              <w:right w:val="nil"/>
            </w:tcBorders>
            <w:shd w:val="clear" w:color="auto" w:fill="auto"/>
            <w:vAlign w:val="center"/>
            <w:hideMark/>
          </w:tcPr>
          <w:p w14:paraId="1C7B2BF7" w14:textId="77777777" w:rsidR="004D69BF" w:rsidRPr="00D73F08" w:rsidRDefault="004D69BF" w:rsidP="000240DA">
            <w:pPr>
              <w:spacing w:after="0" w:line="240" w:lineRule="auto"/>
              <w:jc w:val="left"/>
              <w:rPr>
                <w:rFonts w:eastAsia="Times New Roman" w:cs="Times New Roman"/>
                <w:color w:val="000000"/>
                <w:sz w:val="18"/>
                <w:szCs w:val="18"/>
                <w:lang w:eastAsia="sk-SK"/>
              </w:rPr>
            </w:pPr>
            <w:r w:rsidRPr="00D73F08">
              <w:rPr>
                <w:rFonts w:eastAsia="Times New Roman" w:cs="Times New Roman"/>
                <w:color w:val="000000"/>
                <w:sz w:val="18"/>
                <w:szCs w:val="18"/>
                <w:lang w:eastAsia="sk-SK"/>
              </w:rPr>
              <w:t xml:space="preserve">  jednotlivcom a neziskovým právnickým osobám</w:t>
            </w:r>
          </w:p>
        </w:tc>
        <w:tc>
          <w:tcPr>
            <w:tcW w:w="513" w:type="pct"/>
            <w:tcBorders>
              <w:top w:val="nil"/>
              <w:left w:val="nil"/>
              <w:bottom w:val="nil"/>
              <w:right w:val="nil"/>
            </w:tcBorders>
            <w:shd w:val="clear" w:color="auto" w:fill="auto"/>
            <w:noWrap/>
            <w:vAlign w:val="center"/>
            <w:hideMark/>
          </w:tcPr>
          <w:p w14:paraId="3C526797"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28 818</w:t>
            </w:r>
          </w:p>
        </w:tc>
        <w:tc>
          <w:tcPr>
            <w:tcW w:w="600" w:type="pct"/>
            <w:tcBorders>
              <w:top w:val="nil"/>
              <w:left w:val="nil"/>
              <w:bottom w:val="nil"/>
              <w:right w:val="nil"/>
            </w:tcBorders>
            <w:shd w:val="clear" w:color="auto" w:fill="auto"/>
            <w:noWrap/>
            <w:vAlign w:val="center"/>
            <w:hideMark/>
          </w:tcPr>
          <w:p w14:paraId="405CE2EC"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55 358</w:t>
            </w:r>
          </w:p>
        </w:tc>
        <w:tc>
          <w:tcPr>
            <w:tcW w:w="567" w:type="pct"/>
            <w:tcBorders>
              <w:top w:val="nil"/>
              <w:left w:val="nil"/>
              <w:bottom w:val="nil"/>
              <w:right w:val="nil"/>
            </w:tcBorders>
            <w:shd w:val="clear" w:color="auto" w:fill="auto"/>
            <w:noWrap/>
            <w:vAlign w:val="center"/>
            <w:hideMark/>
          </w:tcPr>
          <w:p w14:paraId="467A541F"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87 748</w:t>
            </w:r>
          </w:p>
        </w:tc>
        <w:tc>
          <w:tcPr>
            <w:tcW w:w="578" w:type="pct"/>
            <w:tcBorders>
              <w:top w:val="nil"/>
              <w:left w:val="nil"/>
              <w:bottom w:val="nil"/>
              <w:right w:val="nil"/>
            </w:tcBorders>
            <w:shd w:val="clear" w:color="auto" w:fill="auto"/>
            <w:noWrap/>
            <w:vAlign w:val="center"/>
            <w:hideMark/>
          </w:tcPr>
          <w:p w14:paraId="5DFA01AD"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133 636</w:t>
            </w:r>
          </w:p>
        </w:tc>
        <w:tc>
          <w:tcPr>
            <w:tcW w:w="578" w:type="pct"/>
            <w:tcBorders>
              <w:top w:val="nil"/>
              <w:left w:val="nil"/>
              <w:bottom w:val="nil"/>
              <w:right w:val="nil"/>
            </w:tcBorders>
            <w:shd w:val="clear" w:color="auto" w:fill="auto"/>
            <w:noWrap/>
            <w:vAlign w:val="center"/>
            <w:hideMark/>
          </w:tcPr>
          <w:p w14:paraId="5B1F3093"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45 888</w:t>
            </w:r>
          </w:p>
        </w:tc>
      </w:tr>
      <w:tr w:rsidR="004D69BF" w:rsidRPr="00D73F08" w14:paraId="19571B57" w14:textId="77777777" w:rsidTr="00963B72">
        <w:trPr>
          <w:trHeight w:hRule="exact" w:val="289"/>
        </w:trPr>
        <w:tc>
          <w:tcPr>
            <w:tcW w:w="2164" w:type="pct"/>
            <w:tcBorders>
              <w:top w:val="nil"/>
              <w:left w:val="nil"/>
              <w:bottom w:val="nil"/>
              <w:right w:val="nil"/>
            </w:tcBorders>
            <w:shd w:val="clear" w:color="auto" w:fill="auto"/>
            <w:vAlign w:val="center"/>
            <w:hideMark/>
          </w:tcPr>
          <w:p w14:paraId="063FA742" w14:textId="77777777" w:rsidR="004D69BF" w:rsidRPr="00D73F08" w:rsidRDefault="004D69BF" w:rsidP="000240DA">
            <w:pPr>
              <w:spacing w:after="0" w:line="240" w:lineRule="auto"/>
              <w:jc w:val="left"/>
              <w:rPr>
                <w:rFonts w:eastAsia="Times New Roman" w:cs="Times New Roman"/>
                <w:color w:val="000000"/>
                <w:sz w:val="18"/>
                <w:szCs w:val="18"/>
                <w:lang w:eastAsia="sk-SK"/>
              </w:rPr>
            </w:pPr>
            <w:r w:rsidRPr="00D73F08">
              <w:rPr>
                <w:rFonts w:eastAsia="Times New Roman" w:cs="Times New Roman"/>
                <w:color w:val="000000"/>
                <w:sz w:val="18"/>
                <w:szCs w:val="18"/>
                <w:lang w:eastAsia="sk-SK"/>
              </w:rPr>
              <w:t xml:space="preserve">  transfery finančným inštitúciám</w:t>
            </w:r>
          </w:p>
        </w:tc>
        <w:tc>
          <w:tcPr>
            <w:tcW w:w="513" w:type="pct"/>
            <w:tcBorders>
              <w:top w:val="nil"/>
              <w:left w:val="nil"/>
              <w:bottom w:val="nil"/>
              <w:right w:val="nil"/>
            </w:tcBorders>
            <w:shd w:val="clear" w:color="auto" w:fill="auto"/>
            <w:noWrap/>
            <w:vAlign w:val="center"/>
            <w:hideMark/>
          </w:tcPr>
          <w:p w14:paraId="530050EA"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70 669</w:t>
            </w:r>
          </w:p>
        </w:tc>
        <w:tc>
          <w:tcPr>
            <w:tcW w:w="600" w:type="pct"/>
            <w:tcBorders>
              <w:top w:val="nil"/>
              <w:left w:val="nil"/>
              <w:bottom w:val="nil"/>
              <w:right w:val="nil"/>
            </w:tcBorders>
            <w:shd w:val="clear" w:color="auto" w:fill="auto"/>
            <w:noWrap/>
            <w:vAlign w:val="center"/>
            <w:hideMark/>
          </w:tcPr>
          <w:p w14:paraId="4E2CF4DA"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35 334</w:t>
            </w:r>
          </w:p>
        </w:tc>
        <w:tc>
          <w:tcPr>
            <w:tcW w:w="567" w:type="pct"/>
            <w:tcBorders>
              <w:top w:val="nil"/>
              <w:left w:val="nil"/>
              <w:bottom w:val="nil"/>
              <w:right w:val="nil"/>
            </w:tcBorders>
            <w:shd w:val="clear" w:color="auto" w:fill="auto"/>
            <w:noWrap/>
            <w:vAlign w:val="center"/>
            <w:hideMark/>
          </w:tcPr>
          <w:p w14:paraId="2DBA32DA"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0</w:t>
            </w:r>
          </w:p>
        </w:tc>
        <w:tc>
          <w:tcPr>
            <w:tcW w:w="578" w:type="pct"/>
            <w:tcBorders>
              <w:top w:val="nil"/>
              <w:left w:val="nil"/>
              <w:bottom w:val="nil"/>
              <w:right w:val="nil"/>
            </w:tcBorders>
            <w:shd w:val="clear" w:color="auto" w:fill="auto"/>
            <w:noWrap/>
            <w:vAlign w:val="center"/>
            <w:hideMark/>
          </w:tcPr>
          <w:p w14:paraId="5B3D9F00"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0</w:t>
            </w:r>
          </w:p>
        </w:tc>
        <w:tc>
          <w:tcPr>
            <w:tcW w:w="578" w:type="pct"/>
            <w:tcBorders>
              <w:top w:val="nil"/>
              <w:left w:val="nil"/>
              <w:bottom w:val="nil"/>
              <w:right w:val="nil"/>
            </w:tcBorders>
            <w:shd w:val="clear" w:color="auto" w:fill="auto"/>
            <w:noWrap/>
            <w:vAlign w:val="center"/>
            <w:hideMark/>
          </w:tcPr>
          <w:p w14:paraId="6609999D"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0</w:t>
            </w:r>
          </w:p>
        </w:tc>
      </w:tr>
      <w:tr w:rsidR="004D69BF" w:rsidRPr="00D73F08" w14:paraId="2E95F613" w14:textId="77777777" w:rsidTr="00963B72">
        <w:trPr>
          <w:trHeight w:hRule="exact" w:val="289"/>
        </w:trPr>
        <w:tc>
          <w:tcPr>
            <w:tcW w:w="2164" w:type="pct"/>
            <w:tcBorders>
              <w:top w:val="nil"/>
              <w:left w:val="nil"/>
              <w:bottom w:val="single" w:sz="4" w:space="0" w:color="auto"/>
              <w:right w:val="nil"/>
            </w:tcBorders>
            <w:shd w:val="clear" w:color="auto" w:fill="auto"/>
            <w:vAlign w:val="center"/>
            <w:hideMark/>
          </w:tcPr>
          <w:p w14:paraId="3DC0A362" w14:textId="77777777" w:rsidR="004D69BF" w:rsidRPr="00D73F08" w:rsidRDefault="004D69BF" w:rsidP="000240DA">
            <w:pPr>
              <w:spacing w:after="0" w:line="240" w:lineRule="auto"/>
              <w:jc w:val="left"/>
              <w:rPr>
                <w:rFonts w:eastAsia="Times New Roman" w:cs="Times New Roman"/>
                <w:color w:val="000000"/>
                <w:sz w:val="18"/>
                <w:szCs w:val="18"/>
                <w:lang w:eastAsia="sk-SK"/>
              </w:rPr>
            </w:pPr>
            <w:r w:rsidRPr="00D73F08">
              <w:rPr>
                <w:rFonts w:eastAsia="Times New Roman" w:cs="Times New Roman"/>
                <w:color w:val="000000"/>
                <w:sz w:val="18"/>
                <w:szCs w:val="18"/>
                <w:lang w:eastAsia="sk-SK"/>
              </w:rPr>
              <w:t xml:space="preserve">  do zahraničia</w:t>
            </w:r>
          </w:p>
        </w:tc>
        <w:tc>
          <w:tcPr>
            <w:tcW w:w="513" w:type="pct"/>
            <w:tcBorders>
              <w:top w:val="nil"/>
              <w:left w:val="nil"/>
              <w:bottom w:val="single" w:sz="4" w:space="0" w:color="auto"/>
              <w:right w:val="nil"/>
            </w:tcBorders>
            <w:shd w:val="clear" w:color="auto" w:fill="auto"/>
            <w:noWrap/>
            <w:vAlign w:val="center"/>
            <w:hideMark/>
          </w:tcPr>
          <w:p w14:paraId="2248CB15"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3 091</w:t>
            </w:r>
          </w:p>
        </w:tc>
        <w:tc>
          <w:tcPr>
            <w:tcW w:w="600" w:type="pct"/>
            <w:tcBorders>
              <w:top w:val="nil"/>
              <w:left w:val="nil"/>
              <w:bottom w:val="single" w:sz="4" w:space="0" w:color="auto"/>
              <w:right w:val="nil"/>
            </w:tcBorders>
            <w:shd w:val="clear" w:color="auto" w:fill="auto"/>
            <w:noWrap/>
            <w:vAlign w:val="center"/>
            <w:hideMark/>
          </w:tcPr>
          <w:p w14:paraId="5DA3AE5B"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6 249</w:t>
            </w:r>
          </w:p>
        </w:tc>
        <w:tc>
          <w:tcPr>
            <w:tcW w:w="567" w:type="pct"/>
            <w:tcBorders>
              <w:top w:val="nil"/>
              <w:left w:val="nil"/>
              <w:bottom w:val="single" w:sz="4" w:space="0" w:color="auto"/>
              <w:right w:val="nil"/>
            </w:tcBorders>
            <w:shd w:val="clear" w:color="auto" w:fill="auto"/>
            <w:noWrap/>
            <w:vAlign w:val="center"/>
            <w:hideMark/>
          </w:tcPr>
          <w:p w14:paraId="6B64CF11"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0</w:t>
            </w:r>
          </w:p>
        </w:tc>
        <w:tc>
          <w:tcPr>
            <w:tcW w:w="578" w:type="pct"/>
            <w:tcBorders>
              <w:top w:val="nil"/>
              <w:left w:val="nil"/>
              <w:bottom w:val="single" w:sz="4" w:space="0" w:color="auto"/>
              <w:right w:val="nil"/>
            </w:tcBorders>
            <w:shd w:val="clear" w:color="auto" w:fill="auto"/>
            <w:noWrap/>
            <w:vAlign w:val="center"/>
            <w:hideMark/>
          </w:tcPr>
          <w:p w14:paraId="1568C29A"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7 600</w:t>
            </w:r>
          </w:p>
        </w:tc>
        <w:tc>
          <w:tcPr>
            <w:tcW w:w="578" w:type="pct"/>
            <w:tcBorders>
              <w:top w:val="nil"/>
              <w:left w:val="nil"/>
              <w:bottom w:val="single" w:sz="4" w:space="0" w:color="auto"/>
              <w:right w:val="nil"/>
            </w:tcBorders>
            <w:shd w:val="clear" w:color="auto" w:fill="auto"/>
            <w:noWrap/>
            <w:vAlign w:val="center"/>
            <w:hideMark/>
          </w:tcPr>
          <w:p w14:paraId="6EFE587F" w14:textId="77777777" w:rsidR="004D69BF" w:rsidRPr="00D73F08" w:rsidRDefault="004D69BF" w:rsidP="000240DA">
            <w:pPr>
              <w:spacing w:after="0"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7 600</w:t>
            </w:r>
          </w:p>
        </w:tc>
      </w:tr>
      <w:tr w:rsidR="004D69BF" w:rsidRPr="00D73F08" w14:paraId="5B9F0363" w14:textId="77777777" w:rsidTr="00963B72">
        <w:trPr>
          <w:trHeight w:val="345"/>
        </w:trPr>
        <w:tc>
          <w:tcPr>
            <w:tcW w:w="2164" w:type="pct"/>
            <w:tcBorders>
              <w:top w:val="single" w:sz="4" w:space="0" w:color="auto"/>
              <w:left w:val="nil"/>
              <w:bottom w:val="single" w:sz="4" w:space="0" w:color="auto"/>
              <w:right w:val="nil"/>
            </w:tcBorders>
            <w:shd w:val="clear" w:color="auto" w:fill="auto"/>
            <w:vAlign w:val="center"/>
            <w:hideMark/>
          </w:tcPr>
          <w:p w14:paraId="4A0E0D25" w14:textId="77777777" w:rsidR="004D69BF" w:rsidRPr="00D73F08" w:rsidRDefault="004D69BF" w:rsidP="000240DA">
            <w:pPr>
              <w:spacing w:after="0" w:line="240" w:lineRule="auto"/>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Spolu</w:t>
            </w:r>
          </w:p>
        </w:tc>
        <w:tc>
          <w:tcPr>
            <w:tcW w:w="513" w:type="pct"/>
            <w:tcBorders>
              <w:top w:val="single" w:sz="4" w:space="0" w:color="auto"/>
              <w:left w:val="nil"/>
              <w:bottom w:val="single" w:sz="4" w:space="0" w:color="auto"/>
              <w:right w:val="nil"/>
            </w:tcBorders>
            <w:shd w:val="clear" w:color="auto" w:fill="auto"/>
            <w:noWrap/>
            <w:vAlign w:val="center"/>
            <w:hideMark/>
          </w:tcPr>
          <w:p w14:paraId="181B20E8" w14:textId="77777777" w:rsidR="004D69BF" w:rsidRPr="00D73F08" w:rsidRDefault="004D69BF" w:rsidP="000240DA">
            <w:pPr>
              <w:spacing w:after="0" w:line="240" w:lineRule="auto"/>
              <w:jc w:val="right"/>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2 707 005</w:t>
            </w:r>
          </w:p>
        </w:tc>
        <w:tc>
          <w:tcPr>
            <w:tcW w:w="600" w:type="pct"/>
            <w:tcBorders>
              <w:top w:val="single" w:sz="4" w:space="0" w:color="auto"/>
              <w:left w:val="nil"/>
              <w:bottom w:val="single" w:sz="4" w:space="0" w:color="auto"/>
              <w:right w:val="nil"/>
            </w:tcBorders>
            <w:shd w:val="clear" w:color="auto" w:fill="auto"/>
            <w:noWrap/>
            <w:vAlign w:val="center"/>
            <w:hideMark/>
          </w:tcPr>
          <w:p w14:paraId="63CA1D4D" w14:textId="77777777" w:rsidR="004D69BF" w:rsidRPr="00D73F08" w:rsidRDefault="004D69BF" w:rsidP="000240DA">
            <w:pPr>
              <w:spacing w:after="0" w:line="240" w:lineRule="auto"/>
              <w:jc w:val="right"/>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4 714 155</w:t>
            </w:r>
          </w:p>
        </w:tc>
        <w:tc>
          <w:tcPr>
            <w:tcW w:w="567" w:type="pct"/>
            <w:tcBorders>
              <w:top w:val="single" w:sz="4" w:space="0" w:color="auto"/>
              <w:left w:val="nil"/>
              <w:bottom w:val="single" w:sz="4" w:space="0" w:color="auto"/>
              <w:right w:val="nil"/>
            </w:tcBorders>
            <w:shd w:val="clear" w:color="auto" w:fill="auto"/>
            <w:noWrap/>
            <w:vAlign w:val="center"/>
            <w:hideMark/>
          </w:tcPr>
          <w:p w14:paraId="5BD2F594" w14:textId="77777777" w:rsidR="004D69BF" w:rsidRPr="00D73F08" w:rsidRDefault="004D69BF" w:rsidP="000240DA">
            <w:pPr>
              <w:spacing w:after="0" w:line="240" w:lineRule="auto"/>
              <w:jc w:val="right"/>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3 127 233</w:t>
            </w:r>
          </w:p>
        </w:tc>
        <w:tc>
          <w:tcPr>
            <w:tcW w:w="578" w:type="pct"/>
            <w:tcBorders>
              <w:top w:val="single" w:sz="4" w:space="0" w:color="auto"/>
              <w:left w:val="nil"/>
              <w:bottom w:val="single" w:sz="4" w:space="0" w:color="auto"/>
              <w:right w:val="nil"/>
            </w:tcBorders>
            <w:shd w:val="clear" w:color="auto" w:fill="auto"/>
            <w:noWrap/>
            <w:vAlign w:val="center"/>
            <w:hideMark/>
          </w:tcPr>
          <w:p w14:paraId="47240A1A" w14:textId="77777777" w:rsidR="004D69BF" w:rsidRPr="00D73F08" w:rsidRDefault="004D69BF" w:rsidP="000240DA">
            <w:pPr>
              <w:spacing w:after="0" w:line="240" w:lineRule="auto"/>
              <w:jc w:val="right"/>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3 838 138</w:t>
            </w:r>
          </w:p>
        </w:tc>
        <w:tc>
          <w:tcPr>
            <w:tcW w:w="578" w:type="pct"/>
            <w:tcBorders>
              <w:top w:val="single" w:sz="4" w:space="0" w:color="auto"/>
              <w:left w:val="nil"/>
              <w:bottom w:val="single" w:sz="4" w:space="0" w:color="auto"/>
              <w:right w:val="nil"/>
            </w:tcBorders>
            <w:shd w:val="clear" w:color="auto" w:fill="auto"/>
            <w:noWrap/>
            <w:vAlign w:val="center"/>
            <w:hideMark/>
          </w:tcPr>
          <w:p w14:paraId="4CA47165" w14:textId="77777777" w:rsidR="004D69BF" w:rsidRPr="00D73F08" w:rsidRDefault="004D69BF" w:rsidP="000240DA">
            <w:pPr>
              <w:spacing w:after="0" w:line="240" w:lineRule="auto"/>
              <w:jc w:val="right"/>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710 905</w:t>
            </w:r>
          </w:p>
        </w:tc>
      </w:tr>
    </w:tbl>
    <w:p w14:paraId="7E51C2AE" w14:textId="77777777" w:rsidR="004D69BF" w:rsidRPr="00AC68A6" w:rsidRDefault="004D69BF" w:rsidP="004D69BF">
      <w:pPr>
        <w:spacing w:line="240" w:lineRule="auto"/>
        <w:jc w:val="right"/>
        <w:rPr>
          <w:sz w:val="18"/>
          <w:szCs w:val="18"/>
        </w:rPr>
      </w:pPr>
      <w:r w:rsidRPr="00AC68A6">
        <w:rPr>
          <w:sz w:val="18"/>
          <w:szCs w:val="18"/>
        </w:rPr>
        <w:t>Zdroj: MF SR</w:t>
      </w:r>
    </w:p>
    <w:p w14:paraId="21A6859F" w14:textId="77777777" w:rsidR="004D69BF" w:rsidRDefault="004D69BF" w:rsidP="004D69BF">
      <w:pPr>
        <w:spacing w:line="240" w:lineRule="auto"/>
        <w:rPr>
          <w:b/>
          <w:color w:val="5B9BD5" w:themeColor="accent1"/>
          <w:sz w:val="24"/>
          <w:szCs w:val="24"/>
        </w:rPr>
      </w:pPr>
      <w:r w:rsidRPr="007C5FE8">
        <w:rPr>
          <w:b/>
          <w:color w:val="5B9BD5" w:themeColor="accent1"/>
          <w:sz w:val="24"/>
          <w:szCs w:val="24"/>
        </w:rPr>
        <w:t xml:space="preserve">Obstarávanie kapitálových aktív </w:t>
      </w:r>
    </w:p>
    <w:p w14:paraId="0C60FAB5" w14:textId="19C97E6D" w:rsidR="004D69BF" w:rsidRPr="00EB5F1E" w:rsidRDefault="004D69BF" w:rsidP="004D69BF">
      <w:pPr>
        <w:spacing w:line="240" w:lineRule="auto"/>
        <w:rPr>
          <w:sz w:val="24"/>
          <w:szCs w:val="24"/>
        </w:rPr>
      </w:pPr>
      <w:r w:rsidRPr="00EB5F1E">
        <w:rPr>
          <w:b/>
          <w:sz w:val="24"/>
          <w:szCs w:val="24"/>
        </w:rPr>
        <w:t xml:space="preserve">Obstarávanie kapitálových aktív </w:t>
      </w:r>
      <w:r w:rsidRPr="00EB5F1E">
        <w:rPr>
          <w:sz w:val="24"/>
          <w:szCs w:val="24"/>
        </w:rPr>
        <w:t>predstavuje obstaranie majetku dlhodobej povahy do</w:t>
      </w:r>
      <w:r w:rsidR="00AA0772">
        <w:rPr>
          <w:sz w:val="24"/>
          <w:szCs w:val="24"/>
        </w:rPr>
        <w:t> </w:t>
      </w:r>
      <w:r w:rsidRPr="00EB5F1E">
        <w:rPr>
          <w:sz w:val="24"/>
          <w:szCs w:val="24"/>
        </w:rPr>
        <w:t xml:space="preserve">vlastníctva štátu dodávateľským spôsobom </w:t>
      </w:r>
      <w:r w:rsidRPr="00B138D3">
        <w:rPr>
          <w:sz w:val="24"/>
          <w:szCs w:val="24"/>
        </w:rPr>
        <w:t>alebo v rámci vlastných výkonov štátu. Rozpočet na obstarávanie kapitálových aktív bol stanovený sumou 2</w:t>
      </w:r>
      <w:r w:rsidR="00AA0772">
        <w:rPr>
          <w:sz w:val="24"/>
          <w:szCs w:val="24"/>
        </w:rPr>
        <w:t> </w:t>
      </w:r>
      <w:r w:rsidRPr="00B138D3">
        <w:rPr>
          <w:sz w:val="24"/>
          <w:szCs w:val="24"/>
        </w:rPr>
        <w:t>086</w:t>
      </w:r>
      <w:r w:rsidR="00AA0772">
        <w:rPr>
          <w:sz w:val="24"/>
          <w:szCs w:val="24"/>
        </w:rPr>
        <w:t> </w:t>
      </w:r>
      <w:r w:rsidRPr="00B138D3">
        <w:rPr>
          <w:sz w:val="24"/>
          <w:szCs w:val="24"/>
        </w:rPr>
        <w:t>20</w:t>
      </w:r>
      <w:r w:rsidR="00020396">
        <w:rPr>
          <w:sz w:val="24"/>
          <w:szCs w:val="24"/>
        </w:rPr>
        <w:t>2</w:t>
      </w:r>
      <w:r w:rsidR="00AA0772">
        <w:rPr>
          <w:sz w:val="24"/>
          <w:szCs w:val="24"/>
        </w:rPr>
        <w:t> </w:t>
      </w:r>
      <w:r w:rsidRPr="00B138D3">
        <w:rPr>
          <w:sz w:val="24"/>
          <w:szCs w:val="24"/>
        </w:rPr>
        <w:t>tis.</w:t>
      </w:r>
      <w:r w:rsidR="00AA0772">
        <w:rPr>
          <w:sz w:val="24"/>
          <w:szCs w:val="24"/>
        </w:rPr>
        <w:t> </w:t>
      </w:r>
      <w:r w:rsidRPr="00B138D3">
        <w:rPr>
          <w:sz w:val="24"/>
          <w:szCs w:val="24"/>
        </w:rPr>
        <w:t>eur, ktorá sa rozpočtovými opatr</w:t>
      </w:r>
      <w:r w:rsidR="00AA0772">
        <w:rPr>
          <w:sz w:val="24"/>
          <w:szCs w:val="24"/>
        </w:rPr>
        <w:t>eniami počas roka znížila o 596 </w:t>
      </w:r>
      <w:r w:rsidRPr="00B138D3">
        <w:rPr>
          <w:sz w:val="24"/>
          <w:szCs w:val="24"/>
        </w:rPr>
        <w:t>358 tis. eur. Skutočné čerpanie predstavovalo sumu</w:t>
      </w:r>
      <w:r w:rsidR="00AA0772">
        <w:rPr>
          <w:sz w:val="24"/>
          <w:szCs w:val="24"/>
        </w:rPr>
        <w:t xml:space="preserve"> 1 435 </w:t>
      </w:r>
      <w:r w:rsidRPr="00B138D3">
        <w:rPr>
          <w:sz w:val="24"/>
          <w:szCs w:val="24"/>
        </w:rPr>
        <w:t>55</w:t>
      </w:r>
      <w:r w:rsidR="00020396">
        <w:rPr>
          <w:sz w:val="24"/>
          <w:szCs w:val="24"/>
        </w:rPr>
        <w:t>8</w:t>
      </w:r>
      <w:r w:rsidRPr="00B138D3">
        <w:rPr>
          <w:sz w:val="24"/>
          <w:szCs w:val="24"/>
        </w:rPr>
        <w:t> tis.</w:t>
      </w:r>
      <w:r w:rsidR="00AA0772">
        <w:rPr>
          <w:sz w:val="24"/>
          <w:szCs w:val="24"/>
        </w:rPr>
        <w:t> </w:t>
      </w:r>
      <w:r w:rsidRPr="00B138D3">
        <w:rPr>
          <w:sz w:val="24"/>
          <w:szCs w:val="24"/>
        </w:rPr>
        <w:t>eur, čo je 68,8</w:t>
      </w:r>
      <w:r w:rsidR="00AA0772">
        <w:rPr>
          <w:sz w:val="24"/>
          <w:szCs w:val="24"/>
        </w:rPr>
        <w:t> </w:t>
      </w:r>
      <w:r w:rsidRPr="00B138D3">
        <w:rPr>
          <w:sz w:val="24"/>
          <w:szCs w:val="24"/>
        </w:rPr>
        <w:t>% pôvodne rozpočtovanej hodnoty. Z celkovej sumy výdavkov na obstaranie kapitálových aktív bolo zo zdrojov ŠR 1 215</w:t>
      </w:r>
      <w:r w:rsidR="00AA0772">
        <w:rPr>
          <w:sz w:val="24"/>
          <w:szCs w:val="24"/>
        </w:rPr>
        <w:t> </w:t>
      </w:r>
      <w:r w:rsidRPr="00B138D3">
        <w:rPr>
          <w:sz w:val="24"/>
          <w:szCs w:val="24"/>
        </w:rPr>
        <w:t>646</w:t>
      </w:r>
      <w:r w:rsidR="00AA0772">
        <w:rPr>
          <w:sz w:val="24"/>
          <w:szCs w:val="24"/>
        </w:rPr>
        <w:t> </w:t>
      </w:r>
      <w:r w:rsidRPr="00B138D3">
        <w:rPr>
          <w:sz w:val="24"/>
          <w:szCs w:val="24"/>
        </w:rPr>
        <w:t>tis.</w:t>
      </w:r>
      <w:r w:rsidR="00AA0772">
        <w:rPr>
          <w:sz w:val="24"/>
          <w:szCs w:val="24"/>
        </w:rPr>
        <w:t> </w:t>
      </w:r>
      <w:r w:rsidRPr="00B138D3">
        <w:rPr>
          <w:sz w:val="24"/>
          <w:szCs w:val="24"/>
        </w:rPr>
        <w:t xml:space="preserve">eur, zdrojov </w:t>
      </w:r>
      <w:r w:rsidR="001D6597">
        <w:rPr>
          <w:sz w:val="24"/>
          <w:szCs w:val="24"/>
        </w:rPr>
        <w:t>EÚ</w:t>
      </w:r>
      <w:r w:rsidRPr="00060EF5">
        <w:rPr>
          <w:sz w:val="24"/>
          <w:szCs w:val="24"/>
        </w:rPr>
        <w:t xml:space="preserve"> </w:t>
      </w:r>
      <w:r w:rsidR="00AA0772">
        <w:rPr>
          <w:sz w:val="24"/>
          <w:szCs w:val="24"/>
        </w:rPr>
        <w:t>96 687 </w:t>
      </w:r>
      <w:r w:rsidRPr="00060EF5">
        <w:rPr>
          <w:sz w:val="24"/>
          <w:szCs w:val="24"/>
        </w:rPr>
        <w:t>tis. eur,</w:t>
      </w:r>
      <w:r>
        <w:rPr>
          <w:sz w:val="24"/>
          <w:szCs w:val="24"/>
        </w:rPr>
        <w:t xml:space="preserve"> zdro</w:t>
      </w:r>
      <w:r w:rsidR="00AA0772">
        <w:rPr>
          <w:sz w:val="24"/>
          <w:szCs w:val="24"/>
        </w:rPr>
        <w:t>jov na spolufinancovanie 18 780 </w:t>
      </w:r>
      <w:r>
        <w:rPr>
          <w:sz w:val="24"/>
          <w:szCs w:val="24"/>
        </w:rPr>
        <w:t>tis.</w:t>
      </w:r>
      <w:r w:rsidR="00AA0772">
        <w:rPr>
          <w:sz w:val="24"/>
          <w:szCs w:val="24"/>
        </w:rPr>
        <w:t> </w:t>
      </w:r>
      <w:r>
        <w:rPr>
          <w:sz w:val="24"/>
          <w:szCs w:val="24"/>
        </w:rPr>
        <w:t>eur</w:t>
      </w:r>
      <w:r w:rsidRPr="00060EF5">
        <w:rPr>
          <w:sz w:val="24"/>
          <w:szCs w:val="24"/>
        </w:rPr>
        <w:t xml:space="preserve"> a z Plánu obnovy a odolnosti </w:t>
      </w:r>
      <w:r w:rsidR="00AA0772">
        <w:rPr>
          <w:sz w:val="24"/>
          <w:szCs w:val="24"/>
        </w:rPr>
        <w:t>85 083 </w:t>
      </w:r>
      <w:r>
        <w:rPr>
          <w:sz w:val="24"/>
          <w:szCs w:val="24"/>
        </w:rPr>
        <w:t>tis.</w:t>
      </w:r>
      <w:r w:rsidR="00AA0772">
        <w:rPr>
          <w:sz w:val="24"/>
          <w:szCs w:val="24"/>
        </w:rPr>
        <w:t> </w:t>
      </w:r>
      <w:r>
        <w:rPr>
          <w:sz w:val="24"/>
          <w:szCs w:val="24"/>
        </w:rPr>
        <w:t>eur (bez zdroja na DPH)</w:t>
      </w:r>
      <w:r w:rsidRPr="00060EF5">
        <w:rPr>
          <w:sz w:val="24"/>
          <w:szCs w:val="24"/>
        </w:rPr>
        <w:t>.</w:t>
      </w:r>
    </w:p>
    <w:p w14:paraId="7F7EB257" w14:textId="38B16512" w:rsidR="004D69BF" w:rsidRPr="002E2D04" w:rsidRDefault="004D69BF" w:rsidP="004D69BF">
      <w:pPr>
        <w:spacing w:line="240" w:lineRule="auto"/>
        <w:rPr>
          <w:sz w:val="24"/>
          <w:szCs w:val="24"/>
        </w:rPr>
      </w:pPr>
      <w:bookmarkStart w:id="125" w:name="_Hlk195615327"/>
      <w:r w:rsidRPr="002E2D04">
        <w:rPr>
          <w:b/>
          <w:sz w:val="24"/>
          <w:szCs w:val="24"/>
        </w:rPr>
        <w:t>Nákup strojov, prístrojov, zariadení a techniky</w:t>
      </w:r>
      <w:r w:rsidR="00AA0772">
        <w:rPr>
          <w:sz w:val="24"/>
          <w:szCs w:val="24"/>
        </w:rPr>
        <w:t xml:space="preserve"> dosiahol v skutočnosti 530 </w:t>
      </w:r>
      <w:r w:rsidRPr="002E2D04">
        <w:rPr>
          <w:sz w:val="24"/>
          <w:szCs w:val="24"/>
        </w:rPr>
        <w:t xml:space="preserve">983 tis. eur. V rozhodujúcej miere sa na týchto výdavkoch podieľajú tri kapitoly a to </w:t>
      </w:r>
      <w:r w:rsidR="00AA0772">
        <w:rPr>
          <w:sz w:val="24"/>
          <w:szCs w:val="24"/>
        </w:rPr>
        <w:t>Ministerstvo obrany SR (424 425 </w:t>
      </w:r>
      <w:r w:rsidRPr="002E2D04">
        <w:rPr>
          <w:sz w:val="24"/>
          <w:szCs w:val="24"/>
        </w:rPr>
        <w:t>tis.</w:t>
      </w:r>
      <w:r w:rsidR="00AA0772">
        <w:rPr>
          <w:sz w:val="24"/>
          <w:szCs w:val="24"/>
        </w:rPr>
        <w:t> </w:t>
      </w:r>
      <w:r w:rsidRPr="002E2D04">
        <w:rPr>
          <w:sz w:val="24"/>
          <w:szCs w:val="24"/>
        </w:rPr>
        <w:t xml:space="preserve">eur), Ministerstvo vnútra SR </w:t>
      </w:r>
      <w:r w:rsidR="00AA0772">
        <w:rPr>
          <w:sz w:val="24"/>
          <w:szCs w:val="24"/>
        </w:rPr>
        <w:t>(51 004 </w:t>
      </w:r>
      <w:r w:rsidRPr="002E2D04">
        <w:rPr>
          <w:sz w:val="24"/>
          <w:szCs w:val="24"/>
        </w:rPr>
        <w:t>tis.</w:t>
      </w:r>
      <w:r w:rsidR="00AA0772">
        <w:rPr>
          <w:sz w:val="24"/>
          <w:szCs w:val="24"/>
        </w:rPr>
        <w:t> </w:t>
      </w:r>
      <w:r w:rsidRPr="002E2D04">
        <w:rPr>
          <w:sz w:val="24"/>
          <w:szCs w:val="24"/>
        </w:rPr>
        <w:t>eur) a Ministerstvo financií SR (15</w:t>
      </w:r>
      <w:r w:rsidR="00AA0772">
        <w:rPr>
          <w:sz w:val="24"/>
          <w:szCs w:val="24"/>
        </w:rPr>
        <w:t> </w:t>
      </w:r>
      <w:r w:rsidRPr="002E2D04">
        <w:rPr>
          <w:sz w:val="24"/>
          <w:szCs w:val="24"/>
        </w:rPr>
        <w:t>735</w:t>
      </w:r>
      <w:r w:rsidR="00AA0772">
        <w:rPr>
          <w:sz w:val="24"/>
          <w:szCs w:val="24"/>
        </w:rPr>
        <w:t> tis. </w:t>
      </w:r>
      <w:r w:rsidRPr="002E2D04">
        <w:rPr>
          <w:sz w:val="24"/>
          <w:szCs w:val="24"/>
        </w:rPr>
        <w:t>eur). Najvýraznejšie nenaplnenie plánovaného rozpočtu výdavkov bolo u Minister</w:t>
      </w:r>
      <w:r w:rsidR="00AA0772">
        <w:rPr>
          <w:sz w:val="24"/>
          <w:szCs w:val="24"/>
        </w:rPr>
        <w:t>stva zdravotníctva SR, o 45 043 </w:t>
      </w:r>
      <w:r w:rsidRPr="002E2D04">
        <w:rPr>
          <w:sz w:val="24"/>
          <w:szCs w:val="24"/>
        </w:rPr>
        <w:t>tis.</w:t>
      </w:r>
      <w:r w:rsidR="00AA0772">
        <w:rPr>
          <w:sz w:val="24"/>
          <w:szCs w:val="24"/>
        </w:rPr>
        <w:t> </w:t>
      </w:r>
      <w:r w:rsidRPr="002E2D04">
        <w:rPr>
          <w:sz w:val="24"/>
          <w:szCs w:val="24"/>
        </w:rPr>
        <w:t>eur.</w:t>
      </w:r>
    </w:p>
    <w:p w14:paraId="3A8CA379" w14:textId="6837102A" w:rsidR="004D69BF" w:rsidRDefault="004D69BF" w:rsidP="004D69BF">
      <w:pPr>
        <w:spacing w:line="240" w:lineRule="auto"/>
        <w:rPr>
          <w:sz w:val="24"/>
          <w:szCs w:val="24"/>
        </w:rPr>
      </w:pPr>
      <w:r>
        <w:rPr>
          <w:sz w:val="24"/>
          <w:szCs w:val="24"/>
        </w:rPr>
        <w:t xml:space="preserve">Kapitola </w:t>
      </w:r>
      <w:r w:rsidRPr="002E2D04">
        <w:rPr>
          <w:sz w:val="24"/>
          <w:szCs w:val="24"/>
        </w:rPr>
        <w:t>Ministerstv</w:t>
      </w:r>
      <w:r>
        <w:rPr>
          <w:sz w:val="24"/>
          <w:szCs w:val="24"/>
        </w:rPr>
        <w:t>a</w:t>
      </w:r>
      <w:r w:rsidRPr="002E2D04">
        <w:rPr>
          <w:sz w:val="24"/>
          <w:szCs w:val="24"/>
        </w:rPr>
        <w:t xml:space="preserve"> obrany SR použil</w:t>
      </w:r>
      <w:r>
        <w:rPr>
          <w:sz w:val="24"/>
          <w:szCs w:val="24"/>
        </w:rPr>
        <w:t>a</w:t>
      </w:r>
      <w:r w:rsidRPr="002E2D04">
        <w:rPr>
          <w:sz w:val="24"/>
          <w:szCs w:val="24"/>
        </w:rPr>
        <w:t xml:space="preserve"> 4</w:t>
      </w:r>
      <w:r w:rsidR="00AA0772">
        <w:rPr>
          <w:sz w:val="24"/>
          <w:szCs w:val="24"/>
        </w:rPr>
        <w:t>21 </w:t>
      </w:r>
      <w:r>
        <w:rPr>
          <w:sz w:val="24"/>
          <w:szCs w:val="24"/>
        </w:rPr>
        <w:t>975</w:t>
      </w:r>
      <w:r w:rsidR="00AA0772">
        <w:rPr>
          <w:sz w:val="24"/>
          <w:szCs w:val="24"/>
        </w:rPr>
        <w:t> </w:t>
      </w:r>
      <w:r w:rsidRPr="002E2D04">
        <w:rPr>
          <w:sz w:val="24"/>
          <w:szCs w:val="24"/>
        </w:rPr>
        <w:t>tis.</w:t>
      </w:r>
      <w:r w:rsidR="00AA0772">
        <w:rPr>
          <w:sz w:val="24"/>
          <w:szCs w:val="24"/>
        </w:rPr>
        <w:t> </w:t>
      </w:r>
      <w:r w:rsidRPr="002E2D04">
        <w:rPr>
          <w:sz w:val="24"/>
          <w:szCs w:val="24"/>
        </w:rPr>
        <w:t xml:space="preserve">eur na špeciálne stroje, prístroje a zariadenia. Konkrétne išlo </w:t>
      </w:r>
      <w:r>
        <w:rPr>
          <w:sz w:val="24"/>
          <w:szCs w:val="24"/>
        </w:rPr>
        <w:t xml:space="preserve">najmä </w:t>
      </w:r>
      <w:r w:rsidRPr="002E2D04">
        <w:rPr>
          <w:sz w:val="24"/>
          <w:szCs w:val="24"/>
        </w:rPr>
        <w:t>o poskytnutie ď</w:t>
      </w:r>
      <w:r w:rsidR="00AA0772">
        <w:rPr>
          <w:sz w:val="24"/>
          <w:szCs w:val="24"/>
        </w:rPr>
        <w:t>alších preddavkových platieb na </w:t>
      </w:r>
      <w:r w:rsidRPr="002E2D04">
        <w:rPr>
          <w:sz w:val="24"/>
          <w:szCs w:val="24"/>
        </w:rPr>
        <w:t xml:space="preserve">obstaranie vojenskej techniky, </w:t>
      </w:r>
      <w:r>
        <w:rPr>
          <w:sz w:val="24"/>
          <w:szCs w:val="24"/>
        </w:rPr>
        <w:t>napríklad systémov protivzdušnej obrany</w:t>
      </w:r>
      <w:r w:rsidRPr="002E2D04">
        <w:rPr>
          <w:sz w:val="24"/>
          <w:szCs w:val="24"/>
        </w:rPr>
        <w:t>,</w:t>
      </w:r>
      <w:r>
        <w:rPr>
          <w:sz w:val="24"/>
          <w:szCs w:val="24"/>
        </w:rPr>
        <w:t xml:space="preserve"> komunikačných zariadení a iných vojenských zariadení.</w:t>
      </w:r>
    </w:p>
    <w:bookmarkEnd w:id="125"/>
    <w:p w14:paraId="40683A24" w14:textId="0D98B2FD" w:rsidR="004D69BF" w:rsidRDefault="004D69BF" w:rsidP="004D69BF">
      <w:pPr>
        <w:spacing w:line="240" w:lineRule="auto"/>
        <w:rPr>
          <w:sz w:val="24"/>
          <w:szCs w:val="24"/>
        </w:rPr>
      </w:pPr>
      <w:r>
        <w:rPr>
          <w:sz w:val="24"/>
          <w:szCs w:val="24"/>
        </w:rPr>
        <w:t xml:space="preserve">Ministerstvo vnútra SR vynaložilo </w:t>
      </w:r>
      <w:r w:rsidRPr="00923C02">
        <w:rPr>
          <w:sz w:val="24"/>
          <w:szCs w:val="24"/>
        </w:rPr>
        <w:t>30</w:t>
      </w:r>
      <w:r w:rsidR="00AA0772">
        <w:rPr>
          <w:sz w:val="24"/>
          <w:szCs w:val="24"/>
        </w:rPr>
        <w:t> </w:t>
      </w:r>
      <w:r w:rsidRPr="00923C02">
        <w:rPr>
          <w:sz w:val="24"/>
          <w:szCs w:val="24"/>
        </w:rPr>
        <w:t>308</w:t>
      </w:r>
      <w:r w:rsidR="00AA0772">
        <w:rPr>
          <w:sz w:val="24"/>
          <w:szCs w:val="24"/>
        </w:rPr>
        <w:t> </w:t>
      </w:r>
      <w:r w:rsidRPr="00923C02">
        <w:rPr>
          <w:sz w:val="24"/>
          <w:szCs w:val="24"/>
        </w:rPr>
        <w:t>tis.</w:t>
      </w:r>
      <w:r w:rsidR="00AA0772">
        <w:rPr>
          <w:sz w:val="24"/>
          <w:szCs w:val="24"/>
        </w:rPr>
        <w:t> </w:t>
      </w:r>
      <w:r>
        <w:rPr>
          <w:sz w:val="24"/>
          <w:szCs w:val="24"/>
        </w:rPr>
        <w:t>eur na špeciálne stroje a zariadenia pre</w:t>
      </w:r>
      <w:r w:rsidR="00AA0772">
        <w:rPr>
          <w:sz w:val="24"/>
          <w:szCs w:val="24"/>
        </w:rPr>
        <w:t> </w:t>
      </w:r>
      <w:r>
        <w:rPr>
          <w:sz w:val="24"/>
          <w:szCs w:val="24"/>
        </w:rPr>
        <w:t xml:space="preserve">príslušníkov policajného zboru, hasičského a záchranného zboru, rôzneho charakteru napríklad </w:t>
      </w:r>
      <w:r w:rsidRPr="002E2D04">
        <w:rPr>
          <w:sz w:val="24"/>
          <w:szCs w:val="24"/>
        </w:rPr>
        <w:t>kamerové a kontrolné moduly, balistické vesty, paralyzátory, ochranné protichemické obleky, mikroskopy, termokamery, dekontaminačný box a ďalšie. Na</w:t>
      </w:r>
      <w:r w:rsidR="00922722">
        <w:rPr>
          <w:sz w:val="24"/>
          <w:szCs w:val="24"/>
        </w:rPr>
        <w:t> </w:t>
      </w:r>
      <w:r w:rsidRPr="002E2D04">
        <w:rPr>
          <w:sz w:val="24"/>
          <w:szCs w:val="24"/>
        </w:rPr>
        <w:t>výpoč</w:t>
      </w:r>
      <w:r w:rsidR="00AA0772">
        <w:rPr>
          <w:sz w:val="24"/>
          <w:szCs w:val="24"/>
        </w:rPr>
        <w:t>tovú techniku vynaložilo 16 292 </w:t>
      </w:r>
      <w:r w:rsidRPr="002E2D04">
        <w:rPr>
          <w:sz w:val="24"/>
          <w:szCs w:val="24"/>
        </w:rPr>
        <w:t>tis.</w:t>
      </w:r>
      <w:r w:rsidR="00AA0772">
        <w:rPr>
          <w:sz w:val="24"/>
          <w:szCs w:val="24"/>
        </w:rPr>
        <w:t> </w:t>
      </w:r>
      <w:r w:rsidRPr="002E2D04">
        <w:rPr>
          <w:sz w:val="24"/>
          <w:szCs w:val="24"/>
        </w:rPr>
        <w:t xml:space="preserve">eur, z toho najmä na nákup prenosných </w:t>
      </w:r>
      <w:r w:rsidRPr="002E2D04">
        <w:rPr>
          <w:sz w:val="24"/>
          <w:szCs w:val="24"/>
        </w:rPr>
        <w:lastRenderedPageBreak/>
        <w:t>počítačov, tlačiarní, skenerov, tabletov, virtualizačných serverov, na nákup centrálneho logovacieho systému a ďalšieho HW a SW vybavenia.</w:t>
      </w:r>
    </w:p>
    <w:p w14:paraId="798B411B" w14:textId="4FA6AB02" w:rsidR="004D69BF" w:rsidRDefault="004D69BF" w:rsidP="004D69BF">
      <w:pPr>
        <w:spacing w:line="240" w:lineRule="auto"/>
        <w:rPr>
          <w:sz w:val="24"/>
          <w:szCs w:val="24"/>
        </w:rPr>
      </w:pPr>
      <w:r>
        <w:rPr>
          <w:sz w:val="24"/>
          <w:szCs w:val="24"/>
        </w:rPr>
        <w:t>V rámci kapitoly Ministerstva financií SR použilo Finančné riaditeľstvo SR a DataCentrum výpočtovú techniku 6</w:t>
      </w:r>
      <w:r w:rsidR="00AA0772">
        <w:rPr>
          <w:sz w:val="24"/>
          <w:szCs w:val="24"/>
        </w:rPr>
        <w:t> </w:t>
      </w:r>
      <w:r>
        <w:rPr>
          <w:sz w:val="24"/>
          <w:szCs w:val="24"/>
        </w:rPr>
        <w:t>812</w:t>
      </w:r>
      <w:r w:rsidR="00AA0772">
        <w:rPr>
          <w:sz w:val="24"/>
          <w:szCs w:val="24"/>
        </w:rPr>
        <w:t> </w:t>
      </w:r>
      <w:r>
        <w:rPr>
          <w:sz w:val="24"/>
          <w:szCs w:val="24"/>
        </w:rPr>
        <w:t>tis.</w:t>
      </w:r>
      <w:r w:rsidR="00AA0772">
        <w:rPr>
          <w:sz w:val="24"/>
          <w:szCs w:val="24"/>
        </w:rPr>
        <w:t> </w:t>
      </w:r>
      <w:r>
        <w:rPr>
          <w:sz w:val="24"/>
          <w:szCs w:val="24"/>
        </w:rPr>
        <w:t>eur, resp. 6</w:t>
      </w:r>
      <w:r w:rsidR="00AA0772">
        <w:rPr>
          <w:sz w:val="24"/>
          <w:szCs w:val="24"/>
        </w:rPr>
        <w:t> </w:t>
      </w:r>
      <w:r>
        <w:rPr>
          <w:sz w:val="24"/>
          <w:szCs w:val="24"/>
        </w:rPr>
        <w:t>196</w:t>
      </w:r>
      <w:r w:rsidR="00AA0772">
        <w:rPr>
          <w:sz w:val="24"/>
          <w:szCs w:val="24"/>
        </w:rPr>
        <w:t> </w:t>
      </w:r>
      <w:r>
        <w:rPr>
          <w:sz w:val="24"/>
          <w:szCs w:val="24"/>
        </w:rPr>
        <w:t>tis.</w:t>
      </w:r>
      <w:r w:rsidR="00AA0772">
        <w:rPr>
          <w:sz w:val="24"/>
          <w:szCs w:val="24"/>
        </w:rPr>
        <w:t> </w:t>
      </w:r>
      <w:r>
        <w:rPr>
          <w:sz w:val="24"/>
          <w:szCs w:val="24"/>
        </w:rPr>
        <w:t>eur.</w:t>
      </w:r>
    </w:p>
    <w:p w14:paraId="6E4D9454" w14:textId="1BB608E1" w:rsidR="004D69BF" w:rsidRDefault="004D69BF" w:rsidP="004D69BF">
      <w:pPr>
        <w:spacing w:line="240" w:lineRule="auto"/>
        <w:rPr>
          <w:sz w:val="24"/>
          <w:szCs w:val="24"/>
        </w:rPr>
      </w:pPr>
      <w:r w:rsidRPr="0054556C">
        <w:rPr>
          <w:sz w:val="24"/>
          <w:szCs w:val="24"/>
        </w:rPr>
        <w:t xml:space="preserve">Ministerstvo zdravotníctva SR plánovalo </w:t>
      </w:r>
      <w:r w:rsidRPr="00F42B01">
        <w:rPr>
          <w:sz w:val="24"/>
          <w:szCs w:val="24"/>
        </w:rPr>
        <w:t>použiť 50</w:t>
      </w:r>
      <w:r w:rsidR="00AA0772">
        <w:rPr>
          <w:sz w:val="24"/>
          <w:szCs w:val="24"/>
        </w:rPr>
        <w:t> </w:t>
      </w:r>
      <w:r w:rsidRPr="00F42B01">
        <w:rPr>
          <w:sz w:val="24"/>
          <w:szCs w:val="24"/>
        </w:rPr>
        <w:t>997</w:t>
      </w:r>
      <w:r w:rsidR="00AA0772">
        <w:rPr>
          <w:sz w:val="24"/>
          <w:szCs w:val="24"/>
        </w:rPr>
        <w:t> </w:t>
      </w:r>
      <w:r w:rsidRPr="00F42B01">
        <w:rPr>
          <w:sz w:val="24"/>
          <w:szCs w:val="24"/>
        </w:rPr>
        <w:t>tis.</w:t>
      </w:r>
      <w:r w:rsidR="00AA0772">
        <w:rPr>
          <w:sz w:val="24"/>
          <w:szCs w:val="24"/>
        </w:rPr>
        <w:t> </w:t>
      </w:r>
      <w:r w:rsidRPr="00F42B01">
        <w:rPr>
          <w:sz w:val="24"/>
          <w:szCs w:val="24"/>
        </w:rPr>
        <w:t>eur na obstaranie prevádzkových strojov, prístrojov a zariadení, avšak nákupy v prospech samotného úradu ministerstva realizovalo len za 5</w:t>
      </w:r>
      <w:r w:rsidR="00AA0772">
        <w:rPr>
          <w:sz w:val="24"/>
          <w:szCs w:val="24"/>
        </w:rPr>
        <w:t> </w:t>
      </w:r>
      <w:r w:rsidRPr="00F42B01">
        <w:rPr>
          <w:sz w:val="24"/>
          <w:szCs w:val="24"/>
        </w:rPr>
        <w:t>336</w:t>
      </w:r>
      <w:r w:rsidR="00AA0772">
        <w:rPr>
          <w:sz w:val="24"/>
          <w:szCs w:val="24"/>
        </w:rPr>
        <w:t> </w:t>
      </w:r>
      <w:r w:rsidRPr="00F42B01">
        <w:rPr>
          <w:sz w:val="24"/>
          <w:szCs w:val="24"/>
        </w:rPr>
        <w:t>tis.</w:t>
      </w:r>
      <w:r w:rsidR="00AA0772">
        <w:rPr>
          <w:sz w:val="24"/>
          <w:szCs w:val="24"/>
        </w:rPr>
        <w:t> </w:t>
      </w:r>
      <w:r w:rsidRPr="00F42B01">
        <w:rPr>
          <w:sz w:val="24"/>
          <w:szCs w:val="24"/>
        </w:rPr>
        <w:t>eur. Ne</w:t>
      </w:r>
      <w:r w:rsidR="00AA0772">
        <w:rPr>
          <w:sz w:val="24"/>
          <w:szCs w:val="24"/>
        </w:rPr>
        <w:t>realizovanie výdavkov za 45 661 </w:t>
      </w:r>
      <w:r w:rsidRPr="00F42B01">
        <w:rPr>
          <w:sz w:val="24"/>
          <w:szCs w:val="24"/>
        </w:rPr>
        <w:t>tis.</w:t>
      </w:r>
      <w:r w:rsidR="00AA0772">
        <w:rPr>
          <w:sz w:val="24"/>
          <w:szCs w:val="24"/>
        </w:rPr>
        <w:t> </w:t>
      </w:r>
      <w:r w:rsidRPr="00F42B01">
        <w:rPr>
          <w:sz w:val="24"/>
          <w:szCs w:val="24"/>
        </w:rPr>
        <w:t xml:space="preserve">eur bolo spôsobené presunom prostriedkov do rozpočtových organizácií v rezorte zdravotníctva </w:t>
      </w:r>
      <w:r w:rsidRPr="0054556C">
        <w:rPr>
          <w:sz w:val="24"/>
          <w:szCs w:val="24"/>
        </w:rPr>
        <w:t>ako aj na</w:t>
      </w:r>
      <w:r w:rsidR="00AA0772">
        <w:rPr>
          <w:sz w:val="24"/>
          <w:szCs w:val="24"/>
        </w:rPr>
        <w:t> </w:t>
      </w:r>
      <w:r w:rsidRPr="0054556C">
        <w:rPr>
          <w:sz w:val="24"/>
          <w:szCs w:val="24"/>
        </w:rPr>
        <w:t>kapitálové transfery rezortným príspevkovým organizáciám.</w:t>
      </w:r>
    </w:p>
    <w:p w14:paraId="31404D88" w14:textId="0BE5DDBE" w:rsidR="004D69BF" w:rsidRDefault="004D69BF" w:rsidP="004D69BF">
      <w:pPr>
        <w:spacing w:line="240" w:lineRule="auto"/>
        <w:rPr>
          <w:sz w:val="24"/>
          <w:szCs w:val="24"/>
        </w:rPr>
      </w:pPr>
      <w:bookmarkStart w:id="126" w:name="_Hlk195617499"/>
      <w:r w:rsidRPr="00285CC5">
        <w:rPr>
          <w:b/>
          <w:bCs/>
          <w:sz w:val="24"/>
          <w:szCs w:val="24"/>
        </w:rPr>
        <w:t>Nákup dopravných prostriedkov</w:t>
      </w:r>
      <w:r>
        <w:rPr>
          <w:sz w:val="24"/>
          <w:szCs w:val="24"/>
        </w:rPr>
        <w:t xml:space="preserve"> sa realizoval opäť najmä v rezorte obrany a vnútra. Ministerstvo obran</w:t>
      </w:r>
      <w:r w:rsidR="00AA0772">
        <w:rPr>
          <w:sz w:val="24"/>
          <w:szCs w:val="24"/>
        </w:rPr>
        <w:t>y SR vynaložilo celkovo 309 876 </w:t>
      </w:r>
      <w:r>
        <w:rPr>
          <w:sz w:val="24"/>
          <w:szCs w:val="24"/>
        </w:rPr>
        <w:t>tis.</w:t>
      </w:r>
      <w:r w:rsidR="00AA0772">
        <w:rPr>
          <w:sz w:val="24"/>
          <w:szCs w:val="24"/>
        </w:rPr>
        <w:t> </w:t>
      </w:r>
      <w:r>
        <w:rPr>
          <w:sz w:val="24"/>
          <w:szCs w:val="24"/>
        </w:rPr>
        <w:t>eur najmä v podobe preddavkov na</w:t>
      </w:r>
      <w:r w:rsidR="00AA0772">
        <w:rPr>
          <w:sz w:val="24"/>
          <w:szCs w:val="24"/>
        </w:rPr>
        <w:t> </w:t>
      </w:r>
      <w:r>
        <w:rPr>
          <w:sz w:val="24"/>
          <w:szCs w:val="24"/>
        </w:rPr>
        <w:t xml:space="preserve">obstaranie vrtuľníkov, pásových bojových vozidiel, automobilov nákladných terénnych ťažkých -N3G a malého vojenského dopravného lietadla. </w:t>
      </w:r>
      <w:bookmarkEnd w:id="126"/>
      <w:r>
        <w:rPr>
          <w:sz w:val="24"/>
          <w:szCs w:val="24"/>
        </w:rPr>
        <w:t>Ministerstvo vnútra vynaložilo 22</w:t>
      </w:r>
      <w:r w:rsidR="00AA0772">
        <w:rPr>
          <w:sz w:val="24"/>
          <w:szCs w:val="24"/>
        </w:rPr>
        <w:t> </w:t>
      </w:r>
      <w:r>
        <w:rPr>
          <w:sz w:val="24"/>
          <w:szCs w:val="24"/>
        </w:rPr>
        <w:t>704</w:t>
      </w:r>
      <w:r w:rsidR="00AA0772">
        <w:rPr>
          <w:sz w:val="24"/>
          <w:szCs w:val="24"/>
        </w:rPr>
        <w:t> tis. </w:t>
      </w:r>
      <w:r>
        <w:rPr>
          <w:sz w:val="24"/>
          <w:szCs w:val="24"/>
        </w:rPr>
        <w:t>eur najmä na nákup osobných a špeciálnych automobilov, v menšej miere motocyklov a autobusov.</w:t>
      </w:r>
    </w:p>
    <w:p w14:paraId="0AEB2D5B" w14:textId="2615F97C" w:rsidR="004D69BF" w:rsidRDefault="004D69BF" w:rsidP="004D69BF">
      <w:pPr>
        <w:spacing w:line="240" w:lineRule="auto"/>
        <w:rPr>
          <w:sz w:val="24"/>
          <w:szCs w:val="24"/>
        </w:rPr>
      </w:pPr>
      <w:bookmarkStart w:id="127" w:name="_Hlk195621127"/>
      <w:r w:rsidRPr="00487F66">
        <w:rPr>
          <w:b/>
          <w:bCs/>
          <w:sz w:val="24"/>
          <w:szCs w:val="24"/>
        </w:rPr>
        <w:t>Realizácia stavieb a ich technického zhodnotenia</w:t>
      </w:r>
      <w:r>
        <w:rPr>
          <w:sz w:val="24"/>
          <w:szCs w:val="24"/>
        </w:rPr>
        <w:t xml:space="preserve"> dosiahla 241</w:t>
      </w:r>
      <w:r w:rsidR="00AA0772">
        <w:rPr>
          <w:sz w:val="24"/>
          <w:szCs w:val="24"/>
        </w:rPr>
        <w:t> </w:t>
      </w:r>
      <w:r>
        <w:rPr>
          <w:sz w:val="24"/>
          <w:szCs w:val="24"/>
        </w:rPr>
        <w:t>607</w:t>
      </w:r>
      <w:r w:rsidR="00AA0772">
        <w:rPr>
          <w:sz w:val="24"/>
          <w:szCs w:val="24"/>
        </w:rPr>
        <w:t> </w:t>
      </w:r>
      <w:r>
        <w:rPr>
          <w:sz w:val="24"/>
          <w:szCs w:val="24"/>
        </w:rPr>
        <w:t>tis.</w:t>
      </w:r>
      <w:r w:rsidR="00AA0772">
        <w:rPr>
          <w:sz w:val="24"/>
          <w:szCs w:val="24"/>
        </w:rPr>
        <w:t> </w:t>
      </w:r>
      <w:r>
        <w:rPr>
          <w:sz w:val="24"/>
          <w:szCs w:val="24"/>
        </w:rPr>
        <w:t>eur, z toho realizácia nových stavieb 37</w:t>
      </w:r>
      <w:r w:rsidR="00AA0772">
        <w:rPr>
          <w:sz w:val="24"/>
          <w:szCs w:val="24"/>
        </w:rPr>
        <w:t> </w:t>
      </w:r>
      <w:r>
        <w:rPr>
          <w:sz w:val="24"/>
          <w:szCs w:val="24"/>
        </w:rPr>
        <w:t>496</w:t>
      </w:r>
      <w:r w:rsidR="00AA0772">
        <w:rPr>
          <w:sz w:val="24"/>
          <w:szCs w:val="24"/>
        </w:rPr>
        <w:t> </w:t>
      </w:r>
      <w:r>
        <w:rPr>
          <w:sz w:val="24"/>
          <w:szCs w:val="24"/>
        </w:rPr>
        <w:t>tis.</w:t>
      </w:r>
      <w:r w:rsidR="00AA0772">
        <w:rPr>
          <w:sz w:val="24"/>
          <w:szCs w:val="24"/>
        </w:rPr>
        <w:t> </w:t>
      </w:r>
      <w:r>
        <w:rPr>
          <w:sz w:val="24"/>
          <w:szCs w:val="24"/>
        </w:rPr>
        <w:t>eur a rekonštrukcia a </w:t>
      </w:r>
      <w:r w:rsidRPr="00F42B01">
        <w:rPr>
          <w:sz w:val="24"/>
          <w:szCs w:val="24"/>
        </w:rPr>
        <w:t>modernizácia existujúcich stavieb 200</w:t>
      </w:r>
      <w:r w:rsidR="00AA0772">
        <w:rPr>
          <w:sz w:val="24"/>
          <w:szCs w:val="24"/>
        </w:rPr>
        <w:t> </w:t>
      </w:r>
      <w:r w:rsidRPr="00F42B01">
        <w:rPr>
          <w:sz w:val="24"/>
          <w:szCs w:val="24"/>
        </w:rPr>
        <w:t>492</w:t>
      </w:r>
      <w:r w:rsidR="00AA0772">
        <w:rPr>
          <w:sz w:val="24"/>
          <w:szCs w:val="24"/>
        </w:rPr>
        <w:t> </w:t>
      </w:r>
      <w:r w:rsidRPr="00F42B01">
        <w:rPr>
          <w:sz w:val="24"/>
          <w:szCs w:val="24"/>
        </w:rPr>
        <w:t>tis.</w:t>
      </w:r>
      <w:r w:rsidR="00AA0772">
        <w:rPr>
          <w:sz w:val="24"/>
          <w:szCs w:val="24"/>
        </w:rPr>
        <w:t> </w:t>
      </w:r>
      <w:r w:rsidRPr="00F42B01">
        <w:rPr>
          <w:sz w:val="24"/>
          <w:szCs w:val="24"/>
        </w:rPr>
        <w:t>eur. Najvýznamnejšie výdavky čerpala kapitola Ministerstva dopravy SR, 136</w:t>
      </w:r>
      <w:r w:rsidR="00EA4EA9">
        <w:rPr>
          <w:sz w:val="24"/>
          <w:szCs w:val="24"/>
        </w:rPr>
        <w:t> </w:t>
      </w:r>
      <w:r w:rsidRPr="00F42B01">
        <w:rPr>
          <w:sz w:val="24"/>
          <w:szCs w:val="24"/>
        </w:rPr>
        <w:t>711</w:t>
      </w:r>
      <w:r w:rsidR="00EA4EA9">
        <w:rPr>
          <w:sz w:val="24"/>
          <w:szCs w:val="24"/>
        </w:rPr>
        <w:t> </w:t>
      </w:r>
      <w:r>
        <w:rPr>
          <w:sz w:val="24"/>
          <w:szCs w:val="24"/>
        </w:rPr>
        <w:t>tis.</w:t>
      </w:r>
      <w:r w:rsidR="00EA4EA9">
        <w:rPr>
          <w:sz w:val="24"/>
          <w:szCs w:val="24"/>
        </w:rPr>
        <w:t> </w:t>
      </w:r>
      <w:r>
        <w:rPr>
          <w:sz w:val="24"/>
          <w:szCs w:val="24"/>
        </w:rPr>
        <w:t>eur, Ministerstva obrany SR, 49</w:t>
      </w:r>
      <w:r w:rsidR="00EA4EA9">
        <w:rPr>
          <w:sz w:val="24"/>
          <w:szCs w:val="24"/>
        </w:rPr>
        <w:t> </w:t>
      </w:r>
      <w:r>
        <w:rPr>
          <w:sz w:val="24"/>
          <w:szCs w:val="24"/>
        </w:rPr>
        <w:t>794</w:t>
      </w:r>
      <w:r w:rsidR="00EA4EA9">
        <w:rPr>
          <w:sz w:val="24"/>
          <w:szCs w:val="24"/>
        </w:rPr>
        <w:t> </w:t>
      </w:r>
      <w:r>
        <w:rPr>
          <w:sz w:val="24"/>
          <w:szCs w:val="24"/>
        </w:rPr>
        <w:t>tis.</w:t>
      </w:r>
      <w:r w:rsidR="00EA4EA9">
        <w:rPr>
          <w:sz w:val="24"/>
          <w:szCs w:val="24"/>
        </w:rPr>
        <w:t> </w:t>
      </w:r>
      <w:r>
        <w:rPr>
          <w:sz w:val="24"/>
          <w:szCs w:val="24"/>
        </w:rPr>
        <w:t>eur a Ministerstva vnútra SR, 13</w:t>
      </w:r>
      <w:r w:rsidR="00EA4EA9">
        <w:rPr>
          <w:sz w:val="24"/>
          <w:szCs w:val="24"/>
        </w:rPr>
        <w:t> </w:t>
      </w:r>
      <w:r>
        <w:rPr>
          <w:sz w:val="24"/>
          <w:szCs w:val="24"/>
        </w:rPr>
        <w:t>707</w:t>
      </w:r>
      <w:r w:rsidR="00EA4EA9">
        <w:rPr>
          <w:sz w:val="24"/>
          <w:szCs w:val="24"/>
        </w:rPr>
        <w:t> </w:t>
      </w:r>
      <w:r>
        <w:rPr>
          <w:sz w:val="24"/>
          <w:szCs w:val="24"/>
        </w:rPr>
        <w:t>tis.</w:t>
      </w:r>
      <w:r w:rsidR="00EA4EA9">
        <w:rPr>
          <w:sz w:val="24"/>
          <w:szCs w:val="24"/>
        </w:rPr>
        <w:t> </w:t>
      </w:r>
      <w:r>
        <w:rPr>
          <w:sz w:val="24"/>
          <w:szCs w:val="24"/>
        </w:rPr>
        <w:t>eur.</w:t>
      </w:r>
    </w:p>
    <w:bookmarkEnd w:id="127"/>
    <w:p w14:paraId="7B37B274" w14:textId="0A34A65E" w:rsidR="004D69BF" w:rsidRDefault="004D69BF" w:rsidP="004D69BF">
      <w:pPr>
        <w:spacing w:line="240" w:lineRule="auto"/>
        <w:rPr>
          <w:sz w:val="24"/>
          <w:szCs w:val="24"/>
        </w:rPr>
      </w:pPr>
      <w:r>
        <w:rPr>
          <w:sz w:val="24"/>
          <w:szCs w:val="24"/>
        </w:rPr>
        <w:t>V rámci rezortu dopravy čerpala takmer celý objem výdavkov Slovenská správa ciest, na</w:t>
      </w:r>
      <w:r w:rsidR="00EA4EA9">
        <w:rPr>
          <w:sz w:val="24"/>
          <w:szCs w:val="24"/>
        </w:rPr>
        <w:t> </w:t>
      </w:r>
      <w:r>
        <w:rPr>
          <w:sz w:val="24"/>
          <w:szCs w:val="24"/>
        </w:rPr>
        <w:t>realizáciu nových stavieb 19</w:t>
      </w:r>
      <w:r w:rsidR="00EA4EA9">
        <w:rPr>
          <w:sz w:val="24"/>
          <w:szCs w:val="24"/>
        </w:rPr>
        <w:t> </w:t>
      </w:r>
      <w:r>
        <w:rPr>
          <w:sz w:val="24"/>
          <w:szCs w:val="24"/>
        </w:rPr>
        <w:t>932</w:t>
      </w:r>
      <w:r w:rsidR="00EA4EA9">
        <w:rPr>
          <w:sz w:val="24"/>
          <w:szCs w:val="24"/>
        </w:rPr>
        <w:t> </w:t>
      </w:r>
      <w:r>
        <w:rPr>
          <w:sz w:val="24"/>
          <w:szCs w:val="24"/>
        </w:rPr>
        <w:t>tis.</w:t>
      </w:r>
      <w:r w:rsidR="00EA4EA9">
        <w:rPr>
          <w:sz w:val="24"/>
          <w:szCs w:val="24"/>
        </w:rPr>
        <w:t> </w:t>
      </w:r>
      <w:r>
        <w:rPr>
          <w:sz w:val="24"/>
          <w:szCs w:val="24"/>
        </w:rPr>
        <w:t>eur a na rekonštrukciu a modernizáciu stavieb 115</w:t>
      </w:r>
      <w:r w:rsidR="00EA4EA9">
        <w:rPr>
          <w:sz w:val="24"/>
          <w:szCs w:val="24"/>
        </w:rPr>
        <w:t> </w:t>
      </w:r>
      <w:r>
        <w:rPr>
          <w:sz w:val="24"/>
          <w:szCs w:val="24"/>
        </w:rPr>
        <w:t>408</w:t>
      </w:r>
      <w:r w:rsidR="00EA4EA9">
        <w:rPr>
          <w:sz w:val="24"/>
          <w:szCs w:val="24"/>
        </w:rPr>
        <w:t> tis. </w:t>
      </w:r>
      <w:r>
        <w:rPr>
          <w:sz w:val="24"/>
          <w:szCs w:val="24"/>
        </w:rPr>
        <w:t xml:space="preserve">eur. Išlo najmä o projekt výstavby cestnej siete, projekt I/68 Sabinov </w:t>
      </w:r>
      <w:r w:rsidR="00EA4EA9">
        <w:rPr>
          <w:sz w:val="24"/>
          <w:szCs w:val="24"/>
        </w:rPr>
        <w:t>preložky cesty (obchvat) 11 740 </w:t>
      </w:r>
      <w:r>
        <w:rPr>
          <w:sz w:val="24"/>
          <w:szCs w:val="24"/>
        </w:rPr>
        <w:t>tis.</w:t>
      </w:r>
      <w:r w:rsidR="00EA4EA9">
        <w:rPr>
          <w:sz w:val="24"/>
          <w:szCs w:val="24"/>
        </w:rPr>
        <w:t> </w:t>
      </w:r>
      <w:r>
        <w:rPr>
          <w:sz w:val="24"/>
          <w:szCs w:val="24"/>
        </w:rPr>
        <w:t>eur, ďalej projekty I/68 Plavnica preložka cesty 3</w:t>
      </w:r>
      <w:r w:rsidR="00EA4EA9">
        <w:rPr>
          <w:sz w:val="24"/>
          <w:szCs w:val="24"/>
        </w:rPr>
        <w:t> </w:t>
      </w:r>
      <w:r>
        <w:rPr>
          <w:sz w:val="24"/>
          <w:szCs w:val="24"/>
        </w:rPr>
        <w:t>012</w:t>
      </w:r>
      <w:r w:rsidR="00EA4EA9">
        <w:rPr>
          <w:sz w:val="24"/>
          <w:szCs w:val="24"/>
        </w:rPr>
        <w:t> </w:t>
      </w:r>
      <w:r>
        <w:rPr>
          <w:sz w:val="24"/>
          <w:szCs w:val="24"/>
        </w:rPr>
        <w:t>tis.</w:t>
      </w:r>
      <w:r w:rsidR="00EA4EA9">
        <w:rPr>
          <w:sz w:val="24"/>
          <w:szCs w:val="24"/>
        </w:rPr>
        <w:t> </w:t>
      </w:r>
      <w:r>
        <w:rPr>
          <w:sz w:val="24"/>
          <w:szCs w:val="24"/>
        </w:rPr>
        <w:t>eur, výstavbu verejných účelových komunikácií v regióne Nitra za 2</w:t>
      </w:r>
      <w:r w:rsidR="00EA4EA9">
        <w:rPr>
          <w:sz w:val="24"/>
          <w:szCs w:val="24"/>
        </w:rPr>
        <w:t> </w:t>
      </w:r>
      <w:r>
        <w:rPr>
          <w:sz w:val="24"/>
          <w:szCs w:val="24"/>
        </w:rPr>
        <w:t>553</w:t>
      </w:r>
      <w:r w:rsidR="00EA4EA9">
        <w:rPr>
          <w:sz w:val="24"/>
          <w:szCs w:val="24"/>
        </w:rPr>
        <w:t> tis. </w:t>
      </w:r>
      <w:r>
        <w:rPr>
          <w:sz w:val="24"/>
          <w:szCs w:val="24"/>
        </w:rPr>
        <w:t>eur a projekt I/66 Brezno</w:t>
      </w:r>
      <w:r w:rsidR="00EA4EA9">
        <w:rPr>
          <w:sz w:val="24"/>
          <w:szCs w:val="24"/>
        </w:rPr>
        <w:t> </w:t>
      </w:r>
      <w:r>
        <w:rPr>
          <w:sz w:val="24"/>
          <w:szCs w:val="24"/>
        </w:rPr>
        <w:t>–</w:t>
      </w:r>
      <w:r w:rsidR="00EA4EA9">
        <w:rPr>
          <w:sz w:val="24"/>
          <w:szCs w:val="24"/>
        </w:rPr>
        <w:t> </w:t>
      </w:r>
      <w:r>
        <w:rPr>
          <w:sz w:val="24"/>
          <w:szCs w:val="24"/>
        </w:rPr>
        <w:t>obchvat za 2</w:t>
      </w:r>
      <w:r w:rsidR="00EA4EA9">
        <w:rPr>
          <w:sz w:val="24"/>
          <w:szCs w:val="24"/>
        </w:rPr>
        <w:t> </w:t>
      </w:r>
      <w:r>
        <w:rPr>
          <w:sz w:val="24"/>
          <w:szCs w:val="24"/>
        </w:rPr>
        <w:t>367</w:t>
      </w:r>
      <w:r w:rsidR="00EA4EA9">
        <w:rPr>
          <w:sz w:val="24"/>
          <w:szCs w:val="24"/>
        </w:rPr>
        <w:t> </w:t>
      </w:r>
      <w:r>
        <w:rPr>
          <w:sz w:val="24"/>
          <w:szCs w:val="24"/>
        </w:rPr>
        <w:t>tis.</w:t>
      </w:r>
      <w:r w:rsidR="00EA4EA9">
        <w:rPr>
          <w:sz w:val="24"/>
          <w:szCs w:val="24"/>
        </w:rPr>
        <w:t> </w:t>
      </w:r>
      <w:r>
        <w:rPr>
          <w:sz w:val="24"/>
          <w:szCs w:val="24"/>
        </w:rPr>
        <w:t>eur.</w:t>
      </w:r>
    </w:p>
    <w:p w14:paraId="22C60766" w14:textId="61DC0FDB" w:rsidR="004D69BF" w:rsidRDefault="004D69BF" w:rsidP="004D69BF">
      <w:pPr>
        <w:spacing w:line="240" w:lineRule="auto"/>
        <w:rPr>
          <w:sz w:val="24"/>
          <w:szCs w:val="24"/>
        </w:rPr>
      </w:pPr>
      <w:r>
        <w:rPr>
          <w:sz w:val="24"/>
          <w:szCs w:val="24"/>
        </w:rPr>
        <w:t>V rámci výdavkov na rekonštrukciu a modernizáciu infraštruktúry použila Slovenská správa ciest 47</w:t>
      </w:r>
      <w:r w:rsidR="00EA4EA9">
        <w:rPr>
          <w:sz w:val="24"/>
          <w:szCs w:val="24"/>
        </w:rPr>
        <w:t> </w:t>
      </w:r>
      <w:r>
        <w:rPr>
          <w:sz w:val="24"/>
          <w:szCs w:val="24"/>
        </w:rPr>
        <w:t>579</w:t>
      </w:r>
      <w:r w:rsidR="00EA4EA9">
        <w:rPr>
          <w:sz w:val="24"/>
          <w:szCs w:val="24"/>
        </w:rPr>
        <w:t> </w:t>
      </w:r>
      <w:r>
        <w:rPr>
          <w:sz w:val="24"/>
          <w:szCs w:val="24"/>
        </w:rPr>
        <w:t>tis.</w:t>
      </w:r>
      <w:r w:rsidR="00EA4EA9">
        <w:rPr>
          <w:sz w:val="24"/>
          <w:szCs w:val="24"/>
        </w:rPr>
        <w:t> </w:t>
      </w:r>
      <w:r>
        <w:rPr>
          <w:sz w:val="24"/>
          <w:szCs w:val="24"/>
        </w:rPr>
        <w:t>eur zo štátneho rozpočtu na dofinancovanie projektov realizovaných v rámci OPII resp. programu Slo</w:t>
      </w:r>
      <w:r w:rsidR="00EA4EA9">
        <w:rPr>
          <w:sz w:val="24"/>
          <w:szCs w:val="24"/>
        </w:rPr>
        <w:t>vensko 21 043 </w:t>
      </w:r>
      <w:r>
        <w:rPr>
          <w:sz w:val="24"/>
          <w:szCs w:val="24"/>
        </w:rPr>
        <w:t>tis.</w:t>
      </w:r>
      <w:r w:rsidR="00EA4EA9">
        <w:rPr>
          <w:sz w:val="24"/>
          <w:szCs w:val="24"/>
        </w:rPr>
        <w:t> </w:t>
      </w:r>
      <w:r>
        <w:rPr>
          <w:sz w:val="24"/>
          <w:szCs w:val="24"/>
        </w:rPr>
        <w:t>eur a na opravu a modernizáciu mostných objektov na cestách I. triedy 16</w:t>
      </w:r>
      <w:r w:rsidR="00EA4EA9">
        <w:rPr>
          <w:sz w:val="24"/>
          <w:szCs w:val="24"/>
        </w:rPr>
        <w:t> </w:t>
      </w:r>
      <w:r>
        <w:rPr>
          <w:sz w:val="24"/>
          <w:szCs w:val="24"/>
        </w:rPr>
        <w:t>301</w:t>
      </w:r>
      <w:r w:rsidR="00EA4EA9">
        <w:rPr>
          <w:sz w:val="24"/>
          <w:szCs w:val="24"/>
        </w:rPr>
        <w:t> </w:t>
      </w:r>
      <w:r>
        <w:rPr>
          <w:sz w:val="24"/>
          <w:szCs w:val="24"/>
        </w:rPr>
        <w:t>tis.</w:t>
      </w:r>
      <w:r w:rsidR="00EA4EA9">
        <w:rPr>
          <w:sz w:val="24"/>
          <w:szCs w:val="24"/>
        </w:rPr>
        <w:t> </w:t>
      </w:r>
      <w:r>
        <w:rPr>
          <w:sz w:val="24"/>
          <w:szCs w:val="24"/>
        </w:rPr>
        <w:t>eur. Zo zdrojov EÚ boli použité výdavky na OPII, napríklad na</w:t>
      </w:r>
      <w:r w:rsidR="00EA4EA9">
        <w:rPr>
          <w:sz w:val="24"/>
          <w:szCs w:val="24"/>
        </w:rPr>
        <w:t> </w:t>
      </w:r>
      <w:r>
        <w:rPr>
          <w:sz w:val="24"/>
          <w:szCs w:val="24"/>
        </w:rPr>
        <w:t>projekt I/9 v úseku C</w:t>
      </w:r>
      <w:r w:rsidR="00EA4EA9">
        <w:rPr>
          <w:sz w:val="24"/>
          <w:szCs w:val="24"/>
        </w:rPr>
        <w:t>hocholná-Mníchova Lehota 10 133 tis. </w:t>
      </w:r>
      <w:r>
        <w:rPr>
          <w:sz w:val="24"/>
          <w:szCs w:val="24"/>
        </w:rPr>
        <w:t>eur a na modernizáciu cestných úsekov ciest I. triedy v Prešovskom a Košickom samosprávnom kraji, 8</w:t>
      </w:r>
      <w:r w:rsidR="00EA4EA9">
        <w:rPr>
          <w:sz w:val="24"/>
          <w:szCs w:val="24"/>
        </w:rPr>
        <w:t> </w:t>
      </w:r>
      <w:r>
        <w:rPr>
          <w:sz w:val="24"/>
          <w:szCs w:val="24"/>
        </w:rPr>
        <w:t>365</w:t>
      </w:r>
      <w:r w:rsidR="00EA4EA9">
        <w:rPr>
          <w:sz w:val="24"/>
          <w:szCs w:val="24"/>
        </w:rPr>
        <w:t> </w:t>
      </w:r>
      <w:r>
        <w:rPr>
          <w:sz w:val="24"/>
          <w:szCs w:val="24"/>
        </w:rPr>
        <w:t>tis.</w:t>
      </w:r>
      <w:r w:rsidR="00EA4EA9">
        <w:rPr>
          <w:sz w:val="24"/>
          <w:szCs w:val="24"/>
        </w:rPr>
        <w:t> </w:t>
      </w:r>
      <w:r>
        <w:rPr>
          <w:sz w:val="24"/>
          <w:szCs w:val="24"/>
        </w:rPr>
        <w:t>eur.</w:t>
      </w:r>
    </w:p>
    <w:p w14:paraId="2216A641" w14:textId="04CE9734" w:rsidR="004D69BF" w:rsidRPr="00F42B01" w:rsidRDefault="004D69BF" w:rsidP="004D69BF">
      <w:pPr>
        <w:spacing w:line="240" w:lineRule="auto"/>
        <w:rPr>
          <w:sz w:val="24"/>
          <w:szCs w:val="24"/>
        </w:rPr>
      </w:pPr>
      <w:r w:rsidRPr="00487F66">
        <w:rPr>
          <w:b/>
          <w:bCs/>
          <w:sz w:val="24"/>
          <w:szCs w:val="24"/>
        </w:rPr>
        <w:t>Obstaranie budov, objektov a </w:t>
      </w:r>
      <w:r w:rsidRPr="00F42B01">
        <w:rPr>
          <w:b/>
          <w:bCs/>
          <w:sz w:val="24"/>
          <w:szCs w:val="24"/>
        </w:rPr>
        <w:t xml:space="preserve">ich častí </w:t>
      </w:r>
      <w:r w:rsidRPr="00F42B01">
        <w:rPr>
          <w:sz w:val="24"/>
          <w:szCs w:val="24"/>
        </w:rPr>
        <w:t>dosiahlo 127</w:t>
      </w:r>
      <w:r w:rsidR="00EA4EA9">
        <w:rPr>
          <w:sz w:val="24"/>
          <w:szCs w:val="24"/>
        </w:rPr>
        <w:t> </w:t>
      </w:r>
      <w:r w:rsidRPr="00F42B01">
        <w:rPr>
          <w:sz w:val="24"/>
          <w:szCs w:val="24"/>
        </w:rPr>
        <w:t>595</w:t>
      </w:r>
      <w:r w:rsidR="00EA4EA9">
        <w:rPr>
          <w:sz w:val="24"/>
          <w:szCs w:val="24"/>
        </w:rPr>
        <w:t> </w:t>
      </w:r>
      <w:r w:rsidRPr="00F42B01">
        <w:rPr>
          <w:sz w:val="24"/>
          <w:szCs w:val="24"/>
        </w:rPr>
        <w:t>tis.</w:t>
      </w:r>
      <w:r w:rsidR="00EA4EA9">
        <w:rPr>
          <w:sz w:val="24"/>
          <w:szCs w:val="24"/>
        </w:rPr>
        <w:t> </w:t>
      </w:r>
      <w:r w:rsidRPr="00F42B01">
        <w:rPr>
          <w:sz w:val="24"/>
          <w:szCs w:val="24"/>
        </w:rPr>
        <w:t>eur a oproti schválenému rozpočtu bol</w:t>
      </w:r>
      <w:r w:rsidR="00EA4EA9">
        <w:rPr>
          <w:sz w:val="24"/>
          <w:szCs w:val="24"/>
        </w:rPr>
        <w:t>i tieto výdavky vyššie o 61 738 </w:t>
      </w:r>
      <w:r w:rsidRPr="00F42B01">
        <w:rPr>
          <w:sz w:val="24"/>
          <w:szCs w:val="24"/>
        </w:rPr>
        <w:t>tis.</w:t>
      </w:r>
      <w:r w:rsidR="00EA4EA9">
        <w:rPr>
          <w:sz w:val="24"/>
          <w:szCs w:val="24"/>
        </w:rPr>
        <w:t> </w:t>
      </w:r>
      <w:r w:rsidRPr="00F42B01">
        <w:rPr>
          <w:sz w:val="24"/>
          <w:szCs w:val="24"/>
        </w:rPr>
        <w:t>eur. Ministerstvo dopravy SR použilo 62</w:t>
      </w:r>
      <w:r w:rsidR="00EA4EA9">
        <w:rPr>
          <w:sz w:val="24"/>
          <w:szCs w:val="24"/>
        </w:rPr>
        <w:t> </w:t>
      </w:r>
      <w:r w:rsidRPr="00F42B01">
        <w:rPr>
          <w:sz w:val="24"/>
          <w:szCs w:val="24"/>
        </w:rPr>
        <w:t>831</w:t>
      </w:r>
      <w:r w:rsidR="00EA4EA9">
        <w:rPr>
          <w:sz w:val="24"/>
          <w:szCs w:val="24"/>
        </w:rPr>
        <w:t> </w:t>
      </w:r>
      <w:r w:rsidRPr="00F42B01">
        <w:rPr>
          <w:sz w:val="24"/>
          <w:szCs w:val="24"/>
        </w:rPr>
        <w:t>tis.</w:t>
      </w:r>
      <w:r w:rsidR="00EA4EA9">
        <w:rPr>
          <w:sz w:val="24"/>
          <w:szCs w:val="24"/>
        </w:rPr>
        <w:t> </w:t>
      </w:r>
      <w:r w:rsidRPr="00F42B01">
        <w:rPr>
          <w:sz w:val="24"/>
          <w:szCs w:val="24"/>
        </w:rPr>
        <w:t>eur v súvislosti s prebiehajúcim procesom prevodu vlastníckych práv k</w:t>
      </w:r>
      <w:r w:rsidR="00EA4EA9">
        <w:rPr>
          <w:sz w:val="24"/>
          <w:szCs w:val="24"/>
        </w:rPr>
        <w:t> </w:t>
      </w:r>
      <w:r w:rsidRPr="00F42B01">
        <w:rPr>
          <w:sz w:val="24"/>
          <w:szCs w:val="24"/>
        </w:rPr>
        <w:t>pracoviskám</w:t>
      </w:r>
      <w:r w:rsidR="00EA4EA9">
        <w:rPr>
          <w:sz w:val="24"/>
          <w:szCs w:val="24"/>
        </w:rPr>
        <w:t xml:space="preserve"> </w:t>
      </w:r>
      <w:r w:rsidRPr="00F42B01">
        <w:rPr>
          <w:sz w:val="24"/>
          <w:szCs w:val="24"/>
        </w:rPr>
        <w:t>technicko-hygienickej údržby (THÚ) vlakových súprav v Nových Zámkoch, Zvolene a Humennom. Významnú sumu výdavkov vynaložil Mestský súd Bratislava, 56</w:t>
      </w:r>
      <w:r w:rsidR="00EA4EA9">
        <w:rPr>
          <w:sz w:val="24"/>
          <w:szCs w:val="24"/>
        </w:rPr>
        <w:t> </w:t>
      </w:r>
      <w:r w:rsidRPr="00F42B01">
        <w:rPr>
          <w:sz w:val="24"/>
          <w:szCs w:val="24"/>
        </w:rPr>
        <w:t>419</w:t>
      </w:r>
      <w:r w:rsidR="00EA4EA9">
        <w:rPr>
          <w:sz w:val="24"/>
          <w:szCs w:val="24"/>
        </w:rPr>
        <w:t> </w:t>
      </w:r>
      <w:r w:rsidRPr="00F42B01">
        <w:rPr>
          <w:sz w:val="24"/>
          <w:szCs w:val="24"/>
        </w:rPr>
        <w:t>tis.</w:t>
      </w:r>
      <w:r w:rsidR="00EA4EA9">
        <w:rPr>
          <w:sz w:val="24"/>
          <w:szCs w:val="24"/>
        </w:rPr>
        <w:t> </w:t>
      </w:r>
      <w:r w:rsidRPr="00F42B01">
        <w:rPr>
          <w:sz w:val="24"/>
          <w:szCs w:val="24"/>
        </w:rPr>
        <w:t>eur, na</w:t>
      </w:r>
      <w:r w:rsidR="00EA4EA9">
        <w:rPr>
          <w:sz w:val="24"/>
          <w:szCs w:val="24"/>
        </w:rPr>
        <w:t> </w:t>
      </w:r>
      <w:r w:rsidRPr="00F42B01">
        <w:rPr>
          <w:sz w:val="24"/>
          <w:szCs w:val="24"/>
        </w:rPr>
        <w:t>obstaranie budovy pre dva bratislavské súdy. Zdroje boli uvoľnené koncom rozpočtového roka zo zdrojov POO a do konca roka 2025 by mala byť budova pripravená k používaniu Mestského súdu Bratislava III a IV. Výdavky súdu zároveň znamenali najvyššie prekročenie schváleného rozpočtu výdavkov na obstaranie budov.</w:t>
      </w:r>
    </w:p>
    <w:p w14:paraId="59F4C90E" w14:textId="3ADF62DC" w:rsidR="004D69BF" w:rsidRDefault="004D69BF" w:rsidP="004D69BF">
      <w:pPr>
        <w:spacing w:line="240" w:lineRule="auto"/>
        <w:rPr>
          <w:sz w:val="24"/>
          <w:szCs w:val="24"/>
        </w:rPr>
      </w:pPr>
      <w:r w:rsidRPr="00F42B01">
        <w:rPr>
          <w:b/>
          <w:bCs/>
          <w:sz w:val="24"/>
          <w:szCs w:val="24"/>
        </w:rPr>
        <w:t>Z ostatných výdavkov</w:t>
      </w:r>
      <w:r w:rsidRPr="00F42B01">
        <w:rPr>
          <w:sz w:val="24"/>
          <w:szCs w:val="24"/>
        </w:rPr>
        <w:t xml:space="preserve"> boli hradené najmä prípravná a projektová dokumentácia 16</w:t>
      </w:r>
      <w:r w:rsidR="00EA4EA9">
        <w:rPr>
          <w:sz w:val="24"/>
          <w:szCs w:val="24"/>
        </w:rPr>
        <w:t> </w:t>
      </w:r>
      <w:r w:rsidRPr="00F42B01">
        <w:rPr>
          <w:sz w:val="24"/>
          <w:szCs w:val="24"/>
        </w:rPr>
        <w:t>397</w:t>
      </w:r>
      <w:r w:rsidR="00EA4EA9">
        <w:rPr>
          <w:sz w:val="24"/>
          <w:szCs w:val="24"/>
        </w:rPr>
        <w:t> </w:t>
      </w:r>
      <w:r w:rsidRPr="00F42B01">
        <w:rPr>
          <w:sz w:val="24"/>
          <w:szCs w:val="24"/>
        </w:rPr>
        <w:t>tis.</w:t>
      </w:r>
      <w:r w:rsidR="00EA4EA9">
        <w:rPr>
          <w:sz w:val="24"/>
          <w:szCs w:val="24"/>
        </w:rPr>
        <w:t> </w:t>
      </w:r>
      <w:r w:rsidRPr="00F42B01">
        <w:rPr>
          <w:sz w:val="24"/>
          <w:szCs w:val="24"/>
        </w:rPr>
        <w:t>eur a združené kapitálové výdavky Sloven</w:t>
      </w:r>
      <w:r w:rsidR="00EA4EA9">
        <w:rPr>
          <w:sz w:val="24"/>
          <w:szCs w:val="24"/>
        </w:rPr>
        <w:t>skej informačnej služby, 14 103 </w:t>
      </w:r>
      <w:r w:rsidRPr="00F42B01">
        <w:rPr>
          <w:sz w:val="24"/>
          <w:szCs w:val="24"/>
        </w:rPr>
        <w:t>tis.</w:t>
      </w:r>
      <w:r w:rsidR="00EA4EA9">
        <w:rPr>
          <w:sz w:val="24"/>
          <w:szCs w:val="24"/>
        </w:rPr>
        <w:t> </w:t>
      </w:r>
      <w:r w:rsidRPr="00F42B01">
        <w:rPr>
          <w:sz w:val="24"/>
          <w:szCs w:val="24"/>
        </w:rPr>
        <w:t>eur. Nižšie čerpanie oproti schválenému rozpočtu o 308</w:t>
      </w:r>
      <w:r w:rsidR="00EA4EA9">
        <w:rPr>
          <w:sz w:val="24"/>
          <w:szCs w:val="24"/>
        </w:rPr>
        <w:t> </w:t>
      </w:r>
      <w:r w:rsidRPr="00F42B01">
        <w:rPr>
          <w:sz w:val="24"/>
          <w:szCs w:val="24"/>
        </w:rPr>
        <w:t>904</w:t>
      </w:r>
      <w:r w:rsidR="00EA4EA9">
        <w:rPr>
          <w:sz w:val="24"/>
          <w:szCs w:val="24"/>
        </w:rPr>
        <w:t> </w:t>
      </w:r>
      <w:r w:rsidRPr="00F42B01">
        <w:rPr>
          <w:sz w:val="24"/>
          <w:szCs w:val="24"/>
        </w:rPr>
        <w:t>tis.</w:t>
      </w:r>
      <w:r w:rsidR="00EA4EA9">
        <w:rPr>
          <w:sz w:val="24"/>
          <w:szCs w:val="24"/>
        </w:rPr>
        <w:t> </w:t>
      </w:r>
      <w:r w:rsidRPr="00F42B01">
        <w:rPr>
          <w:sz w:val="24"/>
          <w:szCs w:val="24"/>
        </w:rPr>
        <w:t>eur je spôsobené najmä presunom prostriedkov na</w:t>
      </w:r>
      <w:r w:rsidR="00EA4EA9">
        <w:rPr>
          <w:sz w:val="24"/>
          <w:szCs w:val="24"/>
        </w:rPr>
        <w:t> </w:t>
      </w:r>
      <w:r w:rsidRPr="00F42B01">
        <w:rPr>
          <w:sz w:val="24"/>
          <w:szCs w:val="24"/>
        </w:rPr>
        <w:t xml:space="preserve">zdroji POO v kapitole Ministerstva zdravotníctva </w:t>
      </w:r>
      <w:r>
        <w:rPr>
          <w:sz w:val="24"/>
          <w:szCs w:val="24"/>
        </w:rPr>
        <w:t xml:space="preserve">SR </w:t>
      </w:r>
      <w:r>
        <w:rPr>
          <w:sz w:val="24"/>
          <w:szCs w:val="24"/>
        </w:rPr>
        <w:lastRenderedPageBreak/>
        <w:t>(261</w:t>
      </w:r>
      <w:r w:rsidR="00EA4EA9">
        <w:rPr>
          <w:sz w:val="24"/>
          <w:szCs w:val="24"/>
        </w:rPr>
        <w:t> </w:t>
      </w:r>
      <w:r>
        <w:rPr>
          <w:sz w:val="24"/>
          <w:szCs w:val="24"/>
        </w:rPr>
        <w:t>472</w:t>
      </w:r>
      <w:r w:rsidR="00EA4EA9">
        <w:rPr>
          <w:sz w:val="24"/>
          <w:szCs w:val="24"/>
        </w:rPr>
        <w:t> </w:t>
      </w:r>
      <w:r>
        <w:rPr>
          <w:sz w:val="24"/>
          <w:szCs w:val="24"/>
        </w:rPr>
        <w:t>tis.</w:t>
      </w:r>
      <w:r w:rsidR="00EA4EA9">
        <w:rPr>
          <w:sz w:val="24"/>
          <w:szCs w:val="24"/>
        </w:rPr>
        <w:t> eur) a Úradu vlády SR (41 295 </w:t>
      </w:r>
      <w:r>
        <w:rPr>
          <w:sz w:val="24"/>
          <w:szCs w:val="24"/>
        </w:rPr>
        <w:t>tis.</w:t>
      </w:r>
      <w:r w:rsidR="00EA4EA9">
        <w:rPr>
          <w:sz w:val="24"/>
          <w:szCs w:val="24"/>
        </w:rPr>
        <w:t> </w:t>
      </w:r>
      <w:r>
        <w:rPr>
          <w:sz w:val="24"/>
          <w:szCs w:val="24"/>
        </w:rPr>
        <w:t>eur), ktoré sú realizované na úrovni prijímateľov týchto prostriedkov a klasifikované v jednotlivých druhových výdavkov.</w:t>
      </w:r>
    </w:p>
    <w:p w14:paraId="1ED1F5D4" w14:textId="77777777" w:rsidR="004D69BF" w:rsidRDefault="004D69BF" w:rsidP="004D69BF">
      <w:pPr>
        <w:spacing w:line="240" w:lineRule="auto"/>
        <w:rPr>
          <w:b/>
          <w:color w:val="5B9BD5" w:themeColor="accent1"/>
          <w:sz w:val="24"/>
          <w:szCs w:val="24"/>
        </w:rPr>
      </w:pPr>
      <w:r w:rsidRPr="0004591C">
        <w:rPr>
          <w:b/>
          <w:color w:val="5B9BD5" w:themeColor="accent1"/>
          <w:sz w:val="24"/>
          <w:szCs w:val="24"/>
        </w:rPr>
        <w:t>Kapitálové transfery</w:t>
      </w:r>
    </w:p>
    <w:p w14:paraId="77D09463" w14:textId="2D5DCA6E" w:rsidR="004D69BF" w:rsidRDefault="004D69BF" w:rsidP="004D69BF">
      <w:pPr>
        <w:spacing w:line="240" w:lineRule="auto"/>
        <w:rPr>
          <w:sz w:val="24"/>
          <w:szCs w:val="24"/>
        </w:rPr>
      </w:pPr>
      <w:r>
        <w:rPr>
          <w:sz w:val="24"/>
          <w:szCs w:val="24"/>
        </w:rPr>
        <w:t>Na kapitálové transfery z</w:t>
      </w:r>
      <w:r w:rsidRPr="00D60E74">
        <w:rPr>
          <w:sz w:val="24"/>
          <w:szCs w:val="24"/>
        </w:rPr>
        <w:t xml:space="preserve"> celkovej sumy </w:t>
      </w:r>
      <w:r w:rsidR="00EA4EA9">
        <w:rPr>
          <w:sz w:val="24"/>
          <w:szCs w:val="24"/>
        </w:rPr>
        <w:t>2 402 580 </w:t>
      </w:r>
      <w:r>
        <w:rPr>
          <w:sz w:val="24"/>
          <w:szCs w:val="24"/>
        </w:rPr>
        <w:t>tis.</w:t>
      </w:r>
      <w:r w:rsidR="00EA4EA9">
        <w:rPr>
          <w:sz w:val="24"/>
          <w:szCs w:val="24"/>
        </w:rPr>
        <w:t> </w:t>
      </w:r>
      <w:r>
        <w:rPr>
          <w:sz w:val="24"/>
          <w:szCs w:val="24"/>
        </w:rPr>
        <w:t>eur</w:t>
      </w:r>
      <w:r w:rsidRPr="00D60E74">
        <w:rPr>
          <w:sz w:val="24"/>
          <w:szCs w:val="24"/>
        </w:rPr>
        <w:t xml:space="preserve"> bolo použitých</w:t>
      </w:r>
      <w:r>
        <w:rPr>
          <w:sz w:val="24"/>
          <w:szCs w:val="24"/>
        </w:rPr>
        <w:t xml:space="preserve"> </w:t>
      </w:r>
      <w:r w:rsidRPr="00D60E74">
        <w:rPr>
          <w:sz w:val="24"/>
          <w:szCs w:val="24"/>
        </w:rPr>
        <w:t xml:space="preserve">zo zdrojov </w:t>
      </w:r>
      <w:r w:rsidR="00EA4EA9">
        <w:rPr>
          <w:sz w:val="24"/>
          <w:szCs w:val="24"/>
        </w:rPr>
        <w:t>štátneho rozpočtu 727 836 </w:t>
      </w:r>
      <w:r>
        <w:rPr>
          <w:sz w:val="24"/>
          <w:szCs w:val="24"/>
        </w:rPr>
        <w:t>tis.</w:t>
      </w:r>
      <w:r w:rsidR="00EA4EA9">
        <w:rPr>
          <w:sz w:val="24"/>
          <w:szCs w:val="24"/>
        </w:rPr>
        <w:t> </w:t>
      </w:r>
      <w:r>
        <w:rPr>
          <w:sz w:val="24"/>
          <w:szCs w:val="24"/>
        </w:rPr>
        <w:t>eur, na spolufinancovanie spoločných programov SR a EU boli vynaložených 203</w:t>
      </w:r>
      <w:r w:rsidR="00EA4EA9">
        <w:rPr>
          <w:sz w:val="24"/>
          <w:szCs w:val="24"/>
        </w:rPr>
        <w:t> </w:t>
      </w:r>
      <w:r>
        <w:rPr>
          <w:sz w:val="24"/>
          <w:szCs w:val="24"/>
        </w:rPr>
        <w:t>308</w:t>
      </w:r>
      <w:r w:rsidR="00EA4EA9">
        <w:rPr>
          <w:sz w:val="24"/>
          <w:szCs w:val="24"/>
        </w:rPr>
        <w:t> </w:t>
      </w:r>
      <w:r>
        <w:rPr>
          <w:sz w:val="24"/>
          <w:szCs w:val="24"/>
        </w:rPr>
        <w:t>tis.</w:t>
      </w:r>
      <w:r w:rsidR="00EA4EA9">
        <w:rPr>
          <w:sz w:val="24"/>
          <w:szCs w:val="24"/>
        </w:rPr>
        <w:t> </w:t>
      </w:r>
      <w:r>
        <w:rPr>
          <w:sz w:val="24"/>
          <w:szCs w:val="24"/>
        </w:rPr>
        <w:t>eu</w:t>
      </w:r>
      <w:r w:rsidR="00EA4EA9">
        <w:rPr>
          <w:sz w:val="24"/>
          <w:szCs w:val="24"/>
        </w:rPr>
        <w:t xml:space="preserve">r, zdroje </w:t>
      </w:r>
      <w:r w:rsidR="001D6597">
        <w:rPr>
          <w:sz w:val="24"/>
          <w:szCs w:val="24"/>
        </w:rPr>
        <w:t>EÚ</w:t>
      </w:r>
      <w:r w:rsidR="00EA4EA9">
        <w:rPr>
          <w:sz w:val="24"/>
          <w:szCs w:val="24"/>
        </w:rPr>
        <w:t xml:space="preserve"> dosiahli 718 388 </w:t>
      </w:r>
      <w:r>
        <w:rPr>
          <w:sz w:val="24"/>
          <w:szCs w:val="24"/>
        </w:rPr>
        <w:t>tis.</w:t>
      </w:r>
      <w:r w:rsidR="00EA4EA9">
        <w:t> </w:t>
      </w:r>
      <w:r>
        <w:rPr>
          <w:sz w:val="24"/>
          <w:szCs w:val="24"/>
        </w:rPr>
        <w:t>eur a zdroje Plánu obnovy a odolnosti 641</w:t>
      </w:r>
      <w:r w:rsidR="00EA4EA9">
        <w:rPr>
          <w:sz w:val="24"/>
          <w:szCs w:val="24"/>
        </w:rPr>
        <w:t> </w:t>
      </w:r>
      <w:r>
        <w:rPr>
          <w:sz w:val="24"/>
          <w:szCs w:val="24"/>
        </w:rPr>
        <w:t>395</w:t>
      </w:r>
      <w:r w:rsidR="00EA4EA9">
        <w:rPr>
          <w:sz w:val="24"/>
          <w:szCs w:val="24"/>
        </w:rPr>
        <w:t> </w:t>
      </w:r>
      <w:r>
        <w:rPr>
          <w:sz w:val="24"/>
          <w:szCs w:val="24"/>
        </w:rPr>
        <w:t>tis.</w:t>
      </w:r>
      <w:r w:rsidR="00EA4EA9">
        <w:rPr>
          <w:sz w:val="24"/>
          <w:szCs w:val="24"/>
        </w:rPr>
        <w:t> </w:t>
      </w:r>
      <w:r>
        <w:rPr>
          <w:sz w:val="24"/>
          <w:szCs w:val="24"/>
        </w:rPr>
        <w:t>eur a DPH k nim vo výške 107</w:t>
      </w:r>
      <w:r w:rsidR="00EA4EA9">
        <w:rPr>
          <w:sz w:val="24"/>
          <w:szCs w:val="24"/>
        </w:rPr>
        <w:t> </w:t>
      </w:r>
      <w:r>
        <w:rPr>
          <w:sz w:val="24"/>
          <w:szCs w:val="24"/>
        </w:rPr>
        <w:t>280</w:t>
      </w:r>
      <w:r w:rsidR="00EA4EA9">
        <w:rPr>
          <w:sz w:val="24"/>
          <w:szCs w:val="24"/>
        </w:rPr>
        <w:t> </w:t>
      </w:r>
      <w:r>
        <w:rPr>
          <w:sz w:val="24"/>
          <w:szCs w:val="24"/>
        </w:rPr>
        <w:t>tis.</w:t>
      </w:r>
      <w:r w:rsidR="00EA4EA9">
        <w:rPr>
          <w:sz w:val="24"/>
          <w:szCs w:val="24"/>
        </w:rPr>
        <w:t> </w:t>
      </w:r>
      <w:r>
        <w:rPr>
          <w:sz w:val="24"/>
          <w:szCs w:val="24"/>
        </w:rPr>
        <w:t>eur.</w:t>
      </w:r>
    </w:p>
    <w:p w14:paraId="17D99A05" w14:textId="335ADA2A" w:rsidR="004D69BF" w:rsidRDefault="004D69BF" w:rsidP="004D69BF">
      <w:pPr>
        <w:spacing w:line="240" w:lineRule="auto"/>
        <w:rPr>
          <w:sz w:val="24"/>
          <w:szCs w:val="24"/>
        </w:rPr>
      </w:pPr>
      <w:r>
        <w:rPr>
          <w:sz w:val="24"/>
          <w:szCs w:val="24"/>
        </w:rPr>
        <w:t>Oproti schválenému rozpočtu je skuto</w:t>
      </w:r>
      <w:r w:rsidR="00EA4EA9">
        <w:rPr>
          <w:sz w:val="24"/>
          <w:szCs w:val="24"/>
        </w:rPr>
        <w:t>čné čerpanie vyššie o 1 361 549 </w:t>
      </w:r>
      <w:r>
        <w:rPr>
          <w:sz w:val="24"/>
          <w:szCs w:val="24"/>
        </w:rPr>
        <w:t>tis.</w:t>
      </w:r>
      <w:r w:rsidR="00EA4EA9">
        <w:rPr>
          <w:sz w:val="24"/>
          <w:szCs w:val="24"/>
        </w:rPr>
        <w:t> </w:t>
      </w:r>
      <w:r>
        <w:rPr>
          <w:sz w:val="24"/>
          <w:szCs w:val="24"/>
        </w:rPr>
        <w:t>eur, medziročne boli kapitálové transfery nižšie o 878</w:t>
      </w:r>
      <w:r w:rsidR="00EA4EA9">
        <w:rPr>
          <w:sz w:val="24"/>
          <w:szCs w:val="24"/>
        </w:rPr>
        <w:t> </w:t>
      </w:r>
      <w:r>
        <w:rPr>
          <w:sz w:val="24"/>
          <w:szCs w:val="24"/>
        </w:rPr>
        <w:t>426</w:t>
      </w:r>
      <w:r w:rsidR="00EA4EA9">
        <w:rPr>
          <w:sz w:val="24"/>
          <w:szCs w:val="24"/>
        </w:rPr>
        <w:t> </w:t>
      </w:r>
      <w:r>
        <w:rPr>
          <w:sz w:val="24"/>
          <w:szCs w:val="24"/>
        </w:rPr>
        <w:t>tis.</w:t>
      </w:r>
      <w:r w:rsidR="00EA4EA9">
        <w:rPr>
          <w:sz w:val="24"/>
          <w:szCs w:val="24"/>
        </w:rPr>
        <w:t> </w:t>
      </w:r>
      <w:r>
        <w:rPr>
          <w:sz w:val="24"/>
          <w:szCs w:val="24"/>
        </w:rPr>
        <w:t>eur. Oproti pôvodne schválenému rozpočtu sa výrazne zvýšili výdavky na zdroji štátneho rozpočtu, o 482</w:t>
      </w:r>
      <w:r w:rsidR="00EA4EA9">
        <w:rPr>
          <w:sz w:val="24"/>
          <w:szCs w:val="24"/>
        </w:rPr>
        <w:t> </w:t>
      </w:r>
      <w:r>
        <w:rPr>
          <w:sz w:val="24"/>
          <w:szCs w:val="24"/>
        </w:rPr>
        <w:t>717</w:t>
      </w:r>
      <w:r w:rsidR="00EA4EA9">
        <w:rPr>
          <w:sz w:val="24"/>
          <w:szCs w:val="24"/>
        </w:rPr>
        <w:t> </w:t>
      </w:r>
      <w:r>
        <w:rPr>
          <w:sz w:val="24"/>
          <w:szCs w:val="24"/>
        </w:rPr>
        <w:t>tis.</w:t>
      </w:r>
      <w:r w:rsidR="00EA4EA9">
        <w:rPr>
          <w:sz w:val="24"/>
          <w:szCs w:val="24"/>
        </w:rPr>
        <w:t> </w:t>
      </w:r>
      <w:r>
        <w:rPr>
          <w:sz w:val="24"/>
          <w:szCs w:val="24"/>
        </w:rPr>
        <w:t xml:space="preserve">eur a zdroji </w:t>
      </w:r>
      <w:r w:rsidR="001D6597">
        <w:rPr>
          <w:sz w:val="24"/>
          <w:szCs w:val="24"/>
        </w:rPr>
        <w:t>EÚ</w:t>
      </w:r>
      <w:r>
        <w:rPr>
          <w:sz w:val="24"/>
          <w:szCs w:val="24"/>
        </w:rPr>
        <w:t xml:space="preserve"> o 564</w:t>
      </w:r>
      <w:r w:rsidR="00EA4EA9">
        <w:rPr>
          <w:sz w:val="24"/>
          <w:szCs w:val="24"/>
        </w:rPr>
        <w:t> </w:t>
      </w:r>
      <w:r>
        <w:rPr>
          <w:sz w:val="24"/>
          <w:szCs w:val="24"/>
        </w:rPr>
        <w:t>010</w:t>
      </w:r>
      <w:r w:rsidR="00EA4EA9">
        <w:rPr>
          <w:sz w:val="24"/>
          <w:szCs w:val="24"/>
        </w:rPr>
        <w:t> </w:t>
      </w:r>
      <w:r>
        <w:rPr>
          <w:sz w:val="24"/>
          <w:szCs w:val="24"/>
        </w:rPr>
        <w:t>tis.</w:t>
      </w:r>
      <w:r w:rsidR="00EA4EA9">
        <w:rPr>
          <w:sz w:val="24"/>
          <w:szCs w:val="24"/>
        </w:rPr>
        <w:t> </w:t>
      </w:r>
      <w:r>
        <w:rPr>
          <w:sz w:val="24"/>
          <w:szCs w:val="24"/>
        </w:rPr>
        <w:t>eur. Ide aj o vplyv rozpočtovania týchto výdavkov v rámci bežných výdavkov a ich následný presun rozpočtovými opatreniami na konkrétne výdavkové tituly.</w:t>
      </w:r>
    </w:p>
    <w:p w14:paraId="35809B56" w14:textId="01866ED9" w:rsidR="006875C3" w:rsidRPr="006875C3" w:rsidRDefault="006875C3" w:rsidP="0022384F">
      <w:pPr>
        <w:pStyle w:val="Popis"/>
        <w:keepNext/>
        <w:spacing w:after="120"/>
        <w:rPr>
          <w:rFonts w:eastAsia="Times New Roman" w:cs="Times New Roman"/>
          <w:b/>
          <w:bCs/>
          <w:i w:val="0"/>
          <w:iCs w:val="0"/>
          <w:color w:val="5B9BD5"/>
          <w:sz w:val="20"/>
          <w:szCs w:val="20"/>
          <w:lang w:eastAsia="sk-SK"/>
        </w:rPr>
      </w:pPr>
      <w:bookmarkStart w:id="128" w:name="_Toc196313661"/>
      <w:bookmarkStart w:id="129" w:name="_Toc196389282"/>
      <w:r w:rsidRPr="006875C3">
        <w:rPr>
          <w:rFonts w:eastAsia="Times New Roman" w:cs="Times New Roman"/>
          <w:b/>
          <w:bCs/>
          <w:i w:val="0"/>
          <w:iCs w:val="0"/>
          <w:color w:val="5B9BD5"/>
          <w:sz w:val="20"/>
          <w:szCs w:val="20"/>
          <w:lang w:eastAsia="sk-SK"/>
        </w:rPr>
        <w:t xml:space="preserve">Tabuľka </w:t>
      </w:r>
      <w:r w:rsidRPr="006875C3">
        <w:rPr>
          <w:rFonts w:eastAsia="Times New Roman" w:cs="Times New Roman"/>
          <w:b/>
          <w:bCs/>
          <w:i w:val="0"/>
          <w:iCs w:val="0"/>
          <w:color w:val="5B9BD5"/>
          <w:sz w:val="20"/>
          <w:szCs w:val="20"/>
          <w:lang w:eastAsia="sk-SK"/>
        </w:rPr>
        <w:fldChar w:fldCharType="begin"/>
      </w:r>
      <w:r w:rsidRPr="006875C3">
        <w:rPr>
          <w:rFonts w:eastAsia="Times New Roman" w:cs="Times New Roman"/>
          <w:b/>
          <w:bCs/>
          <w:i w:val="0"/>
          <w:iCs w:val="0"/>
          <w:color w:val="5B9BD5"/>
          <w:sz w:val="20"/>
          <w:szCs w:val="20"/>
          <w:lang w:eastAsia="sk-SK"/>
        </w:rPr>
        <w:instrText xml:space="preserve"> SEQ Tabuľka \* ARABIC </w:instrText>
      </w:r>
      <w:r w:rsidRPr="006875C3">
        <w:rPr>
          <w:rFonts w:eastAsia="Times New Roman" w:cs="Times New Roman"/>
          <w:b/>
          <w:bCs/>
          <w:i w:val="0"/>
          <w:iCs w:val="0"/>
          <w:color w:val="5B9BD5"/>
          <w:sz w:val="20"/>
          <w:szCs w:val="20"/>
          <w:lang w:eastAsia="sk-SK"/>
        </w:rPr>
        <w:fldChar w:fldCharType="separate"/>
      </w:r>
      <w:r w:rsidR="00C64CBA">
        <w:rPr>
          <w:rFonts w:eastAsia="Times New Roman" w:cs="Times New Roman"/>
          <w:b/>
          <w:bCs/>
          <w:i w:val="0"/>
          <w:iCs w:val="0"/>
          <w:noProof/>
          <w:color w:val="5B9BD5"/>
          <w:sz w:val="20"/>
          <w:szCs w:val="20"/>
          <w:lang w:eastAsia="sk-SK"/>
        </w:rPr>
        <w:t>35</w:t>
      </w:r>
      <w:r w:rsidRPr="006875C3">
        <w:rPr>
          <w:rFonts w:eastAsia="Times New Roman" w:cs="Times New Roman"/>
          <w:b/>
          <w:bCs/>
          <w:i w:val="0"/>
          <w:iCs w:val="0"/>
          <w:color w:val="5B9BD5"/>
          <w:sz w:val="20"/>
          <w:szCs w:val="20"/>
          <w:lang w:eastAsia="sk-SK"/>
        </w:rPr>
        <w:fldChar w:fldCharType="end"/>
      </w:r>
      <w:r w:rsidRPr="006875C3">
        <w:rPr>
          <w:rFonts w:eastAsia="Times New Roman" w:cs="Times New Roman"/>
          <w:b/>
          <w:bCs/>
          <w:i w:val="0"/>
          <w:iCs w:val="0"/>
          <w:color w:val="5B9BD5"/>
          <w:sz w:val="20"/>
          <w:szCs w:val="20"/>
          <w:lang w:eastAsia="sk-SK"/>
        </w:rPr>
        <w:t xml:space="preserve"> - Kapitálové transfery štátneho rozpočtu</w:t>
      </w:r>
      <w:bookmarkEnd w:id="128"/>
      <w:bookmarkEnd w:id="129"/>
    </w:p>
    <w:tbl>
      <w:tblPr>
        <w:tblW w:w="5000" w:type="pct"/>
        <w:tblCellMar>
          <w:left w:w="70" w:type="dxa"/>
          <w:right w:w="70" w:type="dxa"/>
        </w:tblCellMar>
        <w:tblLook w:val="04A0" w:firstRow="1" w:lastRow="0" w:firstColumn="1" w:lastColumn="0" w:noHBand="0" w:noVBand="1"/>
      </w:tblPr>
      <w:tblGrid>
        <w:gridCol w:w="4271"/>
        <w:gridCol w:w="910"/>
        <w:gridCol w:w="909"/>
        <w:gridCol w:w="909"/>
        <w:gridCol w:w="909"/>
        <w:gridCol w:w="1022"/>
      </w:tblGrid>
      <w:tr w:rsidR="004D69BF" w:rsidRPr="009D29EA" w14:paraId="2DF2C0B9" w14:textId="77777777" w:rsidTr="001D2C2C">
        <w:trPr>
          <w:trHeight w:val="330"/>
          <w:tblHeader/>
        </w:trPr>
        <w:tc>
          <w:tcPr>
            <w:tcW w:w="2391" w:type="pct"/>
            <w:vMerge w:val="restart"/>
            <w:tcBorders>
              <w:top w:val="single" w:sz="4" w:space="0" w:color="auto"/>
              <w:left w:val="nil"/>
              <w:bottom w:val="single" w:sz="8" w:space="0" w:color="000000"/>
              <w:right w:val="nil"/>
            </w:tcBorders>
            <w:shd w:val="clear" w:color="auto" w:fill="auto"/>
            <w:vAlign w:val="center"/>
            <w:hideMark/>
          </w:tcPr>
          <w:p w14:paraId="4AFD9FED" w14:textId="77777777" w:rsidR="004D69BF" w:rsidRPr="009D29EA" w:rsidRDefault="004D69BF" w:rsidP="000240DA">
            <w:pPr>
              <w:spacing w:after="0" w:line="240" w:lineRule="auto"/>
              <w:jc w:val="left"/>
              <w:rPr>
                <w:rFonts w:eastAsia="Times New Roman" w:cs="Times New Roman"/>
                <w:b/>
                <w:bCs/>
                <w:color w:val="000000"/>
                <w:sz w:val="18"/>
                <w:szCs w:val="18"/>
                <w:lang w:eastAsia="sk-SK"/>
              </w:rPr>
            </w:pPr>
            <w:r w:rsidRPr="009D29EA">
              <w:rPr>
                <w:rFonts w:eastAsia="Times New Roman" w:cs="Times New Roman"/>
                <w:b/>
                <w:bCs/>
                <w:color w:val="000000"/>
                <w:sz w:val="18"/>
                <w:szCs w:val="18"/>
                <w:lang w:eastAsia="sk-SK"/>
              </w:rPr>
              <w:t>v tis. eur</w:t>
            </w:r>
          </w:p>
        </w:tc>
        <w:tc>
          <w:tcPr>
            <w:tcW w:w="509" w:type="pct"/>
            <w:tcBorders>
              <w:top w:val="single" w:sz="4" w:space="0" w:color="auto"/>
              <w:left w:val="nil"/>
              <w:bottom w:val="nil"/>
              <w:right w:val="nil"/>
            </w:tcBorders>
            <w:shd w:val="clear" w:color="auto" w:fill="auto"/>
            <w:vAlign w:val="center"/>
            <w:hideMark/>
          </w:tcPr>
          <w:p w14:paraId="7EED1A44" w14:textId="77777777" w:rsidR="004D69BF" w:rsidRPr="009D29EA" w:rsidRDefault="004D69BF" w:rsidP="000240DA">
            <w:pPr>
              <w:spacing w:after="0" w:line="240" w:lineRule="auto"/>
              <w:jc w:val="center"/>
              <w:rPr>
                <w:rFonts w:eastAsia="Times New Roman" w:cs="Times New Roman"/>
                <w:b/>
                <w:bCs/>
                <w:color w:val="000000"/>
                <w:sz w:val="18"/>
                <w:szCs w:val="18"/>
                <w:lang w:eastAsia="sk-SK"/>
              </w:rPr>
            </w:pPr>
            <w:r w:rsidRPr="009D29EA">
              <w:rPr>
                <w:rFonts w:eastAsia="Times New Roman" w:cs="Times New Roman"/>
                <w:b/>
                <w:bCs/>
                <w:color w:val="000000"/>
                <w:sz w:val="18"/>
                <w:szCs w:val="18"/>
                <w:lang w:eastAsia="sk-SK"/>
              </w:rPr>
              <w:t>2022 S</w:t>
            </w:r>
          </w:p>
        </w:tc>
        <w:tc>
          <w:tcPr>
            <w:tcW w:w="509" w:type="pct"/>
            <w:tcBorders>
              <w:top w:val="single" w:sz="4" w:space="0" w:color="auto"/>
              <w:left w:val="nil"/>
              <w:bottom w:val="nil"/>
              <w:right w:val="nil"/>
            </w:tcBorders>
            <w:shd w:val="clear" w:color="auto" w:fill="auto"/>
            <w:vAlign w:val="center"/>
            <w:hideMark/>
          </w:tcPr>
          <w:p w14:paraId="6915945E" w14:textId="77777777" w:rsidR="004D69BF" w:rsidRPr="009D29EA" w:rsidRDefault="004D69BF" w:rsidP="000240DA">
            <w:pPr>
              <w:spacing w:after="0" w:line="240" w:lineRule="auto"/>
              <w:jc w:val="center"/>
              <w:rPr>
                <w:rFonts w:eastAsia="Times New Roman" w:cs="Times New Roman"/>
                <w:b/>
                <w:bCs/>
                <w:color w:val="000000"/>
                <w:sz w:val="18"/>
                <w:szCs w:val="18"/>
                <w:lang w:eastAsia="sk-SK"/>
              </w:rPr>
            </w:pPr>
            <w:r w:rsidRPr="009D29EA">
              <w:rPr>
                <w:rFonts w:eastAsia="Times New Roman" w:cs="Times New Roman"/>
                <w:b/>
                <w:bCs/>
                <w:color w:val="000000"/>
                <w:sz w:val="18"/>
                <w:szCs w:val="18"/>
                <w:lang w:eastAsia="sk-SK"/>
              </w:rPr>
              <w:t>2023 S</w:t>
            </w:r>
          </w:p>
        </w:tc>
        <w:tc>
          <w:tcPr>
            <w:tcW w:w="509" w:type="pct"/>
            <w:tcBorders>
              <w:top w:val="single" w:sz="4" w:space="0" w:color="auto"/>
              <w:left w:val="nil"/>
              <w:bottom w:val="nil"/>
              <w:right w:val="nil"/>
            </w:tcBorders>
            <w:shd w:val="clear" w:color="auto" w:fill="auto"/>
            <w:vAlign w:val="center"/>
            <w:hideMark/>
          </w:tcPr>
          <w:p w14:paraId="7BE9C91D" w14:textId="77777777" w:rsidR="004D69BF" w:rsidRPr="009D29EA" w:rsidRDefault="004D69BF" w:rsidP="000240DA">
            <w:pPr>
              <w:spacing w:after="0" w:line="240" w:lineRule="auto"/>
              <w:jc w:val="center"/>
              <w:rPr>
                <w:rFonts w:eastAsia="Times New Roman" w:cs="Times New Roman"/>
                <w:b/>
                <w:bCs/>
                <w:color w:val="000000"/>
                <w:sz w:val="18"/>
                <w:szCs w:val="18"/>
                <w:lang w:eastAsia="sk-SK"/>
              </w:rPr>
            </w:pPr>
            <w:r w:rsidRPr="009D29EA">
              <w:rPr>
                <w:rFonts w:eastAsia="Times New Roman" w:cs="Times New Roman"/>
                <w:b/>
                <w:bCs/>
                <w:color w:val="000000"/>
                <w:sz w:val="18"/>
                <w:szCs w:val="18"/>
                <w:lang w:eastAsia="sk-SK"/>
              </w:rPr>
              <w:t>2024 R</w:t>
            </w:r>
          </w:p>
        </w:tc>
        <w:tc>
          <w:tcPr>
            <w:tcW w:w="509" w:type="pct"/>
            <w:tcBorders>
              <w:top w:val="single" w:sz="4" w:space="0" w:color="auto"/>
              <w:left w:val="nil"/>
              <w:bottom w:val="nil"/>
              <w:right w:val="nil"/>
            </w:tcBorders>
            <w:shd w:val="clear" w:color="auto" w:fill="auto"/>
            <w:vAlign w:val="center"/>
            <w:hideMark/>
          </w:tcPr>
          <w:p w14:paraId="52D55E1C" w14:textId="77777777" w:rsidR="004D69BF" w:rsidRPr="009D29EA" w:rsidRDefault="004D69BF" w:rsidP="000240DA">
            <w:pPr>
              <w:spacing w:after="0" w:line="240" w:lineRule="auto"/>
              <w:jc w:val="center"/>
              <w:rPr>
                <w:rFonts w:eastAsia="Times New Roman" w:cs="Times New Roman"/>
                <w:b/>
                <w:bCs/>
                <w:color w:val="000000"/>
                <w:sz w:val="18"/>
                <w:szCs w:val="18"/>
                <w:lang w:eastAsia="sk-SK"/>
              </w:rPr>
            </w:pPr>
            <w:r w:rsidRPr="009D29EA">
              <w:rPr>
                <w:rFonts w:eastAsia="Times New Roman" w:cs="Times New Roman"/>
                <w:b/>
                <w:bCs/>
                <w:color w:val="000000"/>
                <w:sz w:val="18"/>
                <w:szCs w:val="18"/>
                <w:lang w:eastAsia="sk-SK"/>
              </w:rPr>
              <w:t>2024 S</w:t>
            </w:r>
          </w:p>
        </w:tc>
        <w:tc>
          <w:tcPr>
            <w:tcW w:w="572" w:type="pct"/>
            <w:tcBorders>
              <w:top w:val="single" w:sz="4" w:space="0" w:color="auto"/>
              <w:left w:val="nil"/>
              <w:bottom w:val="nil"/>
              <w:right w:val="nil"/>
            </w:tcBorders>
            <w:shd w:val="clear" w:color="auto" w:fill="auto"/>
            <w:vAlign w:val="center"/>
            <w:hideMark/>
          </w:tcPr>
          <w:p w14:paraId="5E884CAF" w14:textId="77777777" w:rsidR="004D69BF" w:rsidRPr="009D29EA" w:rsidRDefault="004D69BF" w:rsidP="000240DA">
            <w:pPr>
              <w:spacing w:after="0" w:line="240" w:lineRule="auto"/>
              <w:jc w:val="center"/>
              <w:rPr>
                <w:rFonts w:eastAsia="Times New Roman" w:cs="Times New Roman"/>
                <w:b/>
                <w:bCs/>
                <w:color w:val="000000"/>
                <w:sz w:val="18"/>
                <w:szCs w:val="18"/>
                <w:lang w:eastAsia="sk-SK"/>
              </w:rPr>
            </w:pPr>
            <w:r w:rsidRPr="009D29EA">
              <w:rPr>
                <w:rFonts w:eastAsia="Times New Roman" w:cs="Times New Roman"/>
                <w:b/>
                <w:bCs/>
                <w:color w:val="000000"/>
                <w:sz w:val="18"/>
                <w:szCs w:val="18"/>
                <w:lang w:eastAsia="sk-SK"/>
              </w:rPr>
              <w:t>Rozdiel</w:t>
            </w:r>
          </w:p>
        </w:tc>
      </w:tr>
      <w:tr w:rsidR="004D69BF" w:rsidRPr="009D29EA" w14:paraId="6D1F5056" w14:textId="77777777" w:rsidTr="00076144">
        <w:trPr>
          <w:trHeight w:val="125"/>
          <w:tblHeader/>
        </w:trPr>
        <w:tc>
          <w:tcPr>
            <w:tcW w:w="2391" w:type="pct"/>
            <w:vMerge/>
            <w:tcBorders>
              <w:top w:val="nil"/>
              <w:left w:val="nil"/>
              <w:bottom w:val="single" w:sz="4" w:space="0" w:color="auto"/>
              <w:right w:val="nil"/>
            </w:tcBorders>
            <w:vAlign w:val="center"/>
            <w:hideMark/>
          </w:tcPr>
          <w:p w14:paraId="54D8494E" w14:textId="77777777" w:rsidR="004D69BF" w:rsidRPr="009D29EA" w:rsidRDefault="004D69BF" w:rsidP="000240DA">
            <w:pPr>
              <w:spacing w:after="0" w:line="240" w:lineRule="auto"/>
              <w:jc w:val="left"/>
              <w:rPr>
                <w:rFonts w:eastAsia="Times New Roman" w:cs="Times New Roman"/>
                <w:b/>
                <w:bCs/>
                <w:color w:val="000000"/>
                <w:sz w:val="18"/>
                <w:szCs w:val="18"/>
                <w:lang w:eastAsia="sk-SK"/>
              </w:rPr>
            </w:pPr>
          </w:p>
        </w:tc>
        <w:tc>
          <w:tcPr>
            <w:tcW w:w="509" w:type="pct"/>
            <w:tcBorders>
              <w:top w:val="nil"/>
              <w:left w:val="nil"/>
              <w:bottom w:val="single" w:sz="4" w:space="0" w:color="auto"/>
              <w:right w:val="nil"/>
            </w:tcBorders>
            <w:shd w:val="clear" w:color="auto" w:fill="auto"/>
            <w:vAlign w:val="center"/>
            <w:hideMark/>
          </w:tcPr>
          <w:p w14:paraId="088115D9" w14:textId="77777777" w:rsidR="004D69BF" w:rsidRPr="009D29EA" w:rsidRDefault="004D69BF" w:rsidP="000240DA">
            <w:pPr>
              <w:spacing w:after="0" w:line="240" w:lineRule="auto"/>
              <w:jc w:val="center"/>
              <w:rPr>
                <w:rFonts w:eastAsia="Times New Roman" w:cs="Times New Roman"/>
                <w:b/>
                <w:bCs/>
                <w:color w:val="000000"/>
                <w:sz w:val="18"/>
                <w:szCs w:val="18"/>
                <w:lang w:eastAsia="sk-SK"/>
              </w:rPr>
            </w:pPr>
            <w:r>
              <w:rPr>
                <w:rFonts w:eastAsia="Times New Roman" w:cs="Times New Roman"/>
                <w:b/>
                <w:bCs/>
                <w:color w:val="000000"/>
                <w:sz w:val="18"/>
                <w:szCs w:val="18"/>
                <w:lang w:eastAsia="sk-SK"/>
              </w:rPr>
              <w:t>1</w:t>
            </w:r>
          </w:p>
        </w:tc>
        <w:tc>
          <w:tcPr>
            <w:tcW w:w="509" w:type="pct"/>
            <w:tcBorders>
              <w:top w:val="nil"/>
              <w:left w:val="nil"/>
              <w:bottom w:val="single" w:sz="4" w:space="0" w:color="auto"/>
              <w:right w:val="nil"/>
            </w:tcBorders>
            <w:shd w:val="clear" w:color="auto" w:fill="auto"/>
            <w:vAlign w:val="center"/>
            <w:hideMark/>
          </w:tcPr>
          <w:p w14:paraId="5B2FD782" w14:textId="77777777" w:rsidR="004D69BF" w:rsidRPr="009D29EA" w:rsidRDefault="004D69BF" w:rsidP="000240DA">
            <w:pPr>
              <w:spacing w:after="0" w:line="240" w:lineRule="auto"/>
              <w:jc w:val="center"/>
              <w:rPr>
                <w:rFonts w:eastAsia="Times New Roman" w:cs="Times New Roman"/>
                <w:b/>
                <w:bCs/>
                <w:color w:val="000000"/>
                <w:sz w:val="18"/>
                <w:szCs w:val="18"/>
                <w:lang w:eastAsia="sk-SK"/>
              </w:rPr>
            </w:pPr>
            <w:r>
              <w:rPr>
                <w:rFonts w:eastAsia="Times New Roman" w:cs="Times New Roman"/>
                <w:b/>
                <w:bCs/>
                <w:color w:val="000000"/>
                <w:sz w:val="18"/>
                <w:szCs w:val="18"/>
                <w:lang w:eastAsia="sk-SK"/>
              </w:rPr>
              <w:t>2</w:t>
            </w:r>
          </w:p>
        </w:tc>
        <w:tc>
          <w:tcPr>
            <w:tcW w:w="509" w:type="pct"/>
            <w:tcBorders>
              <w:top w:val="nil"/>
              <w:left w:val="nil"/>
              <w:bottom w:val="single" w:sz="4" w:space="0" w:color="auto"/>
              <w:right w:val="nil"/>
            </w:tcBorders>
            <w:shd w:val="clear" w:color="auto" w:fill="auto"/>
            <w:vAlign w:val="center"/>
            <w:hideMark/>
          </w:tcPr>
          <w:p w14:paraId="556B8079" w14:textId="77777777" w:rsidR="004D69BF" w:rsidRPr="009D29EA" w:rsidRDefault="004D69BF" w:rsidP="000240DA">
            <w:pPr>
              <w:spacing w:after="0" w:line="240" w:lineRule="auto"/>
              <w:jc w:val="center"/>
              <w:rPr>
                <w:rFonts w:eastAsia="Times New Roman" w:cs="Times New Roman"/>
                <w:b/>
                <w:bCs/>
                <w:color w:val="000000"/>
                <w:sz w:val="18"/>
                <w:szCs w:val="18"/>
                <w:lang w:eastAsia="sk-SK"/>
              </w:rPr>
            </w:pPr>
            <w:r w:rsidRPr="009D29EA">
              <w:rPr>
                <w:rFonts w:eastAsia="Times New Roman" w:cs="Times New Roman"/>
                <w:b/>
                <w:bCs/>
                <w:color w:val="000000"/>
                <w:sz w:val="18"/>
                <w:szCs w:val="18"/>
                <w:lang w:eastAsia="sk-SK"/>
              </w:rPr>
              <w:t>3</w:t>
            </w:r>
          </w:p>
        </w:tc>
        <w:tc>
          <w:tcPr>
            <w:tcW w:w="509" w:type="pct"/>
            <w:tcBorders>
              <w:top w:val="nil"/>
              <w:left w:val="nil"/>
              <w:bottom w:val="single" w:sz="4" w:space="0" w:color="auto"/>
              <w:right w:val="nil"/>
            </w:tcBorders>
            <w:shd w:val="clear" w:color="auto" w:fill="auto"/>
            <w:vAlign w:val="center"/>
            <w:hideMark/>
          </w:tcPr>
          <w:p w14:paraId="182C9187" w14:textId="77777777" w:rsidR="004D69BF" w:rsidRPr="009D29EA" w:rsidRDefault="004D69BF" w:rsidP="000240DA">
            <w:pPr>
              <w:spacing w:after="0" w:line="240" w:lineRule="auto"/>
              <w:jc w:val="center"/>
              <w:rPr>
                <w:rFonts w:eastAsia="Times New Roman" w:cs="Times New Roman"/>
                <w:b/>
                <w:bCs/>
                <w:color w:val="000000"/>
                <w:sz w:val="18"/>
                <w:szCs w:val="18"/>
                <w:lang w:eastAsia="sk-SK"/>
              </w:rPr>
            </w:pPr>
            <w:r w:rsidRPr="009D29EA">
              <w:rPr>
                <w:rFonts w:eastAsia="Times New Roman" w:cs="Times New Roman"/>
                <w:b/>
                <w:bCs/>
                <w:color w:val="000000"/>
                <w:sz w:val="18"/>
                <w:szCs w:val="18"/>
                <w:lang w:eastAsia="sk-SK"/>
              </w:rPr>
              <w:t>4</w:t>
            </w:r>
          </w:p>
        </w:tc>
        <w:tc>
          <w:tcPr>
            <w:tcW w:w="572" w:type="pct"/>
            <w:tcBorders>
              <w:top w:val="nil"/>
              <w:left w:val="nil"/>
              <w:bottom w:val="single" w:sz="4" w:space="0" w:color="auto"/>
              <w:right w:val="nil"/>
            </w:tcBorders>
            <w:shd w:val="clear" w:color="auto" w:fill="auto"/>
            <w:vAlign w:val="center"/>
            <w:hideMark/>
          </w:tcPr>
          <w:p w14:paraId="00D7AD48" w14:textId="77777777" w:rsidR="004D69BF" w:rsidRPr="009D29EA" w:rsidRDefault="004D69BF" w:rsidP="000240DA">
            <w:pPr>
              <w:spacing w:after="0" w:line="240" w:lineRule="auto"/>
              <w:jc w:val="center"/>
              <w:rPr>
                <w:rFonts w:eastAsia="Times New Roman" w:cs="Times New Roman"/>
                <w:b/>
                <w:bCs/>
                <w:color w:val="000000"/>
                <w:sz w:val="18"/>
                <w:szCs w:val="18"/>
                <w:lang w:eastAsia="sk-SK"/>
              </w:rPr>
            </w:pPr>
            <w:r w:rsidRPr="009D29EA">
              <w:rPr>
                <w:rFonts w:eastAsia="Times New Roman" w:cs="Times New Roman"/>
                <w:b/>
                <w:bCs/>
                <w:color w:val="000000"/>
                <w:sz w:val="18"/>
                <w:szCs w:val="18"/>
                <w:lang w:eastAsia="sk-SK"/>
              </w:rPr>
              <w:t>5=4-3</w:t>
            </w:r>
          </w:p>
        </w:tc>
      </w:tr>
      <w:tr w:rsidR="004D69BF" w:rsidRPr="009D29EA" w14:paraId="289DC8BF" w14:textId="77777777" w:rsidTr="001D2C2C">
        <w:trPr>
          <w:trHeight w:val="289"/>
        </w:trPr>
        <w:tc>
          <w:tcPr>
            <w:tcW w:w="2391" w:type="pct"/>
            <w:tcBorders>
              <w:top w:val="single" w:sz="4" w:space="0" w:color="auto"/>
              <w:left w:val="nil"/>
              <w:bottom w:val="nil"/>
              <w:right w:val="nil"/>
            </w:tcBorders>
            <w:shd w:val="clear" w:color="auto" w:fill="auto"/>
            <w:vAlign w:val="center"/>
            <w:hideMark/>
          </w:tcPr>
          <w:p w14:paraId="6559E163" w14:textId="77777777" w:rsidR="004D69BF" w:rsidRPr="009D29EA" w:rsidRDefault="004D69BF" w:rsidP="000240DA">
            <w:pPr>
              <w:spacing w:after="0" w:line="240" w:lineRule="auto"/>
              <w:jc w:val="left"/>
              <w:rPr>
                <w:rFonts w:eastAsia="Times New Roman" w:cs="Times New Roman"/>
                <w:color w:val="000000"/>
                <w:sz w:val="18"/>
                <w:szCs w:val="18"/>
                <w:lang w:eastAsia="sk-SK"/>
              </w:rPr>
            </w:pPr>
            <w:r w:rsidRPr="009D29EA">
              <w:rPr>
                <w:rFonts w:eastAsia="Times New Roman" w:cs="Times New Roman"/>
                <w:color w:val="000000"/>
                <w:sz w:val="18"/>
                <w:szCs w:val="18"/>
                <w:lang w:eastAsia="sk-SK"/>
              </w:rPr>
              <w:t>v rámci verejnej správy</w:t>
            </w:r>
          </w:p>
        </w:tc>
        <w:tc>
          <w:tcPr>
            <w:tcW w:w="509" w:type="pct"/>
            <w:tcBorders>
              <w:top w:val="single" w:sz="4" w:space="0" w:color="auto"/>
              <w:left w:val="nil"/>
              <w:bottom w:val="nil"/>
              <w:right w:val="nil"/>
            </w:tcBorders>
            <w:shd w:val="clear" w:color="auto" w:fill="auto"/>
            <w:noWrap/>
            <w:vAlign w:val="center"/>
            <w:hideMark/>
          </w:tcPr>
          <w:p w14:paraId="442878CB"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1 235 685</w:t>
            </w:r>
          </w:p>
        </w:tc>
        <w:tc>
          <w:tcPr>
            <w:tcW w:w="509" w:type="pct"/>
            <w:tcBorders>
              <w:top w:val="single" w:sz="4" w:space="0" w:color="auto"/>
              <w:left w:val="nil"/>
              <w:bottom w:val="nil"/>
              <w:right w:val="nil"/>
            </w:tcBorders>
            <w:shd w:val="clear" w:color="auto" w:fill="auto"/>
            <w:noWrap/>
            <w:vAlign w:val="center"/>
            <w:hideMark/>
          </w:tcPr>
          <w:p w14:paraId="5FAED7D0"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2 769 589</w:t>
            </w:r>
          </w:p>
        </w:tc>
        <w:tc>
          <w:tcPr>
            <w:tcW w:w="509" w:type="pct"/>
            <w:tcBorders>
              <w:top w:val="single" w:sz="4" w:space="0" w:color="auto"/>
              <w:left w:val="nil"/>
              <w:bottom w:val="nil"/>
              <w:right w:val="nil"/>
            </w:tcBorders>
            <w:shd w:val="clear" w:color="auto" w:fill="auto"/>
            <w:noWrap/>
            <w:vAlign w:val="center"/>
            <w:hideMark/>
          </w:tcPr>
          <w:p w14:paraId="519A3F1F"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208 521</w:t>
            </w:r>
          </w:p>
        </w:tc>
        <w:tc>
          <w:tcPr>
            <w:tcW w:w="509" w:type="pct"/>
            <w:tcBorders>
              <w:top w:val="single" w:sz="4" w:space="0" w:color="auto"/>
              <w:left w:val="nil"/>
              <w:bottom w:val="nil"/>
              <w:right w:val="nil"/>
            </w:tcBorders>
            <w:shd w:val="clear" w:color="auto" w:fill="auto"/>
            <w:noWrap/>
            <w:vAlign w:val="center"/>
            <w:hideMark/>
          </w:tcPr>
          <w:p w14:paraId="25746C11"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1 800 489</w:t>
            </w:r>
          </w:p>
        </w:tc>
        <w:tc>
          <w:tcPr>
            <w:tcW w:w="572" w:type="pct"/>
            <w:tcBorders>
              <w:top w:val="single" w:sz="4" w:space="0" w:color="auto"/>
              <w:left w:val="nil"/>
              <w:bottom w:val="nil"/>
              <w:right w:val="nil"/>
            </w:tcBorders>
            <w:shd w:val="clear" w:color="auto" w:fill="auto"/>
            <w:noWrap/>
            <w:vAlign w:val="center"/>
            <w:hideMark/>
          </w:tcPr>
          <w:p w14:paraId="7E629FEA"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1 591 968</w:t>
            </w:r>
          </w:p>
        </w:tc>
      </w:tr>
      <w:tr w:rsidR="004D69BF" w:rsidRPr="009D29EA" w14:paraId="3E2A66E9" w14:textId="77777777" w:rsidTr="001D2C2C">
        <w:trPr>
          <w:trHeight w:val="289"/>
        </w:trPr>
        <w:tc>
          <w:tcPr>
            <w:tcW w:w="2391" w:type="pct"/>
            <w:tcBorders>
              <w:top w:val="nil"/>
              <w:left w:val="nil"/>
              <w:bottom w:val="nil"/>
              <w:right w:val="nil"/>
            </w:tcBorders>
            <w:shd w:val="clear" w:color="auto" w:fill="auto"/>
            <w:vAlign w:val="center"/>
            <w:hideMark/>
          </w:tcPr>
          <w:p w14:paraId="482B213A" w14:textId="77777777" w:rsidR="004D69BF" w:rsidRPr="009D29EA" w:rsidRDefault="004D69BF" w:rsidP="000240DA">
            <w:pPr>
              <w:spacing w:after="0" w:line="240" w:lineRule="auto"/>
              <w:jc w:val="left"/>
              <w:rPr>
                <w:rFonts w:eastAsia="Times New Roman" w:cs="Times New Roman"/>
                <w:color w:val="000000"/>
                <w:sz w:val="18"/>
                <w:szCs w:val="18"/>
                <w:lang w:eastAsia="sk-SK"/>
              </w:rPr>
            </w:pPr>
            <w:r w:rsidRPr="009D29EA">
              <w:rPr>
                <w:rFonts w:eastAsia="Times New Roman" w:cs="Times New Roman"/>
                <w:color w:val="000000"/>
                <w:sz w:val="18"/>
                <w:szCs w:val="18"/>
                <w:lang w:eastAsia="sk-SK"/>
              </w:rPr>
              <w:t xml:space="preserve"> </w:t>
            </w:r>
            <w:r>
              <w:rPr>
                <w:rFonts w:eastAsia="Times New Roman" w:cs="Times New Roman"/>
                <w:color w:val="000000"/>
                <w:sz w:val="18"/>
                <w:szCs w:val="18"/>
                <w:lang w:eastAsia="sk-SK"/>
              </w:rPr>
              <w:t xml:space="preserve">   </w:t>
            </w:r>
            <w:r w:rsidRPr="009D29EA">
              <w:rPr>
                <w:rFonts w:eastAsia="Times New Roman" w:cs="Times New Roman"/>
                <w:color w:val="000000"/>
                <w:sz w:val="18"/>
                <w:szCs w:val="18"/>
                <w:lang w:eastAsia="sk-SK"/>
              </w:rPr>
              <w:t>z toho</w:t>
            </w:r>
          </w:p>
        </w:tc>
        <w:tc>
          <w:tcPr>
            <w:tcW w:w="509" w:type="pct"/>
            <w:tcBorders>
              <w:top w:val="nil"/>
              <w:left w:val="nil"/>
              <w:bottom w:val="nil"/>
              <w:right w:val="nil"/>
            </w:tcBorders>
            <w:shd w:val="clear" w:color="auto" w:fill="auto"/>
            <w:noWrap/>
            <w:vAlign w:val="center"/>
            <w:hideMark/>
          </w:tcPr>
          <w:p w14:paraId="39A67FBE" w14:textId="77777777" w:rsidR="004D69BF" w:rsidRPr="009D29EA" w:rsidRDefault="004D69BF" w:rsidP="000240DA">
            <w:pPr>
              <w:spacing w:after="0" w:line="240" w:lineRule="auto"/>
              <w:jc w:val="left"/>
              <w:rPr>
                <w:rFonts w:eastAsia="Times New Roman" w:cs="Times New Roman"/>
                <w:color w:val="000000"/>
                <w:sz w:val="18"/>
                <w:szCs w:val="18"/>
                <w:lang w:eastAsia="sk-SK"/>
              </w:rPr>
            </w:pPr>
          </w:p>
        </w:tc>
        <w:tc>
          <w:tcPr>
            <w:tcW w:w="509" w:type="pct"/>
            <w:tcBorders>
              <w:top w:val="nil"/>
              <w:left w:val="nil"/>
              <w:bottom w:val="nil"/>
              <w:right w:val="nil"/>
            </w:tcBorders>
            <w:shd w:val="clear" w:color="auto" w:fill="auto"/>
            <w:noWrap/>
            <w:vAlign w:val="center"/>
            <w:hideMark/>
          </w:tcPr>
          <w:p w14:paraId="437F756A" w14:textId="77777777" w:rsidR="004D69BF" w:rsidRPr="009D29EA" w:rsidRDefault="004D69BF" w:rsidP="000240DA">
            <w:pPr>
              <w:spacing w:after="0" w:line="240" w:lineRule="auto"/>
              <w:jc w:val="right"/>
              <w:rPr>
                <w:rFonts w:eastAsia="Times New Roman" w:cs="Times New Roman"/>
                <w:sz w:val="20"/>
                <w:szCs w:val="20"/>
                <w:lang w:eastAsia="sk-SK"/>
              </w:rPr>
            </w:pPr>
          </w:p>
        </w:tc>
        <w:tc>
          <w:tcPr>
            <w:tcW w:w="509" w:type="pct"/>
            <w:tcBorders>
              <w:top w:val="nil"/>
              <w:left w:val="nil"/>
              <w:bottom w:val="nil"/>
              <w:right w:val="nil"/>
            </w:tcBorders>
            <w:shd w:val="clear" w:color="auto" w:fill="auto"/>
            <w:noWrap/>
            <w:vAlign w:val="center"/>
            <w:hideMark/>
          </w:tcPr>
          <w:p w14:paraId="0BC831BD" w14:textId="77777777" w:rsidR="004D69BF" w:rsidRPr="009D29EA" w:rsidRDefault="004D69BF" w:rsidP="000240DA">
            <w:pPr>
              <w:spacing w:after="0" w:line="240" w:lineRule="auto"/>
              <w:jc w:val="right"/>
              <w:rPr>
                <w:rFonts w:eastAsia="Times New Roman" w:cs="Times New Roman"/>
                <w:sz w:val="20"/>
                <w:szCs w:val="20"/>
                <w:lang w:eastAsia="sk-SK"/>
              </w:rPr>
            </w:pPr>
          </w:p>
        </w:tc>
        <w:tc>
          <w:tcPr>
            <w:tcW w:w="509" w:type="pct"/>
            <w:tcBorders>
              <w:top w:val="nil"/>
              <w:left w:val="nil"/>
              <w:bottom w:val="nil"/>
              <w:right w:val="nil"/>
            </w:tcBorders>
            <w:shd w:val="clear" w:color="auto" w:fill="auto"/>
            <w:noWrap/>
            <w:vAlign w:val="center"/>
            <w:hideMark/>
          </w:tcPr>
          <w:p w14:paraId="1A28C50D" w14:textId="77777777" w:rsidR="004D69BF" w:rsidRPr="009D29EA" w:rsidRDefault="004D69BF" w:rsidP="000240DA">
            <w:pPr>
              <w:spacing w:after="0" w:line="240" w:lineRule="auto"/>
              <w:jc w:val="right"/>
              <w:rPr>
                <w:rFonts w:eastAsia="Times New Roman" w:cs="Times New Roman"/>
                <w:sz w:val="20"/>
                <w:szCs w:val="20"/>
                <w:lang w:eastAsia="sk-SK"/>
              </w:rPr>
            </w:pPr>
          </w:p>
        </w:tc>
        <w:tc>
          <w:tcPr>
            <w:tcW w:w="572" w:type="pct"/>
            <w:tcBorders>
              <w:top w:val="nil"/>
              <w:left w:val="nil"/>
              <w:bottom w:val="nil"/>
              <w:right w:val="nil"/>
            </w:tcBorders>
            <w:shd w:val="clear" w:color="auto" w:fill="auto"/>
            <w:noWrap/>
            <w:vAlign w:val="center"/>
            <w:hideMark/>
          </w:tcPr>
          <w:p w14:paraId="291C4FB4" w14:textId="77777777" w:rsidR="004D69BF" w:rsidRPr="009D29EA" w:rsidRDefault="004D69BF" w:rsidP="000240DA">
            <w:pPr>
              <w:spacing w:after="0" w:line="240" w:lineRule="auto"/>
              <w:jc w:val="right"/>
              <w:rPr>
                <w:rFonts w:eastAsia="Times New Roman" w:cs="Times New Roman"/>
                <w:sz w:val="20"/>
                <w:szCs w:val="20"/>
                <w:lang w:eastAsia="sk-SK"/>
              </w:rPr>
            </w:pPr>
          </w:p>
        </w:tc>
      </w:tr>
      <w:tr w:rsidR="004D69BF" w:rsidRPr="009D29EA" w14:paraId="1A61E2C3" w14:textId="77777777" w:rsidTr="001D2C2C">
        <w:trPr>
          <w:trHeight w:val="289"/>
        </w:trPr>
        <w:tc>
          <w:tcPr>
            <w:tcW w:w="2391" w:type="pct"/>
            <w:tcBorders>
              <w:top w:val="nil"/>
              <w:left w:val="nil"/>
              <w:bottom w:val="nil"/>
              <w:right w:val="nil"/>
            </w:tcBorders>
            <w:shd w:val="clear" w:color="auto" w:fill="auto"/>
            <w:vAlign w:val="center"/>
            <w:hideMark/>
          </w:tcPr>
          <w:p w14:paraId="7BBACD29" w14:textId="41DF2770" w:rsidR="004D69BF" w:rsidRPr="009D29EA" w:rsidRDefault="004D69BF" w:rsidP="000240DA">
            <w:pPr>
              <w:spacing w:after="0" w:line="240" w:lineRule="auto"/>
              <w:jc w:val="left"/>
              <w:rPr>
                <w:rFonts w:eastAsia="Times New Roman" w:cs="Times New Roman"/>
                <w:color w:val="000000"/>
                <w:sz w:val="18"/>
                <w:szCs w:val="18"/>
                <w:lang w:eastAsia="sk-SK"/>
              </w:rPr>
            </w:pPr>
            <w:r w:rsidRPr="009D29EA">
              <w:rPr>
                <w:rFonts w:eastAsia="Times New Roman" w:cs="Times New Roman"/>
                <w:color w:val="000000"/>
                <w:sz w:val="18"/>
                <w:szCs w:val="18"/>
                <w:lang w:eastAsia="sk-SK"/>
              </w:rPr>
              <w:t xml:space="preserve">      Národnej diaľničnej spoločnosti, a.</w:t>
            </w:r>
            <w:r w:rsidR="00D0395E">
              <w:rPr>
                <w:rFonts w:eastAsia="Times New Roman" w:cs="Times New Roman"/>
                <w:color w:val="000000"/>
                <w:sz w:val="18"/>
                <w:szCs w:val="18"/>
                <w:lang w:eastAsia="sk-SK"/>
              </w:rPr>
              <w:t> </w:t>
            </w:r>
            <w:r w:rsidRPr="009D29EA">
              <w:rPr>
                <w:rFonts w:eastAsia="Times New Roman" w:cs="Times New Roman"/>
                <w:color w:val="000000"/>
                <w:sz w:val="18"/>
                <w:szCs w:val="18"/>
                <w:lang w:eastAsia="sk-SK"/>
              </w:rPr>
              <w:t>s.</w:t>
            </w:r>
          </w:p>
        </w:tc>
        <w:tc>
          <w:tcPr>
            <w:tcW w:w="509" w:type="pct"/>
            <w:tcBorders>
              <w:top w:val="nil"/>
              <w:left w:val="nil"/>
              <w:bottom w:val="nil"/>
              <w:right w:val="nil"/>
            </w:tcBorders>
            <w:shd w:val="clear" w:color="auto" w:fill="auto"/>
            <w:noWrap/>
            <w:vAlign w:val="center"/>
            <w:hideMark/>
          </w:tcPr>
          <w:p w14:paraId="485D99E7"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441 132</w:t>
            </w:r>
          </w:p>
        </w:tc>
        <w:tc>
          <w:tcPr>
            <w:tcW w:w="509" w:type="pct"/>
            <w:tcBorders>
              <w:top w:val="nil"/>
              <w:left w:val="nil"/>
              <w:bottom w:val="nil"/>
              <w:right w:val="nil"/>
            </w:tcBorders>
            <w:shd w:val="clear" w:color="auto" w:fill="auto"/>
            <w:noWrap/>
            <w:vAlign w:val="center"/>
            <w:hideMark/>
          </w:tcPr>
          <w:p w14:paraId="49E5FE12"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482 116</w:t>
            </w:r>
          </w:p>
        </w:tc>
        <w:tc>
          <w:tcPr>
            <w:tcW w:w="509" w:type="pct"/>
            <w:tcBorders>
              <w:top w:val="nil"/>
              <w:left w:val="nil"/>
              <w:bottom w:val="nil"/>
              <w:right w:val="nil"/>
            </w:tcBorders>
            <w:shd w:val="clear" w:color="auto" w:fill="auto"/>
            <w:noWrap/>
            <w:vAlign w:val="center"/>
            <w:hideMark/>
          </w:tcPr>
          <w:p w14:paraId="1750D980"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9 939</w:t>
            </w:r>
          </w:p>
        </w:tc>
        <w:tc>
          <w:tcPr>
            <w:tcW w:w="509" w:type="pct"/>
            <w:tcBorders>
              <w:top w:val="nil"/>
              <w:left w:val="nil"/>
              <w:bottom w:val="nil"/>
              <w:right w:val="nil"/>
            </w:tcBorders>
            <w:shd w:val="clear" w:color="auto" w:fill="auto"/>
            <w:noWrap/>
            <w:vAlign w:val="center"/>
            <w:hideMark/>
          </w:tcPr>
          <w:p w14:paraId="13B4B8A1"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462 600</w:t>
            </w:r>
          </w:p>
        </w:tc>
        <w:tc>
          <w:tcPr>
            <w:tcW w:w="572" w:type="pct"/>
            <w:tcBorders>
              <w:top w:val="nil"/>
              <w:left w:val="nil"/>
              <w:bottom w:val="nil"/>
              <w:right w:val="nil"/>
            </w:tcBorders>
            <w:shd w:val="clear" w:color="auto" w:fill="auto"/>
            <w:noWrap/>
            <w:vAlign w:val="center"/>
            <w:hideMark/>
          </w:tcPr>
          <w:p w14:paraId="171BA3A6"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452 661</w:t>
            </w:r>
          </w:p>
        </w:tc>
      </w:tr>
      <w:tr w:rsidR="004D69BF" w:rsidRPr="009D29EA" w14:paraId="7121AF34" w14:textId="77777777" w:rsidTr="001D2C2C">
        <w:trPr>
          <w:trHeight w:val="289"/>
        </w:trPr>
        <w:tc>
          <w:tcPr>
            <w:tcW w:w="2391" w:type="pct"/>
            <w:tcBorders>
              <w:top w:val="nil"/>
              <w:left w:val="nil"/>
              <w:bottom w:val="nil"/>
              <w:right w:val="nil"/>
            </w:tcBorders>
            <w:shd w:val="clear" w:color="auto" w:fill="auto"/>
            <w:vAlign w:val="center"/>
            <w:hideMark/>
          </w:tcPr>
          <w:p w14:paraId="384502F2" w14:textId="77777777" w:rsidR="004D69BF" w:rsidRPr="009D29EA" w:rsidRDefault="004D69BF" w:rsidP="000240DA">
            <w:pPr>
              <w:spacing w:after="0" w:line="240" w:lineRule="auto"/>
              <w:jc w:val="left"/>
              <w:rPr>
                <w:rFonts w:eastAsia="Times New Roman" w:cs="Times New Roman"/>
                <w:color w:val="000000"/>
                <w:sz w:val="18"/>
                <w:szCs w:val="18"/>
                <w:lang w:eastAsia="sk-SK"/>
              </w:rPr>
            </w:pPr>
            <w:r w:rsidRPr="009D29EA">
              <w:rPr>
                <w:rFonts w:eastAsia="Times New Roman" w:cs="Times New Roman"/>
                <w:color w:val="000000"/>
                <w:sz w:val="18"/>
                <w:szCs w:val="18"/>
                <w:lang w:eastAsia="sk-SK"/>
              </w:rPr>
              <w:t xml:space="preserve">      Obci</w:t>
            </w:r>
          </w:p>
        </w:tc>
        <w:tc>
          <w:tcPr>
            <w:tcW w:w="509" w:type="pct"/>
            <w:tcBorders>
              <w:top w:val="nil"/>
              <w:left w:val="nil"/>
              <w:bottom w:val="nil"/>
              <w:right w:val="nil"/>
            </w:tcBorders>
            <w:shd w:val="clear" w:color="auto" w:fill="auto"/>
            <w:noWrap/>
            <w:vAlign w:val="center"/>
            <w:hideMark/>
          </w:tcPr>
          <w:p w14:paraId="4A8EC8EB"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216 793</w:t>
            </w:r>
          </w:p>
        </w:tc>
        <w:tc>
          <w:tcPr>
            <w:tcW w:w="509" w:type="pct"/>
            <w:tcBorders>
              <w:top w:val="nil"/>
              <w:left w:val="nil"/>
              <w:bottom w:val="nil"/>
              <w:right w:val="nil"/>
            </w:tcBorders>
            <w:shd w:val="clear" w:color="auto" w:fill="auto"/>
            <w:noWrap/>
            <w:vAlign w:val="center"/>
            <w:hideMark/>
          </w:tcPr>
          <w:p w14:paraId="62BEB264"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577 263</w:t>
            </w:r>
          </w:p>
        </w:tc>
        <w:tc>
          <w:tcPr>
            <w:tcW w:w="509" w:type="pct"/>
            <w:tcBorders>
              <w:top w:val="nil"/>
              <w:left w:val="nil"/>
              <w:bottom w:val="nil"/>
              <w:right w:val="nil"/>
            </w:tcBorders>
            <w:shd w:val="clear" w:color="auto" w:fill="auto"/>
            <w:noWrap/>
            <w:vAlign w:val="center"/>
            <w:hideMark/>
          </w:tcPr>
          <w:p w14:paraId="48CE8A0F"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2 961</w:t>
            </w:r>
          </w:p>
        </w:tc>
        <w:tc>
          <w:tcPr>
            <w:tcW w:w="509" w:type="pct"/>
            <w:tcBorders>
              <w:top w:val="nil"/>
              <w:left w:val="nil"/>
              <w:bottom w:val="nil"/>
              <w:right w:val="nil"/>
            </w:tcBorders>
            <w:shd w:val="clear" w:color="auto" w:fill="auto"/>
            <w:noWrap/>
            <w:vAlign w:val="center"/>
            <w:hideMark/>
          </w:tcPr>
          <w:p w14:paraId="36933239"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391 727</w:t>
            </w:r>
          </w:p>
        </w:tc>
        <w:tc>
          <w:tcPr>
            <w:tcW w:w="572" w:type="pct"/>
            <w:tcBorders>
              <w:top w:val="nil"/>
              <w:left w:val="nil"/>
              <w:bottom w:val="nil"/>
              <w:right w:val="nil"/>
            </w:tcBorders>
            <w:shd w:val="clear" w:color="auto" w:fill="auto"/>
            <w:noWrap/>
            <w:vAlign w:val="center"/>
            <w:hideMark/>
          </w:tcPr>
          <w:p w14:paraId="47FA8734"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388 766</w:t>
            </w:r>
          </w:p>
        </w:tc>
      </w:tr>
      <w:tr w:rsidR="004D69BF" w:rsidRPr="009D29EA" w14:paraId="1266D532" w14:textId="77777777" w:rsidTr="001D2C2C">
        <w:trPr>
          <w:trHeight w:val="289"/>
        </w:trPr>
        <w:tc>
          <w:tcPr>
            <w:tcW w:w="2391" w:type="pct"/>
            <w:tcBorders>
              <w:top w:val="nil"/>
              <w:left w:val="nil"/>
              <w:bottom w:val="nil"/>
              <w:right w:val="nil"/>
            </w:tcBorders>
            <w:shd w:val="clear" w:color="auto" w:fill="auto"/>
            <w:vAlign w:val="center"/>
            <w:hideMark/>
          </w:tcPr>
          <w:p w14:paraId="344B4B83" w14:textId="77777777" w:rsidR="004D69BF" w:rsidRPr="009D29EA" w:rsidRDefault="004D69BF" w:rsidP="000240DA">
            <w:pPr>
              <w:spacing w:after="0" w:line="240" w:lineRule="auto"/>
              <w:jc w:val="left"/>
              <w:rPr>
                <w:rFonts w:eastAsia="Times New Roman" w:cs="Times New Roman"/>
                <w:color w:val="000000"/>
                <w:sz w:val="18"/>
                <w:szCs w:val="18"/>
                <w:lang w:eastAsia="sk-SK"/>
              </w:rPr>
            </w:pPr>
            <w:r w:rsidRPr="009D29EA">
              <w:rPr>
                <w:rFonts w:eastAsia="Times New Roman" w:cs="Times New Roman"/>
                <w:color w:val="000000"/>
                <w:sz w:val="18"/>
                <w:szCs w:val="18"/>
                <w:lang w:eastAsia="sk-SK"/>
              </w:rPr>
              <w:t xml:space="preserve">      Príspevkovým organizáciám</w:t>
            </w:r>
          </w:p>
        </w:tc>
        <w:tc>
          <w:tcPr>
            <w:tcW w:w="509" w:type="pct"/>
            <w:tcBorders>
              <w:top w:val="nil"/>
              <w:left w:val="nil"/>
              <w:bottom w:val="nil"/>
              <w:right w:val="nil"/>
            </w:tcBorders>
            <w:shd w:val="clear" w:color="auto" w:fill="auto"/>
            <w:noWrap/>
            <w:vAlign w:val="center"/>
            <w:hideMark/>
          </w:tcPr>
          <w:p w14:paraId="479CB08A"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139 918</w:t>
            </w:r>
          </w:p>
        </w:tc>
        <w:tc>
          <w:tcPr>
            <w:tcW w:w="509" w:type="pct"/>
            <w:tcBorders>
              <w:top w:val="nil"/>
              <w:left w:val="nil"/>
              <w:bottom w:val="nil"/>
              <w:right w:val="nil"/>
            </w:tcBorders>
            <w:shd w:val="clear" w:color="auto" w:fill="auto"/>
            <w:noWrap/>
            <w:vAlign w:val="center"/>
            <w:hideMark/>
          </w:tcPr>
          <w:p w14:paraId="612D70B4"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443 076</w:t>
            </w:r>
          </w:p>
        </w:tc>
        <w:tc>
          <w:tcPr>
            <w:tcW w:w="509" w:type="pct"/>
            <w:tcBorders>
              <w:top w:val="nil"/>
              <w:left w:val="nil"/>
              <w:bottom w:val="nil"/>
              <w:right w:val="nil"/>
            </w:tcBorders>
            <w:shd w:val="clear" w:color="auto" w:fill="auto"/>
            <w:noWrap/>
            <w:vAlign w:val="center"/>
            <w:hideMark/>
          </w:tcPr>
          <w:p w14:paraId="274989AD"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21 016</w:t>
            </w:r>
          </w:p>
        </w:tc>
        <w:tc>
          <w:tcPr>
            <w:tcW w:w="509" w:type="pct"/>
            <w:tcBorders>
              <w:top w:val="nil"/>
              <w:left w:val="nil"/>
              <w:bottom w:val="nil"/>
              <w:right w:val="nil"/>
            </w:tcBorders>
            <w:shd w:val="clear" w:color="auto" w:fill="auto"/>
            <w:noWrap/>
            <w:vAlign w:val="center"/>
            <w:hideMark/>
          </w:tcPr>
          <w:p w14:paraId="4B3374FC"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353 383</w:t>
            </w:r>
          </w:p>
        </w:tc>
        <w:tc>
          <w:tcPr>
            <w:tcW w:w="572" w:type="pct"/>
            <w:tcBorders>
              <w:top w:val="nil"/>
              <w:left w:val="nil"/>
              <w:bottom w:val="nil"/>
              <w:right w:val="nil"/>
            </w:tcBorders>
            <w:shd w:val="clear" w:color="auto" w:fill="auto"/>
            <w:noWrap/>
            <w:vAlign w:val="center"/>
            <w:hideMark/>
          </w:tcPr>
          <w:p w14:paraId="101BB7CC"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332 367</w:t>
            </w:r>
          </w:p>
        </w:tc>
      </w:tr>
      <w:tr w:rsidR="004D69BF" w:rsidRPr="009D29EA" w14:paraId="04A30591" w14:textId="77777777" w:rsidTr="001D2C2C">
        <w:trPr>
          <w:trHeight w:val="289"/>
        </w:trPr>
        <w:tc>
          <w:tcPr>
            <w:tcW w:w="2391" w:type="pct"/>
            <w:tcBorders>
              <w:top w:val="nil"/>
              <w:left w:val="nil"/>
              <w:bottom w:val="nil"/>
              <w:right w:val="nil"/>
            </w:tcBorders>
            <w:shd w:val="clear" w:color="auto" w:fill="auto"/>
            <w:vAlign w:val="center"/>
            <w:hideMark/>
          </w:tcPr>
          <w:p w14:paraId="0E0D889A" w14:textId="77777777" w:rsidR="004D69BF" w:rsidRPr="009D29EA" w:rsidRDefault="004D69BF" w:rsidP="000240DA">
            <w:pPr>
              <w:spacing w:after="0" w:line="240" w:lineRule="auto"/>
              <w:jc w:val="left"/>
              <w:rPr>
                <w:rFonts w:eastAsia="Times New Roman" w:cs="Times New Roman"/>
                <w:color w:val="000000"/>
                <w:sz w:val="18"/>
                <w:szCs w:val="18"/>
                <w:lang w:eastAsia="sk-SK"/>
              </w:rPr>
            </w:pPr>
            <w:r w:rsidRPr="009D29EA">
              <w:rPr>
                <w:rFonts w:eastAsia="Times New Roman" w:cs="Times New Roman"/>
                <w:color w:val="000000"/>
                <w:sz w:val="18"/>
                <w:szCs w:val="18"/>
                <w:lang w:eastAsia="sk-SK"/>
              </w:rPr>
              <w:t xml:space="preserve">      Železniciam SR</w:t>
            </w:r>
          </w:p>
        </w:tc>
        <w:tc>
          <w:tcPr>
            <w:tcW w:w="509" w:type="pct"/>
            <w:tcBorders>
              <w:top w:val="nil"/>
              <w:left w:val="nil"/>
              <w:bottom w:val="nil"/>
              <w:right w:val="nil"/>
            </w:tcBorders>
            <w:shd w:val="clear" w:color="auto" w:fill="auto"/>
            <w:noWrap/>
            <w:vAlign w:val="center"/>
            <w:hideMark/>
          </w:tcPr>
          <w:p w14:paraId="383E4095"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195 484</w:t>
            </w:r>
          </w:p>
        </w:tc>
        <w:tc>
          <w:tcPr>
            <w:tcW w:w="509" w:type="pct"/>
            <w:tcBorders>
              <w:top w:val="nil"/>
              <w:left w:val="nil"/>
              <w:bottom w:val="nil"/>
              <w:right w:val="nil"/>
            </w:tcBorders>
            <w:shd w:val="clear" w:color="auto" w:fill="auto"/>
            <w:noWrap/>
            <w:vAlign w:val="center"/>
            <w:hideMark/>
          </w:tcPr>
          <w:p w14:paraId="4740564A"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263 153</w:t>
            </w:r>
          </w:p>
        </w:tc>
        <w:tc>
          <w:tcPr>
            <w:tcW w:w="509" w:type="pct"/>
            <w:tcBorders>
              <w:top w:val="nil"/>
              <w:left w:val="nil"/>
              <w:bottom w:val="nil"/>
              <w:right w:val="nil"/>
            </w:tcBorders>
            <w:shd w:val="clear" w:color="auto" w:fill="auto"/>
            <w:noWrap/>
            <w:vAlign w:val="center"/>
            <w:hideMark/>
          </w:tcPr>
          <w:p w14:paraId="0A3B3DA3"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80 906</w:t>
            </w:r>
          </w:p>
        </w:tc>
        <w:tc>
          <w:tcPr>
            <w:tcW w:w="509" w:type="pct"/>
            <w:tcBorders>
              <w:top w:val="nil"/>
              <w:left w:val="nil"/>
              <w:bottom w:val="nil"/>
              <w:right w:val="nil"/>
            </w:tcBorders>
            <w:shd w:val="clear" w:color="auto" w:fill="auto"/>
            <w:noWrap/>
            <w:vAlign w:val="center"/>
            <w:hideMark/>
          </w:tcPr>
          <w:p w14:paraId="1DB84725"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267 350</w:t>
            </w:r>
          </w:p>
        </w:tc>
        <w:tc>
          <w:tcPr>
            <w:tcW w:w="572" w:type="pct"/>
            <w:tcBorders>
              <w:top w:val="nil"/>
              <w:left w:val="nil"/>
              <w:bottom w:val="nil"/>
              <w:right w:val="nil"/>
            </w:tcBorders>
            <w:shd w:val="clear" w:color="auto" w:fill="auto"/>
            <w:noWrap/>
            <w:vAlign w:val="center"/>
            <w:hideMark/>
          </w:tcPr>
          <w:p w14:paraId="418E215F"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186 444</w:t>
            </w:r>
          </w:p>
        </w:tc>
      </w:tr>
      <w:tr w:rsidR="004D69BF" w:rsidRPr="009D29EA" w14:paraId="38A6174F" w14:textId="77777777" w:rsidTr="001D2C2C">
        <w:trPr>
          <w:trHeight w:val="289"/>
        </w:trPr>
        <w:tc>
          <w:tcPr>
            <w:tcW w:w="2391" w:type="pct"/>
            <w:tcBorders>
              <w:top w:val="nil"/>
              <w:left w:val="nil"/>
              <w:bottom w:val="nil"/>
              <w:right w:val="nil"/>
            </w:tcBorders>
            <w:shd w:val="clear" w:color="auto" w:fill="auto"/>
            <w:vAlign w:val="center"/>
            <w:hideMark/>
          </w:tcPr>
          <w:p w14:paraId="7D194D29" w14:textId="77777777" w:rsidR="004D69BF" w:rsidRPr="009D29EA" w:rsidRDefault="004D69BF" w:rsidP="000240DA">
            <w:pPr>
              <w:spacing w:after="0" w:line="240" w:lineRule="auto"/>
              <w:jc w:val="left"/>
              <w:rPr>
                <w:rFonts w:eastAsia="Times New Roman" w:cs="Times New Roman"/>
                <w:color w:val="000000"/>
                <w:sz w:val="18"/>
                <w:szCs w:val="18"/>
                <w:lang w:eastAsia="sk-SK"/>
              </w:rPr>
            </w:pPr>
            <w:r w:rsidRPr="009D29EA">
              <w:rPr>
                <w:rFonts w:eastAsia="Times New Roman" w:cs="Times New Roman"/>
                <w:color w:val="000000"/>
                <w:sz w:val="18"/>
                <w:szCs w:val="18"/>
                <w:lang w:eastAsia="sk-SK"/>
              </w:rPr>
              <w:t xml:space="preserve">      Vyššiemu územnému celku</w:t>
            </w:r>
          </w:p>
        </w:tc>
        <w:tc>
          <w:tcPr>
            <w:tcW w:w="509" w:type="pct"/>
            <w:tcBorders>
              <w:top w:val="nil"/>
              <w:left w:val="nil"/>
              <w:bottom w:val="nil"/>
              <w:right w:val="nil"/>
            </w:tcBorders>
            <w:shd w:val="clear" w:color="auto" w:fill="auto"/>
            <w:noWrap/>
            <w:vAlign w:val="center"/>
            <w:hideMark/>
          </w:tcPr>
          <w:p w14:paraId="4EB214A8"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36 475</w:t>
            </w:r>
          </w:p>
        </w:tc>
        <w:tc>
          <w:tcPr>
            <w:tcW w:w="509" w:type="pct"/>
            <w:tcBorders>
              <w:top w:val="nil"/>
              <w:left w:val="nil"/>
              <w:bottom w:val="nil"/>
              <w:right w:val="nil"/>
            </w:tcBorders>
            <w:shd w:val="clear" w:color="auto" w:fill="auto"/>
            <w:noWrap/>
            <w:vAlign w:val="center"/>
            <w:hideMark/>
          </w:tcPr>
          <w:p w14:paraId="20CF4720"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308 456</w:t>
            </w:r>
          </w:p>
        </w:tc>
        <w:tc>
          <w:tcPr>
            <w:tcW w:w="509" w:type="pct"/>
            <w:tcBorders>
              <w:top w:val="nil"/>
              <w:left w:val="nil"/>
              <w:bottom w:val="nil"/>
              <w:right w:val="nil"/>
            </w:tcBorders>
            <w:shd w:val="clear" w:color="auto" w:fill="auto"/>
            <w:noWrap/>
            <w:vAlign w:val="center"/>
            <w:hideMark/>
          </w:tcPr>
          <w:p w14:paraId="4AE86526"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300</w:t>
            </w:r>
          </w:p>
        </w:tc>
        <w:tc>
          <w:tcPr>
            <w:tcW w:w="509" w:type="pct"/>
            <w:tcBorders>
              <w:top w:val="nil"/>
              <w:left w:val="nil"/>
              <w:bottom w:val="nil"/>
              <w:right w:val="nil"/>
            </w:tcBorders>
            <w:shd w:val="clear" w:color="auto" w:fill="auto"/>
            <w:noWrap/>
            <w:vAlign w:val="center"/>
            <w:hideMark/>
          </w:tcPr>
          <w:p w14:paraId="507D4A6E"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73 572</w:t>
            </w:r>
          </w:p>
        </w:tc>
        <w:tc>
          <w:tcPr>
            <w:tcW w:w="572" w:type="pct"/>
            <w:tcBorders>
              <w:top w:val="nil"/>
              <w:left w:val="nil"/>
              <w:bottom w:val="nil"/>
              <w:right w:val="nil"/>
            </w:tcBorders>
            <w:shd w:val="clear" w:color="auto" w:fill="auto"/>
            <w:noWrap/>
            <w:vAlign w:val="center"/>
            <w:hideMark/>
          </w:tcPr>
          <w:p w14:paraId="719D3FD1"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73 272</w:t>
            </w:r>
          </w:p>
        </w:tc>
      </w:tr>
      <w:tr w:rsidR="004D69BF" w:rsidRPr="009D29EA" w14:paraId="48BA74A7" w14:textId="77777777" w:rsidTr="001D2C2C">
        <w:trPr>
          <w:trHeight w:val="289"/>
        </w:trPr>
        <w:tc>
          <w:tcPr>
            <w:tcW w:w="2391" w:type="pct"/>
            <w:tcBorders>
              <w:top w:val="nil"/>
              <w:left w:val="nil"/>
              <w:bottom w:val="nil"/>
              <w:right w:val="nil"/>
            </w:tcBorders>
            <w:shd w:val="clear" w:color="auto" w:fill="auto"/>
            <w:vAlign w:val="center"/>
            <w:hideMark/>
          </w:tcPr>
          <w:p w14:paraId="56D8F835" w14:textId="77777777" w:rsidR="004D69BF" w:rsidRPr="009D29EA" w:rsidRDefault="004D69BF" w:rsidP="000240DA">
            <w:pPr>
              <w:spacing w:after="0" w:line="240" w:lineRule="auto"/>
              <w:jc w:val="left"/>
              <w:rPr>
                <w:rFonts w:eastAsia="Times New Roman" w:cs="Times New Roman"/>
                <w:color w:val="000000"/>
                <w:sz w:val="18"/>
                <w:szCs w:val="18"/>
                <w:lang w:eastAsia="sk-SK"/>
              </w:rPr>
            </w:pPr>
            <w:r w:rsidRPr="009D29EA">
              <w:rPr>
                <w:rFonts w:eastAsia="Times New Roman" w:cs="Times New Roman"/>
                <w:color w:val="000000"/>
                <w:sz w:val="18"/>
                <w:szCs w:val="18"/>
                <w:lang w:eastAsia="sk-SK"/>
              </w:rPr>
              <w:t xml:space="preserve">      Dopravným podnikom vo verejnej správe</w:t>
            </w:r>
          </w:p>
        </w:tc>
        <w:tc>
          <w:tcPr>
            <w:tcW w:w="509" w:type="pct"/>
            <w:tcBorders>
              <w:top w:val="nil"/>
              <w:left w:val="nil"/>
              <w:bottom w:val="nil"/>
              <w:right w:val="nil"/>
            </w:tcBorders>
            <w:shd w:val="clear" w:color="auto" w:fill="auto"/>
            <w:noWrap/>
            <w:vAlign w:val="center"/>
            <w:hideMark/>
          </w:tcPr>
          <w:p w14:paraId="5CB6E02B"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15 241</w:t>
            </w:r>
          </w:p>
        </w:tc>
        <w:tc>
          <w:tcPr>
            <w:tcW w:w="509" w:type="pct"/>
            <w:tcBorders>
              <w:top w:val="nil"/>
              <w:left w:val="nil"/>
              <w:bottom w:val="nil"/>
              <w:right w:val="nil"/>
            </w:tcBorders>
            <w:shd w:val="clear" w:color="auto" w:fill="auto"/>
            <w:noWrap/>
            <w:vAlign w:val="center"/>
            <w:hideMark/>
          </w:tcPr>
          <w:p w14:paraId="6EC2C66F"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185 878</w:t>
            </w:r>
          </w:p>
        </w:tc>
        <w:tc>
          <w:tcPr>
            <w:tcW w:w="509" w:type="pct"/>
            <w:tcBorders>
              <w:top w:val="nil"/>
              <w:left w:val="nil"/>
              <w:bottom w:val="nil"/>
              <w:right w:val="nil"/>
            </w:tcBorders>
            <w:shd w:val="clear" w:color="auto" w:fill="auto"/>
            <w:noWrap/>
            <w:vAlign w:val="center"/>
            <w:hideMark/>
          </w:tcPr>
          <w:p w14:paraId="414370FB"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0</w:t>
            </w:r>
          </w:p>
        </w:tc>
        <w:tc>
          <w:tcPr>
            <w:tcW w:w="509" w:type="pct"/>
            <w:tcBorders>
              <w:top w:val="nil"/>
              <w:left w:val="nil"/>
              <w:bottom w:val="nil"/>
              <w:right w:val="nil"/>
            </w:tcBorders>
            <w:shd w:val="clear" w:color="auto" w:fill="auto"/>
            <w:noWrap/>
            <w:vAlign w:val="center"/>
            <w:hideMark/>
          </w:tcPr>
          <w:p w14:paraId="5352334F"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53 725</w:t>
            </w:r>
          </w:p>
        </w:tc>
        <w:tc>
          <w:tcPr>
            <w:tcW w:w="572" w:type="pct"/>
            <w:tcBorders>
              <w:top w:val="nil"/>
              <w:left w:val="nil"/>
              <w:bottom w:val="nil"/>
              <w:right w:val="nil"/>
            </w:tcBorders>
            <w:shd w:val="clear" w:color="auto" w:fill="auto"/>
            <w:noWrap/>
            <w:vAlign w:val="center"/>
            <w:hideMark/>
          </w:tcPr>
          <w:p w14:paraId="13874DA5"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53 725</w:t>
            </w:r>
          </w:p>
        </w:tc>
      </w:tr>
      <w:tr w:rsidR="004D69BF" w:rsidRPr="009D29EA" w14:paraId="64F7F092" w14:textId="77777777" w:rsidTr="001D2C2C">
        <w:trPr>
          <w:trHeight w:val="289"/>
        </w:trPr>
        <w:tc>
          <w:tcPr>
            <w:tcW w:w="2391" w:type="pct"/>
            <w:tcBorders>
              <w:top w:val="nil"/>
              <w:left w:val="nil"/>
              <w:bottom w:val="nil"/>
              <w:right w:val="nil"/>
            </w:tcBorders>
            <w:shd w:val="clear" w:color="auto" w:fill="auto"/>
            <w:vAlign w:val="center"/>
            <w:hideMark/>
          </w:tcPr>
          <w:p w14:paraId="341A0FF9" w14:textId="77777777" w:rsidR="004D69BF" w:rsidRPr="009D29EA" w:rsidRDefault="004D69BF" w:rsidP="000240DA">
            <w:pPr>
              <w:spacing w:after="0" w:line="240" w:lineRule="auto"/>
              <w:jc w:val="left"/>
              <w:rPr>
                <w:rFonts w:eastAsia="Times New Roman" w:cs="Times New Roman"/>
                <w:color w:val="000000"/>
                <w:sz w:val="18"/>
                <w:szCs w:val="18"/>
                <w:lang w:eastAsia="sk-SK"/>
              </w:rPr>
            </w:pPr>
            <w:r w:rsidRPr="009D29EA">
              <w:rPr>
                <w:rFonts w:eastAsia="Times New Roman" w:cs="Times New Roman"/>
                <w:color w:val="000000"/>
                <w:sz w:val="18"/>
                <w:szCs w:val="18"/>
                <w:lang w:eastAsia="sk-SK"/>
              </w:rPr>
              <w:t xml:space="preserve">      Verejným vysokým školám</w:t>
            </w:r>
          </w:p>
        </w:tc>
        <w:tc>
          <w:tcPr>
            <w:tcW w:w="509" w:type="pct"/>
            <w:tcBorders>
              <w:top w:val="nil"/>
              <w:left w:val="nil"/>
              <w:bottom w:val="nil"/>
              <w:right w:val="nil"/>
            </w:tcBorders>
            <w:shd w:val="clear" w:color="auto" w:fill="auto"/>
            <w:noWrap/>
            <w:vAlign w:val="center"/>
            <w:hideMark/>
          </w:tcPr>
          <w:p w14:paraId="66E38D1C"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63 219</w:t>
            </w:r>
          </w:p>
        </w:tc>
        <w:tc>
          <w:tcPr>
            <w:tcW w:w="509" w:type="pct"/>
            <w:tcBorders>
              <w:top w:val="nil"/>
              <w:left w:val="nil"/>
              <w:bottom w:val="nil"/>
              <w:right w:val="nil"/>
            </w:tcBorders>
            <w:shd w:val="clear" w:color="auto" w:fill="auto"/>
            <w:noWrap/>
            <w:vAlign w:val="center"/>
            <w:hideMark/>
          </w:tcPr>
          <w:p w14:paraId="42A95A37"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131 859</w:t>
            </w:r>
          </w:p>
        </w:tc>
        <w:tc>
          <w:tcPr>
            <w:tcW w:w="509" w:type="pct"/>
            <w:tcBorders>
              <w:top w:val="nil"/>
              <w:left w:val="nil"/>
              <w:bottom w:val="nil"/>
              <w:right w:val="nil"/>
            </w:tcBorders>
            <w:shd w:val="clear" w:color="auto" w:fill="auto"/>
            <w:noWrap/>
            <w:vAlign w:val="center"/>
            <w:hideMark/>
          </w:tcPr>
          <w:p w14:paraId="75F6D129"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51 090</w:t>
            </w:r>
          </w:p>
        </w:tc>
        <w:tc>
          <w:tcPr>
            <w:tcW w:w="509" w:type="pct"/>
            <w:tcBorders>
              <w:top w:val="nil"/>
              <w:left w:val="nil"/>
              <w:bottom w:val="nil"/>
              <w:right w:val="nil"/>
            </w:tcBorders>
            <w:shd w:val="clear" w:color="auto" w:fill="auto"/>
            <w:noWrap/>
            <w:vAlign w:val="center"/>
            <w:hideMark/>
          </w:tcPr>
          <w:p w14:paraId="18C3024A"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45 812</w:t>
            </w:r>
          </w:p>
        </w:tc>
        <w:tc>
          <w:tcPr>
            <w:tcW w:w="572" w:type="pct"/>
            <w:tcBorders>
              <w:top w:val="nil"/>
              <w:left w:val="nil"/>
              <w:bottom w:val="nil"/>
              <w:right w:val="nil"/>
            </w:tcBorders>
            <w:shd w:val="clear" w:color="auto" w:fill="auto"/>
            <w:noWrap/>
            <w:vAlign w:val="center"/>
            <w:hideMark/>
          </w:tcPr>
          <w:p w14:paraId="0C3B960C"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-5 278</w:t>
            </w:r>
          </w:p>
        </w:tc>
      </w:tr>
      <w:tr w:rsidR="004D69BF" w:rsidRPr="009D29EA" w14:paraId="74C95A70" w14:textId="77777777" w:rsidTr="001D2C2C">
        <w:trPr>
          <w:trHeight w:val="289"/>
        </w:trPr>
        <w:tc>
          <w:tcPr>
            <w:tcW w:w="2391" w:type="pct"/>
            <w:tcBorders>
              <w:top w:val="nil"/>
              <w:left w:val="nil"/>
              <w:bottom w:val="nil"/>
              <w:right w:val="nil"/>
            </w:tcBorders>
            <w:shd w:val="clear" w:color="auto" w:fill="auto"/>
            <w:vAlign w:val="center"/>
            <w:hideMark/>
          </w:tcPr>
          <w:p w14:paraId="16D5034F" w14:textId="77777777" w:rsidR="004D69BF" w:rsidRPr="009D29EA" w:rsidRDefault="004D69BF" w:rsidP="000240DA">
            <w:pPr>
              <w:spacing w:after="0" w:line="240" w:lineRule="auto"/>
              <w:jc w:val="left"/>
              <w:rPr>
                <w:rFonts w:eastAsia="Times New Roman" w:cs="Times New Roman"/>
                <w:color w:val="000000"/>
                <w:sz w:val="18"/>
                <w:szCs w:val="18"/>
                <w:lang w:eastAsia="sk-SK"/>
              </w:rPr>
            </w:pPr>
            <w:r w:rsidRPr="009D29EA">
              <w:rPr>
                <w:rFonts w:eastAsia="Times New Roman" w:cs="Times New Roman"/>
                <w:color w:val="000000"/>
                <w:sz w:val="18"/>
                <w:szCs w:val="18"/>
                <w:lang w:eastAsia="sk-SK"/>
              </w:rPr>
              <w:t xml:space="preserve">      Železničnej spoločnosti Slovensko</w:t>
            </w:r>
          </w:p>
        </w:tc>
        <w:tc>
          <w:tcPr>
            <w:tcW w:w="509" w:type="pct"/>
            <w:tcBorders>
              <w:top w:val="nil"/>
              <w:left w:val="nil"/>
              <w:bottom w:val="nil"/>
              <w:right w:val="nil"/>
            </w:tcBorders>
            <w:shd w:val="clear" w:color="auto" w:fill="auto"/>
            <w:noWrap/>
            <w:vAlign w:val="center"/>
            <w:hideMark/>
          </w:tcPr>
          <w:p w14:paraId="04ECA141"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87 304</w:t>
            </w:r>
          </w:p>
        </w:tc>
        <w:tc>
          <w:tcPr>
            <w:tcW w:w="509" w:type="pct"/>
            <w:tcBorders>
              <w:top w:val="nil"/>
              <w:left w:val="nil"/>
              <w:bottom w:val="nil"/>
              <w:right w:val="nil"/>
            </w:tcBorders>
            <w:shd w:val="clear" w:color="auto" w:fill="auto"/>
            <w:noWrap/>
            <w:vAlign w:val="center"/>
            <w:hideMark/>
          </w:tcPr>
          <w:p w14:paraId="04F2ECE5"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255 420</w:t>
            </w:r>
          </w:p>
        </w:tc>
        <w:tc>
          <w:tcPr>
            <w:tcW w:w="509" w:type="pct"/>
            <w:tcBorders>
              <w:top w:val="nil"/>
              <w:left w:val="nil"/>
              <w:bottom w:val="nil"/>
              <w:right w:val="nil"/>
            </w:tcBorders>
            <w:shd w:val="clear" w:color="auto" w:fill="auto"/>
            <w:noWrap/>
            <w:vAlign w:val="center"/>
            <w:hideMark/>
          </w:tcPr>
          <w:p w14:paraId="7676BC18"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0</w:t>
            </w:r>
          </w:p>
        </w:tc>
        <w:tc>
          <w:tcPr>
            <w:tcW w:w="509" w:type="pct"/>
            <w:tcBorders>
              <w:top w:val="nil"/>
              <w:left w:val="nil"/>
              <w:bottom w:val="nil"/>
              <w:right w:val="nil"/>
            </w:tcBorders>
            <w:shd w:val="clear" w:color="auto" w:fill="auto"/>
            <w:noWrap/>
            <w:vAlign w:val="center"/>
            <w:hideMark/>
          </w:tcPr>
          <w:p w14:paraId="441AD9AF"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24 678</w:t>
            </w:r>
          </w:p>
        </w:tc>
        <w:tc>
          <w:tcPr>
            <w:tcW w:w="572" w:type="pct"/>
            <w:tcBorders>
              <w:top w:val="nil"/>
              <w:left w:val="nil"/>
              <w:bottom w:val="nil"/>
              <w:right w:val="nil"/>
            </w:tcBorders>
            <w:shd w:val="clear" w:color="auto" w:fill="auto"/>
            <w:noWrap/>
            <w:vAlign w:val="center"/>
            <w:hideMark/>
          </w:tcPr>
          <w:p w14:paraId="551DD6E1"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24 678</w:t>
            </w:r>
          </w:p>
        </w:tc>
      </w:tr>
      <w:tr w:rsidR="004D69BF" w:rsidRPr="009D29EA" w14:paraId="5EEA6CAC" w14:textId="77777777" w:rsidTr="001D2C2C">
        <w:trPr>
          <w:trHeight w:val="289"/>
        </w:trPr>
        <w:tc>
          <w:tcPr>
            <w:tcW w:w="2391" w:type="pct"/>
            <w:tcBorders>
              <w:top w:val="nil"/>
              <w:left w:val="nil"/>
              <w:bottom w:val="nil"/>
              <w:right w:val="nil"/>
            </w:tcBorders>
            <w:shd w:val="clear" w:color="auto" w:fill="auto"/>
            <w:vAlign w:val="center"/>
            <w:hideMark/>
          </w:tcPr>
          <w:p w14:paraId="6B9F7FAF" w14:textId="77777777" w:rsidR="004D69BF" w:rsidRPr="009D29EA" w:rsidRDefault="004D69BF" w:rsidP="000240DA">
            <w:pPr>
              <w:spacing w:after="0" w:line="240" w:lineRule="auto"/>
              <w:jc w:val="left"/>
              <w:rPr>
                <w:rFonts w:eastAsia="Times New Roman" w:cs="Times New Roman"/>
                <w:color w:val="000000"/>
                <w:sz w:val="18"/>
                <w:szCs w:val="18"/>
                <w:lang w:eastAsia="sk-SK"/>
              </w:rPr>
            </w:pPr>
            <w:r w:rsidRPr="009D29EA">
              <w:rPr>
                <w:rFonts w:eastAsia="Times New Roman" w:cs="Times New Roman"/>
                <w:color w:val="000000"/>
                <w:sz w:val="18"/>
                <w:szCs w:val="18"/>
                <w:lang w:eastAsia="sk-SK"/>
              </w:rPr>
              <w:t xml:space="preserve">      Štátnym fondom</w:t>
            </w:r>
          </w:p>
        </w:tc>
        <w:tc>
          <w:tcPr>
            <w:tcW w:w="509" w:type="pct"/>
            <w:tcBorders>
              <w:top w:val="nil"/>
              <w:left w:val="nil"/>
              <w:bottom w:val="nil"/>
              <w:right w:val="nil"/>
            </w:tcBorders>
            <w:shd w:val="clear" w:color="auto" w:fill="auto"/>
            <w:noWrap/>
            <w:vAlign w:val="center"/>
            <w:hideMark/>
          </w:tcPr>
          <w:p w14:paraId="60F2464C"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9 360</w:t>
            </w:r>
          </w:p>
        </w:tc>
        <w:tc>
          <w:tcPr>
            <w:tcW w:w="509" w:type="pct"/>
            <w:tcBorders>
              <w:top w:val="nil"/>
              <w:left w:val="nil"/>
              <w:bottom w:val="nil"/>
              <w:right w:val="nil"/>
            </w:tcBorders>
            <w:shd w:val="clear" w:color="auto" w:fill="auto"/>
            <w:noWrap/>
            <w:vAlign w:val="center"/>
            <w:hideMark/>
          </w:tcPr>
          <w:p w14:paraId="497FB6D6"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20 291</w:t>
            </w:r>
          </w:p>
        </w:tc>
        <w:tc>
          <w:tcPr>
            <w:tcW w:w="509" w:type="pct"/>
            <w:tcBorders>
              <w:top w:val="nil"/>
              <w:left w:val="nil"/>
              <w:bottom w:val="nil"/>
              <w:right w:val="nil"/>
            </w:tcBorders>
            <w:shd w:val="clear" w:color="auto" w:fill="auto"/>
            <w:noWrap/>
            <w:vAlign w:val="center"/>
            <w:hideMark/>
          </w:tcPr>
          <w:p w14:paraId="439618CB"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19 500</w:t>
            </w:r>
          </w:p>
        </w:tc>
        <w:tc>
          <w:tcPr>
            <w:tcW w:w="509" w:type="pct"/>
            <w:tcBorders>
              <w:top w:val="nil"/>
              <w:left w:val="nil"/>
              <w:bottom w:val="nil"/>
              <w:right w:val="nil"/>
            </w:tcBorders>
            <w:shd w:val="clear" w:color="auto" w:fill="auto"/>
            <w:noWrap/>
            <w:vAlign w:val="center"/>
            <w:hideMark/>
          </w:tcPr>
          <w:p w14:paraId="7041F08C"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14 411</w:t>
            </w:r>
          </w:p>
        </w:tc>
        <w:tc>
          <w:tcPr>
            <w:tcW w:w="572" w:type="pct"/>
            <w:tcBorders>
              <w:top w:val="nil"/>
              <w:left w:val="nil"/>
              <w:bottom w:val="nil"/>
              <w:right w:val="nil"/>
            </w:tcBorders>
            <w:shd w:val="clear" w:color="auto" w:fill="auto"/>
            <w:noWrap/>
            <w:vAlign w:val="center"/>
            <w:hideMark/>
          </w:tcPr>
          <w:p w14:paraId="2CB60BAB"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-5 089</w:t>
            </w:r>
          </w:p>
        </w:tc>
      </w:tr>
      <w:tr w:rsidR="004D69BF" w:rsidRPr="009D29EA" w14:paraId="37BBA617" w14:textId="77777777" w:rsidTr="001D2C2C">
        <w:trPr>
          <w:trHeight w:val="289"/>
        </w:trPr>
        <w:tc>
          <w:tcPr>
            <w:tcW w:w="2391" w:type="pct"/>
            <w:tcBorders>
              <w:top w:val="nil"/>
              <w:left w:val="nil"/>
              <w:bottom w:val="nil"/>
              <w:right w:val="nil"/>
            </w:tcBorders>
            <w:shd w:val="clear" w:color="auto" w:fill="auto"/>
            <w:vAlign w:val="center"/>
            <w:hideMark/>
          </w:tcPr>
          <w:p w14:paraId="6257DC3F" w14:textId="77777777" w:rsidR="004D69BF" w:rsidRPr="009D29EA" w:rsidRDefault="004D69BF" w:rsidP="000240DA">
            <w:pPr>
              <w:spacing w:after="0" w:line="240" w:lineRule="auto"/>
              <w:jc w:val="left"/>
              <w:rPr>
                <w:rFonts w:eastAsia="Times New Roman" w:cs="Times New Roman"/>
                <w:color w:val="000000"/>
                <w:sz w:val="18"/>
                <w:szCs w:val="18"/>
                <w:lang w:eastAsia="sk-SK"/>
              </w:rPr>
            </w:pPr>
            <w:r>
              <w:br w:type="page"/>
            </w:r>
            <w:r w:rsidRPr="009D29EA">
              <w:rPr>
                <w:rFonts w:eastAsia="Times New Roman" w:cs="Times New Roman"/>
                <w:color w:val="000000"/>
                <w:sz w:val="18"/>
                <w:szCs w:val="18"/>
                <w:lang w:eastAsia="sk-SK"/>
              </w:rPr>
              <w:t xml:space="preserve">nefinančným subjektom </w:t>
            </w:r>
          </w:p>
        </w:tc>
        <w:tc>
          <w:tcPr>
            <w:tcW w:w="509" w:type="pct"/>
            <w:tcBorders>
              <w:top w:val="nil"/>
              <w:left w:val="nil"/>
              <w:bottom w:val="nil"/>
              <w:right w:val="nil"/>
            </w:tcBorders>
            <w:shd w:val="clear" w:color="auto" w:fill="auto"/>
            <w:noWrap/>
            <w:vAlign w:val="center"/>
            <w:hideMark/>
          </w:tcPr>
          <w:p w14:paraId="5FA94DF4"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185 732</w:t>
            </w:r>
          </w:p>
        </w:tc>
        <w:tc>
          <w:tcPr>
            <w:tcW w:w="509" w:type="pct"/>
            <w:tcBorders>
              <w:top w:val="nil"/>
              <w:left w:val="nil"/>
              <w:bottom w:val="nil"/>
              <w:right w:val="nil"/>
            </w:tcBorders>
            <w:shd w:val="clear" w:color="auto" w:fill="auto"/>
            <w:noWrap/>
            <w:vAlign w:val="center"/>
            <w:hideMark/>
          </w:tcPr>
          <w:p w14:paraId="7D206726"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414 476</w:t>
            </w:r>
          </w:p>
        </w:tc>
        <w:tc>
          <w:tcPr>
            <w:tcW w:w="509" w:type="pct"/>
            <w:tcBorders>
              <w:top w:val="nil"/>
              <w:left w:val="nil"/>
              <w:bottom w:val="nil"/>
              <w:right w:val="nil"/>
            </w:tcBorders>
            <w:shd w:val="clear" w:color="auto" w:fill="auto"/>
            <w:noWrap/>
            <w:vAlign w:val="center"/>
            <w:hideMark/>
          </w:tcPr>
          <w:p w14:paraId="5F221104"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744 762</w:t>
            </w:r>
          </w:p>
        </w:tc>
        <w:tc>
          <w:tcPr>
            <w:tcW w:w="509" w:type="pct"/>
            <w:tcBorders>
              <w:top w:val="nil"/>
              <w:left w:val="nil"/>
              <w:bottom w:val="nil"/>
              <w:right w:val="nil"/>
            </w:tcBorders>
            <w:shd w:val="clear" w:color="auto" w:fill="auto"/>
            <w:noWrap/>
            <w:vAlign w:val="center"/>
            <w:hideMark/>
          </w:tcPr>
          <w:p w14:paraId="38F3BC2B"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460 855</w:t>
            </w:r>
          </w:p>
        </w:tc>
        <w:tc>
          <w:tcPr>
            <w:tcW w:w="572" w:type="pct"/>
            <w:tcBorders>
              <w:top w:val="nil"/>
              <w:left w:val="nil"/>
              <w:bottom w:val="nil"/>
              <w:right w:val="nil"/>
            </w:tcBorders>
            <w:shd w:val="clear" w:color="auto" w:fill="auto"/>
            <w:noWrap/>
            <w:vAlign w:val="center"/>
            <w:hideMark/>
          </w:tcPr>
          <w:p w14:paraId="79867ECE"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-283 907</w:t>
            </w:r>
          </w:p>
        </w:tc>
      </w:tr>
      <w:tr w:rsidR="004D69BF" w:rsidRPr="009D29EA" w14:paraId="0C7F5296" w14:textId="77777777" w:rsidTr="001D2C2C">
        <w:trPr>
          <w:trHeight w:val="289"/>
        </w:trPr>
        <w:tc>
          <w:tcPr>
            <w:tcW w:w="2391" w:type="pct"/>
            <w:tcBorders>
              <w:top w:val="nil"/>
              <w:left w:val="nil"/>
              <w:bottom w:val="nil"/>
              <w:right w:val="nil"/>
            </w:tcBorders>
            <w:shd w:val="clear" w:color="auto" w:fill="auto"/>
            <w:vAlign w:val="center"/>
            <w:hideMark/>
          </w:tcPr>
          <w:p w14:paraId="34DF8092" w14:textId="77777777" w:rsidR="004D69BF" w:rsidRPr="009D29EA" w:rsidRDefault="004D69BF" w:rsidP="000240DA">
            <w:pPr>
              <w:spacing w:after="0" w:line="240" w:lineRule="auto"/>
              <w:jc w:val="left"/>
              <w:rPr>
                <w:rFonts w:eastAsia="Times New Roman" w:cs="Times New Roman"/>
                <w:color w:val="000000"/>
                <w:sz w:val="18"/>
                <w:szCs w:val="18"/>
                <w:lang w:eastAsia="sk-SK"/>
              </w:rPr>
            </w:pPr>
            <w:r w:rsidRPr="009D29EA">
              <w:rPr>
                <w:rFonts w:eastAsia="Times New Roman" w:cs="Times New Roman"/>
                <w:color w:val="000000"/>
                <w:sz w:val="18"/>
                <w:szCs w:val="18"/>
                <w:lang w:eastAsia="sk-SK"/>
              </w:rPr>
              <w:t>jednotlivcom a neziskovým právnickým osobám</w:t>
            </w:r>
          </w:p>
        </w:tc>
        <w:tc>
          <w:tcPr>
            <w:tcW w:w="509" w:type="pct"/>
            <w:tcBorders>
              <w:top w:val="nil"/>
              <w:left w:val="nil"/>
              <w:bottom w:val="nil"/>
              <w:right w:val="nil"/>
            </w:tcBorders>
            <w:shd w:val="clear" w:color="auto" w:fill="auto"/>
            <w:noWrap/>
            <w:vAlign w:val="center"/>
            <w:hideMark/>
          </w:tcPr>
          <w:p w14:paraId="7D542E10"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28 818</w:t>
            </w:r>
          </w:p>
        </w:tc>
        <w:tc>
          <w:tcPr>
            <w:tcW w:w="509" w:type="pct"/>
            <w:tcBorders>
              <w:top w:val="nil"/>
              <w:left w:val="nil"/>
              <w:bottom w:val="nil"/>
              <w:right w:val="nil"/>
            </w:tcBorders>
            <w:shd w:val="clear" w:color="auto" w:fill="auto"/>
            <w:noWrap/>
            <w:vAlign w:val="center"/>
            <w:hideMark/>
          </w:tcPr>
          <w:p w14:paraId="21781187"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55 358</w:t>
            </w:r>
          </w:p>
        </w:tc>
        <w:tc>
          <w:tcPr>
            <w:tcW w:w="509" w:type="pct"/>
            <w:tcBorders>
              <w:top w:val="nil"/>
              <w:left w:val="nil"/>
              <w:bottom w:val="nil"/>
              <w:right w:val="nil"/>
            </w:tcBorders>
            <w:shd w:val="clear" w:color="auto" w:fill="auto"/>
            <w:noWrap/>
            <w:vAlign w:val="center"/>
            <w:hideMark/>
          </w:tcPr>
          <w:p w14:paraId="1645294F"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87 748</w:t>
            </w:r>
          </w:p>
        </w:tc>
        <w:tc>
          <w:tcPr>
            <w:tcW w:w="509" w:type="pct"/>
            <w:tcBorders>
              <w:top w:val="nil"/>
              <w:left w:val="nil"/>
              <w:bottom w:val="nil"/>
              <w:right w:val="nil"/>
            </w:tcBorders>
            <w:shd w:val="clear" w:color="auto" w:fill="auto"/>
            <w:noWrap/>
            <w:vAlign w:val="center"/>
            <w:hideMark/>
          </w:tcPr>
          <w:p w14:paraId="764E7730"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133 636</w:t>
            </w:r>
          </w:p>
        </w:tc>
        <w:tc>
          <w:tcPr>
            <w:tcW w:w="572" w:type="pct"/>
            <w:tcBorders>
              <w:top w:val="nil"/>
              <w:left w:val="nil"/>
              <w:bottom w:val="nil"/>
              <w:right w:val="nil"/>
            </w:tcBorders>
            <w:shd w:val="clear" w:color="auto" w:fill="auto"/>
            <w:noWrap/>
            <w:vAlign w:val="center"/>
            <w:hideMark/>
          </w:tcPr>
          <w:p w14:paraId="3B3F752F"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45 888</w:t>
            </w:r>
          </w:p>
        </w:tc>
      </w:tr>
      <w:tr w:rsidR="004D69BF" w:rsidRPr="009D29EA" w14:paraId="7A0A7970" w14:textId="77777777" w:rsidTr="001D2C2C">
        <w:trPr>
          <w:trHeight w:val="289"/>
        </w:trPr>
        <w:tc>
          <w:tcPr>
            <w:tcW w:w="2391" w:type="pct"/>
            <w:tcBorders>
              <w:top w:val="nil"/>
              <w:left w:val="nil"/>
              <w:bottom w:val="nil"/>
              <w:right w:val="nil"/>
            </w:tcBorders>
            <w:shd w:val="clear" w:color="auto" w:fill="auto"/>
            <w:vAlign w:val="center"/>
            <w:hideMark/>
          </w:tcPr>
          <w:p w14:paraId="0B8FF50D" w14:textId="77777777" w:rsidR="004D69BF" w:rsidRPr="009D29EA" w:rsidRDefault="004D69BF" w:rsidP="000240DA">
            <w:pPr>
              <w:spacing w:after="0" w:line="240" w:lineRule="auto"/>
              <w:jc w:val="left"/>
              <w:rPr>
                <w:rFonts w:eastAsia="Times New Roman" w:cs="Times New Roman"/>
                <w:color w:val="000000"/>
                <w:sz w:val="18"/>
                <w:szCs w:val="18"/>
                <w:lang w:eastAsia="sk-SK"/>
              </w:rPr>
            </w:pPr>
            <w:r w:rsidRPr="009D29EA">
              <w:rPr>
                <w:rFonts w:eastAsia="Times New Roman" w:cs="Times New Roman"/>
                <w:color w:val="000000"/>
                <w:sz w:val="18"/>
                <w:szCs w:val="18"/>
                <w:lang w:eastAsia="sk-SK"/>
              </w:rPr>
              <w:t xml:space="preserve"> </w:t>
            </w:r>
            <w:r>
              <w:rPr>
                <w:rFonts w:eastAsia="Times New Roman" w:cs="Times New Roman"/>
                <w:color w:val="000000"/>
                <w:sz w:val="18"/>
                <w:szCs w:val="18"/>
                <w:lang w:eastAsia="sk-SK"/>
              </w:rPr>
              <w:t xml:space="preserve">   </w:t>
            </w:r>
            <w:r w:rsidRPr="009D29EA">
              <w:rPr>
                <w:rFonts w:eastAsia="Times New Roman" w:cs="Times New Roman"/>
                <w:color w:val="000000"/>
                <w:sz w:val="18"/>
                <w:szCs w:val="18"/>
                <w:lang w:eastAsia="sk-SK"/>
              </w:rPr>
              <w:t>z toho</w:t>
            </w:r>
          </w:p>
        </w:tc>
        <w:tc>
          <w:tcPr>
            <w:tcW w:w="509" w:type="pct"/>
            <w:tcBorders>
              <w:top w:val="nil"/>
              <w:left w:val="nil"/>
              <w:bottom w:val="nil"/>
              <w:right w:val="nil"/>
            </w:tcBorders>
            <w:shd w:val="clear" w:color="auto" w:fill="auto"/>
            <w:noWrap/>
            <w:vAlign w:val="center"/>
            <w:hideMark/>
          </w:tcPr>
          <w:p w14:paraId="2CB89BD0" w14:textId="77777777" w:rsidR="004D69BF" w:rsidRPr="009D29EA" w:rsidRDefault="004D69BF" w:rsidP="000240DA">
            <w:pPr>
              <w:spacing w:after="0" w:line="240" w:lineRule="auto"/>
              <w:jc w:val="left"/>
              <w:rPr>
                <w:rFonts w:eastAsia="Times New Roman" w:cs="Times New Roman"/>
                <w:color w:val="000000"/>
                <w:sz w:val="18"/>
                <w:szCs w:val="18"/>
                <w:lang w:eastAsia="sk-SK"/>
              </w:rPr>
            </w:pPr>
          </w:p>
        </w:tc>
        <w:tc>
          <w:tcPr>
            <w:tcW w:w="509" w:type="pct"/>
            <w:tcBorders>
              <w:top w:val="nil"/>
              <w:left w:val="nil"/>
              <w:bottom w:val="nil"/>
              <w:right w:val="nil"/>
            </w:tcBorders>
            <w:shd w:val="clear" w:color="auto" w:fill="auto"/>
            <w:noWrap/>
            <w:vAlign w:val="center"/>
            <w:hideMark/>
          </w:tcPr>
          <w:p w14:paraId="413E34DB" w14:textId="77777777" w:rsidR="004D69BF" w:rsidRPr="009D29EA" w:rsidRDefault="004D69BF" w:rsidP="000240DA">
            <w:pPr>
              <w:spacing w:after="0" w:line="240" w:lineRule="auto"/>
              <w:jc w:val="right"/>
              <w:rPr>
                <w:rFonts w:eastAsia="Times New Roman" w:cs="Times New Roman"/>
                <w:sz w:val="20"/>
                <w:szCs w:val="20"/>
                <w:lang w:eastAsia="sk-SK"/>
              </w:rPr>
            </w:pPr>
          </w:p>
        </w:tc>
        <w:tc>
          <w:tcPr>
            <w:tcW w:w="509" w:type="pct"/>
            <w:tcBorders>
              <w:top w:val="nil"/>
              <w:left w:val="nil"/>
              <w:bottom w:val="nil"/>
              <w:right w:val="nil"/>
            </w:tcBorders>
            <w:shd w:val="clear" w:color="auto" w:fill="auto"/>
            <w:noWrap/>
            <w:vAlign w:val="center"/>
            <w:hideMark/>
          </w:tcPr>
          <w:p w14:paraId="0A7E9B8A" w14:textId="77777777" w:rsidR="004D69BF" w:rsidRPr="009D29EA" w:rsidRDefault="004D69BF" w:rsidP="000240DA">
            <w:pPr>
              <w:spacing w:after="0" w:line="240" w:lineRule="auto"/>
              <w:jc w:val="right"/>
              <w:rPr>
                <w:rFonts w:eastAsia="Times New Roman" w:cs="Times New Roman"/>
                <w:sz w:val="20"/>
                <w:szCs w:val="20"/>
                <w:lang w:eastAsia="sk-SK"/>
              </w:rPr>
            </w:pPr>
          </w:p>
        </w:tc>
        <w:tc>
          <w:tcPr>
            <w:tcW w:w="509" w:type="pct"/>
            <w:tcBorders>
              <w:top w:val="nil"/>
              <w:left w:val="nil"/>
              <w:bottom w:val="nil"/>
              <w:right w:val="nil"/>
            </w:tcBorders>
            <w:shd w:val="clear" w:color="auto" w:fill="auto"/>
            <w:noWrap/>
            <w:vAlign w:val="center"/>
            <w:hideMark/>
          </w:tcPr>
          <w:p w14:paraId="3621B8C7" w14:textId="77777777" w:rsidR="004D69BF" w:rsidRPr="009D29EA" w:rsidRDefault="004D69BF" w:rsidP="000240DA">
            <w:pPr>
              <w:spacing w:after="0" w:line="240" w:lineRule="auto"/>
              <w:jc w:val="right"/>
              <w:rPr>
                <w:rFonts w:eastAsia="Times New Roman" w:cs="Times New Roman"/>
                <w:sz w:val="20"/>
                <w:szCs w:val="20"/>
                <w:lang w:eastAsia="sk-SK"/>
              </w:rPr>
            </w:pPr>
          </w:p>
        </w:tc>
        <w:tc>
          <w:tcPr>
            <w:tcW w:w="572" w:type="pct"/>
            <w:tcBorders>
              <w:top w:val="nil"/>
              <w:left w:val="nil"/>
              <w:bottom w:val="nil"/>
              <w:right w:val="nil"/>
            </w:tcBorders>
            <w:shd w:val="clear" w:color="auto" w:fill="auto"/>
            <w:noWrap/>
            <w:vAlign w:val="center"/>
            <w:hideMark/>
          </w:tcPr>
          <w:p w14:paraId="46BA743F" w14:textId="77777777" w:rsidR="004D69BF" w:rsidRPr="009D29EA" w:rsidRDefault="004D69BF" w:rsidP="000240DA">
            <w:pPr>
              <w:spacing w:after="0" w:line="240" w:lineRule="auto"/>
              <w:jc w:val="right"/>
              <w:rPr>
                <w:rFonts w:eastAsia="Times New Roman" w:cs="Times New Roman"/>
                <w:sz w:val="20"/>
                <w:szCs w:val="20"/>
                <w:lang w:eastAsia="sk-SK"/>
              </w:rPr>
            </w:pPr>
          </w:p>
        </w:tc>
      </w:tr>
      <w:tr w:rsidR="004D69BF" w:rsidRPr="009D29EA" w14:paraId="78BF5AF1" w14:textId="77777777" w:rsidTr="001D2C2C">
        <w:trPr>
          <w:trHeight w:val="289"/>
        </w:trPr>
        <w:tc>
          <w:tcPr>
            <w:tcW w:w="2391" w:type="pct"/>
            <w:tcBorders>
              <w:top w:val="nil"/>
              <w:left w:val="nil"/>
              <w:bottom w:val="nil"/>
              <w:right w:val="nil"/>
            </w:tcBorders>
            <w:shd w:val="clear" w:color="auto" w:fill="auto"/>
            <w:vAlign w:val="center"/>
            <w:hideMark/>
          </w:tcPr>
          <w:p w14:paraId="7EE1B4BF" w14:textId="77777777" w:rsidR="004D69BF" w:rsidRPr="009D29EA" w:rsidRDefault="004D69BF" w:rsidP="000240DA">
            <w:pPr>
              <w:spacing w:after="0" w:line="240" w:lineRule="auto"/>
              <w:jc w:val="left"/>
              <w:rPr>
                <w:rFonts w:eastAsia="Times New Roman" w:cs="Times New Roman"/>
                <w:color w:val="000000"/>
                <w:sz w:val="18"/>
                <w:szCs w:val="18"/>
                <w:lang w:eastAsia="sk-SK"/>
              </w:rPr>
            </w:pPr>
            <w:r w:rsidRPr="009D29EA">
              <w:rPr>
                <w:rFonts w:eastAsia="Times New Roman" w:cs="Times New Roman"/>
                <w:color w:val="000000"/>
                <w:sz w:val="18"/>
                <w:szCs w:val="18"/>
                <w:lang w:eastAsia="sk-SK"/>
              </w:rPr>
              <w:t xml:space="preserve">     Občianskemu združeniu</w:t>
            </w:r>
          </w:p>
        </w:tc>
        <w:tc>
          <w:tcPr>
            <w:tcW w:w="509" w:type="pct"/>
            <w:tcBorders>
              <w:top w:val="nil"/>
              <w:left w:val="nil"/>
              <w:bottom w:val="nil"/>
              <w:right w:val="nil"/>
            </w:tcBorders>
            <w:shd w:val="clear" w:color="auto" w:fill="auto"/>
            <w:noWrap/>
            <w:vAlign w:val="center"/>
            <w:hideMark/>
          </w:tcPr>
          <w:p w14:paraId="33DFF55B"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10 308</w:t>
            </w:r>
          </w:p>
        </w:tc>
        <w:tc>
          <w:tcPr>
            <w:tcW w:w="509" w:type="pct"/>
            <w:tcBorders>
              <w:top w:val="nil"/>
              <w:left w:val="nil"/>
              <w:bottom w:val="nil"/>
              <w:right w:val="nil"/>
            </w:tcBorders>
            <w:shd w:val="clear" w:color="auto" w:fill="auto"/>
            <w:noWrap/>
            <w:vAlign w:val="center"/>
            <w:hideMark/>
          </w:tcPr>
          <w:p w14:paraId="31D4622D"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14 254</w:t>
            </w:r>
          </w:p>
        </w:tc>
        <w:tc>
          <w:tcPr>
            <w:tcW w:w="509" w:type="pct"/>
            <w:tcBorders>
              <w:top w:val="nil"/>
              <w:left w:val="nil"/>
              <w:bottom w:val="nil"/>
              <w:right w:val="nil"/>
            </w:tcBorders>
            <w:shd w:val="clear" w:color="auto" w:fill="auto"/>
            <w:noWrap/>
            <w:vAlign w:val="center"/>
            <w:hideMark/>
          </w:tcPr>
          <w:p w14:paraId="3BC72214"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9 007</w:t>
            </w:r>
          </w:p>
        </w:tc>
        <w:tc>
          <w:tcPr>
            <w:tcW w:w="509" w:type="pct"/>
            <w:tcBorders>
              <w:top w:val="nil"/>
              <w:left w:val="nil"/>
              <w:bottom w:val="nil"/>
              <w:right w:val="nil"/>
            </w:tcBorders>
            <w:shd w:val="clear" w:color="auto" w:fill="auto"/>
            <w:noWrap/>
            <w:vAlign w:val="center"/>
            <w:hideMark/>
          </w:tcPr>
          <w:p w14:paraId="617328EA"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55 156</w:t>
            </w:r>
          </w:p>
        </w:tc>
        <w:tc>
          <w:tcPr>
            <w:tcW w:w="572" w:type="pct"/>
            <w:tcBorders>
              <w:top w:val="nil"/>
              <w:left w:val="nil"/>
              <w:bottom w:val="nil"/>
              <w:right w:val="nil"/>
            </w:tcBorders>
            <w:shd w:val="clear" w:color="auto" w:fill="auto"/>
            <w:noWrap/>
            <w:vAlign w:val="center"/>
            <w:hideMark/>
          </w:tcPr>
          <w:p w14:paraId="19F57612"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46 149</w:t>
            </w:r>
          </w:p>
        </w:tc>
      </w:tr>
      <w:tr w:rsidR="004D69BF" w:rsidRPr="009D29EA" w14:paraId="2CF9105A" w14:textId="77777777" w:rsidTr="001D2C2C">
        <w:trPr>
          <w:trHeight w:val="289"/>
        </w:trPr>
        <w:tc>
          <w:tcPr>
            <w:tcW w:w="2391" w:type="pct"/>
            <w:tcBorders>
              <w:top w:val="nil"/>
              <w:left w:val="nil"/>
              <w:bottom w:val="nil"/>
              <w:right w:val="nil"/>
            </w:tcBorders>
            <w:shd w:val="clear" w:color="auto" w:fill="auto"/>
            <w:vAlign w:val="center"/>
            <w:hideMark/>
          </w:tcPr>
          <w:p w14:paraId="6010B78D" w14:textId="77777777" w:rsidR="004D69BF" w:rsidRPr="009D29EA" w:rsidRDefault="004D69BF" w:rsidP="000240DA">
            <w:pPr>
              <w:spacing w:after="0" w:line="240" w:lineRule="auto"/>
              <w:jc w:val="left"/>
              <w:rPr>
                <w:rFonts w:eastAsia="Times New Roman" w:cs="Times New Roman"/>
                <w:color w:val="000000"/>
                <w:sz w:val="18"/>
                <w:szCs w:val="18"/>
                <w:lang w:eastAsia="sk-SK"/>
              </w:rPr>
            </w:pPr>
            <w:r w:rsidRPr="009D29EA">
              <w:rPr>
                <w:rFonts w:eastAsia="Times New Roman" w:cs="Times New Roman"/>
                <w:color w:val="000000"/>
                <w:sz w:val="18"/>
                <w:szCs w:val="18"/>
                <w:lang w:eastAsia="sk-SK"/>
              </w:rPr>
              <w:t xml:space="preserve">     Cirkvi</w:t>
            </w:r>
          </w:p>
        </w:tc>
        <w:tc>
          <w:tcPr>
            <w:tcW w:w="509" w:type="pct"/>
            <w:tcBorders>
              <w:top w:val="nil"/>
              <w:left w:val="nil"/>
              <w:bottom w:val="nil"/>
              <w:right w:val="nil"/>
            </w:tcBorders>
            <w:shd w:val="clear" w:color="auto" w:fill="auto"/>
            <w:noWrap/>
            <w:vAlign w:val="center"/>
            <w:hideMark/>
          </w:tcPr>
          <w:p w14:paraId="7C5E7A8E"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5 435</w:t>
            </w:r>
          </w:p>
        </w:tc>
        <w:tc>
          <w:tcPr>
            <w:tcW w:w="509" w:type="pct"/>
            <w:tcBorders>
              <w:top w:val="nil"/>
              <w:left w:val="nil"/>
              <w:bottom w:val="nil"/>
              <w:right w:val="nil"/>
            </w:tcBorders>
            <w:shd w:val="clear" w:color="auto" w:fill="auto"/>
            <w:noWrap/>
            <w:vAlign w:val="center"/>
            <w:hideMark/>
          </w:tcPr>
          <w:p w14:paraId="4F908DB9"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5 326</w:t>
            </w:r>
          </w:p>
        </w:tc>
        <w:tc>
          <w:tcPr>
            <w:tcW w:w="509" w:type="pct"/>
            <w:tcBorders>
              <w:top w:val="nil"/>
              <w:left w:val="nil"/>
              <w:bottom w:val="nil"/>
              <w:right w:val="nil"/>
            </w:tcBorders>
            <w:shd w:val="clear" w:color="auto" w:fill="auto"/>
            <w:noWrap/>
            <w:vAlign w:val="center"/>
            <w:hideMark/>
          </w:tcPr>
          <w:p w14:paraId="7799E106"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375</w:t>
            </w:r>
          </w:p>
        </w:tc>
        <w:tc>
          <w:tcPr>
            <w:tcW w:w="509" w:type="pct"/>
            <w:tcBorders>
              <w:top w:val="nil"/>
              <w:left w:val="nil"/>
              <w:bottom w:val="nil"/>
              <w:right w:val="nil"/>
            </w:tcBorders>
            <w:shd w:val="clear" w:color="auto" w:fill="auto"/>
            <w:noWrap/>
            <w:vAlign w:val="center"/>
            <w:hideMark/>
          </w:tcPr>
          <w:p w14:paraId="655A95D1"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10 834</w:t>
            </w:r>
          </w:p>
        </w:tc>
        <w:tc>
          <w:tcPr>
            <w:tcW w:w="572" w:type="pct"/>
            <w:tcBorders>
              <w:top w:val="nil"/>
              <w:left w:val="nil"/>
              <w:bottom w:val="nil"/>
              <w:right w:val="nil"/>
            </w:tcBorders>
            <w:shd w:val="clear" w:color="auto" w:fill="auto"/>
            <w:noWrap/>
            <w:vAlign w:val="center"/>
            <w:hideMark/>
          </w:tcPr>
          <w:p w14:paraId="5F326FD4"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10 459</w:t>
            </w:r>
          </w:p>
        </w:tc>
      </w:tr>
      <w:tr w:rsidR="004D69BF" w:rsidRPr="009D29EA" w14:paraId="36B6D547" w14:textId="77777777" w:rsidTr="001D2C2C">
        <w:trPr>
          <w:trHeight w:val="289"/>
        </w:trPr>
        <w:tc>
          <w:tcPr>
            <w:tcW w:w="2391" w:type="pct"/>
            <w:tcBorders>
              <w:top w:val="nil"/>
              <w:left w:val="nil"/>
              <w:bottom w:val="nil"/>
              <w:right w:val="nil"/>
            </w:tcBorders>
            <w:shd w:val="clear" w:color="auto" w:fill="auto"/>
            <w:vAlign w:val="center"/>
            <w:hideMark/>
          </w:tcPr>
          <w:p w14:paraId="69F51B98" w14:textId="77777777" w:rsidR="004D69BF" w:rsidRPr="009D29EA" w:rsidRDefault="004D69BF" w:rsidP="000240DA">
            <w:pPr>
              <w:spacing w:after="0" w:line="240" w:lineRule="auto"/>
              <w:jc w:val="left"/>
              <w:rPr>
                <w:rFonts w:eastAsia="Times New Roman" w:cs="Times New Roman"/>
                <w:color w:val="000000"/>
                <w:sz w:val="18"/>
                <w:szCs w:val="18"/>
                <w:lang w:eastAsia="sk-SK"/>
              </w:rPr>
            </w:pPr>
            <w:r w:rsidRPr="009D29EA">
              <w:rPr>
                <w:rFonts w:eastAsia="Times New Roman" w:cs="Times New Roman"/>
                <w:color w:val="000000"/>
                <w:sz w:val="18"/>
                <w:szCs w:val="18"/>
                <w:lang w:eastAsia="sk-SK"/>
              </w:rPr>
              <w:t xml:space="preserve">     Neziskovej organizácii</w:t>
            </w:r>
          </w:p>
        </w:tc>
        <w:tc>
          <w:tcPr>
            <w:tcW w:w="509" w:type="pct"/>
            <w:tcBorders>
              <w:top w:val="nil"/>
              <w:left w:val="nil"/>
              <w:bottom w:val="nil"/>
              <w:right w:val="nil"/>
            </w:tcBorders>
            <w:shd w:val="clear" w:color="auto" w:fill="auto"/>
            <w:noWrap/>
            <w:vAlign w:val="center"/>
            <w:hideMark/>
          </w:tcPr>
          <w:p w14:paraId="7B307A52"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12 696</w:t>
            </w:r>
          </w:p>
        </w:tc>
        <w:tc>
          <w:tcPr>
            <w:tcW w:w="509" w:type="pct"/>
            <w:tcBorders>
              <w:top w:val="nil"/>
              <w:left w:val="nil"/>
              <w:bottom w:val="nil"/>
              <w:right w:val="nil"/>
            </w:tcBorders>
            <w:shd w:val="clear" w:color="auto" w:fill="auto"/>
            <w:noWrap/>
            <w:vAlign w:val="center"/>
            <w:hideMark/>
          </w:tcPr>
          <w:p w14:paraId="0DD18F68"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33 472</w:t>
            </w:r>
          </w:p>
        </w:tc>
        <w:tc>
          <w:tcPr>
            <w:tcW w:w="509" w:type="pct"/>
            <w:tcBorders>
              <w:top w:val="nil"/>
              <w:left w:val="nil"/>
              <w:bottom w:val="nil"/>
              <w:right w:val="nil"/>
            </w:tcBorders>
            <w:shd w:val="clear" w:color="auto" w:fill="auto"/>
            <w:noWrap/>
            <w:vAlign w:val="center"/>
            <w:hideMark/>
          </w:tcPr>
          <w:p w14:paraId="3B7746BF"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78 365</w:t>
            </w:r>
          </w:p>
        </w:tc>
        <w:tc>
          <w:tcPr>
            <w:tcW w:w="509" w:type="pct"/>
            <w:tcBorders>
              <w:top w:val="nil"/>
              <w:left w:val="nil"/>
              <w:bottom w:val="nil"/>
              <w:right w:val="nil"/>
            </w:tcBorders>
            <w:shd w:val="clear" w:color="auto" w:fill="auto"/>
            <w:noWrap/>
            <w:vAlign w:val="center"/>
            <w:hideMark/>
          </w:tcPr>
          <w:p w14:paraId="69E1EF8A"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67 610</w:t>
            </w:r>
          </w:p>
        </w:tc>
        <w:tc>
          <w:tcPr>
            <w:tcW w:w="572" w:type="pct"/>
            <w:tcBorders>
              <w:top w:val="nil"/>
              <w:left w:val="nil"/>
              <w:bottom w:val="nil"/>
              <w:right w:val="nil"/>
            </w:tcBorders>
            <w:shd w:val="clear" w:color="auto" w:fill="auto"/>
            <w:noWrap/>
            <w:vAlign w:val="center"/>
            <w:hideMark/>
          </w:tcPr>
          <w:p w14:paraId="1BAF7F64"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-10 755</w:t>
            </w:r>
          </w:p>
        </w:tc>
      </w:tr>
      <w:tr w:rsidR="004D69BF" w:rsidRPr="009D29EA" w14:paraId="540254C4" w14:textId="77777777" w:rsidTr="001D2C2C">
        <w:trPr>
          <w:trHeight w:val="289"/>
        </w:trPr>
        <w:tc>
          <w:tcPr>
            <w:tcW w:w="2391" w:type="pct"/>
            <w:tcBorders>
              <w:top w:val="nil"/>
              <w:left w:val="nil"/>
              <w:bottom w:val="nil"/>
              <w:right w:val="nil"/>
            </w:tcBorders>
            <w:shd w:val="clear" w:color="auto" w:fill="auto"/>
            <w:vAlign w:val="center"/>
            <w:hideMark/>
          </w:tcPr>
          <w:p w14:paraId="1F20D63E" w14:textId="77777777" w:rsidR="004D69BF" w:rsidRPr="009D29EA" w:rsidRDefault="004D69BF" w:rsidP="000240DA">
            <w:pPr>
              <w:spacing w:after="0" w:line="240" w:lineRule="auto"/>
              <w:jc w:val="left"/>
              <w:rPr>
                <w:rFonts w:eastAsia="Times New Roman" w:cs="Times New Roman"/>
                <w:color w:val="000000"/>
                <w:sz w:val="18"/>
                <w:szCs w:val="18"/>
                <w:lang w:eastAsia="sk-SK"/>
              </w:rPr>
            </w:pPr>
            <w:r w:rsidRPr="009D29EA">
              <w:rPr>
                <w:rFonts w:eastAsia="Times New Roman" w:cs="Times New Roman"/>
                <w:color w:val="000000"/>
                <w:sz w:val="18"/>
                <w:szCs w:val="18"/>
                <w:lang w:eastAsia="sk-SK"/>
              </w:rPr>
              <w:t>do zahraničia</w:t>
            </w:r>
          </w:p>
        </w:tc>
        <w:tc>
          <w:tcPr>
            <w:tcW w:w="509" w:type="pct"/>
            <w:tcBorders>
              <w:top w:val="nil"/>
              <w:left w:val="nil"/>
              <w:bottom w:val="nil"/>
              <w:right w:val="nil"/>
            </w:tcBorders>
            <w:shd w:val="clear" w:color="auto" w:fill="auto"/>
            <w:noWrap/>
            <w:vAlign w:val="center"/>
            <w:hideMark/>
          </w:tcPr>
          <w:p w14:paraId="49C7CD02"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3 091</w:t>
            </w:r>
          </w:p>
        </w:tc>
        <w:tc>
          <w:tcPr>
            <w:tcW w:w="509" w:type="pct"/>
            <w:tcBorders>
              <w:top w:val="nil"/>
              <w:left w:val="nil"/>
              <w:bottom w:val="nil"/>
              <w:right w:val="nil"/>
            </w:tcBorders>
            <w:shd w:val="clear" w:color="auto" w:fill="auto"/>
            <w:noWrap/>
            <w:vAlign w:val="center"/>
            <w:hideMark/>
          </w:tcPr>
          <w:p w14:paraId="1110A051"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6 249</w:t>
            </w:r>
          </w:p>
        </w:tc>
        <w:tc>
          <w:tcPr>
            <w:tcW w:w="509" w:type="pct"/>
            <w:tcBorders>
              <w:top w:val="nil"/>
              <w:left w:val="nil"/>
              <w:bottom w:val="nil"/>
              <w:right w:val="nil"/>
            </w:tcBorders>
            <w:shd w:val="clear" w:color="auto" w:fill="auto"/>
            <w:noWrap/>
            <w:vAlign w:val="center"/>
            <w:hideMark/>
          </w:tcPr>
          <w:p w14:paraId="45E30E0E"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0</w:t>
            </w:r>
          </w:p>
        </w:tc>
        <w:tc>
          <w:tcPr>
            <w:tcW w:w="509" w:type="pct"/>
            <w:tcBorders>
              <w:top w:val="nil"/>
              <w:left w:val="nil"/>
              <w:bottom w:val="nil"/>
              <w:right w:val="nil"/>
            </w:tcBorders>
            <w:shd w:val="clear" w:color="auto" w:fill="auto"/>
            <w:noWrap/>
            <w:vAlign w:val="center"/>
            <w:hideMark/>
          </w:tcPr>
          <w:p w14:paraId="329F05A1"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7 600</w:t>
            </w:r>
          </w:p>
        </w:tc>
        <w:tc>
          <w:tcPr>
            <w:tcW w:w="572" w:type="pct"/>
            <w:tcBorders>
              <w:top w:val="nil"/>
              <w:left w:val="nil"/>
              <w:bottom w:val="nil"/>
              <w:right w:val="nil"/>
            </w:tcBorders>
            <w:shd w:val="clear" w:color="auto" w:fill="auto"/>
            <w:noWrap/>
            <w:vAlign w:val="center"/>
            <w:hideMark/>
          </w:tcPr>
          <w:p w14:paraId="19A7C376"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7 600</w:t>
            </w:r>
          </w:p>
        </w:tc>
      </w:tr>
      <w:tr w:rsidR="004D69BF" w:rsidRPr="009D29EA" w14:paraId="08DB1ADA" w14:textId="77777777" w:rsidTr="001D2C2C">
        <w:trPr>
          <w:trHeight w:val="289"/>
        </w:trPr>
        <w:tc>
          <w:tcPr>
            <w:tcW w:w="2391" w:type="pct"/>
            <w:tcBorders>
              <w:top w:val="nil"/>
              <w:left w:val="nil"/>
              <w:bottom w:val="single" w:sz="4" w:space="0" w:color="auto"/>
              <w:right w:val="nil"/>
            </w:tcBorders>
            <w:shd w:val="clear" w:color="auto" w:fill="auto"/>
            <w:vAlign w:val="center"/>
            <w:hideMark/>
          </w:tcPr>
          <w:p w14:paraId="787AC74E" w14:textId="77777777" w:rsidR="004D69BF" w:rsidRPr="009D29EA" w:rsidRDefault="004D69BF" w:rsidP="000240DA">
            <w:pPr>
              <w:spacing w:after="0" w:line="240" w:lineRule="auto"/>
              <w:jc w:val="left"/>
              <w:rPr>
                <w:rFonts w:eastAsia="Times New Roman" w:cs="Times New Roman"/>
                <w:color w:val="000000"/>
                <w:sz w:val="18"/>
                <w:szCs w:val="18"/>
                <w:lang w:eastAsia="sk-SK"/>
              </w:rPr>
            </w:pPr>
            <w:r w:rsidRPr="009D29EA">
              <w:rPr>
                <w:rFonts w:eastAsia="Times New Roman" w:cs="Times New Roman"/>
                <w:color w:val="000000"/>
                <w:sz w:val="18"/>
                <w:szCs w:val="18"/>
                <w:lang w:eastAsia="sk-SK"/>
              </w:rPr>
              <w:t>transfery finančným inštitúciám</w:t>
            </w:r>
          </w:p>
        </w:tc>
        <w:tc>
          <w:tcPr>
            <w:tcW w:w="509" w:type="pct"/>
            <w:tcBorders>
              <w:top w:val="nil"/>
              <w:left w:val="nil"/>
              <w:bottom w:val="single" w:sz="4" w:space="0" w:color="auto"/>
              <w:right w:val="nil"/>
            </w:tcBorders>
            <w:shd w:val="clear" w:color="auto" w:fill="auto"/>
            <w:noWrap/>
            <w:vAlign w:val="center"/>
            <w:hideMark/>
          </w:tcPr>
          <w:p w14:paraId="193CEEF4"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70 669</w:t>
            </w:r>
          </w:p>
        </w:tc>
        <w:tc>
          <w:tcPr>
            <w:tcW w:w="509" w:type="pct"/>
            <w:tcBorders>
              <w:top w:val="nil"/>
              <w:left w:val="nil"/>
              <w:bottom w:val="single" w:sz="4" w:space="0" w:color="auto"/>
              <w:right w:val="nil"/>
            </w:tcBorders>
            <w:shd w:val="clear" w:color="auto" w:fill="auto"/>
            <w:noWrap/>
            <w:vAlign w:val="center"/>
            <w:hideMark/>
          </w:tcPr>
          <w:p w14:paraId="51A7C49B"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35 334</w:t>
            </w:r>
          </w:p>
        </w:tc>
        <w:tc>
          <w:tcPr>
            <w:tcW w:w="509" w:type="pct"/>
            <w:tcBorders>
              <w:top w:val="nil"/>
              <w:left w:val="nil"/>
              <w:bottom w:val="single" w:sz="4" w:space="0" w:color="auto"/>
              <w:right w:val="nil"/>
            </w:tcBorders>
            <w:shd w:val="clear" w:color="auto" w:fill="auto"/>
            <w:noWrap/>
            <w:vAlign w:val="center"/>
            <w:hideMark/>
          </w:tcPr>
          <w:p w14:paraId="2C2E5077"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0</w:t>
            </w:r>
          </w:p>
        </w:tc>
        <w:tc>
          <w:tcPr>
            <w:tcW w:w="509" w:type="pct"/>
            <w:tcBorders>
              <w:top w:val="nil"/>
              <w:left w:val="nil"/>
              <w:bottom w:val="single" w:sz="4" w:space="0" w:color="auto"/>
              <w:right w:val="nil"/>
            </w:tcBorders>
            <w:shd w:val="clear" w:color="auto" w:fill="auto"/>
            <w:noWrap/>
            <w:vAlign w:val="center"/>
            <w:hideMark/>
          </w:tcPr>
          <w:p w14:paraId="07D1BD20"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0</w:t>
            </w:r>
          </w:p>
        </w:tc>
        <w:tc>
          <w:tcPr>
            <w:tcW w:w="572" w:type="pct"/>
            <w:tcBorders>
              <w:top w:val="nil"/>
              <w:left w:val="nil"/>
              <w:bottom w:val="single" w:sz="4" w:space="0" w:color="auto"/>
              <w:right w:val="nil"/>
            </w:tcBorders>
            <w:shd w:val="clear" w:color="auto" w:fill="auto"/>
            <w:noWrap/>
            <w:vAlign w:val="center"/>
            <w:hideMark/>
          </w:tcPr>
          <w:p w14:paraId="14512A94" w14:textId="77777777" w:rsidR="004D69BF" w:rsidRPr="009D29EA" w:rsidRDefault="004D69BF" w:rsidP="000240DA">
            <w:pPr>
              <w:spacing w:after="0"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0</w:t>
            </w:r>
          </w:p>
        </w:tc>
      </w:tr>
      <w:tr w:rsidR="004D69BF" w:rsidRPr="009D29EA" w14:paraId="69F44BD8" w14:textId="77777777" w:rsidTr="00076144">
        <w:trPr>
          <w:trHeight w:val="233"/>
        </w:trPr>
        <w:tc>
          <w:tcPr>
            <w:tcW w:w="2391" w:type="pct"/>
            <w:tcBorders>
              <w:top w:val="single" w:sz="4" w:space="0" w:color="auto"/>
              <w:left w:val="nil"/>
              <w:bottom w:val="single" w:sz="4" w:space="0" w:color="auto"/>
              <w:right w:val="nil"/>
            </w:tcBorders>
            <w:shd w:val="clear" w:color="auto" w:fill="auto"/>
            <w:vAlign w:val="center"/>
            <w:hideMark/>
          </w:tcPr>
          <w:p w14:paraId="58A1E1AE" w14:textId="77777777" w:rsidR="004D69BF" w:rsidRPr="009D29EA" w:rsidRDefault="004D69BF" w:rsidP="000240DA">
            <w:pPr>
              <w:spacing w:after="0" w:line="240" w:lineRule="auto"/>
              <w:rPr>
                <w:rFonts w:eastAsia="Times New Roman" w:cs="Times New Roman"/>
                <w:b/>
                <w:bCs/>
                <w:color w:val="000000"/>
                <w:sz w:val="18"/>
                <w:szCs w:val="18"/>
                <w:lang w:eastAsia="sk-SK"/>
              </w:rPr>
            </w:pPr>
            <w:r w:rsidRPr="009D29EA">
              <w:rPr>
                <w:rFonts w:eastAsia="Times New Roman" w:cs="Times New Roman"/>
                <w:b/>
                <w:bCs/>
                <w:color w:val="000000"/>
                <w:sz w:val="18"/>
                <w:szCs w:val="18"/>
                <w:lang w:eastAsia="sk-SK"/>
              </w:rPr>
              <w:t>Spolu</w:t>
            </w:r>
          </w:p>
        </w:tc>
        <w:tc>
          <w:tcPr>
            <w:tcW w:w="509" w:type="pct"/>
            <w:tcBorders>
              <w:top w:val="single" w:sz="4" w:space="0" w:color="auto"/>
              <w:left w:val="nil"/>
              <w:bottom w:val="single" w:sz="4" w:space="0" w:color="auto"/>
              <w:right w:val="nil"/>
            </w:tcBorders>
            <w:shd w:val="clear" w:color="auto" w:fill="auto"/>
            <w:noWrap/>
            <w:vAlign w:val="center"/>
            <w:hideMark/>
          </w:tcPr>
          <w:p w14:paraId="555BAACC" w14:textId="77777777" w:rsidR="004D69BF" w:rsidRPr="009D29EA" w:rsidRDefault="004D69BF" w:rsidP="000240DA">
            <w:pPr>
              <w:spacing w:after="0" w:line="240" w:lineRule="auto"/>
              <w:jc w:val="right"/>
              <w:rPr>
                <w:rFonts w:eastAsia="Times New Roman" w:cs="Times New Roman"/>
                <w:b/>
                <w:bCs/>
                <w:color w:val="000000"/>
                <w:sz w:val="18"/>
                <w:szCs w:val="18"/>
                <w:lang w:eastAsia="sk-SK"/>
              </w:rPr>
            </w:pPr>
            <w:r w:rsidRPr="009D29EA">
              <w:rPr>
                <w:rFonts w:eastAsia="Times New Roman" w:cs="Times New Roman"/>
                <w:b/>
                <w:bCs/>
                <w:color w:val="000000"/>
                <w:sz w:val="18"/>
                <w:szCs w:val="18"/>
                <w:lang w:eastAsia="sk-SK"/>
              </w:rPr>
              <w:t>1 523 995</w:t>
            </w:r>
          </w:p>
        </w:tc>
        <w:tc>
          <w:tcPr>
            <w:tcW w:w="509" w:type="pct"/>
            <w:tcBorders>
              <w:top w:val="single" w:sz="4" w:space="0" w:color="auto"/>
              <w:left w:val="nil"/>
              <w:bottom w:val="single" w:sz="4" w:space="0" w:color="auto"/>
              <w:right w:val="nil"/>
            </w:tcBorders>
            <w:shd w:val="clear" w:color="auto" w:fill="auto"/>
            <w:noWrap/>
            <w:vAlign w:val="center"/>
            <w:hideMark/>
          </w:tcPr>
          <w:p w14:paraId="38B4451A" w14:textId="77777777" w:rsidR="004D69BF" w:rsidRPr="009D29EA" w:rsidRDefault="004D69BF" w:rsidP="000240DA">
            <w:pPr>
              <w:spacing w:after="0" w:line="240" w:lineRule="auto"/>
              <w:jc w:val="right"/>
              <w:rPr>
                <w:rFonts w:eastAsia="Times New Roman" w:cs="Times New Roman"/>
                <w:b/>
                <w:bCs/>
                <w:color w:val="000000"/>
                <w:sz w:val="18"/>
                <w:szCs w:val="18"/>
                <w:lang w:eastAsia="sk-SK"/>
              </w:rPr>
            </w:pPr>
            <w:r w:rsidRPr="009D29EA">
              <w:rPr>
                <w:rFonts w:eastAsia="Times New Roman" w:cs="Times New Roman"/>
                <w:b/>
                <w:bCs/>
                <w:color w:val="000000"/>
                <w:sz w:val="18"/>
                <w:szCs w:val="18"/>
                <w:lang w:eastAsia="sk-SK"/>
              </w:rPr>
              <w:t>3 281 006</w:t>
            </w:r>
          </w:p>
        </w:tc>
        <w:tc>
          <w:tcPr>
            <w:tcW w:w="509" w:type="pct"/>
            <w:tcBorders>
              <w:top w:val="single" w:sz="4" w:space="0" w:color="auto"/>
              <w:left w:val="nil"/>
              <w:bottom w:val="single" w:sz="4" w:space="0" w:color="auto"/>
              <w:right w:val="nil"/>
            </w:tcBorders>
            <w:shd w:val="clear" w:color="auto" w:fill="auto"/>
            <w:noWrap/>
            <w:vAlign w:val="center"/>
            <w:hideMark/>
          </w:tcPr>
          <w:p w14:paraId="76CBCCFC" w14:textId="77777777" w:rsidR="004D69BF" w:rsidRPr="009D29EA" w:rsidRDefault="004D69BF" w:rsidP="000240DA">
            <w:pPr>
              <w:spacing w:after="0" w:line="240" w:lineRule="auto"/>
              <w:jc w:val="right"/>
              <w:rPr>
                <w:rFonts w:eastAsia="Times New Roman" w:cs="Times New Roman"/>
                <w:b/>
                <w:bCs/>
                <w:color w:val="000000"/>
                <w:sz w:val="18"/>
                <w:szCs w:val="18"/>
                <w:lang w:eastAsia="sk-SK"/>
              </w:rPr>
            </w:pPr>
            <w:r w:rsidRPr="009D29EA">
              <w:rPr>
                <w:rFonts w:eastAsia="Times New Roman" w:cs="Times New Roman"/>
                <w:b/>
                <w:bCs/>
                <w:color w:val="000000"/>
                <w:sz w:val="18"/>
                <w:szCs w:val="18"/>
                <w:lang w:eastAsia="sk-SK"/>
              </w:rPr>
              <w:t>1 041 031</w:t>
            </w:r>
          </w:p>
        </w:tc>
        <w:tc>
          <w:tcPr>
            <w:tcW w:w="509" w:type="pct"/>
            <w:tcBorders>
              <w:top w:val="single" w:sz="4" w:space="0" w:color="auto"/>
              <w:left w:val="nil"/>
              <w:bottom w:val="single" w:sz="4" w:space="0" w:color="auto"/>
              <w:right w:val="nil"/>
            </w:tcBorders>
            <w:shd w:val="clear" w:color="auto" w:fill="auto"/>
            <w:noWrap/>
            <w:vAlign w:val="center"/>
            <w:hideMark/>
          </w:tcPr>
          <w:p w14:paraId="0383D7E3" w14:textId="77777777" w:rsidR="004D69BF" w:rsidRPr="009D29EA" w:rsidRDefault="004D69BF" w:rsidP="000240DA">
            <w:pPr>
              <w:spacing w:after="0" w:line="240" w:lineRule="auto"/>
              <w:jc w:val="right"/>
              <w:rPr>
                <w:rFonts w:eastAsia="Times New Roman" w:cs="Times New Roman"/>
                <w:b/>
                <w:bCs/>
                <w:color w:val="000000"/>
                <w:sz w:val="18"/>
                <w:szCs w:val="18"/>
                <w:lang w:eastAsia="sk-SK"/>
              </w:rPr>
            </w:pPr>
            <w:r w:rsidRPr="009D29EA">
              <w:rPr>
                <w:rFonts w:eastAsia="Times New Roman" w:cs="Times New Roman"/>
                <w:b/>
                <w:bCs/>
                <w:color w:val="000000"/>
                <w:sz w:val="18"/>
                <w:szCs w:val="18"/>
                <w:lang w:eastAsia="sk-SK"/>
              </w:rPr>
              <w:t>2 402 580</w:t>
            </w:r>
          </w:p>
        </w:tc>
        <w:tc>
          <w:tcPr>
            <w:tcW w:w="572" w:type="pct"/>
            <w:tcBorders>
              <w:top w:val="single" w:sz="4" w:space="0" w:color="auto"/>
              <w:left w:val="nil"/>
              <w:bottom w:val="single" w:sz="4" w:space="0" w:color="auto"/>
              <w:right w:val="nil"/>
            </w:tcBorders>
            <w:shd w:val="clear" w:color="auto" w:fill="auto"/>
            <w:noWrap/>
            <w:vAlign w:val="center"/>
            <w:hideMark/>
          </w:tcPr>
          <w:p w14:paraId="73FDC826" w14:textId="77777777" w:rsidR="004D69BF" w:rsidRPr="009D29EA" w:rsidRDefault="004D69BF" w:rsidP="000240DA">
            <w:pPr>
              <w:spacing w:after="0" w:line="240" w:lineRule="auto"/>
              <w:jc w:val="right"/>
              <w:rPr>
                <w:rFonts w:eastAsia="Times New Roman" w:cs="Times New Roman"/>
                <w:b/>
                <w:bCs/>
                <w:color w:val="000000"/>
                <w:sz w:val="18"/>
                <w:szCs w:val="18"/>
                <w:lang w:eastAsia="sk-SK"/>
              </w:rPr>
            </w:pPr>
            <w:r w:rsidRPr="009D29EA">
              <w:rPr>
                <w:rFonts w:eastAsia="Times New Roman" w:cs="Times New Roman"/>
                <w:b/>
                <w:bCs/>
                <w:color w:val="000000"/>
                <w:sz w:val="18"/>
                <w:szCs w:val="18"/>
                <w:lang w:eastAsia="sk-SK"/>
              </w:rPr>
              <w:t>1 361 549</w:t>
            </w:r>
          </w:p>
        </w:tc>
      </w:tr>
    </w:tbl>
    <w:p w14:paraId="5EE35056" w14:textId="00886DB5" w:rsidR="0022384F" w:rsidRPr="0022384F" w:rsidRDefault="0022384F" w:rsidP="00076144">
      <w:pPr>
        <w:spacing w:line="240" w:lineRule="auto"/>
        <w:ind w:left="7649"/>
        <w:rPr>
          <w:sz w:val="18"/>
          <w:szCs w:val="18"/>
        </w:rPr>
      </w:pPr>
      <w:r w:rsidRPr="0022384F">
        <w:rPr>
          <w:sz w:val="18"/>
          <w:szCs w:val="18"/>
        </w:rPr>
        <w:t>Zdroj: MF SR</w:t>
      </w:r>
    </w:p>
    <w:p w14:paraId="03202B1A" w14:textId="64264072" w:rsidR="004D69BF" w:rsidRPr="0056549F" w:rsidRDefault="004D69BF" w:rsidP="004D69BF">
      <w:pPr>
        <w:spacing w:before="120" w:line="240" w:lineRule="auto"/>
        <w:rPr>
          <w:sz w:val="24"/>
          <w:szCs w:val="24"/>
        </w:rPr>
      </w:pPr>
      <w:r w:rsidRPr="00824CF4">
        <w:rPr>
          <w:sz w:val="24"/>
          <w:szCs w:val="24"/>
        </w:rPr>
        <w:t xml:space="preserve">Transfery určené </w:t>
      </w:r>
      <w:r w:rsidRPr="007F2B23">
        <w:rPr>
          <w:b/>
          <w:bCs/>
          <w:sz w:val="24"/>
          <w:szCs w:val="24"/>
        </w:rPr>
        <w:t>Národnej diaľničnej spoločnosti,</w:t>
      </w:r>
      <w:r w:rsidR="00EA4EA9">
        <w:rPr>
          <w:b/>
          <w:bCs/>
          <w:sz w:val="24"/>
          <w:szCs w:val="24"/>
        </w:rPr>
        <w:t> </w:t>
      </w:r>
      <w:r w:rsidRPr="007F2B23">
        <w:rPr>
          <w:b/>
          <w:bCs/>
          <w:sz w:val="24"/>
          <w:szCs w:val="24"/>
        </w:rPr>
        <w:t>a.</w:t>
      </w:r>
      <w:r w:rsidR="00EA4EA9">
        <w:rPr>
          <w:b/>
          <w:bCs/>
          <w:sz w:val="24"/>
          <w:szCs w:val="24"/>
        </w:rPr>
        <w:t> </w:t>
      </w:r>
      <w:r w:rsidRPr="007F2B23">
        <w:rPr>
          <w:b/>
          <w:bCs/>
          <w:sz w:val="24"/>
          <w:szCs w:val="24"/>
        </w:rPr>
        <w:t>s.</w:t>
      </w:r>
      <w:r w:rsidRPr="00824CF4">
        <w:rPr>
          <w:sz w:val="24"/>
          <w:szCs w:val="24"/>
        </w:rPr>
        <w:t xml:space="preserve"> boli </w:t>
      </w:r>
      <w:r w:rsidR="00EA4EA9">
        <w:rPr>
          <w:sz w:val="24"/>
          <w:szCs w:val="24"/>
        </w:rPr>
        <w:t>financované najmä zo </w:t>
      </w:r>
      <w:r>
        <w:rPr>
          <w:sz w:val="24"/>
          <w:szCs w:val="24"/>
        </w:rPr>
        <w:t>štátneho rozpočtu 336</w:t>
      </w:r>
      <w:r w:rsidR="00EA4EA9">
        <w:rPr>
          <w:sz w:val="24"/>
          <w:szCs w:val="24"/>
        </w:rPr>
        <w:t> </w:t>
      </w:r>
      <w:r>
        <w:rPr>
          <w:sz w:val="24"/>
          <w:szCs w:val="24"/>
        </w:rPr>
        <w:t>667</w:t>
      </w:r>
      <w:r w:rsidR="00EA4EA9">
        <w:rPr>
          <w:sz w:val="24"/>
          <w:szCs w:val="24"/>
        </w:rPr>
        <w:t> </w:t>
      </w:r>
      <w:r>
        <w:rPr>
          <w:sz w:val="24"/>
          <w:szCs w:val="24"/>
        </w:rPr>
        <w:t>tis.</w:t>
      </w:r>
      <w:r w:rsidR="00EA4EA9">
        <w:rPr>
          <w:sz w:val="24"/>
          <w:szCs w:val="24"/>
        </w:rPr>
        <w:t> </w:t>
      </w:r>
      <w:r>
        <w:rPr>
          <w:sz w:val="24"/>
          <w:szCs w:val="24"/>
        </w:rPr>
        <w:t>eur, zo zdrojov eurofondov v hodnote 111</w:t>
      </w:r>
      <w:r w:rsidR="00EA4EA9">
        <w:rPr>
          <w:sz w:val="24"/>
          <w:szCs w:val="24"/>
        </w:rPr>
        <w:t> </w:t>
      </w:r>
      <w:r>
        <w:rPr>
          <w:sz w:val="24"/>
          <w:szCs w:val="24"/>
        </w:rPr>
        <w:t>578</w:t>
      </w:r>
      <w:r w:rsidR="00EA4EA9">
        <w:rPr>
          <w:sz w:val="24"/>
          <w:szCs w:val="24"/>
        </w:rPr>
        <w:t> </w:t>
      </w:r>
      <w:r>
        <w:rPr>
          <w:sz w:val="24"/>
          <w:szCs w:val="24"/>
        </w:rPr>
        <w:t>tis.</w:t>
      </w:r>
      <w:r w:rsidR="00EA4EA9">
        <w:rPr>
          <w:sz w:val="24"/>
          <w:szCs w:val="24"/>
        </w:rPr>
        <w:t> </w:t>
      </w:r>
      <w:r>
        <w:rPr>
          <w:sz w:val="24"/>
          <w:szCs w:val="24"/>
        </w:rPr>
        <w:t>eur a</w:t>
      </w:r>
      <w:r w:rsidR="00EA4EA9">
        <w:rPr>
          <w:sz w:val="24"/>
          <w:szCs w:val="24"/>
        </w:rPr>
        <w:t> </w:t>
      </w:r>
      <w:r>
        <w:rPr>
          <w:sz w:val="24"/>
          <w:szCs w:val="24"/>
        </w:rPr>
        <w:t>zo</w:t>
      </w:r>
      <w:r w:rsidR="00EA4EA9">
        <w:rPr>
          <w:sz w:val="24"/>
          <w:szCs w:val="24"/>
        </w:rPr>
        <w:t> </w:t>
      </w:r>
      <w:r>
        <w:rPr>
          <w:sz w:val="24"/>
          <w:szCs w:val="24"/>
        </w:rPr>
        <w:t>spoluf</w:t>
      </w:r>
      <w:r w:rsidR="00EA4EA9">
        <w:rPr>
          <w:sz w:val="24"/>
          <w:szCs w:val="24"/>
        </w:rPr>
        <w:t>inancovania k eurofondom 14 354 </w:t>
      </w:r>
      <w:r>
        <w:rPr>
          <w:sz w:val="24"/>
          <w:szCs w:val="24"/>
        </w:rPr>
        <w:t>tis.</w:t>
      </w:r>
      <w:r w:rsidR="00EA4EA9">
        <w:rPr>
          <w:sz w:val="24"/>
          <w:szCs w:val="24"/>
        </w:rPr>
        <w:t> </w:t>
      </w:r>
      <w:r>
        <w:rPr>
          <w:sz w:val="24"/>
          <w:szCs w:val="24"/>
        </w:rPr>
        <w:t>eur. Prostriedky smerovali na</w:t>
      </w:r>
      <w:r w:rsidR="00EA4EA9">
        <w:rPr>
          <w:sz w:val="24"/>
          <w:szCs w:val="24"/>
        </w:rPr>
        <w:t> </w:t>
      </w:r>
      <w:r>
        <w:rPr>
          <w:sz w:val="24"/>
          <w:szCs w:val="24"/>
        </w:rPr>
        <w:t xml:space="preserve">financovanie </w:t>
      </w:r>
      <w:r w:rsidRPr="00824CF4">
        <w:rPr>
          <w:sz w:val="24"/>
          <w:szCs w:val="24"/>
        </w:rPr>
        <w:t>prípravy a pokračujúcej výstavby di</w:t>
      </w:r>
      <w:r>
        <w:rPr>
          <w:sz w:val="24"/>
          <w:szCs w:val="24"/>
        </w:rPr>
        <w:t xml:space="preserve">aľnic a rýchlostných ciest, z toho medzi najväčšie projekty patrí </w:t>
      </w:r>
      <w:r w:rsidRPr="007F2B23">
        <w:rPr>
          <w:sz w:val="24"/>
          <w:szCs w:val="24"/>
        </w:rPr>
        <w:t>Kriváň - Lovinobaňa (v tom: Kriváň</w:t>
      </w:r>
      <w:r w:rsidR="00EA4EA9">
        <w:rPr>
          <w:sz w:val="24"/>
          <w:szCs w:val="24"/>
        </w:rPr>
        <w:t> - </w:t>
      </w:r>
      <w:r w:rsidRPr="007F2B23">
        <w:rPr>
          <w:sz w:val="24"/>
          <w:szCs w:val="24"/>
        </w:rPr>
        <w:t>Mýtna) v sume 63</w:t>
      </w:r>
      <w:r w:rsidR="00EA4EA9">
        <w:rPr>
          <w:sz w:val="24"/>
          <w:szCs w:val="24"/>
        </w:rPr>
        <w:t> </w:t>
      </w:r>
      <w:r w:rsidRPr="007F2B23">
        <w:rPr>
          <w:sz w:val="24"/>
          <w:szCs w:val="24"/>
        </w:rPr>
        <w:t>851</w:t>
      </w:r>
      <w:r w:rsidR="00EA4EA9">
        <w:rPr>
          <w:sz w:val="24"/>
          <w:szCs w:val="24"/>
        </w:rPr>
        <w:t> </w:t>
      </w:r>
      <w:r>
        <w:rPr>
          <w:sz w:val="24"/>
          <w:szCs w:val="24"/>
        </w:rPr>
        <w:t>tis.</w:t>
      </w:r>
      <w:r w:rsidR="00EA4EA9">
        <w:rPr>
          <w:sz w:val="24"/>
          <w:szCs w:val="24"/>
        </w:rPr>
        <w:t> eur, Prešov - </w:t>
      </w:r>
      <w:r w:rsidRPr="007F2B23">
        <w:rPr>
          <w:sz w:val="24"/>
          <w:szCs w:val="24"/>
        </w:rPr>
        <w:t>severný obchvat (v tom: Prešov - severn</w:t>
      </w:r>
      <w:r w:rsidR="00EA4EA9">
        <w:rPr>
          <w:sz w:val="24"/>
          <w:szCs w:val="24"/>
        </w:rPr>
        <w:t>ý obchvat II. etapa) v sume 47 844 </w:t>
      </w:r>
      <w:r>
        <w:rPr>
          <w:sz w:val="24"/>
          <w:szCs w:val="24"/>
        </w:rPr>
        <w:t>tis.</w:t>
      </w:r>
      <w:r w:rsidR="00EA4EA9">
        <w:rPr>
          <w:sz w:val="24"/>
          <w:szCs w:val="24"/>
        </w:rPr>
        <w:t> </w:t>
      </w:r>
      <w:r w:rsidRPr="007F2B23">
        <w:rPr>
          <w:sz w:val="24"/>
          <w:szCs w:val="24"/>
        </w:rPr>
        <w:t>eur, D1 Lietavská Lúčka -Višňové - Dubná Skala (v tom: Lietavská Lúčka – Višňové – Dubná Skala – trasa a</w:t>
      </w:r>
      <w:r w:rsidR="00922722">
        <w:rPr>
          <w:sz w:val="24"/>
          <w:szCs w:val="24"/>
        </w:rPr>
        <w:t> </w:t>
      </w:r>
      <w:r w:rsidRPr="007F2B23">
        <w:rPr>
          <w:sz w:val="24"/>
          <w:szCs w:val="24"/>
        </w:rPr>
        <w:t xml:space="preserve">tunel) </w:t>
      </w:r>
      <w:r w:rsidR="00EA4EA9">
        <w:rPr>
          <w:sz w:val="24"/>
          <w:szCs w:val="24"/>
        </w:rPr>
        <w:t>v sume 52 696 tis. </w:t>
      </w:r>
      <w:r>
        <w:rPr>
          <w:sz w:val="24"/>
          <w:szCs w:val="24"/>
        </w:rPr>
        <w:t>eur</w:t>
      </w:r>
      <w:r w:rsidRPr="007F2B23">
        <w:rPr>
          <w:sz w:val="24"/>
          <w:szCs w:val="24"/>
        </w:rPr>
        <w:t>, Hubová - Ivachnová (II. fáza) v sume</w:t>
      </w:r>
      <w:r>
        <w:t xml:space="preserve"> </w:t>
      </w:r>
      <w:r w:rsidRPr="00AA3E25">
        <w:t>39</w:t>
      </w:r>
      <w:r w:rsidR="00EA4EA9">
        <w:t> </w:t>
      </w:r>
      <w:r w:rsidRPr="00AA3E25">
        <w:t>342</w:t>
      </w:r>
      <w:r w:rsidR="00EA4EA9">
        <w:t> </w:t>
      </w:r>
      <w:r>
        <w:t>tis.</w:t>
      </w:r>
      <w:r w:rsidR="00EA4EA9">
        <w:t> </w:t>
      </w:r>
      <w:r>
        <w:t xml:space="preserve">eur. </w:t>
      </w:r>
      <w:r w:rsidRPr="0056549F">
        <w:rPr>
          <w:sz w:val="24"/>
          <w:szCs w:val="24"/>
        </w:rPr>
        <w:t>Ďalšie výdavky smerovali aj do budovania úsekov rýchlostných ciest R2, R3 a R4.</w:t>
      </w:r>
    </w:p>
    <w:p w14:paraId="04223800" w14:textId="6502DDBF" w:rsidR="004D69BF" w:rsidRPr="00D2123C" w:rsidRDefault="004D69BF" w:rsidP="004D69BF">
      <w:pPr>
        <w:spacing w:before="120" w:line="240" w:lineRule="auto"/>
        <w:rPr>
          <w:sz w:val="24"/>
          <w:szCs w:val="24"/>
        </w:rPr>
      </w:pPr>
      <w:r w:rsidRPr="00D2123C">
        <w:rPr>
          <w:b/>
          <w:bCs/>
          <w:sz w:val="24"/>
          <w:szCs w:val="24"/>
        </w:rPr>
        <w:lastRenderedPageBreak/>
        <w:t>Obciam</w:t>
      </w:r>
      <w:r w:rsidRPr="00D2123C">
        <w:rPr>
          <w:sz w:val="24"/>
          <w:szCs w:val="24"/>
        </w:rPr>
        <w:t xml:space="preserve"> bolo poskytnutých úhrnom 391</w:t>
      </w:r>
      <w:r w:rsidR="00EA4EA9">
        <w:rPr>
          <w:sz w:val="24"/>
          <w:szCs w:val="24"/>
        </w:rPr>
        <w:t> </w:t>
      </w:r>
      <w:r w:rsidRPr="00D2123C">
        <w:rPr>
          <w:sz w:val="24"/>
          <w:szCs w:val="24"/>
        </w:rPr>
        <w:t>727</w:t>
      </w:r>
      <w:r w:rsidR="00EA4EA9">
        <w:rPr>
          <w:sz w:val="24"/>
          <w:szCs w:val="24"/>
        </w:rPr>
        <w:t> </w:t>
      </w:r>
      <w:r w:rsidRPr="00D2123C">
        <w:rPr>
          <w:sz w:val="24"/>
          <w:szCs w:val="24"/>
        </w:rPr>
        <w:t>tis.</w:t>
      </w:r>
      <w:r w:rsidR="00EA4EA9">
        <w:rPr>
          <w:sz w:val="24"/>
          <w:szCs w:val="24"/>
        </w:rPr>
        <w:t> </w:t>
      </w:r>
      <w:r w:rsidRPr="00D2123C">
        <w:rPr>
          <w:sz w:val="24"/>
          <w:szCs w:val="24"/>
        </w:rPr>
        <w:t>eur, najmä z rezortu MIRRI 108</w:t>
      </w:r>
      <w:r w:rsidR="00EA4EA9">
        <w:rPr>
          <w:sz w:val="24"/>
          <w:szCs w:val="24"/>
        </w:rPr>
        <w:t> </w:t>
      </w:r>
      <w:r w:rsidRPr="00D2123C">
        <w:rPr>
          <w:sz w:val="24"/>
          <w:szCs w:val="24"/>
        </w:rPr>
        <w:t>691</w:t>
      </w:r>
      <w:r w:rsidR="00EA4EA9">
        <w:rPr>
          <w:sz w:val="24"/>
          <w:szCs w:val="24"/>
        </w:rPr>
        <w:t> tis. eur, školstva 82 341 </w:t>
      </w:r>
      <w:r w:rsidRPr="00D2123C">
        <w:rPr>
          <w:sz w:val="24"/>
          <w:szCs w:val="24"/>
        </w:rPr>
        <w:t>tis.</w:t>
      </w:r>
      <w:r w:rsidR="00EA4EA9">
        <w:rPr>
          <w:sz w:val="24"/>
          <w:szCs w:val="24"/>
        </w:rPr>
        <w:t> </w:t>
      </w:r>
      <w:r w:rsidRPr="00D2123C">
        <w:rPr>
          <w:sz w:val="24"/>
          <w:szCs w:val="24"/>
        </w:rPr>
        <w:t>eur a dopravy 81</w:t>
      </w:r>
      <w:r w:rsidR="00EA4EA9">
        <w:rPr>
          <w:sz w:val="24"/>
          <w:szCs w:val="24"/>
        </w:rPr>
        <w:t> </w:t>
      </w:r>
      <w:r w:rsidRPr="00D2123C">
        <w:rPr>
          <w:sz w:val="24"/>
          <w:szCs w:val="24"/>
        </w:rPr>
        <w:t>278</w:t>
      </w:r>
      <w:r w:rsidR="00EA4EA9">
        <w:rPr>
          <w:sz w:val="24"/>
          <w:szCs w:val="24"/>
        </w:rPr>
        <w:t> </w:t>
      </w:r>
      <w:r w:rsidRPr="00D2123C">
        <w:rPr>
          <w:sz w:val="24"/>
          <w:szCs w:val="24"/>
        </w:rPr>
        <w:t>tis.</w:t>
      </w:r>
      <w:r w:rsidR="00EA4EA9">
        <w:rPr>
          <w:sz w:val="24"/>
          <w:szCs w:val="24"/>
        </w:rPr>
        <w:t> </w:t>
      </w:r>
      <w:r w:rsidRPr="00D2123C">
        <w:rPr>
          <w:sz w:val="24"/>
          <w:szCs w:val="24"/>
        </w:rPr>
        <w:t>eur. Prostriedky smerovali napríklad na</w:t>
      </w:r>
      <w:r w:rsidR="00EA4EA9">
        <w:rPr>
          <w:sz w:val="24"/>
          <w:szCs w:val="24"/>
        </w:rPr>
        <w:t> </w:t>
      </w:r>
      <w:r w:rsidRPr="00D2123C">
        <w:rPr>
          <w:sz w:val="24"/>
          <w:szCs w:val="24"/>
        </w:rPr>
        <w:t>dostupnosť, rozvoj a kvalit</w:t>
      </w:r>
      <w:r>
        <w:rPr>
          <w:sz w:val="24"/>
          <w:szCs w:val="24"/>
        </w:rPr>
        <w:t>u</w:t>
      </w:r>
      <w:r w:rsidRPr="00D2123C">
        <w:rPr>
          <w:sz w:val="24"/>
          <w:szCs w:val="24"/>
        </w:rPr>
        <w:t xml:space="preserve"> inkluzívneho vzdel</w:t>
      </w:r>
      <w:r w:rsidR="00EA4EA9">
        <w:rPr>
          <w:sz w:val="24"/>
          <w:szCs w:val="24"/>
        </w:rPr>
        <w:t>ávania na všetkých stupňoch, na </w:t>
      </w:r>
      <w:r w:rsidRPr="00D2123C">
        <w:rPr>
          <w:sz w:val="24"/>
          <w:szCs w:val="24"/>
        </w:rPr>
        <w:t>program vzdelávanie pre 21.</w:t>
      </w:r>
      <w:r w:rsidR="00EA4EA9">
        <w:rPr>
          <w:sz w:val="24"/>
          <w:szCs w:val="24"/>
        </w:rPr>
        <w:t> </w:t>
      </w:r>
      <w:r w:rsidRPr="00D2123C">
        <w:rPr>
          <w:sz w:val="24"/>
          <w:szCs w:val="24"/>
        </w:rPr>
        <w:t>storočie, na implementáciu výzvy Rozvoj zručností na trhu prá</w:t>
      </w:r>
      <w:r>
        <w:rPr>
          <w:sz w:val="24"/>
          <w:szCs w:val="24"/>
        </w:rPr>
        <w:t>c</w:t>
      </w:r>
      <w:r w:rsidRPr="00D2123C">
        <w:rPr>
          <w:sz w:val="24"/>
          <w:szCs w:val="24"/>
        </w:rPr>
        <w:t>e (REACT EU), zlepšenie kvality života v regiónoch s dôrazom na životné prostredie, bezpečnú a ekologickú dopravu v regiónoch, výstavbu a obnovu bytového fondu, náhradné nájomné byty, obnovu verejných historických a pamiatkovo chránených budov.</w:t>
      </w:r>
    </w:p>
    <w:p w14:paraId="2FCB0A48" w14:textId="64B5D4E1" w:rsidR="004D69BF" w:rsidRDefault="004D69BF" w:rsidP="004D69BF">
      <w:pPr>
        <w:spacing w:before="120" w:line="240" w:lineRule="auto"/>
        <w:rPr>
          <w:sz w:val="24"/>
          <w:szCs w:val="24"/>
        </w:rPr>
      </w:pPr>
      <w:r w:rsidRPr="006B5058">
        <w:rPr>
          <w:b/>
          <w:bCs/>
          <w:sz w:val="24"/>
          <w:szCs w:val="24"/>
        </w:rPr>
        <w:t>Príspevkovým organizáciám</w:t>
      </w:r>
      <w:r>
        <w:rPr>
          <w:sz w:val="24"/>
          <w:szCs w:val="24"/>
        </w:rPr>
        <w:t xml:space="preserve"> boli poskytnuté kapitálové transfery najmä v</w:t>
      </w:r>
      <w:r w:rsidR="00EA4EA9">
        <w:rPr>
          <w:sz w:val="24"/>
          <w:szCs w:val="24"/>
        </w:rPr>
        <w:t> rezorte zdravotníctva (248 320 </w:t>
      </w:r>
      <w:r>
        <w:rPr>
          <w:sz w:val="24"/>
          <w:szCs w:val="24"/>
        </w:rPr>
        <w:t>tis.</w:t>
      </w:r>
      <w:r w:rsidR="00EA4EA9">
        <w:rPr>
          <w:sz w:val="24"/>
          <w:szCs w:val="24"/>
        </w:rPr>
        <w:t> </w:t>
      </w:r>
      <w:r>
        <w:rPr>
          <w:sz w:val="24"/>
          <w:szCs w:val="24"/>
        </w:rPr>
        <w:t>eur) a to hla</w:t>
      </w:r>
      <w:r w:rsidR="00EA4EA9">
        <w:rPr>
          <w:sz w:val="24"/>
          <w:szCs w:val="24"/>
        </w:rPr>
        <w:t>vne z prostriedkov POO (160 856 </w:t>
      </w:r>
      <w:r>
        <w:rPr>
          <w:sz w:val="24"/>
          <w:szCs w:val="24"/>
        </w:rPr>
        <w:t>tis.</w:t>
      </w:r>
      <w:r w:rsidR="00EA4EA9">
        <w:rPr>
          <w:sz w:val="24"/>
          <w:szCs w:val="24"/>
        </w:rPr>
        <w:t> </w:t>
      </w:r>
      <w:r>
        <w:rPr>
          <w:sz w:val="24"/>
          <w:szCs w:val="24"/>
        </w:rPr>
        <w:t>eur, bez</w:t>
      </w:r>
      <w:r w:rsidR="00EA4EA9">
        <w:rPr>
          <w:sz w:val="24"/>
          <w:szCs w:val="24"/>
        </w:rPr>
        <w:t> </w:t>
      </w:r>
      <w:r>
        <w:rPr>
          <w:sz w:val="24"/>
          <w:szCs w:val="24"/>
        </w:rPr>
        <w:t>DPH) a ďal</w:t>
      </w:r>
      <w:r w:rsidR="00EA4EA9">
        <w:rPr>
          <w:sz w:val="24"/>
          <w:szCs w:val="24"/>
        </w:rPr>
        <w:t>ej zo štátneho rozpočtu (52 966 </w:t>
      </w:r>
      <w:r>
        <w:rPr>
          <w:sz w:val="24"/>
          <w:szCs w:val="24"/>
        </w:rPr>
        <w:t>tis.</w:t>
      </w:r>
      <w:r w:rsidR="00EA4EA9">
        <w:rPr>
          <w:sz w:val="24"/>
          <w:szCs w:val="24"/>
        </w:rPr>
        <w:t> </w:t>
      </w:r>
      <w:r>
        <w:rPr>
          <w:sz w:val="24"/>
          <w:szCs w:val="24"/>
        </w:rPr>
        <w:t>eur). Prostriedky smerovali na modernú a dostupnú zdravotnú starostlivosť, nákup zdravotníckej</w:t>
      </w:r>
      <w:r w:rsidR="00922722">
        <w:rPr>
          <w:sz w:val="24"/>
          <w:szCs w:val="24"/>
        </w:rPr>
        <w:t xml:space="preserve"> techniky a zariadení ako aj na </w:t>
      </w:r>
      <w:r>
        <w:rPr>
          <w:sz w:val="24"/>
          <w:szCs w:val="24"/>
        </w:rPr>
        <w:t>obnovu a budovanie nových stavieb v správe nemocníc a zdravotníckych zariadení. Ďalšie významné čiastky poskytla kapitola MIRRI 30</w:t>
      </w:r>
      <w:r w:rsidR="00EA4EA9">
        <w:rPr>
          <w:sz w:val="24"/>
          <w:szCs w:val="24"/>
        </w:rPr>
        <w:t> </w:t>
      </w:r>
      <w:r>
        <w:rPr>
          <w:sz w:val="24"/>
          <w:szCs w:val="24"/>
        </w:rPr>
        <w:t>667</w:t>
      </w:r>
      <w:r w:rsidR="00EA4EA9">
        <w:rPr>
          <w:sz w:val="24"/>
          <w:szCs w:val="24"/>
        </w:rPr>
        <w:t> </w:t>
      </w:r>
      <w:r>
        <w:rPr>
          <w:sz w:val="24"/>
          <w:szCs w:val="24"/>
        </w:rPr>
        <w:t>tis.</w:t>
      </w:r>
      <w:r w:rsidR="00EA4EA9">
        <w:rPr>
          <w:sz w:val="24"/>
          <w:szCs w:val="24"/>
        </w:rPr>
        <w:t> </w:t>
      </w:r>
      <w:r>
        <w:rPr>
          <w:sz w:val="24"/>
          <w:szCs w:val="24"/>
        </w:rPr>
        <w:t>eur a kapitol</w:t>
      </w:r>
      <w:r w:rsidR="00EA4EA9">
        <w:rPr>
          <w:sz w:val="24"/>
          <w:szCs w:val="24"/>
        </w:rPr>
        <w:t>a Ministerstva obrany SR 23 485 </w:t>
      </w:r>
      <w:r>
        <w:rPr>
          <w:sz w:val="24"/>
          <w:szCs w:val="24"/>
        </w:rPr>
        <w:t>tis.</w:t>
      </w:r>
      <w:r w:rsidR="00EA4EA9">
        <w:rPr>
          <w:sz w:val="24"/>
          <w:szCs w:val="24"/>
        </w:rPr>
        <w:t> </w:t>
      </w:r>
      <w:r>
        <w:rPr>
          <w:sz w:val="24"/>
          <w:szCs w:val="24"/>
        </w:rPr>
        <w:t>eur.</w:t>
      </w:r>
    </w:p>
    <w:p w14:paraId="1B56320F" w14:textId="1D984626" w:rsidR="004D69BF" w:rsidRPr="006A1332" w:rsidRDefault="004D69BF" w:rsidP="004D69BF">
      <w:pPr>
        <w:spacing w:before="120" w:line="240" w:lineRule="auto"/>
        <w:rPr>
          <w:sz w:val="24"/>
          <w:szCs w:val="24"/>
        </w:rPr>
      </w:pPr>
      <w:r>
        <w:rPr>
          <w:b/>
          <w:bCs/>
          <w:sz w:val="24"/>
          <w:szCs w:val="24"/>
        </w:rPr>
        <w:t>Železnice SR</w:t>
      </w:r>
      <w:r>
        <w:rPr>
          <w:sz w:val="24"/>
          <w:szCs w:val="24"/>
        </w:rPr>
        <w:t xml:space="preserve"> dostali v roku 2024 kapitálové transfery vo výške 267</w:t>
      </w:r>
      <w:r w:rsidR="00EA4EA9">
        <w:rPr>
          <w:sz w:val="24"/>
          <w:szCs w:val="24"/>
        </w:rPr>
        <w:t> </w:t>
      </w:r>
      <w:r>
        <w:rPr>
          <w:sz w:val="24"/>
          <w:szCs w:val="24"/>
        </w:rPr>
        <w:t>350</w:t>
      </w:r>
      <w:r w:rsidR="00EA4EA9">
        <w:rPr>
          <w:sz w:val="24"/>
          <w:szCs w:val="24"/>
        </w:rPr>
        <w:t> </w:t>
      </w:r>
      <w:r>
        <w:rPr>
          <w:sz w:val="24"/>
          <w:szCs w:val="24"/>
        </w:rPr>
        <w:t>tis.</w:t>
      </w:r>
      <w:r w:rsidR="00EA4EA9">
        <w:rPr>
          <w:sz w:val="24"/>
          <w:szCs w:val="24"/>
        </w:rPr>
        <w:t> </w:t>
      </w:r>
      <w:r>
        <w:rPr>
          <w:sz w:val="24"/>
          <w:szCs w:val="24"/>
        </w:rPr>
        <w:t>eur, z toho zo</w:t>
      </w:r>
      <w:r w:rsidR="00EA4EA9">
        <w:rPr>
          <w:sz w:val="24"/>
          <w:szCs w:val="24"/>
        </w:rPr>
        <w:t> </w:t>
      </w:r>
      <w:r>
        <w:rPr>
          <w:sz w:val="24"/>
          <w:szCs w:val="24"/>
        </w:rPr>
        <w:t>štátneh</w:t>
      </w:r>
      <w:r w:rsidR="00EA4EA9">
        <w:rPr>
          <w:sz w:val="24"/>
          <w:szCs w:val="24"/>
        </w:rPr>
        <w:t>o rozpočtu 96 298 </w:t>
      </w:r>
      <w:r>
        <w:rPr>
          <w:sz w:val="24"/>
          <w:szCs w:val="24"/>
        </w:rPr>
        <w:t>tis.</w:t>
      </w:r>
      <w:r w:rsidR="00EA4EA9">
        <w:rPr>
          <w:sz w:val="24"/>
          <w:szCs w:val="24"/>
        </w:rPr>
        <w:t> </w:t>
      </w:r>
      <w:r>
        <w:rPr>
          <w:sz w:val="24"/>
          <w:szCs w:val="24"/>
        </w:rPr>
        <w:t>eur (bez s</w:t>
      </w:r>
      <w:r w:rsidR="00EA4EA9">
        <w:rPr>
          <w:sz w:val="24"/>
          <w:szCs w:val="24"/>
        </w:rPr>
        <w:t>polufinancovania), z POO 90 834 </w:t>
      </w:r>
      <w:r>
        <w:rPr>
          <w:sz w:val="24"/>
          <w:szCs w:val="24"/>
        </w:rPr>
        <w:t>tis.</w:t>
      </w:r>
      <w:r w:rsidR="00EA4EA9">
        <w:rPr>
          <w:sz w:val="24"/>
          <w:szCs w:val="24"/>
        </w:rPr>
        <w:t> </w:t>
      </w:r>
      <w:r>
        <w:rPr>
          <w:sz w:val="24"/>
          <w:szCs w:val="24"/>
        </w:rPr>
        <w:t>eur a</w:t>
      </w:r>
      <w:r w:rsidR="00EA4EA9">
        <w:rPr>
          <w:sz w:val="24"/>
          <w:szCs w:val="24"/>
        </w:rPr>
        <w:t> prostriedkov eurofondov 73 839 </w:t>
      </w:r>
      <w:r>
        <w:rPr>
          <w:sz w:val="24"/>
          <w:szCs w:val="24"/>
        </w:rPr>
        <w:t>tis.</w:t>
      </w:r>
      <w:r w:rsidR="00EA4EA9">
        <w:rPr>
          <w:sz w:val="24"/>
          <w:szCs w:val="24"/>
        </w:rPr>
        <w:t> </w:t>
      </w:r>
      <w:r>
        <w:rPr>
          <w:sz w:val="24"/>
          <w:szCs w:val="24"/>
        </w:rPr>
        <w:t xml:space="preserve">eur. Financovali sa </w:t>
      </w:r>
      <w:r w:rsidR="00EA4EA9">
        <w:rPr>
          <w:sz w:val="24"/>
          <w:szCs w:val="24"/>
        </w:rPr>
        <w:t>nimi národné projekty rozvoja a </w:t>
      </w:r>
      <w:r>
        <w:rPr>
          <w:sz w:val="24"/>
          <w:szCs w:val="24"/>
        </w:rPr>
        <w:t xml:space="preserve">modernizácie železničnej siete ako aj projekty v rámci CEF. Medzi najvýznamnejšie projekty patrili: elektrifikácia a rekonštrukcia trate Bánovce nad Ondavou – Humenné, modernizácia trate Žilina – Košice, úsek Litovský Mikuláš – </w:t>
      </w:r>
      <w:r w:rsidRPr="006A1332">
        <w:rPr>
          <w:sz w:val="24"/>
          <w:szCs w:val="24"/>
        </w:rPr>
        <w:t>Poprad Tatry, 1.etapa Lučivná, Implementácia GSM- R do siete ŽSR, úsek Varín-Košice- Čierna nad Tisou štátna hranica, dostavba zriaďovacej stanice Žilina – Teplička a nadväzujúcej železničnej infraštruktúry.</w:t>
      </w:r>
    </w:p>
    <w:p w14:paraId="54CB1FBC" w14:textId="0835A7C6" w:rsidR="004D69BF" w:rsidRDefault="004D69BF" w:rsidP="004D69BF">
      <w:pPr>
        <w:spacing w:before="120" w:line="240" w:lineRule="auto"/>
        <w:rPr>
          <w:sz w:val="24"/>
          <w:szCs w:val="24"/>
        </w:rPr>
      </w:pPr>
      <w:r w:rsidRPr="000321BF">
        <w:rPr>
          <w:b/>
          <w:bCs/>
          <w:sz w:val="24"/>
          <w:szCs w:val="24"/>
        </w:rPr>
        <w:t>Dopravným podnikom</w:t>
      </w:r>
      <w:r>
        <w:rPr>
          <w:sz w:val="24"/>
          <w:szCs w:val="24"/>
        </w:rPr>
        <w:t xml:space="preserve"> zaradeným vo verejnej správe boli pos</w:t>
      </w:r>
      <w:r w:rsidR="00EA4EA9">
        <w:rPr>
          <w:sz w:val="24"/>
          <w:szCs w:val="24"/>
        </w:rPr>
        <w:t>kytnuté kapitálové transfery vo výške 53 724 </w:t>
      </w:r>
      <w:r>
        <w:rPr>
          <w:sz w:val="24"/>
          <w:szCs w:val="24"/>
        </w:rPr>
        <w:t>tis.</w:t>
      </w:r>
      <w:r w:rsidR="00EA4EA9">
        <w:rPr>
          <w:sz w:val="24"/>
          <w:szCs w:val="24"/>
        </w:rPr>
        <w:t> </w:t>
      </w:r>
      <w:r>
        <w:rPr>
          <w:sz w:val="24"/>
          <w:szCs w:val="24"/>
        </w:rPr>
        <w:t>eur, išlo najmä o zdroje z eurofondov (49</w:t>
      </w:r>
      <w:r w:rsidR="00EA4EA9">
        <w:rPr>
          <w:sz w:val="24"/>
          <w:szCs w:val="24"/>
        </w:rPr>
        <w:t> </w:t>
      </w:r>
      <w:r>
        <w:rPr>
          <w:sz w:val="24"/>
          <w:szCs w:val="24"/>
        </w:rPr>
        <w:t>435</w:t>
      </w:r>
      <w:r w:rsidR="00EA4EA9">
        <w:rPr>
          <w:sz w:val="24"/>
          <w:szCs w:val="24"/>
        </w:rPr>
        <w:t> </w:t>
      </w:r>
      <w:r>
        <w:rPr>
          <w:sz w:val="24"/>
          <w:szCs w:val="24"/>
        </w:rPr>
        <w:t>tis.</w:t>
      </w:r>
      <w:r w:rsidR="00EA4EA9">
        <w:rPr>
          <w:sz w:val="24"/>
          <w:szCs w:val="24"/>
        </w:rPr>
        <w:t> </w:t>
      </w:r>
      <w:r>
        <w:rPr>
          <w:sz w:val="24"/>
          <w:szCs w:val="24"/>
        </w:rPr>
        <w:t>eur), ktoré boli určené na</w:t>
      </w:r>
      <w:r w:rsidR="00EA4EA9">
        <w:rPr>
          <w:sz w:val="24"/>
          <w:szCs w:val="24"/>
        </w:rPr>
        <w:t> </w:t>
      </w:r>
      <w:r>
        <w:rPr>
          <w:sz w:val="24"/>
          <w:szCs w:val="24"/>
        </w:rPr>
        <w:t>financovanie nákupu nových ekologických vozidiel (nové električky a trolejbusy v Bratislave, trolejbusy v Prešove), budovania infraštruktúry súvisiacej s opravou a údržbou vozidiel (napr. depo Jurajov dvor a Krasňany v Bratislave, depá v Žiline a Košiciach) budovania a rekonštrukcie električkových tratí (napr. trať do Petržalky).</w:t>
      </w:r>
    </w:p>
    <w:p w14:paraId="0F8D4CEC" w14:textId="6D3034EC" w:rsidR="004D69BF" w:rsidRDefault="004D69BF" w:rsidP="004D69BF">
      <w:pPr>
        <w:spacing w:before="120" w:line="240" w:lineRule="auto"/>
        <w:rPr>
          <w:sz w:val="24"/>
          <w:szCs w:val="24"/>
        </w:rPr>
      </w:pPr>
      <w:r w:rsidRPr="00190E50">
        <w:rPr>
          <w:b/>
          <w:bCs/>
          <w:sz w:val="24"/>
          <w:szCs w:val="24"/>
        </w:rPr>
        <w:t>Transfery nefinančným subjektom</w:t>
      </w:r>
      <w:r>
        <w:rPr>
          <w:sz w:val="24"/>
          <w:szCs w:val="24"/>
        </w:rPr>
        <w:t xml:space="preserve"> boli v rozhodujúcej miere poskytnuté z re</w:t>
      </w:r>
      <w:r w:rsidR="00EA4EA9">
        <w:rPr>
          <w:sz w:val="24"/>
          <w:szCs w:val="24"/>
        </w:rPr>
        <w:t>zortu pôdohospodárstva (160 882 </w:t>
      </w:r>
      <w:r>
        <w:rPr>
          <w:sz w:val="24"/>
          <w:szCs w:val="24"/>
        </w:rPr>
        <w:t>tis.</w:t>
      </w:r>
      <w:r w:rsidR="00EA4EA9">
        <w:rPr>
          <w:sz w:val="24"/>
          <w:szCs w:val="24"/>
        </w:rPr>
        <w:t> eur), hospodárstva (102 836 </w:t>
      </w:r>
      <w:r>
        <w:rPr>
          <w:sz w:val="24"/>
          <w:szCs w:val="24"/>
        </w:rPr>
        <w:t>tis.</w:t>
      </w:r>
      <w:r w:rsidR="00EA4EA9">
        <w:rPr>
          <w:sz w:val="24"/>
          <w:szCs w:val="24"/>
        </w:rPr>
        <w:t> </w:t>
      </w:r>
      <w:r>
        <w:rPr>
          <w:sz w:val="24"/>
          <w:szCs w:val="24"/>
        </w:rPr>
        <w:t>eur) a životného p</w:t>
      </w:r>
      <w:r w:rsidR="00EA4EA9">
        <w:rPr>
          <w:sz w:val="24"/>
          <w:szCs w:val="24"/>
        </w:rPr>
        <w:t>rostredia (62 632 </w:t>
      </w:r>
      <w:r>
        <w:rPr>
          <w:sz w:val="24"/>
          <w:szCs w:val="24"/>
        </w:rPr>
        <w:t>tis.</w:t>
      </w:r>
      <w:r w:rsidR="00EA4EA9">
        <w:rPr>
          <w:sz w:val="24"/>
          <w:szCs w:val="24"/>
        </w:rPr>
        <w:t> </w:t>
      </w:r>
      <w:r>
        <w:rPr>
          <w:sz w:val="24"/>
          <w:szCs w:val="24"/>
        </w:rPr>
        <w:t>eur). Ide o transfery nie len právnickým osobám (založeným štátom alebo súkromným podnikateľským subjektom), ale aj fyzickým osobám – podnikateľom a ostatným právnickým osobám.</w:t>
      </w:r>
    </w:p>
    <w:p w14:paraId="3ACCBED2" w14:textId="0B17BC85" w:rsidR="004D69BF" w:rsidRDefault="004D69BF" w:rsidP="004D69BF">
      <w:pPr>
        <w:spacing w:before="120" w:line="240" w:lineRule="auto"/>
        <w:rPr>
          <w:sz w:val="24"/>
          <w:szCs w:val="24"/>
        </w:rPr>
      </w:pPr>
      <w:r>
        <w:rPr>
          <w:sz w:val="24"/>
          <w:szCs w:val="24"/>
        </w:rPr>
        <w:t>Prostriedky boli použité na vyplácanie platieb z poľnohospodárskych fondov EPZ, programy integrovanej infraštruktúry, podporu výskumu a vývoja, mobility, hospodárskeho rastu, technologických inovácií, zvýšenie konkurencieschopnosti, v oblasti cestovného ruchu na</w:t>
      </w:r>
      <w:r w:rsidR="00EA4EA9">
        <w:rPr>
          <w:sz w:val="24"/>
          <w:szCs w:val="24"/>
        </w:rPr>
        <w:t> </w:t>
      </w:r>
      <w:r>
        <w:rPr>
          <w:sz w:val="24"/>
          <w:szCs w:val="24"/>
        </w:rPr>
        <w:t>budov</w:t>
      </w:r>
      <w:r w:rsidR="00EA4EA9">
        <w:rPr>
          <w:sz w:val="24"/>
          <w:szCs w:val="24"/>
        </w:rPr>
        <w:t>anie nových športových kapacít.</w:t>
      </w:r>
    </w:p>
    <w:p w14:paraId="5BC143E5" w14:textId="3D0CCB4A" w:rsidR="004D69BF" w:rsidRDefault="004D69BF" w:rsidP="004D69BF">
      <w:pPr>
        <w:spacing w:before="120" w:line="240" w:lineRule="auto"/>
        <w:rPr>
          <w:sz w:val="24"/>
          <w:szCs w:val="24"/>
        </w:rPr>
      </w:pPr>
      <w:r>
        <w:rPr>
          <w:sz w:val="24"/>
          <w:szCs w:val="24"/>
        </w:rPr>
        <w:t xml:space="preserve">V prípade kapitálových transferov </w:t>
      </w:r>
      <w:r w:rsidRPr="00221DEE">
        <w:rPr>
          <w:b/>
          <w:bCs/>
          <w:sz w:val="24"/>
          <w:szCs w:val="24"/>
        </w:rPr>
        <w:t xml:space="preserve">jednotlivcom a neziskovým </w:t>
      </w:r>
      <w:r>
        <w:rPr>
          <w:b/>
          <w:bCs/>
          <w:sz w:val="24"/>
          <w:szCs w:val="24"/>
        </w:rPr>
        <w:t>právnickým osobám</w:t>
      </w:r>
      <w:r>
        <w:rPr>
          <w:sz w:val="24"/>
          <w:szCs w:val="24"/>
        </w:rPr>
        <w:t xml:space="preserve"> ide hlavne o transfery z kapitoly Ministerstva práce, sociálnych vecí a rodiny SR (89</w:t>
      </w:r>
      <w:r w:rsidR="00EA4EA9">
        <w:rPr>
          <w:sz w:val="24"/>
          <w:szCs w:val="24"/>
        </w:rPr>
        <w:t> </w:t>
      </w:r>
      <w:r>
        <w:rPr>
          <w:sz w:val="24"/>
          <w:szCs w:val="24"/>
        </w:rPr>
        <w:t>000</w:t>
      </w:r>
      <w:r w:rsidR="00EA4EA9">
        <w:rPr>
          <w:sz w:val="24"/>
          <w:szCs w:val="24"/>
        </w:rPr>
        <w:t> </w:t>
      </w:r>
      <w:r>
        <w:rPr>
          <w:sz w:val="24"/>
          <w:szCs w:val="24"/>
        </w:rPr>
        <w:t>tis.</w:t>
      </w:r>
      <w:r w:rsidR="00EA4EA9">
        <w:rPr>
          <w:sz w:val="24"/>
          <w:szCs w:val="24"/>
        </w:rPr>
        <w:t> </w:t>
      </w:r>
      <w:r>
        <w:rPr>
          <w:sz w:val="24"/>
          <w:szCs w:val="24"/>
        </w:rPr>
        <w:t>eur) a kapitoly Minist</w:t>
      </w:r>
      <w:r w:rsidR="00EA4EA9">
        <w:rPr>
          <w:sz w:val="24"/>
          <w:szCs w:val="24"/>
        </w:rPr>
        <w:t>erstva zdravotníctva SR (13 309 </w:t>
      </w:r>
      <w:r>
        <w:rPr>
          <w:sz w:val="24"/>
          <w:szCs w:val="24"/>
        </w:rPr>
        <w:t>tis.</w:t>
      </w:r>
      <w:r w:rsidR="00EA4EA9">
        <w:rPr>
          <w:sz w:val="24"/>
          <w:szCs w:val="24"/>
        </w:rPr>
        <w:t> </w:t>
      </w:r>
      <w:r>
        <w:rPr>
          <w:sz w:val="24"/>
          <w:szCs w:val="24"/>
        </w:rPr>
        <w:t>eur). Prostriedky smerovali na</w:t>
      </w:r>
      <w:r w:rsidR="00922722">
        <w:rPr>
          <w:sz w:val="24"/>
          <w:szCs w:val="24"/>
        </w:rPr>
        <w:t> </w:t>
      </w:r>
      <w:r>
        <w:rPr>
          <w:sz w:val="24"/>
          <w:szCs w:val="24"/>
        </w:rPr>
        <w:t>rozširovanie kapacít komunitnej sociálnej starostlivosti a modernej, dostupnej a kvalitnej zdravotnej starostlivosti (napr. zariadenia pre seniorov, denné stacionáre). Z pohľadu zdroja financovania išlo najmä o zdroje POO (84</w:t>
      </w:r>
      <w:r w:rsidR="00EA4EA9">
        <w:rPr>
          <w:sz w:val="24"/>
          <w:szCs w:val="24"/>
        </w:rPr>
        <w:t> </w:t>
      </w:r>
      <w:r>
        <w:rPr>
          <w:sz w:val="24"/>
          <w:szCs w:val="24"/>
        </w:rPr>
        <w:t>829</w:t>
      </w:r>
      <w:r w:rsidR="00EA4EA9">
        <w:rPr>
          <w:sz w:val="24"/>
          <w:szCs w:val="24"/>
        </w:rPr>
        <w:t> </w:t>
      </w:r>
      <w:r>
        <w:rPr>
          <w:sz w:val="24"/>
          <w:szCs w:val="24"/>
        </w:rPr>
        <w:t>tis.</w:t>
      </w:r>
      <w:r w:rsidR="00EA4EA9">
        <w:rPr>
          <w:sz w:val="24"/>
          <w:szCs w:val="24"/>
        </w:rPr>
        <w:t> </w:t>
      </w:r>
      <w:r>
        <w:rPr>
          <w:sz w:val="24"/>
          <w:szCs w:val="24"/>
        </w:rPr>
        <w:t>eur) na základe príslušných výziev v roku 2024</w:t>
      </w:r>
      <w:r>
        <w:rPr>
          <w:rStyle w:val="Odkaznapoznmkupodiarou"/>
          <w:sz w:val="24"/>
          <w:szCs w:val="24"/>
        </w:rPr>
        <w:footnoteReference w:id="29"/>
      </w:r>
      <w:r>
        <w:rPr>
          <w:sz w:val="24"/>
          <w:szCs w:val="24"/>
        </w:rPr>
        <w:t>.</w:t>
      </w:r>
    </w:p>
    <w:p w14:paraId="360E6D4E" w14:textId="77777777" w:rsidR="004D69BF" w:rsidRPr="00093F2B" w:rsidRDefault="004D69BF" w:rsidP="004D69BF">
      <w:pPr>
        <w:pStyle w:val="Nadpis3"/>
        <w:spacing w:line="336" w:lineRule="auto"/>
      </w:pPr>
      <w:bookmarkStart w:id="130" w:name="_Toc6415650"/>
      <w:bookmarkStart w:id="131" w:name="_Toc196314139"/>
      <w:r w:rsidRPr="00093F2B">
        <w:lastRenderedPageBreak/>
        <w:t>Čerpanie rezerv štátneho rozpočtu</w:t>
      </w:r>
      <w:bookmarkEnd w:id="130"/>
      <w:bookmarkEnd w:id="131"/>
    </w:p>
    <w:p w14:paraId="6284257F" w14:textId="426E38E0" w:rsidR="004D69BF" w:rsidRPr="00271773" w:rsidRDefault="004D69BF" w:rsidP="004D69BF">
      <w:pPr>
        <w:spacing w:line="240" w:lineRule="auto"/>
        <w:rPr>
          <w:sz w:val="24"/>
          <w:szCs w:val="24"/>
        </w:rPr>
      </w:pPr>
      <w:r w:rsidRPr="00F111A7">
        <w:rPr>
          <w:rFonts w:eastAsia="Calibri" w:cs="Times New Roman"/>
          <w:lang w:eastAsia="cs-CZ"/>
        </w:rPr>
        <w:t xml:space="preserve">Na </w:t>
      </w:r>
      <w:r w:rsidRPr="00271773">
        <w:rPr>
          <w:sz w:val="24"/>
          <w:szCs w:val="24"/>
        </w:rPr>
        <w:t>zabezpečenie rozpočtového hospodárenia sa na krytie v čase alebo výške neistých nevyhnutných alebo nepredvídateľných výdavkov vytvárajú v štátnom rozpočte rozpočtové rezervy.</w:t>
      </w:r>
    </w:p>
    <w:p w14:paraId="029F6304" w14:textId="73A511E0" w:rsidR="004D69BF" w:rsidRPr="00271773" w:rsidRDefault="004D69BF" w:rsidP="004D69BF">
      <w:pPr>
        <w:spacing w:line="240" w:lineRule="auto"/>
        <w:rPr>
          <w:sz w:val="24"/>
          <w:szCs w:val="24"/>
        </w:rPr>
      </w:pPr>
      <w:r w:rsidRPr="00271773">
        <w:rPr>
          <w:sz w:val="24"/>
          <w:szCs w:val="24"/>
        </w:rPr>
        <w:t>Podľa platného zne</w:t>
      </w:r>
      <w:r w:rsidR="00EA4EA9">
        <w:rPr>
          <w:sz w:val="24"/>
          <w:szCs w:val="24"/>
        </w:rPr>
        <w:t xml:space="preserve">nia ustanovenia § 10 ods. 4 zákona </w:t>
      </w:r>
      <w:r w:rsidRPr="00271773">
        <w:rPr>
          <w:sz w:val="24"/>
          <w:szCs w:val="24"/>
        </w:rPr>
        <w:t>o rozpočtových pravidlách vláda Slovenskej republiky informuje Národnú radu Slovenskej republiky v rámci štátneho záverečného účtu o uvoľnených alebo o použitých prostriedkoch v členení podľa správcov kapitol alebo podľa prijímateľov prostriedkov z rozpočtových rezerv, podľa účelu a výšky ich čerpania.</w:t>
      </w:r>
    </w:p>
    <w:p w14:paraId="37A636D1" w14:textId="71A9362D" w:rsidR="004D69BF" w:rsidRPr="00652271" w:rsidRDefault="004D69BF" w:rsidP="004D69BF">
      <w:pPr>
        <w:spacing w:line="240" w:lineRule="auto"/>
        <w:rPr>
          <w:rFonts w:eastAsia="Calibri" w:cs="Times New Roman"/>
          <w:sz w:val="24"/>
          <w:szCs w:val="24"/>
          <w:lang w:eastAsia="cs-CZ"/>
        </w:rPr>
      </w:pPr>
      <w:r w:rsidRPr="00652271">
        <w:rPr>
          <w:sz w:val="24"/>
          <w:szCs w:val="24"/>
        </w:rPr>
        <w:t>Výšku rozpočtových rezerv na rok 2024 schválila Národná rada Slovenskej republiky zákonom</w:t>
      </w:r>
      <w:r w:rsidR="00EA4EA9">
        <w:rPr>
          <w:sz w:val="24"/>
          <w:szCs w:val="24"/>
        </w:rPr>
        <w:t xml:space="preserve"> </w:t>
      </w:r>
      <w:r w:rsidRPr="00652271">
        <w:rPr>
          <w:sz w:val="24"/>
          <w:szCs w:val="24"/>
        </w:rPr>
        <w:t>č.</w:t>
      </w:r>
      <w:r w:rsidR="00EA4EA9">
        <w:rPr>
          <w:sz w:val="24"/>
          <w:szCs w:val="24"/>
        </w:rPr>
        <w:t> 534/2023 </w:t>
      </w:r>
      <w:r w:rsidRPr="00652271">
        <w:rPr>
          <w:sz w:val="24"/>
          <w:szCs w:val="24"/>
        </w:rPr>
        <w:t>Z.</w:t>
      </w:r>
      <w:r w:rsidR="00EA4EA9">
        <w:rPr>
          <w:sz w:val="24"/>
          <w:szCs w:val="24"/>
        </w:rPr>
        <w:t> </w:t>
      </w:r>
      <w:r w:rsidRPr="00652271">
        <w:rPr>
          <w:sz w:val="24"/>
          <w:szCs w:val="24"/>
        </w:rPr>
        <w:t>z. o</w:t>
      </w:r>
      <w:r w:rsidRPr="00652271">
        <w:rPr>
          <w:rFonts w:eastAsia="Calibri" w:cs="Times New Roman"/>
          <w:sz w:val="24"/>
          <w:szCs w:val="24"/>
          <w:lang w:eastAsia="cs-CZ"/>
        </w:rPr>
        <w:t xml:space="preserve"> štátnom rozpočte na rok 2024</w:t>
      </w:r>
      <w:r w:rsidRPr="00652271">
        <w:rPr>
          <w:rStyle w:val="Odkaznapoznmkupodiarou"/>
          <w:rFonts w:eastAsia="Calibri" w:cs="Times New Roman"/>
          <w:sz w:val="24"/>
          <w:szCs w:val="24"/>
          <w:lang w:eastAsia="cs-CZ"/>
        </w:rPr>
        <w:footnoteReference w:id="30"/>
      </w:r>
      <w:r w:rsidR="00EA4EA9">
        <w:rPr>
          <w:rFonts w:eastAsia="Calibri" w:cs="Times New Roman"/>
          <w:sz w:val="24"/>
          <w:szCs w:val="24"/>
          <w:lang w:eastAsia="cs-CZ"/>
        </w:rPr>
        <w:t>.</w:t>
      </w:r>
    </w:p>
    <w:p w14:paraId="59B0CA93" w14:textId="63B032B2" w:rsidR="006875C3" w:rsidRPr="006875C3" w:rsidRDefault="006875C3" w:rsidP="006875C3">
      <w:pPr>
        <w:pStyle w:val="Popis"/>
        <w:keepNext/>
        <w:spacing w:after="120"/>
        <w:rPr>
          <w:b/>
          <w:bCs/>
          <w:i w:val="0"/>
          <w:iCs w:val="0"/>
          <w:color w:val="5B9BD5"/>
          <w:sz w:val="20"/>
          <w:szCs w:val="20"/>
        </w:rPr>
      </w:pPr>
      <w:bookmarkStart w:id="132" w:name="_Toc196313662"/>
      <w:bookmarkStart w:id="133" w:name="_Toc196389283"/>
      <w:r w:rsidRPr="006875C3">
        <w:rPr>
          <w:b/>
          <w:bCs/>
          <w:i w:val="0"/>
          <w:iCs w:val="0"/>
          <w:color w:val="5B9BD5"/>
          <w:sz w:val="20"/>
          <w:szCs w:val="20"/>
        </w:rPr>
        <w:t xml:space="preserve">Tabuľka </w:t>
      </w:r>
      <w:r w:rsidRPr="006875C3">
        <w:rPr>
          <w:b/>
          <w:bCs/>
          <w:i w:val="0"/>
          <w:iCs w:val="0"/>
          <w:color w:val="5B9BD5"/>
          <w:sz w:val="20"/>
          <w:szCs w:val="20"/>
        </w:rPr>
        <w:fldChar w:fldCharType="begin"/>
      </w:r>
      <w:r w:rsidRPr="006875C3">
        <w:rPr>
          <w:b/>
          <w:bCs/>
          <w:i w:val="0"/>
          <w:iCs w:val="0"/>
          <w:color w:val="5B9BD5"/>
          <w:sz w:val="20"/>
          <w:szCs w:val="20"/>
        </w:rPr>
        <w:instrText xml:space="preserve"> SEQ Tabuľka \* ARABIC </w:instrText>
      </w:r>
      <w:r w:rsidRPr="006875C3">
        <w:rPr>
          <w:b/>
          <w:bCs/>
          <w:i w:val="0"/>
          <w:iCs w:val="0"/>
          <w:color w:val="5B9BD5"/>
          <w:sz w:val="20"/>
          <w:szCs w:val="20"/>
        </w:rPr>
        <w:fldChar w:fldCharType="separate"/>
      </w:r>
      <w:r w:rsidR="00C64CBA">
        <w:rPr>
          <w:b/>
          <w:bCs/>
          <w:i w:val="0"/>
          <w:iCs w:val="0"/>
          <w:noProof/>
          <w:color w:val="5B9BD5"/>
          <w:sz w:val="20"/>
          <w:szCs w:val="20"/>
        </w:rPr>
        <w:t>36</w:t>
      </w:r>
      <w:r w:rsidRPr="006875C3">
        <w:rPr>
          <w:b/>
          <w:bCs/>
          <w:i w:val="0"/>
          <w:iCs w:val="0"/>
          <w:color w:val="5B9BD5"/>
          <w:sz w:val="20"/>
          <w:szCs w:val="20"/>
        </w:rPr>
        <w:fldChar w:fldCharType="end"/>
      </w:r>
      <w:r w:rsidRPr="006875C3">
        <w:rPr>
          <w:b/>
          <w:bCs/>
          <w:i w:val="0"/>
          <w:iCs w:val="0"/>
          <w:color w:val="5B9BD5"/>
          <w:sz w:val="20"/>
          <w:szCs w:val="20"/>
        </w:rPr>
        <w:t xml:space="preserve"> - Prehľad hospodárenia s rezervami v roku 2024</w:t>
      </w:r>
      <w:bookmarkEnd w:id="132"/>
      <w:bookmarkEnd w:id="133"/>
    </w:p>
    <w:tbl>
      <w:tblPr>
        <w:tblW w:w="5000" w:type="pct"/>
        <w:tblCellMar>
          <w:left w:w="70" w:type="dxa"/>
          <w:right w:w="70" w:type="dxa"/>
        </w:tblCellMar>
        <w:tblLook w:val="04A0" w:firstRow="1" w:lastRow="0" w:firstColumn="1" w:lastColumn="0" w:noHBand="0" w:noVBand="1"/>
      </w:tblPr>
      <w:tblGrid>
        <w:gridCol w:w="4248"/>
        <w:gridCol w:w="1092"/>
        <w:gridCol w:w="1177"/>
        <w:gridCol w:w="1250"/>
        <w:gridCol w:w="1163"/>
      </w:tblGrid>
      <w:tr w:rsidR="004D69BF" w:rsidRPr="005E6D3C" w14:paraId="5818EFFA" w14:textId="77777777" w:rsidTr="001D2C2C">
        <w:trPr>
          <w:trHeight w:val="421"/>
          <w:tblHeader/>
        </w:trPr>
        <w:tc>
          <w:tcPr>
            <w:tcW w:w="2378" w:type="pct"/>
            <w:vMerge w:val="restart"/>
            <w:tcBorders>
              <w:top w:val="single" w:sz="4" w:space="0" w:color="auto"/>
              <w:left w:val="nil"/>
              <w:bottom w:val="single" w:sz="8" w:space="0" w:color="000000"/>
              <w:right w:val="nil"/>
            </w:tcBorders>
            <w:shd w:val="clear" w:color="auto" w:fill="auto"/>
            <w:noWrap/>
            <w:vAlign w:val="center"/>
            <w:hideMark/>
          </w:tcPr>
          <w:p w14:paraId="39F64CE1" w14:textId="77777777" w:rsidR="004D69BF" w:rsidRPr="005E6D3C" w:rsidRDefault="004D69BF" w:rsidP="000240DA">
            <w:pPr>
              <w:spacing w:after="0" w:line="240" w:lineRule="auto"/>
              <w:rPr>
                <w:rFonts w:eastAsia="Times New Roman" w:cs="Times New Roman"/>
                <w:b/>
                <w:bCs/>
                <w:color w:val="000000"/>
                <w:sz w:val="18"/>
                <w:szCs w:val="18"/>
                <w:lang w:eastAsia="sk-SK"/>
              </w:rPr>
            </w:pPr>
            <w:r w:rsidRPr="005E6D3C">
              <w:rPr>
                <w:rFonts w:eastAsia="Times New Roman" w:cs="Times New Roman"/>
                <w:b/>
                <w:bCs/>
                <w:color w:val="000000"/>
                <w:sz w:val="18"/>
                <w:szCs w:val="18"/>
                <w:lang w:eastAsia="sk-SK"/>
              </w:rPr>
              <w:t>v tis. eur</w:t>
            </w:r>
          </w:p>
        </w:tc>
        <w:tc>
          <w:tcPr>
            <w:tcW w:w="611" w:type="pct"/>
            <w:vMerge w:val="restart"/>
            <w:tcBorders>
              <w:top w:val="single" w:sz="4" w:space="0" w:color="auto"/>
              <w:left w:val="nil"/>
              <w:bottom w:val="single" w:sz="8" w:space="0" w:color="000000"/>
              <w:right w:val="nil"/>
            </w:tcBorders>
            <w:shd w:val="clear" w:color="auto" w:fill="auto"/>
            <w:vAlign w:val="center"/>
            <w:hideMark/>
          </w:tcPr>
          <w:p w14:paraId="38F02423" w14:textId="77777777" w:rsidR="004D69BF" w:rsidRPr="005E6D3C" w:rsidRDefault="004D69BF" w:rsidP="000240DA">
            <w:pPr>
              <w:spacing w:after="0" w:line="240" w:lineRule="auto"/>
              <w:jc w:val="right"/>
              <w:rPr>
                <w:rFonts w:eastAsia="Times New Roman" w:cs="Times New Roman"/>
                <w:b/>
                <w:bCs/>
                <w:color w:val="000000"/>
                <w:sz w:val="18"/>
                <w:szCs w:val="18"/>
                <w:lang w:eastAsia="sk-SK"/>
              </w:rPr>
            </w:pPr>
            <w:r w:rsidRPr="005E6D3C">
              <w:rPr>
                <w:rFonts w:eastAsia="Times New Roman" w:cs="Times New Roman"/>
                <w:b/>
                <w:bCs/>
                <w:color w:val="000000"/>
                <w:sz w:val="18"/>
                <w:szCs w:val="18"/>
                <w:lang w:eastAsia="sk-SK"/>
              </w:rPr>
              <w:t>Schválený rozpočet</w:t>
            </w:r>
          </w:p>
        </w:tc>
        <w:tc>
          <w:tcPr>
            <w:tcW w:w="659" w:type="pct"/>
            <w:vMerge w:val="restart"/>
            <w:tcBorders>
              <w:top w:val="single" w:sz="4" w:space="0" w:color="auto"/>
              <w:left w:val="nil"/>
              <w:bottom w:val="single" w:sz="8" w:space="0" w:color="000000"/>
              <w:right w:val="nil"/>
            </w:tcBorders>
            <w:shd w:val="clear" w:color="auto" w:fill="auto"/>
            <w:vAlign w:val="center"/>
            <w:hideMark/>
          </w:tcPr>
          <w:p w14:paraId="6FA728BB" w14:textId="77777777" w:rsidR="004D69BF" w:rsidRPr="005E6D3C" w:rsidRDefault="004D69BF" w:rsidP="000240DA">
            <w:pPr>
              <w:spacing w:after="0" w:line="240" w:lineRule="auto"/>
              <w:jc w:val="right"/>
              <w:rPr>
                <w:rFonts w:eastAsia="Times New Roman" w:cs="Times New Roman"/>
                <w:b/>
                <w:bCs/>
                <w:color w:val="000000"/>
                <w:sz w:val="18"/>
                <w:szCs w:val="18"/>
                <w:lang w:eastAsia="sk-SK"/>
              </w:rPr>
            </w:pPr>
            <w:r w:rsidRPr="005E6D3C">
              <w:rPr>
                <w:rFonts w:eastAsia="Times New Roman" w:cs="Times New Roman"/>
                <w:b/>
                <w:bCs/>
                <w:color w:val="000000"/>
                <w:sz w:val="18"/>
                <w:szCs w:val="18"/>
                <w:lang w:eastAsia="sk-SK"/>
              </w:rPr>
              <w:t>Upravený rozpočet*</w:t>
            </w:r>
          </w:p>
        </w:tc>
        <w:tc>
          <w:tcPr>
            <w:tcW w:w="700" w:type="pct"/>
            <w:tcBorders>
              <w:top w:val="single" w:sz="4" w:space="0" w:color="auto"/>
              <w:left w:val="nil"/>
              <w:bottom w:val="nil"/>
              <w:right w:val="nil"/>
            </w:tcBorders>
            <w:shd w:val="clear" w:color="auto" w:fill="auto"/>
            <w:vAlign w:val="bottom"/>
            <w:hideMark/>
          </w:tcPr>
          <w:p w14:paraId="7AD27BDA" w14:textId="5BC2AA75" w:rsidR="004D69BF" w:rsidRPr="005E6D3C" w:rsidRDefault="004D69BF" w:rsidP="00635342">
            <w:pPr>
              <w:spacing w:after="0" w:line="240" w:lineRule="auto"/>
              <w:jc w:val="center"/>
              <w:rPr>
                <w:rFonts w:eastAsia="Times New Roman" w:cs="Times New Roman"/>
                <w:b/>
                <w:bCs/>
                <w:sz w:val="18"/>
                <w:szCs w:val="18"/>
                <w:lang w:eastAsia="sk-SK"/>
              </w:rPr>
            </w:pPr>
            <w:r w:rsidRPr="005E6D3C">
              <w:rPr>
                <w:rFonts w:eastAsia="Times New Roman" w:cs="Times New Roman"/>
                <w:b/>
                <w:bCs/>
                <w:sz w:val="18"/>
                <w:szCs w:val="18"/>
                <w:lang w:eastAsia="sk-SK"/>
              </w:rPr>
              <w:t>Uvoľnené</w:t>
            </w:r>
          </w:p>
        </w:tc>
        <w:tc>
          <w:tcPr>
            <w:tcW w:w="651" w:type="pct"/>
            <w:tcBorders>
              <w:top w:val="single" w:sz="4" w:space="0" w:color="auto"/>
              <w:left w:val="nil"/>
              <w:bottom w:val="nil"/>
              <w:right w:val="nil"/>
            </w:tcBorders>
            <w:shd w:val="clear" w:color="auto" w:fill="auto"/>
            <w:vAlign w:val="bottom"/>
            <w:hideMark/>
          </w:tcPr>
          <w:p w14:paraId="77E64604" w14:textId="77777777" w:rsidR="004D69BF" w:rsidRPr="005E6D3C" w:rsidRDefault="004D69BF" w:rsidP="000240DA">
            <w:pPr>
              <w:spacing w:after="0" w:line="240" w:lineRule="auto"/>
              <w:jc w:val="right"/>
              <w:rPr>
                <w:rFonts w:eastAsia="Times New Roman" w:cs="Times New Roman"/>
                <w:b/>
                <w:bCs/>
                <w:sz w:val="18"/>
                <w:szCs w:val="18"/>
                <w:lang w:eastAsia="sk-SK"/>
              </w:rPr>
            </w:pPr>
            <w:r w:rsidRPr="005E6D3C">
              <w:rPr>
                <w:rFonts w:eastAsia="Times New Roman" w:cs="Times New Roman"/>
                <w:b/>
                <w:bCs/>
                <w:sz w:val="18"/>
                <w:szCs w:val="18"/>
                <w:lang w:eastAsia="sk-SK"/>
              </w:rPr>
              <w:t xml:space="preserve">                   Nevyčerpané</w:t>
            </w:r>
          </w:p>
        </w:tc>
      </w:tr>
      <w:tr w:rsidR="004D69BF" w:rsidRPr="005E6D3C" w14:paraId="518E59D3" w14:textId="77777777" w:rsidTr="001D2C2C">
        <w:trPr>
          <w:trHeight w:val="294"/>
          <w:tblHeader/>
        </w:trPr>
        <w:tc>
          <w:tcPr>
            <w:tcW w:w="2378" w:type="pct"/>
            <w:vMerge/>
            <w:tcBorders>
              <w:top w:val="single" w:sz="8" w:space="0" w:color="auto"/>
              <w:left w:val="nil"/>
              <w:bottom w:val="single" w:sz="4" w:space="0" w:color="auto"/>
              <w:right w:val="nil"/>
            </w:tcBorders>
            <w:vAlign w:val="center"/>
            <w:hideMark/>
          </w:tcPr>
          <w:p w14:paraId="4FBB32A5" w14:textId="77777777" w:rsidR="004D69BF" w:rsidRPr="005E6D3C" w:rsidRDefault="004D69BF" w:rsidP="000240DA">
            <w:pPr>
              <w:spacing w:after="0" w:line="240" w:lineRule="auto"/>
              <w:rPr>
                <w:rFonts w:eastAsia="Times New Roman" w:cs="Times New Roman"/>
                <w:b/>
                <w:bCs/>
                <w:color w:val="000000"/>
                <w:sz w:val="18"/>
                <w:szCs w:val="18"/>
                <w:lang w:eastAsia="sk-SK"/>
              </w:rPr>
            </w:pPr>
          </w:p>
        </w:tc>
        <w:tc>
          <w:tcPr>
            <w:tcW w:w="611" w:type="pct"/>
            <w:vMerge/>
            <w:tcBorders>
              <w:top w:val="single" w:sz="8" w:space="0" w:color="auto"/>
              <w:left w:val="nil"/>
              <w:bottom w:val="single" w:sz="4" w:space="0" w:color="auto"/>
              <w:right w:val="nil"/>
            </w:tcBorders>
            <w:vAlign w:val="center"/>
            <w:hideMark/>
          </w:tcPr>
          <w:p w14:paraId="5B92C233" w14:textId="77777777" w:rsidR="004D69BF" w:rsidRPr="005E6D3C" w:rsidRDefault="004D69BF" w:rsidP="000240DA">
            <w:pPr>
              <w:spacing w:after="0" w:line="240" w:lineRule="auto"/>
              <w:rPr>
                <w:rFonts w:eastAsia="Times New Roman" w:cs="Times New Roman"/>
                <w:b/>
                <w:bCs/>
                <w:color w:val="000000"/>
                <w:sz w:val="18"/>
                <w:szCs w:val="18"/>
                <w:lang w:eastAsia="sk-SK"/>
              </w:rPr>
            </w:pPr>
          </w:p>
        </w:tc>
        <w:tc>
          <w:tcPr>
            <w:tcW w:w="659" w:type="pct"/>
            <w:vMerge/>
            <w:tcBorders>
              <w:top w:val="single" w:sz="8" w:space="0" w:color="auto"/>
              <w:left w:val="nil"/>
              <w:bottom w:val="single" w:sz="4" w:space="0" w:color="auto"/>
              <w:right w:val="nil"/>
            </w:tcBorders>
            <w:vAlign w:val="center"/>
            <w:hideMark/>
          </w:tcPr>
          <w:p w14:paraId="28310BB3" w14:textId="77777777" w:rsidR="004D69BF" w:rsidRPr="005E6D3C" w:rsidRDefault="004D69BF" w:rsidP="000240DA">
            <w:pPr>
              <w:spacing w:after="0" w:line="240" w:lineRule="auto"/>
              <w:rPr>
                <w:rFonts w:eastAsia="Times New Roman" w:cs="Times New Roman"/>
                <w:b/>
                <w:bCs/>
                <w:color w:val="000000"/>
                <w:sz w:val="18"/>
                <w:szCs w:val="18"/>
                <w:lang w:eastAsia="sk-SK"/>
              </w:rPr>
            </w:pPr>
          </w:p>
        </w:tc>
        <w:tc>
          <w:tcPr>
            <w:tcW w:w="700" w:type="pct"/>
            <w:tcBorders>
              <w:top w:val="nil"/>
              <w:left w:val="nil"/>
              <w:bottom w:val="single" w:sz="4" w:space="0" w:color="auto"/>
              <w:right w:val="nil"/>
            </w:tcBorders>
            <w:shd w:val="clear" w:color="auto" w:fill="auto"/>
            <w:vAlign w:val="center"/>
            <w:hideMark/>
          </w:tcPr>
          <w:p w14:paraId="7C9A9E73" w14:textId="77777777" w:rsidR="004D69BF" w:rsidRPr="005E6D3C" w:rsidRDefault="004D69BF" w:rsidP="00635342">
            <w:pPr>
              <w:spacing w:after="0" w:line="240" w:lineRule="auto"/>
              <w:jc w:val="center"/>
              <w:rPr>
                <w:rFonts w:eastAsia="Times New Roman" w:cs="Times New Roman"/>
                <w:b/>
                <w:bCs/>
                <w:sz w:val="18"/>
                <w:szCs w:val="18"/>
                <w:lang w:eastAsia="sk-SK"/>
              </w:rPr>
            </w:pPr>
            <w:r w:rsidRPr="005E6D3C">
              <w:rPr>
                <w:rFonts w:eastAsia="Times New Roman" w:cs="Times New Roman"/>
                <w:b/>
                <w:bCs/>
                <w:sz w:val="18"/>
                <w:szCs w:val="18"/>
                <w:lang w:eastAsia="sk-SK"/>
              </w:rPr>
              <w:t>k 31.12.2024**</w:t>
            </w:r>
          </w:p>
        </w:tc>
        <w:tc>
          <w:tcPr>
            <w:tcW w:w="651" w:type="pct"/>
            <w:tcBorders>
              <w:top w:val="nil"/>
              <w:left w:val="nil"/>
              <w:bottom w:val="single" w:sz="4" w:space="0" w:color="auto"/>
              <w:right w:val="nil"/>
            </w:tcBorders>
            <w:shd w:val="clear" w:color="auto" w:fill="auto"/>
            <w:vAlign w:val="center"/>
            <w:hideMark/>
          </w:tcPr>
          <w:p w14:paraId="52BDAC78" w14:textId="77777777" w:rsidR="004D69BF" w:rsidRPr="005E6D3C" w:rsidRDefault="004D69BF" w:rsidP="000240DA">
            <w:pPr>
              <w:spacing w:after="0" w:line="240" w:lineRule="auto"/>
              <w:jc w:val="right"/>
              <w:rPr>
                <w:rFonts w:eastAsia="Times New Roman" w:cs="Times New Roman"/>
                <w:b/>
                <w:bCs/>
                <w:sz w:val="18"/>
                <w:szCs w:val="18"/>
                <w:lang w:eastAsia="sk-SK"/>
              </w:rPr>
            </w:pPr>
            <w:r w:rsidRPr="005E6D3C">
              <w:rPr>
                <w:rFonts w:eastAsia="Times New Roman" w:cs="Times New Roman"/>
                <w:b/>
                <w:bCs/>
                <w:sz w:val="18"/>
                <w:szCs w:val="18"/>
                <w:lang w:eastAsia="sk-SK"/>
              </w:rPr>
              <w:t>k 31.12.2024</w:t>
            </w:r>
          </w:p>
        </w:tc>
      </w:tr>
      <w:tr w:rsidR="004D69BF" w:rsidRPr="005E6D3C" w14:paraId="60A23D62" w14:textId="77777777" w:rsidTr="001D2C2C">
        <w:trPr>
          <w:trHeight w:val="281"/>
        </w:trPr>
        <w:tc>
          <w:tcPr>
            <w:tcW w:w="2378" w:type="pct"/>
            <w:tcBorders>
              <w:top w:val="single" w:sz="4" w:space="0" w:color="auto"/>
              <w:left w:val="nil"/>
              <w:bottom w:val="nil"/>
              <w:right w:val="nil"/>
            </w:tcBorders>
            <w:shd w:val="clear" w:color="auto" w:fill="auto"/>
            <w:noWrap/>
            <w:vAlign w:val="center"/>
            <w:hideMark/>
          </w:tcPr>
          <w:p w14:paraId="5D18D283" w14:textId="77777777" w:rsidR="004D69BF" w:rsidRPr="005E6D3C" w:rsidRDefault="004D69BF" w:rsidP="000240DA">
            <w:pPr>
              <w:spacing w:after="0" w:line="240" w:lineRule="auto"/>
              <w:rPr>
                <w:rFonts w:eastAsia="Times New Roman" w:cs="Times New Roman"/>
                <w:color w:val="000000"/>
                <w:sz w:val="18"/>
                <w:szCs w:val="18"/>
                <w:lang w:eastAsia="sk-SK"/>
              </w:rPr>
            </w:pPr>
            <w:r w:rsidRPr="005E6D3C">
              <w:rPr>
                <w:rFonts w:eastAsia="Times New Roman" w:cs="Times New Roman"/>
                <w:color w:val="000000"/>
                <w:sz w:val="18"/>
                <w:szCs w:val="18"/>
                <w:lang w:eastAsia="sk-SK"/>
              </w:rPr>
              <w:t xml:space="preserve">Rezerva vlády </w:t>
            </w:r>
          </w:p>
        </w:tc>
        <w:tc>
          <w:tcPr>
            <w:tcW w:w="611" w:type="pct"/>
            <w:tcBorders>
              <w:top w:val="single" w:sz="4" w:space="0" w:color="auto"/>
              <w:left w:val="nil"/>
              <w:bottom w:val="nil"/>
              <w:right w:val="nil"/>
            </w:tcBorders>
            <w:shd w:val="clear" w:color="auto" w:fill="auto"/>
            <w:noWrap/>
            <w:vAlign w:val="center"/>
            <w:hideMark/>
          </w:tcPr>
          <w:p w14:paraId="1C50C3C8" w14:textId="77777777" w:rsidR="004D69BF" w:rsidRPr="005E6D3C" w:rsidRDefault="004D69BF" w:rsidP="000240DA">
            <w:pPr>
              <w:spacing w:after="0" w:line="240" w:lineRule="auto"/>
              <w:jc w:val="right"/>
              <w:rPr>
                <w:rFonts w:eastAsia="Times New Roman" w:cs="Times New Roman"/>
                <w:color w:val="000000"/>
                <w:sz w:val="18"/>
                <w:szCs w:val="18"/>
                <w:lang w:eastAsia="sk-SK"/>
              </w:rPr>
            </w:pPr>
            <w:r w:rsidRPr="005E6D3C">
              <w:rPr>
                <w:rFonts w:eastAsia="Times New Roman" w:cs="Times New Roman"/>
                <w:color w:val="000000"/>
                <w:sz w:val="18"/>
                <w:szCs w:val="18"/>
                <w:lang w:eastAsia="sk-SK"/>
              </w:rPr>
              <w:t>5 000</w:t>
            </w:r>
          </w:p>
        </w:tc>
        <w:tc>
          <w:tcPr>
            <w:tcW w:w="659" w:type="pct"/>
            <w:tcBorders>
              <w:top w:val="single" w:sz="4" w:space="0" w:color="auto"/>
              <w:left w:val="nil"/>
              <w:bottom w:val="nil"/>
              <w:right w:val="nil"/>
            </w:tcBorders>
            <w:shd w:val="clear" w:color="auto" w:fill="auto"/>
            <w:noWrap/>
            <w:vAlign w:val="center"/>
            <w:hideMark/>
          </w:tcPr>
          <w:p w14:paraId="6173A17A" w14:textId="77777777" w:rsidR="004D69BF" w:rsidRPr="005E6D3C" w:rsidRDefault="004D69BF" w:rsidP="000240DA">
            <w:pPr>
              <w:spacing w:after="0" w:line="240" w:lineRule="auto"/>
              <w:jc w:val="right"/>
              <w:rPr>
                <w:rFonts w:eastAsia="Times New Roman" w:cs="Times New Roman"/>
                <w:color w:val="000000"/>
                <w:sz w:val="18"/>
                <w:szCs w:val="18"/>
                <w:lang w:eastAsia="sk-SK"/>
              </w:rPr>
            </w:pPr>
            <w:r w:rsidRPr="005E6D3C">
              <w:rPr>
                <w:rFonts w:eastAsia="Times New Roman" w:cs="Times New Roman"/>
                <w:color w:val="000000"/>
                <w:sz w:val="18"/>
                <w:szCs w:val="18"/>
                <w:lang w:eastAsia="sk-SK"/>
              </w:rPr>
              <w:t>5 000</w:t>
            </w:r>
          </w:p>
        </w:tc>
        <w:tc>
          <w:tcPr>
            <w:tcW w:w="700" w:type="pct"/>
            <w:tcBorders>
              <w:top w:val="single" w:sz="4" w:space="0" w:color="auto"/>
              <w:left w:val="nil"/>
              <w:bottom w:val="nil"/>
              <w:right w:val="nil"/>
            </w:tcBorders>
            <w:shd w:val="clear" w:color="auto" w:fill="auto"/>
            <w:vAlign w:val="center"/>
            <w:hideMark/>
          </w:tcPr>
          <w:p w14:paraId="2C06ACA6" w14:textId="77777777" w:rsidR="004D69BF" w:rsidRPr="005E6D3C" w:rsidRDefault="004D69BF" w:rsidP="000240DA">
            <w:pPr>
              <w:spacing w:after="0" w:line="240" w:lineRule="auto"/>
              <w:jc w:val="right"/>
              <w:rPr>
                <w:rFonts w:eastAsia="Times New Roman" w:cs="Times New Roman"/>
                <w:sz w:val="18"/>
                <w:szCs w:val="18"/>
                <w:lang w:eastAsia="sk-SK"/>
              </w:rPr>
            </w:pPr>
            <w:r w:rsidRPr="005E6D3C">
              <w:rPr>
                <w:rFonts w:eastAsia="Times New Roman" w:cs="Times New Roman"/>
                <w:sz w:val="18"/>
                <w:szCs w:val="18"/>
                <w:lang w:eastAsia="sk-SK"/>
              </w:rPr>
              <w:t>54</w:t>
            </w:r>
          </w:p>
        </w:tc>
        <w:tc>
          <w:tcPr>
            <w:tcW w:w="651" w:type="pct"/>
            <w:tcBorders>
              <w:top w:val="single" w:sz="4" w:space="0" w:color="auto"/>
              <w:left w:val="nil"/>
              <w:bottom w:val="nil"/>
              <w:right w:val="nil"/>
            </w:tcBorders>
            <w:shd w:val="clear" w:color="auto" w:fill="auto"/>
            <w:vAlign w:val="center"/>
            <w:hideMark/>
          </w:tcPr>
          <w:p w14:paraId="171A224A" w14:textId="77777777" w:rsidR="004D69BF" w:rsidRPr="005E6D3C" w:rsidRDefault="004D69BF" w:rsidP="000240DA">
            <w:pPr>
              <w:spacing w:after="0" w:line="240" w:lineRule="auto"/>
              <w:jc w:val="right"/>
              <w:rPr>
                <w:rFonts w:eastAsia="Times New Roman" w:cs="Times New Roman"/>
                <w:sz w:val="18"/>
                <w:szCs w:val="18"/>
                <w:lang w:eastAsia="sk-SK"/>
              </w:rPr>
            </w:pPr>
            <w:r w:rsidRPr="005E6D3C">
              <w:rPr>
                <w:rFonts w:eastAsia="Times New Roman" w:cs="Times New Roman"/>
                <w:sz w:val="18"/>
                <w:szCs w:val="18"/>
                <w:lang w:eastAsia="sk-SK"/>
              </w:rPr>
              <w:t>4 946</w:t>
            </w:r>
          </w:p>
        </w:tc>
      </w:tr>
      <w:tr w:rsidR="004D69BF" w:rsidRPr="005E6D3C" w14:paraId="2214E8B1" w14:textId="77777777" w:rsidTr="001D2C2C">
        <w:trPr>
          <w:trHeight w:val="281"/>
        </w:trPr>
        <w:tc>
          <w:tcPr>
            <w:tcW w:w="2378" w:type="pct"/>
            <w:tcBorders>
              <w:top w:val="nil"/>
              <w:left w:val="nil"/>
              <w:bottom w:val="nil"/>
              <w:right w:val="nil"/>
            </w:tcBorders>
            <w:shd w:val="clear" w:color="auto" w:fill="auto"/>
            <w:noWrap/>
            <w:vAlign w:val="center"/>
            <w:hideMark/>
          </w:tcPr>
          <w:p w14:paraId="4B19C3E6" w14:textId="77777777" w:rsidR="004D69BF" w:rsidRPr="005E6D3C" w:rsidRDefault="004D69BF" w:rsidP="000240DA">
            <w:pPr>
              <w:spacing w:after="0" w:line="240" w:lineRule="auto"/>
              <w:rPr>
                <w:rFonts w:eastAsia="Times New Roman" w:cs="Times New Roman"/>
                <w:color w:val="000000"/>
                <w:sz w:val="18"/>
                <w:szCs w:val="18"/>
                <w:lang w:eastAsia="sk-SK"/>
              </w:rPr>
            </w:pPr>
            <w:r w:rsidRPr="005E6D3C">
              <w:rPr>
                <w:rFonts w:eastAsia="Times New Roman" w:cs="Times New Roman"/>
                <w:color w:val="000000"/>
                <w:sz w:val="18"/>
                <w:szCs w:val="18"/>
                <w:lang w:eastAsia="sk-SK"/>
              </w:rPr>
              <w:t>Rezerva predsedu vlády</w:t>
            </w:r>
          </w:p>
        </w:tc>
        <w:tc>
          <w:tcPr>
            <w:tcW w:w="611" w:type="pct"/>
            <w:tcBorders>
              <w:top w:val="nil"/>
              <w:left w:val="nil"/>
              <w:bottom w:val="nil"/>
              <w:right w:val="nil"/>
            </w:tcBorders>
            <w:shd w:val="clear" w:color="auto" w:fill="auto"/>
            <w:noWrap/>
            <w:vAlign w:val="center"/>
            <w:hideMark/>
          </w:tcPr>
          <w:p w14:paraId="367D2C97" w14:textId="77777777" w:rsidR="004D69BF" w:rsidRPr="005E6D3C" w:rsidRDefault="004D69BF" w:rsidP="000240DA">
            <w:pPr>
              <w:spacing w:after="0" w:line="240" w:lineRule="auto"/>
              <w:jc w:val="right"/>
              <w:rPr>
                <w:rFonts w:eastAsia="Times New Roman" w:cs="Times New Roman"/>
                <w:color w:val="000000"/>
                <w:sz w:val="18"/>
                <w:szCs w:val="18"/>
                <w:lang w:eastAsia="sk-SK"/>
              </w:rPr>
            </w:pPr>
            <w:r w:rsidRPr="005E6D3C">
              <w:rPr>
                <w:rFonts w:eastAsia="Times New Roman" w:cs="Times New Roman"/>
                <w:color w:val="000000"/>
                <w:sz w:val="18"/>
                <w:szCs w:val="18"/>
                <w:lang w:eastAsia="sk-SK"/>
              </w:rPr>
              <w:t>1 500</w:t>
            </w:r>
          </w:p>
        </w:tc>
        <w:tc>
          <w:tcPr>
            <w:tcW w:w="659" w:type="pct"/>
            <w:tcBorders>
              <w:top w:val="nil"/>
              <w:left w:val="nil"/>
              <w:bottom w:val="nil"/>
              <w:right w:val="nil"/>
            </w:tcBorders>
            <w:shd w:val="clear" w:color="auto" w:fill="auto"/>
            <w:noWrap/>
            <w:vAlign w:val="center"/>
            <w:hideMark/>
          </w:tcPr>
          <w:p w14:paraId="7B24751E" w14:textId="77777777" w:rsidR="004D69BF" w:rsidRPr="005E6D3C" w:rsidRDefault="004D69BF" w:rsidP="000240DA">
            <w:pPr>
              <w:spacing w:after="0" w:line="240" w:lineRule="auto"/>
              <w:jc w:val="right"/>
              <w:rPr>
                <w:rFonts w:eastAsia="Times New Roman" w:cs="Times New Roman"/>
                <w:color w:val="000000"/>
                <w:sz w:val="18"/>
                <w:szCs w:val="18"/>
                <w:lang w:eastAsia="sk-SK"/>
              </w:rPr>
            </w:pPr>
            <w:r w:rsidRPr="005E6D3C">
              <w:rPr>
                <w:rFonts w:eastAsia="Times New Roman" w:cs="Times New Roman"/>
                <w:color w:val="000000"/>
                <w:sz w:val="18"/>
                <w:szCs w:val="18"/>
                <w:lang w:eastAsia="sk-SK"/>
              </w:rPr>
              <w:t>2 285</w:t>
            </w:r>
          </w:p>
        </w:tc>
        <w:tc>
          <w:tcPr>
            <w:tcW w:w="700" w:type="pct"/>
            <w:tcBorders>
              <w:top w:val="nil"/>
              <w:left w:val="nil"/>
              <w:bottom w:val="nil"/>
              <w:right w:val="nil"/>
            </w:tcBorders>
            <w:shd w:val="clear" w:color="auto" w:fill="auto"/>
            <w:noWrap/>
            <w:vAlign w:val="center"/>
            <w:hideMark/>
          </w:tcPr>
          <w:p w14:paraId="40ADFF0D" w14:textId="77777777" w:rsidR="004D69BF" w:rsidRPr="005E6D3C" w:rsidRDefault="004D69BF" w:rsidP="000240DA">
            <w:pPr>
              <w:spacing w:after="0" w:line="240" w:lineRule="auto"/>
              <w:jc w:val="right"/>
              <w:rPr>
                <w:rFonts w:eastAsia="Times New Roman" w:cs="Times New Roman"/>
                <w:color w:val="000000"/>
                <w:sz w:val="18"/>
                <w:szCs w:val="18"/>
                <w:lang w:eastAsia="sk-SK"/>
              </w:rPr>
            </w:pPr>
            <w:r w:rsidRPr="005E6D3C">
              <w:rPr>
                <w:rFonts w:eastAsia="Times New Roman" w:cs="Times New Roman"/>
                <w:color w:val="000000"/>
                <w:sz w:val="18"/>
                <w:szCs w:val="18"/>
                <w:lang w:eastAsia="sk-SK"/>
              </w:rPr>
              <w:t>2 285</w:t>
            </w:r>
          </w:p>
        </w:tc>
        <w:tc>
          <w:tcPr>
            <w:tcW w:w="651" w:type="pct"/>
            <w:tcBorders>
              <w:top w:val="nil"/>
              <w:left w:val="nil"/>
              <w:bottom w:val="nil"/>
              <w:right w:val="nil"/>
            </w:tcBorders>
            <w:shd w:val="clear" w:color="auto" w:fill="auto"/>
            <w:noWrap/>
            <w:vAlign w:val="center"/>
            <w:hideMark/>
          </w:tcPr>
          <w:p w14:paraId="6E1E7900" w14:textId="77777777" w:rsidR="004D69BF" w:rsidRPr="005E6D3C" w:rsidRDefault="004D69BF" w:rsidP="000240DA">
            <w:pPr>
              <w:spacing w:after="0" w:line="240" w:lineRule="auto"/>
              <w:jc w:val="right"/>
              <w:rPr>
                <w:rFonts w:eastAsia="Times New Roman" w:cs="Times New Roman"/>
                <w:color w:val="000000"/>
                <w:sz w:val="18"/>
                <w:szCs w:val="18"/>
                <w:lang w:eastAsia="sk-SK"/>
              </w:rPr>
            </w:pPr>
            <w:r w:rsidRPr="005E6D3C">
              <w:rPr>
                <w:rFonts w:eastAsia="Times New Roman" w:cs="Times New Roman"/>
                <w:color w:val="000000"/>
                <w:sz w:val="18"/>
                <w:szCs w:val="18"/>
                <w:lang w:eastAsia="sk-SK"/>
              </w:rPr>
              <w:t>0</w:t>
            </w:r>
          </w:p>
        </w:tc>
      </w:tr>
      <w:tr w:rsidR="004D69BF" w:rsidRPr="005E6D3C" w14:paraId="1093E088" w14:textId="77777777" w:rsidTr="001D2C2C">
        <w:trPr>
          <w:trHeight w:val="281"/>
        </w:trPr>
        <w:tc>
          <w:tcPr>
            <w:tcW w:w="2378" w:type="pct"/>
            <w:tcBorders>
              <w:top w:val="nil"/>
              <w:left w:val="nil"/>
              <w:bottom w:val="nil"/>
              <w:right w:val="nil"/>
            </w:tcBorders>
            <w:shd w:val="clear" w:color="auto" w:fill="auto"/>
            <w:vAlign w:val="center"/>
            <w:hideMark/>
          </w:tcPr>
          <w:p w14:paraId="172F932A" w14:textId="77777777" w:rsidR="004D69BF" w:rsidRPr="005E6D3C" w:rsidRDefault="004D69BF" w:rsidP="000240DA">
            <w:pPr>
              <w:spacing w:after="0" w:line="240" w:lineRule="auto"/>
              <w:rPr>
                <w:rFonts w:eastAsia="Times New Roman" w:cs="Times New Roman"/>
                <w:color w:val="000000"/>
                <w:sz w:val="18"/>
                <w:szCs w:val="18"/>
                <w:lang w:eastAsia="sk-SK"/>
              </w:rPr>
            </w:pPr>
            <w:r w:rsidRPr="005E6D3C">
              <w:rPr>
                <w:rFonts w:eastAsia="Times New Roman" w:cs="Times New Roman"/>
                <w:color w:val="000000"/>
                <w:sz w:val="18"/>
                <w:szCs w:val="18"/>
                <w:lang w:eastAsia="sk-SK"/>
              </w:rPr>
              <w:t>Rezerva na prostriedky Európskej únie a odvody Európskej únii</w:t>
            </w:r>
          </w:p>
        </w:tc>
        <w:tc>
          <w:tcPr>
            <w:tcW w:w="611" w:type="pct"/>
            <w:tcBorders>
              <w:top w:val="nil"/>
              <w:left w:val="nil"/>
              <w:bottom w:val="nil"/>
              <w:right w:val="nil"/>
            </w:tcBorders>
            <w:shd w:val="clear" w:color="auto" w:fill="auto"/>
            <w:noWrap/>
            <w:vAlign w:val="center"/>
            <w:hideMark/>
          </w:tcPr>
          <w:p w14:paraId="172D62F7" w14:textId="77777777" w:rsidR="004D69BF" w:rsidRPr="005E6D3C" w:rsidRDefault="004D69BF" w:rsidP="000240DA">
            <w:pPr>
              <w:spacing w:after="0" w:line="240" w:lineRule="auto"/>
              <w:jc w:val="right"/>
              <w:rPr>
                <w:rFonts w:eastAsia="Times New Roman" w:cs="Times New Roman"/>
                <w:color w:val="000000"/>
                <w:sz w:val="18"/>
                <w:szCs w:val="18"/>
                <w:lang w:eastAsia="sk-SK"/>
              </w:rPr>
            </w:pPr>
            <w:r w:rsidRPr="005E6D3C">
              <w:rPr>
                <w:rFonts w:eastAsia="Times New Roman" w:cs="Times New Roman"/>
                <w:color w:val="000000"/>
                <w:sz w:val="18"/>
                <w:szCs w:val="18"/>
                <w:lang w:eastAsia="sk-SK"/>
              </w:rPr>
              <w:t>249 370</w:t>
            </w:r>
          </w:p>
        </w:tc>
        <w:tc>
          <w:tcPr>
            <w:tcW w:w="659" w:type="pct"/>
            <w:tcBorders>
              <w:top w:val="nil"/>
              <w:left w:val="nil"/>
              <w:bottom w:val="nil"/>
              <w:right w:val="nil"/>
            </w:tcBorders>
            <w:shd w:val="clear" w:color="auto" w:fill="auto"/>
            <w:noWrap/>
            <w:vAlign w:val="center"/>
            <w:hideMark/>
          </w:tcPr>
          <w:p w14:paraId="433A53C1" w14:textId="77777777" w:rsidR="004D69BF" w:rsidRPr="005E6D3C" w:rsidRDefault="004D69BF" w:rsidP="000240DA">
            <w:pPr>
              <w:spacing w:after="0" w:line="240" w:lineRule="auto"/>
              <w:jc w:val="right"/>
              <w:rPr>
                <w:rFonts w:eastAsia="Times New Roman" w:cs="Times New Roman"/>
                <w:color w:val="000000"/>
                <w:sz w:val="18"/>
                <w:szCs w:val="18"/>
                <w:lang w:eastAsia="sk-SK"/>
              </w:rPr>
            </w:pPr>
            <w:r w:rsidRPr="005E6D3C">
              <w:rPr>
                <w:rFonts w:eastAsia="Times New Roman" w:cs="Times New Roman"/>
                <w:color w:val="000000"/>
                <w:sz w:val="18"/>
                <w:szCs w:val="18"/>
                <w:lang w:eastAsia="sk-SK"/>
              </w:rPr>
              <w:t>249 370</w:t>
            </w:r>
          </w:p>
        </w:tc>
        <w:tc>
          <w:tcPr>
            <w:tcW w:w="700" w:type="pct"/>
            <w:tcBorders>
              <w:top w:val="nil"/>
              <w:left w:val="nil"/>
              <w:bottom w:val="nil"/>
              <w:right w:val="nil"/>
            </w:tcBorders>
            <w:shd w:val="clear" w:color="auto" w:fill="auto"/>
            <w:noWrap/>
            <w:vAlign w:val="center"/>
            <w:hideMark/>
          </w:tcPr>
          <w:p w14:paraId="2FABEB88" w14:textId="77777777" w:rsidR="004D69BF" w:rsidRPr="005E6D3C" w:rsidRDefault="004D69BF" w:rsidP="000240DA">
            <w:pPr>
              <w:spacing w:after="0" w:line="240" w:lineRule="auto"/>
              <w:jc w:val="right"/>
              <w:rPr>
                <w:rFonts w:eastAsia="Times New Roman" w:cs="Times New Roman"/>
                <w:color w:val="000000"/>
                <w:sz w:val="18"/>
                <w:szCs w:val="18"/>
                <w:lang w:eastAsia="sk-SK"/>
              </w:rPr>
            </w:pPr>
            <w:r w:rsidRPr="005E6D3C">
              <w:rPr>
                <w:rFonts w:eastAsia="Times New Roman" w:cs="Times New Roman"/>
                <w:color w:val="000000"/>
                <w:sz w:val="18"/>
                <w:szCs w:val="18"/>
                <w:lang w:eastAsia="sk-SK"/>
              </w:rPr>
              <w:t>0</w:t>
            </w:r>
          </w:p>
        </w:tc>
        <w:tc>
          <w:tcPr>
            <w:tcW w:w="651" w:type="pct"/>
            <w:tcBorders>
              <w:top w:val="nil"/>
              <w:left w:val="nil"/>
              <w:bottom w:val="nil"/>
              <w:right w:val="nil"/>
            </w:tcBorders>
            <w:shd w:val="clear" w:color="auto" w:fill="auto"/>
            <w:noWrap/>
            <w:vAlign w:val="center"/>
            <w:hideMark/>
          </w:tcPr>
          <w:p w14:paraId="717780C4" w14:textId="77777777" w:rsidR="004D69BF" w:rsidRPr="005E6D3C" w:rsidRDefault="004D69BF" w:rsidP="000240DA">
            <w:pPr>
              <w:spacing w:after="0" w:line="240" w:lineRule="auto"/>
              <w:jc w:val="right"/>
              <w:rPr>
                <w:rFonts w:eastAsia="Times New Roman" w:cs="Times New Roman"/>
                <w:color w:val="000000"/>
                <w:sz w:val="18"/>
                <w:szCs w:val="18"/>
                <w:lang w:eastAsia="sk-SK"/>
              </w:rPr>
            </w:pPr>
            <w:r w:rsidRPr="005E6D3C">
              <w:rPr>
                <w:rFonts w:eastAsia="Times New Roman" w:cs="Times New Roman"/>
                <w:color w:val="000000"/>
                <w:sz w:val="18"/>
                <w:szCs w:val="18"/>
                <w:lang w:eastAsia="sk-SK"/>
              </w:rPr>
              <w:t>249 370</w:t>
            </w:r>
          </w:p>
        </w:tc>
      </w:tr>
      <w:tr w:rsidR="004D69BF" w:rsidRPr="005E6D3C" w14:paraId="27D4219C" w14:textId="77777777" w:rsidTr="001D2C2C">
        <w:trPr>
          <w:trHeight w:val="281"/>
        </w:trPr>
        <w:tc>
          <w:tcPr>
            <w:tcW w:w="2378" w:type="pct"/>
            <w:tcBorders>
              <w:top w:val="nil"/>
              <w:left w:val="nil"/>
              <w:bottom w:val="nil"/>
              <w:right w:val="nil"/>
            </w:tcBorders>
            <w:shd w:val="clear" w:color="auto" w:fill="auto"/>
            <w:vAlign w:val="center"/>
            <w:hideMark/>
          </w:tcPr>
          <w:p w14:paraId="141988AB" w14:textId="77777777" w:rsidR="004D69BF" w:rsidRPr="005E6D3C" w:rsidRDefault="004D69BF" w:rsidP="000240DA">
            <w:pPr>
              <w:spacing w:after="0" w:line="240" w:lineRule="auto"/>
              <w:rPr>
                <w:rFonts w:eastAsia="Times New Roman" w:cs="Times New Roman"/>
                <w:color w:val="000000"/>
                <w:sz w:val="18"/>
                <w:szCs w:val="18"/>
                <w:lang w:eastAsia="sk-SK"/>
              </w:rPr>
            </w:pPr>
            <w:r w:rsidRPr="005E6D3C">
              <w:rPr>
                <w:rFonts w:eastAsia="Times New Roman" w:cs="Times New Roman"/>
                <w:color w:val="000000"/>
                <w:sz w:val="18"/>
                <w:szCs w:val="18"/>
                <w:lang w:eastAsia="sk-SK"/>
              </w:rPr>
              <w:t>Rezerva na riešenie vplyvov legislatívnych zmien</w:t>
            </w:r>
          </w:p>
        </w:tc>
        <w:tc>
          <w:tcPr>
            <w:tcW w:w="611" w:type="pct"/>
            <w:tcBorders>
              <w:top w:val="nil"/>
              <w:left w:val="nil"/>
              <w:bottom w:val="nil"/>
              <w:right w:val="nil"/>
            </w:tcBorders>
            <w:shd w:val="clear" w:color="auto" w:fill="auto"/>
            <w:noWrap/>
            <w:vAlign w:val="center"/>
            <w:hideMark/>
          </w:tcPr>
          <w:p w14:paraId="329CB1A2" w14:textId="77777777" w:rsidR="004D69BF" w:rsidRPr="005E6D3C" w:rsidRDefault="004D69BF" w:rsidP="000240DA">
            <w:pPr>
              <w:spacing w:after="0" w:line="240" w:lineRule="auto"/>
              <w:jc w:val="right"/>
              <w:rPr>
                <w:rFonts w:eastAsia="Times New Roman" w:cs="Times New Roman"/>
                <w:color w:val="000000"/>
                <w:sz w:val="18"/>
                <w:szCs w:val="18"/>
                <w:lang w:eastAsia="sk-SK"/>
              </w:rPr>
            </w:pPr>
            <w:r w:rsidRPr="005E6D3C">
              <w:rPr>
                <w:rFonts w:eastAsia="Times New Roman" w:cs="Times New Roman"/>
                <w:color w:val="000000"/>
                <w:sz w:val="18"/>
                <w:szCs w:val="18"/>
                <w:lang w:eastAsia="sk-SK"/>
              </w:rPr>
              <w:t>1 231 719</w:t>
            </w:r>
          </w:p>
        </w:tc>
        <w:tc>
          <w:tcPr>
            <w:tcW w:w="659" w:type="pct"/>
            <w:tcBorders>
              <w:top w:val="nil"/>
              <w:left w:val="nil"/>
              <w:bottom w:val="nil"/>
              <w:right w:val="nil"/>
            </w:tcBorders>
            <w:shd w:val="clear" w:color="auto" w:fill="auto"/>
            <w:noWrap/>
            <w:vAlign w:val="center"/>
            <w:hideMark/>
          </w:tcPr>
          <w:p w14:paraId="40575F74" w14:textId="77777777" w:rsidR="004D69BF" w:rsidRPr="005E6D3C" w:rsidRDefault="004D69BF" w:rsidP="000240DA">
            <w:pPr>
              <w:spacing w:after="0" w:line="240" w:lineRule="auto"/>
              <w:jc w:val="right"/>
              <w:rPr>
                <w:rFonts w:eastAsia="Times New Roman" w:cs="Times New Roman"/>
                <w:color w:val="000000"/>
                <w:sz w:val="18"/>
                <w:szCs w:val="18"/>
                <w:lang w:eastAsia="sk-SK"/>
              </w:rPr>
            </w:pPr>
            <w:r w:rsidRPr="005E6D3C">
              <w:rPr>
                <w:rFonts w:eastAsia="Times New Roman" w:cs="Times New Roman"/>
                <w:color w:val="000000"/>
                <w:sz w:val="18"/>
                <w:szCs w:val="18"/>
                <w:lang w:eastAsia="sk-SK"/>
              </w:rPr>
              <w:t>1 231 719</w:t>
            </w:r>
          </w:p>
        </w:tc>
        <w:tc>
          <w:tcPr>
            <w:tcW w:w="700" w:type="pct"/>
            <w:tcBorders>
              <w:top w:val="nil"/>
              <w:left w:val="nil"/>
              <w:bottom w:val="nil"/>
              <w:right w:val="nil"/>
            </w:tcBorders>
            <w:shd w:val="clear" w:color="auto" w:fill="auto"/>
            <w:noWrap/>
            <w:vAlign w:val="center"/>
            <w:hideMark/>
          </w:tcPr>
          <w:p w14:paraId="72F5C98B" w14:textId="77777777" w:rsidR="004D69BF" w:rsidRPr="005E6D3C" w:rsidRDefault="004D69BF" w:rsidP="000240DA">
            <w:pPr>
              <w:spacing w:after="0" w:line="240" w:lineRule="auto"/>
              <w:jc w:val="right"/>
              <w:rPr>
                <w:rFonts w:eastAsia="Times New Roman" w:cs="Times New Roman"/>
                <w:color w:val="000000"/>
                <w:sz w:val="18"/>
                <w:szCs w:val="18"/>
                <w:lang w:eastAsia="sk-SK"/>
              </w:rPr>
            </w:pPr>
            <w:r w:rsidRPr="005E6D3C">
              <w:rPr>
                <w:rFonts w:eastAsia="Times New Roman" w:cs="Times New Roman"/>
                <w:color w:val="000000"/>
                <w:sz w:val="18"/>
                <w:szCs w:val="18"/>
                <w:lang w:eastAsia="sk-SK"/>
              </w:rPr>
              <w:t>1 222 633</w:t>
            </w:r>
          </w:p>
        </w:tc>
        <w:tc>
          <w:tcPr>
            <w:tcW w:w="651" w:type="pct"/>
            <w:tcBorders>
              <w:top w:val="nil"/>
              <w:left w:val="nil"/>
              <w:bottom w:val="nil"/>
              <w:right w:val="nil"/>
            </w:tcBorders>
            <w:shd w:val="clear" w:color="auto" w:fill="auto"/>
            <w:noWrap/>
            <w:vAlign w:val="center"/>
            <w:hideMark/>
          </w:tcPr>
          <w:p w14:paraId="5A41C29F" w14:textId="77777777" w:rsidR="004D69BF" w:rsidRPr="005E6D3C" w:rsidRDefault="004D69BF" w:rsidP="000240DA">
            <w:pPr>
              <w:spacing w:after="0" w:line="240" w:lineRule="auto"/>
              <w:jc w:val="right"/>
              <w:rPr>
                <w:rFonts w:eastAsia="Times New Roman" w:cs="Times New Roman"/>
                <w:color w:val="000000"/>
                <w:sz w:val="18"/>
                <w:szCs w:val="18"/>
                <w:lang w:eastAsia="sk-SK"/>
              </w:rPr>
            </w:pPr>
            <w:r w:rsidRPr="005E6D3C">
              <w:rPr>
                <w:rFonts w:eastAsia="Times New Roman" w:cs="Times New Roman"/>
                <w:color w:val="000000"/>
                <w:sz w:val="18"/>
                <w:szCs w:val="18"/>
                <w:lang w:eastAsia="sk-SK"/>
              </w:rPr>
              <w:t>9 086</w:t>
            </w:r>
          </w:p>
        </w:tc>
      </w:tr>
      <w:tr w:rsidR="004D69BF" w:rsidRPr="005E6D3C" w14:paraId="443DF9EE" w14:textId="77777777" w:rsidTr="001D2C2C">
        <w:trPr>
          <w:trHeight w:val="421"/>
        </w:trPr>
        <w:tc>
          <w:tcPr>
            <w:tcW w:w="2378" w:type="pct"/>
            <w:tcBorders>
              <w:top w:val="nil"/>
              <w:left w:val="nil"/>
              <w:bottom w:val="nil"/>
              <w:right w:val="nil"/>
            </w:tcBorders>
            <w:shd w:val="clear" w:color="auto" w:fill="auto"/>
            <w:vAlign w:val="center"/>
            <w:hideMark/>
          </w:tcPr>
          <w:p w14:paraId="101A1AF7" w14:textId="77777777" w:rsidR="004D69BF" w:rsidRPr="005E6D3C" w:rsidRDefault="004D69BF" w:rsidP="000240DA">
            <w:pPr>
              <w:spacing w:after="0" w:line="240" w:lineRule="auto"/>
              <w:rPr>
                <w:rFonts w:eastAsia="Times New Roman" w:cs="Times New Roman"/>
                <w:color w:val="000000"/>
                <w:sz w:val="18"/>
                <w:szCs w:val="18"/>
                <w:lang w:eastAsia="sk-SK"/>
              </w:rPr>
            </w:pPr>
            <w:r w:rsidRPr="005E6D3C">
              <w:rPr>
                <w:rFonts w:eastAsia="Times New Roman" w:cs="Times New Roman"/>
                <w:color w:val="000000"/>
                <w:sz w:val="18"/>
                <w:szCs w:val="18"/>
                <w:lang w:eastAsia="sk-SK"/>
              </w:rPr>
              <w:t>Rezerva na riešenie krízových situácií mimo času vojny a vojnového stavu a vykonávanie povodňových prác</w:t>
            </w:r>
          </w:p>
        </w:tc>
        <w:tc>
          <w:tcPr>
            <w:tcW w:w="611" w:type="pct"/>
            <w:tcBorders>
              <w:top w:val="nil"/>
              <w:left w:val="nil"/>
              <w:bottom w:val="nil"/>
              <w:right w:val="nil"/>
            </w:tcBorders>
            <w:shd w:val="clear" w:color="auto" w:fill="auto"/>
            <w:noWrap/>
            <w:vAlign w:val="center"/>
            <w:hideMark/>
          </w:tcPr>
          <w:p w14:paraId="54893F89" w14:textId="77777777" w:rsidR="004D69BF" w:rsidRPr="005E6D3C" w:rsidRDefault="004D69BF" w:rsidP="000240DA">
            <w:pPr>
              <w:spacing w:after="0" w:line="240" w:lineRule="auto"/>
              <w:jc w:val="right"/>
              <w:rPr>
                <w:rFonts w:eastAsia="Times New Roman" w:cs="Times New Roman"/>
                <w:color w:val="000000"/>
                <w:sz w:val="18"/>
                <w:szCs w:val="18"/>
                <w:lang w:eastAsia="sk-SK"/>
              </w:rPr>
            </w:pPr>
            <w:r w:rsidRPr="005E6D3C">
              <w:rPr>
                <w:rFonts w:eastAsia="Times New Roman" w:cs="Times New Roman"/>
                <w:color w:val="000000"/>
                <w:sz w:val="18"/>
                <w:szCs w:val="18"/>
                <w:lang w:eastAsia="sk-SK"/>
              </w:rPr>
              <w:t>21 000</w:t>
            </w:r>
          </w:p>
        </w:tc>
        <w:tc>
          <w:tcPr>
            <w:tcW w:w="659" w:type="pct"/>
            <w:tcBorders>
              <w:top w:val="nil"/>
              <w:left w:val="nil"/>
              <w:bottom w:val="nil"/>
              <w:right w:val="nil"/>
            </w:tcBorders>
            <w:shd w:val="clear" w:color="auto" w:fill="auto"/>
            <w:noWrap/>
            <w:vAlign w:val="center"/>
            <w:hideMark/>
          </w:tcPr>
          <w:p w14:paraId="30574163" w14:textId="77777777" w:rsidR="004D69BF" w:rsidRPr="005E6D3C" w:rsidRDefault="004D69BF" w:rsidP="000240DA">
            <w:pPr>
              <w:spacing w:after="0" w:line="240" w:lineRule="auto"/>
              <w:jc w:val="right"/>
              <w:rPr>
                <w:rFonts w:eastAsia="Times New Roman" w:cs="Times New Roman"/>
                <w:color w:val="000000"/>
                <w:sz w:val="18"/>
                <w:szCs w:val="18"/>
                <w:lang w:eastAsia="sk-SK"/>
              </w:rPr>
            </w:pPr>
            <w:r w:rsidRPr="005E6D3C">
              <w:rPr>
                <w:rFonts w:eastAsia="Times New Roman" w:cs="Times New Roman"/>
                <w:color w:val="000000"/>
                <w:sz w:val="18"/>
                <w:szCs w:val="18"/>
                <w:lang w:eastAsia="sk-SK"/>
              </w:rPr>
              <w:t>21 000</w:t>
            </w:r>
          </w:p>
        </w:tc>
        <w:tc>
          <w:tcPr>
            <w:tcW w:w="700" w:type="pct"/>
            <w:tcBorders>
              <w:top w:val="nil"/>
              <w:left w:val="nil"/>
              <w:bottom w:val="nil"/>
              <w:right w:val="nil"/>
            </w:tcBorders>
            <w:shd w:val="clear" w:color="auto" w:fill="auto"/>
            <w:noWrap/>
            <w:vAlign w:val="center"/>
            <w:hideMark/>
          </w:tcPr>
          <w:p w14:paraId="1E744BE8" w14:textId="77777777" w:rsidR="004D69BF" w:rsidRPr="005E6D3C" w:rsidRDefault="004D69BF" w:rsidP="000240DA">
            <w:pPr>
              <w:spacing w:after="0" w:line="240" w:lineRule="auto"/>
              <w:jc w:val="right"/>
              <w:rPr>
                <w:rFonts w:eastAsia="Times New Roman" w:cs="Times New Roman"/>
                <w:color w:val="000000"/>
                <w:sz w:val="18"/>
                <w:szCs w:val="18"/>
                <w:lang w:eastAsia="sk-SK"/>
              </w:rPr>
            </w:pPr>
            <w:r w:rsidRPr="005E6D3C">
              <w:rPr>
                <w:rFonts w:eastAsia="Times New Roman" w:cs="Times New Roman"/>
                <w:color w:val="000000"/>
                <w:sz w:val="18"/>
                <w:szCs w:val="18"/>
                <w:lang w:eastAsia="sk-SK"/>
              </w:rPr>
              <w:t>9 972</w:t>
            </w:r>
          </w:p>
        </w:tc>
        <w:tc>
          <w:tcPr>
            <w:tcW w:w="651" w:type="pct"/>
            <w:tcBorders>
              <w:top w:val="nil"/>
              <w:left w:val="nil"/>
              <w:bottom w:val="nil"/>
              <w:right w:val="nil"/>
            </w:tcBorders>
            <w:shd w:val="clear" w:color="auto" w:fill="auto"/>
            <w:noWrap/>
            <w:vAlign w:val="center"/>
            <w:hideMark/>
          </w:tcPr>
          <w:p w14:paraId="6E90CE0F" w14:textId="77777777" w:rsidR="004D69BF" w:rsidRPr="005E6D3C" w:rsidRDefault="004D69BF" w:rsidP="000240DA">
            <w:pPr>
              <w:spacing w:after="0" w:line="240" w:lineRule="auto"/>
              <w:jc w:val="right"/>
              <w:rPr>
                <w:rFonts w:eastAsia="Times New Roman" w:cs="Times New Roman"/>
                <w:color w:val="000000"/>
                <w:sz w:val="18"/>
                <w:szCs w:val="18"/>
                <w:lang w:eastAsia="sk-SK"/>
              </w:rPr>
            </w:pPr>
            <w:r w:rsidRPr="005E6D3C">
              <w:rPr>
                <w:rFonts w:eastAsia="Times New Roman" w:cs="Times New Roman"/>
                <w:color w:val="000000"/>
                <w:sz w:val="18"/>
                <w:szCs w:val="18"/>
                <w:lang w:eastAsia="sk-SK"/>
              </w:rPr>
              <w:t>11 028</w:t>
            </w:r>
          </w:p>
        </w:tc>
      </w:tr>
      <w:tr w:rsidR="004D69BF" w:rsidRPr="005E6D3C" w14:paraId="7FA67650" w14:textId="77777777" w:rsidTr="001D2C2C">
        <w:trPr>
          <w:trHeight w:val="281"/>
        </w:trPr>
        <w:tc>
          <w:tcPr>
            <w:tcW w:w="2378" w:type="pct"/>
            <w:tcBorders>
              <w:top w:val="nil"/>
              <w:left w:val="nil"/>
              <w:bottom w:val="nil"/>
              <w:right w:val="nil"/>
            </w:tcBorders>
            <w:shd w:val="clear" w:color="auto" w:fill="auto"/>
            <w:vAlign w:val="center"/>
            <w:hideMark/>
          </w:tcPr>
          <w:p w14:paraId="18A9E945" w14:textId="77777777" w:rsidR="004D69BF" w:rsidRPr="005E6D3C" w:rsidRDefault="004D69BF" w:rsidP="000240DA">
            <w:pPr>
              <w:spacing w:after="0" w:line="240" w:lineRule="auto"/>
              <w:rPr>
                <w:rFonts w:eastAsia="Times New Roman" w:cs="Times New Roman"/>
                <w:color w:val="000000"/>
                <w:sz w:val="18"/>
                <w:szCs w:val="18"/>
                <w:lang w:eastAsia="sk-SK"/>
              </w:rPr>
            </w:pPr>
            <w:r w:rsidRPr="005E6D3C">
              <w:rPr>
                <w:rFonts w:eastAsia="Times New Roman" w:cs="Times New Roman"/>
                <w:color w:val="000000"/>
                <w:sz w:val="18"/>
                <w:szCs w:val="18"/>
                <w:lang w:eastAsia="sk-SK"/>
              </w:rPr>
              <w:t>Rezerva na mzdy a poistné</w:t>
            </w:r>
          </w:p>
        </w:tc>
        <w:tc>
          <w:tcPr>
            <w:tcW w:w="611" w:type="pct"/>
            <w:tcBorders>
              <w:top w:val="nil"/>
              <w:left w:val="nil"/>
              <w:bottom w:val="nil"/>
              <w:right w:val="nil"/>
            </w:tcBorders>
            <w:shd w:val="clear" w:color="auto" w:fill="auto"/>
            <w:noWrap/>
            <w:vAlign w:val="center"/>
            <w:hideMark/>
          </w:tcPr>
          <w:p w14:paraId="4966AC52" w14:textId="77777777" w:rsidR="004D69BF" w:rsidRPr="005E6D3C" w:rsidRDefault="004D69BF" w:rsidP="000240DA">
            <w:pPr>
              <w:spacing w:after="0" w:line="240" w:lineRule="auto"/>
              <w:jc w:val="right"/>
              <w:rPr>
                <w:rFonts w:eastAsia="Times New Roman" w:cs="Times New Roman"/>
                <w:color w:val="000000"/>
                <w:sz w:val="18"/>
                <w:szCs w:val="18"/>
                <w:lang w:eastAsia="sk-SK"/>
              </w:rPr>
            </w:pPr>
            <w:r w:rsidRPr="005E6D3C">
              <w:rPr>
                <w:rFonts w:eastAsia="Times New Roman" w:cs="Times New Roman"/>
                <w:color w:val="000000"/>
                <w:sz w:val="18"/>
                <w:szCs w:val="18"/>
                <w:lang w:eastAsia="sk-SK"/>
              </w:rPr>
              <w:t>175 424</w:t>
            </w:r>
          </w:p>
        </w:tc>
        <w:tc>
          <w:tcPr>
            <w:tcW w:w="659" w:type="pct"/>
            <w:tcBorders>
              <w:top w:val="nil"/>
              <w:left w:val="nil"/>
              <w:bottom w:val="nil"/>
              <w:right w:val="nil"/>
            </w:tcBorders>
            <w:shd w:val="clear" w:color="auto" w:fill="auto"/>
            <w:noWrap/>
            <w:vAlign w:val="center"/>
            <w:hideMark/>
          </w:tcPr>
          <w:p w14:paraId="02ED9EBC" w14:textId="77777777" w:rsidR="004D69BF" w:rsidRPr="005E6D3C" w:rsidRDefault="004D69BF" w:rsidP="000240DA">
            <w:pPr>
              <w:spacing w:after="0" w:line="240" w:lineRule="auto"/>
              <w:jc w:val="right"/>
              <w:rPr>
                <w:rFonts w:eastAsia="Times New Roman" w:cs="Times New Roman"/>
                <w:color w:val="000000"/>
                <w:sz w:val="18"/>
                <w:szCs w:val="18"/>
                <w:lang w:eastAsia="sk-SK"/>
              </w:rPr>
            </w:pPr>
            <w:r w:rsidRPr="005E6D3C">
              <w:rPr>
                <w:rFonts w:eastAsia="Times New Roman" w:cs="Times New Roman"/>
                <w:color w:val="000000"/>
                <w:sz w:val="18"/>
                <w:szCs w:val="18"/>
                <w:lang w:eastAsia="sk-SK"/>
              </w:rPr>
              <w:t>175 424</w:t>
            </w:r>
          </w:p>
        </w:tc>
        <w:tc>
          <w:tcPr>
            <w:tcW w:w="700" w:type="pct"/>
            <w:tcBorders>
              <w:top w:val="nil"/>
              <w:left w:val="nil"/>
              <w:bottom w:val="nil"/>
              <w:right w:val="nil"/>
            </w:tcBorders>
            <w:shd w:val="clear" w:color="auto" w:fill="auto"/>
            <w:noWrap/>
            <w:vAlign w:val="center"/>
            <w:hideMark/>
          </w:tcPr>
          <w:p w14:paraId="70EF36B6" w14:textId="77777777" w:rsidR="004D69BF" w:rsidRPr="005E6D3C" w:rsidRDefault="004D69BF" w:rsidP="000240DA">
            <w:pPr>
              <w:spacing w:after="0" w:line="240" w:lineRule="auto"/>
              <w:jc w:val="right"/>
              <w:rPr>
                <w:rFonts w:eastAsia="Times New Roman" w:cs="Times New Roman"/>
                <w:color w:val="000000"/>
                <w:sz w:val="18"/>
                <w:szCs w:val="18"/>
                <w:lang w:eastAsia="sk-SK"/>
              </w:rPr>
            </w:pPr>
            <w:r w:rsidRPr="005E6D3C">
              <w:rPr>
                <w:rFonts w:eastAsia="Times New Roman" w:cs="Times New Roman"/>
                <w:color w:val="000000"/>
                <w:sz w:val="18"/>
                <w:szCs w:val="18"/>
                <w:lang w:eastAsia="sk-SK"/>
              </w:rPr>
              <w:t>137 890</w:t>
            </w:r>
          </w:p>
        </w:tc>
        <w:tc>
          <w:tcPr>
            <w:tcW w:w="651" w:type="pct"/>
            <w:tcBorders>
              <w:top w:val="nil"/>
              <w:left w:val="nil"/>
              <w:bottom w:val="nil"/>
              <w:right w:val="nil"/>
            </w:tcBorders>
            <w:shd w:val="clear" w:color="auto" w:fill="auto"/>
            <w:noWrap/>
            <w:vAlign w:val="center"/>
            <w:hideMark/>
          </w:tcPr>
          <w:p w14:paraId="2412C89A" w14:textId="77777777" w:rsidR="004D69BF" w:rsidRPr="005E6D3C" w:rsidRDefault="004D69BF" w:rsidP="000240DA">
            <w:pPr>
              <w:spacing w:after="0" w:line="240" w:lineRule="auto"/>
              <w:jc w:val="right"/>
              <w:rPr>
                <w:rFonts w:eastAsia="Times New Roman" w:cs="Times New Roman"/>
                <w:color w:val="000000"/>
                <w:sz w:val="18"/>
                <w:szCs w:val="18"/>
                <w:lang w:eastAsia="sk-SK"/>
              </w:rPr>
            </w:pPr>
            <w:r w:rsidRPr="005E6D3C">
              <w:rPr>
                <w:rFonts w:eastAsia="Times New Roman" w:cs="Times New Roman"/>
                <w:color w:val="000000"/>
                <w:sz w:val="18"/>
                <w:szCs w:val="18"/>
                <w:lang w:eastAsia="sk-SK"/>
              </w:rPr>
              <w:t>37 534</w:t>
            </w:r>
          </w:p>
        </w:tc>
      </w:tr>
      <w:tr w:rsidR="004D69BF" w:rsidRPr="005E6D3C" w14:paraId="1971469D" w14:textId="77777777" w:rsidTr="001D2C2C">
        <w:trPr>
          <w:trHeight w:val="281"/>
        </w:trPr>
        <w:tc>
          <w:tcPr>
            <w:tcW w:w="2378" w:type="pct"/>
            <w:tcBorders>
              <w:top w:val="nil"/>
              <w:left w:val="nil"/>
              <w:bottom w:val="nil"/>
              <w:right w:val="nil"/>
            </w:tcBorders>
            <w:shd w:val="clear" w:color="auto" w:fill="auto"/>
            <w:vAlign w:val="center"/>
            <w:hideMark/>
          </w:tcPr>
          <w:p w14:paraId="3015C802" w14:textId="77777777" w:rsidR="004D69BF" w:rsidRPr="005E6D3C" w:rsidRDefault="004D69BF" w:rsidP="000240DA">
            <w:pPr>
              <w:spacing w:after="0" w:line="240" w:lineRule="auto"/>
              <w:rPr>
                <w:rFonts w:eastAsia="Times New Roman" w:cs="Times New Roman"/>
                <w:color w:val="000000"/>
                <w:sz w:val="18"/>
                <w:szCs w:val="18"/>
                <w:lang w:eastAsia="sk-SK"/>
              </w:rPr>
            </w:pPr>
            <w:r w:rsidRPr="005E6D3C">
              <w:rPr>
                <w:rFonts w:eastAsia="Times New Roman" w:cs="Times New Roman"/>
                <w:color w:val="000000"/>
                <w:sz w:val="18"/>
                <w:szCs w:val="18"/>
                <w:lang w:eastAsia="sk-SK"/>
              </w:rPr>
              <w:t>Rezerva na realizáciu súdnych a exekučných rozhodnutí</w:t>
            </w:r>
          </w:p>
        </w:tc>
        <w:tc>
          <w:tcPr>
            <w:tcW w:w="611" w:type="pct"/>
            <w:tcBorders>
              <w:top w:val="nil"/>
              <w:left w:val="nil"/>
              <w:bottom w:val="nil"/>
              <w:right w:val="nil"/>
            </w:tcBorders>
            <w:shd w:val="clear" w:color="auto" w:fill="auto"/>
            <w:noWrap/>
            <w:vAlign w:val="center"/>
            <w:hideMark/>
          </w:tcPr>
          <w:p w14:paraId="4EA6D2C3" w14:textId="77777777" w:rsidR="004D69BF" w:rsidRPr="005E6D3C" w:rsidRDefault="004D69BF" w:rsidP="000240DA">
            <w:pPr>
              <w:spacing w:after="0" w:line="240" w:lineRule="auto"/>
              <w:jc w:val="right"/>
              <w:rPr>
                <w:rFonts w:eastAsia="Times New Roman" w:cs="Times New Roman"/>
                <w:color w:val="000000"/>
                <w:sz w:val="18"/>
                <w:szCs w:val="18"/>
                <w:lang w:eastAsia="sk-SK"/>
              </w:rPr>
            </w:pPr>
            <w:r w:rsidRPr="005E6D3C">
              <w:rPr>
                <w:rFonts w:eastAsia="Times New Roman" w:cs="Times New Roman"/>
                <w:color w:val="000000"/>
                <w:sz w:val="18"/>
                <w:szCs w:val="18"/>
                <w:lang w:eastAsia="sk-SK"/>
              </w:rPr>
              <w:t>10 000</w:t>
            </w:r>
          </w:p>
        </w:tc>
        <w:tc>
          <w:tcPr>
            <w:tcW w:w="659" w:type="pct"/>
            <w:tcBorders>
              <w:top w:val="nil"/>
              <w:left w:val="nil"/>
              <w:bottom w:val="nil"/>
              <w:right w:val="nil"/>
            </w:tcBorders>
            <w:shd w:val="clear" w:color="auto" w:fill="auto"/>
            <w:noWrap/>
            <w:vAlign w:val="center"/>
            <w:hideMark/>
          </w:tcPr>
          <w:p w14:paraId="70F05B1A" w14:textId="77777777" w:rsidR="004D69BF" w:rsidRPr="005E6D3C" w:rsidRDefault="004D69BF" w:rsidP="000240DA">
            <w:pPr>
              <w:spacing w:after="0" w:line="240" w:lineRule="auto"/>
              <w:jc w:val="right"/>
              <w:rPr>
                <w:rFonts w:eastAsia="Times New Roman" w:cs="Times New Roman"/>
                <w:color w:val="000000"/>
                <w:sz w:val="18"/>
                <w:szCs w:val="18"/>
                <w:lang w:eastAsia="sk-SK"/>
              </w:rPr>
            </w:pPr>
            <w:r w:rsidRPr="005E6D3C">
              <w:rPr>
                <w:rFonts w:eastAsia="Times New Roman" w:cs="Times New Roman"/>
                <w:color w:val="000000"/>
                <w:sz w:val="18"/>
                <w:szCs w:val="18"/>
                <w:lang w:eastAsia="sk-SK"/>
              </w:rPr>
              <w:t>10 000</w:t>
            </w:r>
          </w:p>
        </w:tc>
        <w:tc>
          <w:tcPr>
            <w:tcW w:w="700" w:type="pct"/>
            <w:tcBorders>
              <w:top w:val="nil"/>
              <w:left w:val="nil"/>
              <w:bottom w:val="nil"/>
              <w:right w:val="nil"/>
            </w:tcBorders>
            <w:shd w:val="clear" w:color="auto" w:fill="auto"/>
            <w:noWrap/>
            <w:vAlign w:val="center"/>
            <w:hideMark/>
          </w:tcPr>
          <w:p w14:paraId="4FE3F399" w14:textId="77777777" w:rsidR="004D69BF" w:rsidRPr="005E6D3C" w:rsidRDefault="004D69BF" w:rsidP="000240DA">
            <w:pPr>
              <w:spacing w:after="0" w:line="240" w:lineRule="auto"/>
              <w:jc w:val="right"/>
              <w:rPr>
                <w:rFonts w:eastAsia="Times New Roman" w:cs="Times New Roman"/>
                <w:color w:val="000000"/>
                <w:sz w:val="18"/>
                <w:szCs w:val="18"/>
                <w:lang w:eastAsia="sk-SK"/>
              </w:rPr>
            </w:pPr>
            <w:r w:rsidRPr="005E6D3C">
              <w:rPr>
                <w:rFonts w:eastAsia="Times New Roman" w:cs="Times New Roman"/>
                <w:color w:val="000000"/>
                <w:sz w:val="18"/>
                <w:szCs w:val="18"/>
                <w:lang w:eastAsia="sk-SK"/>
              </w:rPr>
              <w:t>4 292</w:t>
            </w:r>
          </w:p>
        </w:tc>
        <w:tc>
          <w:tcPr>
            <w:tcW w:w="651" w:type="pct"/>
            <w:tcBorders>
              <w:top w:val="nil"/>
              <w:left w:val="nil"/>
              <w:bottom w:val="nil"/>
              <w:right w:val="nil"/>
            </w:tcBorders>
            <w:shd w:val="clear" w:color="auto" w:fill="auto"/>
            <w:noWrap/>
            <w:vAlign w:val="center"/>
            <w:hideMark/>
          </w:tcPr>
          <w:p w14:paraId="770517DC" w14:textId="77777777" w:rsidR="004D69BF" w:rsidRPr="005E6D3C" w:rsidRDefault="004D69BF" w:rsidP="000240DA">
            <w:pPr>
              <w:spacing w:after="0" w:line="240" w:lineRule="auto"/>
              <w:jc w:val="right"/>
              <w:rPr>
                <w:rFonts w:eastAsia="Times New Roman" w:cs="Times New Roman"/>
                <w:color w:val="000000"/>
                <w:sz w:val="18"/>
                <w:szCs w:val="18"/>
                <w:lang w:eastAsia="sk-SK"/>
              </w:rPr>
            </w:pPr>
            <w:r w:rsidRPr="005E6D3C">
              <w:rPr>
                <w:rFonts w:eastAsia="Times New Roman" w:cs="Times New Roman"/>
                <w:color w:val="000000"/>
                <w:sz w:val="18"/>
                <w:szCs w:val="18"/>
                <w:lang w:eastAsia="sk-SK"/>
              </w:rPr>
              <w:t>5 708</w:t>
            </w:r>
          </w:p>
        </w:tc>
      </w:tr>
      <w:tr w:rsidR="004D69BF" w:rsidRPr="005E6D3C" w14:paraId="2084CC94" w14:textId="77777777" w:rsidTr="001D2C2C">
        <w:trPr>
          <w:trHeight w:val="281"/>
        </w:trPr>
        <w:tc>
          <w:tcPr>
            <w:tcW w:w="2378" w:type="pct"/>
            <w:tcBorders>
              <w:top w:val="nil"/>
              <w:left w:val="nil"/>
              <w:right w:val="nil"/>
            </w:tcBorders>
            <w:shd w:val="clear" w:color="auto" w:fill="auto"/>
            <w:vAlign w:val="center"/>
            <w:hideMark/>
          </w:tcPr>
          <w:p w14:paraId="29AEB9E5" w14:textId="77777777" w:rsidR="004D69BF" w:rsidRPr="005E6D3C" w:rsidRDefault="004D69BF" w:rsidP="000240DA">
            <w:pPr>
              <w:spacing w:after="0" w:line="240" w:lineRule="auto"/>
              <w:rPr>
                <w:rFonts w:eastAsia="Times New Roman" w:cs="Times New Roman"/>
                <w:color w:val="000000"/>
                <w:sz w:val="18"/>
                <w:szCs w:val="18"/>
                <w:lang w:eastAsia="sk-SK"/>
              </w:rPr>
            </w:pPr>
            <w:r w:rsidRPr="005E6D3C">
              <w:rPr>
                <w:rFonts w:eastAsia="Times New Roman" w:cs="Times New Roman"/>
                <w:color w:val="000000"/>
                <w:sz w:val="18"/>
                <w:szCs w:val="18"/>
                <w:lang w:eastAsia="sk-SK"/>
              </w:rPr>
              <w:t>Rezerva na kompenzačné opatrenia súvisiace s rastom cien energií</w:t>
            </w:r>
          </w:p>
        </w:tc>
        <w:tc>
          <w:tcPr>
            <w:tcW w:w="611" w:type="pct"/>
            <w:tcBorders>
              <w:top w:val="nil"/>
              <w:left w:val="nil"/>
              <w:right w:val="nil"/>
            </w:tcBorders>
            <w:shd w:val="clear" w:color="auto" w:fill="auto"/>
            <w:noWrap/>
            <w:vAlign w:val="center"/>
            <w:hideMark/>
          </w:tcPr>
          <w:p w14:paraId="2F1E5D42" w14:textId="77777777" w:rsidR="004D69BF" w:rsidRPr="005E6D3C" w:rsidRDefault="004D69BF" w:rsidP="000240DA">
            <w:pPr>
              <w:spacing w:after="0" w:line="240" w:lineRule="auto"/>
              <w:jc w:val="right"/>
              <w:rPr>
                <w:rFonts w:eastAsia="Times New Roman" w:cs="Times New Roman"/>
                <w:color w:val="000000"/>
                <w:sz w:val="18"/>
                <w:szCs w:val="18"/>
                <w:lang w:eastAsia="sk-SK"/>
              </w:rPr>
            </w:pPr>
            <w:r w:rsidRPr="005E6D3C">
              <w:rPr>
                <w:rFonts w:eastAsia="Times New Roman" w:cs="Times New Roman"/>
                <w:color w:val="000000"/>
                <w:sz w:val="18"/>
                <w:szCs w:val="18"/>
                <w:lang w:eastAsia="sk-SK"/>
              </w:rPr>
              <w:t>800 000</w:t>
            </w:r>
          </w:p>
        </w:tc>
        <w:tc>
          <w:tcPr>
            <w:tcW w:w="659" w:type="pct"/>
            <w:tcBorders>
              <w:top w:val="nil"/>
              <w:left w:val="nil"/>
              <w:right w:val="nil"/>
            </w:tcBorders>
            <w:shd w:val="clear" w:color="auto" w:fill="auto"/>
            <w:noWrap/>
            <w:vAlign w:val="center"/>
            <w:hideMark/>
          </w:tcPr>
          <w:p w14:paraId="3AEC895D" w14:textId="77777777" w:rsidR="004D69BF" w:rsidRPr="005E6D3C" w:rsidRDefault="004D69BF" w:rsidP="000240DA">
            <w:pPr>
              <w:spacing w:after="0" w:line="240" w:lineRule="auto"/>
              <w:jc w:val="right"/>
              <w:rPr>
                <w:rFonts w:eastAsia="Times New Roman" w:cs="Times New Roman"/>
                <w:color w:val="000000"/>
                <w:sz w:val="18"/>
                <w:szCs w:val="18"/>
                <w:lang w:eastAsia="sk-SK"/>
              </w:rPr>
            </w:pPr>
            <w:r w:rsidRPr="005E6D3C">
              <w:rPr>
                <w:rFonts w:eastAsia="Times New Roman" w:cs="Times New Roman"/>
                <w:color w:val="000000"/>
                <w:sz w:val="18"/>
                <w:szCs w:val="18"/>
                <w:lang w:eastAsia="sk-SK"/>
              </w:rPr>
              <w:t>800 000</w:t>
            </w:r>
          </w:p>
        </w:tc>
        <w:tc>
          <w:tcPr>
            <w:tcW w:w="700" w:type="pct"/>
            <w:tcBorders>
              <w:top w:val="nil"/>
              <w:left w:val="nil"/>
              <w:right w:val="nil"/>
            </w:tcBorders>
            <w:shd w:val="clear" w:color="auto" w:fill="auto"/>
            <w:noWrap/>
            <w:vAlign w:val="center"/>
            <w:hideMark/>
          </w:tcPr>
          <w:p w14:paraId="1F5E8D34" w14:textId="77777777" w:rsidR="004D69BF" w:rsidRPr="005E6D3C" w:rsidRDefault="004D69BF" w:rsidP="000240DA">
            <w:pPr>
              <w:spacing w:after="0" w:line="240" w:lineRule="auto"/>
              <w:jc w:val="right"/>
              <w:rPr>
                <w:rFonts w:eastAsia="Times New Roman" w:cs="Times New Roman"/>
                <w:color w:val="000000"/>
                <w:sz w:val="18"/>
                <w:szCs w:val="18"/>
                <w:lang w:eastAsia="sk-SK"/>
              </w:rPr>
            </w:pPr>
            <w:r w:rsidRPr="005E6D3C">
              <w:rPr>
                <w:rFonts w:eastAsia="Times New Roman" w:cs="Times New Roman"/>
                <w:color w:val="000000"/>
                <w:sz w:val="18"/>
                <w:szCs w:val="18"/>
                <w:lang w:eastAsia="sk-SK"/>
              </w:rPr>
              <w:t>800 000</w:t>
            </w:r>
          </w:p>
        </w:tc>
        <w:tc>
          <w:tcPr>
            <w:tcW w:w="651" w:type="pct"/>
            <w:tcBorders>
              <w:top w:val="nil"/>
              <w:left w:val="nil"/>
              <w:right w:val="nil"/>
            </w:tcBorders>
            <w:shd w:val="clear" w:color="auto" w:fill="auto"/>
            <w:noWrap/>
            <w:vAlign w:val="center"/>
            <w:hideMark/>
          </w:tcPr>
          <w:p w14:paraId="095BC442" w14:textId="77777777" w:rsidR="004D69BF" w:rsidRPr="005E6D3C" w:rsidRDefault="004D69BF" w:rsidP="000240DA">
            <w:pPr>
              <w:spacing w:after="0" w:line="240" w:lineRule="auto"/>
              <w:jc w:val="right"/>
              <w:rPr>
                <w:rFonts w:eastAsia="Times New Roman" w:cs="Times New Roman"/>
                <w:color w:val="000000"/>
                <w:sz w:val="18"/>
                <w:szCs w:val="18"/>
                <w:lang w:eastAsia="sk-SK"/>
              </w:rPr>
            </w:pPr>
            <w:r w:rsidRPr="005E6D3C">
              <w:rPr>
                <w:rFonts w:eastAsia="Times New Roman" w:cs="Times New Roman"/>
                <w:color w:val="000000"/>
                <w:sz w:val="18"/>
                <w:szCs w:val="18"/>
                <w:lang w:eastAsia="sk-SK"/>
              </w:rPr>
              <w:t>0</w:t>
            </w:r>
          </w:p>
        </w:tc>
      </w:tr>
      <w:tr w:rsidR="004D69BF" w:rsidRPr="005E6D3C" w14:paraId="05DAD2C9" w14:textId="77777777" w:rsidTr="001D2C2C">
        <w:trPr>
          <w:trHeight w:val="294"/>
        </w:trPr>
        <w:tc>
          <w:tcPr>
            <w:tcW w:w="2378" w:type="pct"/>
            <w:tcBorders>
              <w:top w:val="nil"/>
              <w:left w:val="nil"/>
              <w:bottom w:val="single" w:sz="4" w:space="0" w:color="auto"/>
              <w:right w:val="nil"/>
            </w:tcBorders>
            <w:shd w:val="clear" w:color="auto" w:fill="auto"/>
            <w:vAlign w:val="center"/>
            <w:hideMark/>
          </w:tcPr>
          <w:p w14:paraId="21A910E0" w14:textId="77777777" w:rsidR="004D69BF" w:rsidRPr="005E6D3C" w:rsidRDefault="004D69BF" w:rsidP="000240DA">
            <w:pPr>
              <w:spacing w:after="0" w:line="240" w:lineRule="auto"/>
              <w:rPr>
                <w:rFonts w:eastAsia="Times New Roman" w:cs="Times New Roman"/>
                <w:b/>
                <w:bCs/>
                <w:color w:val="000000"/>
                <w:sz w:val="18"/>
                <w:szCs w:val="18"/>
                <w:lang w:eastAsia="sk-SK"/>
              </w:rPr>
            </w:pPr>
            <w:r w:rsidRPr="005E6D3C">
              <w:rPr>
                <w:rFonts w:eastAsia="Times New Roman" w:cs="Times New Roman"/>
                <w:b/>
                <w:bCs/>
                <w:color w:val="000000"/>
                <w:sz w:val="18"/>
                <w:szCs w:val="18"/>
                <w:lang w:eastAsia="sk-SK"/>
              </w:rPr>
              <w:t>Spolu</w:t>
            </w:r>
          </w:p>
        </w:tc>
        <w:tc>
          <w:tcPr>
            <w:tcW w:w="611" w:type="pct"/>
            <w:tcBorders>
              <w:top w:val="nil"/>
              <w:left w:val="nil"/>
              <w:bottom w:val="single" w:sz="4" w:space="0" w:color="auto"/>
              <w:right w:val="nil"/>
            </w:tcBorders>
            <w:shd w:val="clear" w:color="auto" w:fill="auto"/>
            <w:noWrap/>
            <w:vAlign w:val="center"/>
            <w:hideMark/>
          </w:tcPr>
          <w:p w14:paraId="6DF9234F" w14:textId="77777777" w:rsidR="004D69BF" w:rsidRPr="005E6D3C" w:rsidRDefault="004D69BF" w:rsidP="000240DA">
            <w:pPr>
              <w:spacing w:after="0" w:line="240" w:lineRule="auto"/>
              <w:jc w:val="right"/>
              <w:rPr>
                <w:rFonts w:eastAsia="Times New Roman" w:cs="Times New Roman"/>
                <w:b/>
                <w:bCs/>
                <w:color w:val="000000"/>
                <w:sz w:val="18"/>
                <w:szCs w:val="18"/>
                <w:lang w:eastAsia="sk-SK"/>
              </w:rPr>
            </w:pPr>
            <w:r w:rsidRPr="005E6D3C">
              <w:rPr>
                <w:rFonts w:eastAsia="Times New Roman" w:cs="Times New Roman"/>
                <w:b/>
                <w:bCs/>
                <w:color w:val="000000"/>
                <w:sz w:val="18"/>
                <w:szCs w:val="18"/>
                <w:lang w:eastAsia="sk-SK"/>
              </w:rPr>
              <w:t>2 494 013</w:t>
            </w:r>
          </w:p>
        </w:tc>
        <w:tc>
          <w:tcPr>
            <w:tcW w:w="659" w:type="pct"/>
            <w:tcBorders>
              <w:top w:val="nil"/>
              <w:left w:val="nil"/>
              <w:bottom w:val="single" w:sz="4" w:space="0" w:color="auto"/>
              <w:right w:val="nil"/>
            </w:tcBorders>
            <w:shd w:val="clear" w:color="auto" w:fill="auto"/>
            <w:noWrap/>
            <w:vAlign w:val="center"/>
            <w:hideMark/>
          </w:tcPr>
          <w:p w14:paraId="09CC87E9" w14:textId="77777777" w:rsidR="004D69BF" w:rsidRPr="005E6D3C" w:rsidRDefault="004D69BF" w:rsidP="000240DA">
            <w:pPr>
              <w:spacing w:after="0" w:line="240" w:lineRule="auto"/>
              <w:jc w:val="right"/>
              <w:rPr>
                <w:rFonts w:eastAsia="Times New Roman" w:cs="Times New Roman"/>
                <w:b/>
                <w:bCs/>
                <w:color w:val="000000"/>
                <w:sz w:val="18"/>
                <w:szCs w:val="18"/>
                <w:lang w:eastAsia="sk-SK"/>
              </w:rPr>
            </w:pPr>
            <w:r w:rsidRPr="005E6D3C">
              <w:rPr>
                <w:rFonts w:eastAsia="Times New Roman" w:cs="Times New Roman"/>
                <w:b/>
                <w:bCs/>
                <w:color w:val="000000"/>
                <w:sz w:val="18"/>
                <w:szCs w:val="18"/>
                <w:lang w:eastAsia="sk-SK"/>
              </w:rPr>
              <w:t>2 494 798</w:t>
            </w:r>
          </w:p>
        </w:tc>
        <w:tc>
          <w:tcPr>
            <w:tcW w:w="700" w:type="pct"/>
            <w:tcBorders>
              <w:top w:val="nil"/>
              <w:left w:val="nil"/>
              <w:bottom w:val="single" w:sz="4" w:space="0" w:color="auto"/>
              <w:right w:val="nil"/>
            </w:tcBorders>
            <w:shd w:val="clear" w:color="auto" w:fill="auto"/>
            <w:noWrap/>
            <w:vAlign w:val="center"/>
            <w:hideMark/>
          </w:tcPr>
          <w:p w14:paraId="0686B304" w14:textId="77777777" w:rsidR="004D69BF" w:rsidRPr="005E6D3C" w:rsidRDefault="004D69BF" w:rsidP="000240DA">
            <w:pPr>
              <w:spacing w:after="0" w:line="240" w:lineRule="auto"/>
              <w:jc w:val="right"/>
              <w:rPr>
                <w:rFonts w:eastAsia="Times New Roman" w:cs="Times New Roman"/>
                <w:b/>
                <w:bCs/>
                <w:color w:val="000000"/>
                <w:sz w:val="18"/>
                <w:szCs w:val="18"/>
                <w:lang w:eastAsia="sk-SK"/>
              </w:rPr>
            </w:pPr>
            <w:r w:rsidRPr="005E6D3C">
              <w:rPr>
                <w:rFonts w:eastAsia="Times New Roman" w:cs="Times New Roman"/>
                <w:b/>
                <w:bCs/>
                <w:color w:val="000000"/>
                <w:sz w:val="18"/>
                <w:szCs w:val="18"/>
                <w:lang w:eastAsia="sk-SK"/>
              </w:rPr>
              <w:t>2 177 126</w:t>
            </w:r>
          </w:p>
        </w:tc>
        <w:tc>
          <w:tcPr>
            <w:tcW w:w="651" w:type="pct"/>
            <w:tcBorders>
              <w:top w:val="nil"/>
              <w:left w:val="nil"/>
              <w:bottom w:val="single" w:sz="4" w:space="0" w:color="auto"/>
              <w:right w:val="nil"/>
            </w:tcBorders>
            <w:shd w:val="clear" w:color="auto" w:fill="auto"/>
            <w:noWrap/>
            <w:vAlign w:val="center"/>
            <w:hideMark/>
          </w:tcPr>
          <w:p w14:paraId="788E4ADC" w14:textId="77777777" w:rsidR="004D69BF" w:rsidRPr="005E6D3C" w:rsidRDefault="004D69BF" w:rsidP="000240DA">
            <w:pPr>
              <w:spacing w:after="0" w:line="240" w:lineRule="auto"/>
              <w:jc w:val="right"/>
              <w:rPr>
                <w:rFonts w:eastAsia="Times New Roman" w:cs="Times New Roman"/>
                <w:b/>
                <w:bCs/>
                <w:color w:val="000000"/>
                <w:sz w:val="18"/>
                <w:szCs w:val="18"/>
                <w:lang w:eastAsia="sk-SK"/>
              </w:rPr>
            </w:pPr>
            <w:r w:rsidRPr="005E6D3C">
              <w:rPr>
                <w:rFonts w:eastAsia="Times New Roman" w:cs="Times New Roman"/>
                <w:b/>
                <w:bCs/>
                <w:color w:val="000000"/>
                <w:sz w:val="18"/>
                <w:szCs w:val="18"/>
                <w:lang w:eastAsia="sk-SK"/>
              </w:rPr>
              <w:t>317 672</w:t>
            </w:r>
          </w:p>
        </w:tc>
      </w:tr>
    </w:tbl>
    <w:p w14:paraId="0FE699B9" w14:textId="11AF0124" w:rsidR="00273B98" w:rsidRDefault="004D69BF" w:rsidP="004D69BF">
      <w:pPr>
        <w:spacing w:after="0" w:line="240" w:lineRule="auto"/>
        <w:rPr>
          <w:rFonts w:eastAsia="Times New Roman" w:cs="Times New Roman"/>
          <w:iCs/>
          <w:sz w:val="18"/>
          <w:szCs w:val="18"/>
          <w:lang w:eastAsia="sk-SK"/>
        </w:rPr>
      </w:pPr>
      <w:r w:rsidRPr="005E6D3C">
        <w:rPr>
          <w:rFonts w:eastAsia="Times New Roman" w:cs="Times New Roman"/>
          <w:i/>
          <w:iCs/>
          <w:sz w:val="18"/>
          <w:szCs w:val="18"/>
          <w:lang w:eastAsia="sk-SK"/>
        </w:rPr>
        <w:t>*</w:t>
      </w:r>
      <w:r w:rsidRPr="00273B98">
        <w:rPr>
          <w:rFonts w:eastAsia="Times New Roman" w:cs="Times New Roman"/>
          <w:iCs/>
          <w:sz w:val="18"/>
          <w:szCs w:val="18"/>
          <w:lang w:eastAsia="sk-SK"/>
        </w:rPr>
        <w:t xml:space="preserve">Upravený rozpočet predstavuje celkový disponibilný zdroj prostriedkov jednotlivých rezerv </w:t>
      </w:r>
      <w:r w:rsidR="00273B98">
        <w:rPr>
          <w:rFonts w:eastAsia="Times New Roman" w:cs="Times New Roman"/>
          <w:iCs/>
          <w:sz w:val="18"/>
          <w:szCs w:val="18"/>
          <w:lang w:eastAsia="sk-SK"/>
        </w:rPr>
        <w:tab/>
        <w:t xml:space="preserve">   </w:t>
      </w:r>
      <w:r w:rsidR="00273B98" w:rsidRPr="00273B98">
        <w:rPr>
          <w:rFonts w:eastAsia="Times New Roman" w:cs="Times New Roman"/>
          <w:sz w:val="18"/>
          <w:szCs w:val="18"/>
          <w:lang w:eastAsia="sk-SK"/>
        </w:rPr>
        <w:t>Zdroj: MF SR, ÚV SR</w:t>
      </w:r>
    </w:p>
    <w:p w14:paraId="36D51C0C" w14:textId="7EDA42DD" w:rsidR="004D69BF" w:rsidRPr="00273B98" w:rsidRDefault="004D69BF" w:rsidP="004D69BF">
      <w:pPr>
        <w:spacing w:after="0" w:line="240" w:lineRule="auto"/>
        <w:rPr>
          <w:rFonts w:eastAsia="Times New Roman" w:cs="Times New Roman"/>
          <w:iCs/>
          <w:sz w:val="18"/>
          <w:szCs w:val="18"/>
          <w:lang w:eastAsia="sk-SK"/>
        </w:rPr>
      </w:pPr>
      <w:r w:rsidRPr="00273B98">
        <w:rPr>
          <w:rFonts w:eastAsia="Times New Roman" w:cs="Times New Roman"/>
          <w:iCs/>
          <w:sz w:val="18"/>
          <w:szCs w:val="18"/>
          <w:lang w:eastAsia="sk-SK"/>
        </w:rPr>
        <w:t>v roku 2024</w:t>
      </w:r>
      <w:r w:rsidR="00922722">
        <w:rPr>
          <w:rFonts w:eastAsia="Times New Roman" w:cs="Times New Roman"/>
          <w:iCs/>
          <w:sz w:val="18"/>
          <w:szCs w:val="18"/>
          <w:lang w:eastAsia="sk-SK"/>
        </w:rPr>
        <w:t>.</w:t>
      </w:r>
    </w:p>
    <w:p w14:paraId="28A1C696" w14:textId="77777777" w:rsidR="004D69BF" w:rsidRPr="00273B98" w:rsidRDefault="004D69BF" w:rsidP="00EA4EA9">
      <w:pPr>
        <w:spacing w:line="240" w:lineRule="auto"/>
        <w:rPr>
          <w:rFonts w:eastAsia="Times New Roman" w:cs="Times New Roman"/>
          <w:b/>
          <w:bCs/>
          <w:sz w:val="18"/>
          <w:szCs w:val="18"/>
          <w:lang w:eastAsia="sk-SK"/>
        </w:rPr>
      </w:pPr>
      <w:r w:rsidRPr="00273B98">
        <w:rPr>
          <w:rFonts w:eastAsia="Times New Roman" w:cs="Times New Roman"/>
          <w:iCs/>
          <w:sz w:val="18"/>
          <w:szCs w:val="18"/>
          <w:lang w:eastAsia="sk-SK"/>
        </w:rPr>
        <w:t>** Zohľadňuje uvoľnenie prostriedkov prostredníctvom rozpočtových opatrení a platobných príkazov.</w:t>
      </w:r>
    </w:p>
    <w:p w14:paraId="437D20DD" w14:textId="01CB8DE9" w:rsidR="004D69BF" w:rsidRPr="002F73F1" w:rsidRDefault="004D69BF" w:rsidP="004D69BF">
      <w:pPr>
        <w:tabs>
          <w:tab w:val="left" w:pos="0"/>
          <w:tab w:val="left" w:pos="720"/>
          <w:tab w:val="left" w:pos="1440"/>
          <w:tab w:val="left" w:pos="2160"/>
          <w:tab w:val="left" w:pos="2880"/>
          <w:tab w:val="left" w:pos="3600"/>
          <w:tab w:val="left" w:pos="4320"/>
        </w:tabs>
        <w:adjustRightInd w:val="0"/>
        <w:spacing w:line="240" w:lineRule="auto"/>
        <w:rPr>
          <w:rFonts w:cs="Times New Roman"/>
          <w:b/>
          <w:iCs/>
          <w:sz w:val="24"/>
          <w:szCs w:val="24"/>
        </w:rPr>
      </w:pPr>
      <w:r w:rsidRPr="002F73F1">
        <w:rPr>
          <w:rFonts w:cs="Times New Roman"/>
          <w:b/>
          <w:iCs/>
          <w:sz w:val="24"/>
          <w:szCs w:val="24"/>
        </w:rPr>
        <w:t>Rezerva vlády</w:t>
      </w:r>
    </w:p>
    <w:p w14:paraId="32629F2B" w14:textId="0BC0D8B1" w:rsidR="004D69BF" w:rsidRPr="005E1FF1" w:rsidRDefault="004D69BF" w:rsidP="004D69BF">
      <w:pPr>
        <w:spacing w:line="240" w:lineRule="auto"/>
        <w:rPr>
          <w:sz w:val="24"/>
          <w:szCs w:val="24"/>
        </w:rPr>
      </w:pPr>
      <w:r w:rsidRPr="005E1FF1">
        <w:rPr>
          <w:sz w:val="24"/>
          <w:szCs w:val="24"/>
        </w:rPr>
        <w:t>Z rozpočtovanej rezervy v sume 5</w:t>
      </w:r>
      <w:r w:rsidR="00EA4EA9">
        <w:rPr>
          <w:sz w:val="24"/>
          <w:szCs w:val="24"/>
        </w:rPr>
        <w:t> </w:t>
      </w:r>
      <w:r w:rsidRPr="005E1FF1">
        <w:rPr>
          <w:sz w:val="24"/>
          <w:szCs w:val="24"/>
        </w:rPr>
        <w:t>000</w:t>
      </w:r>
      <w:r w:rsidR="00EA4EA9">
        <w:rPr>
          <w:sz w:val="24"/>
          <w:szCs w:val="24"/>
        </w:rPr>
        <w:t> </w:t>
      </w:r>
      <w:r w:rsidRPr="005E1FF1">
        <w:rPr>
          <w:sz w:val="24"/>
          <w:szCs w:val="24"/>
        </w:rPr>
        <w:t>tis.</w:t>
      </w:r>
      <w:r w:rsidR="00EA4EA9">
        <w:rPr>
          <w:sz w:val="24"/>
          <w:szCs w:val="24"/>
        </w:rPr>
        <w:t> </w:t>
      </w:r>
      <w:r w:rsidRPr="005E1FF1">
        <w:rPr>
          <w:sz w:val="24"/>
          <w:szCs w:val="24"/>
        </w:rPr>
        <w:t>eur sa</w:t>
      </w:r>
      <w:r w:rsidR="00EA4EA9">
        <w:rPr>
          <w:sz w:val="24"/>
          <w:szCs w:val="24"/>
        </w:rPr>
        <w:t xml:space="preserve"> uvoľnili prostriedky v sume 54 </w:t>
      </w:r>
      <w:r w:rsidRPr="005E1FF1">
        <w:rPr>
          <w:sz w:val="24"/>
          <w:szCs w:val="24"/>
        </w:rPr>
        <w:t>tis.</w:t>
      </w:r>
      <w:r w:rsidR="00EA4EA9">
        <w:rPr>
          <w:sz w:val="24"/>
          <w:szCs w:val="24"/>
        </w:rPr>
        <w:t> </w:t>
      </w:r>
      <w:r w:rsidRPr="005E1FF1">
        <w:rPr>
          <w:sz w:val="24"/>
          <w:szCs w:val="24"/>
        </w:rPr>
        <w:t xml:space="preserve">eur podľa </w:t>
      </w:r>
      <w:r>
        <w:rPr>
          <w:sz w:val="24"/>
          <w:szCs w:val="24"/>
        </w:rPr>
        <w:t>uznesenia vlády</w:t>
      </w:r>
      <w:r w:rsidR="00EA4EA9">
        <w:rPr>
          <w:sz w:val="24"/>
          <w:szCs w:val="24"/>
        </w:rPr>
        <w:t xml:space="preserve"> č. </w:t>
      </w:r>
      <w:r w:rsidRPr="005E1FF1">
        <w:rPr>
          <w:sz w:val="24"/>
          <w:szCs w:val="24"/>
        </w:rPr>
        <w:t>374/2024 obci Stará Bystrica na „Oslavy zvrchovanosti v Starej Bystrici“. Nevyčerpané prostriedky zostali v sume 4</w:t>
      </w:r>
      <w:r w:rsidR="00EA4EA9">
        <w:rPr>
          <w:sz w:val="24"/>
          <w:szCs w:val="24"/>
        </w:rPr>
        <w:t> </w:t>
      </w:r>
      <w:r w:rsidRPr="005E1FF1">
        <w:rPr>
          <w:sz w:val="24"/>
          <w:szCs w:val="24"/>
        </w:rPr>
        <w:t>946</w:t>
      </w:r>
      <w:r w:rsidR="00EA4EA9">
        <w:rPr>
          <w:sz w:val="24"/>
          <w:szCs w:val="24"/>
        </w:rPr>
        <w:t> </w:t>
      </w:r>
      <w:r w:rsidRPr="005E1FF1">
        <w:rPr>
          <w:sz w:val="24"/>
          <w:szCs w:val="24"/>
        </w:rPr>
        <w:t>tis.</w:t>
      </w:r>
      <w:r w:rsidR="00EA4EA9">
        <w:rPr>
          <w:sz w:val="24"/>
          <w:szCs w:val="24"/>
        </w:rPr>
        <w:t> </w:t>
      </w:r>
      <w:r w:rsidRPr="005E1FF1">
        <w:rPr>
          <w:sz w:val="24"/>
          <w:szCs w:val="24"/>
        </w:rPr>
        <w:t>eur.</w:t>
      </w:r>
    </w:p>
    <w:p w14:paraId="0C810925" w14:textId="62916269" w:rsidR="004D69BF" w:rsidRPr="004E3DEF" w:rsidRDefault="0078224A" w:rsidP="004D69BF">
      <w:pPr>
        <w:tabs>
          <w:tab w:val="left" w:pos="0"/>
          <w:tab w:val="left" w:pos="720"/>
          <w:tab w:val="left" w:pos="1440"/>
          <w:tab w:val="left" w:pos="2160"/>
          <w:tab w:val="left" w:pos="2880"/>
          <w:tab w:val="left" w:pos="3600"/>
          <w:tab w:val="left" w:pos="4320"/>
        </w:tabs>
        <w:adjustRightInd w:val="0"/>
        <w:spacing w:line="240" w:lineRule="auto"/>
        <w:rPr>
          <w:rFonts w:cs="Times New Roman"/>
          <w:b/>
          <w:iCs/>
          <w:sz w:val="24"/>
          <w:szCs w:val="24"/>
        </w:rPr>
      </w:pPr>
      <w:r>
        <w:rPr>
          <w:rFonts w:cs="Times New Roman"/>
          <w:b/>
          <w:iCs/>
          <w:sz w:val="24"/>
          <w:szCs w:val="24"/>
        </w:rPr>
        <w:t>Rezerva predsedu vlády</w:t>
      </w:r>
    </w:p>
    <w:p w14:paraId="4D487FB8" w14:textId="09A3DE91" w:rsidR="004D69BF" w:rsidRPr="005E1FF1" w:rsidRDefault="004D69BF" w:rsidP="004D69BF">
      <w:pPr>
        <w:spacing w:line="240" w:lineRule="auto"/>
        <w:rPr>
          <w:sz w:val="24"/>
          <w:szCs w:val="24"/>
        </w:rPr>
      </w:pPr>
      <w:r w:rsidRPr="005E1FF1">
        <w:rPr>
          <w:sz w:val="24"/>
          <w:szCs w:val="24"/>
        </w:rPr>
        <w:t>Rezerva predsedu vlády</w:t>
      </w:r>
      <w:r w:rsidR="0078224A">
        <w:rPr>
          <w:sz w:val="24"/>
          <w:szCs w:val="24"/>
        </w:rPr>
        <w:t xml:space="preserve"> bola rozpočtovaná v sume 1 500 </w:t>
      </w:r>
      <w:r w:rsidRPr="005E1FF1">
        <w:rPr>
          <w:sz w:val="24"/>
          <w:szCs w:val="24"/>
        </w:rPr>
        <w:t>tis.</w:t>
      </w:r>
      <w:r w:rsidR="0078224A">
        <w:rPr>
          <w:sz w:val="24"/>
          <w:szCs w:val="24"/>
        </w:rPr>
        <w:t> </w:t>
      </w:r>
      <w:r w:rsidRPr="005E1FF1">
        <w:rPr>
          <w:sz w:val="24"/>
          <w:szCs w:val="24"/>
        </w:rPr>
        <w:t>eur a v pri</w:t>
      </w:r>
      <w:r w:rsidR="0078224A">
        <w:rPr>
          <w:sz w:val="24"/>
          <w:szCs w:val="24"/>
        </w:rPr>
        <w:t>ebehu roka upravená o sumu 785 </w:t>
      </w:r>
      <w:r w:rsidRPr="005E1FF1">
        <w:rPr>
          <w:sz w:val="24"/>
          <w:szCs w:val="24"/>
        </w:rPr>
        <w:t>tis.</w:t>
      </w:r>
      <w:r w:rsidR="0078224A">
        <w:rPr>
          <w:sz w:val="24"/>
          <w:szCs w:val="24"/>
        </w:rPr>
        <w:t> eur na celkovú sumu 2 285 tis. </w:t>
      </w:r>
      <w:r w:rsidRPr="005E1FF1">
        <w:rPr>
          <w:sz w:val="24"/>
          <w:szCs w:val="24"/>
        </w:rPr>
        <w:t>eur.</w:t>
      </w:r>
    </w:p>
    <w:p w14:paraId="7158A748" w14:textId="0FBF0C12" w:rsidR="004D69BF" w:rsidRPr="005E1FF1" w:rsidRDefault="004D69BF" w:rsidP="004D69BF">
      <w:pPr>
        <w:spacing w:line="240" w:lineRule="auto"/>
        <w:rPr>
          <w:sz w:val="24"/>
          <w:szCs w:val="24"/>
        </w:rPr>
      </w:pPr>
      <w:r w:rsidRPr="005E1FF1">
        <w:rPr>
          <w:sz w:val="24"/>
          <w:szCs w:val="24"/>
        </w:rPr>
        <w:t>Z rezervy boli rozpočtovými opatreniami poskyt</w:t>
      </w:r>
      <w:r w:rsidR="0078224A">
        <w:rPr>
          <w:sz w:val="24"/>
          <w:szCs w:val="24"/>
        </w:rPr>
        <w:t>nuté výdavky v celkovej sume 25 </w:t>
      </w:r>
      <w:r w:rsidRPr="005E1FF1">
        <w:rPr>
          <w:sz w:val="24"/>
          <w:szCs w:val="24"/>
        </w:rPr>
        <w:t>tis.</w:t>
      </w:r>
      <w:r w:rsidR="0078224A">
        <w:rPr>
          <w:sz w:val="24"/>
          <w:szCs w:val="24"/>
        </w:rPr>
        <w:t> </w:t>
      </w:r>
      <w:r w:rsidRPr="005E1FF1">
        <w:rPr>
          <w:sz w:val="24"/>
          <w:szCs w:val="24"/>
        </w:rPr>
        <w:t>eur, z toho do ro</w:t>
      </w:r>
      <w:r w:rsidR="0078224A">
        <w:rPr>
          <w:sz w:val="24"/>
          <w:szCs w:val="24"/>
        </w:rPr>
        <w:t>zpočtu kapitoly MZ SR v sume 15 </w:t>
      </w:r>
      <w:r w:rsidRPr="005E1FF1">
        <w:rPr>
          <w:sz w:val="24"/>
          <w:szCs w:val="24"/>
        </w:rPr>
        <w:t>tis.</w:t>
      </w:r>
      <w:r w:rsidR="0078224A">
        <w:rPr>
          <w:sz w:val="24"/>
          <w:szCs w:val="24"/>
        </w:rPr>
        <w:t> </w:t>
      </w:r>
      <w:r w:rsidRPr="005E1FF1">
        <w:rPr>
          <w:sz w:val="24"/>
          <w:szCs w:val="24"/>
        </w:rPr>
        <w:t>eur a do rozpočtu kapitoly MZVaEZ SR v</w:t>
      </w:r>
      <w:r w:rsidR="0078224A">
        <w:rPr>
          <w:sz w:val="24"/>
          <w:szCs w:val="24"/>
        </w:rPr>
        <w:t> </w:t>
      </w:r>
      <w:r w:rsidRPr="005E1FF1">
        <w:rPr>
          <w:sz w:val="24"/>
          <w:szCs w:val="24"/>
        </w:rPr>
        <w:t>sume</w:t>
      </w:r>
      <w:r w:rsidR="0078224A">
        <w:rPr>
          <w:sz w:val="24"/>
          <w:szCs w:val="24"/>
        </w:rPr>
        <w:t xml:space="preserve"> </w:t>
      </w:r>
      <w:r w:rsidRPr="005E1FF1">
        <w:rPr>
          <w:sz w:val="24"/>
          <w:szCs w:val="24"/>
        </w:rPr>
        <w:t>10</w:t>
      </w:r>
      <w:r w:rsidR="0078224A">
        <w:rPr>
          <w:sz w:val="24"/>
          <w:szCs w:val="24"/>
        </w:rPr>
        <w:t> </w:t>
      </w:r>
      <w:r w:rsidRPr="005E1FF1">
        <w:rPr>
          <w:sz w:val="24"/>
          <w:szCs w:val="24"/>
        </w:rPr>
        <w:t>tis. eur.</w:t>
      </w:r>
    </w:p>
    <w:p w14:paraId="71167581" w14:textId="38B18713" w:rsidR="004D69BF" w:rsidRPr="005E1FF1" w:rsidRDefault="004D69BF" w:rsidP="004D69BF">
      <w:pPr>
        <w:spacing w:line="240" w:lineRule="auto"/>
        <w:rPr>
          <w:sz w:val="24"/>
          <w:szCs w:val="24"/>
        </w:rPr>
      </w:pPr>
      <w:r w:rsidRPr="005E1FF1">
        <w:rPr>
          <w:sz w:val="24"/>
          <w:szCs w:val="24"/>
        </w:rPr>
        <w:t>Na základe zmlúv o poskytovaní dotácií boli z rezervy poskytnuté dotácie jednotlivým príjemcom, ktorými boli predovšetkým obce a mestá, občianske združenia, neziskové organizácie, cirkev a náboženské org</w:t>
      </w:r>
      <w:r w:rsidR="0078224A">
        <w:rPr>
          <w:sz w:val="24"/>
          <w:szCs w:val="24"/>
        </w:rPr>
        <w:t>anizácie, v celkovej sume 2 260 </w:t>
      </w:r>
      <w:r w:rsidRPr="005E1FF1">
        <w:rPr>
          <w:sz w:val="24"/>
          <w:szCs w:val="24"/>
        </w:rPr>
        <w:t>tis.</w:t>
      </w:r>
      <w:r w:rsidR="0078224A">
        <w:rPr>
          <w:sz w:val="24"/>
          <w:szCs w:val="24"/>
        </w:rPr>
        <w:t> </w:t>
      </w:r>
      <w:r w:rsidRPr="005E1FF1">
        <w:rPr>
          <w:sz w:val="24"/>
          <w:szCs w:val="24"/>
        </w:rPr>
        <w:t>eur.</w:t>
      </w:r>
    </w:p>
    <w:p w14:paraId="6D4F51D5" w14:textId="77777777" w:rsidR="004D69BF" w:rsidRPr="00F43BB8" w:rsidRDefault="004D69BF" w:rsidP="004D69BF">
      <w:pPr>
        <w:tabs>
          <w:tab w:val="left" w:pos="0"/>
          <w:tab w:val="left" w:pos="720"/>
          <w:tab w:val="left" w:pos="1440"/>
          <w:tab w:val="left" w:pos="2160"/>
          <w:tab w:val="left" w:pos="2880"/>
          <w:tab w:val="left" w:pos="3600"/>
          <w:tab w:val="left" w:pos="4320"/>
        </w:tabs>
        <w:adjustRightInd w:val="0"/>
        <w:spacing w:line="240" w:lineRule="auto"/>
        <w:rPr>
          <w:rFonts w:cs="Times New Roman"/>
          <w:b/>
          <w:iCs/>
          <w:sz w:val="24"/>
          <w:szCs w:val="24"/>
        </w:rPr>
      </w:pPr>
      <w:r w:rsidRPr="00F43BB8">
        <w:rPr>
          <w:rFonts w:cs="Times New Roman"/>
          <w:b/>
          <w:iCs/>
          <w:sz w:val="24"/>
          <w:szCs w:val="24"/>
        </w:rPr>
        <w:lastRenderedPageBreak/>
        <w:t>Rezerva na prostriedky Európskej únie a odvody Európskej únii</w:t>
      </w:r>
    </w:p>
    <w:p w14:paraId="17035091" w14:textId="183D5D84" w:rsidR="004D69BF" w:rsidRPr="005E1FF1" w:rsidRDefault="004D69BF" w:rsidP="004D69BF">
      <w:pPr>
        <w:spacing w:line="240" w:lineRule="auto"/>
        <w:rPr>
          <w:sz w:val="24"/>
          <w:szCs w:val="24"/>
        </w:rPr>
      </w:pPr>
      <w:r w:rsidRPr="005E1FF1">
        <w:rPr>
          <w:sz w:val="24"/>
          <w:szCs w:val="24"/>
        </w:rPr>
        <w:t>Rezerva na prostriedky Európskej únie a odvody Európskej únii bola z dôvodu opatrno</w:t>
      </w:r>
      <w:r w:rsidR="0078224A">
        <w:rPr>
          <w:sz w:val="24"/>
          <w:szCs w:val="24"/>
        </w:rPr>
        <w:t>sti rozpočtovaná v sume 249 370 </w:t>
      </w:r>
      <w:r w:rsidRPr="005E1FF1">
        <w:rPr>
          <w:sz w:val="24"/>
          <w:szCs w:val="24"/>
        </w:rPr>
        <w:t>tis.</w:t>
      </w:r>
      <w:r w:rsidR="0078224A">
        <w:rPr>
          <w:sz w:val="24"/>
          <w:szCs w:val="24"/>
        </w:rPr>
        <w:t> </w:t>
      </w:r>
      <w:r w:rsidRPr="005E1FF1">
        <w:rPr>
          <w:sz w:val="24"/>
          <w:szCs w:val="24"/>
        </w:rPr>
        <w:t>eur na splatenie úrokov z omeškania vyplývajúcich zo</w:t>
      </w:r>
      <w:r w:rsidR="0078224A">
        <w:rPr>
          <w:sz w:val="24"/>
          <w:szCs w:val="24"/>
        </w:rPr>
        <w:t> </w:t>
      </w:r>
      <w:r w:rsidRPr="005E1FF1">
        <w:rPr>
          <w:sz w:val="24"/>
          <w:szCs w:val="24"/>
        </w:rPr>
        <w:t>straty na tradičných vlastných zdrojoch pri podhodnotení dovezeného textilu a obuvi z Čínskej ľudovej republiky z dôvodu zdĺhavého procesu negociácií medzi hlavnými aktérmi.</w:t>
      </w:r>
    </w:p>
    <w:p w14:paraId="75368BA3" w14:textId="20CAB84F" w:rsidR="004D69BF" w:rsidRPr="005E1FF1" w:rsidRDefault="004D69BF" w:rsidP="004D69BF">
      <w:pPr>
        <w:spacing w:line="240" w:lineRule="auto"/>
        <w:rPr>
          <w:sz w:val="24"/>
          <w:szCs w:val="24"/>
        </w:rPr>
      </w:pPr>
      <w:r w:rsidRPr="005E1FF1">
        <w:rPr>
          <w:sz w:val="24"/>
          <w:szCs w:val="24"/>
        </w:rPr>
        <w:t xml:space="preserve">Európska komisia súhlasila s návrhom SR a </w:t>
      </w:r>
      <w:r w:rsidR="00922722">
        <w:rPr>
          <w:sz w:val="24"/>
          <w:szCs w:val="24"/>
        </w:rPr>
        <w:t>pristúpila k prepočtu straty na </w:t>
      </w:r>
      <w:r w:rsidRPr="005E1FF1">
        <w:rPr>
          <w:sz w:val="24"/>
          <w:szCs w:val="24"/>
        </w:rPr>
        <w:t>tradičných vlastných zdrojoch súvisiacich s dovozom podhodnoteného tovaru z Číny a</w:t>
      </w:r>
      <w:r w:rsidR="00922722">
        <w:rPr>
          <w:sz w:val="24"/>
          <w:szCs w:val="24"/>
        </w:rPr>
        <w:t> </w:t>
      </w:r>
      <w:r w:rsidRPr="005E1FF1">
        <w:rPr>
          <w:sz w:val="24"/>
          <w:szCs w:val="24"/>
        </w:rPr>
        <w:t>následne k</w:t>
      </w:r>
      <w:r w:rsidR="00922722">
        <w:rPr>
          <w:sz w:val="24"/>
          <w:szCs w:val="24"/>
        </w:rPr>
        <w:t> </w:t>
      </w:r>
      <w:r w:rsidRPr="005E1FF1">
        <w:rPr>
          <w:sz w:val="24"/>
          <w:szCs w:val="24"/>
        </w:rPr>
        <w:t>prepočtu úrokov z omeškania. Rozdiel</w:t>
      </w:r>
      <w:r w:rsidR="0078224A">
        <w:rPr>
          <w:sz w:val="24"/>
          <w:szCs w:val="24"/>
        </w:rPr>
        <w:t xml:space="preserve"> medzi stratou vo výške 230 333 </w:t>
      </w:r>
      <w:r w:rsidRPr="005E1FF1">
        <w:rPr>
          <w:sz w:val="24"/>
          <w:szCs w:val="24"/>
        </w:rPr>
        <w:t>tis.</w:t>
      </w:r>
      <w:r w:rsidR="0078224A">
        <w:rPr>
          <w:sz w:val="24"/>
          <w:szCs w:val="24"/>
        </w:rPr>
        <w:t> </w:t>
      </w:r>
      <w:r w:rsidRPr="005E1FF1">
        <w:rPr>
          <w:sz w:val="24"/>
          <w:szCs w:val="24"/>
        </w:rPr>
        <w:t>eur, za ktorú bola finančne zodpovedná Slovenská r</w:t>
      </w:r>
      <w:r w:rsidR="0078224A">
        <w:rPr>
          <w:sz w:val="24"/>
          <w:szCs w:val="24"/>
        </w:rPr>
        <w:t>epublika a sumou zaplatenou 16. </w:t>
      </w:r>
      <w:r w:rsidR="00922722">
        <w:rPr>
          <w:sz w:val="24"/>
          <w:szCs w:val="24"/>
        </w:rPr>
        <w:t>decembra 2021 s </w:t>
      </w:r>
      <w:r w:rsidRPr="005E1FF1">
        <w:rPr>
          <w:sz w:val="24"/>
          <w:szCs w:val="24"/>
        </w:rPr>
        <w:t>výhradou vo</w:t>
      </w:r>
      <w:r w:rsidR="0078224A">
        <w:rPr>
          <w:sz w:val="24"/>
          <w:szCs w:val="24"/>
        </w:rPr>
        <w:t> </w:t>
      </w:r>
      <w:r w:rsidRPr="005E1FF1">
        <w:rPr>
          <w:sz w:val="24"/>
          <w:szCs w:val="24"/>
        </w:rPr>
        <w:t>výške 277</w:t>
      </w:r>
      <w:r w:rsidR="0078224A">
        <w:rPr>
          <w:sz w:val="24"/>
          <w:szCs w:val="24"/>
        </w:rPr>
        <w:t> </w:t>
      </w:r>
      <w:r w:rsidRPr="005E1FF1">
        <w:rPr>
          <w:sz w:val="24"/>
          <w:szCs w:val="24"/>
        </w:rPr>
        <w:t>251</w:t>
      </w:r>
      <w:r w:rsidR="0078224A">
        <w:rPr>
          <w:sz w:val="24"/>
          <w:szCs w:val="24"/>
        </w:rPr>
        <w:t> </w:t>
      </w:r>
      <w:r w:rsidRPr="005E1FF1">
        <w:rPr>
          <w:sz w:val="24"/>
          <w:szCs w:val="24"/>
        </w:rPr>
        <w:t>tis.</w:t>
      </w:r>
      <w:r w:rsidR="0078224A">
        <w:rPr>
          <w:sz w:val="24"/>
          <w:szCs w:val="24"/>
        </w:rPr>
        <w:t> </w:t>
      </w:r>
      <w:r w:rsidRPr="005E1FF1">
        <w:rPr>
          <w:sz w:val="24"/>
          <w:szCs w:val="24"/>
        </w:rPr>
        <w:t>eur podľa uznesenia vlády SR č.</w:t>
      </w:r>
      <w:r w:rsidR="0078224A">
        <w:rPr>
          <w:sz w:val="24"/>
          <w:szCs w:val="24"/>
        </w:rPr>
        <w:t> </w:t>
      </w:r>
      <w:r w:rsidRPr="005E1FF1">
        <w:rPr>
          <w:sz w:val="24"/>
          <w:szCs w:val="24"/>
        </w:rPr>
        <w:t>716/2021 s úmyslom zastaviť narastajúce úroky z omeškania, tak predstavoval sumu 46 918 tis. eur. Táto suma bola v roku 2024 odpočítaná z celkovej sumy na úhradu odvo</w:t>
      </w:r>
      <w:r w:rsidR="0078224A">
        <w:rPr>
          <w:sz w:val="24"/>
          <w:szCs w:val="24"/>
        </w:rPr>
        <w:t>dov do všeobecného rozpočtu EÚ.</w:t>
      </w:r>
    </w:p>
    <w:p w14:paraId="4897D890" w14:textId="1771435B" w:rsidR="004D69BF" w:rsidRDefault="004D69BF" w:rsidP="004D69BF">
      <w:pPr>
        <w:spacing w:line="240" w:lineRule="auto"/>
        <w:rPr>
          <w:sz w:val="24"/>
          <w:szCs w:val="24"/>
        </w:rPr>
      </w:pPr>
      <w:r w:rsidRPr="005E1FF1">
        <w:rPr>
          <w:sz w:val="24"/>
          <w:szCs w:val="24"/>
        </w:rPr>
        <w:t>Vzhľadom na uvedené skutočnosti sa rezerva nečerpala v celom rozpočtovanom objeme.</w:t>
      </w:r>
    </w:p>
    <w:p w14:paraId="045BD8F8" w14:textId="77777777" w:rsidR="004D69BF" w:rsidRDefault="004D69BF" w:rsidP="004D69BF">
      <w:pPr>
        <w:tabs>
          <w:tab w:val="left" w:pos="0"/>
          <w:tab w:val="left" w:pos="720"/>
          <w:tab w:val="left" w:pos="1440"/>
          <w:tab w:val="left" w:pos="2160"/>
          <w:tab w:val="left" w:pos="2880"/>
          <w:tab w:val="left" w:pos="3600"/>
          <w:tab w:val="left" w:pos="4320"/>
        </w:tabs>
        <w:adjustRightInd w:val="0"/>
        <w:spacing w:line="240" w:lineRule="auto"/>
        <w:rPr>
          <w:rFonts w:cs="Times New Roman"/>
          <w:b/>
          <w:iCs/>
          <w:sz w:val="24"/>
          <w:szCs w:val="24"/>
        </w:rPr>
      </w:pPr>
      <w:r w:rsidRPr="00983054">
        <w:rPr>
          <w:rFonts w:cs="Times New Roman"/>
          <w:b/>
          <w:iCs/>
          <w:sz w:val="24"/>
          <w:szCs w:val="24"/>
        </w:rPr>
        <w:t xml:space="preserve">Rezerva na riešenie vplyvov legislatívnych zmien </w:t>
      </w:r>
    </w:p>
    <w:p w14:paraId="529F4E9A" w14:textId="5013E596" w:rsidR="004D69BF" w:rsidRPr="005E1FF1" w:rsidRDefault="004D69BF" w:rsidP="004D69BF">
      <w:pPr>
        <w:spacing w:line="240" w:lineRule="auto"/>
        <w:rPr>
          <w:sz w:val="24"/>
          <w:szCs w:val="24"/>
        </w:rPr>
      </w:pPr>
      <w:r w:rsidRPr="005E1FF1">
        <w:rPr>
          <w:sz w:val="24"/>
          <w:szCs w:val="24"/>
        </w:rPr>
        <w:t>Výdavky na riešenie vplyvov legislatívnych zmien bol</w:t>
      </w:r>
      <w:r w:rsidR="0078224A">
        <w:rPr>
          <w:sz w:val="24"/>
          <w:szCs w:val="24"/>
        </w:rPr>
        <w:t>i rozpočtované v sume 1 231 719 </w:t>
      </w:r>
      <w:r w:rsidRPr="005E1FF1">
        <w:rPr>
          <w:sz w:val="24"/>
          <w:szCs w:val="24"/>
        </w:rPr>
        <w:t>tis.</w:t>
      </w:r>
      <w:r w:rsidR="0078224A">
        <w:rPr>
          <w:sz w:val="24"/>
          <w:szCs w:val="24"/>
        </w:rPr>
        <w:t> </w:t>
      </w:r>
      <w:r w:rsidRPr="005E1FF1">
        <w:rPr>
          <w:sz w:val="24"/>
          <w:szCs w:val="24"/>
        </w:rPr>
        <w:t>eur. Jednotlivým kapitolám boli uvoľnené prostriedky v celkovej sume 112</w:t>
      </w:r>
      <w:r w:rsidR="0078224A">
        <w:rPr>
          <w:sz w:val="24"/>
          <w:szCs w:val="24"/>
        </w:rPr>
        <w:t> </w:t>
      </w:r>
      <w:r w:rsidRPr="005E1FF1">
        <w:rPr>
          <w:sz w:val="24"/>
          <w:szCs w:val="24"/>
        </w:rPr>
        <w:t>179</w:t>
      </w:r>
      <w:r w:rsidR="0078224A">
        <w:rPr>
          <w:sz w:val="24"/>
          <w:szCs w:val="24"/>
        </w:rPr>
        <w:t> </w:t>
      </w:r>
      <w:r w:rsidRPr="005E1FF1">
        <w:rPr>
          <w:sz w:val="24"/>
          <w:szCs w:val="24"/>
        </w:rPr>
        <w:t>tis.</w:t>
      </w:r>
      <w:r w:rsidR="0078224A">
        <w:rPr>
          <w:sz w:val="24"/>
          <w:szCs w:val="24"/>
        </w:rPr>
        <w:t> </w:t>
      </w:r>
      <w:r w:rsidRPr="005E1FF1">
        <w:rPr>
          <w:sz w:val="24"/>
          <w:szCs w:val="24"/>
        </w:rPr>
        <w:t>eur, najmä na podporu športu, cestovného ruchu</w:t>
      </w:r>
      <w:r w:rsidR="00922722">
        <w:rPr>
          <w:sz w:val="24"/>
          <w:szCs w:val="24"/>
        </w:rPr>
        <w:t xml:space="preserve"> a na </w:t>
      </w:r>
      <w:r w:rsidRPr="005E1FF1">
        <w:rPr>
          <w:sz w:val="24"/>
          <w:szCs w:val="24"/>
        </w:rPr>
        <w:t>dofinancovanie 13.</w:t>
      </w:r>
      <w:r w:rsidR="0078224A">
        <w:rPr>
          <w:sz w:val="24"/>
          <w:szCs w:val="24"/>
        </w:rPr>
        <w:t> </w:t>
      </w:r>
      <w:r w:rsidRPr="005E1FF1">
        <w:rPr>
          <w:sz w:val="24"/>
          <w:szCs w:val="24"/>
        </w:rPr>
        <w:t>dôchodku a dočasného stabilizačného príspevku.</w:t>
      </w:r>
    </w:p>
    <w:p w14:paraId="44973FBD" w14:textId="01809B00" w:rsidR="004D69BF" w:rsidRPr="005E1FF1" w:rsidRDefault="004D69BF" w:rsidP="004D69BF">
      <w:pPr>
        <w:spacing w:line="240" w:lineRule="auto"/>
        <w:rPr>
          <w:sz w:val="24"/>
          <w:szCs w:val="24"/>
        </w:rPr>
      </w:pPr>
      <w:r w:rsidRPr="005E1FF1">
        <w:rPr>
          <w:sz w:val="24"/>
          <w:szCs w:val="24"/>
        </w:rPr>
        <w:t>Ďalej sa z uvedeného titulu realizovalo finančné k</w:t>
      </w:r>
      <w:r w:rsidR="0078224A">
        <w:rPr>
          <w:sz w:val="24"/>
          <w:szCs w:val="24"/>
        </w:rPr>
        <w:t>rytie v celkovej sume 1 110 454 </w:t>
      </w:r>
      <w:r w:rsidRPr="005E1FF1">
        <w:rPr>
          <w:sz w:val="24"/>
          <w:szCs w:val="24"/>
        </w:rPr>
        <w:t>tis.</w:t>
      </w:r>
      <w:r w:rsidR="0078224A">
        <w:rPr>
          <w:sz w:val="24"/>
          <w:szCs w:val="24"/>
        </w:rPr>
        <w:t> </w:t>
      </w:r>
      <w:r w:rsidRPr="005E1FF1">
        <w:rPr>
          <w:sz w:val="24"/>
          <w:szCs w:val="24"/>
        </w:rPr>
        <w:t>eur na zabezpečenie platobnej schopnosti Sociá</w:t>
      </w:r>
      <w:r w:rsidR="0078224A">
        <w:rPr>
          <w:sz w:val="24"/>
          <w:szCs w:val="24"/>
        </w:rPr>
        <w:t>lnej poisťovne a na výplatu 13.</w:t>
      </w:r>
      <w:r w:rsidRPr="005E1FF1">
        <w:rPr>
          <w:sz w:val="24"/>
          <w:szCs w:val="24"/>
        </w:rPr>
        <w:t> dôchodku v súlade so zákonom č.</w:t>
      </w:r>
      <w:r w:rsidR="0078224A">
        <w:rPr>
          <w:sz w:val="24"/>
          <w:szCs w:val="24"/>
        </w:rPr>
        <w:t> 87/2024 Z. </w:t>
      </w:r>
      <w:r w:rsidRPr="005E1FF1">
        <w:rPr>
          <w:sz w:val="24"/>
          <w:szCs w:val="24"/>
        </w:rPr>
        <w:t>z., k</w:t>
      </w:r>
      <w:r w:rsidR="0078224A">
        <w:rPr>
          <w:sz w:val="24"/>
          <w:szCs w:val="24"/>
        </w:rPr>
        <w:t>torým sa mení a dopĺňa zákon č. </w:t>
      </w:r>
      <w:r w:rsidRPr="005E1FF1">
        <w:rPr>
          <w:sz w:val="24"/>
          <w:szCs w:val="24"/>
        </w:rPr>
        <w:t>461/2003</w:t>
      </w:r>
      <w:r w:rsidR="0078224A">
        <w:rPr>
          <w:sz w:val="24"/>
          <w:szCs w:val="24"/>
        </w:rPr>
        <w:t> </w:t>
      </w:r>
      <w:r w:rsidRPr="005E1FF1">
        <w:rPr>
          <w:sz w:val="24"/>
          <w:szCs w:val="24"/>
        </w:rPr>
        <w:t>Z.</w:t>
      </w:r>
      <w:r w:rsidR="0078224A">
        <w:rPr>
          <w:sz w:val="24"/>
          <w:szCs w:val="24"/>
        </w:rPr>
        <w:t> z. o </w:t>
      </w:r>
      <w:r w:rsidRPr="005E1FF1">
        <w:rPr>
          <w:sz w:val="24"/>
          <w:szCs w:val="24"/>
        </w:rPr>
        <w:t>sociálnom poistení v znení neskorších predpisov a ktorým sa menia a dopĺňajú niektoré zákony. Čerpanie uvedených prostriedkov je vykázané na titule Transfer Sociálnej poisťovni. Nevyčerpané prostriedky zostali v sume 9</w:t>
      </w:r>
      <w:r w:rsidR="0078224A">
        <w:rPr>
          <w:sz w:val="24"/>
          <w:szCs w:val="24"/>
        </w:rPr>
        <w:t> </w:t>
      </w:r>
      <w:r w:rsidRPr="005E1FF1">
        <w:rPr>
          <w:sz w:val="24"/>
          <w:szCs w:val="24"/>
        </w:rPr>
        <w:t>086</w:t>
      </w:r>
      <w:r w:rsidR="0078224A">
        <w:rPr>
          <w:sz w:val="24"/>
          <w:szCs w:val="24"/>
        </w:rPr>
        <w:t> tis. </w:t>
      </w:r>
      <w:r w:rsidRPr="005E1FF1">
        <w:rPr>
          <w:sz w:val="24"/>
          <w:szCs w:val="24"/>
        </w:rPr>
        <w:t>eur.</w:t>
      </w:r>
    </w:p>
    <w:p w14:paraId="79750EAC" w14:textId="2C9B5A61" w:rsidR="004D69BF" w:rsidRDefault="004D69BF" w:rsidP="004D69BF">
      <w:pPr>
        <w:tabs>
          <w:tab w:val="left" w:pos="0"/>
          <w:tab w:val="left" w:pos="720"/>
          <w:tab w:val="left" w:pos="1440"/>
          <w:tab w:val="left" w:pos="2160"/>
          <w:tab w:val="left" w:pos="2880"/>
          <w:tab w:val="left" w:pos="3600"/>
          <w:tab w:val="left" w:pos="4320"/>
        </w:tabs>
        <w:adjustRightInd w:val="0"/>
        <w:spacing w:before="120" w:line="240" w:lineRule="auto"/>
        <w:rPr>
          <w:rFonts w:eastAsia="Times New Roman" w:cs="Times New Roman"/>
          <w:b/>
          <w:sz w:val="24"/>
          <w:szCs w:val="24"/>
          <w:lang w:eastAsia="cs-CZ"/>
        </w:rPr>
      </w:pPr>
      <w:r w:rsidRPr="00983054">
        <w:rPr>
          <w:rFonts w:eastAsia="Times New Roman" w:cs="Times New Roman"/>
          <w:b/>
          <w:sz w:val="24"/>
          <w:szCs w:val="24"/>
          <w:lang w:eastAsia="cs-CZ"/>
        </w:rPr>
        <w:t>Rezerva na riešenie krízových situácií mimo času vojny a vojnového stavu</w:t>
      </w:r>
      <w:r w:rsidR="0078224A">
        <w:rPr>
          <w:rFonts w:eastAsia="Times New Roman" w:cs="Times New Roman"/>
          <w:b/>
          <w:sz w:val="24"/>
          <w:szCs w:val="24"/>
          <w:lang w:eastAsia="cs-CZ"/>
        </w:rPr>
        <w:t xml:space="preserve"> a vykonávanie povodňových prác</w:t>
      </w:r>
    </w:p>
    <w:p w14:paraId="1AC0D499" w14:textId="244C2977" w:rsidR="004D69BF" w:rsidRPr="005E1FF1" w:rsidRDefault="004D69BF" w:rsidP="004D69BF">
      <w:pPr>
        <w:spacing w:line="240" w:lineRule="auto"/>
        <w:rPr>
          <w:sz w:val="24"/>
          <w:szCs w:val="24"/>
        </w:rPr>
      </w:pPr>
      <w:r w:rsidRPr="005E1FF1">
        <w:rPr>
          <w:sz w:val="24"/>
          <w:szCs w:val="24"/>
        </w:rPr>
        <w:t>Z rozpočtovane</w:t>
      </w:r>
      <w:r w:rsidR="0078224A">
        <w:rPr>
          <w:sz w:val="24"/>
          <w:szCs w:val="24"/>
        </w:rPr>
        <w:t>j rezervy v sume 21 000 </w:t>
      </w:r>
      <w:r w:rsidRPr="005E1FF1">
        <w:rPr>
          <w:sz w:val="24"/>
          <w:szCs w:val="24"/>
        </w:rPr>
        <w:t>tis.</w:t>
      </w:r>
      <w:r w:rsidR="0078224A">
        <w:rPr>
          <w:sz w:val="24"/>
          <w:szCs w:val="24"/>
        </w:rPr>
        <w:t> </w:t>
      </w:r>
      <w:r w:rsidRPr="005E1FF1">
        <w:rPr>
          <w:sz w:val="24"/>
          <w:szCs w:val="24"/>
        </w:rPr>
        <w:t>eur sa uvoľnili prostriedky v sume 9</w:t>
      </w:r>
      <w:r w:rsidR="0078224A">
        <w:rPr>
          <w:sz w:val="24"/>
          <w:szCs w:val="24"/>
        </w:rPr>
        <w:t> </w:t>
      </w:r>
      <w:r w:rsidRPr="005E1FF1">
        <w:rPr>
          <w:sz w:val="24"/>
          <w:szCs w:val="24"/>
        </w:rPr>
        <w:t>972</w:t>
      </w:r>
      <w:r w:rsidR="0078224A">
        <w:rPr>
          <w:sz w:val="24"/>
          <w:szCs w:val="24"/>
        </w:rPr>
        <w:t> </w:t>
      </w:r>
      <w:r w:rsidRPr="005E1FF1">
        <w:rPr>
          <w:sz w:val="24"/>
          <w:szCs w:val="24"/>
        </w:rPr>
        <w:t>tis.</w:t>
      </w:r>
      <w:r w:rsidR="0078224A">
        <w:rPr>
          <w:sz w:val="24"/>
          <w:szCs w:val="24"/>
        </w:rPr>
        <w:t> </w:t>
      </w:r>
      <w:r w:rsidRPr="005E1FF1">
        <w:rPr>
          <w:sz w:val="24"/>
          <w:szCs w:val="24"/>
        </w:rPr>
        <w:t>eur, hlavne na vykonávanie povodňových zabezpečovacích prác a predpovednej povodňovej služby, na úhrady výdavkov súvisiacich s regulácio</w:t>
      </w:r>
      <w:r w:rsidR="00922722">
        <w:rPr>
          <w:sz w:val="24"/>
          <w:szCs w:val="24"/>
        </w:rPr>
        <w:t>u výtoku kontaminovaných vôd do </w:t>
      </w:r>
      <w:r w:rsidRPr="005E1FF1">
        <w:rPr>
          <w:sz w:val="24"/>
          <w:szCs w:val="24"/>
        </w:rPr>
        <w:t>rieky Slaná, na</w:t>
      </w:r>
      <w:r w:rsidR="0078224A">
        <w:rPr>
          <w:sz w:val="24"/>
          <w:szCs w:val="24"/>
        </w:rPr>
        <w:t> </w:t>
      </w:r>
      <w:r w:rsidRPr="005E1FF1">
        <w:rPr>
          <w:sz w:val="24"/>
          <w:szCs w:val="24"/>
        </w:rPr>
        <w:t>úhradu výdavkov súvisiacich s úlohami a opatreniami civilnej ochrany počas mimoriadnej situácie v okresoch zasiahnut</w:t>
      </w:r>
      <w:r w:rsidR="0078224A">
        <w:rPr>
          <w:sz w:val="24"/>
          <w:szCs w:val="24"/>
        </w:rPr>
        <w:t>ých povodňami a ďalšie výdavky.</w:t>
      </w:r>
    </w:p>
    <w:p w14:paraId="72A8ABA6" w14:textId="77777777" w:rsidR="004D69BF" w:rsidRPr="00500379" w:rsidRDefault="004D69BF" w:rsidP="004D69BF">
      <w:pPr>
        <w:tabs>
          <w:tab w:val="left" w:pos="0"/>
          <w:tab w:val="left" w:pos="720"/>
          <w:tab w:val="left" w:pos="1440"/>
          <w:tab w:val="left" w:pos="2160"/>
          <w:tab w:val="left" w:pos="2880"/>
          <w:tab w:val="left" w:pos="3600"/>
          <w:tab w:val="left" w:pos="4320"/>
        </w:tabs>
        <w:adjustRightInd w:val="0"/>
        <w:spacing w:before="120" w:line="240" w:lineRule="auto"/>
        <w:rPr>
          <w:rFonts w:cs="Times New Roman"/>
          <w:b/>
          <w:iCs/>
          <w:sz w:val="24"/>
          <w:szCs w:val="24"/>
        </w:rPr>
      </w:pPr>
      <w:r w:rsidRPr="00500379">
        <w:rPr>
          <w:rFonts w:cs="Times New Roman"/>
          <w:b/>
          <w:iCs/>
          <w:sz w:val="24"/>
          <w:szCs w:val="24"/>
        </w:rPr>
        <w:t>Rezerva na realizáciu súdnych a exekučných rozhodnutí</w:t>
      </w:r>
    </w:p>
    <w:p w14:paraId="4BCDF6BD" w14:textId="4D64DC1A" w:rsidR="004D69BF" w:rsidRPr="005E1FF1" w:rsidRDefault="004D69BF" w:rsidP="004D69BF">
      <w:pPr>
        <w:spacing w:line="240" w:lineRule="auto"/>
        <w:rPr>
          <w:sz w:val="24"/>
          <w:szCs w:val="24"/>
        </w:rPr>
      </w:pPr>
      <w:r w:rsidRPr="005E1FF1">
        <w:rPr>
          <w:sz w:val="24"/>
          <w:szCs w:val="24"/>
        </w:rPr>
        <w:t>Z rozp</w:t>
      </w:r>
      <w:r w:rsidR="0078224A">
        <w:rPr>
          <w:sz w:val="24"/>
          <w:szCs w:val="24"/>
        </w:rPr>
        <w:t>očtovanej rezervy v sume 10 000 </w:t>
      </w:r>
      <w:r w:rsidRPr="005E1FF1">
        <w:rPr>
          <w:sz w:val="24"/>
          <w:szCs w:val="24"/>
        </w:rPr>
        <w:t>tis.</w:t>
      </w:r>
      <w:r w:rsidR="0078224A">
        <w:rPr>
          <w:sz w:val="24"/>
          <w:szCs w:val="24"/>
        </w:rPr>
        <w:t> </w:t>
      </w:r>
      <w:r w:rsidRPr="005E1FF1">
        <w:rPr>
          <w:sz w:val="24"/>
          <w:szCs w:val="24"/>
        </w:rPr>
        <w:t>eur sa uvoľnili prostriedky v sume 4</w:t>
      </w:r>
      <w:r w:rsidR="0078224A">
        <w:rPr>
          <w:sz w:val="24"/>
          <w:szCs w:val="24"/>
        </w:rPr>
        <w:t> </w:t>
      </w:r>
      <w:r w:rsidRPr="005E1FF1">
        <w:rPr>
          <w:sz w:val="24"/>
          <w:szCs w:val="24"/>
        </w:rPr>
        <w:t>292</w:t>
      </w:r>
      <w:r w:rsidR="0078224A">
        <w:rPr>
          <w:sz w:val="24"/>
          <w:szCs w:val="24"/>
        </w:rPr>
        <w:t> </w:t>
      </w:r>
      <w:r w:rsidRPr="005E1FF1">
        <w:rPr>
          <w:sz w:val="24"/>
          <w:szCs w:val="24"/>
        </w:rPr>
        <w:t>tis.</w:t>
      </w:r>
      <w:r w:rsidR="0078224A">
        <w:rPr>
          <w:sz w:val="24"/>
          <w:szCs w:val="24"/>
        </w:rPr>
        <w:t> </w:t>
      </w:r>
      <w:r w:rsidRPr="005E1FF1">
        <w:rPr>
          <w:sz w:val="24"/>
          <w:szCs w:val="24"/>
        </w:rPr>
        <w:t>eur a nevyčerpané p</w:t>
      </w:r>
      <w:r w:rsidR="0078224A">
        <w:rPr>
          <w:sz w:val="24"/>
          <w:szCs w:val="24"/>
        </w:rPr>
        <w:t>rostriedky zostali v sume 5 708 </w:t>
      </w:r>
      <w:r w:rsidRPr="005E1FF1">
        <w:rPr>
          <w:sz w:val="24"/>
          <w:szCs w:val="24"/>
        </w:rPr>
        <w:t>tis.</w:t>
      </w:r>
      <w:r w:rsidR="0078224A">
        <w:rPr>
          <w:sz w:val="24"/>
          <w:szCs w:val="24"/>
        </w:rPr>
        <w:t> </w:t>
      </w:r>
      <w:r w:rsidRPr="005E1FF1">
        <w:rPr>
          <w:sz w:val="24"/>
          <w:szCs w:val="24"/>
        </w:rPr>
        <w:t>eur.</w:t>
      </w:r>
    </w:p>
    <w:p w14:paraId="377F9F2E" w14:textId="77777777" w:rsidR="004D69BF" w:rsidRPr="00500379" w:rsidRDefault="004D69BF" w:rsidP="004D69BF">
      <w:pPr>
        <w:tabs>
          <w:tab w:val="left" w:pos="0"/>
          <w:tab w:val="left" w:pos="720"/>
          <w:tab w:val="left" w:pos="1440"/>
          <w:tab w:val="left" w:pos="2160"/>
          <w:tab w:val="left" w:pos="2880"/>
          <w:tab w:val="left" w:pos="3600"/>
          <w:tab w:val="left" w:pos="4320"/>
        </w:tabs>
        <w:adjustRightInd w:val="0"/>
        <w:spacing w:before="120" w:line="240" w:lineRule="auto"/>
        <w:rPr>
          <w:rFonts w:cs="Times New Roman"/>
          <w:b/>
          <w:iCs/>
          <w:sz w:val="24"/>
          <w:szCs w:val="24"/>
        </w:rPr>
      </w:pPr>
      <w:r w:rsidRPr="00500379">
        <w:rPr>
          <w:rFonts w:cs="Times New Roman"/>
          <w:b/>
          <w:iCs/>
          <w:sz w:val="24"/>
          <w:szCs w:val="24"/>
        </w:rPr>
        <w:t>Rezerva na mzdy a poistné</w:t>
      </w:r>
    </w:p>
    <w:p w14:paraId="360A7E7B" w14:textId="49E30FE8" w:rsidR="004D69BF" w:rsidRPr="005E1FF1" w:rsidRDefault="004D69BF" w:rsidP="004D69BF">
      <w:pPr>
        <w:spacing w:line="240" w:lineRule="auto"/>
        <w:rPr>
          <w:sz w:val="24"/>
          <w:szCs w:val="24"/>
        </w:rPr>
      </w:pPr>
      <w:r w:rsidRPr="005E1FF1">
        <w:rPr>
          <w:sz w:val="24"/>
          <w:szCs w:val="24"/>
        </w:rPr>
        <w:t>Rezerva na mzdy a poistné b</w:t>
      </w:r>
      <w:r w:rsidR="0078224A">
        <w:rPr>
          <w:sz w:val="24"/>
          <w:szCs w:val="24"/>
        </w:rPr>
        <w:t>ola rozpočtovaná v sume 175 424 </w:t>
      </w:r>
      <w:r w:rsidRPr="005E1FF1">
        <w:rPr>
          <w:sz w:val="24"/>
          <w:szCs w:val="24"/>
        </w:rPr>
        <w:t>tis.</w:t>
      </w:r>
      <w:r w:rsidR="0078224A">
        <w:rPr>
          <w:sz w:val="24"/>
          <w:szCs w:val="24"/>
        </w:rPr>
        <w:t> </w:t>
      </w:r>
      <w:r w:rsidRPr="005E1FF1">
        <w:rPr>
          <w:sz w:val="24"/>
          <w:szCs w:val="24"/>
        </w:rPr>
        <w:t>eur.</w:t>
      </w:r>
    </w:p>
    <w:p w14:paraId="4BA2F532" w14:textId="6EBAFEF3" w:rsidR="004D69BF" w:rsidRPr="00F111A7" w:rsidRDefault="004D69BF" w:rsidP="004D69BF">
      <w:pPr>
        <w:spacing w:line="240" w:lineRule="auto"/>
        <w:rPr>
          <w:rFonts w:eastAsia="Times New Roman" w:cs="Times New Roman"/>
          <w:lang w:eastAsia="cs-CZ"/>
        </w:rPr>
      </w:pPr>
      <w:r w:rsidRPr="005E1FF1">
        <w:rPr>
          <w:sz w:val="24"/>
          <w:szCs w:val="24"/>
        </w:rPr>
        <w:t>Z rezervy na mzdy a poistné boli jednotlivým kapitolám uvoľne</w:t>
      </w:r>
      <w:r w:rsidR="0078224A">
        <w:rPr>
          <w:sz w:val="24"/>
          <w:szCs w:val="24"/>
        </w:rPr>
        <w:t>né prostriedky v </w:t>
      </w:r>
      <w:r w:rsidRPr="005E1FF1">
        <w:rPr>
          <w:sz w:val="24"/>
          <w:szCs w:val="24"/>
        </w:rPr>
        <w:t>sume 137 890 tis.</w:t>
      </w:r>
      <w:r w:rsidR="0078224A">
        <w:rPr>
          <w:sz w:val="24"/>
          <w:szCs w:val="24"/>
        </w:rPr>
        <w:t> </w:t>
      </w:r>
      <w:r w:rsidRPr="005E1FF1">
        <w:rPr>
          <w:sz w:val="24"/>
          <w:szCs w:val="24"/>
        </w:rPr>
        <w:t xml:space="preserve">eur, najmä </w:t>
      </w:r>
      <w:r w:rsidR="0078224A">
        <w:rPr>
          <w:sz w:val="24"/>
          <w:szCs w:val="24"/>
        </w:rPr>
        <w:t>na krytie zvýšených odvodov o 1 </w:t>
      </w:r>
      <w:r w:rsidRPr="005E1FF1">
        <w:rPr>
          <w:sz w:val="24"/>
          <w:szCs w:val="24"/>
        </w:rPr>
        <w:t>% do</w:t>
      </w:r>
      <w:r w:rsidR="0078224A">
        <w:rPr>
          <w:sz w:val="24"/>
          <w:szCs w:val="24"/>
        </w:rPr>
        <w:t> </w:t>
      </w:r>
      <w:r w:rsidRPr="005E1FF1">
        <w:rPr>
          <w:sz w:val="24"/>
          <w:szCs w:val="24"/>
        </w:rPr>
        <w:t>zdravotných poisťovní za zamestnávateľa, na vyplatenie rodičovských d</w:t>
      </w:r>
      <w:r w:rsidR="0078224A">
        <w:rPr>
          <w:sz w:val="24"/>
          <w:szCs w:val="24"/>
        </w:rPr>
        <w:t>ôchodkov v súlade so zákonom č. </w:t>
      </w:r>
      <w:r w:rsidRPr="005E1FF1">
        <w:rPr>
          <w:sz w:val="24"/>
          <w:szCs w:val="24"/>
        </w:rPr>
        <w:t>210/2023</w:t>
      </w:r>
      <w:r w:rsidR="0078224A">
        <w:rPr>
          <w:sz w:val="24"/>
          <w:szCs w:val="24"/>
        </w:rPr>
        <w:t> </w:t>
      </w:r>
      <w:r w:rsidRPr="005E1FF1">
        <w:rPr>
          <w:sz w:val="24"/>
          <w:szCs w:val="24"/>
        </w:rPr>
        <w:t>Z.</w:t>
      </w:r>
      <w:r w:rsidR="0078224A">
        <w:rPr>
          <w:sz w:val="24"/>
          <w:szCs w:val="24"/>
        </w:rPr>
        <w:t> </w:t>
      </w:r>
      <w:r w:rsidRPr="005E1FF1">
        <w:rPr>
          <w:sz w:val="24"/>
          <w:szCs w:val="24"/>
        </w:rPr>
        <w:t>z., k</w:t>
      </w:r>
      <w:r w:rsidR="0078224A">
        <w:rPr>
          <w:sz w:val="24"/>
          <w:szCs w:val="24"/>
        </w:rPr>
        <w:t>torým sa mení a dopĺňa zákon č. 461/2003 Z. </w:t>
      </w:r>
      <w:r w:rsidRPr="005E1FF1">
        <w:rPr>
          <w:sz w:val="24"/>
          <w:szCs w:val="24"/>
        </w:rPr>
        <w:t>z. o sociálnom poistení v znení neskorších predpisov, úpravu platov ústavných činiteľov, sudcov, prokurátorov a verejných činiteľov, na personálne posilnenie existujúcich útvarov ministerstiev, na zabezpečenie zákonných nárokov a na odchodné a odstupné zamestnancov vyplývajúce zo všeobecne záväzných právnych predpisov</w:t>
      </w:r>
      <w:r w:rsidRPr="00F111A7">
        <w:rPr>
          <w:rFonts w:eastAsia="Times New Roman" w:cs="Times New Roman"/>
          <w:lang w:eastAsia="cs-CZ"/>
        </w:rPr>
        <w:t>.</w:t>
      </w:r>
    </w:p>
    <w:p w14:paraId="45A56810" w14:textId="77777777" w:rsidR="004D69BF" w:rsidRPr="00FB0CC7" w:rsidRDefault="004D69BF" w:rsidP="004D69BF">
      <w:pPr>
        <w:spacing w:before="240" w:line="240" w:lineRule="auto"/>
        <w:rPr>
          <w:rFonts w:cs="Times New Roman"/>
          <w:b/>
          <w:iCs/>
          <w:sz w:val="24"/>
          <w:szCs w:val="24"/>
        </w:rPr>
      </w:pPr>
      <w:r w:rsidRPr="00FB0CC7">
        <w:rPr>
          <w:rFonts w:cs="Times New Roman"/>
          <w:b/>
          <w:iCs/>
          <w:sz w:val="24"/>
          <w:szCs w:val="24"/>
        </w:rPr>
        <w:lastRenderedPageBreak/>
        <w:t>Rezerva na kompenzačné opatrenia súvisiace s rastom cien energií</w:t>
      </w:r>
    </w:p>
    <w:p w14:paraId="7596130A" w14:textId="43531E07" w:rsidR="004D69BF" w:rsidRPr="00F111A7" w:rsidRDefault="004D69BF" w:rsidP="004D69BF">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lang w:eastAsia="cs-CZ"/>
        </w:rPr>
      </w:pPr>
      <w:r w:rsidRPr="00F111A7">
        <w:rPr>
          <w:rFonts w:eastAsia="Times New Roman" w:cs="Times New Roman"/>
          <w:lang w:eastAsia="cs-CZ"/>
        </w:rPr>
        <w:t xml:space="preserve">Rezerva na </w:t>
      </w:r>
      <w:r w:rsidRPr="005E1FF1">
        <w:rPr>
          <w:sz w:val="24"/>
          <w:szCs w:val="24"/>
        </w:rPr>
        <w:t>kompenzačné opatrenia súvisiace s rastom cien energií</w:t>
      </w:r>
      <w:r w:rsidR="0078224A">
        <w:rPr>
          <w:sz w:val="24"/>
          <w:szCs w:val="24"/>
        </w:rPr>
        <w:t xml:space="preserve"> sa rozpočtovala v sume 800 000 </w:t>
      </w:r>
      <w:r w:rsidRPr="005E1FF1">
        <w:rPr>
          <w:sz w:val="24"/>
          <w:szCs w:val="24"/>
        </w:rPr>
        <w:t>tis.</w:t>
      </w:r>
      <w:r w:rsidR="0078224A">
        <w:rPr>
          <w:sz w:val="24"/>
          <w:szCs w:val="24"/>
        </w:rPr>
        <w:t> </w:t>
      </w:r>
      <w:r w:rsidRPr="005E1FF1">
        <w:rPr>
          <w:sz w:val="24"/>
          <w:szCs w:val="24"/>
        </w:rPr>
        <w:t>eur a uvoľnila sa v</w:t>
      </w:r>
      <w:r w:rsidRPr="00F111A7">
        <w:rPr>
          <w:rFonts w:eastAsia="Times New Roman" w:cs="Times New Roman"/>
          <w:lang w:eastAsia="cs-CZ"/>
        </w:rPr>
        <w:t> plnej výške kapitole MH SR.</w:t>
      </w:r>
    </w:p>
    <w:p w14:paraId="19654FAF" w14:textId="3545E7C7" w:rsidR="004D69BF" w:rsidRPr="00DC6E50" w:rsidRDefault="004D69BF" w:rsidP="004D69BF">
      <w:pPr>
        <w:spacing w:line="240" w:lineRule="auto"/>
        <w:rPr>
          <w:b/>
          <w:i/>
        </w:rPr>
      </w:pPr>
      <w:r w:rsidRPr="00433CC6">
        <w:rPr>
          <w:b/>
          <w:i/>
        </w:rPr>
        <w:t>Bližší popis prehľadu čerpania rezerv štátneho rozpočtu je uvedený v tabuľkovej prílohe, v</w:t>
      </w:r>
      <w:r w:rsidR="0078224A">
        <w:rPr>
          <w:b/>
          <w:i/>
        </w:rPr>
        <w:t> </w:t>
      </w:r>
      <w:r w:rsidRPr="00433CC6">
        <w:rPr>
          <w:b/>
          <w:i/>
        </w:rPr>
        <w:t>tabuľkách č. 33 až 36.</w:t>
      </w:r>
    </w:p>
    <w:p w14:paraId="7010386C" w14:textId="77777777" w:rsidR="004D69BF" w:rsidRPr="00093F2B" w:rsidRDefault="004D69BF" w:rsidP="00922722">
      <w:pPr>
        <w:pStyle w:val="Nadpis2"/>
        <w:ind w:left="567" w:hanging="567"/>
      </w:pPr>
      <w:bookmarkStart w:id="134" w:name="_Toc6415651"/>
      <w:bookmarkStart w:id="135" w:name="_Toc196314140"/>
      <w:r w:rsidRPr="00093F2B">
        <w:t>Štátne finančné aktíva</w:t>
      </w:r>
      <w:bookmarkEnd w:id="134"/>
      <w:bookmarkEnd w:id="135"/>
    </w:p>
    <w:p w14:paraId="395172E8" w14:textId="49BF98E5" w:rsidR="004D69BF" w:rsidRDefault="004D69BF" w:rsidP="004D69BF">
      <w:pPr>
        <w:spacing w:line="240" w:lineRule="auto"/>
        <w:rPr>
          <w:sz w:val="24"/>
          <w:szCs w:val="24"/>
        </w:rPr>
      </w:pPr>
      <w:r w:rsidRPr="00D715AF">
        <w:rPr>
          <w:sz w:val="24"/>
          <w:szCs w:val="24"/>
        </w:rPr>
        <w:t>Štátne finančné aktíva (ŠFA) rovnako ako aj štátne finančné pasíva</w:t>
      </w:r>
      <w:r w:rsidRPr="00D715AF">
        <w:rPr>
          <w:rStyle w:val="Odkaznapoznmkupodiarou"/>
          <w:sz w:val="24"/>
          <w:szCs w:val="24"/>
        </w:rPr>
        <w:footnoteReference w:id="31"/>
      </w:r>
      <w:r w:rsidRPr="00D715AF">
        <w:rPr>
          <w:sz w:val="24"/>
          <w:szCs w:val="24"/>
        </w:rPr>
        <w:t xml:space="preserve"> sú súčasťou návrhu štátneho rozpočtu verejnej správy na príslušný rok. Finančné operácie so štátnymi finančnými aktívami a</w:t>
      </w:r>
      <w:r w:rsidR="0078224A">
        <w:rPr>
          <w:sz w:val="24"/>
          <w:szCs w:val="24"/>
        </w:rPr>
        <w:t> </w:t>
      </w:r>
      <w:r w:rsidRPr="00D715AF">
        <w:rPr>
          <w:sz w:val="24"/>
          <w:szCs w:val="24"/>
        </w:rPr>
        <w:t>iné operácie, ktoré ovplyvňujú stav štátnych finančných aktív, nie sú súčasťou príjmov štátneho rozpočtu a výdavkov štátneho rozpočtu. Správu štátnych finančných aktív vykonáva Ministerstvo financií SR, v rozsahu zá</w:t>
      </w:r>
      <w:r>
        <w:rPr>
          <w:sz w:val="24"/>
          <w:szCs w:val="24"/>
        </w:rPr>
        <w:t xml:space="preserve">kona o rozpočtových pravidlách, </w:t>
      </w:r>
      <w:r w:rsidRPr="00D715AF">
        <w:rPr>
          <w:sz w:val="24"/>
          <w:szCs w:val="24"/>
        </w:rPr>
        <w:t>pričom na</w:t>
      </w:r>
      <w:r w:rsidR="0078224A">
        <w:rPr>
          <w:sz w:val="24"/>
          <w:szCs w:val="24"/>
        </w:rPr>
        <w:t> </w:t>
      </w:r>
      <w:r w:rsidRPr="00D715AF">
        <w:rPr>
          <w:sz w:val="24"/>
          <w:szCs w:val="24"/>
        </w:rPr>
        <w:t>niektoré transakcie sa vyžaduje súhlas</w:t>
      </w:r>
      <w:r>
        <w:rPr>
          <w:sz w:val="24"/>
          <w:szCs w:val="24"/>
        </w:rPr>
        <w:t xml:space="preserve"> vlády a na niektoré aj súhlas N</w:t>
      </w:r>
      <w:r w:rsidRPr="00D715AF">
        <w:rPr>
          <w:sz w:val="24"/>
          <w:szCs w:val="24"/>
        </w:rPr>
        <w:t>árodnej rady SR</w:t>
      </w:r>
      <w:r w:rsidRPr="00D715AF">
        <w:rPr>
          <w:rStyle w:val="Odkaznapoznmkupodiarou"/>
          <w:sz w:val="24"/>
          <w:szCs w:val="24"/>
        </w:rPr>
        <w:footnoteReference w:id="32"/>
      </w:r>
      <w:r w:rsidRPr="00D715AF">
        <w:rPr>
          <w:sz w:val="24"/>
          <w:szCs w:val="24"/>
        </w:rPr>
        <w:t>.</w:t>
      </w:r>
    </w:p>
    <w:p w14:paraId="04B208E0" w14:textId="77777777" w:rsidR="004D69BF" w:rsidRPr="00D715AF" w:rsidRDefault="004D69BF" w:rsidP="004D69BF">
      <w:pPr>
        <w:spacing w:before="120" w:after="0" w:line="240" w:lineRule="auto"/>
        <w:contextualSpacing/>
        <w:rPr>
          <w:sz w:val="24"/>
          <w:szCs w:val="24"/>
        </w:rPr>
      </w:pPr>
      <w:r w:rsidRPr="00D715AF">
        <w:rPr>
          <w:sz w:val="24"/>
          <w:szCs w:val="24"/>
        </w:rPr>
        <w:t>Podľa zákona o rozpočtových pravidlách štátnymi finančnými aktívami</w:t>
      </w:r>
      <w:r w:rsidRPr="002B42D8">
        <w:rPr>
          <w:sz w:val="24"/>
          <w:szCs w:val="24"/>
        </w:rPr>
        <w:t xml:space="preserve"> </w:t>
      </w:r>
      <w:r w:rsidRPr="00D715AF">
        <w:rPr>
          <w:sz w:val="24"/>
          <w:szCs w:val="24"/>
        </w:rPr>
        <w:t>sú:</w:t>
      </w:r>
    </w:p>
    <w:p w14:paraId="3D0B1DA4" w14:textId="77777777" w:rsidR="004D69BF" w:rsidRPr="00D715AF" w:rsidRDefault="004D69BF" w:rsidP="004D69BF">
      <w:pPr>
        <w:pStyle w:val="Odsekzoznamu"/>
        <w:numPr>
          <w:ilvl w:val="0"/>
          <w:numId w:val="9"/>
        </w:numPr>
        <w:tabs>
          <w:tab w:val="left" w:pos="284"/>
        </w:tabs>
        <w:spacing w:after="120"/>
        <w:ind w:left="284" w:hanging="284"/>
        <w:jc w:val="both"/>
        <w:rPr>
          <w:rFonts w:ascii="Times New Roman" w:hAnsi="Times New Roman"/>
          <w:sz w:val="24"/>
          <w:szCs w:val="24"/>
        </w:rPr>
      </w:pPr>
      <w:r w:rsidRPr="00D715AF">
        <w:rPr>
          <w:rFonts w:ascii="Times New Roman" w:hAnsi="Times New Roman"/>
          <w:sz w:val="24"/>
          <w:szCs w:val="24"/>
        </w:rPr>
        <w:t>peňažné prostriedky štátu vytvorené z výsledkov rozpočtového hospodárenia štátneho rozpočtu z minulých rokov,</w:t>
      </w:r>
    </w:p>
    <w:p w14:paraId="6E7CF31E" w14:textId="77777777" w:rsidR="004D69BF" w:rsidRPr="00D715AF" w:rsidRDefault="004D69BF" w:rsidP="004D69BF">
      <w:pPr>
        <w:pStyle w:val="Odsekzoznamu"/>
        <w:numPr>
          <w:ilvl w:val="0"/>
          <w:numId w:val="9"/>
        </w:numPr>
        <w:tabs>
          <w:tab w:val="left" w:pos="284"/>
        </w:tabs>
        <w:spacing w:after="120"/>
        <w:ind w:left="284" w:hanging="284"/>
        <w:jc w:val="both"/>
        <w:rPr>
          <w:rFonts w:ascii="Times New Roman" w:hAnsi="Times New Roman"/>
          <w:sz w:val="24"/>
          <w:szCs w:val="24"/>
        </w:rPr>
      </w:pPr>
      <w:r w:rsidRPr="00D715AF">
        <w:rPr>
          <w:rFonts w:ascii="Times New Roman" w:hAnsi="Times New Roman"/>
          <w:sz w:val="24"/>
          <w:szCs w:val="24"/>
        </w:rPr>
        <w:t xml:space="preserve">peňažné prostriedky štátu zo splácania istín poskytnutých návratných výpomocí, úverov </w:t>
      </w:r>
      <w:r>
        <w:rPr>
          <w:rFonts w:ascii="Times New Roman" w:hAnsi="Times New Roman"/>
          <w:sz w:val="24"/>
          <w:szCs w:val="24"/>
        </w:rPr>
        <w:t>a </w:t>
      </w:r>
      <w:r w:rsidRPr="00D715AF">
        <w:rPr>
          <w:rFonts w:ascii="Times New Roman" w:hAnsi="Times New Roman"/>
          <w:sz w:val="24"/>
          <w:szCs w:val="24"/>
        </w:rPr>
        <w:t>pôžičiek,</w:t>
      </w:r>
    </w:p>
    <w:p w14:paraId="4A87BE3C" w14:textId="50BEF872" w:rsidR="004D69BF" w:rsidRPr="00D715AF" w:rsidRDefault="004D69BF" w:rsidP="004D69BF">
      <w:pPr>
        <w:pStyle w:val="Odsekzoznamu"/>
        <w:numPr>
          <w:ilvl w:val="0"/>
          <w:numId w:val="9"/>
        </w:numPr>
        <w:tabs>
          <w:tab w:val="left" w:pos="284"/>
        </w:tabs>
        <w:spacing w:after="120"/>
        <w:ind w:left="284" w:hanging="284"/>
        <w:jc w:val="both"/>
        <w:rPr>
          <w:rFonts w:ascii="Times New Roman" w:hAnsi="Times New Roman"/>
          <w:sz w:val="24"/>
          <w:szCs w:val="24"/>
        </w:rPr>
      </w:pPr>
      <w:r w:rsidRPr="00D715AF">
        <w:rPr>
          <w:rFonts w:ascii="Times New Roman" w:hAnsi="Times New Roman"/>
          <w:sz w:val="24"/>
          <w:szCs w:val="24"/>
        </w:rPr>
        <w:t>peňažné prostriedky v pokladnici a na bežných účtoch štátnych rozpočtových organizácií a štátnych príspevkových organizácií a odvod za porušeni</w:t>
      </w:r>
      <w:r w:rsidR="00922722">
        <w:rPr>
          <w:rFonts w:ascii="Times New Roman" w:hAnsi="Times New Roman"/>
          <w:sz w:val="24"/>
          <w:szCs w:val="24"/>
        </w:rPr>
        <w:t>e finančnej disciplíny pri </w:t>
      </w:r>
      <w:r w:rsidRPr="00D715AF">
        <w:rPr>
          <w:rFonts w:ascii="Times New Roman" w:hAnsi="Times New Roman"/>
          <w:sz w:val="24"/>
          <w:szCs w:val="24"/>
        </w:rPr>
        <w:t>nakladaní so štátnymi finančnými aktívami,</w:t>
      </w:r>
    </w:p>
    <w:p w14:paraId="5499D2D8" w14:textId="77777777" w:rsidR="004D69BF" w:rsidRPr="00D715AF" w:rsidRDefault="004D69BF" w:rsidP="004D69BF">
      <w:pPr>
        <w:pStyle w:val="Odsekzoznamu"/>
        <w:numPr>
          <w:ilvl w:val="0"/>
          <w:numId w:val="9"/>
        </w:numPr>
        <w:tabs>
          <w:tab w:val="left" w:pos="284"/>
        </w:tabs>
        <w:spacing w:after="120"/>
        <w:ind w:left="0" w:firstLine="0"/>
        <w:jc w:val="both"/>
        <w:rPr>
          <w:rFonts w:ascii="Times New Roman" w:hAnsi="Times New Roman"/>
          <w:sz w:val="24"/>
          <w:szCs w:val="24"/>
        </w:rPr>
      </w:pPr>
      <w:r w:rsidRPr="00D715AF">
        <w:rPr>
          <w:rFonts w:ascii="Times New Roman" w:hAnsi="Times New Roman"/>
          <w:sz w:val="24"/>
          <w:szCs w:val="24"/>
        </w:rPr>
        <w:t>pohľadávky štátu z poskytnutých návratných finančných výpomocí, úverov a pôžičiek,</w:t>
      </w:r>
    </w:p>
    <w:p w14:paraId="2C3A9A83" w14:textId="77777777" w:rsidR="004D69BF" w:rsidRPr="00D715AF" w:rsidRDefault="004D69BF" w:rsidP="004D69BF">
      <w:pPr>
        <w:pStyle w:val="Odsekzoznamu"/>
        <w:numPr>
          <w:ilvl w:val="0"/>
          <w:numId w:val="9"/>
        </w:numPr>
        <w:tabs>
          <w:tab w:val="left" w:pos="284"/>
        </w:tabs>
        <w:spacing w:after="120"/>
        <w:ind w:left="0" w:firstLine="0"/>
        <w:jc w:val="both"/>
        <w:rPr>
          <w:rFonts w:ascii="Times New Roman" w:hAnsi="Times New Roman"/>
          <w:sz w:val="24"/>
          <w:szCs w:val="24"/>
        </w:rPr>
      </w:pPr>
      <w:r w:rsidRPr="00D715AF">
        <w:rPr>
          <w:rFonts w:ascii="Times New Roman" w:hAnsi="Times New Roman"/>
          <w:sz w:val="24"/>
          <w:szCs w:val="24"/>
        </w:rPr>
        <w:t>cenné papiere vo vlastníctve štátu,</w:t>
      </w:r>
    </w:p>
    <w:p w14:paraId="5F465899" w14:textId="77777777" w:rsidR="004D69BF" w:rsidRPr="00D715AF" w:rsidRDefault="004D69BF" w:rsidP="004D69BF">
      <w:pPr>
        <w:pStyle w:val="Odsekzoznamu"/>
        <w:numPr>
          <w:ilvl w:val="0"/>
          <w:numId w:val="9"/>
        </w:numPr>
        <w:tabs>
          <w:tab w:val="left" w:pos="284"/>
        </w:tabs>
        <w:spacing w:after="120"/>
        <w:ind w:left="0" w:firstLine="0"/>
        <w:jc w:val="both"/>
        <w:rPr>
          <w:rFonts w:ascii="Times New Roman" w:hAnsi="Times New Roman"/>
          <w:sz w:val="24"/>
          <w:szCs w:val="24"/>
        </w:rPr>
      </w:pPr>
      <w:r w:rsidRPr="00D715AF">
        <w:rPr>
          <w:rFonts w:ascii="Times New Roman" w:hAnsi="Times New Roman"/>
          <w:sz w:val="24"/>
          <w:szCs w:val="24"/>
        </w:rPr>
        <w:t>majetkové účasti štátu,</w:t>
      </w:r>
    </w:p>
    <w:p w14:paraId="28C1CA96" w14:textId="77777777" w:rsidR="004D69BF" w:rsidRPr="00D715AF" w:rsidRDefault="004D69BF" w:rsidP="004D69BF">
      <w:pPr>
        <w:pStyle w:val="Odsekzoznamu"/>
        <w:numPr>
          <w:ilvl w:val="0"/>
          <w:numId w:val="9"/>
        </w:numPr>
        <w:tabs>
          <w:tab w:val="left" w:pos="284"/>
        </w:tabs>
        <w:spacing w:after="120"/>
        <w:ind w:left="0" w:firstLine="0"/>
        <w:jc w:val="both"/>
        <w:rPr>
          <w:rFonts w:ascii="Times New Roman" w:hAnsi="Times New Roman"/>
          <w:sz w:val="24"/>
          <w:szCs w:val="24"/>
        </w:rPr>
      </w:pPr>
      <w:r w:rsidRPr="00D715AF">
        <w:rPr>
          <w:rFonts w:ascii="Times New Roman" w:hAnsi="Times New Roman"/>
          <w:sz w:val="24"/>
          <w:szCs w:val="24"/>
        </w:rPr>
        <w:t>ďalšie peňažné prostriedky na základe rozhodnutia vlády alebo národnej rady.</w:t>
      </w:r>
    </w:p>
    <w:p w14:paraId="7BBDF502" w14:textId="66C364EB" w:rsidR="00FE302E" w:rsidRDefault="004D69BF" w:rsidP="004D69BF">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rPr>
          <w:sz w:val="24"/>
          <w:szCs w:val="24"/>
        </w:rPr>
      </w:pPr>
      <w:r w:rsidRPr="00D715AF">
        <w:rPr>
          <w:sz w:val="24"/>
          <w:szCs w:val="24"/>
        </w:rPr>
        <w:t>Prostriedky ŠFA sú vedené na samostatných (bežných) účtoch v Štátnej pokladnici a</w:t>
      </w:r>
      <w:r w:rsidR="00922722">
        <w:rPr>
          <w:sz w:val="24"/>
          <w:szCs w:val="24"/>
        </w:rPr>
        <w:t> </w:t>
      </w:r>
      <w:r w:rsidRPr="00D715AF">
        <w:rPr>
          <w:sz w:val="24"/>
          <w:szCs w:val="24"/>
        </w:rPr>
        <w:t xml:space="preserve">ich zostatok prechádza vždy do nasledujúceho rozpočtového roka. </w:t>
      </w:r>
    </w:p>
    <w:p w14:paraId="2D85B0A3" w14:textId="196967C0" w:rsidR="004D69BF" w:rsidRDefault="004D69BF" w:rsidP="004D69BF">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rPr>
          <w:sz w:val="24"/>
          <w:szCs w:val="24"/>
        </w:rPr>
      </w:pPr>
      <w:r>
        <w:rPr>
          <w:sz w:val="24"/>
          <w:szCs w:val="24"/>
        </w:rPr>
        <w:t>Väčšina operácií so ŠFA sú v hotovostnej forme klasifikované ako finančné operácie, avšak v</w:t>
      </w:r>
      <w:r w:rsidR="0078224A">
        <w:rPr>
          <w:sz w:val="24"/>
          <w:szCs w:val="24"/>
        </w:rPr>
        <w:t> metodike ESA často dochádza ku </w:t>
      </w:r>
      <w:r>
        <w:rPr>
          <w:sz w:val="24"/>
          <w:szCs w:val="24"/>
        </w:rPr>
        <w:t>klasifikovaniu príjmov alebo výdavkov ŠFA ovplyvňujúcich výsledné saldo verejnej správy v metodike ESA. Napríklad niektoré výdavkové finančné operácie sú zaznamenané ako kapitálové transfery (výdavky), ide o vklady do základného imania štátnych obchodných spoločnosti alebo odpustenie v minulosti poskytnutých NFV subjektom verejnej správy. Medzi príjmové finančné operácie patria hlavne splátky z poskytnutých NFV.</w:t>
      </w:r>
    </w:p>
    <w:p w14:paraId="7CD63660" w14:textId="02DCCC24" w:rsidR="004D69BF" w:rsidRPr="00967E69" w:rsidRDefault="004D69BF" w:rsidP="004D69BF">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rPr>
          <w:iCs/>
          <w:sz w:val="24"/>
          <w:szCs w:val="24"/>
        </w:rPr>
      </w:pPr>
      <w:r w:rsidRPr="00967E69">
        <w:rPr>
          <w:iCs/>
          <w:sz w:val="24"/>
          <w:szCs w:val="24"/>
        </w:rPr>
        <w:t>Od 1.</w:t>
      </w:r>
      <w:r w:rsidR="0078224A">
        <w:rPr>
          <w:iCs/>
          <w:sz w:val="24"/>
          <w:szCs w:val="24"/>
        </w:rPr>
        <w:t> </w:t>
      </w:r>
      <w:r w:rsidRPr="00967E69">
        <w:rPr>
          <w:iCs/>
          <w:sz w:val="24"/>
          <w:szCs w:val="24"/>
        </w:rPr>
        <w:t>januára</w:t>
      </w:r>
      <w:r>
        <w:rPr>
          <w:iCs/>
          <w:sz w:val="24"/>
          <w:szCs w:val="24"/>
        </w:rPr>
        <w:t xml:space="preserve"> 2024 nie sú súčasťou samostatného účtu ŠFA prostriedky z odvodu z podnikania v regulov</w:t>
      </w:r>
      <w:r w:rsidR="0078224A">
        <w:rPr>
          <w:iCs/>
          <w:sz w:val="24"/>
          <w:szCs w:val="24"/>
        </w:rPr>
        <w:t>aných odvetviach, platené po 1. </w:t>
      </w:r>
      <w:r>
        <w:rPr>
          <w:iCs/>
          <w:sz w:val="24"/>
          <w:szCs w:val="24"/>
        </w:rPr>
        <w:t>januári 2024 za rozpočtové obdobie týkajúce sa roku 2024. Posledné platby z tohto odvodu do ŠFA predstavovali platby za december 2023 prijaté na</w:t>
      </w:r>
      <w:r w:rsidR="0078224A">
        <w:rPr>
          <w:iCs/>
          <w:sz w:val="24"/>
          <w:szCs w:val="24"/>
        </w:rPr>
        <w:t> </w:t>
      </w:r>
      <w:r>
        <w:rPr>
          <w:iCs/>
          <w:sz w:val="24"/>
          <w:szCs w:val="24"/>
        </w:rPr>
        <w:t>účet ŠFA v januári 2024. Následné platby z odvodu boli už súčasťou rozpočtových príjmov kapitoly Všeobecná pokladničná správa (prostredníctvom výberu cez FR SR).</w:t>
      </w:r>
    </w:p>
    <w:p w14:paraId="40F106EC" w14:textId="11DA9D5B" w:rsidR="004D69BF" w:rsidRDefault="004D69BF" w:rsidP="004D69BF">
      <w:pPr>
        <w:spacing w:before="120" w:line="240" w:lineRule="auto"/>
        <w:rPr>
          <w:sz w:val="24"/>
          <w:szCs w:val="24"/>
        </w:rPr>
      </w:pPr>
      <w:r w:rsidRPr="00D715AF">
        <w:rPr>
          <w:sz w:val="24"/>
          <w:szCs w:val="24"/>
        </w:rPr>
        <w:lastRenderedPageBreak/>
        <w:t xml:space="preserve">Nasledovný prehľad </w:t>
      </w:r>
      <w:r>
        <w:rPr>
          <w:sz w:val="24"/>
          <w:szCs w:val="24"/>
        </w:rPr>
        <w:t xml:space="preserve">účtov </w:t>
      </w:r>
      <w:r w:rsidRPr="00D715AF">
        <w:rPr>
          <w:sz w:val="24"/>
          <w:szCs w:val="24"/>
        </w:rPr>
        <w:t>ŠFA abstrahuje od účt</w:t>
      </w:r>
      <w:r w:rsidR="00922722">
        <w:rPr>
          <w:sz w:val="24"/>
          <w:szCs w:val="24"/>
        </w:rPr>
        <w:t>ov, ktoré slúžia na operácie so </w:t>
      </w:r>
      <w:r w:rsidRPr="00D715AF">
        <w:rPr>
          <w:sz w:val="24"/>
          <w:szCs w:val="24"/>
        </w:rPr>
        <w:t xml:space="preserve">štátnym dlhom. </w:t>
      </w:r>
      <w:r>
        <w:rPr>
          <w:sz w:val="24"/>
          <w:szCs w:val="24"/>
        </w:rPr>
        <w:t xml:space="preserve">Prehľad sa zameriava na pohyby ŠFA a ich disponibilné zostatky podľa jednotlivých účtov v kombinácii s plánom </w:t>
      </w:r>
      <w:r w:rsidRPr="00D715AF">
        <w:rPr>
          <w:sz w:val="24"/>
          <w:szCs w:val="24"/>
        </w:rPr>
        <w:t>plnenia</w:t>
      </w:r>
      <w:r>
        <w:rPr>
          <w:sz w:val="24"/>
          <w:szCs w:val="24"/>
        </w:rPr>
        <w:t xml:space="preserve"> a čerpania </w:t>
      </w:r>
      <w:r w:rsidRPr="00D715AF">
        <w:rPr>
          <w:sz w:val="24"/>
          <w:szCs w:val="24"/>
        </w:rPr>
        <w:t xml:space="preserve">ŠFA </w:t>
      </w:r>
      <w:r>
        <w:rPr>
          <w:sz w:val="24"/>
          <w:szCs w:val="24"/>
        </w:rPr>
        <w:t>podľa jednotlivých transakcií uvedených v</w:t>
      </w:r>
      <w:r w:rsidR="0078224A">
        <w:rPr>
          <w:sz w:val="24"/>
          <w:szCs w:val="24"/>
        </w:rPr>
        <w:t> </w:t>
      </w:r>
      <w:r w:rsidRPr="00D715AF">
        <w:rPr>
          <w:sz w:val="24"/>
          <w:szCs w:val="24"/>
        </w:rPr>
        <w:t>návrh</w:t>
      </w:r>
      <w:r>
        <w:rPr>
          <w:sz w:val="24"/>
          <w:szCs w:val="24"/>
        </w:rPr>
        <w:t>u</w:t>
      </w:r>
      <w:r w:rsidRPr="00D715AF">
        <w:rPr>
          <w:sz w:val="24"/>
          <w:szCs w:val="24"/>
        </w:rPr>
        <w:t xml:space="preserve"> rozpočtu verejnej správy na rok 202</w:t>
      </w:r>
      <w:r>
        <w:rPr>
          <w:sz w:val="24"/>
          <w:szCs w:val="24"/>
        </w:rPr>
        <w:t>4</w:t>
      </w:r>
      <w:r w:rsidR="0078224A">
        <w:rPr>
          <w:sz w:val="24"/>
          <w:szCs w:val="24"/>
        </w:rPr>
        <w:t>.</w:t>
      </w:r>
    </w:p>
    <w:p w14:paraId="72A3BDA5" w14:textId="6B1622B4" w:rsidR="006875C3" w:rsidRPr="006875C3" w:rsidRDefault="006875C3" w:rsidP="00587214">
      <w:pPr>
        <w:pStyle w:val="Popis"/>
        <w:keepNext/>
        <w:spacing w:after="120"/>
        <w:rPr>
          <w:rFonts w:eastAsia="Times New Roman" w:cs="Times New Roman"/>
          <w:b/>
          <w:bCs/>
          <w:i w:val="0"/>
          <w:iCs w:val="0"/>
          <w:color w:val="5B9BD5"/>
          <w:sz w:val="20"/>
          <w:szCs w:val="20"/>
          <w:lang w:eastAsia="sk-SK"/>
        </w:rPr>
      </w:pPr>
      <w:bookmarkStart w:id="136" w:name="_Toc196313663"/>
      <w:bookmarkStart w:id="137" w:name="_Toc196389284"/>
      <w:r w:rsidRPr="006875C3">
        <w:rPr>
          <w:rFonts w:eastAsia="Times New Roman" w:cs="Times New Roman"/>
          <w:b/>
          <w:bCs/>
          <w:i w:val="0"/>
          <w:iCs w:val="0"/>
          <w:color w:val="5B9BD5"/>
          <w:sz w:val="20"/>
          <w:szCs w:val="20"/>
          <w:lang w:eastAsia="sk-SK"/>
        </w:rPr>
        <w:t xml:space="preserve">Tabuľka </w:t>
      </w:r>
      <w:r w:rsidRPr="006875C3">
        <w:rPr>
          <w:rFonts w:eastAsia="Times New Roman" w:cs="Times New Roman"/>
          <w:b/>
          <w:bCs/>
          <w:i w:val="0"/>
          <w:iCs w:val="0"/>
          <w:color w:val="5B9BD5"/>
          <w:sz w:val="20"/>
          <w:szCs w:val="20"/>
          <w:lang w:eastAsia="sk-SK"/>
        </w:rPr>
        <w:fldChar w:fldCharType="begin"/>
      </w:r>
      <w:r w:rsidRPr="006875C3">
        <w:rPr>
          <w:rFonts w:eastAsia="Times New Roman" w:cs="Times New Roman"/>
          <w:b/>
          <w:bCs/>
          <w:i w:val="0"/>
          <w:iCs w:val="0"/>
          <w:color w:val="5B9BD5"/>
          <w:sz w:val="20"/>
          <w:szCs w:val="20"/>
          <w:lang w:eastAsia="sk-SK"/>
        </w:rPr>
        <w:instrText xml:space="preserve"> SEQ Tabuľka \* ARABIC </w:instrText>
      </w:r>
      <w:r w:rsidRPr="006875C3">
        <w:rPr>
          <w:rFonts w:eastAsia="Times New Roman" w:cs="Times New Roman"/>
          <w:b/>
          <w:bCs/>
          <w:i w:val="0"/>
          <w:iCs w:val="0"/>
          <w:color w:val="5B9BD5"/>
          <w:sz w:val="20"/>
          <w:szCs w:val="20"/>
          <w:lang w:eastAsia="sk-SK"/>
        </w:rPr>
        <w:fldChar w:fldCharType="separate"/>
      </w:r>
      <w:r w:rsidR="00C64CBA">
        <w:rPr>
          <w:rFonts w:eastAsia="Times New Roman" w:cs="Times New Roman"/>
          <w:b/>
          <w:bCs/>
          <w:i w:val="0"/>
          <w:iCs w:val="0"/>
          <w:noProof/>
          <w:color w:val="5B9BD5"/>
          <w:sz w:val="20"/>
          <w:szCs w:val="20"/>
          <w:lang w:eastAsia="sk-SK"/>
        </w:rPr>
        <w:t>37</w:t>
      </w:r>
      <w:r w:rsidRPr="006875C3">
        <w:rPr>
          <w:rFonts w:eastAsia="Times New Roman" w:cs="Times New Roman"/>
          <w:b/>
          <w:bCs/>
          <w:i w:val="0"/>
          <w:iCs w:val="0"/>
          <w:color w:val="5B9BD5"/>
          <w:sz w:val="20"/>
          <w:szCs w:val="20"/>
          <w:lang w:eastAsia="sk-SK"/>
        </w:rPr>
        <w:fldChar w:fldCharType="end"/>
      </w:r>
      <w:r w:rsidRPr="006875C3">
        <w:rPr>
          <w:rFonts w:eastAsia="Times New Roman" w:cs="Times New Roman"/>
          <w:b/>
          <w:bCs/>
          <w:i w:val="0"/>
          <w:iCs w:val="0"/>
          <w:color w:val="5B9BD5"/>
          <w:sz w:val="20"/>
          <w:szCs w:val="20"/>
          <w:lang w:eastAsia="sk-SK"/>
        </w:rPr>
        <w:t xml:space="preserve"> - Pohyb na vybraných účtoch štátnych finančných aktív</w:t>
      </w:r>
      <w:bookmarkEnd w:id="136"/>
      <w:bookmarkEnd w:id="137"/>
    </w:p>
    <w:tbl>
      <w:tblPr>
        <w:tblW w:w="5000" w:type="pct"/>
        <w:tblCellMar>
          <w:left w:w="70" w:type="dxa"/>
          <w:right w:w="70" w:type="dxa"/>
        </w:tblCellMar>
        <w:tblLook w:val="04A0" w:firstRow="1" w:lastRow="0" w:firstColumn="1" w:lastColumn="0" w:noHBand="0" w:noVBand="1"/>
      </w:tblPr>
      <w:tblGrid>
        <w:gridCol w:w="5272"/>
        <w:gridCol w:w="972"/>
        <w:gridCol w:w="1300"/>
        <w:gridCol w:w="1386"/>
      </w:tblGrid>
      <w:tr w:rsidR="004D69BF" w:rsidRPr="00D0395E" w14:paraId="24E5E034" w14:textId="77777777" w:rsidTr="001D2C2C">
        <w:trPr>
          <w:trHeight w:val="345"/>
          <w:tblHeader/>
        </w:trPr>
        <w:tc>
          <w:tcPr>
            <w:tcW w:w="2952" w:type="pct"/>
            <w:tcBorders>
              <w:top w:val="single" w:sz="4" w:space="0" w:color="auto"/>
              <w:left w:val="nil"/>
              <w:bottom w:val="single" w:sz="4" w:space="0" w:color="auto"/>
              <w:right w:val="nil"/>
            </w:tcBorders>
            <w:shd w:val="clear" w:color="auto" w:fill="auto"/>
            <w:noWrap/>
            <w:vAlign w:val="center"/>
            <w:hideMark/>
          </w:tcPr>
          <w:p w14:paraId="26BCBAB3" w14:textId="77777777" w:rsidR="004D69BF" w:rsidRPr="00D0395E" w:rsidRDefault="004D69BF" w:rsidP="000240DA">
            <w:pPr>
              <w:spacing w:after="0"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v tis. eur</w:t>
            </w:r>
          </w:p>
        </w:tc>
        <w:tc>
          <w:tcPr>
            <w:tcW w:w="544" w:type="pct"/>
            <w:tcBorders>
              <w:top w:val="single" w:sz="4" w:space="0" w:color="auto"/>
              <w:left w:val="nil"/>
              <w:bottom w:val="single" w:sz="4" w:space="0" w:color="auto"/>
              <w:right w:val="nil"/>
            </w:tcBorders>
            <w:shd w:val="clear" w:color="auto" w:fill="auto"/>
            <w:noWrap/>
            <w:vAlign w:val="center"/>
            <w:hideMark/>
          </w:tcPr>
          <w:p w14:paraId="31532B03"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2022 S</w:t>
            </w:r>
          </w:p>
        </w:tc>
        <w:tc>
          <w:tcPr>
            <w:tcW w:w="728" w:type="pct"/>
            <w:tcBorders>
              <w:top w:val="single" w:sz="4" w:space="0" w:color="auto"/>
              <w:left w:val="nil"/>
              <w:bottom w:val="single" w:sz="4" w:space="0" w:color="auto"/>
              <w:right w:val="nil"/>
            </w:tcBorders>
            <w:shd w:val="clear" w:color="auto" w:fill="auto"/>
            <w:noWrap/>
            <w:vAlign w:val="center"/>
            <w:hideMark/>
          </w:tcPr>
          <w:p w14:paraId="5EA5DE97"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2023 S</w:t>
            </w:r>
          </w:p>
        </w:tc>
        <w:tc>
          <w:tcPr>
            <w:tcW w:w="776" w:type="pct"/>
            <w:tcBorders>
              <w:top w:val="single" w:sz="4" w:space="0" w:color="auto"/>
              <w:left w:val="nil"/>
              <w:bottom w:val="single" w:sz="4" w:space="0" w:color="auto"/>
              <w:right w:val="nil"/>
            </w:tcBorders>
            <w:shd w:val="clear" w:color="auto" w:fill="auto"/>
            <w:noWrap/>
            <w:vAlign w:val="center"/>
            <w:hideMark/>
          </w:tcPr>
          <w:p w14:paraId="1C593228"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2024 S</w:t>
            </w:r>
          </w:p>
        </w:tc>
      </w:tr>
      <w:tr w:rsidR="004D69BF" w:rsidRPr="00D0395E" w14:paraId="3574BD9E" w14:textId="77777777" w:rsidTr="001D2C2C">
        <w:trPr>
          <w:trHeight w:val="345"/>
        </w:trPr>
        <w:tc>
          <w:tcPr>
            <w:tcW w:w="2952" w:type="pct"/>
            <w:tcBorders>
              <w:top w:val="single" w:sz="4" w:space="0" w:color="auto"/>
              <w:left w:val="nil"/>
              <w:bottom w:val="single" w:sz="4" w:space="0" w:color="auto"/>
              <w:right w:val="nil"/>
            </w:tcBorders>
            <w:shd w:val="clear" w:color="auto" w:fill="auto"/>
            <w:noWrap/>
            <w:vAlign w:val="center"/>
            <w:hideMark/>
          </w:tcPr>
          <w:p w14:paraId="21D70329" w14:textId="77777777" w:rsidR="004D69BF" w:rsidRPr="00D0395E" w:rsidRDefault="004D69BF" w:rsidP="000240DA">
            <w:pPr>
              <w:spacing w:after="0"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Stav k 1.1.</w:t>
            </w:r>
          </w:p>
        </w:tc>
        <w:tc>
          <w:tcPr>
            <w:tcW w:w="544" w:type="pct"/>
            <w:tcBorders>
              <w:top w:val="single" w:sz="4" w:space="0" w:color="auto"/>
              <w:left w:val="nil"/>
              <w:bottom w:val="single" w:sz="4" w:space="0" w:color="auto"/>
              <w:right w:val="nil"/>
            </w:tcBorders>
            <w:shd w:val="clear" w:color="auto" w:fill="auto"/>
            <w:noWrap/>
            <w:vAlign w:val="center"/>
            <w:hideMark/>
          </w:tcPr>
          <w:p w14:paraId="50A0EE52"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3 419 084</w:t>
            </w:r>
          </w:p>
        </w:tc>
        <w:tc>
          <w:tcPr>
            <w:tcW w:w="728" w:type="pct"/>
            <w:tcBorders>
              <w:top w:val="single" w:sz="4" w:space="0" w:color="auto"/>
              <w:left w:val="nil"/>
              <w:bottom w:val="single" w:sz="4" w:space="0" w:color="auto"/>
              <w:right w:val="nil"/>
            </w:tcBorders>
            <w:shd w:val="clear" w:color="auto" w:fill="auto"/>
            <w:noWrap/>
            <w:vAlign w:val="center"/>
            <w:hideMark/>
          </w:tcPr>
          <w:p w14:paraId="48E3A2FE"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3 196 933</w:t>
            </w:r>
          </w:p>
        </w:tc>
        <w:tc>
          <w:tcPr>
            <w:tcW w:w="776" w:type="pct"/>
            <w:tcBorders>
              <w:top w:val="single" w:sz="4" w:space="0" w:color="auto"/>
              <w:left w:val="nil"/>
              <w:bottom w:val="single" w:sz="4" w:space="0" w:color="auto"/>
              <w:right w:val="nil"/>
            </w:tcBorders>
            <w:shd w:val="clear" w:color="auto" w:fill="auto"/>
            <w:noWrap/>
            <w:vAlign w:val="center"/>
            <w:hideMark/>
          </w:tcPr>
          <w:p w14:paraId="5FF0D6FE"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3 041 203</w:t>
            </w:r>
          </w:p>
        </w:tc>
      </w:tr>
      <w:tr w:rsidR="004D69BF" w:rsidRPr="00D0395E" w14:paraId="512BE600" w14:textId="77777777" w:rsidTr="001D2C2C">
        <w:trPr>
          <w:trHeight w:val="289"/>
        </w:trPr>
        <w:tc>
          <w:tcPr>
            <w:tcW w:w="2952" w:type="pct"/>
            <w:tcBorders>
              <w:top w:val="single" w:sz="4" w:space="0" w:color="auto"/>
              <w:left w:val="nil"/>
              <w:bottom w:val="nil"/>
              <w:right w:val="nil"/>
            </w:tcBorders>
            <w:shd w:val="clear" w:color="auto" w:fill="auto"/>
            <w:noWrap/>
            <w:vAlign w:val="center"/>
            <w:hideMark/>
          </w:tcPr>
          <w:p w14:paraId="5A9B2D17" w14:textId="77777777" w:rsidR="004D69BF" w:rsidRPr="00D0395E" w:rsidRDefault="004D69BF" w:rsidP="000240DA">
            <w:pPr>
              <w:spacing w:after="0"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Príjmy - zvýšenie na účtoch ŠFA</w:t>
            </w:r>
          </w:p>
        </w:tc>
        <w:tc>
          <w:tcPr>
            <w:tcW w:w="544" w:type="pct"/>
            <w:tcBorders>
              <w:top w:val="single" w:sz="4" w:space="0" w:color="auto"/>
              <w:left w:val="nil"/>
              <w:bottom w:val="nil"/>
              <w:right w:val="nil"/>
            </w:tcBorders>
            <w:shd w:val="clear" w:color="auto" w:fill="auto"/>
            <w:noWrap/>
            <w:vAlign w:val="center"/>
            <w:hideMark/>
          </w:tcPr>
          <w:p w14:paraId="0E1DAB44"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1 056 782</w:t>
            </w:r>
          </w:p>
        </w:tc>
        <w:tc>
          <w:tcPr>
            <w:tcW w:w="728" w:type="pct"/>
            <w:tcBorders>
              <w:top w:val="single" w:sz="4" w:space="0" w:color="auto"/>
              <w:left w:val="nil"/>
              <w:bottom w:val="nil"/>
              <w:right w:val="nil"/>
            </w:tcBorders>
            <w:shd w:val="clear" w:color="auto" w:fill="auto"/>
            <w:noWrap/>
            <w:vAlign w:val="center"/>
            <w:hideMark/>
          </w:tcPr>
          <w:p w14:paraId="2340165D"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167 155</w:t>
            </w:r>
          </w:p>
        </w:tc>
        <w:tc>
          <w:tcPr>
            <w:tcW w:w="776" w:type="pct"/>
            <w:tcBorders>
              <w:top w:val="single" w:sz="4" w:space="0" w:color="auto"/>
              <w:left w:val="nil"/>
              <w:bottom w:val="nil"/>
              <w:right w:val="nil"/>
            </w:tcBorders>
            <w:shd w:val="clear" w:color="auto" w:fill="auto"/>
            <w:noWrap/>
            <w:vAlign w:val="center"/>
            <w:hideMark/>
          </w:tcPr>
          <w:p w14:paraId="6CA6AC46"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132 333</w:t>
            </w:r>
          </w:p>
        </w:tc>
      </w:tr>
      <w:tr w:rsidR="004D69BF" w:rsidRPr="00D0395E" w14:paraId="0A7965DE" w14:textId="77777777" w:rsidTr="001D2C2C">
        <w:trPr>
          <w:trHeight w:val="289"/>
        </w:trPr>
        <w:tc>
          <w:tcPr>
            <w:tcW w:w="2952" w:type="pct"/>
            <w:tcBorders>
              <w:top w:val="nil"/>
              <w:left w:val="nil"/>
              <w:bottom w:val="nil"/>
              <w:right w:val="nil"/>
            </w:tcBorders>
            <w:shd w:val="clear" w:color="auto" w:fill="auto"/>
            <w:noWrap/>
            <w:vAlign w:val="center"/>
            <w:hideMark/>
          </w:tcPr>
          <w:p w14:paraId="1C236F7C"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z toho:</w:t>
            </w:r>
          </w:p>
        </w:tc>
        <w:tc>
          <w:tcPr>
            <w:tcW w:w="544" w:type="pct"/>
            <w:tcBorders>
              <w:top w:val="nil"/>
              <w:left w:val="nil"/>
              <w:bottom w:val="nil"/>
              <w:right w:val="nil"/>
            </w:tcBorders>
            <w:shd w:val="clear" w:color="auto" w:fill="auto"/>
            <w:noWrap/>
            <w:vAlign w:val="center"/>
            <w:hideMark/>
          </w:tcPr>
          <w:p w14:paraId="1678A797" w14:textId="77777777" w:rsidR="004D69BF" w:rsidRPr="00D0395E" w:rsidRDefault="004D69BF" w:rsidP="000240DA">
            <w:pPr>
              <w:spacing w:after="0" w:line="240" w:lineRule="auto"/>
              <w:rPr>
                <w:rFonts w:eastAsia="Times New Roman" w:cs="Times New Roman"/>
                <w:color w:val="000000"/>
                <w:sz w:val="18"/>
                <w:szCs w:val="18"/>
                <w:lang w:eastAsia="sk-SK"/>
              </w:rPr>
            </w:pPr>
          </w:p>
        </w:tc>
        <w:tc>
          <w:tcPr>
            <w:tcW w:w="728" w:type="pct"/>
            <w:tcBorders>
              <w:top w:val="nil"/>
              <w:left w:val="nil"/>
              <w:bottom w:val="nil"/>
              <w:right w:val="nil"/>
            </w:tcBorders>
            <w:shd w:val="clear" w:color="auto" w:fill="auto"/>
            <w:noWrap/>
            <w:vAlign w:val="center"/>
            <w:hideMark/>
          </w:tcPr>
          <w:p w14:paraId="2DC20088" w14:textId="77777777" w:rsidR="004D69BF" w:rsidRPr="00D0395E" w:rsidRDefault="004D69BF" w:rsidP="000240DA">
            <w:pPr>
              <w:spacing w:after="0" w:line="240" w:lineRule="auto"/>
              <w:jc w:val="right"/>
              <w:rPr>
                <w:rFonts w:eastAsia="Times New Roman" w:cs="Times New Roman"/>
                <w:sz w:val="18"/>
                <w:szCs w:val="18"/>
                <w:lang w:eastAsia="sk-SK"/>
              </w:rPr>
            </w:pPr>
          </w:p>
        </w:tc>
        <w:tc>
          <w:tcPr>
            <w:tcW w:w="776" w:type="pct"/>
            <w:tcBorders>
              <w:top w:val="nil"/>
              <w:left w:val="nil"/>
              <w:bottom w:val="nil"/>
              <w:right w:val="nil"/>
            </w:tcBorders>
            <w:shd w:val="clear" w:color="auto" w:fill="auto"/>
            <w:noWrap/>
            <w:vAlign w:val="center"/>
            <w:hideMark/>
          </w:tcPr>
          <w:p w14:paraId="069B2F7C" w14:textId="77777777" w:rsidR="004D69BF" w:rsidRPr="00D0395E" w:rsidRDefault="004D69BF" w:rsidP="000240DA">
            <w:pPr>
              <w:spacing w:after="0" w:line="240" w:lineRule="auto"/>
              <w:jc w:val="right"/>
              <w:rPr>
                <w:rFonts w:eastAsia="Times New Roman" w:cs="Times New Roman"/>
                <w:sz w:val="18"/>
                <w:szCs w:val="18"/>
                <w:lang w:eastAsia="sk-SK"/>
              </w:rPr>
            </w:pPr>
          </w:p>
        </w:tc>
      </w:tr>
      <w:tr w:rsidR="004D69BF" w:rsidRPr="00D0395E" w14:paraId="5F669E80" w14:textId="77777777" w:rsidTr="001D2C2C">
        <w:trPr>
          <w:trHeight w:val="289"/>
        </w:trPr>
        <w:tc>
          <w:tcPr>
            <w:tcW w:w="2952" w:type="pct"/>
            <w:tcBorders>
              <w:top w:val="nil"/>
              <w:left w:val="nil"/>
              <w:bottom w:val="nil"/>
              <w:right w:val="nil"/>
            </w:tcBorders>
            <w:shd w:val="clear" w:color="auto" w:fill="auto"/>
            <w:noWrap/>
            <w:vAlign w:val="center"/>
            <w:hideMark/>
          </w:tcPr>
          <w:p w14:paraId="6E45A381" w14:textId="75B044B5"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účelové prostriedky z FNM/MH Manažment, a.</w:t>
            </w:r>
            <w:r w:rsidR="00A41CC0" w:rsidRPr="00D0395E">
              <w:rPr>
                <w:rFonts w:eastAsia="Times New Roman" w:cs="Times New Roman"/>
                <w:color w:val="000000"/>
                <w:sz w:val="18"/>
                <w:szCs w:val="18"/>
                <w:lang w:eastAsia="sk-SK"/>
              </w:rPr>
              <w:t> </w:t>
            </w:r>
            <w:r w:rsidRPr="00D0395E">
              <w:rPr>
                <w:rFonts w:eastAsia="Times New Roman" w:cs="Times New Roman"/>
                <w:color w:val="000000"/>
                <w:sz w:val="18"/>
                <w:szCs w:val="18"/>
                <w:lang w:eastAsia="sk-SK"/>
              </w:rPr>
              <w:t>s.</w:t>
            </w:r>
          </w:p>
        </w:tc>
        <w:tc>
          <w:tcPr>
            <w:tcW w:w="544" w:type="pct"/>
            <w:tcBorders>
              <w:top w:val="nil"/>
              <w:left w:val="nil"/>
              <w:bottom w:val="nil"/>
              <w:right w:val="nil"/>
            </w:tcBorders>
            <w:shd w:val="clear" w:color="auto" w:fill="auto"/>
            <w:noWrap/>
            <w:vAlign w:val="center"/>
            <w:hideMark/>
          </w:tcPr>
          <w:p w14:paraId="009E6C00"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414 925</w:t>
            </w:r>
          </w:p>
        </w:tc>
        <w:tc>
          <w:tcPr>
            <w:tcW w:w="728" w:type="pct"/>
            <w:tcBorders>
              <w:top w:val="nil"/>
              <w:left w:val="nil"/>
              <w:bottom w:val="nil"/>
              <w:right w:val="nil"/>
            </w:tcBorders>
            <w:shd w:val="clear" w:color="auto" w:fill="auto"/>
            <w:noWrap/>
            <w:vAlign w:val="center"/>
            <w:hideMark/>
          </w:tcPr>
          <w:p w14:paraId="58A1F146"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1 571</w:t>
            </w:r>
          </w:p>
        </w:tc>
        <w:tc>
          <w:tcPr>
            <w:tcW w:w="776" w:type="pct"/>
            <w:tcBorders>
              <w:top w:val="nil"/>
              <w:left w:val="nil"/>
              <w:bottom w:val="nil"/>
              <w:right w:val="nil"/>
            </w:tcBorders>
            <w:shd w:val="clear" w:color="auto" w:fill="auto"/>
            <w:noWrap/>
            <w:vAlign w:val="center"/>
            <w:hideMark/>
          </w:tcPr>
          <w:p w14:paraId="57B1E9E3"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34 711</w:t>
            </w:r>
          </w:p>
        </w:tc>
      </w:tr>
      <w:tr w:rsidR="004D69BF" w:rsidRPr="00D0395E" w14:paraId="2DB5AB41" w14:textId="77777777" w:rsidTr="001D2C2C">
        <w:trPr>
          <w:trHeight w:val="289"/>
        </w:trPr>
        <w:tc>
          <w:tcPr>
            <w:tcW w:w="2952" w:type="pct"/>
            <w:tcBorders>
              <w:top w:val="nil"/>
              <w:left w:val="nil"/>
              <w:bottom w:val="nil"/>
              <w:right w:val="nil"/>
            </w:tcBorders>
            <w:shd w:val="clear" w:color="auto" w:fill="auto"/>
            <w:noWrap/>
            <w:vAlign w:val="center"/>
            <w:hideMark/>
          </w:tcPr>
          <w:p w14:paraId="7EDB8A0F"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návratné finančné výpomoci</w:t>
            </w:r>
          </w:p>
        </w:tc>
        <w:tc>
          <w:tcPr>
            <w:tcW w:w="544" w:type="pct"/>
            <w:tcBorders>
              <w:top w:val="nil"/>
              <w:left w:val="nil"/>
              <w:bottom w:val="nil"/>
              <w:right w:val="nil"/>
            </w:tcBorders>
            <w:shd w:val="clear" w:color="auto" w:fill="auto"/>
            <w:noWrap/>
            <w:vAlign w:val="center"/>
            <w:hideMark/>
          </w:tcPr>
          <w:p w14:paraId="474C616D"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550 112</w:t>
            </w:r>
          </w:p>
        </w:tc>
        <w:tc>
          <w:tcPr>
            <w:tcW w:w="728" w:type="pct"/>
            <w:tcBorders>
              <w:top w:val="nil"/>
              <w:left w:val="nil"/>
              <w:bottom w:val="nil"/>
              <w:right w:val="nil"/>
            </w:tcBorders>
            <w:shd w:val="clear" w:color="auto" w:fill="auto"/>
            <w:noWrap/>
            <w:vAlign w:val="center"/>
            <w:hideMark/>
          </w:tcPr>
          <w:p w14:paraId="584275B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58 430</w:t>
            </w:r>
          </w:p>
        </w:tc>
        <w:tc>
          <w:tcPr>
            <w:tcW w:w="776" w:type="pct"/>
            <w:tcBorders>
              <w:top w:val="nil"/>
              <w:left w:val="nil"/>
              <w:bottom w:val="nil"/>
              <w:right w:val="nil"/>
            </w:tcBorders>
            <w:shd w:val="clear" w:color="auto" w:fill="auto"/>
            <w:noWrap/>
            <w:vAlign w:val="center"/>
            <w:hideMark/>
          </w:tcPr>
          <w:p w14:paraId="08AB4654"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88 844</w:t>
            </w:r>
          </w:p>
        </w:tc>
      </w:tr>
      <w:tr w:rsidR="004D69BF" w:rsidRPr="00D0395E" w14:paraId="1A716510" w14:textId="77777777" w:rsidTr="001D2C2C">
        <w:trPr>
          <w:trHeight w:val="289"/>
        </w:trPr>
        <w:tc>
          <w:tcPr>
            <w:tcW w:w="2952" w:type="pct"/>
            <w:tcBorders>
              <w:top w:val="nil"/>
              <w:left w:val="nil"/>
              <w:bottom w:val="nil"/>
              <w:right w:val="nil"/>
            </w:tcBorders>
            <w:shd w:val="clear" w:color="auto" w:fill="auto"/>
            <w:noWrap/>
            <w:vAlign w:val="center"/>
            <w:hideMark/>
          </w:tcPr>
          <w:p w14:paraId="2D77B2EF"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osobitný odvod finančných inštitúcií</w:t>
            </w:r>
          </w:p>
        </w:tc>
        <w:tc>
          <w:tcPr>
            <w:tcW w:w="544" w:type="pct"/>
            <w:tcBorders>
              <w:top w:val="nil"/>
              <w:left w:val="nil"/>
              <w:bottom w:val="nil"/>
              <w:right w:val="nil"/>
            </w:tcBorders>
            <w:shd w:val="clear" w:color="auto" w:fill="auto"/>
            <w:noWrap/>
            <w:vAlign w:val="center"/>
            <w:hideMark/>
          </w:tcPr>
          <w:p w14:paraId="641837E4"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0</w:t>
            </w:r>
          </w:p>
        </w:tc>
        <w:tc>
          <w:tcPr>
            <w:tcW w:w="728" w:type="pct"/>
            <w:tcBorders>
              <w:top w:val="nil"/>
              <w:left w:val="nil"/>
              <w:bottom w:val="nil"/>
              <w:right w:val="nil"/>
            </w:tcBorders>
            <w:shd w:val="clear" w:color="auto" w:fill="auto"/>
            <w:noWrap/>
            <w:vAlign w:val="center"/>
            <w:hideMark/>
          </w:tcPr>
          <w:p w14:paraId="10250118"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0</w:t>
            </w:r>
          </w:p>
        </w:tc>
        <w:tc>
          <w:tcPr>
            <w:tcW w:w="776" w:type="pct"/>
            <w:tcBorders>
              <w:top w:val="nil"/>
              <w:left w:val="nil"/>
              <w:bottom w:val="nil"/>
              <w:right w:val="nil"/>
            </w:tcBorders>
            <w:shd w:val="clear" w:color="auto" w:fill="auto"/>
            <w:noWrap/>
            <w:vAlign w:val="center"/>
            <w:hideMark/>
          </w:tcPr>
          <w:p w14:paraId="76A7B25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0</w:t>
            </w:r>
          </w:p>
        </w:tc>
      </w:tr>
      <w:tr w:rsidR="004D69BF" w:rsidRPr="00D0395E" w14:paraId="6288D7F7" w14:textId="77777777" w:rsidTr="001D2C2C">
        <w:trPr>
          <w:trHeight w:val="289"/>
        </w:trPr>
        <w:tc>
          <w:tcPr>
            <w:tcW w:w="2952" w:type="pct"/>
            <w:tcBorders>
              <w:top w:val="nil"/>
              <w:left w:val="nil"/>
              <w:bottom w:val="nil"/>
              <w:right w:val="nil"/>
            </w:tcBorders>
            <w:shd w:val="clear" w:color="auto" w:fill="auto"/>
            <w:noWrap/>
            <w:vAlign w:val="center"/>
            <w:hideMark/>
          </w:tcPr>
          <w:p w14:paraId="0B3EC5CC"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osobitný odvod z podnikania v regulovaných odvetviach</w:t>
            </w:r>
          </w:p>
        </w:tc>
        <w:tc>
          <w:tcPr>
            <w:tcW w:w="544" w:type="pct"/>
            <w:tcBorders>
              <w:top w:val="nil"/>
              <w:left w:val="nil"/>
              <w:bottom w:val="nil"/>
              <w:right w:val="nil"/>
            </w:tcBorders>
            <w:shd w:val="clear" w:color="auto" w:fill="auto"/>
            <w:noWrap/>
            <w:vAlign w:val="center"/>
            <w:hideMark/>
          </w:tcPr>
          <w:p w14:paraId="0236D251"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91 465</w:t>
            </w:r>
          </w:p>
        </w:tc>
        <w:tc>
          <w:tcPr>
            <w:tcW w:w="728" w:type="pct"/>
            <w:tcBorders>
              <w:top w:val="nil"/>
              <w:left w:val="nil"/>
              <w:bottom w:val="nil"/>
              <w:right w:val="nil"/>
            </w:tcBorders>
            <w:shd w:val="clear" w:color="auto" w:fill="auto"/>
            <w:noWrap/>
            <w:vAlign w:val="center"/>
            <w:hideMark/>
          </w:tcPr>
          <w:p w14:paraId="0C2F318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105 552</w:t>
            </w:r>
          </w:p>
        </w:tc>
        <w:tc>
          <w:tcPr>
            <w:tcW w:w="776" w:type="pct"/>
            <w:tcBorders>
              <w:top w:val="nil"/>
              <w:left w:val="nil"/>
              <w:bottom w:val="nil"/>
              <w:right w:val="nil"/>
            </w:tcBorders>
            <w:shd w:val="clear" w:color="auto" w:fill="auto"/>
            <w:noWrap/>
            <w:vAlign w:val="center"/>
            <w:hideMark/>
          </w:tcPr>
          <w:p w14:paraId="098C32E3"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6 990</w:t>
            </w:r>
          </w:p>
        </w:tc>
      </w:tr>
      <w:tr w:rsidR="004D69BF" w:rsidRPr="00D0395E" w14:paraId="690C1C39" w14:textId="77777777" w:rsidTr="001D2C2C">
        <w:trPr>
          <w:trHeight w:val="289"/>
        </w:trPr>
        <w:tc>
          <w:tcPr>
            <w:tcW w:w="2952" w:type="pct"/>
            <w:tcBorders>
              <w:top w:val="nil"/>
              <w:left w:val="nil"/>
              <w:bottom w:val="nil"/>
              <w:right w:val="nil"/>
            </w:tcBorders>
            <w:shd w:val="clear" w:color="auto" w:fill="auto"/>
            <w:noWrap/>
            <w:vAlign w:val="center"/>
            <w:hideMark/>
          </w:tcPr>
          <w:p w14:paraId="36D20171"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anonymné vklady</w:t>
            </w:r>
          </w:p>
        </w:tc>
        <w:tc>
          <w:tcPr>
            <w:tcW w:w="544" w:type="pct"/>
            <w:tcBorders>
              <w:top w:val="nil"/>
              <w:left w:val="nil"/>
              <w:bottom w:val="nil"/>
              <w:right w:val="nil"/>
            </w:tcBorders>
            <w:shd w:val="clear" w:color="auto" w:fill="auto"/>
            <w:noWrap/>
            <w:vAlign w:val="center"/>
            <w:hideMark/>
          </w:tcPr>
          <w:p w14:paraId="318E0F6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63</w:t>
            </w:r>
          </w:p>
        </w:tc>
        <w:tc>
          <w:tcPr>
            <w:tcW w:w="728" w:type="pct"/>
            <w:tcBorders>
              <w:top w:val="nil"/>
              <w:left w:val="nil"/>
              <w:bottom w:val="nil"/>
              <w:right w:val="nil"/>
            </w:tcBorders>
            <w:shd w:val="clear" w:color="auto" w:fill="auto"/>
            <w:noWrap/>
            <w:vAlign w:val="center"/>
            <w:hideMark/>
          </w:tcPr>
          <w:p w14:paraId="31F2144D"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47</w:t>
            </w:r>
          </w:p>
        </w:tc>
        <w:tc>
          <w:tcPr>
            <w:tcW w:w="776" w:type="pct"/>
            <w:tcBorders>
              <w:top w:val="nil"/>
              <w:left w:val="nil"/>
              <w:bottom w:val="nil"/>
              <w:right w:val="nil"/>
            </w:tcBorders>
            <w:shd w:val="clear" w:color="auto" w:fill="auto"/>
            <w:noWrap/>
            <w:vAlign w:val="center"/>
            <w:hideMark/>
          </w:tcPr>
          <w:p w14:paraId="2F0189B1"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102</w:t>
            </w:r>
          </w:p>
        </w:tc>
      </w:tr>
      <w:tr w:rsidR="004D69BF" w:rsidRPr="00D0395E" w14:paraId="43D28D56" w14:textId="77777777" w:rsidTr="001D2C2C">
        <w:trPr>
          <w:trHeight w:val="289"/>
        </w:trPr>
        <w:tc>
          <w:tcPr>
            <w:tcW w:w="2952" w:type="pct"/>
            <w:tcBorders>
              <w:top w:val="nil"/>
              <w:left w:val="nil"/>
              <w:bottom w:val="nil"/>
              <w:right w:val="nil"/>
            </w:tcBorders>
            <w:shd w:val="clear" w:color="auto" w:fill="auto"/>
            <w:noWrap/>
            <w:vAlign w:val="center"/>
            <w:hideMark/>
          </w:tcPr>
          <w:p w14:paraId="10A39725"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ostatné</w:t>
            </w:r>
          </w:p>
        </w:tc>
        <w:tc>
          <w:tcPr>
            <w:tcW w:w="544" w:type="pct"/>
            <w:tcBorders>
              <w:top w:val="nil"/>
              <w:left w:val="nil"/>
              <w:bottom w:val="nil"/>
              <w:right w:val="nil"/>
            </w:tcBorders>
            <w:shd w:val="clear" w:color="auto" w:fill="auto"/>
            <w:noWrap/>
            <w:vAlign w:val="center"/>
            <w:hideMark/>
          </w:tcPr>
          <w:p w14:paraId="6EEA1126"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216</w:t>
            </w:r>
          </w:p>
        </w:tc>
        <w:tc>
          <w:tcPr>
            <w:tcW w:w="728" w:type="pct"/>
            <w:tcBorders>
              <w:top w:val="nil"/>
              <w:left w:val="nil"/>
              <w:bottom w:val="nil"/>
              <w:right w:val="nil"/>
            </w:tcBorders>
            <w:shd w:val="clear" w:color="auto" w:fill="auto"/>
            <w:noWrap/>
            <w:vAlign w:val="center"/>
            <w:hideMark/>
          </w:tcPr>
          <w:p w14:paraId="24A0CD2D"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1 555</w:t>
            </w:r>
          </w:p>
        </w:tc>
        <w:tc>
          <w:tcPr>
            <w:tcW w:w="776" w:type="pct"/>
            <w:tcBorders>
              <w:top w:val="nil"/>
              <w:left w:val="nil"/>
              <w:bottom w:val="nil"/>
              <w:right w:val="nil"/>
            </w:tcBorders>
            <w:shd w:val="clear" w:color="auto" w:fill="auto"/>
            <w:noWrap/>
            <w:vAlign w:val="center"/>
            <w:hideMark/>
          </w:tcPr>
          <w:p w14:paraId="47EC0041"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1 686</w:t>
            </w:r>
          </w:p>
        </w:tc>
      </w:tr>
      <w:tr w:rsidR="004D69BF" w:rsidRPr="00D0395E" w14:paraId="6202E6CE" w14:textId="77777777" w:rsidTr="001D2C2C">
        <w:trPr>
          <w:trHeight w:val="289"/>
        </w:trPr>
        <w:tc>
          <w:tcPr>
            <w:tcW w:w="2952" w:type="pct"/>
            <w:tcBorders>
              <w:top w:val="nil"/>
              <w:left w:val="nil"/>
              <w:bottom w:val="nil"/>
              <w:right w:val="nil"/>
            </w:tcBorders>
            <w:shd w:val="clear" w:color="auto" w:fill="auto"/>
            <w:noWrap/>
            <w:vAlign w:val="center"/>
            <w:hideMark/>
          </w:tcPr>
          <w:p w14:paraId="7F850045" w14:textId="77777777" w:rsidR="004D69BF" w:rsidRPr="00D0395E" w:rsidRDefault="004D69BF" w:rsidP="000240DA">
            <w:pPr>
              <w:spacing w:after="0"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Výdavky - zníženie na účtoch ŠFA</w:t>
            </w:r>
          </w:p>
        </w:tc>
        <w:tc>
          <w:tcPr>
            <w:tcW w:w="544" w:type="pct"/>
            <w:tcBorders>
              <w:top w:val="nil"/>
              <w:left w:val="nil"/>
              <w:bottom w:val="nil"/>
              <w:right w:val="nil"/>
            </w:tcBorders>
            <w:shd w:val="clear" w:color="auto" w:fill="auto"/>
            <w:noWrap/>
            <w:vAlign w:val="center"/>
            <w:hideMark/>
          </w:tcPr>
          <w:p w14:paraId="2C6843B7"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1 278 933</w:t>
            </w:r>
          </w:p>
        </w:tc>
        <w:tc>
          <w:tcPr>
            <w:tcW w:w="728" w:type="pct"/>
            <w:tcBorders>
              <w:top w:val="nil"/>
              <w:left w:val="nil"/>
              <w:bottom w:val="nil"/>
              <w:right w:val="nil"/>
            </w:tcBorders>
            <w:shd w:val="clear" w:color="auto" w:fill="auto"/>
            <w:noWrap/>
            <w:vAlign w:val="center"/>
            <w:hideMark/>
          </w:tcPr>
          <w:p w14:paraId="36FA85A5"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322 885</w:t>
            </w:r>
          </w:p>
        </w:tc>
        <w:tc>
          <w:tcPr>
            <w:tcW w:w="776" w:type="pct"/>
            <w:tcBorders>
              <w:top w:val="nil"/>
              <w:left w:val="nil"/>
              <w:bottom w:val="nil"/>
              <w:right w:val="nil"/>
            </w:tcBorders>
            <w:shd w:val="clear" w:color="auto" w:fill="auto"/>
            <w:noWrap/>
            <w:vAlign w:val="center"/>
            <w:hideMark/>
          </w:tcPr>
          <w:p w14:paraId="43E5CD54"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636 438</w:t>
            </w:r>
          </w:p>
        </w:tc>
      </w:tr>
      <w:tr w:rsidR="004D69BF" w:rsidRPr="00D0395E" w14:paraId="56B1EF6E" w14:textId="77777777" w:rsidTr="001D2C2C">
        <w:trPr>
          <w:trHeight w:val="289"/>
        </w:trPr>
        <w:tc>
          <w:tcPr>
            <w:tcW w:w="2952" w:type="pct"/>
            <w:tcBorders>
              <w:top w:val="nil"/>
              <w:left w:val="nil"/>
              <w:bottom w:val="nil"/>
              <w:right w:val="nil"/>
            </w:tcBorders>
            <w:shd w:val="clear" w:color="auto" w:fill="auto"/>
            <w:noWrap/>
            <w:vAlign w:val="center"/>
            <w:hideMark/>
          </w:tcPr>
          <w:p w14:paraId="245D5E21"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z toho:</w:t>
            </w:r>
          </w:p>
        </w:tc>
        <w:tc>
          <w:tcPr>
            <w:tcW w:w="544" w:type="pct"/>
            <w:tcBorders>
              <w:top w:val="nil"/>
              <w:left w:val="nil"/>
              <w:bottom w:val="nil"/>
              <w:right w:val="nil"/>
            </w:tcBorders>
            <w:shd w:val="clear" w:color="auto" w:fill="auto"/>
            <w:noWrap/>
            <w:vAlign w:val="center"/>
            <w:hideMark/>
          </w:tcPr>
          <w:p w14:paraId="2CF0E40B" w14:textId="77777777" w:rsidR="004D69BF" w:rsidRPr="00D0395E" w:rsidRDefault="004D69BF" w:rsidP="000240DA">
            <w:pPr>
              <w:spacing w:after="0" w:line="240" w:lineRule="auto"/>
              <w:rPr>
                <w:rFonts w:eastAsia="Times New Roman" w:cs="Times New Roman"/>
                <w:color w:val="000000"/>
                <w:sz w:val="18"/>
                <w:szCs w:val="18"/>
                <w:lang w:eastAsia="sk-SK"/>
              </w:rPr>
            </w:pPr>
          </w:p>
        </w:tc>
        <w:tc>
          <w:tcPr>
            <w:tcW w:w="728" w:type="pct"/>
            <w:tcBorders>
              <w:top w:val="nil"/>
              <w:left w:val="nil"/>
              <w:bottom w:val="nil"/>
              <w:right w:val="nil"/>
            </w:tcBorders>
            <w:shd w:val="clear" w:color="auto" w:fill="auto"/>
            <w:noWrap/>
            <w:vAlign w:val="center"/>
            <w:hideMark/>
          </w:tcPr>
          <w:p w14:paraId="30693B7C" w14:textId="77777777" w:rsidR="004D69BF" w:rsidRPr="00D0395E" w:rsidRDefault="004D69BF" w:rsidP="000240DA">
            <w:pPr>
              <w:spacing w:after="0" w:line="240" w:lineRule="auto"/>
              <w:jc w:val="right"/>
              <w:rPr>
                <w:rFonts w:eastAsia="Times New Roman" w:cs="Times New Roman"/>
                <w:sz w:val="18"/>
                <w:szCs w:val="18"/>
                <w:lang w:eastAsia="sk-SK"/>
              </w:rPr>
            </w:pPr>
          </w:p>
        </w:tc>
        <w:tc>
          <w:tcPr>
            <w:tcW w:w="776" w:type="pct"/>
            <w:tcBorders>
              <w:top w:val="nil"/>
              <w:left w:val="nil"/>
              <w:bottom w:val="nil"/>
              <w:right w:val="nil"/>
            </w:tcBorders>
            <w:shd w:val="clear" w:color="auto" w:fill="auto"/>
            <w:noWrap/>
            <w:vAlign w:val="center"/>
            <w:hideMark/>
          </w:tcPr>
          <w:p w14:paraId="501BD472" w14:textId="77777777" w:rsidR="004D69BF" w:rsidRPr="00D0395E" w:rsidRDefault="004D69BF" w:rsidP="000240DA">
            <w:pPr>
              <w:spacing w:after="0" w:line="240" w:lineRule="auto"/>
              <w:jc w:val="right"/>
              <w:rPr>
                <w:rFonts w:eastAsia="Times New Roman" w:cs="Times New Roman"/>
                <w:sz w:val="18"/>
                <w:szCs w:val="18"/>
                <w:lang w:eastAsia="sk-SK"/>
              </w:rPr>
            </w:pPr>
          </w:p>
        </w:tc>
      </w:tr>
      <w:tr w:rsidR="004D69BF" w:rsidRPr="00D0395E" w14:paraId="3CFF0853" w14:textId="77777777" w:rsidTr="001D2C2C">
        <w:trPr>
          <w:trHeight w:val="289"/>
        </w:trPr>
        <w:tc>
          <w:tcPr>
            <w:tcW w:w="2952" w:type="pct"/>
            <w:tcBorders>
              <w:top w:val="nil"/>
              <w:left w:val="nil"/>
              <w:bottom w:val="nil"/>
              <w:right w:val="nil"/>
            </w:tcBorders>
            <w:shd w:val="clear" w:color="auto" w:fill="auto"/>
            <w:noWrap/>
            <w:vAlign w:val="center"/>
            <w:hideMark/>
          </w:tcPr>
          <w:p w14:paraId="033B3CE3" w14:textId="527B298A"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účelové prostriedky z FNM/ MH Manažment, a.</w:t>
            </w:r>
            <w:r w:rsidR="00A41CC0" w:rsidRPr="00D0395E">
              <w:rPr>
                <w:rFonts w:eastAsia="Times New Roman" w:cs="Times New Roman"/>
                <w:color w:val="000000"/>
                <w:sz w:val="18"/>
                <w:szCs w:val="18"/>
                <w:lang w:eastAsia="sk-SK"/>
              </w:rPr>
              <w:t> </w:t>
            </w:r>
            <w:r w:rsidRPr="00D0395E">
              <w:rPr>
                <w:rFonts w:eastAsia="Times New Roman" w:cs="Times New Roman"/>
                <w:color w:val="000000"/>
                <w:sz w:val="18"/>
                <w:szCs w:val="18"/>
                <w:lang w:eastAsia="sk-SK"/>
              </w:rPr>
              <w:t>s.</w:t>
            </w:r>
          </w:p>
        </w:tc>
        <w:tc>
          <w:tcPr>
            <w:tcW w:w="544" w:type="pct"/>
            <w:tcBorders>
              <w:top w:val="nil"/>
              <w:left w:val="nil"/>
              <w:bottom w:val="nil"/>
              <w:right w:val="nil"/>
            </w:tcBorders>
            <w:shd w:val="clear" w:color="auto" w:fill="auto"/>
            <w:noWrap/>
            <w:vAlign w:val="center"/>
            <w:hideMark/>
          </w:tcPr>
          <w:p w14:paraId="129B6F7D"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506 322</w:t>
            </w:r>
          </w:p>
        </w:tc>
        <w:tc>
          <w:tcPr>
            <w:tcW w:w="728" w:type="pct"/>
            <w:tcBorders>
              <w:top w:val="nil"/>
              <w:left w:val="nil"/>
              <w:bottom w:val="nil"/>
              <w:right w:val="nil"/>
            </w:tcBorders>
            <w:shd w:val="clear" w:color="auto" w:fill="auto"/>
            <w:noWrap/>
            <w:vAlign w:val="center"/>
            <w:hideMark/>
          </w:tcPr>
          <w:p w14:paraId="7010C987"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107 264</w:t>
            </w:r>
          </w:p>
        </w:tc>
        <w:tc>
          <w:tcPr>
            <w:tcW w:w="776" w:type="pct"/>
            <w:tcBorders>
              <w:top w:val="nil"/>
              <w:left w:val="nil"/>
              <w:bottom w:val="nil"/>
              <w:right w:val="nil"/>
            </w:tcBorders>
            <w:shd w:val="clear" w:color="auto" w:fill="auto"/>
            <w:noWrap/>
            <w:vAlign w:val="center"/>
            <w:hideMark/>
          </w:tcPr>
          <w:p w14:paraId="4F103CF3"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182 101</w:t>
            </w:r>
          </w:p>
        </w:tc>
      </w:tr>
      <w:tr w:rsidR="004D69BF" w:rsidRPr="00D0395E" w14:paraId="4E2CBA82" w14:textId="77777777" w:rsidTr="001D2C2C">
        <w:trPr>
          <w:trHeight w:val="289"/>
        </w:trPr>
        <w:tc>
          <w:tcPr>
            <w:tcW w:w="2952" w:type="pct"/>
            <w:tcBorders>
              <w:top w:val="nil"/>
              <w:left w:val="nil"/>
              <w:bottom w:val="nil"/>
              <w:right w:val="nil"/>
            </w:tcBorders>
            <w:shd w:val="clear" w:color="auto" w:fill="auto"/>
            <w:noWrap/>
            <w:vAlign w:val="center"/>
            <w:hideMark/>
          </w:tcPr>
          <w:p w14:paraId="1EEF2E06"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návratné finančné výpomocí</w:t>
            </w:r>
          </w:p>
        </w:tc>
        <w:tc>
          <w:tcPr>
            <w:tcW w:w="544" w:type="pct"/>
            <w:tcBorders>
              <w:top w:val="nil"/>
              <w:left w:val="nil"/>
              <w:bottom w:val="nil"/>
              <w:right w:val="nil"/>
            </w:tcBorders>
            <w:shd w:val="clear" w:color="auto" w:fill="auto"/>
            <w:noWrap/>
            <w:vAlign w:val="center"/>
            <w:hideMark/>
          </w:tcPr>
          <w:p w14:paraId="58C555CC"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643 786</w:t>
            </w:r>
          </w:p>
        </w:tc>
        <w:tc>
          <w:tcPr>
            <w:tcW w:w="728" w:type="pct"/>
            <w:tcBorders>
              <w:top w:val="nil"/>
              <w:left w:val="nil"/>
              <w:bottom w:val="nil"/>
              <w:right w:val="nil"/>
            </w:tcBorders>
            <w:shd w:val="clear" w:color="auto" w:fill="auto"/>
            <w:noWrap/>
            <w:vAlign w:val="center"/>
            <w:hideMark/>
          </w:tcPr>
          <w:p w14:paraId="2579671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20 500</w:t>
            </w:r>
          </w:p>
        </w:tc>
        <w:tc>
          <w:tcPr>
            <w:tcW w:w="776" w:type="pct"/>
            <w:tcBorders>
              <w:top w:val="nil"/>
              <w:left w:val="nil"/>
              <w:bottom w:val="nil"/>
              <w:right w:val="nil"/>
            </w:tcBorders>
            <w:shd w:val="clear" w:color="auto" w:fill="auto"/>
            <w:noWrap/>
            <w:vAlign w:val="center"/>
            <w:hideMark/>
          </w:tcPr>
          <w:p w14:paraId="3D750AD1"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0</w:t>
            </w:r>
          </w:p>
        </w:tc>
      </w:tr>
      <w:tr w:rsidR="004D69BF" w:rsidRPr="00D0395E" w14:paraId="14841860" w14:textId="77777777" w:rsidTr="001D2C2C">
        <w:trPr>
          <w:trHeight w:val="289"/>
        </w:trPr>
        <w:tc>
          <w:tcPr>
            <w:tcW w:w="2952" w:type="pct"/>
            <w:tcBorders>
              <w:top w:val="nil"/>
              <w:left w:val="nil"/>
              <w:bottom w:val="nil"/>
              <w:right w:val="nil"/>
            </w:tcBorders>
            <w:shd w:val="clear" w:color="auto" w:fill="auto"/>
            <w:noWrap/>
            <w:vAlign w:val="center"/>
            <w:hideMark/>
          </w:tcPr>
          <w:p w14:paraId="24FBEB1D"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osobitný odvod finančných inštitúcií</w:t>
            </w:r>
          </w:p>
        </w:tc>
        <w:tc>
          <w:tcPr>
            <w:tcW w:w="544" w:type="pct"/>
            <w:tcBorders>
              <w:top w:val="nil"/>
              <w:left w:val="nil"/>
              <w:bottom w:val="nil"/>
              <w:right w:val="nil"/>
            </w:tcBorders>
            <w:shd w:val="clear" w:color="auto" w:fill="auto"/>
            <w:noWrap/>
            <w:vAlign w:val="center"/>
            <w:hideMark/>
          </w:tcPr>
          <w:p w14:paraId="6F7781DD"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128 733</w:t>
            </w:r>
          </w:p>
        </w:tc>
        <w:tc>
          <w:tcPr>
            <w:tcW w:w="728" w:type="pct"/>
            <w:tcBorders>
              <w:top w:val="nil"/>
              <w:left w:val="nil"/>
              <w:bottom w:val="nil"/>
              <w:right w:val="nil"/>
            </w:tcBorders>
            <w:shd w:val="clear" w:color="auto" w:fill="auto"/>
            <w:noWrap/>
            <w:vAlign w:val="center"/>
            <w:hideMark/>
          </w:tcPr>
          <w:p w14:paraId="56BDDC51"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188 630</w:t>
            </w:r>
          </w:p>
        </w:tc>
        <w:tc>
          <w:tcPr>
            <w:tcW w:w="776" w:type="pct"/>
            <w:tcBorders>
              <w:top w:val="nil"/>
              <w:left w:val="nil"/>
              <w:bottom w:val="nil"/>
              <w:right w:val="nil"/>
            </w:tcBorders>
            <w:shd w:val="clear" w:color="auto" w:fill="auto"/>
            <w:noWrap/>
            <w:vAlign w:val="center"/>
            <w:hideMark/>
          </w:tcPr>
          <w:p w14:paraId="4CB9F1F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172 831</w:t>
            </w:r>
          </w:p>
        </w:tc>
      </w:tr>
      <w:tr w:rsidR="004D69BF" w:rsidRPr="00D0395E" w14:paraId="5D3D21CD" w14:textId="77777777" w:rsidTr="001D2C2C">
        <w:trPr>
          <w:trHeight w:val="289"/>
        </w:trPr>
        <w:tc>
          <w:tcPr>
            <w:tcW w:w="2952" w:type="pct"/>
            <w:tcBorders>
              <w:top w:val="nil"/>
              <w:left w:val="nil"/>
              <w:bottom w:val="nil"/>
              <w:right w:val="nil"/>
            </w:tcBorders>
            <w:shd w:val="clear" w:color="auto" w:fill="auto"/>
            <w:noWrap/>
            <w:vAlign w:val="center"/>
            <w:hideMark/>
          </w:tcPr>
          <w:p w14:paraId="2AA7E295"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osobitný odvod z podnikania v regulovaných odvetviach</w:t>
            </w:r>
          </w:p>
        </w:tc>
        <w:tc>
          <w:tcPr>
            <w:tcW w:w="544" w:type="pct"/>
            <w:tcBorders>
              <w:top w:val="nil"/>
              <w:left w:val="nil"/>
              <w:bottom w:val="nil"/>
              <w:right w:val="nil"/>
            </w:tcBorders>
            <w:shd w:val="clear" w:color="auto" w:fill="auto"/>
            <w:noWrap/>
            <w:vAlign w:val="center"/>
            <w:hideMark/>
          </w:tcPr>
          <w:p w14:paraId="05AC4174"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0</w:t>
            </w:r>
          </w:p>
        </w:tc>
        <w:tc>
          <w:tcPr>
            <w:tcW w:w="728" w:type="pct"/>
            <w:tcBorders>
              <w:top w:val="nil"/>
              <w:left w:val="nil"/>
              <w:bottom w:val="nil"/>
              <w:right w:val="nil"/>
            </w:tcBorders>
            <w:shd w:val="clear" w:color="auto" w:fill="auto"/>
            <w:noWrap/>
            <w:vAlign w:val="center"/>
            <w:hideMark/>
          </w:tcPr>
          <w:p w14:paraId="3C57B204"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6 433</w:t>
            </w:r>
          </w:p>
        </w:tc>
        <w:tc>
          <w:tcPr>
            <w:tcW w:w="776" w:type="pct"/>
            <w:tcBorders>
              <w:top w:val="nil"/>
              <w:left w:val="nil"/>
              <w:bottom w:val="nil"/>
              <w:right w:val="nil"/>
            </w:tcBorders>
            <w:shd w:val="clear" w:color="auto" w:fill="auto"/>
            <w:noWrap/>
            <w:vAlign w:val="center"/>
            <w:hideMark/>
          </w:tcPr>
          <w:p w14:paraId="0B552A1C"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250 000</w:t>
            </w:r>
          </w:p>
        </w:tc>
      </w:tr>
      <w:tr w:rsidR="004D69BF" w:rsidRPr="00D0395E" w14:paraId="21C32EFC" w14:textId="77777777" w:rsidTr="001D2C2C">
        <w:trPr>
          <w:trHeight w:val="289"/>
        </w:trPr>
        <w:tc>
          <w:tcPr>
            <w:tcW w:w="2952" w:type="pct"/>
            <w:tcBorders>
              <w:top w:val="nil"/>
              <w:left w:val="nil"/>
              <w:bottom w:val="nil"/>
              <w:right w:val="nil"/>
            </w:tcBorders>
            <w:shd w:val="clear" w:color="auto" w:fill="auto"/>
            <w:noWrap/>
            <w:vAlign w:val="center"/>
            <w:hideMark/>
          </w:tcPr>
          <w:p w14:paraId="0D46A711"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anonymné vklady</w:t>
            </w:r>
          </w:p>
        </w:tc>
        <w:tc>
          <w:tcPr>
            <w:tcW w:w="544" w:type="pct"/>
            <w:tcBorders>
              <w:top w:val="nil"/>
              <w:left w:val="nil"/>
              <w:bottom w:val="nil"/>
              <w:right w:val="nil"/>
            </w:tcBorders>
            <w:shd w:val="clear" w:color="auto" w:fill="auto"/>
            <w:noWrap/>
            <w:vAlign w:val="center"/>
            <w:hideMark/>
          </w:tcPr>
          <w:p w14:paraId="6A83F8BC"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w:t>
            </w:r>
          </w:p>
        </w:tc>
        <w:tc>
          <w:tcPr>
            <w:tcW w:w="728" w:type="pct"/>
            <w:tcBorders>
              <w:top w:val="nil"/>
              <w:left w:val="nil"/>
              <w:bottom w:val="nil"/>
              <w:right w:val="nil"/>
            </w:tcBorders>
            <w:shd w:val="clear" w:color="auto" w:fill="auto"/>
            <w:noWrap/>
            <w:vAlign w:val="center"/>
            <w:hideMark/>
          </w:tcPr>
          <w:p w14:paraId="63EA4206"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58</w:t>
            </w:r>
          </w:p>
        </w:tc>
        <w:tc>
          <w:tcPr>
            <w:tcW w:w="776" w:type="pct"/>
            <w:tcBorders>
              <w:top w:val="nil"/>
              <w:left w:val="nil"/>
              <w:bottom w:val="nil"/>
              <w:right w:val="nil"/>
            </w:tcBorders>
            <w:shd w:val="clear" w:color="auto" w:fill="auto"/>
            <w:noWrap/>
            <w:vAlign w:val="center"/>
            <w:hideMark/>
          </w:tcPr>
          <w:p w14:paraId="2CF3D871"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54</w:t>
            </w:r>
          </w:p>
        </w:tc>
      </w:tr>
      <w:tr w:rsidR="004D69BF" w:rsidRPr="00D0395E" w14:paraId="6A460171" w14:textId="77777777" w:rsidTr="001D2C2C">
        <w:trPr>
          <w:trHeight w:val="289"/>
        </w:trPr>
        <w:tc>
          <w:tcPr>
            <w:tcW w:w="2952" w:type="pct"/>
            <w:tcBorders>
              <w:top w:val="nil"/>
              <w:left w:val="nil"/>
              <w:bottom w:val="single" w:sz="4" w:space="0" w:color="auto"/>
              <w:right w:val="nil"/>
            </w:tcBorders>
            <w:shd w:val="clear" w:color="auto" w:fill="auto"/>
            <w:noWrap/>
            <w:vAlign w:val="center"/>
            <w:hideMark/>
          </w:tcPr>
          <w:p w14:paraId="57EE3B68"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ostatné</w:t>
            </w:r>
          </w:p>
        </w:tc>
        <w:tc>
          <w:tcPr>
            <w:tcW w:w="544" w:type="pct"/>
            <w:tcBorders>
              <w:top w:val="nil"/>
              <w:left w:val="nil"/>
              <w:bottom w:val="single" w:sz="4" w:space="0" w:color="auto"/>
              <w:right w:val="nil"/>
            </w:tcBorders>
            <w:shd w:val="clear" w:color="auto" w:fill="auto"/>
            <w:noWrap/>
            <w:vAlign w:val="center"/>
            <w:hideMark/>
          </w:tcPr>
          <w:p w14:paraId="6969F80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90</w:t>
            </w:r>
          </w:p>
        </w:tc>
        <w:tc>
          <w:tcPr>
            <w:tcW w:w="728" w:type="pct"/>
            <w:tcBorders>
              <w:top w:val="nil"/>
              <w:left w:val="nil"/>
              <w:bottom w:val="single" w:sz="4" w:space="0" w:color="auto"/>
              <w:right w:val="nil"/>
            </w:tcBorders>
            <w:shd w:val="clear" w:color="auto" w:fill="auto"/>
            <w:noWrap/>
            <w:vAlign w:val="center"/>
            <w:hideMark/>
          </w:tcPr>
          <w:p w14:paraId="215CBF98"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0</w:t>
            </w:r>
          </w:p>
        </w:tc>
        <w:tc>
          <w:tcPr>
            <w:tcW w:w="776" w:type="pct"/>
            <w:tcBorders>
              <w:top w:val="nil"/>
              <w:left w:val="nil"/>
              <w:bottom w:val="single" w:sz="4" w:space="0" w:color="auto"/>
              <w:right w:val="nil"/>
            </w:tcBorders>
            <w:shd w:val="clear" w:color="auto" w:fill="auto"/>
            <w:noWrap/>
            <w:vAlign w:val="center"/>
            <w:hideMark/>
          </w:tcPr>
          <w:p w14:paraId="7E2EF3A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31 452</w:t>
            </w:r>
          </w:p>
        </w:tc>
      </w:tr>
      <w:tr w:rsidR="004D69BF" w:rsidRPr="00D0395E" w14:paraId="7D621340" w14:textId="77777777" w:rsidTr="001D2C2C">
        <w:trPr>
          <w:trHeight w:val="289"/>
        </w:trPr>
        <w:tc>
          <w:tcPr>
            <w:tcW w:w="2952" w:type="pct"/>
            <w:tcBorders>
              <w:top w:val="single" w:sz="4" w:space="0" w:color="auto"/>
              <w:left w:val="nil"/>
              <w:bottom w:val="single" w:sz="4" w:space="0" w:color="auto"/>
              <w:right w:val="nil"/>
            </w:tcBorders>
            <w:shd w:val="clear" w:color="auto" w:fill="auto"/>
            <w:noWrap/>
            <w:vAlign w:val="center"/>
            <w:hideMark/>
          </w:tcPr>
          <w:p w14:paraId="1AB239AC" w14:textId="77777777" w:rsidR="004D69BF" w:rsidRPr="00D0395E" w:rsidRDefault="004D69BF" w:rsidP="000240DA">
            <w:pPr>
              <w:spacing w:after="0"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Stav k 31.12.</w:t>
            </w:r>
          </w:p>
        </w:tc>
        <w:tc>
          <w:tcPr>
            <w:tcW w:w="544" w:type="pct"/>
            <w:tcBorders>
              <w:top w:val="single" w:sz="4" w:space="0" w:color="auto"/>
              <w:left w:val="nil"/>
              <w:bottom w:val="single" w:sz="4" w:space="0" w:color="auto"/>
              <w:right w:val="nil"/>
            </w:tcBorders>
            <w:shd w:val="clear" w:color="auto" w:fill="auto"/>
            <w:noWrap/>
            <w:vAlign w:val="center"/>
            <w:hideMark/>
          </w:tcPr>
          <w:p w14:paraId="425B4B5C"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3 196 933</w:t>
            </w:r>
          </w:p>
        </w:tc>
        <w:tc>
          <w:tcPr>
            <w:tcW w:w="728" w:type="pct"/>
            <w:tcBorders>
              <w:top w:val="single" w:sz="4" w:space="0" w:color="auto"/>
              <w:left w:val="nil"/>
              <w:bottom w:val="single" w:sz="4" w:space="0" w:color="auto"/>
              <w:right w:val="nil"/>
            </w:tcBorders>
            <w:shd w:val="clear" w:color="auto" w:fill="auto"/>
            <w:noWrap/>
            <w:vAlign w:val="center"/>
            <w:hideMark/>
          </w:tcPr>
          <w:p w14:paraId="4366D406"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3 041 203</w:t>
            </w:r>
          </w:p>
        </w:tc>
        <w:tc>
          <w:tcPr>
            <w:tcW w:w="776" w:type="pct"/>
            <w:tcBorders>
              <w:top w:val="single" w:sz="4" w:space="0" w:color="auto"/>
              <w:left w:val="nil"/>
              <w:bottom w:val="single" w:sz="4" w:space="0" w:color="auto"/>
              <w:right w:val="nil"/>
            </w:tcBorders>
            <w:shd w:val="clear" w:color="auto" w:fill="auto"/>
            <w:noWrap/>
            <w:vAlign w:val="center"/>
            <w:hideMark/>
          </w:tcPr>
          <w:p w14:paraId="5AE0CE95" w14:textId="77777777" w:rsidR="004D69BF" w:rsidRPr="00D0395E" w:rsidRDefault="004D69BF" w:rsidP="000240DA">
            <w:pPr>
              <w:spacing w:after="0"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2 537 098</w:t>
            </w:r>
          </w:p>
        </w:tc>
      </w:tr>
      <w:tr w:rsidR="004D69BF" w:rsidRPr="00D0395E" w14:paraId="4EA9B2EB" w14:textId="77777777" w:rsidTr="001D2C2C">
        <w:trPr>
          <w:trHeight w:val="289"/>
        </w:trPr>
        <w:tc>
          <w:tcPr>
            <w:tcW w:w="2952" w:type="pct"/>
            <w:tcBorders>
              <w:top w:val="single" w:sz="4" w:space="0" w:color="auto"/>
              <w:left w:val="nil"/>
              <w:bottom w:val="nil"/>
              <w:right w:val="nil"/>
            </w:tcBorders>
            <w:shd w:val="clear" w:color="auto" w:fill="auto"/>
            <w:noWrap/>
            <w:vAlign w:val="center"/>
            <w:hideMark/>
          </w:tcPr>
          <w:p w14:paraId="36897862"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z toho:</w:t>
            </w:r>
          </w:p>
        </w:tc>
        <w:tc>
          <w:tcPr>
            <w:tcW w:w="544" w:type="pct"/>
            <w:tcBorders>
              <w:top w:val="single" w:sz="4" w:space="0" w:color="auto"/>
              <w:left w:val="nil"/>
              <w:bottom w:val="nil"/>
              <w:right w:val="nil"/>
            </w:tcBorders>
            <w:shd w:val="clear" w:color="auto" w:fill="auto"/>
            <w:noWrap/>
            <w:vAlign w:val="center"/>
            <w:hideMark/>
          </w:tcPr>
          <w:p w14:paraId="52DC2470" w14:textId="77777777" w:rsidR="004D69BF" w:rsidRPr="00D0395E" w:rsidRDefault="004D69BF" w:rsidP="000240DA">
            <w:pPr>
              <w:spacing w:after="0" w:line="240" w:lineRule="auto"/>
              <w:rPr>
                <w:rFonts w:eastAsia="Times New Roman" w:cs="Times New Roman"/>
                <w:color w:val="000000"/>
                <w:sz w:val="18"/>
                <w:szCs w:val="18"/>
                <w:lang w:eastAsia="sk-SK"/>
              </w:rPr>
            </w:pPr>
          </w:p>
        </w:tc>
        <w:tc>
          <w:tcPr>
            <w:tcW w:w="728" w:type="pct"/>
            <w:tcBorders>
              <w:top w:val="single" w:sz="4" w:space="0" w:color="auto"/>
              <w:left w:val="nil"/>
              <w:bottom w:val="nil"/>
              <w:right w:val="nil"/>
            </w:tcBorders>
            <w:shd w:val="clear" w:color="auto" w:fill="auto"/>
            <w:noWrap/>
            <w:vAlign w:val="center"/>
            <w:hideMark/>
          </w:tcPr>
          <w:p w14:paraId="626EB88C" w14:textId="77777777" w:rsidR="004D69BF" w:rsidRPr="00D0395E" w:rsidRDefault="004D69BF" w:rsidP="000240DA">
            <w:pPr>
              <w:spacing w:after="0" w:line="240" w:lineRule="auto"/>
              <w:jc w:val="right"/>
              <w:rPr>
                <w:rFonts w:eastAsia="Times New Roman" w:cs="Times New Roman"/>
                <w:sz w:val="18"/>
                <w:szCs w:val="18"/>
                <w:lang w:eastAsia="sk-SK"/>
              </w:rPr>
            </w:pPr>
          </w:p>
        </w:tc>
        <w:tc>
          <w:tcPr>
            <w:tcW w:w="776" w:type="pct"/>
            <w:tcBorders>
              <w:top w:val="single" w:sz="4" w:space="0" w:color="auto"/>
              <w:left w:val="nil"/>
              <w:bottom w:val="nil"/>
              <w:right w:val="nil"/>
            </w:tcBorders>
            <w:shd w:val="clear" w:color="auto" w:fill="auto"/>
            <w:noWrap/>
            <w:vAlign w:val="center"/>
            <w:hideMark/>
          </w:tcPr>
          <w:p w14:paraId="4CAAC739" w14:textId="77777777" w:rsidR="004D69BF" w:rsidRPr="00D0395E" w:rsidRDefault="004D69BF" w:rsidP="000240DA">
            <w:pPr>
              <w:spacing w:after="0" w:line="240" w:lineRule="auto"/>
              <w:jc w:val="right"/>
              <w:rPr>
                <w:rFonts w:eastAsia="Times New Roman" w:cs="Times New Roman"/>
                <w:sz w:val="18"/>
                <w:szCs w:val="18"/>
                <w:lang w:eastAsia="sk-SK"/>
              </w:rPr>
            </w:pPr>
          </w:p>
        </w:tc>
      </w:tr>
      <w:tr w:rsidR="004D69BF" w:rsidRPr="00D0395E" w14:paraId="6482EC46" w14:textId="77777777" w:rsidTr="001D2C2C">
        <w:trPr>
          <w:trHeight w:val="289"/>
        </w:trPr>
        <w:tc>
          <w:tcPr>
            <w:tcW w:w="2952" w:type="pct"/>
            <w:tcBorders>
              <w:top w:val="nil"/>
              <w:left w:val="nil"/>
              <w:bottom w:val="nil"/>
              <w:right w:val="nil"/>
            </w:tcBorders>
            <w:shd w:val="clear" w:color="auto" w:fill="auto"/>
            <w:noWrap/>
            <w:vAlign w:val="center"/>
            <w:hideMark/>
          </w:tcPr>
          <w:p w14:paraId="5F41B9B6" w14:textId="27B61E1A"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účet FNM/MH Manažment, a.</w:t>
            </w:r>
            <w:r w:rsidR="00A41CC0" w:rsidRPr="00D0395E">
              <w:rPr>
                <w:rFonts w:eastAsia="Times New Roman" w:cs="Times New Roman"/>
                <w:color w:val="000000"/>
                <w:sz w:val="18"/>
                <w:szCs w:val="18"/>
                <w:lang w:eastAsia="sk-SK"/>
              </w:rPr>
              <w:t> </w:t>
            </w:r>
            <w:r w:rsidRPr="00D0395E">
              <w:rPr>
                <w:rFonts w:eastAsia="Times New Roman" w:cs="Times New Roman"/>
                <w:color w:val="000000"/>
                <w:sz w:val="18"/>
                <w:szCs w:val="18"/>
                <w:lang w:eastAsia="sk-SK"/>
              </w:rPr>
              <w:t>s.</w:t>
            </w:r>
          </w:p>
        </w:tc>
        <w:tc>
          <w:tcPr>
            <w:tcW w:w="544" w:type="pct"/>
            <w:tcBorders>
              <w:top w:val="nil"/>
              <w:left w:val="nil"/>
              <w:bottom w:val="nil"/>
              <w:right w:val="nil"/>
            </w:tcBorders>
            <w:shd w:val="clear" w:color="auto" w:fill="auto"/>
            <w:noWrap/>
            <w:vAlign w:val="center"/>
            <w:hideMark/>
          </w:tcPr>
          <w:p w14:paraId="777E5ADF"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1 019 165</w:t>
            </w:r>
          </w:p>
        </w:tc>
        <w:tc>
          <w:tcPr>
            <w:tcW w:w="728" w:type="pct"/>
            <w:tcBorders>
              <w:top w:val="nil"/>
              <w:left w:val="nil"/>
              <w:bottom w:val="nil"/>
              <w:right w:val="nil"/>
            </w:tcBorders>
            <w:shd w:val="clear" w:color="auto" w:fill="auto"/>
            <w:noWrap/>
            <w:vAlign w:val="center"/>
            <w:hideMark/>
          </w:tcPr>
          <w:p w14:paraId="45712276"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913 473</w:t>
            </w:r>
          </w:p>
        </w:tc>
        <w:tc>
          <w:tcPr>
            <w:tcW w:w="776" w:type="pct"/>
            <w:tcBorders>
              <w:top w:val="nil"/>
              <w:left w:val="nil"/>
              <w:bottom w:val="nil"/>
              <w:right w:val="nil"/>
            </w:tcBorders>
            <w:shd w:val="clear" w:color="auto" w:fill="auto"/>
            <w:noWrap/>
            <w:vAlign w:val="center"/>
            <w:hideMark/>
          </w:tcPr>
          <w:p w14:paraId="2043CFAD"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766 082</w:t>
            </w:r>
          </w:p>
        </w:tc>
      </w:tr>
      <w:tr w:rsidR="004D69BF" w:rsidRPr="00D0395E" w14:paraId="601994B0" w14:textId="77777777" w:rsidTr="001D2C2C">
        <w:trPr>
          <w:trHeight w:val="289"/>
        </w:trPr>
        <w:tc>
          <w:tcPr>
            <w:tcW w:w="2952" w:type="pct"/>
            <w:tcBorders>
              <w:top w:val="nil"/>
              <w:left w:val="nil"/>
              <w:bottom w:val="nil"/>
              <w:right w:val="nil"/>
            </w:tcBorders>
            <w:shd w:val="clear" w:color="auto" w:fill="auto"/>
            <w:noWrap/>
            <w:vAlign w:val="center"/>
            <w:hideMark/>
          </w:tcPr>
          <w:p w14:paraId="0DAF1DC3"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účet NFV</w:t>
            </w:r>
          </w:p>
        </w:tc>
        <w:tc>
          <w:tcPr>
            <w:tcW w:w="544" w:type="pct"/>
            <w:tcBorders>
              <w:top w:val="nil"/>
              <w:left w:val="nil"/>
              <w:bottom w:val="nil"/>
              <w:right w:val="nil"/>
            </w:tcBorders>
            <w:shd w:val="clear" w:color="auto" w:fill="auto"/>
            <w:noWrap/>
            <w:vAlign w:val="center"/>
            <w:hideMark/>
          </w:tcPr>
          <w:p w14:paraId="12157DA3"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58 315</w:t>
            </w:r>
          </w:p>
        </w:tc>
        <w:tc>
          <w:tcPr>
            <w:tcW w:w="728" w:type="pct"/>
            <w:tcBorders>
              <w:top w:val="nil"/>
              <w:left w:val="nil"/>
              <w:bottom w:val="nil"/>
              <w:right w:val="nil"/>
            </w:tcBorders>
            <w:shd w:val="clear" w:color="auto" w:fill="auto"/>
            <w:noWrap/>
            <w:vAlign w:val="center"/>
            <w:hideMark/>
          </w:tcPr>
          <w:p w14:paraId="5D8187BE"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96 245</w:t>
            </w:r>
          </w:p>
        </w:tc>
        <w:tc>
          <w:tcPr>
            <w:tcW w:w="776" w:type="pct"/>
            <w:tcBorders>
              <w:top w:val="nil"/>
              <w:left w:val="nil"/>
              <w:bottom w:val="nil"/>
              <w:right w:val="nil"/>
            </w:tcBorders>
            <w:shd w:val="clear" w:color="auto" w:fill="auto"/>
            <w:noWrap/>
            <w:vAlign w:val="center"/>
            <w:hideMark/>
          </w:tcPr>
          <w:p w14:paraId="4D416056"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185 090</w:t>
            </w:r>
          </w:p>
        </w:tc>
      </w:tr>
      <w:tr w:rsidR="004D69BF" w:rsidRPr="00D0395E" w14:paraId="10F687EE" w14:textId="77777777" w:rsidTr="001D2C2C">
        <w:trPr>
          <w:trHeight w:val="289"/>
        </w:trPr>
        <w:tc>
          <w:tcPr>
            <w:tcW w:w="2952" w:type="pct"/>
            <w:tcBorders>
              <w:top w:val="nil"/>
              <w:left w:val="nil"/>
              <w:bottom w:val="nil"/>
              <w:right w:val="nil"/>
            </w:tcBorders>
            <w:shd w:val="clear" w:color="auto" w:fill="auto"/>
            <w:noWrap/>
            <w:vAlign w:val="center"/>
            <w:hideMark/>
          </w:tcPr>
          <w:p w14:paraId="506A0EC9"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účet osobitného odvodu finančných inštitúcií</w:t>
            </w:r>
          </w:p>
        </w:tc>
        <w:tc>
          <w:tcPr>
            <w:tcW w:w="544" w:type="pct"/>
            <w:tcBorders>
              <w:top w:val="nil"/>
              <w:left w:val="nil"/>
              <w:bottom w:val="nil"/>
              <w:right w:val="nil"/>
            </w:tcBorders>
            <w:shd w:val="clear" w:color="auto" w:fill="auto"/>
            <w:noWrap/>
            <w:vAlign w:val="center"/>
            <w:hideMark/>
          </w:tcPr>
          <w:p w14:paraId="0FC60F9C"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1 122 786</w:t>
            </w:r>
          </w:p>
        </w:tc>
        <w:tc>
          <w:tcPr>
            <w:tcW w:w="728" w:type="pct"/>
            <w:tcBorders>
              <w:top w:val="nil"/>
              <w:left w:val="nil"/>
              <w:bottom w:val="nil"/>
              <w:right w:val="nil"/>
            </w:tcBorders>
            <w:shd w:val="clear" w:color="auto" w:fill="auto"/>
            <w:noWrap/>
            <w:vAlign w:val="center"/>
            <w:hideMark/>
          </w:tcPr>
          <w:p w14:paraId="3C519E4D"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934 156</w:t>
            </w:r>
          </w:p>
        </w:tc>
        <w:tc>
          <w:tcPr>
            <w:tcW w:w="776" w:type="pct"/>
            <w:tcBorders>
              <w:top w:val="nil"/>
              <w:left w:val="nil"/>
              <w:bottom w:val="nil"/>
              <w:right w:val="nil"/>
            </w:tcBorders>
            <w:shd w:val="clear" w:color="auto" w:fill="auto"/>
            <w:noWrap/>
            <w:vAlign w:val="center"/>
            <w:hideMark/>
          </w:tcPr>
          <w:p w14:paraId="2232C684"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761 325</w:t>
            </w:r>
          </w:p>
        </w:tc>
      </w:tr>
      <w:tr w:rsidR="004D69BF" w:rsidRPr="00D0395E" w14:paraId="3840B6EA" w14:textId="77777777" w:rsidTr="001D2C2C">
        <w:trPr>
          <w:trHeight w:val="289"/>
        </w:trPr>
        <w:tc>
          <w:tcPr>
            <w:tcW w:w="2952" w:type="pct"/>
            <w:tcBorders>
              <w:top w:val="nil"/>
              <w:left w:val="nil"/>
              <w:bottom w:val="nil"/>
              <w:right w:val="nil"/>
            </w:tcBorders>
            <w:shd w:val="clear" w:color="auto" w:fill="auto"/>
            <w:noWrap/>
            <w:vAlign w:val="center"/>
            <w:hideMark/>
          </w:tcPr>
          <w:p w14:paraId="5CC95DFF"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účet osobitného odvodu z podnikania v regulovaných odvetviach</w:t>
            </w:r>
          </w:p>
        </w:tc>
        <w:tc>
          <w:tcPr>
            <w:tcW w:w="544" w:type="pct"/>
            <w:tcBorders>
              <w:top w:val="nil"/>
              <w:left w:val="nil"/>
              <w:bottom w:val="nil"/>
              <w:right w:val="nil"/>
            </w:tcBorders>
            <w:shd w:val="clear" w:color="auto" w:fill="auto"/>
            <w:noWrap/>
            <w:vAlign w:val="center"/>
            <w:hideMark/>
          </w:tcPr>
          <w:p w14:paraId="3427E3BE"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919 804</w:t>
            </w:r>
          </w:p>
        </w:tc>
        <w:tc>
          <w:tcPr>
            <w:tcW w:w="728" w:type="pct"/>
            <w:tcBorders>
              <w:top w:val="nil"/>
              <w:left w:val="nil"/>
              <w:bottom w:val="nil"/>
              <w:right w:val="nil"/>
            </w:tcBorders>
            <w:shd w:val="clear" w:color="auto" w:fill="auto"/>
            <w:noWrap/>
            <w:vAlign w:val="center"/>
            <w:hideMark/>
          </w:tcPr>
          <w:p w14:paraId="7958BD45"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1 018 922</w:t>
            </w:r>
          </w:p>
        </w:tc>
        <w:tc>
          <w:tcPr>
            <w:tcW w:w="776" w:type="pct"/>
            <w:tcBorders>
              <w:top w:val="nil"/>
              <w:left w:val="nil"/>
              <w:bottom w:val="nil"/>
              <w:right w:val="nil"/>
            </w:tcBorders>
            <w:shd w:val="clear" w:color="auto" w:fill="auto"/>
            <w:noWrap/>
            <w:vAlign w:val="center"/>
            <w:hideMark/>
          </w:tcPr>
          <w:p w14:paraId="5C620AAF"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775 912</w:t>
            </w:r>
          </w:p>
        </w:tc>
      </w:tr>
      <w:tr w:rsidR="004D69BF" w:rsidRPr="00D0395E" w14:paraId="5686FA44" w14:textId="77777777" w:rsidTr="001D2C2C">
        <w:trPr>
          <w:trHeight w:val="289"/>
        </w:trPr>
        <w:tc>
          <w:tcPr>
            <w:tcW w:w="2952" w:type="pct"/>
            <w:tcBorders>
              <w:top w:val="nil"/>
              <w:left w:val="nil"/>
              <w:right w:val="nil"/>
            </w:tcBorders>
            <w:shd w:val="clear" w:color="auto" w:fill="auto"/>
            <w:noWrap/>
            <w:vAlign w:val="center"/>
            <w:hideMark/>
          </w:tcPr>
          <w:p w14:paraId="25B5F298"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účet anonymných vkladov</w:t>
            </w:r>
          </w:p>
        </w:tc>
        <w:tc>
          <w:tcPr>
            <w:tcW w:w="544" w:type="pct"/>
            <w:tcBorders>
              <w:top w:val="nil"/>
              <w:left w:val="nil"/>
              <w:right w:val="nil"/>
            </w:tcBorders>
            <w:shd w:val="clear" w:color="auto" w:fill="auto"/>
            <w:noWrap/>
            <w:vAlign w:val="center"/>
            <w:hideMark/>
          </w:tcPr>
          <w:p w14:paraId="502884E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26 041</w:t>
            </w:r>
          </w:p>
        </w:tc>
        <w:tc>
          <w:tcPr>
            <w:tcW w:w="728" w:type="pct"/>
            <w:tcBorders>
              <w:top w:val="nil"/>
              <w:left w:val="nil"/>
              <w:right w:val="nil"/>
            </w:tcBorders>
            <w:shd w:val="clear" w:color="auto" w:fill="auto"/>
            <w:noWrap/>
            <w:vAlign w:val="center"/>
            <w:hideMark/>
          </w:tcPr>
          <w:p w14:paraId="3D7FDABA"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26 030</w:t>
            </w:r>
          </w:p>
        </w:tc>
        <w:tc>
          <w:tcPr>
            <w:tcW w:w="776" w:type="pct"/>
            <w:tcBorders>
              <w:top w:val="nil"/>
              <w:left w:val="nil"/>
              <w:right w:val="nil"/>
            </w:tcBorders>
            <w:shd w:val="clear" w:color="auto" w:fill="auto"/>
            <w:noWrap/>
            <w:vAlign w:val="center"/>
            <w:hideMark/>
          </w:tcPr>
          <w:p w14:paraId="6CF6E39D"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26 079</w:t>
            </w:r>
          </w:p>
        </w:tc>
      </w:tr>
      <w:tr w:rsidR="004D69BF" w:rsidRPr="00D0395E" w14:paraId="7598D40B" w14:textId="77777777" w:rsidTr="001D2C2C">
        <w:trPr>
          <w:trHeight w:val="289"/>
        </w:trPr>
        <w:tc>
          <w:tcPr>
            <w:tcW w:w="2952" w:type="pct"/>
            <w:tcBorders>
              <w:top w:val="nil"/>
              <w:left w:val="nil"/>
              <w:bottom w:val="single" w:sz="4" w:space="0" w:color="auto"/>
              <w:right w:val="nil"/>
            </w:tcBorders>
            <w:shd w:val="clear" w:color="auto" w:fill="auto"/>
            <w:noWrap/>
            <w:vAlign w:val="center"/>
            <w:hideMark/>
          </w:tcPr>
          <w:p w14:paraId="133BE2D7" w14:textId="77777777" w:rsidR="004D69BF" w:rsidRPr="00D0395E" w:rsidRDefault="004D69BF" w:rsidP="000240DA">
            <w:pPr>
              <w:spacing w:after="0"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ostatné</w:t>
            </w:r>
          </w:p>
        </w:tc>
        <w:tc>
          <w:tcPr>
            <w:tcW w:w="544" w:type="pct"/>
            <w:tcBorders>
              <w:top w:val="nil"/>
              <w:left w:val="nil"/>
              <w:bottom w:val="single" w:sz="4" w:space="0" w:color="auto"/>
              <w:right w:val="nil"/>
            </w:tcBorders>
            <w:shd w:val="clear" w:color="auto" w:fill="auto"/>
            <w:noWrap/>
            <w:vAlign w:val="center"/>
            <w:hideMark/>
          </w:tcPr>
          <w:p w14:paraId="7B7A074D"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50 822</w:t>
            </w:r>
          </w:p>
        </w:tc>
        <w:tc>
          <w:tcPr>
            <w:tcW w:w="728" w:type="pct"/>
            <w:tcBorders>
              <w:top w:val="nil"/>
              <w:left w:val="nil"/>
              <w:bottom w:val="single" w:sz="4" w:space="0" w:color="auto"/>
              <w:right w:val="nil"/>
            </w:tcBorders>
            <w:shd w:val="clear" w:color="auto" w:fill="auto"/>
            <w:noWrap/>
            <w:vAlign w:val="center"/>
            <w:hideMark/>
          </w:tcPr>
          <w:p w14:paraId="137713D4"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52 377</w:t>
            </w:r>
          </w:p>
        </w:tc>
        <w:tc>
          <w:tcPr>
            <w:tcW w:w="776" w:type="pct"/>
            <w:tcBorders>
              <w:top w:val="nil"/>
              <w:left w:val="nil"/>
              <w:bottom w:val="single" w:sz="4" w:space="0" w:color="auto"/>
              <w:right w:val="nil"/>
            </w:tcBorders>
            <w:shd w:val="clear" w:color="auto" w:fill="auto"/>
            <w:noWrap/>
            <w:vAlign w:val="center"/>
            <w:hideMark/>
          </w:tcPr>
          <w:p w14:paraId="5A40736C" w14:textId="77777777" w:rsidR="004D69BF" w:rsidRPr="00D0395E" w:rsidRDefault="004D69BF" w:rsidP="000240DA">
            <w:pPr>
              <w:spacing w:after="0"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22 610</w:t>
            </w:r>
          </w:p>
        </w:tc>
      </w:tr>
    </w:tbl>
    <w:p w14:paraId="3D51CFFB" w14:textId="7D149570" w:rsidR="004D69BF" w:rsidRPr="00A41CC0" w:rsidRDefault="00067698" w:rsidP="00FE302E">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ind w:left="7082"/>
        <w:rPr>
          <w:sz w:val="18"/>
          <w:szCs w:val="18"/>
        </w:rPr>
      </w:pPr>
      <w:r>
        <w:rPr>
          <w:sz w:val="18"/>
          <w:szCs w:val="18"/>
        </w:rPr>
        <w:tab/>
      </w:r>
      <w:r w:rsidR="00922722">
        <w:rPr>
          <w:sz w:val="18"/>
          <w:szCs w:val="18"/>
        </w:rPr>
        <w:t xml:space="preserve">      </w:t>
      </w:r>
      <w:r w:rsidR="00A41CC0" w:rsidRPr="00A41CC0">
        <w:rPr>
          <w:sz w:val="18"/>
          <w:szCs w:val="18"/>
        </w:rPr>
        <w:t>Zdroj: MF SR</w:t>
      </w:r>
    </w:p>
    <w:p w14:paraId="06A4AA40" w14:textId="25E90885" w:rsidR="004D69BF" w:rsidRDefault="004D69BF" w:rsidP="004D69BF">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rPr>
          <w:sz w:val="24"/>
          <w:szCs w:val="24"/>
        </w:rPr>
      </w:pPr>
      <w:r w:rsidRPr="00BB092C">
        <w:rPr>
          <w:sz w:val="24"/>
          <w:szCs w:val="24"/>
          <w:u w:val="single"/>
        </w:rPr>
        <w:t>Rozpočtované príjmy štátnych finančných aktív</w:t>
      </w:r>
      <w:r>
        <w:rPr>
          <w:sz w:val="24"/>
          <w:szCs w:val="24"/>
        </w:rPr>
        <w:t xml:space="preserve"> pre rok 2024 </w:t>
      </w:r>
      <w:r w:rsidRPr="00BB092C">
        <w:rPr>
          <w:sz w:val="24"/>
          <w:szCs w:val="24"/>
        </w:rPr>
        <w:t xml:space="preserve">boli v sume </w:t>
      </w:r>
      <w:r w:rsidR="0078224A">
        <w:rPr>
          <w:sz w:val="24"/>
          <w:szCs w:val="24"/>
        </w:rPr>
        <w:t>103 </w:t>
      </w:r>
      <w:r>
        <w:rPr>
          <w:sz w:val="24"/>
          <w:szCs w:val="24"/>
        </w:rPr>
        <w:t>425 </w:t>
      </w:r>
      <w:r w:rsidRPr="00BB092C">
        <w:rPr>
          <w:sz w:val="24"/>
          <w:szCs w:val="24"/>
        </w:rPr>
        <w:t>tis.</w:t>
      </w:r>
      <w:r>
        <w:rPr>
          <w:sz w:val="24"/>
          <w:szCs w:val="24"/>
        </w:rPr>
        <w:t> </w:t>
      </w:r>
      <w:r w:rsidRPr="00BB092C">
        <w:rPr>
          <w:sz w:val="24"/>
          <w:szCs w:val="24"/>
        </w:rPr>
        <w:t xml:space="preserve">eur, z čoho príjmové finančné operácie tvorili </w:t>
      </w:r>
      <w:r w:rsidR="0078224A">
        <w:rPr>
          <w:sz w:val="24"/>
          <w:szCs w:val="24"/>
        </w:rPr>
        <w:t>103 </w:t>
      </w:r>
      <w:r>
        <w:rPr>
          <w:sz w:val="24"/>
          <w:szCs w:val="24"/>
        </w:rPr>
        <w:t>416 </w:t>
      </w:r>
      <w:r w:rsidRPr="00BB092C">
        <w:rPr>
          <w:sz w:val="24"/>
          <w:szCs w:val="24"/>
        </w:rPr>
        <w:t>tis.</w:t>
      </w:r>
      <w:r>
        <w:rPr>
          <w:sz w:val="24"/>
          <w:szCs w:val="24"/>
        </w:rPr>
        <w:t> </w:t>
      </w:r>
      <w:r w:rsidRPr="00BB092C">
        <w:rPr>
          <w:sz w:val="24"/>
          <w:szCs w:val="24"/>
        </w:rPr>
        <w:t>eur (ako splátky NFV). Oproti roku 202</w:t>
      </w:r>
      <w:r>
        <w:rPr>
          <w:sz w:val="24"/>
          <w:szCs w:val="24"/>
        </w:rPr>
        <w:t>3</w:t>
      </w:r>
      <w:r w:rsidRPr="00BB092C">
        <w:rPr>
          <w:sz w:val="24"/>
          <w:szCs w:val="24"/>
        </w:rPr>
        <w:t xml:space="preserve"> </w:t>
      </w:r>
      <w:r w:rsidRPr="00F93475">
        <w:rPr>
          <w:sz w:val="24"/>
          <w:szCs w:val="24"/>
        </w:rPr>
        <w:t xml:space="preserve">sa príjmy spolu s príjmovými finančnými operáciami rozpočtovali </w:t>
      </w:r>
      <w:r>
        <w:rPr>
          <w:sz w:val="24"/>
          <w:szCs w:val="24"/>
        </w:rPr>
        <w:t xml:space="preserve">úhrnom nižšie </w:t>
      </w:r>
      <w:r w:rsidRPr="00F93475">
        <w:rPr>
          <w:sz w:val="24"/>
          <w:szCs w:val="24"/>
        </w:rPr>
        <w:t>o</w:t>
      </w:r>
      <w:r w:rsidR="0078224A">
        <w:rPr>
          <w:sz w:val="24"/>
          <w:szCs w:val="24"/>
        </w:rPr>
        <w:t> 840 </w:t>
      </w:r>
      <w:r>
        <w:rPr>
          <w:sz w:val="24"/>
          <w:szCs w:val="24"/>
        </w:rPr>
        <w:t>337 </w:t>
      </w:r>
      <w:r w:rsidRPr="00F93475">
        <w:rPr>
          <w:sz w:val="24"/>
          <w:szCs w:val="24"/>
        </w:rPr>
        <w:t>tis.</w:t>
      </w:r>
      <w:r>
        <w:rPr>
          <w:sz w:val="24"/>
          <w:szCs w:val="24"/>
        </w:rPr>
        <w:t> </w:t>
      </w:r>
      <w:r w:rsidRPr="00F93475">
        <w:rPr>
          <w:sz w:val="24"/>
          <w:szCs w:val="24"/>
        </w:rPr>
        <w:t>eur</w:t>
      </w:r>
      <w:r>
        <w:rPr>
          <w:sz w:val="24"/>
          <w:szCs w:val="24"/>
        </w:rPr>
        <w:t>. Pokles bol spôsobený nerozpočtovaním príjmov z osobitného odvodu z podnikania v regulovaných odvetviach (približne za 80-90</w:t>
      </w:r>
      <w:r w:rsidR="00922722">
        <w:rPr>
          <w:sz w:val="24"/>
          <w:szCs w:val="24"/>
        </w:rPr>
        <w:t> </w:t>
      </w:r>
      <w:r>
        <w:rPr>
          <w:sz w:val="24"/>
          <w:szCs w:val="24"/>
        </w:rPr>
        <w:t>mil.</w:t>
      </w:r>
      <w:r w:rsidR="00922722">
        <w:rPr>
          <w:sz w:val="24"/>
          <w:szCs w:val="24"/>
        </w:rPr>
        <w:t> </w:t>
      </w:r>
      <w:r>
        <w:rPr>
          <w:sz w:val="24"/>
          <w:szCs w:val="24"/>
        </w:rPr>
        <w:t>eur) a v nerozpočtovaní doplnenia zdrojov štátnych finančných aktív</w:t>
      </w:r>
      <w:r w:rsidR="00922722">
        <w:rPr>
          <w:sz w:val="24"/>
          <w:szCs w:val="24"/>
        </w:rPr>
        <w:t xml:space="preserve"> z výdavkov štátneho rozpočtu v </w:t>
      </w:r>
      <w:r>
        <w:rPr>
          <w:sz w:val="24"/>
          <w:szCs w:val="24"/>
        </w:rPr>
        <w:t>sume 750 000 tis.</w:t>
      </w:r>
      <w:r w:rsidR="0078224A">
        <w:rPr>
          <w:sz w:val="24"/>
          <w:szCs w:val="24"/>
        </w:rPr>
        <w:t> </w:t>
      </w:r>
      <w:r>
        <w:rPr>
          <w:sz w:val="24"/>
          <w:szCs w:val="24"/>
        </w:rPr>
        <w:t>eur na kapitalizáciu existujúcich spoločnosti štátu. Naopak, rozpočet počítal s vyššími splátkami z poskytnutých NFV, a to hlavne u Agentúry pre núdzové zásoby ropy a ropných výrobkov o 33</w:t>
      </w:r>
      <w:r w:rsidR="0078224A">
        <w:rPr>
          <w:sz w:val="24"/>
          <w:szCs w:val="24"/>
        </w:rPr>
        <w:t> </w:t>
      </w:r>
      <w:r>
        <w:rPr>
          <w:sz w:val="24"/>
          <w:szCs w:val="24"/>
        </w:rPr>
        <w:t>000</w:t>
      </w:r>
      <w:r w:rsidR="0078224A">
        <w:rPr>
          <w:sz w:val="24"/>
          <w:szCs w:val="24"/>
        </w:rPr>
        <w:t> </w:t>
      </w:r>
      <w:r>
        <w:rPr>
          <w:sz w:val="24"/>
          <w:szCs w:val="24"/>
        </w:rPr>
        <w:t>tis.</w:t>
      </w:r>
      <w:r w:rsidR="0078224A">
        <w:rPr>
          <w:sz w:val="24"/>
          <w:szCs w:val="24"/>
        </w:rPr>
        <w:t> </w:t>
      </w:r>
      <w:r>
        <w:rPr>
          <w:sz w:val="24"/>
          <w:szCs w:val="24"/>
        </w:rPr>
        <w:t>eur.</w:t>
      </w:r>
    </w:p>
    <w:p w14:paraId="76241976" w14:textId="221942B0" w:rsidR="004D69BF" w:rsidRDefault="004D69BF" w:rsidP="004D69BF">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rPr>
          <w:sz w:val="24"/>
          <w:szCs w:val="24"/>
        </w:rPr>
      </w:pPr>
      <w:r w:rsidRPr="00BB092C">
        <w:rPr>
          <w:sz w:val="24"/>
          <w:szCs w:val="24"/>
          <w:u w:val="single"/>
        </w:rPr>
        <w:t>Rozpočtované výdavky štátnych finančných aktív</w:t>
      </w:r>
      <w:r w:rsidRPr="00BB092C">
        <w:rPr>
          <w:sz w:val="24"/>
          <w:szCs w:val="24"/>
        </w:rPr>
        <w:t xml:space="preserve"> pre rok 202</w:t>
      </w:r>
      <w:r>
        <w:rPr>
          <w:sz w:val="24"/>
          <w:szCs w:val="24"/>
        </w:rPr>
        <w:t>4</w:t>
      </w:r>
      <w:r w:rsidRPr="00BB092C">
        <w:rPr>
          <w:sz w:val="24"/>
          <w:szCs w:val="24"/>
        </w:rPr>
        <w:t xml:space="preserve"> boli v sume </w:t>
      </w:r>
      <w:r w:rsidR="0078224A">
        <w:rPr>
          <w:sz w:val="24"/>
          <w:szCs w:val="24"/>
        </w:rPr>
        <w:t>144 </w:t>
      </w:r>
      <w:r>
        <w:rPr>
          <w:sz w:val="24"/>
          <w:szCs w:val="24"/>
        </w:rPr>
        <w:t>869 </w:t>
      </w:r>
      <w:r w:rsidRPr="00BB092C">
        <w:rPr>
          <w:sz w:val="24"/>
          <w:szCs w:val="24"/>
        </w:rPr>
        <w:t>tis.</w:t>
      </w:r>
      <w:r>
        <w:rPr>
          <w:sz w:val="24"/>
          <w:szCs w:val="24"/>
        </w:rPr>
        <w:t> </w:t>
      </w:r>
      <w:r w:rsidRPr="00BB092C">
        <w:rPr>
          <w:sz w:val="24"/>
          <w:szCs w:val="24"/>
        </w:rPr>
        <w:t>eur</w:t>
      </w:r>
      <w:r>
        <w:rPr>
          <w:sz w:val="24"/>
          <w:szCs w:val="24"/>
        </w:rPr>
        <w:t>, z toho boli finančné operácie 21</w:t>
      </w:r>
      <w:r w:rsidR="0078224A">
        <w:rPr>
          <w:sz w:val="24"/>
          <w:szCs w:val="24"/>
        </w:rPr>
        <w:t> </w:t>
      </w:r>
      <w:r>
        <w:rPr>
          <w:sz w:val="24"/>
          <w:szCs w:val="24"/>
        </w:rPr>
        <w:t>319</w:t>
      </w:r>
      <w:r w:rsidR="0078224A">
        <w:rPr>
          <w:sz w:val="24"/>
          <w:szCs w:val="24"/>
        </w:rPr>
        <w:t> </w:t>
      </w:r>
      <w:r>
        <w:rPr>
          <w:sz w:val="24"/>
          <w:szCs w:val="24"/>
        </w:rPr>
        <w:t>tis.</w:t>
      </w:r>
      <w:r w:rsidR="0078224A">
        <w:rPr>
          <w:sz w:val="24"/>
          <w:szCs w:val="24"/>
        </w:rPr>
        <w:t> </w:t>
      </w:r>
      <w:r>
        <w:rPr>
          <w:sz w:val="24"/>
          <w:szCs w:val="24"/>
        </w:rPr>
        <w:t>eur.</w:t>
      </w:r>
      <w:r w:rsidRPr="00BB092C">
        <w:rPr>
          <w:sz w:val="24"/>
          <w:szCs w:val="24"/>
        </w:rPr>
        <w:t xml:space="preserve"> </w:t>
      </w:r>
      <w:r>
        <w:rPr>
          <w:sz w:val="24"/>
          <w:szCs w:val="24"/>
        </w:rPr>
        <w:t xml:space="preserve">V porovnaní s rozpočtom na rok 2023 sa predpokladalo vyššie použitie ŠFA úhrnom </w:t>
      </w:r>
      <w:r w:rsidR="0078224A">
        <w:rPr>
          <w:sz w:val="24"/>
          <w:szCs w:val="24"/>
        </w:rPr>
        <w:t>o 104 880 </w:t>
      </w:r>
      <w:r>
        <w:rPr>
          <w:sz w:val="24"/>
          <w:szCs w:val="24"/>
        </w:rPr>
        <w:t>tis.</w:t>
      </w:r>
      <w:r w:rsidR="0078224A">
        <w:rPr>
          <w:sz w:val="24"/>
          <w:szCs w:val="24"/>
        </w:rPr>
        <w:t> </w:t>
      </w:r>
      <w:r>
        <w:rPr>
          <w:sz w:val="24"/>
          <w:szCs w:val="24"/>
        </w:rPr>
        <w:t>eur. Realizácia záruk bola roz</w:t>
      </w:r>
      <w:r w:rsidR="0078224A">
        <w:rPr>
          <w:sz w:val="24"/>
          <w:szCs w:val="24"/>
        </w:rPr>
        <w:t>počtovaná mierne vyššia (20 780 </w:t>
      </w:r>
      <w:r>
        <w:rPr>
          <w:sz w:val="24"/>
          <w:szCs w:val="24"/>
        </w:rPr>
        <w:t>tis.</w:t>
      </w:r>
      <w:r w:rsidR="0078224A">
        <w:rPr>
          <w:sz w:val="24"/>
          <w:szCs w:val="24"/>
        </w:rPr>
        <w:t> </w:t>
      </w:r>
      <w:r>
        <w:rPr>
          <w:sz w:val="24"/>
          <w:szCs w:val="24"/>
        </w:rPr>
        <w:t>eur) ako v roku 2023 (18</w:t>
      </w:r>
      <w:r w:rsidR="0078224A">
        <w:rPr>
          <w:sz w:val="24"/>
          <w:szCs w:val="24"/>
        </w:rPr>
        <w:t> </w:t>
      </w:r>
      <w:r>
        <w:rPr>
          <w:sz w:val="24"/>
          <w:szCs w:val="24"/>
        </w:rPr>
        <w:t>309</w:t>
      </w:r>
      <w:r w:rsidR="0078224A">
        <w:rPr>
          <w:sz w:val="24"/>
          <w:szCs w:val="24"/>
        </w:rPr>
        <w:t> </w:t>
      </w:r>
      <w:r>
        <w:rPr>
          <w:sz w:val="24"/>
          <w:szCs w:val="24"/>
        </w:rPr>
        <w:t>tis.</w:t>
      </w:r>
      <w:r w:rsidR="0078224A">
        <w:rPr>
          <w:sz w:val="24"/>
          <w:szCs w:val="24"/>
        </w:rPr>
        <w:t> </w:t>
      </w:r>
      <w:r>
        <w:rPr>
          <w:sz w:val="24"/>
          <w:szCs w:val="24"/>
        </w:rPr>
        <w:t>eur). Nižšie sa plánovali vklady do kapitálovej účasti v medziná</w:t>
      </w:r>
      <w:r w:rsidR="0078224A">
        <w:rPr>
          <w:sz w:val="24"/>
          <w:szCs w:val="24"/>
        </w:rPr>
        <w:t>rodnej organizácii IDA, o 2 880 </w:t>
      </w:r>
      <w:r>
        <w:rPr>
          <w:sz w:val="24"/>
          <w:szCs w:val="24"/>
        </w:rPr>
        <w:t>tis.</w:t>
      </w:r>
      <w:r w:rsidR="0078224A">
        <w:rPr>
          <w:sz w:val="24"/>
          <w:szCs w:val="24"/>
        </w:rPr>
        <w:t> </w:t>
      </w:r>
      <w:r>
        <w:rPr>
          <w:sz w:val="24"/>
          <w:szCs w:val="24"/>
        </w:rPr>
        <w:t xml:space="preserve">eur. </w:t>
      </w:r>
      <w:r>
        <w:rPr>
          <w:sz w:val="24"/>
          <w:szCs w:val="24"/>
        </w:rPr>
        <w:lastRenderedPageBreak/>
        <w:t>Vyššie použitie ŠFA sa predpokladalo na vklady do tuzemskej spoloč</w:t>
      </w:r>
      <w:r w:rsidR="0078224A">
        <w:rPr>
          <w:sz w:val="24"/>
          <w:szCs w:val="24"/>
        </w:rPr>
        <w:t>nosti Valaliky Industrial Park, </w:t>
      </w:r>
      <w:r>
        <w:rPr>
          <w:sz w:val="24"/>
          <w:szCs w:val="24"/>
        </w:rPr>
        <w:t>s.</w:t>
      </w:r>
      <w:r w:rsidR="0078224A">
        <w:rPr>
          <w:sz w:val="24"/>
          <w:szCs w:val="24"/>
        </w:rPr>
        <w:t> </w:t>
      </w:r>
      <w:r>
        <w:rPr>
          <w:sz w:val="24"/>
          <w:szCs w:val="24"/>
        </w:rPr>
        <w:t>r.</w:t>
      </w:r>
      <w:r w:rsidR="0078224A">
        <w:rPr>
          <w:sz w:val="24"/>
          <w:szCs w:val="24"/>
        </w:rPr>
        <w:t> </w:t>
      </w:r>
      <w:r>
        <w:rPr>
          <w:sz w:val="24"/>
          <w:szCs w:val="24"/>
        </w:rPr>
        <w:t>o.,</w:t>
      </w:r>
      <w:r w:rsidR="0078224A">
        <w:rPr>
          <w:sz w:val="24"/>
          <w:szCs w:val="24"/>
        </w:rPr>
        <w:t xml:space="preserve"> 114 400 </w:t>
      </w:r>
      <w:r>
        <w:rPr>
          <w:sz w:val="24"/>
          <w:szCs w:val="24"/>
        </w:rPr>
        <w:t>tis.</w:t>
      </w:r>
      <w:r w:rsidR="0078224A">
        <w:rPr>
          <w:sz w:val="24"/>
          <w:szCs w:val="24"/>
        </w:rPr>
        <w:t> </w:t>
      </w:r>
      <w:r>
        <w:rPr>
          <w:sz w:val="24"/>
          <w:szCs w:val="24"/>
        </w:rPr>
        <w:t>eur, na financovanie významnej investície „Strategické územie Valaliky“ a „Strategické územie Valali</w:t>
      </w:r>
      <w:r w:rsidR="0078224A">
        <w:rPr>
          <w:sz w:val="24"/>
          <w:szCs w:val="24"/>
        </w:rPr>
        <w:t>ky – rozvoj verejných služieb“.</w:t>
      </w:r>
    </w:p>
    <w:p w14:paraId="61F1B741" w14:textId="7E061834" w:rsidR="004D69BF" w:rsidRDefault="004D69BF" w:rsidP="004D69BF">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rPr>
          <w:sz w:val="24"/>
          <w:szCs w:val="24"/>
        </w:rPr>
      </w:pPr>
      <w:r w:rsidRPr="00105924">
        <w:rPr>
          <w:b/>
          <w:sz w:val="24"/>
          <w:szCs w:val="24"/>
        </w:rPr>
        <w:t>Celkové saldo príjmov a výdavkov ŠFA v roku 202</w:t>
      </w:r>
      <w:r>
        <w:rPr>
          <w:b/>
          <w:sz w:val="24"/>
          <w:szCs w:val="24"/>
        </w:rPr>
        <w:t>4</w:t>
      </w:r>
      <w:r w:rsidRPr="00105924">
        <w:rPr>
          <w:b/>
          <w:sz w:val="24"/>
          <w:szCs w:val="24"/>
        </w:rPr>
        <w:t xml:space="preserve"> sa </w:t>
      </w:r>
      <w:r>
        <w:rPr>
          <w:b/>
          <w:sz w:val="24"/>
          <w:szCs w:val="24"/>
        </w:rPr>
        <w:t>na</w:t>
      </w:r>
      <w:r w:rsidR="0078224A">
        <w:rPr>
          <w:b/>
          <w:sz w:val="24"/>
          <w:szCs w:val="24"/>
        </w:rPr>
        <w:t> </w:t>
      </w:r>
      <w:r>
        <w:rPr>
          <w:b/>
          <w:sz w:val="24"/>
          <w:szCs w:val="24"/>
        </w:rPr>
        <w:t xml:space="preserve">hotovostnom princípe </w:t>
      </w:r>
      <w:r w:rsidRPr="00105924">
        <w:rPr>
          <w:b/>
          <w:sz w:val="24"/>
          <w:szCs w:val="24"/>
        </w:rPr>
        <w:t xml:space="preserve">rozpočtovalo v sume </w:t>
      </w:r>
      <w:r>
        <w:rPr>
          <w:b/>
          <w:sz w:val="24"/>
          <w:szCs w:val="24"/>
        </w:rPr>
        <w:t>-</w:t>
      </w:r>
      <w:r w:rsidR="0078224A">
        <w:rPr>
          <w:b/>
          <w:sz w:val="24"/>
          <w:szCs w:val="24"/>
        </w:rPr>
        <w:t> </w:t>
      </w:r>
      <w:r>
        <w:rPr>
          <w:b/>
          <w:sz w:val="24"/>
          <w:szCs w:val="24"/>
        </w:rPr>
        <w:t>41</w:t>
      </w:r>
      <w:r w:rsidR="0078224A">
        <w:rPr>
          <w:b/>
          <w:sz w:val="24"/>
          <w:szCs w:val="24"/>
        </w:rPr>
        <w:t> </w:t>
      </w:r>
      <w:r>
        <w:rPr>
          <w:b/>
          <w:sz w:val="24"/>
          <w:szCs w:val="24"/>
        </w:rPr>
        <w:t>444</w:t>
      </w:r>
      <w:r w:rsidR="0078224A">
        <w:rPr>
          <w:b/>
          <w:sz w:val="24"/>
          <w:szCs w:val="24"/>
        </w:rPr>
        <w:t> </w:t>
      </w:r>
      <w:r>
        <w:rPr>
          <w:b/>
          <w:sz w:val="24"/>
          <w:szCs w:val="24"/>
        </w:rPr>
        <w:t>tis.</w:t>
      </w:r>
      <w:r w:rsidR="0078224A">
        <w:rPr>
          <w:b/>
          <w:sz w:val="24"/>
          <w:szCs w:val="24"/>
        </w:rPr>
        <w:t> </w:t>
      </w:r>
      <w:r>
        <w:rPr>
          <w:b/>
          <w:sz w:val="24"/>
          <w:szCs w:val="24"/>
        </w:rPr>
        <w:t>eur,</w:t>
      </w:r>
      <w:r>
        <w:rPr>
          <w:sz w:val="24"/>
          <w:szCs w:val="24"/>
        </w:rPr>
        <w:t xml:space="preserve"> po vylúčení fi</w:t>
      </w:r>
      <w:r w:rsidR="0078224A">
        <w:rPr>
          <w:sz w:val="24"/>
          <w:szCs w:val="24"/>
        </w:rPr>
        <w:t>nančných operácií v sume 82 097 </w:t>
      </w:r>
      <w:r>
        <w:rPr>
          <w:sz w:val="24"/>
          <w:szCs w:val="24"/>
        </w:rPr>
        <w:t>tis.</w:t>
      </w:r>
      <w:r w:rsidR="0078224A">
        <w:rPr>
          <w:sz w:val="24"/>
          <w:szCs w:val="24"/>
        </w:rPr>
        <w:t> </w:t>
      </w:r>
      <w:r>
        <w:rPr>
          <w:sz w:val="24"/>
          <w:szCs w:val="24"/>
        </w:rPr>
        <w:t>eur predstavovalo plánované saldo ŠFA v metodike ESA 2010 sumu -</w:t>
      </w:r>
      <w:r w:rsidR="0078224A">
        <w:rPr>
          <w:sz w:val="24"/>
          <w:szCs w:val="24"/>
        </w:rPr>
        <w:t> </w:t>
      </w:r>
      <w:r>
        <w:rPr>
          <w:sz w:val="24"/>
          <w:szCs w:val="24"/>
        </w:rPr>
        <w:t>123</w:t>
      </w:r>
      <w:r w:rsidR="0078224A">
        <w:rPr>
          <w:sz w:val="24"/>
          <w:szCs w:val="24"/>
        </w:rPr>
        <w:t> </w:t>
      </w:r>
      <w:r>
        <w:rPr>
          <w:sz w:val="24"/>
          <w:szCs w:val="24"/>
        </w:rPr>
        <w:t>541</w:t>
      </w:r>
      <w:r w:rsidR="0078224A">
        <w:rPr>
          <w:sz w:val="24"/>
          <w:szCs w:val="24"/>
        </w:rPr>
        <w:t> </w:t>
      </w:r>
      <w:r>
        <w:rPr>
          <w:sz w:val="24"/>
          <w:szCs w:val="24"/>
        </w:rPr>
        <w:t>tis.</w:t>
      </w:r>
      <w:r w:rsidR="0078224A">
        <w:rPr>
          <w:sz w:val="24"/>
          <w:szCs w:val="24"/>
        </w:rPr>
        <w:t> </w:t>
      </w:r>
      <w:r>
        <w:rPr>
          <w:sz w:val="24"/>
          <w:szCs w:val="24"/>
        </w:rPr>
        <w:t>eur.</w:t>
      </w:r>
      <w:r w:rsidRPr="008925D3">
        <w:rPr>
          <w:sz w:val="24"/>
          <w:szCs w:val="24"/>
        </w:rPr>
        <w:t xml:space="preserve"> Skutočné </w:t>
      </w:r>
      <w:r>
        <w:rPr>
          <w:sz w:val="24"/>
          <w:szCs w:val="24"/>
        </w:rPr>
        <w:t>pohyby na</w:t>
      </w:r>
      <w:r w:rsidRPr="008925D3">
        <w:rPr>
          <w:sz w:val="24"/>
          <w:szCs w:val="24"/>
        </w:rPr>
        <w:t xml:space="preserve"> vybraných účtov ŠFA predstavoval</w:t>
      </w:r>
      <w:r>
        <w:rPr>
          <w:sz w:val="24"/>
          <w:szCs w:val="24"/>
        </w:rPr>
        <w:t>i</w:t>
      </w:r>
      <w:r w:rsidRPr="008925D3">
        <w:rPr>
          <w:sz w:val="24"/>
          <w:szCs w:val="24"/>
        </w:rPr>
        <w:t xml:space="preserve"> ich medziročné zníženie </w:t>
      </w:r>
      <w:r w:rsidR="0078224A">
        <w:rPr>
          <w:sz w:val="24"/>
          <w:szCs w:val="24"/>
        </w:rPr>
        <w:t>až o 504 </w:t>
      </w:r>
      <w:r>
        <w:rPr>
          <w:sz w:val="24"/>
          <w:szCs w:val="24"/>
        </w:rPr>
        <w:t>105 </w:t>
      </w:r>
      <w:r w:rsidRPr="008925D3">
        <w:rPr>
          <w:sz w:val="24"/>
          <w:szCs w:val="24"/>
        </w:rPr>
        <w:t>tis.</w:t>
      </w:r>
      <w:r>
        <w:rPr>
          <w:sz w:val="24"/>
          <w:szCs w:val="24"/>
        </w:rPr>
        <w:t> </w:t>
      </w:r>
      <w:r w:rsidRPr="008925D3">
        <w:rPr>
          <w:sz w:val="24"/>
          <w:szCs w:val="24"/>
        </w:rPr>
        <w:t>eur.</w:t>
      </w:r>
    </w:p>
    <w:p w14:paraId="11102E54" w14:textId="28C2C1AD" w:rsidR="004D69BF" w:rsidRPr="00C9112A" w:rsidRDefault="004D69BF" w:rsidP="004D69BF">
      <w:pPr>
        <w:spacing w:line="240" w:lineRule="auto"/>
        <w:rPr>
          <w:i/>
          <w:sz w:val="24"/>
          <w:szCs w:val="24"/>
        </w:rPr>
      </w:pPr>
      <w:r>
        <w:rPr>
          <w:i/>
          <w:sz w:val="24"/>
          <w:szCs w:val="24"/>
          <w:u w:val="single"/>
        </w:rPr>
        <w:t>Účet ú</w:t>
      </w:r>
      <w:r w:rsidRPr="00C9112A">
        <w:rPr>
          <w:i/>
          <w:sz w:val="24"/>
          <w:szCs w:val="24"/>
          <w:u w:val="single"/>
        </w:rPr>
        <w:t>čelov</w:t>
      </w:r>
      <w:r>
        <w:rPr>
          <w:i/>
          <w:sz w:val="24"/>
          <w:szCs w:val="24"/>
          <w:u w:val="single"/>
        </w:rPr>
        <w:t>ých</w:t>
      </w:r>
      <w:r w:rsidRPr="00C9112A">
        <w:rPr>
          <w:i/>
          <w:sz w:val="24"/>
          <w:szCs w:val="24"/>
          <w:u w:val="single"/>
        </w:rPr>
        <w:t xml:space="preserve"> prostriedk</w:t>
      </w:r>
      <w:r>
        <w:rPr>
          <w:i/>
          <w:sz w:val="24"/>
          <w:szCs w:val="24"/>
          <w:u w:val="single"/>
        </w:rPr>
        <w:t>ov</w:t>
      </w:r>
      <w:r w:rsidRPr="00C9112A">
        <w:rPr>
          <w:i/>
          <w:sz w:val="24"/>
          <w:szCs w:val="24"/>
          <w:u w:val="single"/>
        </w:rPr>
        <w:t xml:space="preserve"> FNM/MH Manažment,</w:t>
      </w:r>
      <w:r w:rsidR="0078224A">
        <w:rPr>
          <w:i/>
          <w:sz w:val="24"/>
          <w:szCs w:val="24"/>
          <w:u w:val="single"/>
        </w:rPr>
        <w:t> </w:t>
      </w:r>
      <w:r w:rsidRPr="00C9112A">
        <w:rPr>
          <w:i/>
          <w:sz w:val="24"/>
          <w:szCs w:val="24"/>
          <w:u w:val="single"/>
        </w:rPr>
        <w:t>a.</w:t>
      </w:r>
      <w:r w:rsidR="0078224A">
        <w:rPr>
          <w:i/>
          <w:sz w:val="24"/>
          <w:szCs w:val="24"/>
          <w:u w:val="single"/>
        </w:rPr>
        <w:t> </w:t>
      </w:r>
      <w:r w:rsidRPr="00C9112A">
        <w:rPr>
          <w:i/>
          <w:sz w:val="24"/>
          <w:szCs w:val="24"/>
          <w:u w:val="single"/>
        </w:rPr>
        <w:t>s</w:t>
      </w:r>
      <w:r w:rsidRPr="00C9112A">
        <w:rPr>
          <w:i/>
          <w:sz w:val="24"/>
          <w:szCs w:val="24"/>
        </w:rPr>
        <w:t xml:space="preserve">. </w:t>
      </w:r>
      <w:r w:rsidRPr="00C9112A">
        <w:rPr>
          <w:sz w:val="24"/>
          <w:szCs w:val="24"/>
        </w:rPr>
        <w:t>bol v minulosti tvoren</w:t>
      </w:r>
      <w:r>
        <w:rPr>
          <w:sz w:val="24"/>
          <w:szCs w:val="24"/>
        </w:rPr>
        <w:t>ý</w:t>
      </w:r>
      <w:r w:rsidRPr="00C9112A">
        <w:rPr>
          <w:sz w:val="24"/>
          <w:szCs w:val="24"/>
        </w:rPr>
        <w:t xml:space="preserve"> najmä prevodom dividend obchodných spoločností štátu, v ktorých podiely do roku 2016 sp</w:t>
      </w:r>
      <w:r w:rsidR="0078224A">
        <w:rPr>
          <w:sz w:val="24"/>
          <w:szCs w:val="24"/>
        </w:rPr>
        <w:t>ravoval Fond národného majetku.</w:t>
      </w:r>
    </w:p>
    <w:p w14:paraId="34CE0DB4" w14:textId="572951A7" w:rsidR="004D69BF" w:rsidRDefault="004D69BF" w:rsidP="004D69BF">
      <w:pPr>
        <w:spacing w:line="240" w:lineRule="auto"/>
        <w:rPr>
          <w:sz w:val="24"/>
          <w:szCs w:val="24"/>
        </w:rPr>
      </w:pPr>
      <w:r>
        <w:rPr>
          <w:sz w:val="24"/>
          <w:szCs w:val="24"/>
        </w:rPr>
        <w:t>Medziročné zníženie stavu tohto účtu o</w:t>
      </w:r>
      <w:r w:rsidR="0078224A">
        <w:rPr>
          <w:sz w:val="24"/>
          <w:szCs w:val="24"/>
        </w:rPr>
        <w:t> </w:t>
      </w:r>
      <w:r>
        <w:rPr>
          <w:sz w:val="24"/>
          <w:szCs w:val="24"/>
        </w:rPr>
        <w:t>147</w:t>
      </w:r>
      <w:r w:rsidR="0078224A">
        <w:rPr>
          <w:sz w:val="24"/>
          <w:szCs w:val="24"/>
        </w:rPr>
        <w:t> </w:t>
      </w:r>
      <w:r>
        <w:rPr>
          <w:sz w:val="24"/>
          <w:szCs w:val="24"/>
        </w:rPr>
        <w:t>391 tis. eur spôsobili na jednej strane príjmy v</w:t>
      </w:r>
      <w:r w:rsidR="0078224A">
        <w:rPr>
          <w:sz w:val="24"/>
          <w:szCs w:val="24"/>
        </w:rPr>
        <w:t> </w:t>
      </w:r>
      <w:r>
        <w:rPr>
          <w:sz w:val="24"/>
          <w:szCs w:val="24"/>
        </w:rPr>
        <w:t>sume 34</w:t>
      </w:r>
      <w:r w:rsidR="0078224A">
        <w:rPr>
          <w:sz w:val="24"/>
          <w:szCs w:val="24"/>
        </w:rPr>
        <w:t> </w:t>
      </w:r>
      <w:r>
        <w:rPr>
          <w:sz w:val="24"/>
          <w:szCs w:val="24"/>
        </w:rPr>
        <w:t>711 tis. eur a na druhej strane použitie v sume 182</w:t>
      </w:r>
      <w:r w:rsidR="0078224A">
        <w:rPr>
          <w:sz w:val="24"/>
          <w:szCs w:val="24"/>
        </w:rPr>
        <w:t> </w:t>
      </w:r>
      <w:r>
        <w:rPr>
          <w:sz w:val="24"/>
          <w:szCs w:val="24"/>
        </w:rPr>
        <w:t xml:space="preserve">101 tis. eur. Príjmy tvorili rozpočtované splátky NFV v sume 300 tis. eur od Univerzity P. J. Šafárika. Nad rámec rozpočtu </w:t>
      </w:r>
      <w:r w:rsidR="0078224A">
        <w:rPr>
          <w:sz w:val="24"/>
          <w:szCs w:val="24"/>
        </w:rPr>
        <w:t>sa tento účet posilnil o 29 426 </w:t>
      </w:r>
      <w:r>
        <w:rPr>
          <w:sz w:val="24"/>
          <w:szCs w:val="24"/>
        </w:rPr>
        <w:t>tis.</w:t>
      </w:r>
      <w:r w:rsidR="0078224A">
        <w:rPr>
          <w:sz w:val="24"/>
          <w:szCs w:val="24"/>
        </w:rPr>
        <w:t> </w:t>
      </w:r>
      <w:r>
        <w:rPr>
          <w:sz w:val="24"/>
          <w:szCs w:val="24"/>
        </w:rPr>
        <w:t>eur z dôvodu vrátania blokovaných prostriedkov na účte banky BNP Paribas, po ukončení sporu so spoločnosťou Achmea B.V. Minist</w:t>
      </w:r>
      <w:r w:rsidR="0078224A">
        <w:rPr>
          <w:sz w:val="24"/>
          <w:szCs w:val="24"/>
        </w:rPr>
        <w:t>erstvo dopravy SR vrátilo 3 500 tis. </w:t>
      </w:r>
      <w:r>
        <w:rPr>
          <w:sz w:val="24"/>
          <w:szCs w:val="24"/>
        </w:rPr>
        <w:t>eur z dôvodu, že neprišlo k zvýšeniu základného imania štátneho podniku Letové prevádzkové služby SR,</w:t>
      </w:r>
      <w:r w:rsidR="0078224A">
        <w:rPr>
          <w:sz w:val="24"/>
          <w:szCs w:val="24"/>
        </w:rPr>
        <w:t> </w:t>
      </w:r>
      <w:r>
        <w:rPr>
          <w:sz w:val="24"/>
          <w:szCs w:val="24"/>
        </w:rPr>
        <w:t>š.</w:t>
      </w:r>
      <w:r w:rsidR="0078224A">
        <w:rPr>
          <w:sz w:val="24"/>
          <w:szCs w:val="24"/>
        </w:rPr>
        <w:t> </w:t>
      </w:r>
      <w:r>
        <w:rPr>
          <w:sz w:val="24"/>
          <w:szCs w:val="24"/>
        </w:rPr>
        <w:t>p. Splátky z realiz</w:t>
      </w:r>
      <w:r w:rsidR="0078224A">
        <w:rPr>
          <w:sz w:val="24"/>
          <w:szCs w:val="24"/>
        </w:rPr>
        <w:t>ovaných záruk predstavovali 975 </w:t>
      </w:r>
      <w:r>
        <w:rPr>
          <w:sz w:val="24"/>
          <w:szCs w:val="24"/>
        </w:rPr>
        <w:t>tis.</w:t>
      </w:r>
      <w:r w:rsidR="0078224A">
        <w:rPr>
          <w:sz w:val="24"/>
          <w:szCs w:val="24"/>
        </w:rPr>
        <w:t> </w:t>
      </w:r>
      <w:r>
        <w:rPr>
          <w:sz w:val="24"/>
          <w:szCs w:val="24"/>
        </w:rPr>
        <w:t>eur a</w:t>
      </w:r>
      <w:r w:rsidR="0078224A">
        <w:rPr>
          <w:sz w:val="24"/>
          <w:szCs w:val="24"/>
        </w:rPr>
        <w:t> </w:t>
      </w:r>
      <w:r>
        <w:rPr>
          <w:sz w:val="24"/>
          <w:szCs w:val="24"/>
        </w:rPr>
        <w:t>486</w:t>
      </w:r>
      <w:r w:rsidR="0078224A">
        <w:rPr>
          <w:sz w:val="24"/>
          <w:szCs w:val="24"/>
        </w:rPr>
        <w:t> </w:t>
      </w:r>
      <w:r>
        <w:rPr>
          <w:sz w:val="24"/>
          <w:szCs w:val="24"/>
        </w:rPr>
        <w:t>tis.</w:t>
      </w:r>
      <w:r w:rsidR="0078224A">
        <w:rPr>
          <w:sz w:val="24"/>
          <w:szCs w:val="24"/>
        </w:rPr>
        <w:t> </w:t>
      </w:r>
      <w:r>
        <w:rPr>
          <w:sz w:val="24"/>
          <w:szCs w:val="24"/>
        </w:rPr>
        <w:t>eur bolo z likvidačného zostatku spoločnosti Breitspur (pod</w:t>
      </w:r>
      <w:r w:rsidR="00922722">
        <w:rPr>
          <w:sz w:val="24"/>
          <w:szCs w:val="24"/>
        </w:rPr>
        <w:t> </w:t>
      </w:r>
      <w:r>
        <w:rPr>
          <w:sz w:val="24"/>
          <w:szCs w:val="24"/>
        </w:rPr>
        <w:t>Ministerstvom dopravy SR).</w:t>
      </w:r>
    </w:p>
    <w:p w14:paraId="5FF08D47" w14:textId="0DB63D99" w:rsidR="004D69BF" w:rsidRDefault="004D69BF" w:rsidP="004D69BF">
      <w:pPr>
        <w:spacing w:line="240" w:lineRule="auto"/>
        <w:rPr>
          <w:sz w:val="24"/>
          <w:szCs w:val="24"/>
        </w:rPr>
      </w:pPr>
      <w:r>
        <w:rPr>
          <w:sz w:val="24"/>
          <w:szCs w:val="24"/>
        </w:rPr>
        <w:t>Na strane výdavkov sa realizoval najmä transfer Ministerstvu zdravotníctva</w:t>
      </w:r>
      <w:r w:rsidR="0078224A">
        <w:rPr>
          <w:sz w:val="24"/>
          <w:szCs w:val="24"/>
        </w:rPr>
        <w:t xml:space="preserve"> SR podľa uznesenia vlády SR č.</w:t>
      </w:r>
      <w:r w:rsidR="0078224A">
        <w:t> </w:t>
      </w:r>
      <w:r>
        <w:rPr>
          <w:sz w:val="24"/>
          <w:szCs w:val="24"/>
        </w:rPr>
        <w:t>761/2022 k Návrhu následnej finančnej stabiliz</w:t>
      </w:r>
      <w:r w:rsidR="00F07C0E">
        <w:rPr>
          <w:sz w:val="24"/>
          <w:szCs w:val="24"/>
        </w:rPr>
        <w:t>ácie zdravotníckych zariadení v </w:t>
      </w:r>
      <w:r>
        <w:rPr>
          <w:sz w:val="24"/>
          <w:szCs w:val="24"/>
        </w:rPr>
        <w:t>sume 166</w:t>
      </w:r>
      <w:r w:rsidR="0078224A">
        <w:rPr>
          <w:sz w:val="24"/>
          <w:szCs w:val="24"/>
        </w:rPr>
        <w:t> </w:t>
      </w:r>
      <w:r>
        <w:rPr>
          <w:sz w:val="24"/>
          <w:szCs w:val="24"/>
        </w:rPr>
        <w:t>845</w:t>
      </w:r>
      <w:r w:rsidR="0078224A">
        <w:rPr>
          <w:sz w:val="24"/>
          <w:szCs w:val="24"/>
        </w:rPr>
        <w:t> </w:t>
      </w:r>
      <w:r>
        <w:rPr>
          <w:sz w:val="24"/>
          <w:szCs w:val="24"/>
        </w:rPr>
        <w:t>tis.</w:t>
      </w:r>
      <w:r w:rsidR="0078224A">
        <w:rPr>
          <w:sz w:val="24"/>
          <w:szCs w:val="24"/>
        </w:rPr>
        <w:t> </w:t>
      </w:r>
      <w:r>
        <w:rPr>
          <w:sz w:val="24"/>
          <w:szCs w:val="24"/>
        </w:rPr>
        <w:t>eur, realizácia COVID záruk poskytovaných Eximbankou, Slovenskou záručnou a rozvojovou bankou</w:t>
      </w:r>
      <w:r w:rsidR="00922722">
        <w:rPr>
          <w:sz w:val="24"/>
          <w:szCs w:val="24"/>
        </w:rPr>
        <w:t xml:space="preserve"> a National Development Fund v </w:t>
      </w:r>
      <w:r w:rsidR="0078224A">
        <w:rPr>
          <w:sz w:val="24"/>
          <w:szCs w:val="24"/>
        </w:rPr>
        <w:t>sume 6 </w:t>
      </w:r>
      <w:r>
        <w:rPr>
          <w:sz w:val="24"/>
          <w:szCs w:val="24"/>
        </w:rPr>
        <w:t>358 tis. eur, transfer Ministerstvu vnútra SR na zvýšenie základného imania spol</w:t>
      </w:r>
      <w:r w:rsidR="0078224A">
        <w:rPr>
          <w:sz w:val="24"/>
          <w:szCs w:val="24"/>
        </w:rPr>
        <w:t>očnosti Automobilové opravovne, </w:t>
      </w:r>
      <w:r>
        <w:rPr>
          <w:sz w:val="24"/>
          <w:szCs w:val="24"/>
        </w:rPr>
        <w:t>a.</w:t>
      </w:r>
      <w:r w:rsidR="0078224A">
        <w:rPr>
          <w:sz w:val="24"/>
          <w:szCs w:val="24"/>
        </w:rPr>
        <w:t> </w:t>
      </w:r>
      <w:r>
        <w:rPr>
          <w:sz w:val="24"/>
          <w:szCs w:val="24"/>
        </w:rPr>
        <w:t>s. o 3</w:t>
      </w:r>
      <w:r w:rsidR="0078224A">
        <w:rPr>
          <w:sz w:val="24"/>
          <w:szCs w:val="24"/>
        </w:rPr>
        <w:t> </w:t>
      </w:r>
      <w:r>
        <w:rPr>
          <w:sz w:val="24"/>
          <w:szCs w:val="24"/>
        </w:rPr>
        <w:t>500</w:t>
      </w:r>
      <w:r w:rsidR="0078224A">
        <w:rPr>
          <w:sz w:val="24"/>
          <w:szCs w:val="24"/>
        </w:rPr>
        <w:t> </w:t>
      </w:r>
      <w:r>
        <w:rPr>
          <w:sz w:val="24"/>
          <w:szCs w:val="24"/>
        </w:rPr>
        <w:t>tis.</w:t>
      </w:r>
      <w:r w:rsidR="0078224A">
        <w:rPr>
          <w:sz w:val="24"/>
          <w:szCs w:val="24"/>
        </w:rPr>
        <w:t> </w:t>
      </w:r>
      <w:r>
        <w:rPr>
          <w:sz w:val="24"/>
          <w:szCs w:val="24"/>
        </w:rPr>
        <w:t>eur a vklady do zahraničn</w:t>
      </w:r>
      <w:r w:rsidR="0078224A">
        <w:rPr>
          <w:sz w:val="24"/>
          <w:szCs w:val="24"/>
        </w:rPr>
        <w:t>ých finančných inštitúcií 5 397 </w:t>
      </w:r>
      <w:r>
        <w:rPr>
          <w:sz w:val="24"/>
          <w:szCs w:val="24"/>
        </w:rPr>
        <w:t>tis</w:t>
      </w:r>
      <w:r w:rsidR="0078224A">
        <w:rPr>
          <w:sz w:val="24"/>
          <w:szCs w:val="24"/>
        </w:rPr>
        <w:t> </w:t>
      </w:r>
      <w:r>
        <w:rPr>
          <w:sz w:val="24"/>
          <w:szCs w:val="24"/>
        </w:rPr>
        <w:t>eur, z toho 2</w:t>
      </w:r>
      <w:r w:rsidR="0078224A">
        <w:rPr>
          <w:sz w:val="24"/>
          <w:szCs w:val="24"/>
        </w:rPr>
        <w:t> </w:t>
      </w:r>
      <w:r>
        <w:rPr>
          <w:sz w:val="24"/>
          <w:szCs w:val="24"/>
        </w:rPr>
        <w:t>003</w:t>
      </w:r>
      <w:r w:rsidR="0078224A">
        <w:rPr>
          <w:sz w:val="24"/>
          <w:szCs w:val="24"/>
        </w:rPr>
        <w:t> </w:t>
      </w:r>
      <w:r>
        <w:rPr>
          <w:sz w:val="24"/>
          <w:szCs w:val="24"/>
        </w:rPr>
        <w:t>tis.</w:t>
      </w:r>
      <w:r w:rsidR="0078224A">
        <w:rPr>
          <w:sz w:val="24"/>
          <w:szCs w:val="24"/>
        </w:rPr>
        <w:t> </w:t>
      </w:r>
      <w:r>
        <w:rPr>
          <w:sz w:val="24"/>
          <w:szCs w:val="24"/>
        </w:rPr>
        <w:t>eur na úhradu tretej platby do IFC v súvislosti so všeobecným a selektívnym nav</w:t>
      </w:r>
      <w:r w:rsidR="0078224A">
        <w:rPr>
          <w:sz w:val="24"/>
          <w:szCs w:val="24"/>
        </w:rPr>
        <w:t>ýšením základného imania, 2 077 </w:t>
      </w:r>
      <w:r>
        <w:rPr>
          <w:sz w:val="24"/>
          <w:szCs w:val="24"/>
        </w:rPr>
        <w:t>tis.</w:t>
      </w:r>
      <w:r w:rsidR="0078224A">
        <w:rPr>
          <w:sz w:val="24"/>
          <w:szCs w:val="24"/>
        </w:rPr>
        <w:t> </w:t>
      </w:r>
      <w:r>
        <w:rPr>
          <w:sz w:val="24"/>
          <w:szCs w:val="24"/>
        </w:rPr>
        <w:t>eur úhrada prvej a druhej splátky na</w:t>
      </w:r>
      <w:r w:rsidR="00922722">
        <w:rPr>
          <w:sz w:val="24"/>
          <w:szCs w:val="24"/>
        </w:rPr>
        <w:t> </w:t>
      </w:r>
      <w:r>
        <w:rPr>
          <w:sz w:val="24"/>
          <w:szCs w:val="24"/>
        </w:rPr>
        <w:t>zvýšení kapitálou Rozvo</w:t>
      </w:r>
      <w:r w:rsidR="0078224A">
        <w:rPr>
          <w:sz w:val="24"/>
          <w:szCs w:val="24"/>
        </w:rPr>
        <w:t>jovej banky Rady Európy a 1 187 </w:t>
      </w:r>
      <w:r>
        <w:rPr>
          <w:sz w:val="24"/>
          <w:szCs w:val="24"/>
        </w:rPr>
        <w:t>tis.</w:t>
      </w:r>
      <w:r w:rsidR="0078224A">
        <w:rPr>
          <w:sz w:val="24"/>
          <w:szCs w:val="24"/>
        </w:rPr>
        <w:t> </w:t>
      </w:r>
      <w:r w:rsidR="00922722">
        <w:rPr>
          <w:sz w:val="24"/>
          <w:szCs w:val="24"/>
        </w:rPr>
        <w:t>eur do EIB na </w:t>
      </w:r>
      <w:r>
        <w:rPr>
          <w:sz w:val="24"/>
          <w:szCs w:val="24"/>
        </w:rPr>
        <w:t>úhradu výdavkov vo vzťahu k Dohode</w:t>
      </w:r>
      <w:r w:rsidRPr="00DF2E9D">
        <w:t xml:space="preserve"> </w:t>
      </w:r>
      <w:r w:rsidR="0078224A">
        <w:rPr>
          <w:sz w:val="24"/>
          <w:szCs w:val="24"/>
        </w:rPr>
        <w:t>o</w:t>
      </w:r>
      <w:r w:rsidR="00F07C0E">
        <w:rPr>
          <w:sz w:val="24"/>
          <w:szCs w:val="24"/>
        </w:rPr>
        <w:t> </w:t>
      </w:r>
      <w:r w:rsidR="0078224A">
        <w:rPr>
          <w:sz w:val="24"/>
          <w:szCs w:val="24"/>
        </w:rPr>
        <w:t>príspevku pre</w:t>
      </w:r>
      <w:r w:rsidR="00F07C0E">
        <w:rPr>
          <w:sz w:val="24"/>
          <w:szCs w:val="24"/>
        </w:rPr>
        <w:t> </w:t>
      </w:r>
      <w:r w:rsidRPr="00DF2E9D">
        <w:rPr>
          <w:sz w:val="24"/>
          <w:szCs w:val="24"/>
        </w:rPr>
        <w:t>Pan</w:t>
      </w:r>
      <w:r w:rsidR="0078224A">
        <w:rPr>
          <w:sz w:val="24"/>
          <w:szCs w:val="24"/>
        </w:rPr>
        <w:t> </w:t>
      </w:r>
      <w:r w:rsidRPr="00DF2E9D">
        <w:rPr>
          <w:sz w:val="24"/>
          <w:szCs w:val="24"/>
        </w:rPr>
        <w:t>-</w:t>
      </w:r>
      <w:r w:rsidR="0078224A">
        <w:rPr>
          <w:sz w:val="24"/>
          <w:szCs w:val="24"/>
        </w:rPr>
        <w:t> </w:t>
      </w:r>
      <w:r w:rsidR="00922722">
        <w:rPr>
          <w:sz w:val="24"/>
          <w:szCs w:val="24"/>
        </w:rPr>
        <w:t>európsky garančný fond v </w:t>
      </w:r>
      <w:r w:rsidRPr="00DF2E9D">
        <w:rPr>
          <w:sz w:val="24"/>
          <w:szCs w:val="24"/>
        </w:rPr>
        <w:t>reakcii na</w:t>
      </w:r>
      <w:r w:rsidR="00922722">
        <w:rPr>
          <w:sz w:val="24"/>
          <w:szCs w:val="24"/>
        </w:rPr>
        <w:t> </w:t>
      </w:r>
      <w:r w:rsidRPr="00DF2E9D">
        <w:rPr>
          <w:sz w:val="24"/>
          <w:szCs w:val="24"/>
        </w:rPr>
        <w:t>COVID-19</w:t>
      </w:r>
      <w:r>
        <w:rPr>
          <w:sz w:val="24"/>
          <w:szCs w:val="24"/>
        </w:rPr>
        <w:t xml:space="preserve"> a</w:t>
      </w:r>
      <w:r w:rsidRPr="00DF2E9D">
        <w:rPr>
          <w:sz w:val="24"/>
          <w:szCs w:val="24"/>
        </w:rPr>
        <w:t xml:space="preserve"> úhrada výdavkov vo</w:t>
      </w:r>
      <w:r w:rsidR="00F07C0E">
        <w:rPr>
          <w:sz w:val="24"/>
          <w:szCs w:val="24"/>
        </w:rPr>
        <w:t> </w:t>
      </w:r>
      <w:r w:rsidRPr="00DF2E9D">
        <w:rPr>
          <w:sz w:val="24"/>
          <w:szCs w:val="24"/>
        </w:rPr>
        <w:t>vzťahu k</w:t>
      </w:r>
      <w:r w:rsidR="00F07C0E">
        <w:rPr>
          <w:sz w:val="24"/>
          <w:szCs w:val="24"/>
        </w:rPr>
        <w:t> </w:t>
      </w:r>
      <w:r w:rsidRPr="00DF2E9D">
        <w:rPr>
          <w:sz w:val="24"/>
          <w:szCs w:val="24"/>
        </w:rPr>
        <w:t>Doho</w:t>
      </w:r>
      <w:r w:rsidR="00922722">
        <w:rPr>
          <w:sz w:val="24"/>
          <w:szCs w:val="24"/>
        </w:rPr>
        <w:t>de o príspevku medzi EIB a SR v </w:t>
      </w:r>
      <w:r w:rsidRPr="00DF2E9D">
        <w:rPr>
          <w:sz w:val="24"/>
          <w:szCs w:val="24"/>
        </w:rPr>
        <w:t>súvislosti s Fondom EÚ pre Ukrajinu</w:t>
      </w:r>
      <w:r>
        <w:rPr>
          <w:sz w:val="24"/>
          <w:szCs w:val="24"/>
        </w:rPr>
        <w:t>.</w:t>
      </w:r>
    </w:p>
    <w:p w14:paraId="2A68C34C" w14:textId="75A2A3B3" w:rsidR="004D69BF" w:rsidRDefault="004D69BF" w:rsidP="004D69BF">
      <w:pPr>
        <w:spacing w:line="240" w:lineRule="auto"/>
        <w:rPr>
          <w:sz w:val="24"/>
          <w:szCs w:val="24"/>
        </w:rPr>
      </w:pPr>
      <w:r w:rsidRPr="00D715AF">
        <w:rPr>
          <w:i/>
          <w:sz w:val="24"/>
          <w:szCs w:val="24"/>
          <w:u w:val="single"/>
        </w:rPr>
        <w:t>Bežný účet návratných finančných výpomocí (NFV)</w:t>
      </w:r>
      <w:r w:rsidRPr="00D715AF">
        <w:rPr>
          <w:i/>
          <w:sz w:val="24"/>
          <w:szCs w:val="24"/>
        </w:rPr>
        <w:t xml:space="preserve"> </w:t>
      </w:r>
      <w:r w:rsidRPr="00D715AF">
        <w:rPr>
          <w:sz w:val="24"/>
          <w:szCs w:val="24"/>
        </w:rPr>
        <w:t>zaznamenal v roku 202</w:t>
      </w:r>
      <w:r>
        <w:rPr>
          <w:sz w:val="24"/>
          <w:szCs w:val="24"/>
        </w:rPr>
        <w:t>4</w:t>
      </w:r>
      <w:r w:rsidRPr="00D715AF">
        <w:rPr>
          <w:sz w:val="24"/>
          <w:szCs w:val="24"/>
        </w:rPr>
        <w:t xml:space="preserve"> </w:t>
      </w:r>
      <w:r>
        <w:rPr>
          <w:sz w:val="24"/>
          <w:szCs w:val="24"/>
        </w:rPr>
        <w:t xml:space="preserve">len </w:t>
      </w:r>
      <w:r w:rsidRPr="00D715AF">
        <w:rPr>
          <w:sz w:val="24"/>
          <w:szCs w:val="24"/>
        </w:rPr>
        <w:t>príjm</w:t>
      </w:r>
      <w:r>
        <w:rPr>
          <w:sz w:val="24"/>
          <w:szCs w:val="24"/>
        </w:rPr>
        <w:t>y</w:t>
      </w:r>
      <w:r w:rsidRPr="00D715AF">
        <w:rPr>
          <w:sz w:val="24"/>
          <w:szCs w:val="24"/>
        </w:rPr>
        <w:t xml:space="preserve"> </w:t>
      </w:r>
      <w:r w:rsidR="00F07C0E">
        <w:rPr>
          <w:sz w:val="24"/>
          <w:szCs w:val="24"/>
        </w:rPr>
        <w:t>v </w:t>
      </w:r>
      <w:r>
        <w:rPr>
          <w:sz w:val="24"/>
          <w:szCs w:val="24"/>
        </w:rPr>
        <w:t>sume</w:t>
      </w:r>
      <w:r w:rsidRPr="00D715AF">
        <w:rPr>
          <w:sz w:val="24"/>
          <w:szCs w:val="24"/>
        </w:rPr>
        <w:t xml:space="preserve"> </w:t>
      </w:r>
      <w:r w:rsidR="00F07C0E">
        <w:rPr>
          <w:sz w:val="24"/>
          <w:szCs w:val="24"/>
        </w:rPr>
        <w:t>88 </w:t>
      </w:r>
      <w:r>
        <w:rPr>
          <w:sz w:val="24"/>
          <w:szCs w:val="24"/>
        </w:rPr>
        <w:t>844 tis. eur. V rámci nich išlo najmä o rozpočtované splátky NFV.</w:t>
      </w:r>
    </w:p>
    <w:p w14:paraId="101900AC" w14:textId="1CF8059F" w:rsidR="004D69BF" w:rsidRDefault="004D69BF" w:rsidP="004D69BF">
      <w:pPr>
        <w:spacing w:line="240" w:lineRule="auto"/>
        <w:rPr>
          <w:sz w:val="24"/>
          <w:szCs w:val="24"/>
        </w:rPr>
      </w:pPr>
      <w:r>
        <w:rPr>
          <w:sz w:val="24"/>
          <w:szCs w:val="24"/>
        </w:rPr>
        <w:t>Najvyššiu sumu v rámci pohybov tvorila splátka NFV od Agentúry pre núdzové zásoby ropy a</w:t>
      </w:r>
      <w:r w:rsidR="00DA52C9">
        <w:rPr>
          <w:sz w:val="24"/>
          <w:szCs w:val="24"/>
        </w:rPr>
        <w:t> ropných výrobkov v sume 73 000 </w:t>
      </w:r>
      <w:r>
        <w:rPr>
          <w:sz w:val="24"/>
          <w:szCs w:val="24"/>
        </w:rPr>
        <w:t>tis.</w:t>
      </w:r>
      <w:r w:rsidR="00DA52C9">
        <w:rPr>
          <w:sz w:val="24"/>
          <w:szCs w:val="24"/>
        </w:rPr>
        <w:t> </w:t>
      </w:r>
      <w:r>
        <w:rPr>
          <w:sz w:val="24"/>
          <w:szCs w:val="24"/>
        </w:rPr>
        <w:t>eur, čím sa naplnil aj rozpočtový plán. Ďalej boli prijaté splátky NFV od cestovných kancelárií 7</w:t>
      </w:r>
      <w:r w:rsidR="00DA52C9">
        <w:rPr>
          <w:sz w:val="24"/>
          <w:szCs w:val="24"/>
        </w:rPr>
        <w:t> </w:t>
      </w:r>
      <w:r>
        <w:rPr>
          <w:sz w:val="24"/>
          <w:szCs w:val="24"/>
        </w:rPr>
        <w:t>055</w:t>
      </w:r>
      <w:r w:rsidR="00DA52C9">
        <w:rPr>
          <w:sz w:val="24"/>
          <w:szCs w:val="24"/>
        </w:rPr>
        <w:t> </w:t>
      </w:r>
      <w:r>
        <w:rPr>
          <w:sz w:val="24"/>
          <w:szCs w:val="24"/>
        </w:rPr>
        <w:t>tis.</w:t>
      </w:r>
      <w:r w:rsidR="00DA52C9">
        <w:rPr>
          <w:sz w:val="24"/>
          <w:szCs w:val="24"/>
        </w:rPr>
        <w:t> eur, od Mesta Košice 3 692 </w:t>
      </w:r>
      <w:r>
        <w:rPr>
          <w:sz w:val="24"/>
          <w:szCs w:val="24"/>
        </w:rPr>
        <w:t>tis.</w:t>
      </w:r>
      <w:r w:rsidR="00DA52C9">
        <w:rPr>
          <w:sz w:val="24"/>
          <w:szCs w:val="24"/>
        </w:rPr>
        <w:t> </w:t>
      </w:r>
      <w:r>
        <w:rPr>
          <w:sz w:val="24"/>
          <w:szCs w:val="24"/>
        </w:rPr>
        <w:t>eur, Bratislavského VÚC 1 700 tis. eur, spoločnosti GA Driling</w:t>
      </w:r>
      <w:r w:rsidR="00DA52C9">
        <w:rPr>
          <w:sz w:val="24"/>
          <w:szCs w:val="24"/>
        </w:rPr>
        <w:t>, </w:t>
      </w:r>
      <w:r>
        <w:rPr>
          <w:sz w:val="24"/>
          <w:szCs w:val="24"/>
        </w:rPr>
        <w:t>a.</w:t>
      </w:r>
      <w:r w:rsidR="00DA52C9">
        <w:rPr>
          <w:sz w:val="24"/>
          <w:szCs w:val="24"/>
        </w:rPr>
        <w:t> </w:t>
      </w:r>
      <w:r>
        <w:rPr>
          <w:sz w:val="24"/>
          <w:szCs w:val="24"/>
        </w:rPr>
        <w:t>s. 1</w:t>
      </w:r>
      <w:r w:rsidR="00DA52C9">
        <w:rPr>
          <w:sz w:val="24"/>
          <w:szCs w:val="24"/>
        </w:rPr>
        <w:t> </w:t>
      </w:r>
      <w:r>
        <w:rPr>
          <w:sz w:val="24"/>
          <w:szCs w:val="24"/>
        </w:rPr>
        <w:t>000</w:t>
      </w:r>
      <w:r w:rsidR="00DA52C9">
        <w:rPr>
          <w:sz w:val="24"/>
          <w:szCs w:val="24"/>
        </w:rPr>
        <w:t> </w:t>
      </w:r>
      <w:r>
        <w:rPr>
          <w:sz w:val="24"/>
          <w:szCs w:val="24"/>
        </w:rPr>
        <w:t>tis.</w:t>
      </w:r>
      <w:r w:rsidR="00DA52C9">
        <w:rPr>
          <w:sz w:val="24"/>
          <w:szCs w:val="24"/>
        </w:rPr>
        <w:t> </w:t>
      </w:r>
      <w:r>
        <w:rPr>
          <w:sz w:val="24"/>
          <w:szCs w:val="24"/>
        </w:rPr>
        <w:t>eur a</w:t>
      </w:r>
      <w:r w:rsidR="00DA52C9">
        <w:rPr>
          <w:sz w:val="24"/>
          <w:szCs w:val="24"/>
        </w:rPr>
        <w:t> ďalšie splátky v hodnote 2 396 </w:t>
      </w:r>
      <w:r>
        <w:rPr>
          <w:sz w:val="24"/>
          <w:szCs w:val="24"/>
        </w:rPr>
        <w:t>tis.</w:t>
      </w:r>
      <w:r w:rsidR="00DA52C9">
        <w:rPr>
          <w:sz w:val="24"/>
          <w:szCs w:val="24"/>
        </w:rPr>
        <w:t> </w:t>
      </w:r>
      <w:r>
        <w:rPr>
          <w:sz w:val="24"/>
          <w:szCs w:val="24"/>
        </w:rPr>
        <w:t>eur</w:t>
      </w:r>
      <w:r w:rsidRPr="003F7870">
        <w:rPr>
          <w:sz w:val="24"/>
          <w:szCs w:val="24"/>
        </w:rPr>
        <w:t>. Rozpočet príjmov sa nenaplnil z dôvodu odpustenia časti splátok NFV vyšším územným celkom</w:t>
      </w:r>
      <w:r>
        <w:rPr>
          <w:sz w:val="24"/>
          <w:szCs w:val="24"/>
        </w:rPr>
        <w:t xml:space="preserve"> (uznesenie vlády SR č.</w:t>
      </w:r>
      <w:r w:rsidR="00DA52C9">
        <w:rPr>
          <w:sz w:val="24"/>
          <w:szCs w:val="24"/>
        </w:rPr>
        <w:t> </w:t>
      </w:r>
      <w:r>
        <w:rPr>
          <w:sz w:val="24"/>
          <w:szCs w:val="24"/>
        </w:rPr>
        <w:t xml:space="preserve">642/2024) </w:t>
      </w:r>
      <w:r w:rsidR="00922722">
        <w:rPr>
          <w:sz w:val="24"/>
          <w:szCs w:val="24"/>
        </w:rPr>
        <w:t>spolu vo </w:t>
      </w:r>
      <w:r w:rsidR="00DA52C9">
        <w:rPr>
          <w:sz w:val="24"/>
          <w:szCs w:val="24"/>
        </w:rPr>
        <w:t>výške 13 000 </w:t>
      </w:r>
      <w:r w:rsidRPr="003F7870">
        <w:rPr>
          <w:sz w:val="24"/>
          <w:szCs w:val="24"/>
        </w:rPr>
        <w:t>tis.</w:t>
      </w:r>
      <w:r w:rsidR="00DA52C9">
        <w:rPr>
          <w:sz w:val="24"/>
          <w:szCs w:val="24"/>
        </w:rPr>
        <w:t> </w:t>
      </w:r>
      <w:r w:rsidRPr="003F7870">
        <w:rPr>
          <w:sz w:val="24"/>
          <w:szCs w:val="24"/>
        </w:rPr>
        <w:t>eur, ktoré mali v roku 2024 zaplatiť a boli súčasťou rozpočtu.</w:t>
      </w:r>
    </w:p>
    <w:p w14:paraId="2A3B7398" w14:textId="33491D35" w:rsidR="004D69BF" w:rsidRDefault="004D69BF" w:rsidP="004D69BF">
      <w:pPr>
        <w:spacing w:line="240" w:lineRule="auto"/>
        <w:rPr>
          <w:sz w:val="24"/>
          <w:szCs w:val="24"/>
        </w:rPr>
      </w:pPr>
      <w:r>
        <w:rPr>
          <w:i/>
          <w:sz w:val="24"/>
          <w:szCs w:val="24"/>
          <w:u w:val="single"/>
        </w:rPr>
        <w:t>Na účte o</w:t>
      </w:r>
      <w:r w:rsidRPr="00D33881">
        <w:rPr>
          <w:i/>
          <w:sz w:val="24"/>
          <w:szCs w:val="24"/>
          <w:u w:val="single"/>
        </w:rPr>
        <w:t>sobitn</w:t>
      </w:r>
      <w:r>
        <w:rPr>
          <w:i/>
          <w:sz w:val="24"/>
          <w:szCs w:val="24"/>
          <w:u w:val="single"/>
        </w:rPr>
        <w:t>ého</w:t>
      </w:r>
      <w:r w:rsidRPr="00D33881">
        <w:rPr>
          <w:i/>
          <w:sz w:val="24"/>
          <w:szCs w:val="24"/>
          <w:u w:val="single"/>
        </w:rPr>
        <w:t xml:space="preserve"> odvod</w:t>
      </w:r>
      <w:r>
        <w:rPr>
          <w:i/>
          <w:sz w:val="24"/>
          <w:szCs w:val="24"/>
          <w:u w:val="single"/>
        </w:rPr>
        <w:t>u</w:t>
      </w:r>
      <w:r w:rsidRPr="00D33881">
        <w:rPr>
          <w:i/>
          <w:sz w:val="24"/>
          <w:szCs w:val="24"/>
          <w:u w:val="single"/>
        </w:rPr>
        <w:t xml:space="preserve"> finančných inštitúcií</w:t>
      </w:r>
      <w:r w:rsidRPr="00DA0DA3">
        <w:rPr>
          <w:i/>
          <w:sz w:val="24"/>
          <w:szCs w:val="24"/>
        </w:rPr>
        <w:t xml:space="preserve"> </w:t>
      </w:r>
      <w:r w:rsidRPr="00D33881">
        <w:rPr>
          <w:sz w:val="24"/>
          <w:szCs w:val="24"/>
        </w:rPr>
        <w:t xml:space="preserve">sa </w:t>
      </w:r>
      <w:r>
        <w:rPr>
          <w:sz w:val="24"/>
          <w:szCs w:val="24"/>
        </w:rPr>
        <w:t>prestali rozpočtovať príjmy, vzhľadom na</w:t>
      </w:r>
      <w:r w:rsidR="00DA52C9">
        <w:rPr>
          <w:sz w:val="24"/>
          <w:szCs w:val="24"/>
        </w:rPr>
        <w:t> </w:t>
      </w:r>
      <w:r w:rsidRPr="00D33881">
        <w:rPr>
          <w:sz w:val="24"/>
          <w:szCs w:val="24"/>
        </w:rPr>
        <w:t xml:space="preserve">účinnosť </w:t>
      </w:r>
      <w:r>
        <w:rPr>
          <w:sz w:val="24"/>
          <w:szCs w:val="24"/>
        </w:rPr>
        <w:t>zákona</w:t>
      </w:r>
      <w:r w:rsidR="00DA52C9">
        <w:rPr>
          <w:sz w:val="24"/>
          <w:szCs w:val="24"/>
        </w:rPr>
        <w:t xml:space="preserve"> č. </w:t>
      </w:r>
      <w:r w:rsidRPr="00D33881">
        <w:rPr>
          <w:sz w:val="24"/>
          <w:szCs w:val="24"/>
        </w:rPr>
        <w:t>353/2020</w:t>
      </w:r>
      <w:r w:rsidR="00DA52C9">
        <w:rPr>
          <w:sz w:val="24"/>
          <w:szCs w:val="24"/>
        </w:rPr>
        <w:t> </w:t>
      </w:r>
      <w:r w:rsidRPr="00D33881">
        <w:rPr>
          <w:sz w:val="24"/>
          <w:szCs w:val="24"/>
        </w:rPr>
        <w:t>Z.</w:t>
      </w:r>
      <w:r w:rsidR="00DA52C9">
        <w:rPr>
          <w:sz w:val="24"/>
          <w:szCs w:val="24"/>
        </w:rPr>
        <w:t> </w:t>
      </w:r>
      <w:r w:rsidRPr="00D33881">
        <w:rPr>
          <w:sz w:val="24"/>
          <w:szCs w:val="24"/>
        </w:rPr>
        <w:t>z.</w:t>
      </w:r>
      <w:r>
        <w:rPr>
          <w:sz w:val="24"/>
          <w:szCs w:val="24"/>
        </w:rPr>
        <w:t xml:space="preserve"> o zrušení osobitného odvodu vybraných finančných inštitúcií a o niektorých opatrenia súvisiacich s jeho zrušením od </w:t>
      </w:r>
      <w:r w:rsidRPr="00D33881">
        <w:rPr>
          <w:sz w:val="24"/>
          <w:szCs w:val="24"/>
        </w:rPr>
        <w:t xml:space="preserve">1.1.2021. </w:t>
      </w:r>
      <w:r>
        <w:rPr>
          <w:sz w:val="24"/>
          <w:szCs w:val="24"/>
        </w:rPr>
        <w:t>Osobitný odvod z podnikania v regulovaných odvetviach, ktorý je súčasťou da</w:t>
      </w:r>
      <w:r w:rsidR="00DA52C9">
        <w:rPr>
          <w:sz w:val="24"/>
          <w:szCs w:val="24"/>
        </w:rPr>
        <w:t>ňových príjmov, s účinnosťou od 1. </w:t>
      </w:r>
      <w:r>
        <w:rPr>
          <w:sz w:val="24"/>
          <w:szCs w:val="24"/>
        </w:rPr>
        <w:t>januára 2024 zaviedol odvod aj pre regulované osoby, ktoré majú oprávnenie na</w:t>
      </w:r>
      <w:r w:rsidR="00DA52C9">
        <w:rPr>
          <w:sz w:val="24"/>
          <w:szCs w:val="24"/>
        </w:rPr>
        <w:t> </w:t>
      </w:r>
      <w:r>
        <w:rPr>
          <w:sz w:val="24"/>
          <w:szCs w:val="24"/>
        </w:rPr>
        <w:t xml:space="preserve">výkon </w:t>
      </w:r>
      <w:r>
        <w:rPr>
          <w:sz w:val="24"/>
          <w:szCs w:val="24"/>
        </w:rPr>
        <w:lastRenderedPageBreak/>
        <w:t>činnosti v oblasti vykonávanej na základe povolenia vydaného alebo udeleného Národnou bankou Slovenska podľa osobitných predpisov (poisťovne, zaisťovne, banky a podobne).</w:t>
      </w:r>
    </w:p>
    <w:p w14:paraId="45CE4F08" w14:textId="534478C5" w:rsidR="004D69BF" w:rsidRDefault="004D69BF" w:rsidP="004D69BF">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rPr>
          <w:sz w:val="24"/>
          <w:szCs w:val="24"/>
        </w:rPr>
      </w:pPr>
      <w:r w:rsidRPr="00D33881">
        <w:rPr>
          <w:sz w:val="24"/>
          <w:szCs w:val="24"/>
        </w:rPr>
        <w:t>Použitie prostriedkov v roku 202</w:t>
      </w:r>
      <w:r>
        <w:rPr>
          <w:sz w:val="24"/>
          <w:szCs w:val="24"/>
        </w:rPr>
        <w:t>4</w:t>
      </w:r>
      <w:r w:rsidRPr="00D33881">
        <w:rPr>
          <w:sz w:val="24"/>
          <w:szCs w:val="24"/>
        </w:rPr>
        <w:t xml:space="preserve"> </w:t>
      </w:r>
      <w:r>
        <w:rPr>
          <w:sz w:val="24"/>
          <w:szCs w:val="24"/>
        </w:rPr>
        <w:t>v celkovej sume 172</w:t>
      </w:r>
      <w:r w:rsidR="008F10B4">
        <w:rPr>
          <w:sz w:val="24"/>
          <w:szCs w:val="24"/>
        </w:rPr>
        <w:t> </w:t>
      </w:r>
      <w:r>
        <w:rPr>
          <w:sz w:val="24"/>
          <w:szCs w:val="24"/>
        </w:rPr>
        <w:t>831</w:t>
      </w:r>
      <w:r w:rsidR="008F10B4">
        <w:rPr>
          <w:sz w:val="24"/>
          <w:szCs w:val="24"/>
        </w:rPr>
        <w:t> </w:t>
      </w:r>
      <w:r>
        <w:rPr>
          <w:sz w:val="24"/>
          <w:szCs w:val="24"/>
        </w:rPr>
        <w:t>tis.</w:t>
      </w:r>
      <w:r w:rsidR="008F10B4">
        <w:rPr>
          <w:sz w:val="24"/>
          <w:szCs w:val="24"/>
        </w:rPr>
        <w:t> eur bolo určené hlavne na </w:t>
      </w:r>
      <w:r>
        <w:rPr>
          <w:sz w:val="24"/>
          <w:szCs w:val="24"/>
        </w:rPr>
        <w:t>vklad do spoločnosti Valaliky Industrial Park,</w:t>
      </w:r>
      <w:r w:rsidR="008F10B4">
        <w:rPr>
          <w:sz w:val="24"/>
          <w:szCs w:val="24"/>
        </w:rPr>
        <w:t> s. </w:t>
      </w:r>
      <w:r>
        <w:rPr>
          <w:sz w:val="24"/>
          <w:szCs w:val="24"/>
        </w:rPr>
        <w:t>r.</w:t>
      </w:r>
      <w:r w:rsidR="008F10B4">
        <w:rPr>
          <w:sz w:val="24"/>
          <w:szCs w:val="24"/>
        </w:rPr>
        <w:t> </w:t>
      </w:r>
      <w:r>
        <w:rPr>
          <w:sz w:val="24"/>
          <w:szCs w:val="24"/>
        </w:rPr>
        <w:t>o. (114</w:t>
      </w:r>
      <w:r w:rsidR="008F10B4">
        <w:rPr>
          <w:sz w:val="24"/>
          <w:szCs w:val="24"/>
        </w:rPr>
        <w:t> </w:t>
      </w:r>
      <w:r>
        <w:rPr>
          <w:sz w:val="24"/>
          <w:szCs w:val="24"/>
        </w:rPr>
        <w:t>400</w:t>
      </w:r>
      <w:r w:rsidR="008F10B4">
        <w:rPr>
          <w:sz w:val="24"/>
          <w:szCs w:val="24"/>
        </w:rPr>
        <w:t> </w:t>
      </w:r>
      <w:r>
        <w:rPr>
          <w:sz w:val="24"/>
          <w:szCs w:val="24"/>
        </w:rPr>
        <w:t>tis.</w:t>
      </w:r>
      <w:r w:rsidR="008F10B4">
        <w:rPr>
          <w:sz w:val="24"/>
          <w:szCs w:val="24"/>
        </w:rPr>
        <w:t> </w:t>
      </w:r>
      <w:r>
        <w:rPr>
          <w:sz w:val="24"/>
          <w:szCs w:val="24"/>
        </w:rPr>
        <w:t>eur) na</w:t>
      </w:r>
      <w:r w:rsidR="008F10B4">
        <w:rPr>
          <w:sz w:val="24"/>
          <w:szCs w:val="24"/>
        </w:rPr>
        <w:t> </w:t>
      </w:r>
      <w:r>
        <w:rPr>
          <w:sz w:val="24"/>
          <w:szCs w:val="24"/>
        </w:rPr>
        <w:t>financovanie významnej investície „Strategické územie Valaliky“ a „Strategické územie Valaliky – rozvoj verejných služieb“. Nad rámec rozpočtu ŠFA boli z účtu osobitného odvodu finančných inštitúcií použité prostriedky na financovanie významnej investície „Šurany In</w:t>
      </w:r>
      <w:r w:rsidR="008F10B4">
        <w:rPr>
          <w:sz w:val="24"/>
          <w:szCs w:val="24"/>
        </w:rPr>
        <w:t>dustrial Park“ v hodnote 54 531 </w:t>
      </w:r>
      <w:r>
        <w:rPr>
          <w:sz w:val="24"/>
          <w:szCs w:val="24"/>
        </w:rPr>
        <w:t>tis.</w:t>
      </w:r>
      <w:r w:rsidR="008F10B4">
        <w:rPr>
          <w:sz w:val="24"/>
          <w:szCs w:val="24"/>
        </w:rPr>
        <w:t> </w:t>
      </w:r>
      <w:r>
        <w:rPr>
          <w:sz w:val="24"/>
          <w:szCs w:val="24"/>
        </w:rPr>
        <w:t>eur (podľa uznesenia vlády SR č.</w:t>
      </w:r>
      <w:r w:rsidR="008F10B4">
        <w:rPr>
          <w:sz w:val="24"/>
          <w:szCs w:val="24"/>
        </w:rPr>
        <w:t> </w:t>
      </w:r>
      <w:r>
        <w:rPr>
          <w:sz w:val="24"/>
          <w:szCs w:val="24"/>
        </w:rPr>
        <w:t>3</w:t>
      </w:r>
      <w:r w:rsidR="00922722">
        <w:rPr>
          <w:sz w:val="24"/>
          <w:szCs w:val="24"/>
        </w:rPr>
        <w:t>13/2024) a transfer MIRRI SR na </w:t>
      </w:r>
      <w:r>
        <w:rPr>
          <w:sz w:val="24"/>
          <w:szCs w:val="24"/>
        </w:rPr>
        <w:t xml:space="preserve">účely príspevku do kapitálového </w:t>
      </w:r>
      <w:r w:rsidR="008F10B4">
        <w:rPr>
          <w:sz w:val="24"/>
          <w:szCs w:val="24"/>
        </w:rPr>
        <w:t>fondu spoločnosti Slovensko IT, </w:t>
      </w:r>
      <w:r>
        <w:rPr>
          <w:sz w:val="24"/>
          <w:szCs w:val="24"/>
        </w:rPr>
        <w:t>a.</w:t>
      </w:r>
      <w:r w:rsidR="008F10B4">
        <w:rPr>
          <w:sz w:val="24"/>
          <w:szCs w:val="24"/>
        </w:rPr>
        <w:t xml:space="preserve"> s. (podľa uznesenia vlády SR č. </w:t>
      </w:r>
      <w:r>
        <w:rPr>
          <w:sz w:val="24"/>
          <w:szCs w:val="24"/>
        </w:rPr>
        <w:t>204/2024).</w:t>
      </w:r>
    </w:p>
    <w:p w14:paraId="16BAC452" w14:textId="4B4EB3BD" w:rsidR="004D69BF" w:rsidRDefault="004D69BF" w:rsidP="004D69BF">
      <w:pPr>
        <w:spacing w:line="240" w:lineRule="auto"/>
        <w:rPr>
          <w:sz w:val="24"/>
          <w:szCs w:val="24"/>
        </w:rPr>
      </w:pPr>
      <w:r w:rsidRPr="00D715AF">
        <w:rPr>
          <w:i/>
          <w:sz w:val="24"/>
          <w:szCs w:val="24"/>
          <w:u w:val="single"/>
        </w:rPr>
        <w:t>Prostriedky osobitného odvodu z podnikania v regulovaných odvetviach</w:t>
      </w:r>
      <w:r w:rsidRPr="00D715AF">
        <w:rPr>
          <w:i/>
          <w:sz w:val="24"/>
          <w:szCs w:val="24"/>
        </w:rPr>
        <w:t>,</w:t>
      </w:r>
      <w:r w:rsidRPr="00D715AF">
        <w:rPr>
          <w:sz w:val="24"/>
          <w:szCs w:val="24"/>
        </w:rPr>
        <w:t xml:space="preserve"> </w:t>
      </w:r>
      <w:r>
        <w:rPr>
          <w:sz w:val="24"/>
          <w:szCs w:val="24"/>
        </w:rPr>
        <w:t>podľa</w:t>
      </w:r>
      <w:r w:rsidR="008F10B4">
        <w:rPr>
          <w:sz w:val="24"/>
          <w:szCs w:val="24"/>
        </w:rPr>
        <w:t xml:space="preserve"> zákona č. 235/2012 Z. </w:t>
      </w:r>
      <w:r w:rsidRPr="00D715AF">
        <w:rPr>
          <w:sz w:val="24"/>
          <w:szCs w:val="24"/>
        </w:rPr>
        <w:t>z.</w:t>
      </w:r>
      <w:r>
        <w:rPr>
          <w:sz w:val="24"/>
          <w:szCs w:val="24"/>
        </w:rPr>
        <w:t>, s</w:t>
      </w:r>
      <w:r w:rsidRPr="00D715AF">
        <w:rPr>
          <w:sz w:val="24"/>
          <w:szCs w:val="24"/>
        </w:rPr>
        <w:t xml:space="preserve">lúžia na perspektívne vytvorenie účelovo určenej osobitnej časti ŠFA, z ktorých sa budú financovať </w:t>
      </w:r>
      <w:r w:rsidRPr="00DE7F9A">
        <w:rPr>
          <w:sz w:val="24"/>
          <w:szCs w:val="24"/>
        </w:rPr>
        <w:t>prioritné projekty vlády. Rozpočet na rok 202</w:t>
      </w:r>
      <w:r>
        <w:rPr>
          <w:sz w:val="24"/>
          <w:szCs w:val="24"/>
        </w:rPr>
        <w:t>4 už nepredpokladal</w:t>
      </w:r>
      <w:r w:rsidRPr="00DE7F9A">
        <w:rPr>
          <w:sz w:val="24"/>
          <w:szCs w:val="24"/>
        </w:rPr>
        <w:t xml:space="preserve"> príjem</w:t>
      </w:r>
      <w:r>
        <w:rPr>
          <w:sz w:val="24"/>
          <w:szCs w:val="24"/>
        </w:rPr>
        <w:t xml:space="preserve"> z dôvodu inkasa tohto odvodu priamo do príjmov štátneho rozpočtu. V januári 2024 inkaso odvodu vo výške 6</w:t>
      </w:r>
      <w:r w:rsidR="008F10B4">
        <w:rPr>
          <w:sz w:val="24"/>
          <w:szCs w:val="24"/>
        </w:rPr>
        <w:t> </w:t>
      </w:r>
      <w:r>
        <w:rPr>
          <w:sz w:val="24"/>
          <w:szCs w:val="24"/>
        </w:rPr>
        <w:t>990</w:t>
      </w:r>
      <w:r w:rsidR="008F10B4">
        <w:rPr>
          <w:sz w:val="24"/>
          <w:szCs w:val="24"/>
        </w:rPr>
        <w:t> </w:t>
      </w:r>
      <w:r>
        <w:rPr>
          <w:sz w:val="24"/>
          <w:szCs w:val="24"/>
        </w:rPr>
        <w:t>tis.</w:t>
      </w:r>
      <w:r w:rsidR="008F10B4">
        <w:rPr>
          <w:sz w:val="24"/>
          <w:szCs w:val="24"/>
        </w:rPr>
        <w:t> </w:t>
      </w:r>
      <w:r>
        <w:rPr>
          <w:sz w:val="24"/>
          <w:szCs w:val="24"/>
        </w:rPr>
        <w:t>eur predstavoval už len dobeh tohto odvodu na</w:t>
      </w:r>
      <w:r w:rsidR="008F10B4">
        <w:rPr>
          <w:sz w:val="24"/>
          <w:szCs w:val="24"/>
        </w:rPr>
        <w:t> </w:t>
      </w:r>
      <w:r>
        <w:rPr>
          <w:sz w:val="24"/>
          <w:szCs w:val="24"/>
        </w:rPr>
        <w:t>samostatný účet ŠFA. Použiti</w:t>
      </w:r>
      <w:r w:rsidR="008F10B4">
        <w:rPr>
          <w:sz w:val="24"/>
          <w:szCs w:val="24"/>
        </w:rPr>
        <w:t>e prostriedkov vo výške 250 000 </w:t>
      </w:r>
      <w:r>
        <w:rPr>
          <w:sz w:val="24"/>
          <w:szCs w:val="24"/>
        </w:rPr>
        <w:t>tis.</w:t>
      </w:r>
      <w:r w:rsidR="008F10B4">
        <w:rPr>
          <w:sz w:val="24"/>
          <w:szCs w:val="24"/>
        </w:rPr>
        <w:t> </w:t>
      </w:r>
      <w:r>
        <w:rPr>
          <w:sz w:val="24"/>
          <w:szCs w:val="24"/>
        </w:rPr>
        <w:t>eur bolo na posilnenie fondu na</w:t>
      </w:r>
      <w:r w:rsidR="008F10B4">
        <w:rPr>
          <w:sz w:val="24"/>
          <w:szCs w:val="24"/>
        </w:rPr>
        <w:t> </w:t>
      </w:r>
      <w:r>
        <w:rPr>
          <w:sz w:val="24"/>
          <w:szCs w:val="24"/>
        </w:rPr>
        <w:t>záruky a fondu na krytie neobchodovateľných rizík prost</w:t>
      </w:r>
      <w:r w:rsidR="00766E41">
        <w:rPr>
          <w:sz w:val="24"/>
          <w:szCs w:val="24"/>
        </w:rPr>
        <w:t>riedkami zo </w:t>
      </w:r>
      <w:r>
        <w:rPr>
          <w:sz w:val="24"/>
          <w:szCs w:val="24"/>
        </w:rPr>
        <w:t xml:space="preserve">zníženia základného imania Eximbanky </w:t>
      </w:r>
      <w:r w:rsidR="008F10B4">
        <w:rPr>
          <w:sz w:val="24"/>
          <w:szCs w:val="24"/>
        </w:rPr>
        <w:t>SR v hodnote 250 000 </w:t>
      </w:r>
      <w:r>
        <w:rPr>
          <w:sz w:val="24"/>
          <w:szCs w:val="24"/>
        </w:rPr>
        <w:t>tis.</w:t>
      </w:r>
      <w:r w:rsidR="008F10B4">
        <w:rPr>
          <w:sz w:val="24"/>
          <w:szCs w:val="24"/>
        </w:rPr>
        <w:t> </w:t>
      </w:r>
      <w:r>
        <w:rPr>
          <w:sz w:val="24"/>
          <w:szCs w:val="24"/>
        </w:rPr>
        <w:t>eur (podľa uznesenia vlády SR č.</w:t>
      </w:r>
      <w:r w:rsidR="008F10B4">
        <w:rPr>
          <w:sz w:val="24"/>
          <w:szCs w:val="24"/>
        </w:rPr>
        <w:t> </w:t>
      </w:r>
      <w:r>
        <w:rPr>
          <w:sz w:val="24"/>
          <w:szCs w:val="24"/>
        </w:rPr>
        <w:t>351/2024), ktoré zároveň nebolo rozpočtované v návrhu rozpočtu.</w:t>
      </w:r>
    </w:p>
    <w:p w14:paraId="160A2C2C" w14:textId="77777777" w:rsidR="004D69BF" w:rsidRDefault="004D69BF" w:rsidP="004D69BF">
      <w:pPr>
        <w:spacing w:line="240" w:lineRule="auto"/>
        <w:rPr>
          <w:sz w:val="24"/>
          <w:szCs w:val="24"/>
        </w:rPr>
      </w:pPr>
      <w:r w:rsidRPr="00DD1FCE">
        <w:rPr>
          <w:i/>
          <w:sz w:val="24"/>
          <w:szCs w:val="24"/>
          <w:u w:val="single"/>
        </w:rPr>
        <w:t>Pokles stavu prostriedkov anonymných vkladov</w:t>
      </w:r>
      <w:r>
        <w:rPr>
          <w:sz w:val="24"/>
          <w:szCs w:val="24"/>
        </w:rPr>
        <w:t xml:space="preserve"> </w:t>
      </w:r>
      <w:r w:rsidRPr="00DD1FCE">
        <w:rPr>
          <w:sz w:val="24"/>
          <w:szCs w:val="24"/>
        </w:rPr>
        <w:t>o </w:t>
      </w:r>
      <w:r>
        <w:rPr>
          <w:sz w:val="24"/>
          <w:szCs w:val="24"/>
        </w:rPr>
        <w:t>54</w:t>
      </w:r>
      <w:r w:rsidRPr="00DD1FCE">
        <w:rPr>
          <w:sz w:val="24"/>
          <w:szCs w:val="24"/>
        </w:rPr>
        <w:t> tis. eur predstavovalo precenenie prostriedkov v cudzej mene ku koncu roka 202</w:t>
      </w:r>
      <w:r>
        <w:rPr>
          <w:sz w:val="24"/>
          <w:szCs w:val="24"/>
        </w:rPr>
        <w:t>4</w:t>
      </w:r>
      <w:r w:rsidRPr="00DD1FCE">
        <w:rPr>
          <w:sz w:val="24"/>
          <w:szCs w:val="24"/>
        </w:rPr>
        <w:t>.</w:t>
      </w:r>
    </w:p>
    <w:p w14:paraId="1F4D582C" w14:textId="4CEA1B57" w:rsidR="004D69BF" w:rsidRDefault="004D69BF" w:rsidP="004D69BF">
      <w:pPr>
        <w:spacing w:line="240" w:lineRule="auto"/>
        <w:rPr>
          <w:sz w:val="24"/>
          <w:szCs w:val="24"/>
        </w:rPr>
      </w:pPr>
      <w:r>
        <w:rPr>
          <w:sz w:val="24"/>
          <w:szCs w:val="24"/>
        </w:rPr>
        <w:t xml:space="preserve">V rámci </w:t>
      </w:r>
      <w:r w:rsidRPr="006F7527">
        <w:rPr>
          <w:i/>
          <w:iCs/>
          <w:sz w:val="24"/>
          <w:szCs w:val="24"/>
          <w:u w:val="single"/>
        </w:rPr>
        <w:t>ostatných účtov</w:t>
      </w:r>
      <w:r>
        <w:rPr>
          <w:i/>
          <w:iCs/>
          <w:sz w:val="24"/>
          <w:szCs w:val="24"/>
          <w:u w:val="single"/>
        </w:rPr>
        <w:t xml:space="preserve"> ŠFA</w:t>
      </w:r>
      <w:r>
        <w:rPr>
          <w:sz w:val="24"/>
          <w:szCs w:val="24"/>
        </w:rPr>
        <w:t xml:space="preserve"> sa vykazujú najmä prostriedky zo splácania vládnych úverov</w:t>
      </w:r>
      <w:r w:rsidR="008F10B4">
        <w:rPr>
          <w:sz w:val="24"/>
          <w:szCs w:val="24"/>
        </w:rPr>
        <w:t xml:space="preserve"> </w:t>
      </w:r>
      <w:r>
        <w:rPr>
          <w:sz w:val="24"/>
          <w:szCs w:val="24"/>
        </w:rPr>
        <w:t>(19</w:t>
      </w:r>
      <w:r w:rsidR="008F10B4">
        <w:rPr>
          <w:sz w:val="24"/>
          <w:szCs w:val="24"/>
        </w:rPr>
        <w:t> 599 tis. </w:t>
      </w:r>
      <w:r>
        <w:rPr>
          <w:sz w:val="24"/>
          <w:szCs w:val="24"/>
        </w:rPr>
        <w:t>eur), kde došlo k prírastku zo splátky zahranič</w:t>
      </w:r>
      <w:r w:rsidR="008F10B4">
        <w:rPr>
          <w:sz w:val="24"/>
          <w:szCs w:val="24"/>
        </w:rPr>
        <w:t>nej pohľadávky voči Alžíru (512 </w:t>
      </w:r>
      <w:r>
        <w:rPr>
          <w:sz w:val="24"/>
          <w:szCs w:val="24"/>
        </w:rPr>
        <w:t>tis.</w:t>
      </w:r>
      <w:r w:rsidR="008F10B4">
        <w:rPr>
          <w:sz w:val="24"/>
          <w:szCs w:val="24"/>
        </w:rPr>
        <w:t> </w:t>
      </w:r>
      <w:r>
        <w:rPr>
          <w:sz w:val="24"/>
          <w:szCs w:val="24"/>
        </w:rPr>
        <w:t xml:space="preserve">eur) a prostriedky z finančných náhrad </w:t>
      </w:r>
      <w:r w:rsidR="008F10B4">
        <w:rPr>
          <w:sz w:val="24"/>
          <w:szCs w:val="24"/>
        </w:rPr>
        <w:t>2 128 </w:t>
      </w:r>
      <w:r>
        <w:rPr>
          <w:sz w:val="24"/>
          <w:szCs w:val="24"/>
        </w:rPr>
        <w:t>tis.</w:t>
      </w:r>
      <w:r w:rsidR="008F10B4">
        <w:rPr>
          <w:sz w:val="24"/>
          <w:szCs w:val="24"/>
        </w:rPr>
        <w:t> </w:t>
      </w:r>
      <w:r>
        <w:rPr>
          <w:sz w:val="24"/>
          <w:szCs w:val="24"/>
        </w:rPr>
        <w:t>eur.</w:t>
      </w:r>
    </w:p>
    <w:p w14:paraId="4C27B0A5" w14:textId="77777777" w:rsidR="00922722" w:rsidRDefault="00922722" w:rsidP="004D69BF">
      <w:pPr>
        <w:spacing w:line="240" w:lineRule="auto"/>
        <w:rPr>
          <w:sz w:val="24"/>
          <w:szCs w:val="24"/>
        </w:rPr>
      </w:pPr>
    </w:p>
    <w:p w14:paraId="47FC15F0" w14:textId="51C9EDE5" w:rsidR="004D69BF" w:rsidRPr="00C74F52" w:rsidRDefault="004D69BF" w:rsidP="00922722">
      <w:pPr>
        <w:pStyle w:val="Nadpis2"/>
        <w:ind w:left="567" w:hanging="567"/>
      </w:pPr>
      <w:bookmarkStart w:id="138" w:name="_Toc6415652"/>
      <w:bookmarkStart w:id="139" w:name="_Toc196314141"/>
      <w:r w:rsidRPr="00C74F52">
        <w:t>Vzťahy štátneho rozpočtu k Európskej únii</w:t>
      </w:r>
      <w:bookmarkEnd w:id="138"/>
      <w:bookmarkEnd w:id="139"/>
    </w:p>
    <w:p w14:paraId="2CE2728D" w14:textId="5AA76156" w:rsidR="004D69BF" w:rsidRPr="00F34BAA" w:rsidRDefault="004D69BF" w:rsidP="004D69BF">
      <w:pPr>
        <w:tabs>
          <w:tab w:val="left" w:pos="284"/>
        </w:tabs>
        <w:spacing w:line="240" w:lineRule="auto"/>
        <w:rPr>
          <w:sz w:val="24"/>
          <w:szCs w:val="24"/>
        </w:rPr>
      </w:pPr>
      <w:bookmarkStart w:id="140" w:name="_Toc6415655"/>
      <w:r w:rsidRPr="00DE1BF7">
        <w:rPr>
          <w:b/>
          <w:sz w:val="24"/>
          <w:szCs w:val="24"/>
        </w:rPr>
        <w:t>Príjmy Slovenskej republiky z rozpočtu EÚ</w:t>
      </w:r>
      <w:r w:rsidRPr="00F34BAA">
        <w:rPr>
          <w:b/>
          <w:sz w:val="24"/>
          <w:szCs w:val="24"/>
        </w:rPr>
        <w:t xml:space="preserve"> </w:t>
      </w:r>
      <w:r w:rsidRPr="00F34BAA">
        <w:rPr>
          <w:sz w:val="24"/>
          <w:szCs w:val="24"/>
        </w:rPr>
        <w:t>tvoria zahraničné transfery za prostriedky EÚ a prostriedky z Plánu obnovy a odolnosti SR.  Prostriedky</w:t>
      </w:r>
      <w:r w:rsidRPr="00F34BAA">
        <w:rPr>
          <w:b/>
          <w:sz w:val="24"/>
          <w:szCs w:val="24"/>
        </w:rPr>
        <w:t xml:space="preserve"> </w:t>
      </w:r>
      <w:r w:rsidRPr="00F34BAA">
        <w:rPr>
          <w:sz w:val="24"/>
          <w:szCs w:val="24"/>
        </w:rPr>
        <w:t>boli rozpočtov</w:t>
      </w:r>
      <w:r w:rsidR="008F10B4">
        <w:rPr>
          <w:sz w:val="24"/>
          <w:szCs w:val="24"/>
        </w:rPr>
        <w:t>ané v ŠR na rok 2024 vo výške 2 452 641 </w:t>
      </w:r>
      <w:r w:rsidRPr="00F34BAA">
        <w:rPr>
          <w:sz w:val="24"/>
          <w:szCs w:val="24"/>
        </w:rPr>
        <w:t>tis. eur, z toho príjmy za prostriedky EÚ boli rozpočtované vo</w:t>
      </w:r>
      <w:r w:rsidR="00922722">
        <w:rPr>
          <w:sz w:val="24"/>
          <w:szCs w:val="24"/>
        </w:rPr>
        <w:t> </w:t>
      </w:r>
      <w:r w:rsidRPr="00F34BAA">
        <w:rPr>
          <w:sz w:val="24"/>
          <w:szCs w:val="24"/>
        </w:rPr>
        <w:t>výške</w:t>
      </w:r>
      <w:r w:rsidR="008F10B4">
        <w:rPr>
          <w:sz w:val="24"/>
          <w:szCs w:val="24"/>
        </w:rPr>
        <w:t xml:space="preserve"> </w:t>
      </w:r>
      <w:r w:rsidRPr="00F34BAA">
        <w:rPr>
          <w:sz w:val="24"/>
          <w:szCs w:val="24"/>
        </w:rPr>
        <w:t>1</w:t>
      </w:r>
      <w:r w:rsidR="008F10B4">
        <w:rPr>
          <w:sz w:val="24"/>
          <w:szCs w:val="24"/>
        </w:rPr>
        <w:t> </w:t>
      </w:r>
      <w:r w:rsidRPr="00F34BAA">
        <w:rPr>
          <w:sz w:val="24"/>
          <w:szCs w:val="24"/>
        </w:rPr>
        <w:t>237 239 tis. eur a príjmy za Plán o</w:t>
      </w:r>
      <w:r w:rsidR="008F10B4">
        <w:rPr>
          <w:sz w:val="24"/>
          <w:szCs w:val="24"/>
        </w:rPr>
        <w:t>bnovy a odolnosti SR vo výške 1 </w:t>
      </w:r>
      <w:r w:rsidRPr="00F34BAA">
        <w:rPr>
          <w:sz w:val="24"/>
          <w:szCs w:val="24"/>
        </w:rPr>
        <w:t>215 402 tis. eur.</w:t>
      </w:r>
    </w:p>
    <w:p w14:paraId="06516750" w14:textId="250281CD" w:rsidR="004D69BF" w:rsidRPr="00F34BAA" w:rsidRDefault="004D69BF" w:rsidP="004D69BF">
      <w:pPr>
        <w:tabs>
          <w:tab w:val="left" w:pos="284"/>
        </w:tabs>
        <w:spacing w:line="240" w:lineRule="auto"/>
        <w:rPr>
          <w:sz w:val="24"/>
          <w:szCs w:val="24"/>
        </w:rPr>
      </w:pPr>
      <w:r w:rsidRPr="00F34BAA">
        <w:rPr>
          <w:sz w:val="24"/>
          <w:szCs w:val="24"/>
        </w:rPr>
        <w:t>Rozpočet príjmov z rozpočtu EÚ bol v priebehu roka upravený na úroveň 4</w:t>
      </w:r>
      <w:r w:rsidR="008F10B4">
        <w:rPr>
          <w:sz w:val="24"/>
          <w:szCs w:val="24"/>
        </w:rPr>
        <w:t> </w:t>
      </w:r>
      <w:r w:rsidRPr="00F34BAA">
        <w:rPr>
          <w:sz w:val="24"/>
          <w:szCs w:val="24"/>
        </w:rPr>
        <w:t>017</w:t>
      </w:r>
      <w:r w:rsidR="008F10B4">
        <w:rPr>
          <w:sz w:val="24"/>
          <w:szCs w:val="24"/>
        </w:rPr>
        <w:t> 154 </w:t>
      </w:r>
      <w:r w:rsidRPr="00F34BAA">
        <w:rPr>
          <w:sz w:val="24"/>
          <w:szCs w:val="24"/>
        </w:rPr>
        <w:t>tis.</w:t>
      </w:r>
      <w:r w:rsidR="008F10B4">
        <w:rPr>
          <w:sz w:val="24"/>
          <w:szCs w:val="24"/>
        </w:rPr>
        <w:t> </w:t>
      </w:r>
      <w:r w:rsidRPr="00F34BAA">
        <w:rPr>
          <w:sz w:val="24"/>
          <w:szCs w:val="24"/>
        </w:rPr>
        <w:t>eur. Skutočné plnenie príjmov SR z rozpočtu EÚ</w:t>
      </w:r>
      <w:r w:rsidR="008F10B4">
        <w:rPr>
          <w:sz w:val="24"/>
          <w:szCs w:val="24"/>
        </w:rPr>
        <w:t xml:space="preserve"> bolo vo výške 4 132 691 </w:t>
      </w:r>
      <w:r w:rsidRPr="00F34BAA">
        <w:rPr>
          <w:sz w:val="24"/>
          <w:szCs w:val="24"/>
        </w:rPr>
        <w:t>tis.</w:t>
      </w:r>
      <w:r w:rsidR="008F10B4">
        <w:rPr>
          <w:sz w:val="24"/>
          <w:szCs w:val="24"/>
        </w:rPr>
        <w:t> </w:t>
      </w:r>
      <w:r w:rsidRPr="00F34BAA">
        <w:rPr>
          <w:sz w:val="24"/>
          <w:szCs w:val="24"/>
        </w:rPr>
        <w:t>eur, z toho príjmy za</w:t>
      </w:r>
      <w:r w:rsidR="008F10B4">
        <w:rPr>
          <w:sz w:val="24"/>
          <w:szCs w:val="24"/>
        </w:rPr>
        <w:t> </w:t>
      </w:r>
      <w:r w:rsidRPr="00F34BAA">
        <w:rPr>
          <w:sz w:val="24"/>
          <w:szCs w:val="24"/>
        </w:rPr>
        <w:t xml:space="preserve">prostriedky EÚ </w:t>
      </w:r>
      <w:r>
        <w:rPr>
          <w:sz w:val="24"/>
          <w:szCs w:val="24"/>
        </w:rPr>
        <w:t xml:space="preserve"> </w:t>
      </w:r>
      <w:r w:rsidR="008F10B4">
        <w:rPr>
          <w:sz w:val="24"/>
          <w:szCs w:val="24"/>
        </w:rPr>
        <w:t>vo výške 3 225 491 </w:t>
      </w:r>
      <w:r w:rsidRPr="00F34BAA">
        <w:rPr>
          <w:sz w:val="24"/>
          <w:szCs w:val="24"/>
        </w:rPr>
        <w:t>tis.</w:t>
      </w:r>
      <w:r w:rsidR="008F10B4">
        <w:rPr>
          <w:sz w:val="24"/>
          <w:szCs w:val="24"/>
        </w:rPr>
        <w:t> </w:t>
      </w:r>
      <w:r w:rsidRPr="00F34BAA">
        <w:rPr>
          <w:sz w:val="24"/>
          <w:szCs w:val="24"/>
        </w:rPr>
        <w:t>eur a z</w:t>
      </w:r>
      <w:r w:rsidR="00922722">
        <w:rPr>
          <w:sz w:val="24"/>
          <w:szCs w:val="24"/>
        </w:rPr>
        <w:t>a Plán obnovy a odolnosti SR vo </w:t>
      </w:r>
      <w:r w:rsidRPr="00F34BAA">
        <w:rPr>
          <w:sz w:val="24"/>
          <w:szCs w:val="24"/>
        </w:rPr>
        <w:t>výške 907</w:t>
      </w:r>
      <w:r w:rsidR="008F10B4">
        <w:rPr>
          <w:sz w:val="24"/>
          <w:szCs w:val="24"/>
        </w:rPr>
        <w:t> </w:t>
      </w:r>
      <w:r w:rsidRPr="00F34BAA">
        <w:rPr>
          <w:sz w:val="24"/>
          <w:szCs w:val="24"/>
        </w:rPr>
        <w:t>200</w:t>
      </w:r>
      <w:r w:rsidR="008F10B4">
        <w:rPr>
          <w:sz w:val="24"/>
          <w:szCs w:val="24"/>
        </w:rPr>
        <w:t> </w:t>
      </w:r>
      <w:r w:rsidRPr="00F34BAA">
        <w:rPr>
          <w:sz w:val="24"/>
          <w:szCs w:val="24"/>
        </w:rPr>
        <w:t>tis.</w:t>
      </w:r>
      <w:r w:rsidR="008F10B4">
        <w:rPr>
          <w:sz w:val="24"/>
          <w:szCs w:val="24"/>
        </w:rPr>
        <w:t> </w:t>
      </w:r>
      <w:r w:rsidRPr="00F34BAA">
        <w:rPr>
          <w:sz w:val="24"/>
          <w:szCs w:val="24"/>
        </w:rPr>
        <w:t>eur.</w:t>
      </w:r>
    </w:p>
    <w:p w14:paraId="7BF5249A" w14:textId="61641F30" w:rsidR="004D69BF" w:rsidRPr="00F34BAA" w:rsidRDefault="004D69BF" w:rsidP="004D69BF">
      <w:pPr>
        <w:tabs>
          <w:tab w:val="left" w:pos="284"/>
        </w:tabs>
        <w:spacing w:line="240" w:lineRule="auto"/>
        <w:rPr>
          <w:sz w:val="24"/>
          <w:szCs w:val="24"/>
          <w:highlight w:val="yellow"/>
        </w:rPr>
      </w:pPr>
      <w:r w:rsidRPr="00DE1BF7">
        <w:rPr>
          <w:b/>
          <w:iCs/>
          <w:sz w:val="24"/>
          <w:szCs w:val="24"/>
        </w:rPr>
        <w:t>Odvody a príspevky SR do všeobecného rozpočtu EÚ</w:t>
      </w:r>
      <w:r w:rsidRPr="00F34BAA">
        <w:rPr>
          <w:sz w:val="24"/>
          <w:szCs w:val="24"/>
        </w:rPr>
        <w:t xml:space="preserve"> tvoria odvody SR vrátane tradičných vlastných zdrojov a príspevok SR do Európskeho rozvojového fondu. Odvody a príspevky SR do všeobecného rozpočtu EÚ boli rozpočtované na rok 2024 vo výške 1</w:t>
      </w:r>
      <w:r w:rsidR="008F10B4">
        <w:rPr>
          <w:sz w:val="24"/>
          <w:szCs w:val="24"/>
        </w:rPr>
        <w:t> </w:t>
      </w:r>
      <w:r w:rsidRPr="00F34BAA">
        <w:rPr>
          <w:sz w:val="24"/>
          <w:szCs w:val="24"/>
        </w:rPr>
        <w:t>211</w:t>
      </w:r>
      <w:r w:rsidR="008F10B4">
        <w:rPr>
          <w:sz w:val="24"/>
          <w:szCs w:val="24"/>
        </w:rPr>
        <w:t> 210 </w:t>
      </w:r>
      <w:r w:rsidRPr="00F34BAA">
        <w:rPr>
          <w:sz w:val="24"/>
          <w:szCs w:val="24"/>
        </w:rPr>
        <w:t>tis. eur, pričom skutočnosť bola vo výške 941</w:t>
      </w:r>
      <w:r w:rsidR="008F10B4">
        <w:rPr>
          <w:sz w:val="24"/>
          <w:szCs w:val="24"/>
        </w:rPr>
        <w:t> </w:t>
      </w:r>
      <w:r w:rsidRPr="00F34BAA">
        <w:rPr>
          <w:sz w:val="24"/>
          <w:szCs w:val="24"/>
        </w:rPr>
        <w:t>695</w:t>
      </w:r>
      <w:r w:rsidR="008F10B4">
        <w:rPr>
          <w:sz w:val="24"/>
          <w:szCs w:val="24"/>
        </w:rPr>
        <w:t> </w:t>
      </w:r>
      <w:r w:rsidRPr="00F34BAA">
        <w:rPr>
          <w:sz w:val="24"/>
          <w:szCs w:val="24"/>
        </w:rPr>
        <w:t>tis.</w:t>
      </w:r>
      <w:r w:rsidR="008F10B4">
        <w:rPr>
          <w:sz w:val="24"/>
          <w:szCs w:val="24"/>
        </w:rPr>
        <w:t> </w:t>
      </w:r>
      <w:r w:rsidRPr="00F34BAA">
        <w:rPr>
          <w:sz w:val="24"/>
          <w:szCs w:val="24"/>
        </w:rPr>
        <w:t>eur.</w:t>
      </w:r>
    </w:p>
    <w:p w14:paraId="6B8BD815" w14:textId="77777777" w:rsidR="00B733F4" w:rsidRDefault="00B733F4">
      <w:pPr>
        <w:spacing w:after="160" w:line="259" w:lineRule="auto"/>
        <w:jc w:val="left"/>
        <w:rPr>
          <w:b/>
          <w:bCs/>
          <w:color w:val="5B9CD6"/>
          <w:sz w:val="20"/>
          <w:szCs w:val="20"/>
        </w:rPr>
      </w:pPr>
      <w:bookmarkStart w:id="141" w:name="_Toc196313664"/>
      <w:bookmarkStart w:id="142" w:name="_Toc196389285"/>
      <w:r>
        <w:rPr>
          <w:b/>
          <w:bCs/>
          <w:i/>
          <w:iCs/>
          <w:color w:val="5B9CD6"/>
          <w:sz w:val="20"/>
          <w:szCs w:val="20"/>
        </w:rPr>
        <w:br w:type="page"/>
      </w:r>
    </w:p>
    <w:p w14:paraId="388A0C5B" w14:textId="0ADE9752" w:rsidR="00C86420" w:rsidRDefault="00C86420" w:rsidP="00C86420">
      <w:pPr>
        <w:pStyle w:val="Popis"/>
        <w:keepNext/>
        <w:spacing w:after="120"/>
        <w:rPr>
          <w:b/>
          <w:bCs/>
          <w:i w:val="0"/>
          <w:iCs w:val="0"/>
          <w:color w:val="5B9CD6"/>
          <w:sz w:val="20"/>
          <w:szCs w:val="20"/>
        </w:rPr>
      </w:pPr>
      <w:r w:rsidRPr="00C86420">
        <w:rPr>
          <w:b/>
          <w:bCs/>
          <w:i w:val="0"/>
          <w:iCs w:val="0"/>
          <w:color w:val="5B9CD6"/>
          <w:sz w:val="20"/>
          <w:szCs w:val="20"/>
        </w:rPr>
        <w:lastRenderedPageBreak/>
        <w:t xml:space="preserve">Tabuľka </w:t>
      </w:r>
      <w:r w:rsidRPr="00C86420">
        <w:rPr>
          <w:b/>
          <w:bCs/>
          <w:i w:val="0"/>
          <w:iCs w:val="0"/>
          <w:color w:val="5B9CD6"/>
          <w:sz w:val="20"/>
          <w:szCs w:val="20"/>
        </w:rPr>
        <w:fldChar w:fldCharType="begin"/>
      </w:r>
      <w:r w:rsidRPr="00C86420">
        <w:rPr>
          <w:b/>
          <w:bCs/>
          <w:i w:val="0"/>
          <w:iCs w:val="0"/>
          <w:color w:val="5B9CD6"/>
          <w:sz w:val="20"/>
          <w:szCs w:val="20"/>
        </w:rPr>
        <w:instrText xml:space="preserve"> SEQ Tabuľka \* ARABIC </w:instrText>
      </w:r>
      <w:r w:rsidRPr="00C86420">
        <w:rPr>
          <w:b/>
          <w:bCs/>
          <w:i w:val="0"/>
          <w:iCs w:val="0"/>
          <w:color w:val="5B9CD6"/>
          <w:sz w:val="20"/>
          <w:szCs w:val="20"/>
        </w:rPr>
        <w:fldChar w:fldCharType="separate"/>
      </w:r>
      <w:r w:rsidR="00C64CBA">
        <w:rPr>
          <w:b/>
          <w:bCs/>
          <w:i w:val="0"/>
          <w:iCs w:val="0"/>
          <w:noProof/>
          <w:color w:val="5B9CD6"/>
          <w:sz w:val="20"/>
          <w:szCs w:val="20"/>
        </w:rPr>
        <w:t>38</w:t>
      </w:r>
      <w:r w:rsidRPr="00C86420">
        <w:rPr>
          <w:b/>
          <w:bCs/>
          <w:i w:val="0"/>
          <w:iCs w:val="0"/>
          <w:color w:val="5B9CD6"/>
          <w:sz w:val="20"/>
          <w:szCs w:val="20"/>
        </w:rPr>
        <w:fldChar w:fldCharType="end"/>
      </w:r>
      <w:r w:rsidRPr="00C86420">
        <w:rPr>
          <w:b/>
          <w:bCs/>
          <w:i w:val="0"/>
          <w:iCs w:val="0"/>
          <w:color w:val="5B9CD6"/>
          <w:sz w:val="20"/>
          <w:szCs w:val="20"/>
        </w:rPr>
        <w:t xml:space="preserve"> - Príjmy z rozpočtu EÚ</w:t>
      </w:r>
      <w:r w:rsidR="00067698">
        <w:rPr>
          <w:b/>
          <w:bCs/>
          <w:i w:val="0"/>
          <w:iCs w:val="0"/>
          <w:color w:val="5B9CD6"/>
          <w:sz w:val="20"/>
          <w:szCs w:val="20"/>
        </w:rPr>
        <w:t>,</w:t>
      </w:r>
      <w:r w:rsidRPr="00C86420">
        <w:rPr>
          <w:b/>
          <w:bCs/>
          <w:i w:val="0"/>
          <w:iCs w:val="0"/>
          <w:color w:val="5B9CD6"/>
          <w:sz w:val="20"/>
          <w:szCs w:val="20"/>
        </w:rPr>
        <w:t xml:space="preserve"> odvody a príspevky do všeobecného rozpočtu EÚ</w:t>
      </w:r>
      <w:bookmarkEnd w:id="141"/>
      <w:bookmarkEnd w:id="142"/>
    </w:p>
    <w:tbl>
      <w:tblPr>
        <w:tblW w:w="5000" w:type="pct"/>
        <w:tblCellMar>
          <w:left w:w="70" w:type="dxa"/>
          <w:right w:w="70" w:type="dxa"/>
        </w:tblCellMar>
        <w:tblLook w:val="04A0" w:firstRow="1" w:lastRow="0" w:firstColumn="1" w:lastColumn="0" w:noHBand="0" w:noVBand="1"/>
      </w:tblPr>
      <w:tblGrid>
        <w:gridCol w:w="4375"/>
        <w:gridCol w:w="911"/>
        <w:gridCol w:w="911"/>
        <w:gridCol w:w="911"/>
        <w:gridCol w:w="911"/>
        <w:gridCol w:w="911"/>
      </w:tblGrid>
      <w:tr w:rsidR="00A41CC0" w:rsidRPr="00A41CC0" w14:paraId="30AFCF70" w14:textId="77777777" w:rsidTr="001D2C2C">
        <w:trPr>
          <w:trHeight w:val="290"/>
          <w:tblHeader/>
        </w:trPr>
        <w:tc>
          <w:tcPr>
            <w:tcW w:w="2450" w:type="pct"/>
            <w:vMerge w:val="restart"/>
            <w:tcBorders>
              <w:top w:val="single" w:sz="4" w:space="0" w:color="auto"/>
              <w:left w:val="nil"/>
              <w:bottom w:val="single" w:sz="8" w:space="0" w:color="000000"/>
              <w:right w:val="nil"/>
            </w:tcBorders>
            <w:shd w:val="clear" w:color="auto" w:fill="auto"/>
            <w:vAlign w:val="center"/>
            <w:hideMark/>
          </w:tcPr>
          <w:p w14:paraId="3EAE6E91" w14:textId="77777777" w:rsidR="00A41CC0" w:rsidRPr="00A41CC0" w:rsidRDefault="00A41CC0" w:rsidP="00A41CC0">
            <w:pPr>
              <w:spacing w:after="0" w:line="240" w:lineRule="auto"/>
              <w:rPr>
                <w:rFonts w:eastAsia="Times New Roman" w:cs="Times New Roman"/>
                <w:b/>
                <w:bCs/>
                <w:color w:val="000000"/>
                <w:sz w:val="18"/>
                <w:szCs w:val="18"/>
                <w:lang w:eastAsia="sk-SK"/>
              </w:rPr>
            </w:pPr>
            <w:r w:rsidRPr="00A41CC0">
              <w:rPr>
                <w:rFonts w:eastAsia="Times New Roman" w:cs="Times New Roman"/>
                <w:b/>
                <w:bCs/>
                <w:color w:val="000000"/>
                <w:sz w:val="18"/>
                <w:szCs w:val="18"/>
                <w:lang w:eastAsia="sk-SK"/>
              </w:rPr>
              <w:t>v tis. eur</w:t>
            </w:r>
          </w:p>
        </w:tc>
        <w:tc>
          <w:tcPr>
            <w:tcW w:w="510" w:type="pct"/>
            <w:tcBorders>
              <w:top w:val="single" w:sz="4" w:space="0" w:color="auto"/>
              <w:left w:val="nil"/>
              <w:bottom w:val="nil"/>
              <w:right w:val="nil"/>
            </w:tcBorders>
            <w:shd w:val="clear" w:color="auto" w:fill="auto"/>
            <w:vAlign w:val="center"/>
            <w:hideMark/>
          </w:tcPr>
          <w:p w14:paraId="44D4959B" w14:textId="77777777" w:rsidR="00A41CC0" w:rsidRPr="00A41CC0" w:rsidRDefault="00A41CC0" w:rsidP="00A41CC0">
            <w:pPr>
              <w:spacing w:after="0" w:line="240" w:lineRule="auto"/>
              <w:jc w:val="center"/>
              <w:rPr>
                <w:rFonts w:eastAsia="Times New Roman" w:cs="Times New Roman"/>
                <w:b/>
                <w:bCs/>
                <w:color w:val="000000"/>
                <w:sz w:val="18"/>
                <w:szCs w:val="18"/>
                <w:lang w:eastAsia="sk-SK"/>
              </w:rPr>
            </w:pPr>
            <w:r w:rsidRPr="00A41CC0">
              <w:rPr>
                <w:rFonts w:eastAsia="Times New Roman" w:cs="Times New Roman"/>
                <w:b/>
                <w:bCs/>
                <w:color w:val="000000"/>
                <w:sz w:val="18"/>
                <w:szCs w:val="18"/>
                <w:lang w:eastAsia="sk-SK"/>
              </w:rPr>
              <w:t>2022 S</w:t>
            </w:r>
          </w:p>
        </w:tc>
        <w:tc>
          <w:tcPr>
            <w:tcW w:w="510" w:type="pct"/>
            <w:tcBorders>
              <w:top w:val="single" w:sz="4" w:space="0" w:color="auto"/>
              <w:left w:val="nil"/>
              <w:bottom w:val="nil"/>
              <w:right w:val="nil"/>
            </w:tcBorders>
            <w:shd w:val="clear" w:color="auto" w:fill="auto"/>
            <w:vAlign w:val="center"/>
            <w:hideMark/>
          </w:tcPr>
          <w:p w14:paraId="2A7C287D" w14:textId="77777777" w:rsidR="00A41CC0" w:rsidRPr="00A41CC0" w:rsidRDefault="00A41CC0" w:rsidP="00A41CC0">
            <w:pPr>
              <w:spacing w:after="0" w:line="240" w:lineRule="auto"/>
              <w:jc w:val="center"/>
              <w:rPr>
                <w:rFonts w:eastAsia="Times New Roman" w:cs="Times New Roman"/>
                <w:b/>
                <w:bCs/>
                <w:color w:val="000000"/>
                <w:sz w:val="18"/>
                <w:szCs w:val="18"/>
                <w:lang w:eastAsia="sk-SK"/>
              </w:rPr>
            </w:pPr>
            <w:r w:rsidRPr="00A41CC0">
              <w:rPr>
                <w:rFonts w:eastAsia="Times New Roman" w:cs="Times New Roman"/>
                <w:b/>
                <w:bCs/>
                <w:color w:val="000000"/>
                <w:sz w:val="18"/>
                <w:szCs w:val="18"/>
                <w:lang w:eastAsia="sk-SK"/>
              </w:rPr>
              <w:t>2023 S</w:t>
            </w:r>
          </w:p>
        </w:tc>
        <w:tc>
          <w:tcPr>
            <w:tcW w:w="510" w:type="pct"/>
            <w:tcBorders>
              <w:top w:val="single" w:sz="4" w:space="0" w:color="auto"/>
              <w:left w:val="nil"/>
              <w:bottom w:val="nil"/>
              <w:right w:val="nil"/>
            </w:tcBorders>
            <w:shd w:val="clear" w:color="auto" w:fill="auto"/>
            <w:vAlign w:val="center"/>
            <w:hideMark/>
          </w:tcPr>
          <w:p w14:paraId="7829FA54" w14:textId="77777777" w:rsidR="00A41CC0" w:rsidRPr="00A41CC0" w:rsidRDefault="00A41CC0" w:rsidP="00A41CC0">
            <w:pPr>
              <w:spacing w:after="0" w:line="240" w:lineRule="auto"/>
              <w:jc w:val="center"/>
              <w:rPr>
                <w:rFonts w:eastAsia="Times New Roman" w:cs="Times New Roman"/>
                <w:b/>
                <w:bCs/>
                <w:color w:val="000000"/>
                <w:sz w:val="18"/>
                <w:szCs w:val="18"/>
                <w:lang w:eastAsia="sk-SK"/>
              </w:rPr>
            </w:pPr>
            <w:r w:rsidRPr="00A41CC0">
              <w:rPr>
                <w:rFonts w:eastAsia="Times New Roman" w:cs="Times New Roman"/>
                <w:b/>
                <w:bCs/>
                <w:color w:val="000000"/>
                <w:sz w:val="18"/>
                <w:szCs w:val="18"/>
                <w:lang w:eastAsia="sk-SK"/>
              </w:rPr>
              <w:t>2024 R</w:t>
            </w:r>
          </w:p>
        </w:tc>
        <w:tc>
          <w:tcPr>
            <w:tcW w:w="510" w:type="pct"/>
            <w:tcBorders>
              <w:top w:val="single" w:sz="4" w:space="0" w:color="auto"/>
              <w:left w:val="nil"/>
              <w:bottom w:val="nil"/>
              <w:right w:val="nil"/>
            </w:tcBorders>
            <w:shd w:val="clear" w:color="auto" w:fill="auto"/>
            <w:vAlign w:val="center"/>
            <w:hideMark/>
          </w:tcPr>
          <w:p w14:paraId="7D756E2F" w14:textId="77777777" w:rsidR="00A41CC0" w:rsidRPr="00A41CC0" w:rsidRDefault="00A41CC0" w:rsidP="00A41CC0">
            <w:pPr>
              <w:spacing w:after="0" w:line="240" w:lineRule="auto"/>
              <w:jc w:val="center"/>
              <w:rPr>
                <w:rFonts w:eastAsia="Times New Roman" w:cs="Times New Roman"/>
                <w:b/>
                <w:bCs/>
                <w:color w:val="000000"/>
                <w:sz w:val="18"/>
                <w:szCs w:val="18"/>
                <w:lang w:eastAsia="sk-SK"/>
              </w:rPr>
            </w:pPr>
            <w:r w:rsidRPr="00A41CC0">
              <w:rPr>
                <w:rFonts w:eastAsia="Times New Roman" w:cs="Times New Roman"/>
                <w:b/>
                <w:bCs/>
                <w:color w:val="000000"/>
                <w:sz w:val="18"/>
                <w:szCs w:val="18"/>
                <w:lang w:eastAsia="sk-SK"/>
              </w:rPr>
              <w:t>2024 S</w:t>
            </w:r>
          </w:p>
        </w:tc>
        <w:tc>
          <w:tcPr>
            <w:tcW w:w="510" w:type="pct"/>
            <w:tcBorders>
              <w:top w:val="single" w:sz="4" w:space="0" w:color="auto"/>
              <w:left w:val="nil"/>
              <w:bottom w:val="nil"/>
              <w:right w:val="nil"/>
            </w:tcBorders>
            <w:shd w:val="clear" w:color="auto" w:fill="auto"/>
            <w:vAlign w:val="center"/>
            <w:hideMark/>
          </w:tcPr>
          <w:p w14:paraId="1D110314" w14:textId="77777777" w:rsidR="00A41CC0" w:rsidRPr="00A41CC0" w:rsidRDefault="00A41CC0" w:rsidP="00A41CC0">
            <w:pPr>
              <w:spacing w:after="0" w:line="240" w:lineRule="auto"/>
              <w:jc w:val="center"/>
              <w:rPr>
                <w:rFonts w:eastAsia="Times New Roman" w:cs="Times New Roman"/>
                <w:b/>
                <w:bCs/>
                <w:color w:val="000000"/>
                <w:sz w:val="18"/>
                <w:szCs w:val="18"/>
                <w:lang w:eastAsia="sk-SK"/>
              </w:rPr>
            </w:pPr>
            <w:r w:rsidRPr="00A41CC0">
              <w:rPr>
                <w:rFonts w:eastAsia="Times New Roman" w:cs="Times New Roman"/>
                <w:b/>
                <w:bCs/>
                <w:color w:val="000000"/>
                <w:sz w:val="18"/>
                <w:szCs w:val="18"/>
                <w:lang w:eastAsia="sk-SK"/>
              </w:rPr>
              <w:t>Rozdiel</w:t>
            </w:r>
          </w:p>
        </w:tc>
      </w:tr>
      <w:tr w:rsidR="00A41CC0" w:rsidRPr="00A41CC0" w14:paraId="2D4A71E4" w14:textId="77777777" w:rsidTr="001D2C2C">
        <w:trPr>
          <w:trHeight w:val="300"/>
          <w:tblHeader/>
        </w:trPr>
        <w:tc>
          <w:tcPr>
            <w:tcW w:w="2450" w:type="pct"/>
            <w:vMerge/>
            <w:tcBorders>
              <w:top w:val="single" w:sz="8" w:space="0" w:color="auto"/>
              <w:left w:val="nil"/>
              <w:bottom w:val="single" w:sz="4" w:space="0" w:color="auto"/>
              <w:right w:val="nil"/>
            </w:tcBorders>
            <w:vAlign w:val="center"/>
            <w:hideMark/>
          </w:tcPr>
          <w:p w14:paraId="63B5C5DD" w14:textId="77777777" w:rsidR="00A41CC0" w:rsidRPr="00A41CC0" w:rsidRDefault="00A41CC0" w:rsidP="00A41CC0">
            <w:pPr>
              <w:spacing w:after="0" w:line="240" w:lineRule="auto"/>
              <w:jc w:val="left"/>
              <w:rPr>
                <w:rFonts w:eastAsia="Times New Roman" w:cs="Times New Roman"/>
                <w:b/>
                <w:bCs/>
                <w:color w:val="000000"/>
                <w:sz w:val="18"/>
                <w:szCs w:val="18"/>
                <w:lang w:eastAsia="sk-SK"/>
              </w:rPr>
            </w:pPr>
          </w:p>
        </w:tc>
        <w:tc>
          <w:tcPr>
            <w:tcW w:w="510" w:type="pct"/>
            <w:tcBorders>
              <w:top w:val="nil"/>
              <w:left w:val="nil"/>
              <w:bottom w:val="single" w:sz="4" w:space="0" w:color="auto"/>
              <w:right w:val="nil"/>
            </w:tcBorders>
            <w:shd w:val="clear" w:color="auto" w:fill="auto"/>
            <w:vAlign w:val="center"/>
            <w:hideMark/>
          </w:tcPr>
          <w:p w14:paraId="4F74A8BE" w14:textId="77777777" w:rsidR="00A41CC0" w:rsidRPr="00A41CC0" w:rsidRDefault="00A41CC0" w:rsidP="00A41CC0">
            <w:pPr>
              <w:spacing w:after="0" w:line="240" w:lineRule="auto"/>
              <w:jc w:val="center"/>
              <w:rPr>
                <w:rFonts w:eastAsia="Times New Roman" w:cs="Times New Roman"/>
                <w:b/>
                <w:bCs/>
                <w:color w:val="000000"/>
                <w:sz w:val="18"/>
                <w:szCs w:val="18"/>
                <w:lang w:eastAsia="sk-SK"/>
              </w:rPr>
            </w:pPr>
            <w:r w:rsidRPr="00A41CC0">
              <w:rPr>
                <w:rFonts w:eastAsia="Times New Roman" w:cs="Times New Roman"/>
                <w:b/>
                <w:bCs/>
                <w:color w:val="000000"/>
                <w:sz w:val="18"/>
                <w:szCs w:val="18"/>
                <w:lang w:eastAsia="sk-SK"/>
              </w:rPr>
              <w:t>1</w:t>
            </w:r>
          </w:p>
        </w:tc>
        <w:tc>
          <w:tcPr>
            <w:tcW w:w="510" w:type="pct"/>
            <w:tcBorders>
              <w:top w:val="nil"/>
              <w:left w:val="nil"/>
              <w:bottom w:val="single" w:sz="4" w:space="0" w:color="auto"/>
              <w:right w:val="nil"/>
            </w:tcBorders>
            <w:shd w:val="clear" w:color="auto" w:fill="auto"/>
            <w:vAlign w:val="center"/>
            <w:hideMark/>
          </w:tcPr>
          <w:p w14:paraId="497A6BB9" w14:textId="77777777" w:rsidR="00A41CC0" w:rsidRPr="00A41CC0" w:rsidRDefault="00A41CC0" w:rsidP="00A41CC0">
            <w:pPr>
              <w:spacing w:after="0" w:line="240" w:lineRule="auto"/>
              <w:jc w:val="center"/>
              <w:rPr>
                <w:rFonts w:eastAsia="Times New Roman" w:cs="Times New Roman"/>
                <w:b/>
                <w:bCs/>
                <w:color w:val="000000"/>
                <w:sz w:val="18"/>
                <w:szCs w:val="18"/>
                <w:lang w:eastAsia="sk-SK"/>
              </w:rPr>
            </w:pPr>
            <w:r w:rsidRPr="00A41CC0">
              <w:rPr>
                <w:rFonts w:eastAsia="Times New Roman" w:cs="Times New Roman"/>
                <w:b/>
                <w:bCs/>
                <w:color w:val="000000"/>
                <w:sz w:val="18"/>
                <w:szCs w:val="18"/>
                <w:lang w:eastAsia="sk-SK"/>
              </w:rPr>
              <w:t>2</w:t>
            </w:r>
          </w:p>
        </w:tc>
        <w:tc>
          <w:tcPr>
            <w:tcW w:w="510" w:type="pct"/>
            <w:tcBorders>
              <w:top w:val="nil"/>
              <w:left w:val="nil"/>
              <w:bottom w:val="single" w:sz="4" w:space="0" w:color="auto"/>
              <w:right w:val="nil"/>
            </w:tcBorders>
            <w:shd w:val="clear" w:color="auto" w:fill="auto"/>
            <w:vAlign w:val="center"/>
            <w:hideMark/>
          </w:tcPr>
          <w:p w14:paraId="788364DB" w14:textId="77777777" w:rsidR="00A41CC0" w:rsidRPr="00A41CC0" w:rsidRDefault="00A41CC0" w:rsidP="00A41CC0">
            <w:pPr>
              <w:spacing w:after="0" w:line="240" w:lineRule="auto"/>
              <w:jc w:val="center"/>
              <w:rPr>
                <w:rFonts w:eastAsia="Times New Roman" w:cs="Times New Roman"/>
                <w:b/>
                <w:bCs/>
                <w:color w:val="000000"/>
                <w:sz w:val="18"/>
                <w:szCs w:val="18"/>
                <w:lang w:eastAsia="sk-SK"/>
              </w:rPr>
            </w:pPr>
            <w:r w:rsidRPr="00A41CC0">
              <w:rPr>
                <w:rFonts w:eastAsia="Times New Roman" w:cs="Times New Roman"/>
                <w:b/>
                <w:bCs/>
                <w:color w:val="000000"/>
                <w:sz w:val="18"/>
                <w:szCs w:val="18"/>
                <w:lang w:eastAsia="sk-SK"/>
              </w:rPr>
              <w:t>3</w:t>
            </w:r>
          </w:p>
        </w:tc>
        <w:tc>
          <w:tcPr>
            <w:tcW w:w="510" w:type="pct"/>
            <w:tcBorders>
              <w:top w:val="nil"/>
              <w:left w:val="nil"/>
              <w:bottom w:val="single" w:sz="4" w:space="0" w:color="auto"/>
              <w:right w:val="nil"/>
            </w:tcBorders>
            <w:shd w:val="clear" w:color="auto" w:fill="auto"/>
            <w:vAlign w:val="center"/>
            <w:hideMark/>
          </w:tcPr>
          <w:p w14:paraId="63C11ECA" w14:textId="77777777" w:rsidR="00A41CC0" w:rsidRPr="00A41CC0" w:rsidRDefault="00A41CC0" w:rsidP="00A41CC0">
            <w:pPr>
              <w:spacing w:after="0" w:line="240" w:lineRule="auto"/>
              <w:jc w:val="center"/>
              <w:rPr>
                <w:rFonts w:eastAsia="Times New Roman" w:cs="Times New Roman"/>
                <w:b/>
                <w:bCs/>
                <w:color w:val="000000"/>
                <w:sz w:val="18"/>
                <w:szCs w:val="18"/>
                <w:lang w:eastAsia="sk-SK"/>
              </w:rPr>
            </w:pPr>
            <w:r w:rsidRPr="00A41CC0">
              <w:rPr>
                <w:rFonts w:eastAsia="Times New Roman" w:cs="Times New Roman"/>
                <w:b/>
                <w:bCs/>
                <w:color w:val="000000"/>
                <w:sz w:val="18"/>
                <w:szCs w:val="18"/>
                <w:lang w:eastAsia="sk-SK"/>
              </w:rPr>
              <w:t>4</w:t>
            </w:r>
          </w:p>
        </w:tc>
        <w:tc>
          <w:tcPr>
            <w:tcW w:w="510" w:type="pct"/>
            <w:tcBorders>
              <w:top w:val="nil"/>
              <w:left w:val="nil"/>
              <w:bottom w:val="single" w:sz="4" w:space="0" w:color="auto"/>
              <w:right w:val="nil"/>
            </w:tcBorders>
            <w:shd w:val="clear" w:color="auto" w:fill="auto"/>
            <w:vAlign w:val="center"/>
            <w:hideMark/>
          </w:tcPr>
          <w:p w14:paraId="02C727B1" w14:textId="77777777" w:rsidR="00A41CC0" w:rsidRPr="00A41CC0" w:rsidRDefault="00A41CC0" w:rsidP="00A41CC0">
            <w:pPr>
              <w:spacing w:after="0" w:line="240" w:lineRule="auto"/>
              <w:jc w:val="center"/>
              <w:rPr>
                <w:rFonts w:eastAsia="Times New Roman" w:cs="Times New Roman"/>
                <w:b/>
                <w:bCs/>
                <w:color w:val="000000"/>
                <w:sz w:val="18"/>
                <w:szCs w:val="18"/>
                <w:lang w:eastAsia="sk-SK"/>
              </w:rPr>
            </w:pPr>
            <w:r w:rsidRPr="00A41CC0">
              <w:rPr>
                <w:rFonts w:eastAsia="Times New Roman" w:cs="Times New Roman"/>
                <w:b/>
                <w:bCs/>
                <w:color w:val="000000"/>
                <w:sz w:val="18"/>
                <w:szCs w:val="18"/>
                <w:lang w:eastAsia="sk-SK"/>
              </w:rPr>
              <w:t>5=4-3</w:t>
            </w:r>
          </w:p>
        </w:tc>
      </w:tr>
      <w:tr w:rsidR="00A41CC0" w:rsidRPr="00A41CC0" w14:paraId="59469650" w14:textId="77777777" w:rsidTr="001D2C2C">
        <w:trPr>
          <w:trHeight w:val="290"/>
        </w:trPr>
        <w:tc>
          <w:tcPr>
            <w:tcW w:w="2450" w:type="pct"/>
            <w:tcBorders>
              <w:top w:val="single" w:sz="4" w:space="0" w:color="auto"/>
              <w:left w:val="nil"/>
              <w:bottom w:val="nil"/>
              <w:right w:val="nil"/>
            </w:tcBorders>
            <w:shd w:val="clear" w:color="000000" w:fill="FFFFFF"/>
            <w:vAlign w:val="center"/>
            <w:hideMark/>
          </w:tcPr>
          <w:p w14:paraId="1C000156" w14:textId="77777777" w:rsidR="00A41CC0" w:rsidRPr="00A41CC0" w:rsidRDefault="00A41CC0" w:rsidP="00A41CC0">
            <w:pPr>
              <w:spacing w:after="0" w:line="240" w:lineRule="auto"/>
              <w:jc w:val="left"/>
              <w:rPr>
                <w:rFonts w:eastAsia="Times New Roman" w:cs="Times New Roman"/>
                <w:color w:val="000000"/>
                <w:sz w:val="18"/>
                <w:szCs w:val="18"/>
                <w:lang w:eastAsia="sk-SK"/>
              </w:rPr>
            </w:pPr>
            <w:r w:rsidRPr="00A41CC0">
              <w:rPr>
                <w:rFonts w:eastAsia="Times New Roman" w:cs="Times New Roman"/>
                <w:color w:val="000000"/>
                <w:sz w:val="18"/>
                <w:szCs w:val="18"/>
                <w:lang w:eastAsia="sk-SK"/>
              </w:rPr>
              <w:t>Zahraničné transfery - prostriedky EÚ</w:t>
            </w:r>
          </w:p>
        </w:tc>
        <w:tc>
          <w:tcPr>
            <w:tcW w:w="510" w:type="pct"/>
            <w:tcBorders>
              <w:top w:val="single" w:sz="4" w:space="0" w:color="auto"/>
              <w:left w:val="nil"/>
              <w:bottom w:val="nil"/>
              <w:right w:val="nil"/>
            </w:tcBorders>
            <w:shd w:val="clear" w:color="000000" w:fill="FFFFFF"/>
            <w:noWrap/>
            <w:vAlign w:val="center"/>
            <w:hideMark/>
          </w:tcPr>
          <w:p w14:paraId="474011FD" w14:textId="77777777" w:rsidR="00A41CC0" w:rsidRPr="00A41CC0" w:rsidRDefault="00A41CC0" w:rsidP="00A41CC0">
            <w:pPr>
              <w:spacing w:after="0" w:line="240" w:lineRule="auto"/>
              <w:jc w:val="right"/>
              <w:rPr>
                <w:rFonts w:eastAsia="Times New Roman" w:cs="Times New Roman"/>
                <w:color w:val="000000"/>
                <w:sz w:val="18"/>
                <w:szCs w:val="18"/>
                <w:lang w:eastAsia="sk-SK"/>
              </w:rPr>
            </w:pPr>
            <w:r w:rsidRPr="00A41CC0">
              <w:rPr>
                <w:rFonts w:eastAsia="Times New Roman" w:cs="Times New Roman"/>
                <w:color w:val="000000"/>
                <w:sz w:val="18"/>
                <w:szCs w:val="18"/>
                <w:lang w:eastAsia="sk-SK"/>
              </w:rPr>
              <w:t>2 146 641</w:t>
            </w:r>
          </w:p>
        </w:tc>
        <w:tc>
          <w:tcPr>
            <w:tcW w:w="510" w:type="pct"/>
            <w:tcBorders>
              <w:top w:val="single" w:sz="4" w:space="0" w:color="auto"/>
              <w:left w:val="nil"/>
              <w:bottom w:val="nil"/>
              <w:right w:val="nil"/>
            </w:tcBorders>
            <w:shd w:val="clear" w:color="000000" w:fill="FFFFFF"/>
            <w:noWrap/>
            <w:vAlign w:val="center"/>
            <w:hideMark/>
          </w:tcPr>
          <w:p w14:paraId="7FFEF744" w14:textId="77777777" w:rsidR="00A41CC0" w:rsidRPr="00A41CC0" w:rsidRDefault="00A41CC0" w:rsidP="00A41CC0">
            <w:pPr>
              <w:spacing w:after="0" w:line="240" w:lineRule="auto"/>
              <w:jc w:val="right"/>
              <w:rPr>
                <w:rFonts w:eastAsia="Times New Roman" w:cs="Times New Roman"/>
                <w:color w:val="000000"/>
                <w:sz w:val="18"/>
                <w:szCs w:val="18"/>
                <w:lang w:eastAsia="sk-SK"/>
              </w:rPr>
            </w:pPr>
            <w:r w:rsidRPr="00A41CC0">
              <w:rPr>
                <w:rFonts w:eastAsia="Times New Roman" w:cs="Times New Roman"/>
                <w:color w:val="000000"/>
                <w:sz w:val="18"/>
                <w:szCs w:val="18"/>
                <w:lang w:eastAsia="sk-SK"/>
              </w:rPr>
              <w:t>4 141 996</w:t>
            </w:r>
          </w:p>
        </w:tc>
        <w:tc>
          <w:tcPr>
            <w:tcW w:w="510" w:type="pct"/>
            <w:tcBorders>
              <w:top w:val="single" w:sz="4" w:space="0" w:color="auto"/>
              <w:left w:val="nil"/>
              <w:bottom w:val="nil"/>
              <w:right w:val="nil"/>
            </w:tcBorders>
            <w:shd w:val="clear" w:color="000000" w:fill="FFFFFF"/>
            <w:noWrap/>
            <w:vAlign w:val="center"/>
            <w:hideMark/>
          </w:tcPr>
          <w:p w14:paraId="7360DC2B" w14:textId="77777777" w:rsidR="00A41CC0" w:rsidRPr="00A41CC0" w:rsidRDefault="00A41CC0" w:rsidP="00A41CC0">
            <w:pPr>
              <w:spacing w:after="0" w:line="240" w:lineRule="auto"/>
              <w:jc w:val="right"/>
              <w:rPr>
                <w:rFonts w:eastAsia="Times New Roman" w:cs="Times New Roman"/>
                <w:color w:val="000000"/>
                <w:sz w:val="18"/>
                <w:szCs w:val="18"/>
                <w:lang w:eastAsia="sk-SK"/>
              </w:rPr>
            </w:pPr>
            <w:r w:rsidRPr="00A41CC0">
              <w:rPr>
                <w:rFonts w:eastAsia="Times New Roman" w:cs="Times New Roman"/>
                <w:color w:val="000000"/>
                <w:sz w:val="18"/>
                <w:szCs w:val="18"/>
                <w:lang w:eastAsia="sk-SK"/>
              </w:rPr>
              <w:t>1 237 239</w:t>
            </w:r>
          </w:p>
        </w:tc>
        <w:tc>
          <w:tcPr>
            <w:tcW w:w="510" w:type="pct"/>
            <w:tcBorders>
              <w:top w:val="single" w:sz="4" w:space="0" w:color="auto"/>
              <w:left w:val="nil"/>
              <w:bottom w:val="nil"/>
              <w:right w:val="nil"/>
            </w:tcBorders>
            <w:shd w:val="clear" w:color="000000" w:fill="FFFFFF"/>
            <w:noWrap/>
            <w:vAlign w:val="center"/>
            <w:hideMark/>
          </w:tcPr>
          <w:p w14:paraId="65EB502F" w14:textId="77777777" w:rsidR="00A41CC0" w:rsidRPr="00A41CC0" w:rsidRDefault="00A41CC0" w:rsidP="00A41CC0">
            <w:pPr>
              <w:spacing w:after="0" w:line="240" w:lineRule="auto"/>
              <w:jc w:val="right"/>
              <w:rPr>
                <w:rFonts w:eastAsia="Times New Roman" w:cs="Times New Roman"/>
                <w:color w:val="000000"/>
                <w:sz w:val="18"/>
                <w:szCs w:val="18"/>
                <w:lang w:eastAsia="sk-SK"/>
              </w:rPr>
            </w:pPr>
            <w:r w:rsidRPr="00A41CC0">
              <w:rPr>
                <w:rFonts w:eastAsia="Times New Roman" w:cs="Times New Roman"/>
                <w:color w:val="000000"/>
                <w:sz w:val="18"/>
                <w:szCs w:val="18"/>
                <w:lang w:eastAsia="sk-SK"/>
              </w:rPr>
              <w:t>3 225 491</w:t>
            </w:r>
          </w:p>
        </w:tc>
        <w:tc>
          <w:tcPr>
            <w:tcW w:w="510" w:type="pct"/>
            <w:tcBorders>
              <w:top w:val="single" w:sz="4" w:space="0" w:color="auto"/>
              <w:left w:val="nil"/>
              <w:bottom w:val="nil"/>
              <w:right w:val="nil"/>
            </w:tcBorders>
            <w:shd w:val="clear" w:color="000000" w:fill="FFFFFF"/>
            <w:noWrap/>
            <w:vAlign w:val="center"/>
            <w:hideMark/>
          </w:tcPr>
          <w:p w14:paraId="0F7010F1" w14:textId="77777777" w:rsidR="00A41CC0" w:rsidRPr="00A41CC0" w:rsidRDefault="00A41CC0" w:rsidP="00A41CC0">
            <w:pPr>
              <w:spacing w:after="0" w:line="240" w:lineRule="auto"/>
              <w:jc w:val="right"/>
              <w:rPr>
                <w:rFonts w:eastAsia="Times New Roman" w:cs="Times New Roman"/>
                <w:color w:val="000000"/>
                <w:sz w:val="18"/>
                <w:szCs w:val="18"/>
                <w:lang w:eastAsia="sk-SK"/>
              </w:rPr>
            </w:pPr>
            <w:r w:rsidRPr="00A41CC0">
              <w:rPr>
                <w:rFonts w:eastAsia="Times New Roman" w:cs="Times New Roman"/>
                <w:color w:val="000000"/>
                <w:sz w:val="18"/>
                <w:szCs w:val="18"/>
                <w:lang w:eastAsia="sk-SK"/>
              </w:rPr>
              <w:t>1 988 252</w:t>
            </w:r>
          </w:p>
        </w:tc>
      </w:tr>
      <w:tr w:rsidR="00A41CC0" w:rsidRPr="00A41CC0" w14:paraId="2D2AF3FA" w14:textId="77777777" w:rsidTr="001D2C2C">
        <w:trPr>
          <w:trHeight w:val="290"/>
        </w:trPr>
        <w:tc>
          <w:tcPr>
            <w:tcW w:w="2450" w:type="pct"/>
            <w:tcBorders>
              <w:top w:val="nil"/>
              <w:left w:val="nil"/>
              <w:bottom w:val="nil"/>
              <w:right w:val="nil"/>
            </w:tcBorders>
            <w:shd w:val="clear" w:color="000000" w:fill="FFFFFF"/>
            <w:vAlign w:val="center"/>
            <w:hideMark/>
          </w:tcPr>
          <w:p w14:paraId="04014DB6" w14:textId="77777777" w:rsidR="00A41CC0" w:rsidRPr="00A41CC0" w:rsidRDefault="00A41CC0" w:rsidP="00A41CC0">
            <w:pPr>
              <w:spacing w:after="0" w:line="240" w:lineRule="auto"/>
              <w:jc w:val="left"/>
              <w:rPr>
                <w:rFonts w:eastAsia="Times New Roman" w:cs="Times New Roman"/>
                <w:color w:val="000000"/>
                <w:sz w:val="18"/>
                <w:szCs w:val="18"/>
                <w:lang w:eastAsia="sk-SK"/>
              </w:rPr>
            </w:pPr>
            <w:r w:rsidRPr="00A41CC0">
              <w:rPr>
                <w:rFonts w:eastAsia="Times New Roman" w:cs="Times New Roman"/>
                <w:color w:val="000000"/>
                <w:sz w:val="18"/>
                <w:szCs w:val="18"/>
                <w:lang w:eastAsia="sk-SK"/>
              </w:rPr>
              <w:t>Zahraničné transfery - Plán obnovy a odolnosti SR</w:t>
            </w:r>
          </w:p>
        </w:tc>
        <w:tc>
          <w:tcPr>
            <w:tcW w:w="510" w:type="pct"/>
            <w:tcBorders>
              <w:top w:val="nil"/>
              <w:left w:val="nil"/>
              <w:bottom w:val="nil"/>
              <w:right w:val="nil"/>
            </w:tcBorders>
            <w:shd w:val="clear" w:color="000000" w:fill="FFFFFF"/>
            <w:noWrap/>
            <w:vAlign w:val="center"/>
            <w:hideMark/>
          </w:tcPr>
          <w:p w14:paraId="410F0001" w14:textId="77777777" w:rsidR="00A41CC0" w:rsidRPr="00A41CC0" w:rsidRDefault="00A41CC0" w:rsidP="00A41CC0">
            <w:pPr>
              <w:spacing w:after="0" w:line="240" w:lineRule="auto"/>
              <w:jc w:val="right"/>
              <w:rPr>
                <w:rFonts w:eastAsia="Times New Roman" w:cs="Times New Roman"/>
                <w:color w:val="000000"/>
                <w:sz w:val="18"/>
                <w:szCs w:val="18"/>
                <w:lang w:eastAsia="sk-SK"/>
              </w:rPr>
            </w:pPr>
            <w:r w:rsidRPr="00A41CC0">
              <w:rPr>
                <w:rFonts w:eastAsia="Times New Roman" w:cs="Times New Roman"/>
                <w:color w:val="000000"/>
                <w:sz w:val="18"/>
                <w:szCs w:val="18"/>
                <w:lang w:eastAsia="sk-SK"/>
              </w:rPr>
              <w:t>41 061</w:t>
            </w:r>
          </w:p>
        </w:tc>
        <w:tc>
          <w:tcPr>
            <w:tcW w:w="510" w:type="pct"/>
            <w:tcBorders>
              <w:top w:val="nil"/>
              <w:left w:val="nil"/>
              <w:bottom w:val="nil"/>
              <w:right w:val="nil"/>
            </w:tcBorders>
            <w:shd w:val="clear" w:color="auto" w:fill="auto"/>
            <w:noWrap/>
            <w:vAlign w:val="center"/>
            <w:hideMark/>
          </w:tcPr>
          <w:p w14:paraId="77800BBD" w14:textId="77777777" w:rsidR="00A41CC0" w:rsidRPr="00A41CC0" w:rsidRDefault="00A41CC0" w:rsidP="00A41CC0">
            <w:pPr>
              <w:spacing w:after="0" w:line="240" w:lineRule="auto"/>
              <w:jc w:val="right"/>
              <w:rPr>
                <w:rFonts w:eastAsia="Times New Roman" w:cs="Times New Roman"/>
                <w:color w:val="000000"/>
                <w:sz w:val="18"/>
                <w:szCs w:val="18"/>
                <w:lang w:eastAsia="sk-SK"/>
              </w:rPr>
            </w:pPr>
            <w:r w:rsidRPr="00A41CC0">
              <w:rPr>
                <w:rFonts w:eastAsia="Times New Roman" w:cs="Times New Roman"/>
                <w:color w:val="000000"/>
                <w:sz w:val="18"/>
                <w:szCs w:val="18"/>
                <w:lang w:eastAsia="sk-SK"/>
              </w:rPr>
              <w:t>367 278</w:t>
            </w:r>
          </w:p>
        </w:tc>
        <w:tc>
          <w:tcPr>
            <w:tcW w:w="510" w:type="pct"/>
            <w:tcBorders>
              <w:top w:val="nil"/>
              <w:left w:val="nil"/>
              <w:bottom w:val="nil"/>
              <w:right w:val="nil"/>
            </w:tcBorders>
            <w:shd w:val="clear" w:color="000000" w:fill="FFFFFF"/>
            <w:noWrap/>
            <w:vAlign w:val="center"/>
            <w:hideMark/>
          </w:tcPr>
          <w:p w14:paraId="064F48A6" w14:textId="77777777" w:rsidR="00A41CC0" w:rsidRPr="00A41CC0" w:rsidRDefault="00A41CC0" w:rsidP="00A41CC0">
            <w:pPr>
              <w:spacing w:after="0" w:line="240" w:lineRule="auto"/>
              <w:jc w:val="right"/>
              <w:rPr>
                <w:rFonts w:eastAsia="Times New Roman" w:cs="Times New Roman"/>
                <w:color w:val="000000"/>
                <w:sz w:val="18"/>
                <w:szCs w:val="18"/>
                <w:lang w:eastAsia="sk-SK"/>
              </w:rPr>
            </w:pPr>
            <w:r w:rsidRPr="00A41CC0">
              <w:rPr>
                <w:rFonts w:eastAsia="Times New Roman" w:cs="Times New Roman"/>
                <w:color w:val="000000"/>
                <w:sz w:val="18"/>
                <w:szCs w:val="18"/>
                <w:lang w:eastAsia="sk-SK"/>
              </w:rPr>
              <w:t>1 215 402</w:t>
            </w:r>
          </w:p>
        </w:tc>
        <w:tc>
          <w:tcPr>
            <w:tcW w:w="510" w:type="pct"/>
            <w:tcBorders>
              <w:top w:val="nil"/>
              <w:left w:val="nil"/>
              <w:bottom w:val="nil"/>
              <w:right w:val="nil"/>
            </w:tcBorders>
            <w:shd w:val="clear" w:color="auto" w:fill="auto"/>
            <w:noWrap/>
            <w:vAlign w:val="center"/>
            <w:hideMark/>
          </w:tcPr>
          <w:p w14:paraId="2AA2CCDE" w14:textId="77777777" w:rsidR="00A41CC0" w:rsidRPr="00A41CC0" w:rsidRDefault="00A41CC0" w:rsidP="00A41CC0">
            <w:pPr>
              <w:spacing w:after="0" w:line="240" w:lineRule="auto"/>
              <w:jc w:val="right"/>
              <w:rPr>
                <w:rFonts w:eastAsia="Times New Roman" w:cs="Times New Roman"/>
                <w:color w:val="000000"/>
                <w:sz w:val="18"/>
                <w:szCs w:val="18"/>
                <w:lang w:eastAsia="sk-SK"/>
              </w:rPr>
            </w:pPr>
            <w:r w:rsidRPr="00A41CC0">
              <w:rPr>
                <w:rFonts w:eastAsia="Times New Roman" w:cs="Times New Roman"/>
                <w:color w:val="000000"/>
                <w:sz w:val="18"/>
                <w:szCs w:val="18"/>
                <w:lang w:eastAsia="sk-SK"/>
              </w:rPr>
              <w:t>907 200</w:t>
            </w:r>
          </w:p>
        </w:tc>
        <w:tc>
          <w:tcPr>
            <w:tcW w:w="510" w:type="pct"/>
            <w:tcBorders>
              <w:top w:val="nil"/>
              <w:left w:val="nil"/>
              <w:bottom w:val="nil"/>
              <w:right w:val="nil"/>
            </w:tcBorders>
            <w:shd w:val="clear" w:color="000000" w:fill="FFFFFF"/>
            <w:vAlign w:val="center"/>
            <w:hideMark/>
          </w:tcPr>
          <w:p w14:paraId="429A1BD8" w14:textId="77777777" w:rsidR="00A41CC0" w:rsidRPr="00A41CC0" w:rsidRDefault="00A41CC0" w:rsidP="00A41CC0">
            <w:pPr>
              <w:spacing w:after="0" w:line="240" w:lineRule="auto"/>
              <w:jc w:val="right"/>
              <w:rPr>
                <w:rFonts w:eastAsia="Times New Roman" w:cs="Times New Roman"/>
                <w:color w:val="000000"/>
                <w:sz w:val="18"/>
                <w:szCs w:val="18"/>
                <w:lang w:eastAsia="sk-SK"/>
              </w:rPr>
            </w:pPr>
            <w:r w:rsidRPr="00A41CC0">
              <w:rPr>
                <w:rFonts w:eastAsia="Times New Roman" w:cs="Times New Roman"/>
                <w:color w:val="000000"/>
                <w:sz w:val="18"/>
                <w:szCs w:val="18"/>
                <w:lang w:eastAsia="sk-SK"/>
              </w:rPr>
              <w:t>-308 202</w:t>
            </w:r>
          </w:p>
        </w:tc>
      </w:tr>
      <w:tr w:rsidR="00A41CC0" w:rsidRPr="00A41CC0" w14:paraId="05058223" w14:textId="77777777" w:rsidTr="001D2C2C">
        <w:trPr>
          <w:trHeight w:val="300"/>
        </w:trPr>
        <w:tc>
          <w:tcPr>
            <w:tcW w:w="2450" w:type="pct"/>
            <w:tcBorders>
              <w:top w:val="nil"/>
              <w:left w:val="nil"/>
              <w:bottom w:val="single" w:sz="4" w:space="0" w:color="auto"/>
              <w:right w:val="nil"/>
            </w:tcBorders>
            <w:shd w:val="clear" w:color="auto" w:fill="auto"/>
            <w:vAlign w:val="center"/>
            <w:hideMark/>
          </w:tcPr>
          <w:p w14:paraId="63DE94BC" w14:textId="77777777" w:rsidR="00A41CC0" w:rsidRPr="00A41CC0" w:rsidRDefault="00A41CC0" w:rsidP="00A41CC0">
            <w:pPr>
              <w:spacing w:after="0" w:line="240" w:lineRule="auto"/>
              <w:jc w:val="left"/>
              <w:rPr>
                <w:rFonts w:eastAsia="Times New Roman" w:cs="Times New Roman"/>
                <w:b/>
                <w:bCs/>
                <w:color w:val="000000"/>
                <w:sz w:val="18"/>
                <w:szCs w:val="18"/>
                <w:lang w:eastAsia="sk-SK"/>
              </w:rPr>
            </w:pPr>
            <w:r w:rsidRPr="00A41CC0">
              <w:rPr>
                <w:rFonts w:eastAsia="Times New Roman" w:cs="Times New Roman"/>
                <w:b/>
                <w:bCs/>
                <w:color w:val="000000"/>
                <w:sz w:val="18"/>
                <w:szCs w:val="18"/>
                <w:lang w:eastAsia="sk-SK"/>
              </w:rPr>
              <w:t>Spolu príjmy z rozpočtu EÚ</w:t>
            </w:r>
          </w:p>
        </w:tc>
        <w:tc>
          <w:tcPr>
            <w:tcW w:w="510" w:type="pct"/>
            <w:tcBorders>
              <w:top w:val="nil"/>
              <w:left w:val="nil"/>
              <w:bottom w:val="single" w:sz="4" w:space="0" w:color="auto"/>
              <w:right w:val="nil"/>
            </w:tcBorders>
            <w:shd w:val="clear" w:color="000000" w:fill="FFFFFF"/>
            <w:noWrap/>
            <w:vAlign w:val="center"/>
            <w:hideMark/>
          </w:tcPr>
          <w:p w14:paraId="6CFCE51C" w14:textId="77777777" w:rsidR="00A41CC0" w:rsidRPr="00A41CC0" w:rsidRDefault="00A41CC0" w:rsidP="00A41CC0">
            <w:pPr>
              <w:spacing w:after="0" w:line="240" w:lineRule="auto"/>
              <w:jc w:val="right"/>
              <w:rPr>
                <w:rFonts w:eastAsia="Times New Roman" w:cs="Times New Roman"/>
                <w:b/>
                <w:bCs/>
                <w:color w:val="000000"/>
                <w:sz w:val="18"/>
                <w:szCs w:val="18"/>
                <w:lang w:eastAsia="sk-SK"/>
              </w:rPr>
            </w:pPr>
            <w:r w:rsidRPr="00A41CC0">
              <w:rPr>
                <w:rFonts w:eastAsia="Times New Roman" w:cs="Times New Roman"/>
                <w:b/>
                <w:bCs/>
                <w:color w:val="000000"/>
                <w:sz w:val="18"/>
                <w:szCs w:val="18"/>
                <w:lang w:eastAsia="sk-SK"/>
              </w:rPr>
              <w:t>2 187 702</w:t>
            </w:r>
          </w:p>
        </w:tc>
        <w:tc>
          <w:tcPr>
            <w:tcW w:w="510" w:type="pct"/>
            <w:tcBorders>
              <w:top w:val="nil"/>
              <w:left w:val="nil"/>
              <w:bottom w:val="single" w:sz="4" w:space="0" w:color="auto"/>
              <w:right w:val="nil"/>
            </w:tcBorders>
            <w:shd w:val="clear" w:color="000000" w:fill="FFFFFF"/>
            <w:noWrap/>
            <w:vAlign w:val="center"/>
            <w:hideMark/>
          </w:tcPr>
          <w:p w14:paraId="3CEE43D4" w14:textId="77777777" w:rsidR="00A41CC0" w:rsidRPr="00A41CC0" w:rsidRDefault="00A41CC0" w:rsidP="00A41CC0">
            <w:pPr>
              <w:spacing w:after="0" w:line="240" w:lineRule="auto"/>
              <w:jc w:val="right"/>
              <w:rPr>
                <w:rFonts w:eastAsia="Times New Roman" w:cs="Times New Roman"/>
                <w:b/>
                <w:bCs/>
                <w:color w:val="000000"/>
                <w:sz w:val="18"/>
                <w:szCs w:val="18"/>
                <w:lang w:eastAsia="sk-SK"/>
              </w:rPr>
            </w:pPr>
            <w:r w:rsidRPr="00A41CC0">
              <w:rPr>
                <w:rFonts w:eastAsia="Times New Roman" w:cs="Times New Roman"/>
                <w:b/>
                <w:bCs/>
                <w:color w:val="000000"/>
                <w:sz w:val="18"/>
                <w:szCs w:val="18"/>
                <w:lang w:eastAsia="sk-SK"/>
              </w:rPr>
              <w:t>4 509 274</w:t>
            </w:r>
          </w:p>
        </w:tc>
        <w:tc>
          <w:tcPr>
            <w:tcW w:w="510" w:type="pct"/>
            <w:tcBorders>
              <w:top w:val="nil"/>
              <w:left w:val="nil"/>
              <w:bottom w:val="single" w:sz="4" w:space="0" w:color="auto"/>
              <w:right w:val="nil"/>
            </w:tcBorders>
            <w:shd w:val="clear" w:color="000000" w:fill="FFFFFF"/>
            <w:noWrap/>
            <w:vAlign w:val="center"/>
            <w:hideMark/>
          </w:tcPr>
          <w:p w14:paraId="1BAD0225" w14:textId="77777777" w:rsidR="00A41CC0" w:rsidRPr="00A41CC0" w:rsidRDefault="00A41CC0" w:rsidP="00A41CC0">
            <w:pPr>
              <w:spacing w:after="0" w:line="240" w:lineRule="auto"/>
              <w:jc w:val="right"/>
              <w:rPr>
                <w:rFonts w:eastAsia="Times New Roman" w:cs="Times New Roman"/>
                <w:b/>
                <w:bCs/>
                <w:color w:val="000000"/>
                <w:sz w:val="18"/>
                <w:szCs w:val="18"/>
                <w:lang w:eastAsia="sk-SK"/>
              </w:rPr>
            </w:pPr>
            <w:r w:rsidRPr="00A41CC0">
              <w:rPr>
                <w:rFonts w:eastAsia="Times New Roman" w:cs="Times New Roman"/>
                <w:b/>
                <w:bCs/>
                <w:color w:val="000000"/>
                <w:sz w:val="18"/>
                <w:szCs w:val="18"/>
                <w:lang w:eastAsia="sk-SK"/>
              </w:rPr>
              <w:t>2 452 641</w:t>
            </w:r>
          </w:p>
        </w:tc>
        <w:tc>
          <w:tcPr>
            <w:tcW w:w="510" w:type="pct"/>
            <w:tcBorders>
              <w:top w:val="nil"/>
              <w:left w:val="nil"/>
              <w:bottom w:val="single" w:sz="4" w:space="0" w:color="auto"/>
              <w:right w:val="nil"/>
            </w:tcBorders>
            <w:shd w:val="clear" w:color="000000" w:fill="FFFFFF"/>
            <w:noWrap/>
            <w:vAlign w:val="center"/>
            <w:hideMark/>
          </w:tcPr>
          <w:p w14:paraId="57380F05" w14:textId="77777777" w:rsidR="00A41CC0" w:rsidRPr="00A41CC0" w:rsidRDefault="00A41CC0" w:rsidP="00A41CC0">
            <w:pPr>
              <w:spacing w:after="0" w:line="240" w:lineRule="auto"/>
              <w:jc w:val="right"/>
              <w:rPr>
                <w:rFonts w:eastAsia="Times New Roman" w:cs="Times New Roman"/>
                <w:b/>
                <w:bCs/>
                <w:color w:val="000000"/>
                <w:sz w:val="18"/>
                <w:szCs w:val="18"/>
                <w:lang w:eastAsia="sk-SK"/>
              </w:rPr>
            </w:pPr>
            <w:r w:rsidRPr="00A41CC0">
              <w:rPr>
                <w:rFonts w:eastAsia="Times New Roman" w:cs="Times New Roman"/>
                <w:b/>
                <w:bCs/>
                <w:color w:val="000000"/>
                <w:sz w:val="18"/>
                <w:szCs w:val="18"/>
                <w:lang w:eastAsia="sk-SK"/>
              </w:rPr>
              <w:t>4 132 691</w:t>
            </w:r>
          </w:p>
        </w:tc>
        <w:tc>
          <w:tcPr>
            <w:tcW w:w="510" w:type="pct"/>
            <w:tcBorders>
              <w:top w:val="nil"/>
              <w:left w:val="nil"/>
              <w:bottom w:val="single" w:sz="4" w:space="0" w:color="auto"/>
              <w:right w:val="nil"/>
            </w:tcBorders>
            <w:shd w:val="clear" w:color="000000" w:fill="FFFFFF"/>
            <w:noWrap/>
            <w:vAlign w:val="center"/>
            <w:hideMark/>
          </w:tcPr>
          <w:p w14:paraId="1CA51AE5" w14:textId="77777777" w:rsidR="00A41CC0" w:rsidRPr="00A41CC0" w:rsidRDefault="00A41CC0" w:rsidP="00A41CC0">
            <w:pPr>
              <w:spacing w:after="0" w:line="240" w:lineRule="auto"/>
              <w:jc w:val="right"/>
              <w:rPr>
                <w:rFonts w:eastAsia="Times New Roman" w:cs="Times New Roman"/>
                <w:b/>
                <w:bCs/>
                <w:color w:val="000000"/>
                <w:sz w:val="18"/>
                <w:szCs w:val="18"/>
                <w:lang w:eastAsia="sk-SK"/>
              </w:rPr>
            </w:pPr>
            <w:r w:rsidRPr="00A41CC0">
              <w:rPr>
                <w:rFonts w:eastAsia="Times New Roman" w:cs="Times New Roman"/>
                <w:b/>
                <w:bCs/>
                <w:color w:val="000000"/>
                <w:sz w:val="18"/>
                <w:szCs w:val="18"/>
                <w:lang w:eastAsia="sk-SK"/>
              </w:rPr>
              <w:t>1 680 050</w:t>
            </w:r>
          </w:p>
        </w:tc>
      </w:tr>
      <w:tr w:rsidR="00A41CC0" w:rsidRPr="00A41CC0" w14:paraId="07E007AC" w14:textId="77777777" w:rsidTr="001D2C2C">
        <w:trPr>
          <w:trHeight w:val="290"/>
        </w:trPr>
        <w:tc>
          <w:tcPr>
            <w:tcW w:w="2450" w:type="pct"/>
            <w:tcBorders>
              <w:top w:val="single" w:sz="4" w:space="0" w:color="auto"/>
              <w:left w:val="nil"/>
              <w:bottom w:val="nil"/>
              <w:right w:val="nil"/>
            </w:tcBorders>
            <w:shd w:val="clear" w:color="000000" w:fill="FFFFFF"/>
            <w:vAlign w:val="center"/>
            <w:hideMark/>
          </w:tcPr>
          <w:p w14:paraId="3F5E1C02" w14:textId="77777777" w:rsidR="00A41CC0" w:rsidRPr="00A41CC0" w:rsidRDefault="00A41CC0" w:rsidP="00A41CC0">
            <w:pPr>
              <w:spacing w:after="0" w:line="240" w:lineRule="auto"/>
              <w:jc w:val="left"/>
              <w:rPr>
                <w:rFonts w:eastAsia="Times New Roman" w:cs="Times New Roman"/>
                <w:color w:val="000000"/>
                <w:sz w:val="18"/>
                <w:szCs w:val="18"/>
                <w:lang w:eastAsia="sk-SK"/>
              </w:rPr>
            </w:pPr>
            <w:r w:rsidRPr="00A41CC0">
              <w:rPr>
                <w:rFonts w:eastAsia="Times New Roman" w:cs="Times New Roman"/>
                <w:color w:val="000000"/>
                <w:sz w:val="18"/>
                <w:szCs w:val="18"/>
                <w:lang w:eastAsia="sk-SK"/>
              </w:rPr>
              <w:t>Tradičné vlastné zdroje</w:t>
            </w:r>
          </w:p>
        </w:tc>
        <w:tc>
          <w:tcPr>
            <w:tcW w:w="510" w:type="pct"/>
            <w:tcBorders>
              <w:top w:val="single" w:sz="4" w:space="0" w:color="auto"/>
              <w:left w:val="nil"/>
              <w:bottom w:val="nil"/>
              <w:right w:val="nil"/>
            </w:tcBorders>
            <w:shd w:val="clear" w:color="000000" w:fill="FFFFFF"/>
            <w:noWrap/>
            <w:vAlign w:val="center"/>
            <w:hideMark/>
          </w:tcPr>
          <w:p w14:paraId="18654169" w14:textId="77777777" w:rsidR="00A41CC0" w:rsidRPr="00A41CC0" w:rsidRDefault="00A41CC0" w:rsidP="00A41CC0">
            <w:pPr>
              <w:spacing w:after="0" w:line="240" w:lineRule="auto"/>
              <w:jc w:val="right"/>
              <w:rPr>
                <w:rFonts w:eastAsia="Times New Roman" w:cs="Times New Roman"/>
                <w:color w:val="000000"/>
                <w:sz w:val="18"/>
                <w:szCs w:val="18"/>
                <w:lang w:eastAsia="sk-SK"/>
              </w:rPr>
            </w:pPr>
            <w:r w:rsidRPr="00A41CC0">
              <w:rPr>
                <w:rFonts w:eastAsia="Times New Roman" w:cs="Times New Roman"/>
                <w:color w:val="000000"/>
                <w:sz w:val="18"/>
                <w:szCs w:val="18"/>
                <w:lang w:eastAsia="sk-SK"/>
              </w:rPr>
              <w:t>119 450</w:t>
            </w:r>
          </w:p>
        </w:tc>
        <w:tc>
          <w:tcPr>
            <w:tcW w:w="510" w:type="pct"/>
            <w:tcBorders>
              <w:top w:val="single" w:sz="4" w:space="0" w:color="auto"/>
              <w:left w:val="nil"/>
              <w:bottom w:val="nil"/>
              <w:right w:val="nil"/>
            </w:tcBorders>
            <w:shd w:val="clear" w:color="000000" w:fill="FFFFFF"/>
            <w:noWrap/>
            <w:vAlign w:val="center"/>
            <w:hideMark/>
          </w:tcPr>
          <w:p w14:paraId="7F8B13F6" w14:textId="77777777" w:rsidR="00A41CC0" w:rsidRPr="00A41CC0" w:rsidRDefault="00A41CC0" w:rsidP="00A41CC0">
            <w:pPr>
              <w:spacing w:after="0" w:line="240" w:lineRule="auto"/>
              <w:jc w:val="right"/>
              <w:rPr>
                <w:rFonts w:eastAsia="Times New Roman" w:cs="Times New Roman"/>
                <w:color w:val="000000"/>
                <w:sz w:val="18"/>
                <w:szCs w:val="18"/>
                <w:lang w:eastAsia="sk-SK"/>
              </w:rPr>
            </w:pPr>
            <w:r w:rsidRPr="00A41CC0">
              <w:rPr>
                <w:rFonts w:eastAsia="Times New Roman" w:cs="Times New Roman"/>
                <w:color w:val="000000"/>
                <w:sz w:val="18"/>
                <w:szCs w:val="18"/>
                <w:lang w:eastAsia="sk-SK"/>
              </w:rPr>
              <w:t>113 712</w:t>
            </w:r>
          </w:p>
        </w:tc>
        <w:tc>
          <w:tcPr>
            <w:tcW w:w="510" w:type="pct"/>
            <w:tcBorders>
              <w:top w:val="single" w:sz="4" w:space="0" w:color="auto"/>
              <w:left w:val="nil"/>
              <w:bottom w:val="nil"/>
              <w:right w:val="nil"/>
            </w:tcBorders>
            <w:shd w:val="clear" w:color="000000" w:fill="FFFFFF"/>
            <w:noWrap/>
            <w:vAlign w:val="center"/>
            <w:hideMark/>
          </w:tcPr>
          <w:p w14:paraId="1589B4C3" w14:textId="77777777" w:rsidR="00A41CC0" w:rsidRPr="00A41CC0" w:rsidRDefault="00A41CC0" w:rsidP="00A41CC0">
            <w:pPr>
              <w:spacing w:after="0" w:line="240" w:lineRule="auto"/>
              <w:jc w:val="right"/>
              <w:rPr>
                <w:rFonts w:eastAsia="Times New Roman" w:cs="Times New Roman"/>
                <w:color w:val="000000"/>
                <w:sz w:val="18"/>
                <w:szCs w:val="18"/>
                <w:lang w:eastAsia="sk-SK"/>
              </w:rPr>
            </w:pPr>
            <w:r w:rsidRPr="00A41CC0">
              <w:rPr>
                <w:rFonts w:eastAsia="Times New Roman" w:cs="Times New Roman"/>
                <w:color w:val="000000"/>
                <w:sz w:val="18"/>
                <w:szCs w:val="18"/>
                <w:lang w:eastAsia="sk-SK"/>
              </w:rPr>
              <w:t>140 500</w:t>
            </w:r>
          </w:p>
        </w:tc>
        <w:tc>
          <w:tcPr>
            <w:tcW w:w="510" w:type="pct"/>
            <w:tcBorders>
              <w:top w:val="single" w:sz="4" w:space="0" w:color="auto"/>
              <w:left w:val="nil"/>
              <w:bottom w:val="nil"/>
              <w:right w:val="nil"/>
            </w:tcBorders>
            <w:shd w:val="clear" w:color="000000" w:fill="FFFFFF"/>
            <w:noWrap/>
            <w:vAlign w:val="center"/>
            <w:hideMark/>
          </w:tcPr>
          <w:p w14:paraId="5EE861FF" w14:textId="77777777" w:rsidR="00A41CC0" w:rsidRPr="00A41CC0" w:rsidRDefault="00A41CC0" w:rsidP="00A41CC0">
            <w:pPr>
              <w:spacing w:after="0" w:line="240" w:lineRule="auto"/>
              <w:jc w:val="right"/>
              <w:rPr>
                <w:rFonts w:eastAsia="Times New Roman" w:cs="Times New Roman"/>
                <w:color w:val="000000"/>
                <w:sz w:val="18"/>
                <w:szCs w:val="18"/>
                <w:lang w:eastAsia="sk-SK"/>
              </w:rPr>
            </w:pPr>
            <w:r w:rsidRPr="00A41CC0">
              <w:rPr>
                <w:rFonts w:eastAsia="Times New Roman" w:cs="Times New Roman"/>
                <w:color w:val="000000"/>
                <w:sz w:val="18"/>
                <w:szCs w:val="18"/>
                <w:lang w:eastAsia="sk-SK"/>
              </w:rPr>
              <w:t>109 934</w:t>
            </w:r>
          </w:p>
        </w:tc>
        <w:tc>
          <w:tcPr>
            <w:tcW w:w="510" w:type="pct"/>
            <w:tcBorders>
              <w:top w:val="single" w:sz="4" w:space="0" w:color="auto"/>
              <w:left w:val="nil"/>
              <w:bottom w:val="nil"/>
              <w:right w:val="nil"/>
            </w:tcBorders>
            <w:shd w:val="clear" w:color="000000" w:fill="FFFFFF"/>
            <w:noWrap/>
            <w:vAlign w:val="center"/>
            <w:hideMark/>
          </w:tcPr>
          <w:p w14:paraId="14046694" w14:textId="77777777" w:rsidR="00A41CC0" w:rsidRPr="00A41CC0" w:rsidRDefault="00A41CC0" w:rsidP="00A41CC0">
            <w:pPr>
              <w:spacing w:after="0" w:line="240" w:lineRule="auto"/>
              <w:jc w:val="right"/>
              <w:rPr>
                <w:rFonts w:eastAsia="Times New Roman" w:cs="Times New Roman"/>
                <w:color w:val="000000"/>
                <w:sz w:val="18"/>
                <w:szCs w:val="18"/>
                <w:lang w:eastAsia="sk-SK"/>
              </w:rPr>
            </w:pPr>
            <w:r w:rsidRPr="00A41CC0">
              <w:rPr>
                <w:rFonts w:eastAsia="Times New Roman" w:cs="Times New Roman"/>
                <w:color w:val="000000"/>
                <w:sz w:val="18"/>
                <w:szCs w:val="18"/>
                <w:lang w:eastAsia="sk-SK"/>
              </w:rPr>
              <w:t>-30 566</w:t>
            </w:r>
          </w:p>
        </w:tc>
      </w:tr>
      <w:tr w:rsidR="00A41CC0" w:rsidRPr="00A41CC0" w14:paraId="43B78492" w14:textId="77777777" w:rsidTr="001D2C2C">
        <w:trPr>
          <w:trHeight w:val="290"/>
        </w:trPr>
        <w:tc>
          <w:tcPr>
            <w:tcW w:w="2450" w:type="pct"/>
            <w:tcBorders>
              <w:top w:val="nil"/>
              <w:left w:val="nil"/>
              <w:bottom w:val="nil"/>
              <w:right w:val="nil"/>
            </w:tcBorders>
            <w:shd w:val="clear" w:color="000000" w:fill="FFFFFF"/>
            <w:vAlign w:val="center"/>
            <w:hideMark/>
          </w:tcPr>
          <w:p w14:paraId="38930509" w14:textId="77777777" w:rsidR="00A41CC0" w:rsidRPr="00A41CC0" w:rsidRDefault="00A41CC0" w:rsidP="00A41CC0">
            <w:pPr>
              <w:spacing w:after="0" w:line="240" w:lineRule="auto"/>
              <w:jc w:val="left"/>
              <w:rPr>
                <w:rFonts w:eastAsia="Times New Roman" w:cs="Times New Roman"/>
                <w:color w:val="000000"/>
                <w:sz w:val="18"/>
                <w:szCs w:val="18"/>
                <w:lang w:eastAsia="sk-SK"/>
              </w:rPr>
            </w:pPr>
            <w:r w:rsidRPr="00A41CC0">
              <w:rPr>
                <w:rFonts w:eastAsia="Times New Roman" w:cs="Times New Roman"/>
                <w:color w:val="000000"/>
                <w:sz w:val="18"/>
                <w:szCs w:val="18"/>
                <w:lang w:eastAsia="sk-SK"/>
              </w:rPr>
              <w:t>Odvody SR spolu bez tradičných vlastných zdrojov - kapitola VPS</w:t>
            </w:r>
          </w:p>
        </w:tc>
        <w:tc>
          <w:tcPr>
            <w:tcW w:w="510" w:type="pct"/>
            <w:tcBorders>
              <w:top w:val="nil"/>
              <w:left w:val="nil"/>
              <w:bottom w:val="nil"/>
              <w:right w:val="nil"/>
            </w:tcBorders>
            <w:shd w:val="clear" w:color="000000" w:fill="FFFFFF"/>
            <w:noWrap/>
            <w:vAlign w:val="center"/>
            <w:hideMark/>
          </w:tcPr>
          <w:p w14:paraId="7B3502E8" w14:textId="77777777" w:rsidR="00A41CC0" w:rsidRPr="00A41CC0" w:rsidRDefault="00A41CC0" w:rsidP="00A41CC0">
            <w:pPr>
              <w:spacing w:after="0" w:line="240" w:lineRule="auto"/>
              <w:jc w:val="right"/>
              <w:rPr>
                <w:rFonts w:eastAsia="Times New Roman" w:cs="Times New Roman"/>
                <w:color w:val="000000"/>
                <w:sz w:val="18"/>
                <w:szCs w:val="18"/>
                <w:lang w:eastAsia="sk-SK"/>
              </w:rPr>
            </w:pPr>
            <w:r w:rsidRPr="00A41CC0">
              <w:rPr>
                <w:rFonts w:eastAsia="Times New Roman" w:cs="Times New Roman"/>
                <w:color w:val="000000"/>
                <w:sz w:val="18"/>
                <w:szCs w:val="18"/>
                <w:lang w:eastAsia="sk-SK"/>
              </w:rPr>
              <w:t>940 226</w:t>
            </w:r>
          </w:p>
        </w:tc>
        <w:tc>
          <w:tcPr>
            <w:tcW w:w="510" w:type="pct"/>
            <w:tcBorders>
              <w:top w:val="nil"/>
              <w:left w:val="nil"/>
              <w:bottom w:val="nil"/>
              <w:right w:val="nil"/>
            </w:tcBorders>
            <w:shd w:val="clear" w:color="auto" w:fill="auto"/>
            <w:noWrap/>
            <w:vAlign w:val="center"/>
            <w:hideMark/>
          </w:tcPr>
          <w:p w14:paraId="3BBD79EA" w14:textId="77777777" w:rsidR="00A41CC0" w:rsidRPr="00A41CC0" w:rsidRDefault="00A41CC0" w:rsidP="00A41CC0">
            <w:pPr>
              <w:spacing w:after="0" w:line="240" w:lineRule="auto"/>
              <w:jc w:val="right"/>
              <w:rPr>
                <w:rFonts w:eastAsia="Times New Roman" w:cs="Times New Roman"/>
                <w:color w:val="000000"/>
                <w:sz w:val="18"/>
                <w:szCs w:val="18"/>
                <w:lang w:eastAsia="sk-SK"/>
              </w:rPr>
            </w:pPr>
            <w:r w:rsidRPr="00A41CC0">
              <w:rPr>
                <w:rFonts w:eastAsia="Times New Roman" w:cs="Times New Roman"/>
                <w:color w:val="000000"/>
                <w:sz w:val="18"/>
                <w:szCs w:val="18"/>
                <w:lang w:eastAsia="sk-SK"/>
              </w:rPr>
              <w:t>943 226</w:t>
            </w:r>
          </w:p>
        </w:tc>
        <w:tc>
          <w:tcPr>
            <w:tcW w:w="510" w:type="pct"/>
            <w:tcBorders>
              <w:top w:val="nil"/>
              <w:left w:val="nil"/>
              <w:bottom w:val="nil"/>
              <w:right w:val="nil"/>
            </w:tcBorders>
            <w:shd w:val="clear" w:color="000000" w:fill="FFFFFF"/>
            <w:noWrap/>
            <w:vAlign w:val="center"/>
            <w:hideMark/>
          </w:tcPr>
          <w:p w14:paraId="6EFAD4C1" w14:textId="77777777" w:rsidR="00A41CC0" w:rsidRPr="00A41CC0" w:rsidRDefault="00A41CC0" w:rsidP="00A41CC0">
            <w:pPr>
              <w:spacing w:after="0" w:line="240" w:lineRule="auto"/>
              <w:jc w:val="right"/>
              <w:rPr>
                <w:rFonts w:eastAsia="Times New Roman" w:cs="Times New Roman"/>
                <w:color w:val="000000"/>
                <w:sz w:val="18"/>
                <w:szCs w:val="18"/>
                <w:lang w:eastAsia="sk-SK"/>
              </w:rPr>
            </w:pPr>
            <w:r w:rsidRPr="00A41CC0">
              <w:rPr>
                <w:rFonts w:eastAsia="Times New Roman" w:cs="Times New Roman"/>
                <w:color w:val="000000"/>
                <w:sz w:val="18"/>
                <w:szCs w:val="18"/>
                <w:lang w:eastAsia="sk-SK"/>
              </w:rPr>
              <w:t>1 064 710</w:t>
            </w:r>
          </w:p>
        </w:tc>
        <w:tc>
          <w:tcPr>
            <w:tcW w:w="510" w:type="pct"/>
            <w:tcBorders>
              <w:top w:val="nil"/>
              <w:left w:val="nil"/>
              <w:bottom w:val="nil"/>
              <w:right w:val="nil"/>
            </w:tcBorders>
            <w:shd w:val="clear" w:color="000000" w:fill="FFFFFF"/>
            <w:noWrap/>
            <w:vAlign w:val="center"/>
            <w:hideMark/>
          </w:tcPr>
          <w:p w14:paraId="27C0ECA5" w14:textId="77777777" w:rsidR="00A41CC0" w:rsidRPr="00A41CC0" w:rsidRDefault="00A41CC0" w:rsidP="00A41CC0">
            <w:pPr>
              <w:spacing w:after="0" w:line="240" w:lineRule="auto"/>
              <w:jc w:val="right"/>
              <w:rPr>
                <w:rFonts w:eastAsia="Times New Roman" w:cs="Times New Roman"/>
                <w:color w:val="000000"/>
                <w:sz w:val="18"/>
                <w:szCs w:val="18"/>
                <w:lang w:eastAsia="sk-SK"/>
              </w:rPr>
            </w:pPr>
            <w:r w:rsidRPr="00A41CC0">
              <w:rPr>
                <w:rFonts w:eastAsia="Times New Roman" w:cs="Times New Roman"/>
                <w:color w:val="000000"/>
                <w:sz w:val="18"/>
                <w:szCs w:val="18"/>
                <w:lang w:eastAsia="sk-SK"/>
              </w:rPr>
              <w:t>826 119</w:t>
            </w:r>
          </w:p>
        </w:tc>
        <w:tc>
          <w:tcPr>
            <w:tcW w:w="510" w:type="pct"/>
            <w:tcBorders>
              <w:top w:val="nil"/>
              <w:left w:val="nil"/>
              <w:bottom w:val="nil"/>
              <w:right w:val="nil"/>
            </w:tcBorders>
            <w:shd w:val="clear" w:color="auto" w:fill="auto"/>
            <w:vAlign w:val="center"/>
            <w:hideMark/>
          </w:tcPr>
          <w:p w14:paraId="2F434B96" w14:textId="77777777" w:rsidR="00A41CC0" w:rsidRPr="00A41CC0" w:rsidRDefault="00A41CC0" w:rsidP="00A41CC0">
            <w:pPr>
              <w:spacing w:after="0" w:line="240" w:lineRule="auto"/>
              <w:jc w:val="right"/>
              <w:rPr>
                <w:rFonts w:eastAsia="Times New Roman" w:cs="Times New Roman"/>
                <w:color w:val="000000"/>
                <w:sz w:val="18"/>
                <w:szCs w:val="18"/>
                <w:lang w:eastAsia="sk-SK"/>
              </w:rPr>
            </w:pPr>
            <w:r w:rsidRPr="00A41CC0">
              <w:rPr>
                <w:rFonts w:eastAsia="Times New Roman" w:cs="Times New Roman"/>
                <w:color w:val="000000"/>
                <w:sz w:val="18"/>
                <w:szCs w:val="18"/>
                <w:lang w:eastAsia="sk-SK"/>
              </w:rPr>
              <w:t>-238 591</w:t>
            </w:r>
          </w:p>
        </w:tc>
      </w:tr>
      <w:tr w:rsidR="00A41CC0" w:rsidRPr="00A41CC0" w14:paraId="6F73404E" w14:textId="77777777" w:rsidTr="001D2C2C">
        <w:trPr>
          <w:trHeight w:val="300"/>
        </w:trPr>
        <w:tc>
          <w:tcPr>
            <w:tcW w:w="2450" w:type="pct"/>
            <w:tcBorders>
              <w:top w:val="nil"/>
              <w:left w:val="nil"/>
              <w:bottom w:val="single" w:sz="4" w:space="0" w:color="auto"/>
              <w:right w:val="nil"/>
            </w:tcBorders>
            <w:shd w:val="clear" w:color="auto" w:fill="auto"/>
            <w:vAlign w:val="center"/>
            <w:hideMark/>
          </w:tcPr>
          <w:p w14:paraId="7265AF06" w14:textId="77777777" w:rsidR="00A41CC0" w:rsidRPr="00A41CC0" w:rsidRDefault="00A41CC0" w:rsidP="00A41CC0">
            <w:pPr>
              <w:spacing w:after="0" w:line="240" w:lineRule="auto"/>
              <w:jc w:val="left"/>
              <w:rPr>
                <w:rFonts w:eastAsia="Times New Roman" w:cs="Times New Roman"/>
                <w:b/>
                <w:bCs/>
                <w:color w:val="000000"/>
                <w:sz w:val="18"/>
                <w:szCs w:val="18"/>
                <w:lang w:eastAsia="sk-SK"/>
              </w:rPr>
            </w:pPr>
            <w:r w:rsidRPr="00A41CC0">
              <w:rPr>
                <w:rFonts w:eastAsia="Times New Roman" w:cs="Times New Roman"/>
                <w:b/>
                <w:bCs/>
                <w:color w:val="000000"/>
                <w:sz w:val="18"/>
                <w:szCs w:val="18"/>
                <w:lang w:eastAsia="sk-SK"/>
              </w:rPr>
              <w:t>Odvody SR spolu vrátane tradičných vlastných zdrojov</w:t>
            </w:r>
          </w:p>
        </w:tc>
        <w:tc>
          <w:tcPr>
            <w:tcW w:w="510" w:type="pct"/>
            <w:tcBorders>
              <w:top w:val="nil"/>
              <w:left w:val="nil"/>
              <w:bottom w:val="single" w:sz="4" w:space="0" w:color="auto"/>
              <w:right w:val="nil"/>
            </w:tcBorders>
            <w:shd w:val="clear" w:color="000000" w:fill="FFFFFF"/>
            <w:noWrap/>
            <w:vAlign w:val="center"/>
            <w:hideMark/>
          </w:tcPr>
          <w:p w14:paraId="41F87F27" w14:textId="77777777" w:rsidR="00A41CC0" w:rsidRPr="00A41CC0" w:rsidRDefault="00A41CC0" w:rsidP="00A41CC0">
            <w:pPr>
              <w:spacing w:after="0" w:line="240" w:lineRule="auto"/>
              <w:jc w:val="right"/>
              <w:rPr>
                <w:rFonts w:eastAsia="Times New Roman" w:cs="Times New Roman"/>
                <w:b/>
                <w:bCs/>
                <w:color w:val="000000"/>
                <w:sz w:val="18"/>
                <w:szCs w:val="18"/>
                <w:lang w:eastAsia="sk-SK"/>
              </w:rPr>
            </w:pPr>
            <w:r w:rsidRPr="00A41CC0">
              <w:rPr>
                <w:rFonts w:eastAsia="Times New Roman" w:cs="Times New Roman"/>
                <w:b/>
                <w:bCs/>
                <w:color w:val="000000"/>
                <w:sz w:val="18"/>
                <w:szCs w:val="18"/>
                <w:lang w:eastAsia="sk-SK"/>
              </w:rPr>
              <w:t>1 059 676</w:t>
            </w:r>
          </w:p>
        </w:tc>
        <w:tc>
          <w:tcPr>
            <w:tcW w:w="510" w:type="pct"/>
            <w:tcBorders>
              <w:top w:val="nil"/>
              <w:left w:val="nil"/>
              <w:bottom w:val="single" w:sz="4" w:space="0" w:color="auto"/>
              <w:right w:val="nil"/>
            </w:tcBorders>
            <w:shd w:val="clear" w:color="000000" w:fill="FFFFFF"/>
            <w:noWrap/>
            <w:vAlign w:val="center"/>
            <w:hideMark/>
          </w:tcPr>
          <w:p w14:paraId="7532CC50" w14:textId="77777777" w:rsidR="00A41CC0" w:rsidRPr="00A41CC0" w:rsidRDefault="00A41CC0" w:rsidP="00A41CC0">
            <w:pPr>
              <w:spacing w:after="0" w:line="240" w:lineRule="auto"/>
              <w:jc w:val="right"/>
              <w:rPr>
                <w:rFonts w:eastAsia="Times New Roman" w:cs="Times New Roman"/>
                <w:b/>
                <w:bCs/>
                <w:color w:val="000000"/>
                <w:sz w:val="18"/>
                <w:szCs w:val="18"/>
                <w:lang w:eastAsia="sk-SK"/>
              </w:rPr>
            </w:pPr>
            <w:r w:rsidRPr="00A41CC0">
              <w:rPr>
                <w:rFonts w:eastAsia="Times New Roman" w:cs="Times New Roman"/>
                <w:b/>
                <w:bCs/>
                <w:color w:val="000000"/>
                <w:sz w:val="18"/>
                <w:szCs w:val="18"/>
                <w:lang w:eastAsia="sk-SK"/>
              </w:rPr>
              <w:t>1 056 938</w:t>
            </w:r>
          </w:p>
        </w:tc>
        <w:tc>
          <w:tcPr>
            <w:tcW w:w="510" w:type="pct"/>
            <w:tcBorders>
              <w:top w:val="nil"/>
              <w:left w:val="nil"/>
              <w:bottom w:val="single" w:sz="4" w:space="0" w:color="auto"/>
              <w:right w:val="nil"/>
            </w:tcBorders>
            <w:shd w:val="clear" w:color="000000" w:fill="FFFFFF"/>
            <w:noWrap/>
            <w:vAlign w:val="center"/>
            <w:hideMark/>
          </w:tcPr>
          <w:p w14:paraId="38D50E67" w14:textId="77777777" w:rsidR="00A41CC0" w:rsidRPr="00A41CC0" w:rsidRDefault="00A41CC0" w:rsidP="00A41CC0">
            <w:pPr>
              <w:spacing w:after="0" w:line="240" w:lineRule="auto"/>
              <w:jc w:val="right"/>
              <w:rPr>
                <w:rFonts w:eastAsia="Times New Roman" w:cs="Times New Roman"/>
                <w:b/>
                <w:bCs/>
                <w:color w:val="000000"/>
                <w:sz w:val="18"/>
                <w:szCs w:val="18"/>
                <w:lang w:eastAsia="sk-SK"/>
              </w:rPr>
            </w:pPr>
            <w:r w:rsidRPr="00A41CC0">
              <w:rPr>
                <w:rFonts w:eastAsia="Times New Roman" w:cs="Times New Roman"/>
                <w:b/>
                <w:bCs/>
                <w:color w:val="000000"/>
                <w:sz w:val="18"/>
                <w:szCs w:val="18"/>
                <w:lang w:eastAsia="sk-SK"/>
              </w:rPr>
              <w:t>1 205 210</w:t>
            </w:r>
          </w:p>
        </w:tc>
        <w:tc>
          <w:tcPr>
            <w:tcW w:w="510" w:type="pct"/>
            <w:tcBorders>
              <w:top w:val="nil"/>
              <w:left w:val="nil"/>
              <w:bottom w:val="single" w:sz="4" w:space="0" w:color="auto"/>
              <w:right w:val="nil"/>
            </w:tcBorders>
            <w:shd w:val="clear" w:color="000000" w:fill="FFFFFF"/>
            <w:noWrap/>
            <w:vAlign w:val="center"/>
            <w:hideMark/>
          </w:tcPr>
          <w:p w14:paraId="60964A47" w14:textId="77777777" w:rsidR="00A41CC0" w:rsidRPr="00A41CC0" w:rsidRDefault="00A41CC0" w:rsidP="00A41CC0">
            <w:pPr>
              <w:spacing w:after="0" w:line="240" w:lineRule="auto"/>
              <w:jc w:val="right"/>
              <w:rPr>
                <w:rFonts w:eastAsia="Times New Roman" w:cs="Times New Roman"/>
                <w:b/>
                <w:bCs/>
                <w:color w:val="000000"/>
                <w:sz w:val="18"/>
                <w:szCs w:val="18"/>
                <w:lang w:eastAsia="sk-SK"/>
              </w:rPr>
            </w:pPr>
            <w:r w:rsidRPr="00A41CC0">
              <w:rPr>
                <w:rFonts w:eastAsia="Times New Roman" w:cs="Times New Roman"/>
                <w:b/>
                <w:bCs/>
                <w:color w:val="000000"/>
                <w:sz w:val="18"/>
                <w:szCs w:val="18"/>
                <w:lang w:eastAsia="sk-SK"/>
              </w:rPr>
              <w:t>936 053</w:t>
            </w:r>
          </w:p>
        </w:tc>
        <w:tc>
          <w:tcPr>
            <w:tcW w:w="510" w:type="pct"/>
            <w:tcBorders>
              <w:top w:val="nil"/>
              <w:left w:val="nil"/>
              <w:bottom w:val="single" w:sz="4" w:space="0" w:color="auto"/>
              <w:right w:val="nil"/>
            </w:tcBorders>
            <w:shd w:val="clear" w:color="000000" w:fill="FFFFFF"/>
            <w:noWrap/>
            <w:vAlign w:val="center"/>
            <w:hideMark/>
          </w:tcPr>
          <w:p w14:paraId="00AC5CDD" w14:textId="77777777" w:rsidR="00A41CC0" w:rsidRPr="00A41CC0" w:rsidRDefault="00A41CC0" w:rsidP="00A41CC0">
            <w:pPr>
              <w:spacing w:after="0" w:line="240" w:lineRule="auto"/>
              <w:jc w:val="right"/>
              <w:rPr>
                <w:rFonts w:eastAsia="Times New Roman" w:cs="Times New Roman"/>
                <w:b/>
                <w:bCs/>
                <w:color w:val="000000"/>
                <w:sz w:val="18"/>
                <w:szCs w:val="18"/>
                <w:lang w:eastAsia="sk-SK"/>
              </w:rPr>
            </w:pPr>
            <w:r w:rsidRPr="00A41CC0">
              <w:rPr>
                <w:rFonts w:eastAsia="Times New Roman" w:cs="Times New Roman"/>
                <w:b/>
                <w:bCs/>
                <w:color w:val="000000"/>
                <w:sz w:val="18"/>
                <w:szCs w:val="18"/>
                <w:lang w:eastAsia="sk-SK"/>
              </w:rPr>
              <w:t>-269 157</w:t>
            </w:r>
          </w:p>
        </w:tc>
      </w:tr>
      <w:tr w:rsidR="00A41CC0" w:rsidRPr="00A41CC0" w14:paraId="308CA261" w14:textId="77777777" w:rsidTr="001D2C2C">
        <w:trPr>
          <w:trHeight w:val="290"/>
        </w:trPr>
        <w:tc>
          <w:tcPr>
            <w:tcW w:w="2450" w:type="pct"/>
            <w:tcBorders>
              <w:top w:val="single" w:sz="4" w:space="0" w:color="auto"/>
              <w:left w:val="nil"/>
              <w:bottom w:val="nil"/>
              <w:right w:val="nil"/>
            </w:tcBorders>
            <w:shd w:val="clear" w:color="000000" w:fill="FFFFFF"/>
            <w:vAlign w:val="center"/>
            <w:hideMark/>
          </w:tcPr>
          <w:p w14:paraId="3376EF1E" w14:textId="77777777" w:rsidR="00A41CC0" w:rsidRPr="00A41CC0" w:rsidRDefault="00A41CC0" w:rsidP="00A41CC0">
            <w:pPr>
              <w:spacing w:after="0" w:line="240" w:lineRule="auto"/>
              <w:jc w:val="left"/>
              <w:rPr>
                <w:rFonts w:eastAsia="Times New Roman" w:cs="Times New Roman"/>
                <w:color w:val="000000"/>
                <w:sz w:val="18"/>
                <w:szCs w:val="18"/>
                <w:lang w:eastAsia="sk-SK"/>
              </w:rPr>
            </w:pPr>
            <w:r w:rsidRPr="00A41CC0">
              <w:rPr>
                <w:rFonts w:eastAsia="Times New Roman" w:cs="Times New Roman"/>
                <w:color w:val="000000"/>
                <w:sz w:val="18"/>
                <w:szCs w:val="18"/>
                <w:lang w:eastAsia="sk-SK"/>
              </w:rPr>
              <w:t>Príspevok SR do Európskeho rozvojového fondu (spoločne platba pre EK a pre EIB)</w:t>
            </w:r>
          </w:p>
        </w:tc>
        <w:tc>
          <w:tcPr>
            <w:tcW w:w="510" w:type="pct"/>
            <w:tcBorders>
              <w:top w:val="single" w:sz="4" w:space="0" w:color="auto"/>
              <w:left w:val="nil"/>
              <w:bottom w:val="nil"/>
              <w:right w:val="nil"/>
            </w:tcBorders>
            <w:shd w:val="clear" w:color="000000" w:fill="FFFFFF"/>
            <w:noWrap/>
            <w:vAlign w:val="center"/>
            <w:hideMark/>
          </w:tcPr>
          <w:p w14:paraId="74C01DCC" w14:textId="77777777" w:rsidR="00A41CC0" w:rsidRPr="00A41CC0" w:rsidRDefault="00A41CC0" w:rsidP="00A41CC0">
            <w:pPr>
              <w:spacing w:after="0" w:line="240" w:lineRule="auto"/>
              <w:jc w:val="right"/>
              <w:rPr>
                <w:rFonts w:eastAsia="Times New Roman" w:cs="Times New Roman"/>
                <w:color w:val="000000"/>
                <w:sz w:val="18"/>
                <w:szCs w:val="18"/>
                <w:lang w:eastAsia="sk-SK"/>
              </w:rPr>
            </w:pPr>
            <w:r w:rsidRPr="00A41CC0">
              <w:rPr>
                <w:rFonts w:eastAsia="Times New Roman" w:cs="Times New Roman"/>
                <w:color w:val="000000"/>
                <w:sz w:val="18"/>
                <w:szCs w:val="18"/>
                <w:lang w:eastAsia="sk-SK"/>
              </w:rPr>
              <w:t>10 532</w:t>
            </w:r>
          </w:p>
        </w:tc>
        <w:tc>
          <w:tcPr>
            <w:tcW w:w="510" w:type="pct"/>
            <w:tcBorders>
              <w:top w:val="single" w:sz="4" w:space="0" w:color="auto"/>
              <w:left w:val="nil"/>
              <w:bottom w:val="nil"/>
              <w:right w:val="nil"/>
            </w:tcBorders>
            <w:shd w:val="clear" w:color="000000" w:fill="FFFFFF"/>
            <w:noWrap/>
            <w:vAlign w:val="center"/>
            <w:hideMark/>
          </w:tcPr>
          <w:p w14:paraId="09441B64" w14:textId="77777777" w:rsidR="00A41CC0" w:rsidRPr="00A41CC0" w:rsidRDefault="00A41CC0" w:rsidP="00A41CC0">
            <w:pPr>
              <w:spacing w:after="0" w:line="240" w:lineRule="auto"/>
              <w:jc w:val="right"/>
              <w:rPr>
                <w:rFonts w:eastAsia="Times New Roman" w:cs="Times New Roman"/>
                <w:color w:val="000000"/>
                <w:sz w:val="18"/>
                <w:szCs w:val="18"/>
                <w:lang w:eastAsia="sk-SK"/>
              </w:rPr>
            </w:pPr>
            <w:r w:rsidRPr="00A41CC0">
              <w:rPr>
                <w:rFonts w:eastAsia="Times New Roman" w:cs="Times New Roman"/>
                <w:color w:val="000000"/>
                <w:sz w:val="18"/>
                <w:szCs w:val="18"/>
                <w:lang w:eastAsia="sk-SK"/>
              </w:rPr>
              <w:t>7 899</w:t>
            </w:r>
          </w:p>
        </w:tc>
        <w:tc>
          <w:tcPr>
            <w:tcW w:w="510" w:type="pct"/>
            <w:tcBorders>
              <w:top w:val="single" w:sz="4" w:space="0" w:color="auto"/>
              <w:left w:val="nil"/>
              <w:bottom w:val="nil"/>
              <w:right w:val="nil"/>
            </w:tcBorders>
            <w:shd w:val="clear" w:color="000000" w:fill="FFFFFF"/>
            <w:noWrap/>
            <w:vAlign w:val="center"/>
            <w:hideMark/>
          </w:tcPr>
          <w:p w14:paraId="14DB7D9C" w14:textId="77777777" w:rsidR="00A41CC0" w:rsidRPr="00A41CC0" w:rsidRDefault="00A41CC0" w:rsidP="00A41CC0">
            <w:pPr>
              <w:spacing w:after="0" w:line="240" w:lineRule="auto"/>
              <w:jc w:val="right"/>
              <w:rPr>
                <w:rFonts w:eastAsia="Times New Roman" w:cs="Times New Roman"/>
                <w:color w:val="000000"/>
                <w:sz w:val="18"/>
                <w:szCs w:val="18"/>
                <w:lang w:eastAsia="sk-SK"/>
              </w:rPr>
            </w:pPr>
            <w:r w:rsidRPr="00A41CC0">
              <w:rPr>
                <w:rFonts w:eastAsia="Times New Roman" w:cs="Times New Roman"/>
                <w:color w:val="000000"/>
                <w:sz w:val="18"/>
                <w:szCs w:val="18"/>
                <w:lang w:eastAsia="sk-SK"/>
              </w:rPr>
              <w:t>6 000</w:t>
            </w:r>
          </w:p>
        </w:tc>
        <w:tc>
          <w:tcPr>
            <w:tcW w:w="510" w:type="pct"/>
            <w:tcBorders>
              <w:top w:val="single" w:sz="4" w:space="0" w:color="auto"/>
              <w:left w:val="nil"/>
              <w:bottom w:val="nil"/>
              <w:right w:val="nil"/>
            </w:tcBorders>
            <w:shd w:val="clear" w:color="000000" w:fill="FFFFFF"/>
            <w:noWrap/>
            <w:vAlign w:val="center"/>
            <w:hideMark/>
          </w:tcPr>
          <w:p w14:paraId="436E7894" w14:textId="77777777" w:rsidR="00A41CC0" w:rsidRPr="00A41CC0" w:rsidRDefault="00A41CC0" w:rsidP="00A41CC0">
            <w:pPr>
              <w:spacing w:after="0" w:line="240" w:lineRule="auto"/>
              <w:jc w:val="right"/>
              <w:rPr>
                <w:rFonts w:eastAsia="Times New Roman" w:cs="Times New Roman"/>
                <w:color w:val="000000"/>
                <w:sz w:val="18"/>
                <w:szCs w:val="18"/>
                <w:lang w:eastAsia="sk-SK"/>
              </w:rPr>
            </w:pPr>
            <w:r w:rsidRPr="00A41CC0">
              <w:rPr>
                <w:rFonts w:eastAsia="Times New Roman" w:cs="Times New Roman"/>
                <w:color w:val="000000"/>
                <w:sz w:val="18"/>
                <w:szCs w:val="18"/>
                <w:lang w:eastAsia="sk-SK"/>
              </w:rPr>
              <w:t>5 642</w:t>
            </w:r>
          </w:p>
        </w:tc>
        <w:tc>
          <w:tcPr>
            <w:tcW w:w="510" w:type="pct"/>
            <w:tcBorders>
              <w:top w:val="single" w:sz="4" w:space="0" w:color="auto"/>
              <w:left w:val="nil"/>
              <w:bottom w:val="nil"/>
              <w:right w:val="nil"/>
            </w:tcBorders>
            <w:shd w:val="clear" w:color="000000" w:fill="FFFFFF"/>
            <w:vAlign w:val="center"/>
            <w:hideMark/>
          </w:tcPr>
          <w:p w14:paraId="0014945F" w14:textId="77777777" w:rsidR="00A41CC0" w:rsidRPr="00A41CC0" w:rsidRDefault="00A41CC0" w:rsidP="00A41CC0">
            <w:pPr>
              <w:spacing w:after="0" w:line="240" w:lineRule="auto"/>
              <w:jc w:val="right"/>
              <w:rPr>
                <w:rFonts w:eastAsia="Times New Roman" w:cs="Times New Roman"/>
                <w:color w:val="000000"/>
                <w:sz w:val="18"/>
                <w:szCs w:val="18"/>
                <w:lang w:eastAsia="sk-SK"/>
              </w:rPr>
            </w:pPr>
            <w:r w:rsidRPr="00A41CC0">
              <w:rPr>
                <w:rFonts w:eastAsia="Times New Roman" w:cs="Times New Roman"/>
                <w:color w:val="000000"/>
                <w:sz w:val="18"/>
                <w:szCs w:val="18"/>
                <w:lang w:eastAsia="sk-SK"/>
              </w:rPr>
              <w:t>-358</w:t>
            </w:r>
          </w:p>
        </w:tc>
      </w:tr>
      <w:tr w:rsidR="00A41CC0" w:rsidRPr="00A41CC0" w14:paraId="55D5D834" w14:textId="77777777" w:rsidTr="001D2C2C">
        <w:trPr>
          <w:trHeight w:val="300"/>
        </w:trPr>
        <w:tc>
          <w:tcPr>
            <w:tcW w:w="2450" w:type="pct"/>
            <w:tcBorders>
              <w:top w:val="nil"/>
              <w:left w:val="nil"/>
              <w:bottom w:val="single" w:sz="4" w:space="0" w:color="auto"/>
              <w:right w:val="nil"/>
            </w:tcBorders>
            <w:shd w:val="clear" w:color="auto" w:fill="auto"/>
            <w:vAlign w:val="center"/>
            <w:hideMark/>
          </w:tcPr>
          <w:p w14:paraId="1E3E40FA" w14:textId="77777777" w:rsidR="00A41CC0" w:rsidRPr="00A41CC0" w:rsidRDefault="00A41CC0" w:rsidP="00A41CC0">
            <w:pPr>
              <w:spacing w:after="0" w:line="240" w:lineRule="auto"/>
              <w:jc w:val="left"/>
              <w:rPr>
                <w:rFonts w:eastAsia="Times New Roman" w:cs="Times New Roman"/>
                <w:b/>
                <w:bCs/>
                <w:color w:val="000000"/>
                <w:sz w:val="18"/>
                <w:szCs w:val="18"/>
                <w:lang w:eastAsia="sk-SK"/>
              </w:rPr>
            </w:pPr>
            <w:r w:rsidRPr="00A41CC0">
              <w:rPr>
                <w:rFonts w:eastAsia="Times New Roman" w:cs="Times New Roman"/>
                <w:b/>
                <w:bCs/>
                <w:color w:val="000000"/>
                <w:sz w:val="18"/>
                <w:szCs w:val="18"/>
                <w:lang w:eastAsia="sk-SK"/>
              </w:rPr>
              <w:t>Odvody a príspevky SR do všeobecného rozpočtu EÚ spolu</w:t>
            </w:r>
          </w:p>
        </w:tc>
        <w:tc>
          <w:tcPr>
            <w:tcW w:w="510" w:type="pct"/>
            <w:tcBorders>
              <w:top w:val="nil"/>
              <w:left w:val="nil"/>
              <w:bottom w:val="single" w:sz="4" w:space="0" w:color="auto"/>
              <w:right w:val="nil"/>
            </w:tcBorders>
            <w:shd w:val="clear" w:color="000000" w:fill="FFFFFF"/>
            <w:noWrap/>
            <w:vAlign w:val="center"/>
            <w:hideMark/>
          </w:tcPr>
          <w:p w14:paraId="554F80D9" w14:textId="77777777" w:rsidR="00A41CC0" w:rsidRPr="00A41CC0" w:rsidRDefault="00A41CC0" w:rsidP="00A41CC0">
            <w:pPr>
              <w:spacing w:after="0" w:line="240" w:lineRule="auto"/>
              <w:jc w:val="right"/>
              <w:rPr>
                <w:rFonts w:eastAsia="Times New Roman" w:cs="Times New Roman"/>
                <w:b/>
                <w:bCs/>
                <w:color w:val="000000"/>
                <w:sz w:val="18"/>
                <w:szCs w:val="18"/>
                <w:lang w:eastAsia="sk-SK"/>
              </w:rPr>
            </w:pPr>
            <w:r w:rsidRPr="00A41CC0">
              <w:rPr>
                <w:rFonts w:eastAsia="Times New Roman" w:cs="Times New Roman"/>
                <w:b/>
                <w:bCs/>
                <w:color w:val="000000"/>
                <w:sz w:val="18"/>
                <w:szCs w:val="18"/>
                <w:lang w:eastAsia="sk-SK"/>
              </w:rPr>
              <w:t>1 070 208</w:t>
            </w:r>
          </w:p>
        </w:tc>
        <w:tc>
          <w:tcPr>
            <w:tcW w:w="510" w:type="pct"/>
            <w:tcBorders>
              <w:top w:val="nil"/>
              <w:left w:val="nil"/>
              <w:bottom w:val="single" w:sz="4" w:space="0" w:color="auto"/>
              <w:right w:val="nil"/>
            </w:tcBorders>
            <w:shd w:val="clear" w:color="000000" w:fill="FFFFFF"/>
            <w:noWrap/>
            <w:vAlign w:val="center"/>
            <w:hideMark/>
          </w:tcPr>
          <w:p w14:paraId="660EF05A" w14:textId="77777777" w:rsidR="00A41CC0" w:rsidRPr="00A41CC0" w:rsidRDefault="00A41CC0" w:rsidP="00A41CC0">
            <w:pPr>
              <w:spacing w:after="0" w:line="240" w:lineRule="auto"/>
              <w:jc w:val="right"/>
              <w:rPr>
                <w:rFonts w:eastAsia="Times New Roman" w:cs="Times New Roman"/>
                <w:b/>
                <w:bCs/>
                <w:color w:val="000000"/>
                <w:sz w:val="18"/>
                <w:szCs w:val="18"/>
                <w:lang w:eastAsia="sk-SK"/>
              </w:rPr>
            </w:pPr>
            <w:r w:rsidRPr="00A41CC0">
              <w:rPr>
                <w:rFonts w:eastAsia="Times New Roman" w:cs="Times New Roman"/>
                <w:b/>
                <w:bCs/>
                <w:color w:val="000000"/>
                <w:sz w:val="18"/>
                <w:szCs w:val="18"/>
                <w:lang w:eastAsia="sk-SK"/>
              </w:rPr>
              <w:t>1 064 837</w:t>
            </w:r>
          </w:p>
        </w:tc>
        <w:tc>
          <w:tcPr>
            <w:tcW w:w="510" w:type="pct"/>
            <w:tcBorders>
              <w:top w:val="nil"/>
              <w:left w:val="nil"/>
              <w:bottom w:val="single" w:sz="4" w:space="0" w:color="auto"/>
              <w:right w:val="nil"/>
            </w:tcBorders>
            <w:shd w:val="clear" w:color="000000" w:fill="FFFFFF"/>
            <w:noWrap/>
            <w:vAlign w:val="center"/>
            <w:hideMark/>
          </w:tcPr>
          <w:p w14:paraId="66279FA2" w14:textId="77777777" w:rsidR="00A41CC0" w:rsidRPr="00A41CC0" w:rsidRDefault="00A41CC0" w:rsidP="00A41CC0">
            <w:pPr>
              <w:spacing w:after="0" w:line="240" w:lineRule="auto"/>
              <w:jc w:val="right"/>
              <w:rPr>
                <w:rFonts w:eastAsia="Times New Roman" w:cs="Times New Roman"/>
                <w:b/>
                <w:bCs/>
                <w:color w:val="000000"/>
                <w:sz w:val="18"/>
                <w:szCs w:val="18"/>
                <w:lang w:eastAsia="sk-SK"/>
              </w:rPr>
            </w:pPr>
            <w:r w:rsidRPr="00A41CC0">
              <w:rPr>
                <w:rFonts w:eastAsia="Times New Roman" w:cs="Times New Roman"/>
                <w:b/>
                <w:bCs/>
                <w:color w:val="000000"/>
                <w:sz w:val="18"/>
                <w:szCs w:val="18"/>
                <w:lang w:eastAsia="sk-SK"/>
              </w:rPr>
              <w:t>1 211 210</w:t>
            </w:r>
          </w:p>
        </w:tc>
        <w:tc>
          <w:tcPr>
            <w:tcW w:w="510" w:type="pct"/>
            <w:tcBorders>
              <w:top w:val="nil"/>
              <w:left w:val="nil"/>
              <w:bottom w:val="single" w:sz="4" w:space="0" w:color="auto"/>
              <w:right w:val="nil"/>
            </w:tcBorders>
            <w:shd w:val="clear" w:color="000000" w:fill="FFFFFF"/>
            <w:noWrap/>
            <w:vAlign w:val="center"/>
            <w:hideMark/>
          </w:tcPr>
          <w:p w14:paraId="1923FC1F" w14:textId="77777777" w:rsidR="00A41CC0" w:rsidRPr="00A41CC0" w:rsidRDefault="00A41CC0" w:rsidP="00A41CC0">
            <w:pPr>
              <w:spacing w:after="0" w:line="240" w:lineRule="auto"/>
              <w:jc w:val="right"/>
              <w:rPr>
                <w:rFonts w:eastAsia="Times New Roman" w:cs="Times New Roman"/>
                <w:b/>
                <w:bCs/>
                <w:color w:val="000000"/>
                <w:sz w:val="18"/>
                <w:szCs w:val="18"/>
                <w:lang w:eastAsia="sk-SK"/>
              </w:rPr>
            </w:pPr>
            <w:r w:rsidRPr="00A41CC0">
              <w:rPr>
                <w:rFonts w:eastAsia="Times New Roman" w:cs="Times New Roman"/>
                <w:b/>
                <w:bCs/>
                <w:color w:val="000000"/>
                <w:sz w:val="18"/>
                <w:szCs w:val="18"/>
                <w:lang w:eastAsia="sk-SK"/>
              </w:rPr>
              <w:t>941 695</w:t>
            </w:r>
          </w:p>
        </w:tc>
        <w:tc>
          <w:tcPr>
            <w:tcW w:w="510" w:type="pct"/>
            <w:tcBorders>
              <w:top w:val="nil"/>
              <w:left w:val="nil"/>
              <w:bottom w:val="single" w:sz="4" w:space="0" w:color="auto"/>
              <w:right w:val="nil"/>
            </w:tcBorders>
            <w:shd w:val="clear" w:color="000000" w:fill="FFFFFF"/>
            <w:noWrap/>
            <w:vAlign w:val="center"/>
            <w:hideMark/>
          </w:tcPr>
          <w:p w14:paraId="148BE4D1" w14:textId="77777777" w:rsidR="00A41CC0" w:rsidRPr="00A41CC0" w:rsidRDefault="00A41CC0" w:rsidP="00A41CC0">
            <w:pPr>
              <w:spacing w:after="0" w:line="240" w:lineRule="auto"/>
              <w:jc w:val="right"/>
              <w:rPr>
                <w:rFonts w:eastAsia="Times New Roman" w:cs="Times New Roman"/>
                <w:b/>
                <w:bCs/>
                <w:color w:val="000000"/>
                <w:sz w:val="18"/>
                <w:szCs w:val="18"/>
                <w:lang w:eastAsia="sk-SK"/>
              </w:rPr>
            </w:pPr>
            <w:r w:rsidRPr="00A41CC0">
              <w:rPr>
                <w:rFonts w:eastAsia="Times New Roman" w:cs="Times New Roman"/>
                <w:b/>
                <w:bCs/>
                <w:color w:val="000000"/>
                <w:sz w:val="18"/>
                <w:szCs w:val="18"/>
                <w:lang w:eastAsia="sk-SK"/>
              </w:rPr>
              <w:t>-269 515</w:t>
            </w:r>
          </w:p>
        </w:tc>
      </w:tr>
      <w:tr w:rsidR="00A41CC0" w:rsidRPr="00A41CC0" w14:paraId="6416FD15" w14:textId="77777777" w:rsidTr="001D2C2C">
        <w:trPr>
          <w:trHeight w:val="300"/>
        </w:trPr>
        <w:tc>
          <w:tcPr>
            <w:tcW w:w="2450" w:type="pct"/>
            <w:tcBorders>
              <w:top w:val="single" w:sz="4" w:space="0" w:color="auto"/>
              <w:left w:val="nil"/>
              <w:bottom w:val="single" w:sz="4" w:space="0" w:color="auto"/>
              <w:right w:val="nil"/>
            </w:tcBorders>
            <w:shd w:val="clear" w:color="000000" w:fill="FFFFFF"/>
            <w:vAlign w:val="center"/>
            <w:hideMark/>
          </w:tcPr>
          <w:p w14:paraId="07D4182A" w14:textId="77777777" w:rsidR="00A41CC0" w:rsidRPr="00A41CC0" w:rsidRDefault="00A41CC0" w:rsidP="00A41CC0">
            <w:pPr>
              <w:spacing w:after="0" w:line="240" w:lineRule="auto"/>
              <w:jc w:val="left"/>
              <w:rPr>
                <w:rFonts w:eastAsia="Times New Roman" w:cs="Times New Roman"/>
                <w:b/>
                <w:bCs/>
                <w:color w:val="000000"/>
                <w:sz w:val="18"/>
                <w:szCs w:val="18"/>
                <w:lang w:eastAsia="sk-SK"/>
              </w:rPr>
            </w:pPr>
            <w:r w:rsidRPr="00A41CC0">
              <w:rPr>
                <w:rFonts w:eastAsia="Times New Roman" w:cs="Times New Roman"/>
                <w:b/>
                <w:bCs/>
                <w:color w:val="000000"/>
                <w:sz w:val="18"/>
                <w:szCs w:val="18"/>
                <w:lang w:eastAsia="sk-SK"/>
              </w:rPr>
              <w:t>Čistá finančná pozícia</w:t>
            </w:r>
          </w:p>
        </w:tc>
        <w:tc>
          <w:tcPr>
            <w:tcW w:w="510" w:type="pct"/>
            <w:tcBorders>
              <w:top w:val="single" w:sz="4" w:space="0" w:color="auto"/>
              <w:left w:val="nil"/>
              <w:bottom w:val="single" w:sz="4" w:space="0" w:color="auto"/>
              <w:right w:val="nil"/>
            </w:tcBorders>
            <w:shd w:val="clear" w:color="000000" w:fill="FFFFFF"/>
            <w:noWrap/>
            <w:vAlign w:val="center"/>
            <w:hideMark/>
          </w:tcPr>
          <w:p w14:paraId="6EAFAB7E" w14:textId="77777777" w:rsidR="00A41CC0" w:rsidRPr="00A41CC0" w:rsidRDefault="00A41CC0" w:rsidP="00A41CC0">
            <w:pPr>
              <w:spacing w:after="0" w:line="240" w:lineRule="auto"/>
              <w:jc w:val="right"/>
              <w:rPr>
                <w:rFonts w:eastAsia="Times New Roman" w:cs="Times New Roman"/>
                <w:b/>
                <w:bCs/>
                <w:color w:val="000000"/>
                <w:sz w:val="18"/>
                <w:szCs w:val="18"/>
                <w:lang w:eastAsia="sk-SK"/>
              </w:rPr>
            </w:pPr>
            <w:r w:rsidRPr="00A41CC0">
              <w:rPr>
                <w:rFonts w:eastAsia="Times New Roman" w:cs="Times New Roman"/>
                <w:b/>
                <w:bCs/>
                <w:color w:val="000000"/>
                <w:sz w:val="18"/>
                <w:szCs w:val="18"/>
                <w:lang w:eastAsia="sk-SK"/>
              </w:rPr>
              <w:t>1 117 494</w:t>
            </w:r>
          </w:p>
        </w:tc>
        <w:tc>
          <w:tcPr>
            <w:tcW w:w="510" w:type="pct"/>
            <w:tcBorders>
              <w:top w:val="single" w:sz="4" w:space="0" w:color="auto"/>
              <w:left w:val="nil"/>
              <w:bottom w:val="single" w:sz="4" w:space="0" w:color="auto"/>
              <w:right w:val="nil"/>
            </w:tcBorders>
            <w:shd w:val="clear" w:color="000000" w:fill="FFFFFF"/>
            <w:noWrap/>
            <w:vAlign w:val="center"/>
            <w:hideMark/>
          </w:tcPr>
          <w:p w14:paraId="6452EF5E" w14:textId="77777777" w:rsidR="00A41CC0" w:rsidRPr="00A41CC0" w:rsidRDefault="00A41CC0" w:rsidP="00A41CC0">
            <w:pPr>
              <w:spacing w:after="0" w:line="240" w:lineRule="auto"/>
              <w:jc w:val="right"/>
              <w:rPr>
                <w:rFonts w:eastAsia="Times New Roman" w:cs="Times New Roman"/>
                <w:b/>
                <w:bCs/>
                <w:color w:val="000000"/>
                <w:sz w:val="18"/>
                <w:szCs w:val="18"/>
                <w:lang w:eastAsia="sk-SK"/>
              </w:rPr>
            </w:pPr>
            <w:r w:rsidRPr="00A41CC0">
              <w:rPr>
                <w:rFonts w:eastAsia="Times New Roman" w:cs="Times New Roman"/>
                <w:b/>
                <w:bCs/>
                <w:color w:val="000000"/>
                <w:sz w:val="18"/>
                <w:szCs w:val="18"/>
                <w:lang w:eastAsia="sk-SK"/>
              </w:rPr>
              <w:t>3 444 437</w:t>
            </w:r>
          </w:p>
        </w:tc>
        <w:tc>
          <w:tcPr>
            <w:tcW w:w="510" w:type="pct"/>
            <w:tcBorders>
              <w:top w:val="single" w:sz="4" w:space="0" w:color="auto"/>
              <w:left w:val="nil"/>
              <w:bottom w:val="single" w:sz="4" w:space="0" w:color="auto"/>
              <w:right w:val="nil"/>
            </w:tcBorders>
            <w:shd w:val="clear" w:color="000000" w:fill="FFFFFF"/>
            <w:noWrap/>
            <w:vAlign w:val="center"/>
            <w:hideMark/>
          </w:tcPr>
          <w:p w14:paraId="5CB5C6E2" w14:textId="77777777" w:rsidR="00A41CC0" w:rsidRPr="00A41CC0" w:rsidRDefault="00A41CC0" w:rsidP="00A41CC0">
            <w:pPr>
              <w:spacing w:after="0" w:line="240" w:lineRule="auto"/>
              <w:jc w:val="right"/>
              <w:rPr>
                <w:rFonts w:eastAsia="Times New Roman" w:cs="Times New Roman"/>
                <w:b/>
                <w:bCs/>
                <w:color w:val="000000"/>
                <w:sz w:val="18"/>
                <w:szCs w:val="18"/>
                <w:lang w:eastAsia="sk-SK"/>
              </w:rPr>
            </w:pPr>
            <w:r w:rsidRPr="00A41CC0">
              <w:rPr>
                <w:rFonts w:eastAsia="Times New Roman" w:cs="Times New Roman"/>
                <w:b/>
                <w:bCs/>
                <w:color w:val="000000"/>
                <w:sz w:val="18"/>
                <w:szCs w:val="18"/>
                <w:lang w:eastAsia="sk-SK"/>
              </w:rPr>
              <w:t>1 241 431</w:t>
            </w:r>
          </w:p>
        </w:tc>
        <w:tc>
          <w:tcPr>
            <w:tcW w:w="510" w:type="pct"/>
            <w:tcBorders>
              <w:top w:val="single" w:sz="4" w:space="0" w:color="auto"/>
              <w:left w:val="nil"/>
              <w:bottom w:val="single" w:sz="4" w:space="0" w:color="auto"/>
              <w:right w:val="nil"/>
            </w:tcBorders>
            <w:shd w:val="clear" w:color="000000" w:fill="FFFFFF"/>
            <w:noWrap/>
            <w:vAlign w:val="center"/>
            <w:hideMark/>
          </w:tcPr>
          <w:p w14:paraId="449BAEDB" w14:textId="77777777" w:rsidR="00A41CC0" w:rsidRPr="00A41CC0" w:rsidRDefault="00A41CC0" w:rsidP="00A41CC0">
            <w:pPr>
              <w:spacing w:after="0" w:line="240" w:lineRule="auto"/>
              <w:jc w:val="right"/>
              <w:rPr>
                <w:rFonts w:eastAsia="Times New Roman" w:cs="Times New Roman"/>
                <w:b/>
                <w:bCs/>
                <w:color w:val="000000"/>
                <w:sz w:val="18"/>
                <w:szCs w:val="18"/>
                <w:lang w:eastAsia="sk-SK"/>
              </w:rPr>
            </w:pPr>
            <w:r w:rsidRPr="00A41CC0">
              <w:rPr>
                <w:rFonts w:eastAsia="Times New Roman" w:cs="Times New Roman"/>
                <w:b/>
                <w:bCs/>
                <w:color w:val="000000"/>
                <w:sz w:val="18"/>
                <w:szCs w:val="18"/>
                <w:lang w:eastAsia="sk-SK"/>
              </w:rPr>
              <w:t>3 190 996</w:t>
            </w:r>
          </w:p>
        </w:tc>
        <w:tc>
          <w:tcPr>
            <w:tcW w:w="510" w:type="pct"/>
            <w:tcBorders>
              <w:top w:val="single" w:sz="4" w:space="0" w:color="auto"/>
              <w:left w:val="nil"/>
              <w:bottom w:val="single" w:sz="4" w:space="0" w:color="auto"/>
              <w:right w:val="nil"/>
            </w:tcBorders>
            <w:shd w:val="clear" w:color="000000" w:fill="FFFFFF"/>
            <w:noWrap/>
            <w:vAlign w:val="center"/>
            <w:hideMark/>
          </w:tcPr>
          <w:p w14:paraId="238FF0D6" w14:textId="77777777" w:rsidR="00A41CC0" w:rsidRPr="00A41CC0" w:rsidRDefault="00A41CC0" w:rsidP="00A41CC0">
            <w:pPr>
              <w:spacing w:after="0" w:line="240" w:lineRule="auto"/>
              <w:jc w:val="right"/>
              <w:rPr>
                <w:rFonts w:eastAsia="Times New Roman" w:cs="Times New Roman"/>
                <w:b/>
                <w:bCs/>
                <w:color w:val="000000"/>
                <w:sz w:val="18"/>
                <w:szCs w:val="18"/>
                <w:lang w:eastAsia="sk-SK"/>
              </w:rPr>
            </w:pPr>
            <w:r w:rsidRPr="00A41CC0">
              <w:rPr>
                <w:rFonts w:eastAsia="Times New Roman" w:cs="Times New Roman"/>
                <w:b/>
                <w:bCs/>
                <w:color w:val="000000"/>
                <w:sz w:val="18"/>
                <w:szCs w:val="18"/>
                <w:lang w:eastAsia="sk-SK"/>
              </w:rPr>
              <w:t>1 949 565</w:t>
            </w:r>
          </w:p>
        </w:tc>
      </w:tr>
    </w:tbl>
    <w:p w14:paraId="228327DD" w14:textId="77777777" w:rsidR="004D69BF" w:rsidRPr="00A41CC0" w:rsidRDefault="004D69BF" w:rsidP="004D69BF">
      <w:pPr>
        <w:jc w:val="right"/>
        <w:rPr>
          <w:sz w:val="18"/>
          <w:szCs w:val="18"/>
        </w:rPr>
      </w:pPr>
      <w:r w:rsidRPr="00A41CC0">
        <w:rPr>
          <w:sz w:val="18"/>
          <w:szCs w:val="18"/>
        </w:rPr>
        <w:t>Zdroj: MF SR</w:t>
      </w:r>
    </w:p>
    <w:p w14:paraId="1C9D078E" w14:textId="7D8A9E54" w:rsidR="004D69BF" w:rsidRPr="00F34BAA" w:rsidRDefault="004D69BF" w:rsidP="004D69BF">
      <w:pPr>
        <w:pStyle w:val="Zkladntext1"/>
        <w:tabs>
          <w:tab w:val="left" w:pos="-5103"/>
          <w:tab w:val="left" w:pos="-4962"/>
          <w:tab w:val="left" w:pos="-4820"/>
        </w:tabs>
        <w:spacing w:after="120"/>
        <w:jc w:val="both"/>
        <w:rPr>
          <w:rFonts w:ascii="Times New Roman" w:hAnsi="Times New Roman"/>
          <w:color w:val="auto"/>
          <w:szCs w:val="24"/>
          <w:lang w:val="sk-SK"/>
        </w:rPr>
      </w:pPr>
      <w:r w:rsidRPr="00F34BAA">
        <w:rPr>
          <w:rFonts w:ascii="Times New Roman" w:hAnsi="Times New Roman"/>
          <w:b/>
          <w:i/>
          <w:color w:val="auto"/>
          <w:szCs w:val="24"/>
          <w:lang w:val="sk-SK"/>
        </w:rPr>
        <w:t>Odvody za tradičné vlastné zdroje</w:t>
      </w:r>
      <w:r w:rsidR="008F10B4">
        <w:rPr>
          <w:rFonts w:ascii="Times New Roman" w:hAnsi="Times New Roman"/>
          <w:color w:val="auto"/>
          <w:szCs w:val="24"/>
          <w:lang w:val="sk-SK"/>
        </w:rPr>
        <w:t xml:space="preserve"> (75 </w:t>
      </w:r>
      <w:r w:rsidRPr="00F34BAA">
        <w:rPr>
          <w:rFonts w:ascii="Times New Roman" w:hAnsi="Times New Roman"/>
          <w:color w:val="auto"/>
          <w:szCs w:val="24"/>
          <w:lang w:val="sk-SK"/>
        </w:rPr>
        <w:t>% z výberu cla) boli rozpoč</w:t>
      </w:r>
      <w:r w:rsidR="008F10B4">
        <w:rPr>
          <w:rFonts w:ascii="Times New Roman" w:hAnsi="Times New Roman"/>
          <w:color w:val="auto"/>
          <w:szCs w:val="24"/>
          <w:lang w:val="sk-SK"/>
        </w:rPr>
        <w:t>tované vo </w:t>
      </w:r>
      <w:r w:rsidRPr="00F34BAA">
        <w:rPr>
          <w:rFonts w:ascii="Times New Roman" w:hAnsi="Times New Roman"/>
          <w:color w:val="auto"/>
          <w:szCs w:val="24"/>
          <w:lang w:val="sk-SK"/>
        </w:rPr>
        <w:t>výške 140</w:t>
      </w:r>
      <w:r w:rsidR="008F10B4">
        <w:rPr>
          <w:rFonts w:ascii="Times New Roman" w:hAnsi="Times New Roman"/>
          <w:color w:val="auto"/>
          <w:szCs w:val="24"/>
          <w:lang w:val="sk-SK"/>
        </w:rPr>
        <w:t> </w:t>
      </w:r>
      <w:r w:rsidRPr="00F34BAA">
        <w:rPr>
          <w:rFonts w:ascii="Times New Roman" w:hAnsi="Times New Roman"/>
          <w:color w:val="auto"/>
          <w:szCs w:val="24"/>
          <w:lang w:val="sk-SK"/>
        </w:rPr>
        <w:t>500</w:t>
      </w:r>
      <w:r w:rsidR="008F10B4">
        <w:rPr>
          <w:rFonts w:ascii="Times New Roman" w:hAnsi="Times New Roman"/>
          <w:color w:val="auto"/>
          <w:szCs w:val="24"/>
          <w:lang w:val="sk-SK"/>
        </w:rPr>
        <w:t> </w:t>
      </w:r>
      <w:r w:rsidRPr="00F34BAA">
        <w:rPr>
          <w:rFonts w:ascii="Times New Roman" w:hAnsi="Times New Roman"/>
          <w:color w:val="auto"/>
          <w:szCs w:val="24"/>
          <w:lang w:val="sk-SK"/>
        </w:rPr>
        <w:t>tis.</w:t>
      </w:r>
      <w:r w:rsidR="008F10B4">
        <w:rPr>
          <w:rFonts w:ascii="Times New Roman" w:hAnsi="Times New Roman"/>
          <w:color w:val="auto"/>
          <w:szCs w:val="24"/>
          <w:lang w:val="sk-SK"/>
        </w:rPr>
        <w:t> </w:t>
      </w:r>
      <w:r w:rsidRPr="00F34BAA">
        <w:rPr>
          <w:rFonts w:ascii="Times New Roman" w:hAnsi="Times New Roman"/>
          <w:color w:val="auto"/>
          <w:szCs w:val="24"/>
          <w:lang w:val="sk-SK"/>
        </w:rPr>
        <w:t>eur. Odhady určuje EK na základe odhadov importu tovaru a služieb do</w:t>
      </w:r>
      <w:r w:rsidR="00922722">
        <w:rPr>
          <w:rFonts w:ascii="Times New Roman" w:hAnsi="Times New Roman"/>
          <w:color w:val="auto"/>
          <w:szCs w:val="24"/>
          <w:lang w:val="sk-SK"/>
        </w:rPr>
        <w:t> </w:t>
      </w:r>
      <w:r w:rsidRPr="00F34BAA">
        <w:rPr>
          <w:rFonts w:ascii="Times New Roman" w:hAnsi="Times New Roman"/>
          <w:color w:val="auto"/>
          <w:szCs w:val="24"/>
          <w:lang w:val="sk-SK"/>
        </w:rPr>
        <w:t>EÚ z</w:t>
      </w:r>
      <w:r w:rsidR="008F10B4">
        <w:rPr>
          <w:rFonts w:ascii="Times New Roman" w:hAnsi="Times New Roman"/>
          <w:color w:val="auto"/>
          <w:szCs w:val="24"/>
          <w:lang w:val="sk-SK"/>
        </w:rPr>
        <w:t> </w:t>
      </w:r>
      <w:r w:rsidRPr="00F34BAA">
        <w:rPr>
          <w:rFonts w:ascii="Times New Roman" w:hAnsi="Times New Roman"/>
          <w:color w:val="auto"/>
          <w:szCs w:val="24"/>
          <w:lang w:val="sk-SK"/>
        </w:rPr>
        <w:t xml:space="preserve">tretích krajín, ekonomických prognóz a odhadovanej priemernej </w:t>
      </w:r>
      <w:r w:rsidR="00922722">
        <w:rPr>
          <w:rFonts w:ascii="Times New Roman" w:hAnsi="Times New Roman"/>
          <w:color w:val="auto"/>
          <w:szCs w:val="24"/>
          <w:lang w:val="sk-SK"/>
        </w:rPr>
        <w:t>colnej sadzby v </w:t>
      </w:r>
      <w:r w:rsidR="008F10B4">
        <w:rPr>
          <w:rFonts w:ascii="Times New Roman" w:hAnsi="Times New Roman"/>
          <w:color w:val="auto"/>
          <w:szCs w:val="24"/>
          <w:lang w:val="sk-SK"/>
        </w:rPr>
        <w:t>danom období. V </w:t>
      </w:r>
      <w:r w:rsidRPr="00F34BAA">
        <w:rPr>
          <w:rFonts w:ascii="Times New Roman" w:hAnsi="Times New Roman"/>
          <w:color w:val="auto"/>
          <w:szCs w:val="24"/>
          <w:lang w:val="sk-SK"/>
        </w:rPr>
        <w:t>priebehu roka 2024 colná správa FR SR vyzbierala clo vo výš</w:t>
      </w:r>
      <w:r w:rsidR="008F10B4">
        <w:rPr>
          <w:rFonts w:ascii="Times New Roman" w:hAnsi="Times New Roman"/>
          <w:color w:val="auto"/>
          <w:szCs w:val="24"/>
          <w:lang w:val="sk-SK"/>
        </w:rPr>
        <w:t>ke 146 748 </w:t>
      </w:r>
      <w:r w:rsidRPr="00F34BAA">
        <w:rPr>
          <w:rFonts w:ascii="Times New Roman" w:hAnsi="Times New Roman"/>
          <w:color w:val="auto"/>
          <w:szCs w:val="24"/>
          <w:lang w:val="sk-SK"/>
        </w:rPr>
        <w:t>tis.</w:t>
      </w:r>
      <w:r w:rsidR="008F10B4">
        <w:rPr>
          <w:rFonts w:ascii="Times New Roman" w:hAnsi="Times New Roman"/>
          <w:color w:val="auto"/>
          <w:szCs w:val="24"/>
          <w:lang w:val="sk-SK"/>
        </w:rPr>
        <w:t> </w:t>
      </w:r>
      <w:r w:rsidRPr="00F34BAA">
        <w:rPr>
          <w:rFonts w:ascii="Times New Roman" w:hAnsi="Times New Roman"/>
          <w:color w:val="auto"/>
          <w:szCs w:val="24"/>
          <w:lang w:val="sk-SK"/>
        </w:rPr>
        <w:t>eur (100</w:t>
      </w:r>
      <w:r w:rsidR="008F10B4">
        <w:rPr>
          <w:rFonts w:ascii="Times New Roman" w:hAnsi="Times New Roman"/>
          <w:color w:val="auto"/>
          <w:szCs w:val="24"/>
          <w:lang w:val="sk-SK"/>
        </w:rPr>
        <w:t> </w:t>
      </w:r>
      <w:r w:rsidRPr="00F34BAA">
        <w:rPr>
          <w:rFonts w:ascii="Times New Roman" w:hAnsi="Times New Roman"/>
          <w:color w:val="auto"/>
          <w:szCs w:val="24"/>
          <w:lang w:val="sk-SK"/>
        </w:rPr>
        <w:t>%). Odvod do rozpočtu EÚ vo výške 75</w:t>
      </w:r>
      <w:r w:rsidR="008F10B4">
        <w:rPr>
          <w:rFonts w:ascii="Times New Roman" w:hAnsi="Times New Roman"/>
          <w:color w:val="auto"/>
          <w:szCs w:val="24"/>
          <w:lang w:val="sk-SK"/>
        </w:rPr>
        <w:t> </w:t>
      </w:r>
      <w:r w:rsidRPr="00F34BAA">
        <w:rPr>
          <w:rFonts w:ascii="Times New Roman" w:hAnsi="Times New Roman"/>
          <w:color w:val="auto"/>
          <w:szCs w:val="24"/>
          <w:lang w:val="sk-SK"/>
        </w:rPr>
        <w:t>% vybr</w:t>
      </w:r>
      <w:r w:rsidR="00922722">
        <w:rPr>
          <w:rFonts w:ascii="Times New Roman" w:hAnsi="Times New Roman"/>
          <w:color w:val="auto"/>
          <w:szCs w:val="24"/>
          <w:lang w:val="sk-SK"/>
        </w:rPr>
        <w:t>atého cla bol tak vo </w:t>
      </w:r>
      <w:r w:rsidRPr="00F34BAA">
        <w:rPr>
          <w:rFonts w:ascii="Times New Roman" w:hAnsi="Times New Roman"/>
          <w:color w:val="auto"/>
          <w:szCs w:val="24"/>
          <w:lang w:val="sk-SK"/>
        </w:rPr>
        <w:t>výške 109</w:t>
      </w:r>
      <w:r w:rsidR="008F10B4">
        <w:rPr>
          <w:rFonts w:ascii="Times New Roman" w:hAnsi="Times New Roman"/>
          <w:color w:val="auto"/>
          <w:szCs w:val="24"/>
          <w:lang w:val="sk-SK"/>
        </w:rPr>
        <w:t> </w:t>
      </w:r>
      <w:r w:rsidRPr="00F34BAA">
        <w:rPr>
          <w:rFonts w:ascii="Times New Roman" w:hAnsi="Times New Roman"/>
          <w:color w:val="auto"/>
          <w:szCs w:val="24"/>
          <w:lang w:val="sk-SK"/>
        </w:rPr>
        <w:t>934</w:t>
      </w:r>
      <w:r w:rsidR="008F10B4">
        <w:rPr>
          <w:rFonts w:ascii="Times New Roman" w:hAnsi="Times New Roman"/>
          <w:color w:val="auto"/>
          <w:szCs w:val="24"/>
          <w:lang w:val="sk-SK"/>
        </w:rPr>
        <w:t> </w:t>
      </w:r>
      <w:r w:rsidRPr="00F34BAA">
        <w:rPr>
          <w:rFonts w:ascii="Times New Roman" w:hAnsi="Times New Roman"/>
          <w:color w:val="auto"/>
          <w:szCs w:val="24"/>
          <w:lang w:val="sk-SK"/>
        </w:rPr>
        <w:t>tis.</w:t>
      </w:r>
      <w:r w:rsidR="008F10B4">
        <w:rPr>
          <w:rFonts w:ascii="Times New Roman" w:hAnsi="Times New Roman"/>
          <w:color w:val="auto"/>
          <w:szCs w:val="24"/>
          <w:lang w:val="sk-SK"/>
        </w:rPr>
        <w:t> </w:t>
      </w:r>
      <w:r w:rsidRPr="00F34BAA">
        <w:rPr>
          <w:rFonts w:ascii="Times New Roman" w:hAnsi="Times New Roman"/>
          <w:color w:val="auto"/>
          <w:szCs w:val="24"/>
          <w:lang w:val="sk-SK"/>
        </w:rPr>
        <w:t>eur.</w:t>
      </w:r>
    </w:p>
    <w:p w14:paraId="4F3783E3" w14:textId="611AD91D" w:rsidR="004D69BF" w:rsidRPr="00F34BAA" w:rsidRDefault="004D69BF" w:rsidP="004D69BF">
      <w:pPr>
        <w:pStyle w:val="Zkladntext1"/>
        <w:tabs>
          <w:tab w:val="left" w:pos="-5103"/>
          <w:tab w:val="left" w:pos="-4962"/>
          <w:tab w:val="left" w:pos="-4820"/>
        </w:tabs>
        <w:spacing w:after="120"/>
        <w:jc w:val="both"/>
        <w:rPr>
          <w:rFonts w:ascii="Times New Roman" w:hAnsi="Times New Roman"/>
          <w:bCs/>
          <w:iCs/>
          <w:color w:val="auto"/>
          <w:szCs w:val="24"/>
          <w:lang w:val="sk-SK"/>
        </w:rPr>
      </w:pPr>
      <w:r w:rsidRPr="00F34BAA">
        <w:rPr>
          <w:rFonts w:ascii="Times New Roman" w:hAnsi="Times New Roman"/>
          <w:b/>
          <w:i/>
          <w:color w:val="auto"/>
          <w:szCs w:val="24"/>
          <w:lang w:val="sk-SK"/>
        </w:rPr>
        <w:t xml:space="preserve">Odvody SR bez tradičných vlastných zdrojov – kapitola VPS </w:t>
      </w:r>
      <w:r w:rsidRPr="00F34BAA">
        <w:rPr>
          <w:rFonts w:ascii="Times New Roman" w:hAnsi="Times New Roman"/>
          <w:bCs/>
          <w:iCs/>
          <w:color w:val="auto"/>
          <w:szCs w:val="24"/>
          <w:lang w:val="sk-SK"/>
        </w:rPr>
        <w:t>boli na rok 2024 rozpočtované vo</w:t>
      </w:r>
      <w:r w:rsidR="008F10B4">
        <w:rPr>
          <w:rFonts w:ascii="Times New Roman" w:hAnsi="Times New Roman"/>
          <w:bCs/>
          <w:iCs/>
          <w:color w:val="auto"/>
          <w:szCs w:val="24"/>
          <w:lang w:val="sk-SK"/>
        </w:rPr>
        <w:t> </w:t>
      </w:r>
      <w:r w:rsidRPr="00F34BAA">
        <w:rPr>
          <w:rFonts w:ascii="Times New Roman" w:hAnsi="Times New Roman"/>
          <w:bCs/>
          <w:iCs/>
          <w:color w:val="auto"/>
          <w:szCs w:val="24"/>
          <w:lang w:val="sk-SK"/>
        </w:rPr>
        <w:t>výške 1 064</w:t>
      </w:r>
      <w:r w:rsidR="008F10B4">
        <w:rPr>
          <w:rFonts w:ascii="Times New Roman" w:hAnsi="Times New Roman"/>
          <w:bCs/>
          <w:iCs/>
          <w:color w:val="auto"/>
          <w:szCs w:val="24"/>
          <w:lang w:val="sk-SK"/>
        </w:rPr>
        <w:t> </w:t>
      </w:r>
      <w:r w:rsidRPr="00F34BAA">
        <w:rPr>
          <w:rFonts w:ascii="Times New Roman" w:hAnsi="Times New Roman"/>
          <w:bCs/>
          <w:iCs/>
          <w:color w:val="auto"/>
          <w:szCs w:val="24"/>
          <w:lang w:val="sk-SK"/>
        </w:rPr>
        <w:t>710</w:t>
      </w:r>
      <w:r w:rsidR="008F10B4">
        <w:rPr>
          <w:rFonts w:ascii="Times New Roman" w:hAnsi="Times New Roman"/>
          <w:bCs/>
          <w:iCs/>
          <w:color w:val="auto"/>
          <w:szCs w:val="24"/>
          <w:lang w:val="sk-SK"/>
        </w:rPr>
        <w:t> </w:t>
      </w:r>
      <w:r w:rsidRPr="00F34BAA">
        <w:rPr>
          <w:rFonts w:ascii="Times New Roman" w:hAnsi="Times New Roman"/>
          <w:bCs/>
          <w:iCs/>
          <w:color w:val="auto"/>
          <w:szCs w:val="24"/>
          <w:lang w:val="sk-SK"/>
        </w:rPr>
        <w:t>tis.</w:t>
      </w:r>
      <w:r w:rsidR="008F10B4">
        <w:rPr>
          <w:rFonts w:ascii="Times New Roman" w:hAnsi="Times New Roman"/>
          <w:bCs/>
          <w:iCs/>
          <w:color w:val="auto"/>
          <w:szCs w:val="24"/>
          <w:lang w:val="sk-SK"/>
        </w:rPr>
        <w:t> </w:t>
      </w:r>
      <w:r w:rsidRPr="00F34BAA">
        <w:rPr>
          <w:rFonts w:ascii="Times New Roman" w:hAnsi="Times New Roman"/>
          <w:bCs/>
          <w:iCs/>
          <w:color w:val="auto"/>
          <w:szCs w:val="24"/>
          <w:lang w:val="sk-SK"/>
        </w:rPr>
        <w:t xml:space="preserve">eur. Z toho odvody, ktoré </w:t>
      </w:r>
      <w:r w:rsidRPr="00F34BAA">
        <w:rPr>
          <w:rFonts w:ascii="Times New Roman" w:hAnsi="Times New Roman"/>
          <w:color w:val="auto"/>
          <w:szCs w:val="24"/>
          <w:lang w:val="sk-SK"/>
        </w:rPr>
        <w:t xml:space="preserve">boli rozpočtované na základe návrhu EK k rozpočtu EÚ na rok 2024 a návrhu strednodobého preskúmania Viacročného finančného rámca 2021-2027 </w:t>
      </w:r>
      <w:r w:rsidR="008F10B4">
        <w:rPr>
          <w:rFonts w:ascii="Times New Roman" w:hAnsi="Times New Roman"/>
          <w:bCs/>
          <w:iCs/>
          <w:color w:val="auto"/>
          <w:szCs w:val="24"/>
          <w:lang w:val="sk-SK"/>
        </w:rPr>
        <w:t>vo výške 1 059 710 tis. </w:t>
      </w:r>
      <w:r w:rsidRPr="00F34BAA">
        <w:rPr>
          <w:rFonts w:ascii="Times New Roman" w:hAnsi="Times New Roman"/>
          <w:bCs/>
          <w:iCs/>
          <w:color w:val="auto"/>
          <w:szCs w:val="24"/>
          <w:lang w:val="sk-SK"/>
        </w:rPr>
        <w:t>eur a príspevok SR na náklady súvisiace so</w:t>
      </w:r>
      <w:r w:rsidR="00922722">
        <w:rPr>
          <w:rFonts w:ascii="Times New Roman" w:hAnsi="Times New Roman"/>
          <w:bCs/>
          <w:iCs/>
          <w:color w:val="auto"/>
          <w:szCs w:val="24"/>
          <w:lang w:val="sk-SK"/>
        </w:rPr>
        <w:t> </w:t>
      </w:r>
      <w:r w:rsidRPr="00F34BAA">
        <w:rPr>
          <w:rFonts w:ascii="Times New Roman" w:hAnsi="Times New Roman"/>
          <w:bCs/>
          <w:iCs/>
          <w:color w:val="auto"/>
          <w:szCs w:val="24"/>
          <w:lang w:val="sk-SK"/>
        </w:rPr>
        <w:t xml:space="preserve">splácaním úrokov MFA+ </w:t>
      </w:r>
      <w:r w:rsidRPr="00F34BAA">
        <w:rPr>
          <w:rFonts w:ascii="Times New Roman" w:hAnsi="Times New Roman"/>
          <w:color w:val="auto"/>
          <w:szCs w:val="24"/>
          <w:lang w:val="sk-SK"/>
        </w:rPr>
        <w:t xml:space="preserve">(makrofinančná pomoc Ukrajine) </w:t>
      </w:r>
      <w:r w:rsidRPr="00F34BAA">
        <w:rPr>
          <w:rFonts w:ascii="Times New Roman" w:hAnsi="Times New Roman"/>
          <w:bCs/>
          <w:iCs/>
          <w:color w:val="auto"/>
          <w:szCs w:val="24"/>
          <w:lang w:val="sk-SK"/>
        </w:rPr>
        <w:t>vo výške 5</w:t>
      </w:r>
      <w:r w:rsidR="008F10B4">
        <w:rPr>
          <w:rFonts w:ascii="Times New Roman" w:hAnsi="Times New Roman"/>
          <w:bCs/>
          <w:iCs/>
          <w:color w:val="auto"/>
          <w:szCs w:val="24"/>
          <w:lang w:val="sk-SK"/>
        </w:rPr>
        <w:t> </w:t>
      </w:r>
      <w:r w:rsidRPr="00F34BAA">
        <w:rPr>
          <w:rFonts w:ascii="Times New Roman" w:hAnsi="Times New Roman"/>
          <w:bCs/>
          <w:iCs/>
          <w:color w:val="auto"/>
          <w:szCs w:val="24"/>
          <w:lang w:val="sk-SK"/>
        </w:rPr>
        <w:t>000</w:t>
      </w:r>
      <w:r w:rsidR="008F10B4">
        <w:rPr>
          <w:rFonts w:ascii="Times New Roman" w:hAnsi="Times New Roman"/>
          <w:bCs/>
          <w:iCs/>
          <w:color w:val="auto"/>
          <w:szCs w:val="24"/>
          <w:lang w:val="sk-SK"/>
        </w:rPr>
        <w:t> </w:t>
      </w:r>
      <w:r w:rsidRPr="00F34BAA">
        <w:rPr>
          <w:rFonts w:ascii="Times New Roman" w:hAnsi="Times New Roman"/>
          <w:bCs/>
          <w:iCs/>
          <w:color w:val="auto"/>
          <w:szCs w:val="24"/>
          <w:lang w:val="sk-SK"/>
        </w:rPr>
        <w:t>tis.</w:t>
      </w:r>
      <w:r w:rsidR="008F10B4">
        <w:rPr>
          <w:rFonts w:ascii="Times New Roman" w:hAnsi="Times New Roman"/>
          <w:bCs/>
          <w:iCs/>
          <w:color w:val="auto"/>
          <w:szCs w:val="24"/>
          <w:lang w:val="sk-SK"/>
        </w:rPr>
        <w:t> </w:t>
      </w:r>
      <w:r w:rsidRPr="00F34BAA">
        <w:rPr>
          <w:rFonts w:ascii="Times New Roman" w:hAnsi="Times New Roman"/>
          <w:bCs/>
          <w:iCs/>
          <w:color w:val="auto"/>
          <w:szCs w:val="24"/>
          <w:lang w:val="sk-SK"/>
        </w:rPr>
        <w:t>eur. Skutočné čerpanie odvodov bez</w:t>
      </w:r>
      <w:r w:rsidR="008F10B4">
        <w:rPr>
          <w:rFonts w:ascii="Times New Roman" w:hAnsi="Times New Roman"/>
          <w:bCs/>
          <w:iCs/>
          <w:color w:val="auto"/>
          <w:szCs w:val="24"/>
          <w:lang w:val="sk-SK"/>
        </w:rPr>
        <w:t> </w:t>
      </w:r>
      <w:r w:rsidRPr="00F34BAA">
        <w:rPr>
          <w:rFonts w:ascii="Times New Roman" w:hAnsi="Times New Roman"/>
          <w:bCs/>
          <w:iCs/>
          <w:color w:val="auto"/>
          <w:szCs w:val="24"/>
          <w:lang w:val="sk-SK"/>
        </w:rPr>
        <w:t>tradičných vlas</w:t>
      </w:r>
      <w:r w:rsidR="00922722">
        <w:rPr>
          <w:rFonts w:ascii="Times New Roman" w:hAnsi="Times New Roman"/>
          <w:bCs/>
          <w:iCs/>
          <w:color w:val="auto"/>
          <w:szCs w:val="24"/>
          <w:lang w:val="sk-SK"/>
        </w:rPr>
        <w:t>tných zdrojov bolo celkovo vo </w:t>
      </w:r>
      <w:r w:rsidRPr="00F34BAA">
        <w:rPr>
          <w:rFonts w:ascii="Times New Roman" w:hAnsi="Times New Roman"/>
          <w:bCs/>
          <w:iCs/>
          <w:color w:val="auto"/>
          <w:szCs w:val="24"/>
          <w:lang w:val="sk-SK"/>
        </w:rPr>
        <w:t>výške 826</w:t>
      </w:r>
      <w:r w:rsidR="008F10B4">
        <w:rPr>
          <w:rFonts w:ascii="Times New Roman" w:hAnsi="Times New Roman"/>
          <w:bCs/>
          <w:iCs/>
          <w:color w:val="auto"/>
          <w:szCs w:val="24"/>
          <w:lang w:val="sk-SK"/>
        </w:rPr>
        <w:t> </w:t>
      </w:r>
      <w:r w:rsidRPr="00F34BAA">
        <w:rPr>
          <w:rFonts w:ascii="Times New Roman" w:hAnsi="Times New Roman"/>
          <w:bCs/>
          <w:iCs/>
          <w:color w:val="auto"/>
          <w:szCs w:val="24"/>
          <w:lang w:val="sk-SK"/>
        </w:rPr>
        <w:t>119</w:t>
      </w:r>
      <w:r w:rsidR="008F10B4">
        <w:rPr>
          <w:rFonts w:ascii="Times New Roman" w:hAnsi="Times New Roman"/>
          <w:bCs/>
          <w:iCs/>
          <w:color w:val="auto"/>
          <w:szCs w:val="24"/>
          <w:lang w:val="sk-SK"/>
        </w:rPr>
        <w:t> </w:t>
      </w:r>
      <w:r w:rsidRPr="00F34BAA">
        <w:rPr>
          <w:rFonts w:ascii="Times New Roman" w:hAnsi="Times New Roman"/>
          <w:bCs/>
          <w:iCs/>
          <w:color w:val="auto"/>
          <w:szCs w:val="24"/>
          <w:lang w:val="sk-SK"/>
        </w:rPr>
        <w:t>tis.</w:t>
      </w:r>
      <w:r w:rsidR="008F10B4">
        <w:rPr>
          <w:rFonts w:ascii="Times New Roman" w:hAnsi="Times New Roman"/>
          <w:bCs/>
          <w:iCs/>
          <w:color w:val="auto"/>
          <w:szCs w:val="24"/>
          <w:lang w:val="sk-SK"/>
        </w:rPr>
        <w:t> eur, z toho 822 107 </w:t>
      </w:r>
      <w:r w:rsidRPr="00F34BAA">
        <w:rPr>
          <w:rFonts w:ascii="Times New Roman" w:hAnsi="Times New Roman"/>
          <w:bCs/>
          <w:iCs/>
          <w:color w:val="auto"/>
          <w:szCs w:val="24"/>
          <w:lang w:val="sk-SK"/>
        </w:rPr>
        <w:t>tis.</w:t>
      </w:r>
      <w:r w:rsidR="008F10B4">
        <w:rPr>
          <w:rFonts w:ascii="Times New Roman" w:hAnsi="Times New Roman"/>
          <w:bCs/>
          <w:iCs/>
          <w:color w:val="auto"/>
          <w:szCs w:val="24"/>
          <w:lang w:val="sk-SK"/>
        </w:rPr>
        <w:t> </w:t>
      </w:r>
      <w:r w:rsidRPr="00F34BAA">
        <w:rPr>
          <w:rFonts w:ascii="Times New Roman" w:hAnsi="Times New Roman"/>
          <w:bCs/>
          <w:iCs/>
          <w:color w:val="auto"/>
          <w:szCs w:val="24"/>
          <w:lang w:val="sk-SK"/>
        </w:rPr>
        <w:t>e</w:t>
      </w:r>
      <w:r w:rsidR="008F10B4">
        <w:rPr>
          <w:rFonts w:ascii="Times New Roman" w:hAnsi="Times New Roman"/>
          <w:bCs/>
          <w:iCs/>
          <w:color w:val="auto"/>
          <w:szCs w:val="24"/>
          <w:lang w:val="sk-SK"/>
        </w:rPr>
        <w:t>ur predstavovali odvody a 4 012 tis. </w:t>
      </w:r>
      <w:r w:rsidRPr="00F34BAA">
        <w:rPr>
          <w:rFonts w:ascii="Times New Roman" w:hAnsi="Times New Roman"/>
          <w:bCs/>
          <w:iCs/>
          <w:color w:val="auto"/>
          <w:szCs w:val="24"/>
          <w:lang w:val="sk-SK"/>
        </w:rPr>
        <w:t>eur predstavoval vyššie uvedený príspevok na Ukrajinu.</w:t>
      </w:r>
    </w:p>
    <w:p w14:paraId="1FCB893D" w14:textId="18508453" w:rsidR="004D69BF" w:rsidRPr="00F34BAA" w:rsidRDefault="004D69BF" w:rsidP="004D69BF">
      <w:pPr>
        <w:pStyle w:val="Zkladntext1"/>
        <w:tabs>
          <w:tab w:val="left" w:pos="-5103"/>
          <w:tab w:val="left" w:pos="-4962"/>
          <w:tab w:val="left" w:pos="-4820"/>
        </w:tabs>
        <w:spacing w:after="120"/>
        <w:jc w:val="both"/>
        <w:rPr>
          <w:rFonts w:ascii="Times New Roman" w:hAnsi="Times New Roman"/>
          <w:bCs/>
          <w:iCs/>
          <w:color w:val="auto"/>
          <w:szCs w:val="24"/>
          <w:lang w:val="sk-SK"/>
        </w:rPr>
      </w:pPr>
      <w:r w:rsidRPr="00F34BAA">
        <w:rPr>
          <w:rFonts w:ascii="Times New Roman" w:hAnsi="Times New Roman"/>
          <w:color w:val="auto"/>
          <w:szCs w:val="24"/>
          <w:lang w:val="sk-SK"/>
        </w:rPr>
        <w:t>Skutočný odvod SR z vlastných zdrojov rozpočtu EÚ za zdroj založený na DPH, zdroj založený na HND, zdroj založený na odpade z plastových obalov, ktorý nie je recyklovaný, podiel SR na</w:t>
      </w:r>
      <w:r w:rsidR="008F10B4">
        <w:rPr>
          <w:rFonts w:ascii="Times New Roman" w:hAnsi="Times New Roman"/>
          <w:color w:val="auto"/>
          <w:szCs w:val="24"/>
          <w:lang w:val="sk-SK"/>
        </w:rPr>
        <w:t> </w:t>
      </w:r>
      <w:r w:rsidRPr="00F34BAA">
        <w:rPr>
          <w:rFonts w:ascii="Times New Roman" w:hAnsi="Times New Roman"/>
          <w:color w:val="auto"/>
          <w:szCs w:val="24"/>
          <w:lang w:val="sk-SK"/>
        </w:rPr>
        <w:t>korekciách pre Dánsko, Holandsko, Nemecko, Rakúsko a Švédsko predstavoval sumu 822</w:t>
      </w:r>
      <w:r w:rsidR="008F10B4">
        <w:rPr>
          <w:rFonts w:ascii="Times New Roman" w:hAnsi="Times New Roman"/>
          <w:color w:val="auto"/>
          <w:szCs w:val="24"/>
          <w:lang w:val="sk-SK"/>
        </w:rPr>
        <w:t> </w:t>
      </w:r>
      <w:r w:rsidRPr="00F34BAA">
        <w:rPr>
          <w:rFonts w:ascii="Times New Roman" w:hAnsi="Times New Roman"/>
          <w:color w:val="auto"/>
          <w:szCs w:val="24"/>
          <w:lang w:val="sk-SK"/>
        </w:rPr>
        <w:t>107</w:t>
      </w:r>
      <w:r w:rsidR="008F10B4">
        <w:rPr>
          <w:rFonts w:ascii="Times New Roman" w:hAnsi="Times New Roman"/>
          <w:color w:val="auto"/>
          <w:szCs w:val="24"/>
          <w:lang w:val="sk-SK"/>
        </w:rPr>
        <w:t> </w:t>
      </w:r>
      <w:r w:rsidRPr="00F34BAA">
        <w:rPr>
          <w:rFonts w:ascii="Times New Roman" w:hAnsi="Times New Roman"/>
          <w:color w:val="auto"/>
          <w:szCs w:val="24"/>
          <w:lang w:val="sk-SK"/>
        </w:rPr>
        <w:t>tis.</w:t>
      </w:r>
      <w:r w:rsidR="008F10B4">
        <w:rPr>
          <w:rFonts w:ascii="Times New Roman" w:hAnsi="Times New Roman"/>
          <w:color w:val="auto"/>
          <w:szCs w:val="24"/>
          <w:lang w:val="sk-SK"/>
        </w:rPr>
        <w:t> </w:t>
      </w:r>
      <w:r w:rsidRPr="00F34BAA">
        <w:rPr>
          <w:rFonts w:ascii="Times New Roman" w:hAnsi="Times New Roman"/>
          <w:color w:val="auto"/>
          <w:szCs w:val="24"/>
          <w:lang w:val="sk-SK"/>
        </w:rPr>
        <w:t>eur a jeho zníženie bolo ovplyvnené z niekoľkých dôvodov. Jednou z hlavných príčin tohto zníženia bola konečná dohoda na revízii Viacročného finančného rámca 2021-2027 vo februári 2024, ktorá po dlhom negociačnom procese nepremietla všetky úpravy tak ako to navrhla EK vo svojom návrhu v júni 2023. Ďalším dôvodom poklesu odvodov SR do</w:t>
      </w:r>
      <w:r w:rsidR="008F10B4">
        <w:rPr>
          <w:rFonts w:ascii="Times New Roman" w:hAnsi="Times New Roman"/>
          <w:color w:val="auto"/>
          <w:szCs w:val="24"/>
          <w:lang w:val="sk-SK"/>
        </w:rPr>
        <w:t> </w:t>
      </w:r>
      <w:r w:rsidRPr="00F34BAA">
        <w:rPr>
          <w:rFonts w:ascii="Times New Roman" w:hAnsi="Times New Roman"/>
          <w:color w:val="auto"/>
          <w:szCs w:val="24"/>
          <w:lang w:val="sk-SK"/>
        </w:rPr>
        <w:t>rozpočtu EÚ bolo vysporiadanie sa so stratou na tradičných vlastných zdrojoch rozpočtu EÚ v</w:t>
      </w:r>
      <w:r w:rsidR="008F10B4">
        <w:rPr>
          <w:rFonts w:ascii="Times New Roman" w:hAnsi="Times New Roman"/>
          <w:color w:val="auto"/>
          <w:szCs w:val="24"/>
          <w:lang w:val="sk-SK"/>
        </w:rPr>
        <w:t> </w:t>
      </w:r>
      <w:r w:rsidRPr="00F34BAA">
        <w:rPr>
          <w:rFonts w:ascii="Times New Roman" w:hAnsi="Times New Roman"/>
          <w:color w:val="auto"/>
          <w:szCs w:val="24"/>
          <w:lang w:val="sk-SK"/>
        </w:rPr>
        <w:t>súvislosti s dovozom podhodnoteného čínskeho textilu. Zníženia boli spôsobené aj vplyvom neskorého prijatia novely rozpočtového roka 2023, ktorá sa hotovostne prejavila v januárovej platbe odvodov, prebytkom z plnenia rozpočtu z roku 2023 a úpravami, ktoré vznikli prepočtom základní vl</w:t>
      </w:r>
      <w:r w:rsidR="00C86420">
        <w:rPr>
          <w:rFonts w:ascii="Times New Roman" w:hAnsi="Times New Roman"/>
          <w:color w:val="auto"/>
          <w:szCs w:val="24"/>
          <w:lang w:val="sk-SK"/>
        </w:rPr>
        <w:t>astných zdrojov.</w:t>
      </w:r>
    </w:p>
    <w:p w14:paraId="26F55513" w14:textId="56B854FE" w:rsidR="003F0717" w:rsidRPr="00F34BAA" w:rsidRDefault="004D69BF" w:rsidP="004D69BF">
      <w:pPr>
        <w:pStyle w:val="Zkladntext1"/>
        <w:tabs>
          <w:tab w:val="left" w:pos="-5103"/>
          <w:tab w:val="left" w:pos="-4962"/>
          <w:tab w:val="left" w:pos="-4820"/>
        </w:tabs>
        <w:spacing w:after="120"/>
        <w:jc w:val="both"/>
        <w:rPr>
          <w:rFonts w:ascii="Times New Roman" w:hAnsi="Times New Roman"/>
          <w:color w:val="auto"/>
          <w:szCs w:val="24"/>
          <w:lang w:val="sk-SK"/>
        </w:rPr>
      </w:pPr>
      <w:r w:rsidRPr="00F34BAA">
        <w:rPr>
          <w:rFonts w:ascii="Times New Roman" w:hAnsi="Times New Roman"/>
          <w:color w:val="auto"/>
          <w:szCs w:val="24"/>
          <w:lang w:val="sk-SK"/>
        </w:rPr>
        <w:t>V rokoch 2024</w:t>
      </w:r>
      <w:r w:rsidR="008F10B4">
        <w:rPr>
          <w:rFonts w:ascii="Times New Roman" w:hAnsi="Times New Roman"/>
          <w:color w:val="auto"/>
          <w:szCs w:val="24"/>
          <w:lang w:val="sk-SK"/>
        </w:rPr>
        <w:t> - </w:t>
      </w:r>
      <w:r w:rsidRPr="00F34BAA">
        <w:rPr>
          <w:rFonts w:ascii="Times New Roman" w:hAnsi="Times New Roman"/>
          <w:color w:val="auto"/>
          <w:szCs w:val="24"/>
          <w:lang w:val="sk-SK"/>
        </w:rPr>
        <w:t>2027 bude SR na základe dohody o príspe</w:t>
      </w:r>
      <w:r w:rsidR="008F10B4">
        <w:rPr>
          <w:rFonts w:ascii="Times New Roman" w:hAnsi="Times New Roman"/>
          <w:color w:val="auto"/>
          <w:szCs w:val="24"/>
          <w:lang w:val="sk-SK"/>
        </w:rPr>
        <w:t>vku medzi EK a SR prispievať na </w:t>
      </w:r>
      <w:r w:rsidRPr="00F34BAA">
        <w:rPr>
          <w:rFonts w:ascii="Times New Roman" w:hAnsi="Times New Roman"/>
          <w:color w:val="auto"/>
          <w:szCs w:val="24"/>
          <w:lang w:val="sk-SK"/>
        </w:rPr>
        <w:t xml:space="preserve">náklady spojené so splácaním úrokov MFA+ </w:t>
      </w:r>
      <w:hyperlink r:id="rId19" w:history="1"/>
      <w:r w:rsidRPr="00F34BAA">
        <w:rPr>
          <w:rFonts w:ascii="Times New Roman" w:hAnsi="Times New Roman"/>
          <w:color w:val="auto"/>
          <w:szCs w:val="24"/>
          <w:lang w:val="sk-SK"/>
        </w:rPr>
        <w:t>a to vo výške 0,71</w:t>
      </w:r>
      <w:r w:rsidR="008F10B4">
        <w:rPr>
          <w:rFonts w:ascii="Times New Roman" w:hAnsi="Times New Roman"/>
          <w:color w:val="auto"/>
          <w:szCs w:val="24"/>
          <w:lang w:val="sk-SK"/>
        </w:rPr>
        <w:t> </w:t>
      </w:r>
      <w:r w:rsidRPr="00F34BAA">
        <w:rPr>
          <w:rFonts w:ascii="Times New Roman" w:hAnsi="Times New Roman"/>
          <w:color w:val="auto"/>
          <w:szCs w:val="24"/>
          <w:lang w:val="sk-SK"/>
        </w:rPr>
        <w:t xml:space="preserve">% podielu HND EU27, čo </w:t>
      </w:r>
      <w:r w:rsidR="008F10B4">
        <w:rPr>
          <w:rFonts w:ascii="Times New Roman" w:hAnsi="Times New Roman"/>
          <w:color w:val="auto"/>
          <w:szCs w:val="24"/>
          <w:lang w:val="sk-SK"/>
        </w:rPr>
        <w:t>v roku 2024 predstavovalo 4 012 tis. </w:t>
      </w:r>
      <w:r w:rsidRPr="00F34BAA">
        <w:rPr>
          <w:rFonts w:ascii="Times New Roman" w:hAnsi="Times New Roman"/>
          <w:color w:val="auto"/>
          <w:szCs w:val="24"/>
          <w:lang w:val="sk-SK"/>
        </w:rPr>
        <w:t>eur.</w:t>
      </w:r>
    </w:p>
    <w:p w14:paraId="228A4409" w14:textId="32784587" w:rsidR="004D69BF" w:rsidRPr="00F34BAA" w:rsidRDefault="004D69BF" w:rsidP="004D69BF">
      <w:pPr>
        <w:pStyle w:val="Zkladntext1"/>
        <w:tabs>
          <w:tab w:val="left" w:pos="-5103"/>
          <w:tab w:val="left" w:pos="-4962"/>
          <w:tab w:val="left" w:pos="-4820"/>
        </w:tabs>
        <w:spacing w:after="120"/>
        <w:jc w:val="both"/>
        <w:rPr>
          <w:rFonts w:ascii="Times New Roman" w:hAnsi="Times New Roman"/>
          <w:color w:val="auto"/>
          <w:szCs w:val="24"/>
          <w:lang w:val="sk-SK"/>
        </w:rPr>
      </w:pPr>
      <w:r w:rsidRPr="00F34BAA">
        <w:rPr>
          <w:rFonts w:ascii="Times New Roman" w:hAnsi="Times New Roman"/>
          <w:b/>
          <w:i/>
          <w:color w:val="auto"/>
          <w:szCs w:val="24"/>
          <w:lang w:val="sk-SK"/>
        </w:rPr>
        <w:lastRenderedPageBreak/>
        <w:t>Príspevok SR do Európskeho rozvojového fondu</w:t>
      </w:r>
      <w:r w:rsidRPr="00F34BAA">
        <w:rPr>
          <w:rStyle w:val="Odkaznapoznmkupodiarou"/>
          <w:rFonts w:ascii="Times New Roman" w:hAnsi="Times New Roman"/>
          <w:color w:val="auto"/>
          <w:szCs w:val="24"/>
          <w:lang w:val="sk-SK"/>
        </w:rPr>
        <w:footnoteReference w:id="33"/>
      </w:r>
      <w:r w:rsidRPr="00F34BAA">
        <w:rPr>
          <w:rFonts w:ascii="Times New Roman" w:hAnsi="Times New Roman"/>
          <w:color w:val="auto"/>
          <w:szCs w:val="24"/>
          <w:lang w:val="sk-SK"/>
        </w:rPr>
        <w:t xml:space="preserve"> bol rozpočtovaný vo výške</w:t>
      </w:r>
      <w:r w:rsidR="003F0717">
        <w:rPr>
          <w:rFonts w:ascii="Times New Roman" w:hAnsi="Times New Roman"/>
          <w:color w:val="auto"/>
          <w:szCs w:val="24"/>
          <w:lang w:val="sk-SK"/>
        </w:rPr>
        <w:t> </w:t>
      </w:r>
      <w:r w:rsidR="008F10B4">
        <w:rPr>
          <w:rFonts w:ascii="Times New Roman" w:hAnsi="Times New Roman"/>
          <w:color w:val="auto"/>
          <w:szCs w:val="24"/>
          <w:lang w:val="sk-SK"/>
        </w:rPr>
        <w:t>6 000 </w:t>
      </w:r>
      <w:r w:rsidRPr="00F34BAA">
        <w:rPr>
          <w:rFonts w:ascii="Times New Roman" w:hAnsi="Times New Roman"/>
          <w:color w:val="auto"/>
          <w:szCs w:val="24"/>
          <w:lang w:val="sk-SK"/>
        </w:rPr>
        <w:t>tis.</w:t>
      </w:r>
      <w:r w:rsidR="008F10B4">
        <w:rPr>
          <w:rFonts w:ascii="Times New Roman" w:hAnsi="Times New Roman"/>
          <w:color w:val="auto"/>
          <w:szCs w:val="24"/>
          <w:lang w:val="sk-SK"/>
        </w:rPr>
        <w:t> </w:t>
      </w:r>
      <w:r w:rsidRPr="00F34BAA">
        <w:rPr>
          <w:rFonts w:ascii="Times New Roman" w:hAnsi="Times New Roman"/>
          <w:color w:val="auto"/>
          <w:szCs w:val="24"/>
          <w:lang w:val="sk-SK"/>
        </w:rPr>
        <w:t>eur podľa odhadov EK. Na základe troch rozhodnutí Rady o finančných príspevkoch, ktoré majú zmluvné strany Európskeho rozvojového fondu uhradiť v priebehu roku 2024, SR skutočne odviedla do fondu 5</w:t>
      </w:r>
      <w:r w:rsidR="002F6388">
        <w:rPr>
          <w:rFonts w:ascii="Times New Roman" w:hAnsi="Times New Roman"/>
          <w:color w:val="auto"/>
          <w:szCs w:val="24"/>
          <w:lang w:val="sk-SK"/>
        </w:rPr>
        <w:t> </w:t>
      </w:r>
      <w:r w:rsidRPr="00F34BAA">
        <w:rPr>
          <w:rFonts w:ascii="Times New Roman" w:hAnsi="Times New Roman"/>
          <w:color w:val="auto"/>
          <w:szCs w:val="24"/>
          <w:lang w:val="sk-SK"/>
        </w:rPr>
        <w:t>642</w:t>
      </w:r>
      <w:r w:rsidR="002F6388">
        <w:rPr>
          <w:rFonts w:ascii="Times New Roman" w:hAnsi="Times New Roman"/>
          <w:color w:val="auto"/>
          <w:szCs w:val="24"/>
          <w:lang w:val="sk-SK"/>
        </w:rPr>
        <w:t> </w:t>
      </w:r>
      <w:r w:rsidRPr="00F34BAA">
        <w:rPr>
          <w:rFonts w:ascii="Times New Roman" w:hAnsi="Times New Roman"/>
          <w:color w:val="auto"/>
          <w:szCs w:val="24"/>
          <w:lang w:val="sk-SK"/>
        </w:rPr>
        <w:t>tis.</w:t>
      </w:r>
      <w:r w:rsidR="002F6388">
        <w:rPr>
          <w:rFonts w:ascii="Times New Roman" w:hAnsi="Times New Roman"/>
          <w:color w:val="auto"/>
          <w:szCs w:val="24"/>
          <w:lang w:val="sk-SK"/>
        </w:rPr>
        <w:t> </w:t>
      </w:r>
      <w:r w:rsidRPr="00F34BAA">
        <w:rPr>
          <w:rFonts w:ascii="Times New Roman" w:hAnsi="Times New Roman"/>
          <w:color w:val="auto"/>
          <w:szCs w:val="24"/>
          <w:lang w:val="sk-SK"/>
        </w:rPr>
        <w:t>eur v troch splátkach.</w:t>
      </w:r>
    </w:p>
    <w:p w14:paraId="2D60CC10" w14:textId="2E291666" w:rsidR="004D69BF" w:rsidRPr="00F34BAA" w:rsidRDefault="004D69BF" w:rsidP="004D69BF">
      <w:pPr>
        <w:pStyle w:val="Zkladntext1"/>
        <w:tabs>
          <w:tab w:val="left" w:pos="-5103"/>
          <w:tab w:val="left" w:pos="-4962"/>
          <w:tab w:val="left" w:pos="-4820"/>
        </w:tabs>
        <w:spacing w:after="240"/>
        <w:jc w:val="both"/>
        <w:rPr>
          <w:rFonts w:ascii="Times New Roman" w:hAnsi="Times New Roman"/>
          <w:szCs w:val="24"/>
        </w:rPr>
      </w:pPr>
      <w:r w:rsidRPr="00F34BAA">
        <w:rPr>
          <w:rFonts w:ascii="Times New Roman" w:hAnsi="Times New Roman"/>
          <w:color w:val="auto"/>
          <w:szCs w:val="24"/>
          <w:lang w:val="sk-SK"/>
        </w:rPr>
        <w:t>Na základe realizovaných príjmov z roz</w:t>
      </w:r>
      <w:r w:rsidR="002F6388">
        <w:rPr>
          <w:rFonts w:ascii="Times New Roman" w:hAnsi="Times New Roman"/>
          <w:color w:val="auto"/>
          <w:szCs w:val="24"/>
          <w:lang w:val="sk-SK"/>
        </w:rPr>
        <w:t>počtu EÚ v roku 2024 vo výške 4 132 691 tis. eur a </w:t>
      </w:r>
      <w:r w:rsidRPr="00F34BAA">
        <w:rPr>
          <w:rFonts w:ascii="Times New Roman" w:hAnsi="Times New Roman"/>
          <w:color w:val="auto"/>
          <w:szCs w:val="24"/>
          <w:lang w:val="sk-SK"/>
        </w:rPr>
        <w:t xml:space="preserve">odvodov a príspevkov do všeobecného rozpočtu EÚ vo výške 941 695 tis. eur predstavuje </w:t>
      </w:r>
      <w:r w:rsidRPr="00F34BAA">
        <w:rPr>
          <w:rFonts w:ascii="Times New Roman" w:hAnsi="Times New Roman"/>
          <w:b/>
          <w:color w:val="auto"/>
          <w:szCs w:val="24"/>
          <w:lang w:val="sk-SK"/>
        </w:rPr>
        <w:t>čistá finančná pozícia Slovenskej republiky voči rozpočtu EÚ za rok 2024 sumu 3 190</w:t>
      </w:r>
      <w:r w:rsidR="002F6388">
        <w:rPr>
          <w:rFonts w:ascii="Times New Roman" w:hAnsi="Times New Roman"/>
          <w:b/>
          <w:color w:val="auto"/>
          <w:szCs w:val="24"/>
          <w:lang w:val="sk-SK"/>
        </w:rPr>
        <w:t> </w:t>
      </w:r>
      <w:r w:rsidRPr="00F34BAA">
        <w:rPr>
          <w:rFonts w:ascii="Times New Roman" w:hAnsi="Times New Roman"/>
          <w:b/>
          <w:color w:val="auto"/>
          <w:szCs w:val="24"/>
          <w:lang w:val="sk-SK"/>
        </w:rPr>
        <w:t>996</w:t>
      </w:r>
      <w:r w:rsidR="002F6388">
        <w:rPr>
          <w:rFonts w:ascii="Times New Roman" w:hAnsi="Times New Roman"/>
          <w:b/>
          <w:color w:val="auto"/>
          <w:szCs w:val="24"/>
          <w:lang w:val="sk-SK"/>
        </w:rPr>
        <w:t> </w:t>
      </w:r>
      <w:r w:rsidRPr="00F34BAA">
        <w:rPr>
          <w:rFonts w:ascii="Times New Roman" w:hAnsi="Times New Roman"/>
          <w:b/>
          <w:color w:val="auto"/>
          <w:szCs w:val="24"/>
          <w:lang w:val="sk-SK"/>
        </w:rPr>
        <w:t>tis.</w:t>
      </w:r>
      <w:r w:rsidR="002F6388">
        <w:rPr>
          <w:rFonts w:ascii="Times New Roman" w:hAnsi="Times New Roman"/>
          <w:b/>
          <w:color w:val="auto"/>
          <w:szCs w:val="24"/>
          <w:lang w:val="sk-SK"/>
        </w:rPr>
        <w:t> </w:t>
      </w:r>
      <w:r w:rsidRPr="00F34BAA">
        <w:rPr>
          <w:rFonts w:ascii="Times New Roman" w:hAnsi="Times New Roman"/>
          <w:b/>
          <w:color w:val="auto"/>
          <w:szCs w:val="24"/>
          <w:lang w:val="sk-SK"/>
        </w:rPr>
        <w:t>eur</w:t>
      </w:r>
      <w:r w:rsidRPr="00F34BAA">
        <w:rPr>
          <w:rFonts w:ascii="Times New Roman" w:hAnsi="Times New Roman"/>
          <w:color w:val="auto"/>
          <w:szCs w:val="24"/>
          <w:lang w:val="sk-SK"/>
        </w:rPr>
        <w:t>, čo predstavuje medziročný pokles o 253</w:t>
      </w:r>
      <w:r w:rsidR="002F6388">
        <w:rPr>
          <w:rFonts w:ascii="Times New Roman" w:hAnsi="Times New Roman"/>
          <w:color w:val="auto"/>
          <w:szCs w:val="24"/>
          <w:lang w:val="sk-SK"/>
        </w:rPr>
        <w:t> </w:t>
      </w:r>
      <w:r w:rsidRPr="00F34BAA">
        <w:rPr>
          <w:rFonts w:ascii="Times New Roman" w:hAnsi="Times New Roman"/>
          <w:color w:val="auto"/>
          <w:szCs w:val="24"/>
          <w:lang w:val="sk-SK"/>
        </w:rPr>
        <w:t>440</w:t>
      </w:r>
      <w:r w:rsidR="002F6388">
        <w:rPr>
          <w:rFonts w:ascii="Times New Roman" w:hAnsi="Times New Roman"/>
          <w:color w:val="auto"/>
          <w:szCs w:val="24"/>
          <w:lang w:val="sk-SK"/>
        </w:rPr>
        <w:t> </w:t>
      </w:r>
      <w:r w:rsidRPr="00F34BAA">
        <w:rPr>
          <w:rFonts w:ascii="Times New Roman" w:hAnsi="Times New Roman"/>
          <w:color w:val="auto"/>
          <w:szCs w:val="24"/>
          <w:lang w:val="sk-SK"/>
        </w:rPr>
        <w:t>tis. eur. V rámci celého obdobia čerpania prostriedkov z rozpočtu EÚ sa tretí krát o</w:t>
      </w:r>
      <w:r w:rsidR="00922722">
        <w:rPr>
          <w:rFonts w:ascii="Times New Roman" w:hAnsi="Times New Roman"/>
          <w:color w:val="auto"/>
          <w:szCs w:val="24"/>
          <w:lang w:val="sk-SK"/>
        </w:rPr>
        <w:t>d roku 2004 dosiahla hranica (z </w:t>
      </w:r>
      <w:r w:rsidRPr="00F34BAA">
        <w:rPr>
          <w:rFonts w:ascii="Times New Roman" w:hAnsi="Times New Roman"/>
          <w:color w:val="auto"/>
          <w:szCs w:val="24"/>
          <w:lang w:val="sk-SK"/>
        </w:rPr>
        <w:t>toho dva krát za posledné dva roky), kedy čistá finančná pozícia v prospech SR presiahla 3</w:t>
      </w:r>
      <w:r w:rsidR="00922722">
        <w:rPr>
          <w:rFonts w:ascii="Times New Roman" w:hAnsi="Times New Roman"/>
          <w:color w:val="auto"/>
          <w:szCs w:val="24"/>
          <w:lang w:val="sk-SK"/>
        </w:rPr>
        <w:t> </w:t>
      </w:r>
      <w:r w:rsidRPr="00F34BAA">
        <w:rPr>
          <w:rFonts w:ascii="Times New Roman" w:hAnsi="Times New Roman"/>
          <w:color w:val="auto"/>
          <w:szCs w:val="24"/>
          <w:lang w:val="sk-SK"/>
        </w:rPr>
        <w:t>miliardy eur.</w:t>
      </w:r>
    </w:p>
    <w:p w14:paraId="24703541" w14:textId="63A410E4" w:rsidR="003F0717" w:rsidRPr="003F0717" w:rsidRDefault="003F0717" w:rsidP="00D142B9">
      <w:pPr>
        <w:pStyle w:val="Popis"/>
        <w:keepNext/>
        <w:spacing w:after="0"/>
        <w:rPr>
          <w:rFonts w:ascii="Times-Bold" w:hAnsi="Times-Bold"/>
          <w:b/>
          <w:bCs/>
          <w:i w:val="0"/>
          <w:iCs w:val="0"/>
          <w:color w:val="5B9CD6"/>
          <w:sz w:val="20"/>
          <w:szCs w:val="20"/>
        </w:rPr>
      </w:pPr>
      <w:bookmarkStart w:id="143" w:name="_Toc196313665"/>
      <w:bookmarkStart w:id="144" w:name="_Toc196389286"/>
      <w:r w:rsidRPr="003F0717">
        <w:rPr>
          <w:rFonts w:ascii="Times-Bold" w:hAnsi="Times-Bold"/>
          <w:b/>
          <w:bCs/>
          <w:i w:val="0"/>
          <w:iCs w:val="0"/>
          <w:color w:val="5B9CD6"/>
          <w:sz w:val="20"/>
          <w:szCs w:val="20"/>
        </w:rPr>
        <w:t xml:space="preserve">Tabuľka </w:t>
      </w:r>
      <w:r w:rsidRPr="003F0717">
        <w:rPr>
          <w:rFonts w:ascii="Times-Bold" w:hAnsi="Times-Bold"/>
          <w:b/>
          <w:bCs/>
          <w:i w:val="0"/>
          <w:iCs w:val="0"/>
          <w:color w:val="5B9CD6"/>
          <w:sz w:val="20"/>
          <w:szCs w:val="20"/>
        </w:rPr>
        <w:fldChar w:fldCharType="begin"/>
      </w:r>
      <w:r w:rsidRPr="003F0717">
        <w:rPr>
          <w:rFonts w:ascii="Times-Bold" w:hAnsi="Times-Bold"/>
          <w:b/>
          <w:bCs/>
          <w:i w:val="0"/>
          <w:iCs w:val="0"/>
          <w:color w:val="5B9CD6"/>
          <w:sz w:val="20"/>
          <w:szCs w:val="20"/>
        </w:rPr>
        <w:instrText xml:space="preserve"> SEQ Tabuľka \* ARABIC </w:instrText>
      </w:r>
      <w:r w:rsidRPr="003F0717">
        <w:rPr>
          <w:rFonts w:ascii="Times-Bold" w:hAnsi="Times-Bold"/>
          <w:b/>
          <w:bCs/>
          <w:i w:val="0"/>
          <w:iCs w:val="0"/>
          <w:color w:val="5B9CD6"/>
          <w:sz w:val="20"/>
          <w:szCs w:val="20"/>
        </w:rPr>
        <w:fldChar w:fldCharType="separate"/>
      </w:r>
      <w:r w:rsidR="00C64CBA">
        <w:rPr>
          <w:rFonts w:ascii="Times-Bold" w:hAnsi="Times-Bold"/>
          <w:b/>
          <w:bCs/>
          <w:i w:val="0"/>
          <w:iCs w:val="0"/>
          <w:noProof/>
          <w:color w:val="5B9CD6"/>
          <w:sz w:val="20"/>
          <w:szCs w:val="20"/>
        </w:rPr>
        <w:t>39</w:t>
      </w:r>
      <w:r w:rsidRPr="003F0717">
        <w:rPr>
          <w:rFonts w:ascii="Times-Bold" w:hAnsi="Times-Bold"/>
          <w:b/>
          <w:bCs/>
          <w:i w:val="0"/>
          <w:iCs w:val="0"/>
          <w:color w:val="5B9CD6"/>
          <w:sz w:val="20"/>
          <w:szCs w:val="20"/>
        </w:rPr>
        <w:fldChar w:fldCharType="end"/>
      </w:r>
      <w:r w:rsidRPr="003F0717">
        <w:rPr>
          <w:rFonts w:ascii="Times-Bold" w:hAnsi="Times-Bold"/>
          <w:b/>
          <w:bCs/>
          <w:i w:val="0"/>
          <w:iCs w:val="0"/>
          <w:color w:val="5B9CD6"/>
          <w:sz w:val="20"/>
          <w:szCs w:val="20"/>
        </w:rPr>
        <w:t xml:space="preserve"> </w:t>
      </w:r>
      <w:r w:rsidR="00B47276">
        <w:rPr>
          <w:rFonts w:ascii="Times-Bold" w:hAnsi="Times-Bold"/>
          <w:b/>
          <w:bCs/>
          <w:i w:val="0"/>
          <w:iCs w:val="0"/>
          <w:color w:val="5B9CD6"/>
          <w:sz w:val="20"/>
          <w:szCs w:val="20"/>
        </w:rPr>
        <w:t>-</w:t>
      </w:r>
      <w:r w:rsidRPr="003F0717">
        <w:rPr>
          <w:rFonts w:ascii="Times-Bold" w:hAnsi="Times-Bold"/>
          <w:b/>
          <w:bCs/>
          <w:i w:val="0"/>
          <w:iCs w:val="0"/>
          <w:color w:val="5B9CD6"/>
          <w:sz w:val="20"/>
          <w:szCs w:val="20"/>
        </w:rPr>
        <w:t xml:space="preserve"> </w:t>
      </w:r>
      <w:r w:rsidR="00067698">
        <w:rPr>
          <w:rFonts w:ascii="Times-Bold" w:hAnsi="Times-Bold"/>
          <w:b/>
          <w:bCs/>
          <w:i w:val="0"/>
          <w:iCs w:val="0"/>
          <w:color w:val="5B9CD6"/>
          <w:sz w:val="20"/>
          <w:szCs w:val="20"/>
        </w:rPr>
        <w:t xml:space="preserve">Čistá finančná pozícia SR voči </w:t>
      </w:r>
      <w:bookmarkEnd w:id="143"/>
      <w:r w:rsidR="00067698">
        <w:rPr>
          <w:rFonts w:ascii="Times-Bold" w:hAnsi="Times-Bold"/>
          <w:b/>
          <w:bCs/>
          <w:i w:val="0"/>
          <w:iCs w:val="0"/>
          <w:color w:val="5B9CD6"/>
          <w:sz w:val="20"/>
          <w:szCs w:val="20"/>
        </w:rPr>
        <w:t>rozpočtu</w:t>
      </w:r>
      <w:r w:rsidRPr="003F0717">
        <w:rPr>
          <w:rFonts w:ascii="Times-Bold" w:hAnsi="Times-Bold"/>
          <w:b/>
          <w:bCs/>
          <w:i w:val="0"/>
          <w:iCs w:val="0"/>
          <w:color w:val="5B9CD6"/>
          <w:sz w:val="20"/>
          <w:szCs w:val="20"/>
        </w:rPr>
        <w:t xml:space="preserve"> EÚ</w:t>
      </w:r>
      <w:r w:rsidR="00067698">
        <w:rPr>
          <w:rFonts w:ascii="Times-Bold" w:hAnsi="Times-Bold"/>
          <w:b/>
          <w:bCs/>
          <w:i w:val="0"/>
          <w:iCs w:val="0"/>
          <w:color w:val="5B9CD6"/>
          <w:sz w:val="20"/>
          <w:szCs w:val="20"/>
        </w:rPr>
        <w:t xml:space="preserve"> na hotovostnej báze</w:t>
      </w:r>
      <w:bookmarkEnd w:id="144"/>
    </w:p>
    <w:tbl>
      <w:tblPr>
        <w:tblW w:w="5000" w:type="pct"/>
        <w:tblCellMar>
          <w:left w:w="70" w:type="dxa"/>
          <w:right w:w="70" w:type="dxa"/>
        </w:tblCellMar>
        <w:tblLook w:val="04A0" w:firstRow="1" w:lastRow="0" w:firstColumn="1" w:lastColumn="0" w:noHBand="0" w:noVBand="1"/>
      </w:tblPr>
      <w:tblGrid>
        <w:gridCol w:w="1814"/>
        <w:gridCol w:w="2372"/>
        <w:gridCol w:w="2372"/>
        <w:gridCol w:w="2372"/>
      </w:tblGrid>
      <w:tr w:rsidR="004D69BF" w:rsidRPr="00D0395E" w14:paraId="2E663DAB" w14:textId="77777777" w:rsidTr="001D2C2C">
        <w:trPr>
          <w:trHeight w:val="469"/>
          <w:tblHeader/>
        </w:trPr>
        <w:tc>
          <w:tcPr>
            <w:tcW w:w="1016" w:type="pct"/>
            <w:tcBorders>
              <w:top w:val="single" w:sz="4" w:space="0" w:color="auto"/>
              <w:left w:val="nil"/>
              <w:bottom w:val="single" w:sz="4" w:space="0" w:color="auto"/>
              <w:right w:val="nil"/>
            </w:tcBorders>
            <w:shd w:val="clear" w:color="auto" w:fill="auto"/>
            <w:vAlign w:val="center"/>
            <w:hideMark/>
          </w:tcPr>
          <w:p w14:paraId="131685F4" w14:textId="77777777" w:rsidR="004D69BF" w:rsidRPr="00D0395E" w:rsidRDefault="004D69BF" w:rsidP="000240DA">
            <w:pPr>
              <w:jc w:val="center"/>
              <w:rPr>
                <w:b/>
                <w:bCs/>
                <w:sz w:val="18"/>
                <w:szCs w:val="18"/>
              </w:rPr>
            </w:pPr>
            <w:r w:rsidRPr="00D0395E">
              <w:rPr>
                <w:b/>
                <w:bCs/>
                <w:sz w:val="18"/>
                <w:szCs w:val="18"/>
              </w:rPr>
              <w:t>Rok</w:t>
            </w:r>
          </w:p>
        </w:tc>
        <w:tc>
          <w:tcPr>
            <w:tcW w:w="1328" w:type="pct"/>
            <w:tcBorders>
              <w:top w:val="single" w:sz="4" w:space="0" w:color="auto"/>
              <w:left w:val="nil"/>
              <w:bottom w:val="single" w:sz="4" w:space="0" w:color="auto"/>
              <w:right w:val="nil"/>
            </w:tcBorders>
            <w:shd w:val="clear" w:color="auto" w:fill="auto"/>
            <w:vAlign w:val="center"/>
            <w:hideMark/>
          </w:tcPr>
          <w:p w14:paraId="621D8C6C" w14:textId="77777777" w:rsidR="004D69BF" w:rsidRPr="00D0395E" w:rsidRDefault="004D69BF" w:rsidP="000240DA">
            <w:pPr>
              <w:jc w:val="center"/>
              <w:rPr>
                <w:b/>
                <w:bCs/>
                <w:sz w:val="18"/>
                <w:szCs w:val="18"/>
              </w:rPr>
            </w:pPr>
            <w:r w:rsidRPr="00D0395E">
              <w:rPr>
                <w:b/>
                <w:bCs/>
                <w:sz w:val="18"/>
                <w:szCs w:val="18"/>
              </w:rPr>
              <w:t>Celkové príjmy</w:t>
            </w:r>
          </w:p>
        </w:tc>
        <w:tc>
          <w:tcPr>
            <w:tcW w:w="1328" w:type="pct"/>
            <w:tcBorders>
              <w:top w:val="single" w:sz="4" w:space="0" w:color="auto"/>
              <w:left w:val="nil"/>
              <w:bottom w:val="single" w:sz="4" w:space="0" w:color="auto"/>
              <w:right w:val="nil"/>
            </w:tcBorders>
            <w:shd w:val="clear" w:color="auto" w:fill="auto"/>
            <w:vAlign w:val="center"/>
            <w:hideMark/>
          </w:tcPr>
          <w:p w14:paraId="22A10093" w14:textId="77777777" w:rsidR="004D69BF" w:rsidRPr="00D0395E" w:rsidRDefault="004D69BF" w:rsidP="000240DA">
            <w:pPr>
              <w:jc w:val="center"/>
              <w:rPr>
                <w:b/>
                <w:bCs/>
                <w:sz w:val="18"/>
                <w:szCs w:val="18"/>
              </w:rPr>
            </w:pPr>
            <w:r w:rsidRPr="00D0395E">
              <w:rPr>
                <w:b/>
                <w:bCs/>
                <w:sz w:val="18"/>
                <w:szCs w:val="18"/>
              </w:rPr>
              <w:t>Celkové odvody a príspevky</w:t>
            </w:r>
          </w:p>
        </w:tc>
        <w:tc>
          <w:tcPr>
            <w:tcW w:w="1328" w:type="pct"/>
            <w:tcBorders>
              <w:top w:val="single" w:sz="4" w:space="0" w:color="auto"/>
              <w:left w:val="nil"/>
              <w:bottom w:val="single" w:sz="4" w:space="0" w:color="auto"/>
              <w:right w:val="nil"/>
            </w:tcBorders>
            <w:shd w:val="clear" w:color="auto" w:fill="auto"/>
            <w:vAlign w:val="center"/>
            <w:hideMark/>
          </w:tcPr>
          <w:p w14:paraId="159FCC1D" w14:textId="77777777" w:rsidR="004D69BF" w:rsidRPr="00D0395E" w:rsidRDefault="004D69BF" w:rsidP="000240DA">
            <w:pPr>
              <w:jc w:val="center"/>
              <w:rPr>
                <w:b/>
                <w:bCs/>
                <w:sz w:val="18"/>
                <w:szCs w:val="18"/>
              </w:rPr>
            </w:pPr>
            <w:r w:rsidRPr="00D0395E">
              <w:rPr>
                <w:b/>
                <w:bCs/>
                <w:sz w:val="18"/>
                <w:szCs w:val="18"/>
              </w:rPr>
              <w:t>Čistá finančná pozícia</w:t>
            </w:r>
          </w:p>
        </w:tc>
      </w:tr>
      <w:tr w:rsidR="004D69BF" w:rsidRPr="00D0395E" w14:paraId="07CCBBBF" w14:textId="77777777" w:rsidTr="001D2C2C">
        <w:trPr>
          <w:trHeight w:val="330"/>
        </w:trPr>
        <w:tc>
          <w:tcPr>
            <w:tcW w:w="1016" w:type="pct"/>
            <w:tcBorders>
              <w:top w:val="single" w:sz="4" w:space="0" w:color="auto"/>
              <w:left w:val="nil"/>
              <w:bottom w:val="nil"/>
              <w:right w:val="nil"/>
            </w:tcBorders>
            <w:shd w:val="clear" w:color="000000" w:fill="FFFFFF"/>
            <w:vAlign w:val="center"/>
            <w:hideMark/>
          </w:tcPr>
          <w:p w14:paraId="23588763" w14:textId="77777777" w:rsidR="004D69BF" w:rsidRPr="00D0395E" w:rsidRDefault="004D69BF" w:rsidP="000240DA">
            <w:pPr>
              <w:spacing w:line="240" w:lineRule="auto"/>
              <w:jc w:val="center"/>
              <w:rPr>
                <w:color w:val="000000"/>
                <w:sz w:val="18"/>
                <w:szCs w:val="18"/>
              </w:rPr>
            </w:pPr>
            <w:r w:rsidRPr="00D0395E">
              <w:rPr>
                <w:color w:val="000000"/>
                <w:sz w:val="18"/>
                <w:szCs w:val="18"/>
              </w:rPr>
              <w:t>2004</w:t>
            </w:r>
          </w:p>
        </w:tc>
        <w:tc>
          <w:tcPr>
            <w:tcW w:w="1328" w:type="pct"/>
            <w:tcBorders>
              <w:top w:val="single" w:sz="4" w:space="0" w:color="auto"/>
              <w:left w:val="nil"/>
              <w:bottom w:val="nil"/>
              <w:right w:val="nil"/>
            </w:tcBorders>
            <w:shd w:val="clear" w:color="000000" w:fill="FFFFFF"/>
            <w:noWrap/>
            <w:vAlign w:val="center"/>
            <w:hideMark/>
          </w:tcPr>
          <w:p w14:paraId="164EB8A2" w14:textId="77777777" w:rsidR="004D69BF" w:rsidRPr="00D0395E" w:rsidRDefault="004D69BF" w:rsidP="000240DA">
            <w:pPr>
              <w:spacing w:line="240" w:lineRule="auto"/>
              <w:jc w:val="center"/>
              <w:rPr>
                <w:color w:val="000000"/>
                <w:sz w:val="18"/>
                <w:szCs w:val="18"/>
              </w:rPr>
            </w:pPr>
            <w:r w:rsidRPr="00D0395E">
              <w:rPr>
                <w:color w:val="000000"/>
                <w:sz w:val="18"/>
                <w:szCs w:val="18"/>
              </w:rPr>
              <w:t>303 990</w:t>
            </w:r>
          </w:p>
        </w:tc>
        <w:tc>
          <w:tcPr>
            <w:tcW w:w="1328" w:type="pct"/>
            <w:tcBorders>
              <w:top w:val="single" w:sz="4" w:space="0" w:color="auto"/>
              <w:left w:val="nil"/>
              <w:bottom w:val="nil"/>
              <w:right w:val="nil"/>
            </w:tcBorders>
            <w:shd w:val="clear" w:color="000000" w:fill="FFFFFF"/>
            <w:noWrap/>
            <w:vAlign w:val="center"/>
            <w:hideMark/>
          </w:tcPr>
          <w:p w14:paraId="650DE642" w14:textId="77777777" w:rsidR="004D69BF" w:rsidRPr="00D0395E" w:rsidRDefault="004D69BF" w:rsidP="000240DA">
            <w:pPr>
              <w:spacing w:line="240" w:lineRule="auto"/>
              <w:jc w:val="center"/>
              <w:rPr>
                <w:color w:val="000000"/>
                <w:sz w:val="18"/>
                <w:szCs w:val="18"/>
              </w:rPr>
            </w:pPr>
            <w:r w:rsidRPr="00D0395E">
              <w:rPr>
                <w:color w:val="000000"/>
                <w:sz w:val="18"/>
                <w:szCs w:val="18"/>
              </w:rPr>
              <w:t>290 689</w:t>
            </w:r>
          </w:p>
        </w:tc>
        <w:tc>
          <w:tcPr>
            <w:tcW w:w="1328" w:type="pct"/>
            <w:tcBorders>
              <w:top w:val="single" w:sz="4" w:space="0" w:color="auto"/>
              <w:left w:val="nil"/>
              <w:bottom w:val="nil"/>
              <w:right w:val="nil"/>
            </w:tcBorders>
            <w:shd w:val="clear" w:color="000000" w:fill="FFFFFF"/>
            <w:noWrap/>
            <w:vAlign w:val="center"/>
            <w:hideMark/>
          </w:tcPr>
          <w:p w14:paraId="61474FC9" w14:textId="77777777" w:rsidR="004D69BF" w:rsidRPr="00D0395E" w:rsidRDefault="004D69BF" w:rsidP="000240DA">
            <w:pPr>
              <w:spacing w:line="240" w:lineRule="auto"/>
              <w:jc w:val="center"/>
              <w:rPr>
                <w:color w:val="000000"/>
                <w:sz w:val="18"/>
                <w:szCs w:val="18"/>
              </w:rPr>
            </w:pPr>
            <w:r w:rsidRPr="00D0395E">
              <w:rPr>
                <w:color w:val="000000"/>
                <w:sz w:val="18"/>
                <w:szCs w:val="18"/>
              </w:rPr>
              <w:t>13 301</w:t>
            </w:r>
          </w:p>
        </w:tc>
      </w:tr>
      <w:tr w:rsidR="004D69BF" w:rsidRPr="00D0395E" w14:paraId="044407D9" w14:textId="77777777" w:rsidTr="001D2C2C">
        <w:trPr>
          <w:trHeight w:val="330"/>
        </w:trPr>
        <w:tc>
          <w:tcPr>
            <w:tcW w:w="1016" w:type="pct"/>
            <w:tcBorders>
              <w:top w:val="nil"/>
              <w:left w:val="nil"/>
              <w:bottom w:val="nil"/>
              <w:right w:val="nil"/>
            </w:tcBorders>
            <w:shd w:val="clear" w:color="000000" w:fill="FFFFFF"/>
            <w:vAlign w:val="center"/>
            <w:hideMark/>
          </w:tcPr>
          <w:p w14:paraId="544B4D2D" w14:textId="77777777" w:rsidR="004D69BF" w:rsidRPr="00D0395E" w:rsidRDefault="004D69BF" w:rsidP="000240DA">
            <w:pPr>
              <w:spacing w:line="240" w:lineRule="auto"/>
              <w:jc w:val="center"/>
              <w:rPr>
                <w:color w:val="000000"/>
                <w:sz w:val="18"/>
                <w:szCs w:val="18"/>
              </w:rPr>
            </w:pPr>
            <w:r w:rsidRPr="00D0395E">
              <w:rPr>
                <w:color w:val="000000"/>
                <w:sz w:val="18"/>
                <w:szCs w:val="18"/>
              </w:rPr>
              <w:t>2005</w:t>
            </w:r>
          </w:p>
        </w:tc>
        <w:tc>
          <w:tcPr>
            <w:tcW w:w="1328" w:type="pct"/>
            <w:tcBorders>
              <w:top w:val="nil"/>
              <w:left w:val="nil"/>
              <w:bottom w:val="nil"/>
              <w:right w:val="nil"/>
            </w:tcBorders>
            <w:shd w:val="clear" w:color="000000" w:fill="FFFFFF"/>
            <w:noWrap/>
            <w:vAlign w:val="center"/>
            <w:hideMark/>
          </w:tcPr>
          <w:p w14:paraId="67DC996D" w14:textId="77777777" w:rsidR="004D69BF" w:rsidRPr="00D0395E" w:rsidRDefault="004D69BF" w:rsidP="000240DA">
            <w:pPr>
              <w:spacing w:line="240" w:lineRule="auto"/>
              <w:jc w:val="center"/>
              <w:rPr>
                <w:color w:val="000000"/>
                <w:sz w:val="18"/>
                <w:szCs w:val="18"/>
              </w:rPr>
            </w:pPr>
            <w:r w:rsidRPr="00D0395E">
              <w:rPr>
                <w:color w:val="000000"/>
                <w:sz w:val="18"/>
                <w:szCs w:val="18"/>
              </w:rPr>
              <w:t>704 993</w:t>
            </w:r>
          </w:p>
        </w:tc>
        <w:tc>
          <w:tcPr>
            <w:tcW w:w="1328" w:type="pct"/>
            <w:tcBorders>
              <w:top w:val="nil"/>
              <w:left w:val="nil"/>
              <w:bottom w:val="nil"/>
              <w:right w:val="nil"/>
            </w:tcBorders>
            <w:shd w:val="clear" w:color="000000" w:fill="FFFFFF"/>
            <w:noWrap/>
            <w:vAlign w:val="center"/>
            <w:hideMark/>
          </w:tcPr>
          <w:p w14:paraId="14F6E1E3" w14:textId="77777777" w:rsidR="004D69BF" w:rsidRPr="00D0395E" w:rsidRDefault="004D69BF" w:rsidP="000240DA">
            <w:pPr>
              <w:spacing w:line="240" w:lineRule="auto"/>
              <w:jc w:val="center"/>
              <w:rPr>
                <w:color w:val="000000"/>
                <w:sz w:val="18"/>
                <w:szCs w:val="18"/>
              </w:rPr>
            </w:pPr>
            <w:r w:rsidRPr="00D0395E">
              <w:rPr>
                <w:color w:val="000000"/>
                <w:sz w:val="18"/>
                <w:szCs w:val="18"/>
              </w:rPr>
              <w:t>485 614</w:t>
            </w:r>
          </w:p>
        </w:tc>
        <w:tc>
          <w:tcPr>
            <w:tcW w:w="1328" w:type="pct"/>
            <w:tcBorders>
              <w:top w:val="nil"/>
              <w:left w:val="nil"/>
              <w:bottom w:val="nil"/>
              <w:right w:val="nil"/>
            </w:tcBorders>
            <w:shd w:val="clear" w:color="000000" w:fill="FFFFFF"/>
            <w:noWrap/>
            <w:vAlign w:val="center"/>
            <w:hideMark/>
          </w:tcPr>
          <w:p w14:paraId="5E447B88" w14:textId="77777777" w:rsidR="004D69BF" w:rsidRPr="00D0395E" w:rsidRDefault="004D69BF" w:rsidP="000240DA">
            <w:pPr>
              <w:spacing w:line="240" w:lineRule="auto"/>
              <w:jc w:val="center"/>
              <w:rPr>
                <w:color w:val="000000"/>
                <w:sz w:val="18"/>
                <w:szCs w:val="18"/>
              </w:rPr>
            </w:pPr>
            <w:r w:rsidRPr="00D0395E">
              <w:rPr>
                <w:color w:val="000000"/>
                <w:sz w:val="18"/>
                <w:szCs w:val="18"/>
              </w:rPr>
              <w:t>219 379</w:t>
            </w:r>
          </w:p>
        </w:tc>
      </w:tr>
      <w:tr w:rsidR="004D69BF" w:rsidRPr="00D0395E" w14:paraId="1BE0313F" w14:textId="77777777" w:rsidTr="001D2C2C">
        <w:trPr>
          <w:trHeight w:val="330"/>
        </w:trPr>
        <w:tc>
          <w:tcPr>
            <w:tcW w:w="1016" w:type="pct"/>
            <w:tcBorders>
              <w:top w:val="nil"/>
              <w:left w:val="nil"/>
              <w:bottom w:val="nil"/>
              <w:right w:val="nil"/>
            </w:tcBorders>
            <w:shd w:val="clear" w:color="000000" w:fill="FFFFFF"/>
            <w:vAlign w:val="center"/>
            <w:hideMark/>
          </w:tcPr>
          <w:p w14:paraId="40EDB17A" w14:textId="77777777" w:rsidR="004D69BF" w:rsidRPr="00D0395E" w:rsidRDefault="004D69BF" w:rsidP="000240DA">
            <w:pPr>
              <w:spacing w:line="240" w:lineRule="auto"/>
              <w:jc w:val="center"/>
              <w:rPr>
                <w:color w:val="000000"/>
                <w:sz w:val="18"/>
                <w:szCs w:val="18"/>
              </w:rPr>
            </w:pPr>
            <w:r w:rsidRPr="00D0395E">
              <w:rPr>
                <w:color w:val="000000"/>
                <w:sz w:val="18"/>
                <w:szCs w:val="18"/>
              </w:rPr>
              <w:t>2006</w:t>
            </w:r>
          </w:p>
        </w:tc>
        <w:tc>
          <w:tcPr>
            <w:tcW w:w="1328" w:type="pct"/>
            <w:tcBorders>
              <w:top w:val="nil"/>
              <w:left w:val="nil"/>
              <w:bottom w:val="nil"/>
              <w:right w:val="nil"/>
            </w:tcBorders>
            <w:shd w:val="clear" w:color="000000" w:fill="FFFFFF"/>
            <w:noWrap/>
            <w:vAlign w:val="center"/>
            <w:hideMark/>
          </w:tcPr>
          <w:p w14:paraId="79BE5E26" w14:textId="77777777" w:rsidR="004D69BF" w:rsidRPr="00D0395E" w:rsidRDefault="004D69BF" w:rsidP="000240DA">
            <w:pPr>
              <w:spacing w:line="240" w:lineRule="auto"/>
              <w:jc w:val="center"/>
              <w:rPr>
                <w:color w:val="000000"/>
                <w:sz w:val="18"/>
                <w:szCs w:val="18"/>
              </w:rPr>
            </w:pPr>
            <w:r w:rsidRPr="00D0395E">
              <w:rPr>
                <w:color w:val="000000"/>
                <w:sz w:val="18"/>
                <w:szCs w:val="18"/>
              </w:rPr>
              <w:t>893 623</w:t>
            </w:r>
          </w:p>
        </w:tc>
        <w:tc>
          <w:tcPr>
            <w:tcW w:w="1328" w:type="pct"/>
            <w:tcBorders>
              <w:top w:val="nil"/>
              <w:left w:val="nil"/>
              <w:bottom w:val="nil"/>
              <w:right w:val="nil"/>
            </w:tcBorders>
            <w:shd w:val="clear" w:color="000000" w:fill="FFFFFF"/>
            <w:noWrap/>
            <w:vAlign w:val="center"/>
            <w:hideMark/>
          </w:tcPr>
          <w:p w14:paraId="172EC6ED" w14:textId="77777777" w:rsidR="004D69BF" w:rsidRPr="00D0395E" w:rsidRDefault="004D69BF" w:rsidP="000240DA">
            <w:pPr>
              <w:spacing w:line="240" w:lineRule="auto"/>
              <w:jc w:val="center"/>
              <w:rPr>
                <w:color w:val="000000"/>
                <w:sz w:val="18"/>
                <w:szCs w:val="18"/>
              </w:rPr>
            </w:pPr>
            <w:r w:rsidRPr="00D0395E">
              <w:rPr>
                <w:color w:val="000000"/>
                <w:sz w:val="18"/>
                <w:szCs w:val="18"/>
              </w:rPr>
              <w:t>526 326</w:t>
            </w:r>
          </w:p>
        </w:tc>
        <w:tc>
          <w:tcPr>
            <w:tcW w:w="1328" w:type="pct"/>
            <w:tcBorders>
              <w:top w:val="nil"/>
              <w:left w:val="nil"/>
              <w:bottom w:val="nil"/>
              <w:right w:val="nil"/>
            </w:tcBorders>
            <w:shd w:val="clear" w:color="000000" w:fill="FFFFFF"/>
            <w:noWrap/>
            <w:vAlign w:val="center"/>
            <w:hideMark/>
          </w:tcPr>
          <w:p w14:paraId="789233F5" w14:textId="77777777" w:rsidR="004D69BF" w:rsidRPr="00D0395E" w:rsidRDefault="004D69BF" w:rsidP="000240DA">
            <w:pPr>
              <w:spacing w:line="240" w:lineRule="auto"/>
              <w:jc w:val="center"/>
              <w:rPr>
                <w:color w:val="000000"/>
                <w:sz w:val="18"/>
                <w:szCs w:val="18"/>
              </w:rPr>
            </w:pPr>
            <w:r w:rsidRPr="00D0395E">
              <w:rPr>
                <w:color w:val="000000"/>
                <w:sz w:val="18"/>
                <w:szCs w:val="18"/>
              </w:rPr>
              <w:t>367 297</w:t>
            </w:r>
          </w:p>
        </w:tc>
      </w:tr>
      <w:tr w:rsidR="004D69BF" w:rsidRPr="00D0395E" w14:paraId="3A43685E" w14:textId="77777777" w:rsidTr="001D2C2C">
        <w:trPr>
          <w:trHeight w:val="330"/>
        </w:trPr>
        <w:tc>
          <w:tcPr>
            <w:tcW w:w="1016" w:type="pct"/>
            <w:tcBorders>
              <w:top w:val="nil"/>
              <w:left w:val="nil"/>
              <w:bottom w:val="nil"/>
              <w:right w:val="nil"/>
            </w:tcBorders>
            <w:shd w:val="clear" w:color="000000" w:fill="FFFFFF"/>
            <w:vAlign w:val="center"/>
            <w:hideMark/>
          </w:tcPr>
          <w:p w14:paraId="02CDFF74" w14:textId="77777777" w:rsidR="004D69BF" w:rsidRPr="00D0395E" w:rsidRDefault="004D69BF" w:rsidP="000240DA">
            <w:pPr>
              <w:spacing w:line="240" w:lineRule="auto"/>
              <w:jc w:val="center"/>
              <w:rPr>
                <w:color w:val="000000"/>
                <w:sz w:val="18"/>
                <w:szCs w:val="18"/>
              </w:rPr>
            </w:pPr>
            <w:r w:rsidRPr="00D0395E">
              <w:rPr>
                <w:color w:val="000000"/>
                <w:sz w:val="18"/>
                <w:szCs w:val="18"/>
              </w:rPr>
              <w:t>2007</w:t>
            </w:r>
          </w:p>
        </w:tc>
        <w:tc>
          <w:tcPr>
            <w:tcW w:w="1328" w:type="pct"/>
            <w:tcBorders>
              <w:top w:val="nil"/>
              <w:left w:val="nil"/>
              <w:bottom w:val="nil"/>
              <w:right w:val="nil"/>
            </w:tcBorders>
            <w:shd w:val="clear" w:color="000000" w:fill="FFFFFF"/>
            <w:noWrap/>
            <w:vAlign w:val="center"/>
            <w:hideMark/>
          </w:tcPr>
          <w:p w14:paraId="33CDB625" w14:textId="77777777" w:rsidR="004D69BF" w:rsidRPr="00D0395E" w:rsidRDefault="004D69BF" w:rsidP="000240DA">
            <w:pPr>
              <w:spacing w:line="240" w:lineRule="auto"/>
              <w:jc w:val="center"/>
              <w:rPr>
                <w:color w:val="000000"/>
                <w:sz w:val="18"/>
                <w:szCs w:val="18"/>
              </w:rPr>
            </w:pPr>
            <w:r w:rsidRPr="00D0395E">
              <w:rPr>
                <w:color w:val="000000"/>
                <w:sz w:val="18"/>
                <w:szCs w:val="18"/>
              </w:rPr>
              <w:t>910 838</w:t>
            </w:r>
          </w:p>
        </w:tc>
        <w:tc>
          <w:tcPr>
            <w:tcW w:w="1328" w:type="pct"/>
            <w:tcBorders>
              <w:top w:val="nil"/>
              <w:left w:val="nil"/>
              <w:bottom w:val="nil"/>
              <w:right w:val="nil"/>
            </w:tcBorders>
            <w:shd w:val="clear" w:color="000000" w:fill="FFFFFF"/>
            <w:noWrap/>
            <w:vAlign w:val="center"/>
            <w:hideMark/>
          </w:tcPr>
          <w:p w14:paraId="75D17B56" w14:textId="77777777" w:rsidR="004D69BF" w:rsidRPr="00D0395E" w:rsidRDefault="004D69BF" w:rsidP="000240DA">
            <w:pPr>
              <w:spacing w:line="240" w:lineRule="auto"/>
              <w:jc w:val="center"/>
              <w:rPr>
                <w:color w:val="000000"/>
                <w:sz w:val="18"/>
                <w:szCs w:val="18"/>
              </w:rPr>
            </w:pPr>
            <w:r w:rsidRPr="00D0395E">
              <w:rPr>
                <w:color w:val="000000"/>
                <w:sz w:val="18"/>
                <w:szCs w:val="18"/>
              </w:rPr>
              <w:t>589 800</w:t>
            </w:r>
          </w:p>
        </w:tc>
        <w:tc>
          <w:tcPr>
            <w:tcW w:w="1328" w:type="pct"/>
            <w:tcBorders>
              <w:top w:val="nil"/>
              <w:left w:val="nil"/>
              <w:bottom w:val="nil"/>
              <w:right w:val="nil"/>
            </w:tcBorders>
            <w:shd w:val="clear" w:color="000000" w:fill="FFFFFF"/>
            <w:noWrap/>
            <w:vAlign w:val="center"/>
            <w:hideMark/>
          </w:tcPr>
          <w:p w14:paraId="0075978B" w14:textId="77777777" w:rsidR="004D69BF" w:rsidRPr="00D0395E" w:rsidRDefault="004D69BF" w:rsidP="000240DA">
            <w:pPr>
              <w:spacing w:line="240" w:lineRule="auto"/>
              <w:jc w:val="center"/>
              <w:rPr>
                <w:color w:val="000000"/>
                <w:sz w:val="18"/>
                <w:szCs w:val="18"/>
              </w:rPr>
            </w:pPr>
            <w:r w:rsidRPr="00D0395E">
              <w:rPr>
                <w:color w:val="000000"/>
                <w:sz w:val="18"/>
                <w:szCs w:val="18"/>
              </w:rPr>
              <w:t>321 038</w:t>
            </w:r>
          </w:p>
        </w:tc>
      </w:tr>
      <w:tr w:rsidR="004D69BF" w:rsidRPr="00D0395E" w14:paraId="1E0A31D0" w14:textId="77777777" w:rsidTr="001D2C2C">
        <w:trPr>
          <w:trHeight w:val="330"/>
        </w:trPr>
        <w:tc>
          <w:tcPr>
            <w:tcW w:w="1016" w:type="pct"/>
            <w:tcBorders>
              <w:top w:val="nil"/>
              <w:left w:val="nil"/>
              <w:bottom w:val="nil"/>
              <w:right w:val="nil"/>
            </w:tcBorders>
            <w:shd w:val="clear" w:color="000000" w:fill="FFFFFF"/>
            <w:vAlign w:val="center"/>
            <w:hideMark/>
          </w:tcPr>
          <w:p w14:paraId="4707B2D2" w14:textId="77777777" w:rsidR="004D69BF" w:rsidRPr="00D0395E" w:rsidRDefault="004D69BF" w:rsidP="000240DA">
            <w:pPr>
              <w:spacing w:line="240" w:lineRule="auto"/>
              <w:jc w:val="center"/>
              <w:rPr>
                <w:color w:val="000000"/>
                <w:sz w:val="18"/>
                <w:szCs w:val="18"/>
              </w:rPr>
            </w:pPr>
            <w:r w:rsidRPr="00D0395E">
              <w:rPr>
                <w:color w:val="000000"/>
                <w:sz w:val="18"/>
                <w:szCs w:val="18"/>
              </w:rPr>
              <w:t>2008</w:t>
            </w:r>
          </w:p>
        </w:tc>
        <w:tc>
          <w:tcPr>
            <w:tcW w:w="1328" w:type="pct"/>
            <w:tcBorders>
              <w:top w:val="nil"/>
              <w:left w:val="nil"/>
              <w:bottom w:val="nil"/>
              <w:right w:val="nil"/>
            </w:tcBorders>
            <w:shd w:val="clear" w:color="000000" w:fill="FFFFFF"/>
            <w:noWrap/>
            <w:vAlign w:val="center"/>
            <w:hideMark/>
          </w:tcPr>
          <w:p w14:paraId="0D63EAF9" w14:textId="77777777" w:rsidR="004D69BF" w:rsidRPr="00D0395E" w:rsidRDefault="004D69BF" w:rsidP="000240DA">
            <w:pPr>
              <w:spacing w:line="240" w:lineRule="auto"/>
              <w:jc w:val="center"/>
              <w:rPr>
                <w:color w:val="000000"/>
                <w:sz w:val="18"/>
                <w:szCs w:val="18"/>
              </w:rPr>
            </w:pPr>
            <w:r w:rsidRPr="00D0395E">
              <w:rPr>
                <w:color w:val="000000"/>
                <w:sz w:val="18"/>
                <w:szCs w:val="18"/>
              </w:rPr>
              <w:t>893 497</w:t>
            </w:r>
          </w:p>
        </w:tc>
        <w:tc>
          <w:tcPr>
            <w:tcW w:w="1328" w:type="pct"/>
            <w:tcBorders>
              <w:top w:val="nil"/>
              <w:left w:val="nil"/>
              <w:bottom w:val="nil"/>
              <w:right w:val="nil"/>
            </w:tcBorders>
            <w:shd w:val="clear" w:color="000000" w:fill="FFFFFF"/>
            <w:noWrap/>
            <w:vAlign w:val="center"/>
            <w:hideMark/>
          </w:tcPr>
          <w:p w14:paraId="4D3A0D46" w14:textId="77777777" w:rsidR="004D69BF" w:rsidRPr="00D0395E" w:rsidRDefault="004D69BF" w:rsidP="000240DA">
            <w:pPr>
              <w:spacing w:line="240" w:lineRule="auto"/>
              <w:jc w:val="center"/>
              <w:rPr>
                <w:color w:val="000000"/>
                <w:sz w:val="18"/>
                <w:szCs w:val="18"/>
              </w:rPr>
            </w:pPr>
            <w:r w:rsidRPr="00D0395E">
              <w:rPr>
                <w:color w:val="000000"/>
                <w:sz w:val="18"/>
                <w:szCs w:val="18"/>
              </w:rPr>
              <w:t>643 374</w:t>
            </w:r>
          </w:p>
        </w:tc>
        <w:tc>
          <w:tcPr>
            <w:tcW w:w="1328" w:type="pct"/>
            <w:tcBorders>
              <w:top w:val="nil"/>
              <w:left w:val="nil"/>
              <w:bottom w:val="nil"/>
              <w:right w:val="nil"/>
            </w:tcBorders>
            <w:shd w:val="clear" w:color="000000" w:fill="FFFFFF"/>
            <w:noWrap/>
            <w:vAlign w:val="center"/>
            <w:hideMark/>
          </w:tcPr>
          <w:p w14:paraId="471C26D2" w14:textId="77777777" w:rsidR="004D69BF" w:rsidRPr="00D0395E" w:rsidRDefault="004D69BF" w:rsidP="000240DA">
            <w:pPr>
              <w:spacing w:line="240" w:lineRule="auto"/>
              <w:jc w:val="center"/>
              <w:rPr>
                <w:color w:val="000000"/>
                <w:sz w:val="18"/>
                <w:szCs w:val="18"/>
              </w:rPr>
            </w:pPr>
            <w:r w:rsidRPr="00D0395E">
              <w:rPr>
                <w:color w:val="000000"/>
                <w:sz w:val="18"/>
                <w:szCs w:val="18"/>
              </w:rPr>
              <w:t>250 123</w:t>
            </w:r>
          </w:p>
        </w:tc>
      </w:tr>
      <w:tr w:rsidR="004D69BF" w:rsidRPr="00D0395E" w14:paraId="12079D7B" w14:textId="77777777" w:rsidTr="001D2C2C">
        <w:trPr>
          <w:trHeight w:val="330"/>
        </w:trPr>
        <w:tc>
          <w:tcPr>
            <w:tcW w:w="1016" w:type="pct"/>
            <w:tcBorders>
              <w:top w:val="nil"/>
              <w:left w:val="nil"/>
              <w:bottom w:val="nil"/>
              <w:right w:val="nil"/>
            </w:tcBorders>
            <w:shd w:val="clear" w:color="000000" w:fill="FFFFFF"/>
            <w:vAlign w:val="center"/>
            <w:hideMark/>
          </w:tcPr>
          <w:p w14:paraId="0825C525" w14:textId="77777777" w:rsidR="004D69BF" w:rsidRPr="00D0395E" w:rsidRDefault="004D69BF" w:rsidP="000240DA">
            <w:pPr>
              <w:spacing w:line="240" w:lineRule="auto"/>
              <w:jc w:val="center"/>
              <w:rPr>
                <w:color w:val="000000"/>
                <w:sz w:val="18"/>
                <w:szCs w:val="18"/>
              </w:rPr>
            </w:pPr>
            <w:r w:rsidRPr="00D0395E">
              <w:rPr>
                <w:color w:val="000000"/>
                <w:sz w:val="18"/>
                <w:szCs w:val="18"/>
              </w:rPr>
              <w:t>2009</w:t>
            </w:r>
          </w:p>
        </w:tc>
        <w:tc>
          <w:tcPr>
            <w:tcW w:w="1328" w:type="pct"/>
            <w:tcBorders>
              <w:top w:val="nil"/>
              <w:left w:val="nil"/>
              <w:bottom w:val="nil"/>
              <w:right w:val="nil"/>
            </w:tcBorders>
            <w:shd w:val="clear" w:color="000000" w:fill="FFFFFF"/>
            <w:noWrap/>
            <w:vAlign w:val="center"/>
            <w:hideMark/>
          </w:tcPr>
          <w:p w14:paraId="2C08C1FB" w14:textId="77777777" w:rsidR="004D69BF" w:rsidRPr="00D0395E" w:rsidRDefault="004D69BF" w:rsidP="000240DA">
            <w:pPr>
              <w:spacing w:line="240" w:lineRule="auto"/>
              <w:jc w:val="center"/>
              <w:rPr>
                <w:color w:val="000000"/>
                <w:sz w:val="18"/>
                <w:szCs w:val="18"/>
              </w:rPr>
            </w:pPr>
            <w:r w:rsidRPr="00D0395E">
              <w:rPr>
                <w:color w:val="000000"/>
                <w:sz w:val="18"/>
                <w:szCs w:val="18"/>
              </w:rPr>
              <w:t>1 119 659</w:t>
            </w:r>
          </w:p>
        </w:tc>
        <w:tc>
          <w:tcPr>
            <w:tcW w:w="1328" w:type="pct"/>
            <w:tcBorders>
              <w:top w:val="nil"/>
              <w:left w:val="nil"/>
              <w:bottom w:val="nil"/>
              <w:right w:val="nil"/>
            </w:tcBorders>
            <w:shd w:val="clear" w:color="000000" w:fill="FFFFFF"/>
            <w:noWrap/>
            <w:vAlign w:val="center"/>
            <w:hideMark/>
          </w:tcPr>
          <w:p w14:paraId="67069418" w14:textId="77777777" w:rsidR="004D69BF" w:rsidRPr="00D0395E" w:rsidRDefault="004D69BF" w:rsidP="000240DA">
            <w:pPr>
              <w:spacing w:line="240" w:lineRule="auto"/>
              <w:jc w:val="center"/>
              <w:rPr>
                <w:color w:val="000000"/>
                <w:sz w:val="18"/>
                <w:szCs w:val="18"/>
              </w:rPr>
            </w:pPr>
            <w:r w:rsidRPr="00D0395E">
              <w:rPr>
                <w:color w:val="000000"/>
                <w:sz w:val="18"/>
                <w:szCs w:val="18"/>
              </w:rPr>
              <w:t>695 726</w:t>
            </w:r>
          </w:p>
        </w:tc>
        <w:tc>
          <w:tcPr>
            <w:tcW w:w="1328" w:type="pct"/>
            <w:tcBorders>
              <w:top w:val="nil"/>
              <w:left w:val="nil"/>
              <w:bottom w:val="nil"/>
              <w:right w:val="nil"/>
            </w:tcBorders>
            <w:shd w:val="clear" w:color="000000" w:fill="FFFFFF"/>
            <w:noWrap/>
            <w:vAlign w:val="center"/>
            <w:hideMark/>
          </w:tcPr>
          <w:p w14:paraId="026C5BBA" w14:textId="77777777" w:rsidR="004D69BF" w:rsidRPr="00D0395E" w:rsidRDefault="004D69BF" w:rsidP="000240DA">
            <w:pPr>
              <w:spacing w:line="240" w:lineRule="auto"/>
              <w:jc w:val="center"/>
              <w:rPr>
                <w:color w:val="000000"/>
                <w:sz w:val="18"/>
                <w:szCs w:val="18"/>
              </w:rPr>
            </w:pPr>
            <w:r w:rsidRPr="00D0395E">
              <w:rPr>
                <w:color w:val="000000"/>
                <w:sz w:val="18"/>
                <w:szCs w:val="18"/>
              </w:rPr>
              <w:t>423 933</w:t>
            </w:r>
          </w:p>
        </w:tc>
      </w:tr>
      <w:tr w:rsidR="004D69BF" w:rsidRPr="00D0395E" w14:paraId="0DC1C6D1" w14:textId="77777777" w:rsidTr="001D2C2C">
        <w:trPr>
          <w:trHeight w:val="330"/>
        </w:trPr>
        <w:tc>
          <w:tcPr>
            <w:tcW w:w="1016" w:type="pct"/>
            <w:tcBorders>
              <w:top w:val="nil"/>
              <w:left w:val="nil"/>
              <w:bottom w:val="nil"/>
              <w:right w:val="nil"/>
            </w:tcBorders>
            <w:shd w:val="clear" w:color="000000" w:fill="FFFFFF"/>
            <w:vAlign w:val="center"/>
            <w:hideMark/>
          </w:tcPr>
          <w:p w14:paraId="49311FEC" w14:textId="77777777" w:rsidR="004D69BF" w:rsidRPr="00D0395E" w:rsidRDefault="004D69BF" w:rsidP="000240DA">
            <w:pPr>
              <w:spacing w:line="240" w:lineRule="auto"/>
              <w:jc w:val="center"/>
              <w:rPr>
                <w:color w:val="000000"/>
                <w:sz w:val="18"/>
                <w:szCs w:val="18"/>
              </w:rPr>
            </w:pPr>
            <w:r w:rsidRPr="00D0395E">
              <w:rPr>
                <w:color w:val="000000"/>
                <w:sz w:val="18"/>
                <w:szCs w:val="18"/>
              </w:rPr>
              <w:t>2010</w:t>
            </w:r>
          </w:p>
        </w:tc>
        <w:tc>
          <w:tcPr>
            <w:tcW w:w="1328" w:type="pct"/>
            <w:tcBorders>
              <w:top w:val="nil"/>
              <w:left w:val="nil"/>
              <w:bottom w:val="nil"/>
              <w:right w:val="nil"/>
            </w:tcBorders>
            <w:shd w:val="clear" w:color="000000" w:fill="FFFFFF"/>
            <w:noWrap/>
            <w:vAlign w:val="center"/>
            <w:hideMark/>
          </w:tcPr>
          <w:p w14:paraId="7CA27FF7" w14:textId="77777777" w:rsidR="004D69BF" w:rsidRPr="00D0395E" w:rsidRDefault="004D69BF" w:rsidP="000240DA">
            <w:pPr>
              <w:spacing w:line="240" w:lineRule="auto"/>
              <w:jc w:val="center"/>
              <w:rPr>
                <w:color w:val="000000"/>
                <w:sz w:val="18"/>
                <w:szCs w:val="18"/>
              </w:rPr>
            </w:pPr>
            <w:r w:rsidRPr="00D0395E">
              <w:rPr>
                <w:color w:val="000000"/>
                <w:sz w:val="18"/>
                <w:szCs w:val="18"/>
              </w:rPr>
              <w:t>1 672 483</w:t>
            </w:r>
          </w:p>
        </w:tc>
        <w:tc>
          <w:tcPr>
            <w:tcW w:w="1328" w:type="pct"/>
            <w:tcBorders>
              <w:top w:val="nil"/>
              <w:left w:val="nil"/>
              <w:bottom w:val="nil"/>
              <w:right w:val="nil"/>
            </w:tcBorders>
            <w:shd w:val="clear" w:color="000000" w:fill="FFFFFF"/>
            <w:noWrap/>
            <w:vAlign w:val="center"/>
            <w:hideMark/>
          </w:tcPr>
          <w:p w14:paraId="011421C4" w14:textId="77777777" w:rsidR="004D69BF" w:rsidRPr="00D0395E" w:rsidRDefault="004D69BF" w:rsidP="000240DA">
            <w:pPr>
              <w:spacing w:line="240" w:lineRule="auto"/>
              <w:jc w:val="center"/>
              <w:rPr>
                <w:color w:val="000000"/>
                <w:sz w:val="18"/>
                <w:szCs w:val="18"/>
              </w:rPr>
            </w:pPr>
            <w:r w:rsidRPr="00D0395E">
              <w:rPr>
                <w:color w:val="000000"/>
                <w:sz w:val="18"/>
                <w:szCs w:val="18"/>
              </w:rPr>
              <w:t>627 529</w:t>
            </w:r>
          </w:p>
        </w:tc>
        <w:tc>
          <w:tcPr>
            <w:tcW w:w="1328" w:type="pct"/>
            <w:tcBorders>
              <w:top w:val="nil"/>
              <w:left w:val="nil"/>
              <w:bottom w:val="nil"/>
              <w:right w:val="nil"/>
            </w:tcBorders>
            <w:shd w:val="clear" w:color="000000" w:fill="FFFFFF"/>
            <w:noWrap/>
            <w:vAlign w:val="center"/>
            <w:hideMark/>
          </w:tcPr>
          <w:p w14:paraId="7C601991" w14:textId="77777777" w:rsidR="004D69BF" w:rsidRPr="00D0395E" w:rsidRDefault="004D69BF" w:rsidP="000240DA">
            <w:pPr>
              <w:spacing w:line="240" w:lineRule="auto"/>
              <w:jc w:val="center"/>
              <w:rPr>
                <w:color w:val="000000"/>
                <w:sz w:val="18"/>
                <w:szCs w:val="18"/>
              </w:rPr>
            </w:pPr>
            <w:r w:rsidRPr="00D0395E">
              <w:rPr>
                <w:color w:val="000000"/>
                <w:sz w:val="18"/>
                <w:szCs w:val="18"/>
              </w:rPr>
              <w:t>1 044 954</w:t>
            </w:r>
          </w:p>
        </w:tc>
      </w:tr>
      <w:tr w:rsidR="004D69BF" w:rsidRPr="00D0395E" w14:paraId="1ECC9374" w14:textId="77777777" w:rsidTr="001D2C2C">
        <w:trPr>
          <w:trHeight w:val="330"/>
        </w:trPr>
        <w:tc>
          <w:tcPr>
            <w:tcW w:w="1016" w:type="pct"/>
            <w:tcBorders>
              <w:top w:val="nil"/>
              <w:left w:val="nil"/>
              <w:bottom w:val="nil"/>
              <w:right w:val="nil"/>
            </w:tcBorders>
            <w:shd w:val="clear" w:color="000000" w:fill="FFFFFF"/>
            <w:vAlign w:val="center"/>
            <w:hideMark/>
          </w:tcPr>
          <w:p w14:paraId="5DF4F799" w14:textId="77777777" w:rsidR="004D69BF" w:rsidRPr="00D0395E" w:rsidRDefault="004D69BF" w:rsidP="000240DA">
            <w:pPr>
              <w:spacing w:line="240" w:lineRule="auto"/>
              <w:jc w:val="center"/>
              <w:rPr>
                <w:color w:val="000000"/>
                <w:sz w:val="18"/>
                <w:szCs w:val="18"/>
              </w:rPr>
            </w:pPr>
            <w:r w:rsidRPr="00D0395E">
              <w:rPr>
                <w:color w:val="000000"/>
                <w:sz w:val="18"/>
                <w:szCs w:val="18"/>
              </w:rPr>
              <w:t>2011</w:t>
            </w:r>
          </w:p>
        </w:tc>
        <w:tc>
          <w:tcPr>
            <w:tcW w:w="1328" w:type="pct"/>
            <w:tcBorders>
              <w:top w:val="nil"/>
              <w:left w:val="nil"/>
              <w:bottom w:val="nil"/>
              <w:right w:val="nil"/>
            </w:tcBorders>
            <w:shd w:val="clear" w:color="000000" w:fill="FFFFFF"/>
            <w:noWrap/>
            <w:vAlign w:val="center"/>
            <w:hideMark/>
          </w:tcPr>
          <w:p w14:paraId="19CB80DA" w14:textId="77777777" w:rsidR="004D69BF" w:rsidRPr="00D0395E" w:rsidRDefault="004D69BF" w:rsidP="000240DA">
            <w:pPr>
              <w:spacing w:line="240" w:lineRule="auto"/>
              <w:jc w:val="center"/>
              <w:rPr>
                <w:color w:val="000000"/>
                <w:sz w:val="18"/>
                <w:szCs w:val="18"/>
              </w:rPr>
            </w:pPr>
            <w:r w:rsidRPr="00D0395E">
              <w:rPr>
                <w:color w:val="000000"/>
                <w:sz w:val="18"/>
                <w:szCs w:val="18"/>
              </w:rPr>
              <w:t>2 041 093</w:t>
            </w:r>
          </w:p>
        </w:tc>
        <w:tc>
          <w:tcPr>
            <w:tcW w:w="1328" w:type="pct"/>
            <w:tcBorders>
              <w:top w:val="nil"/>
              <w:left w:val="nil"/>
              <w:bottom w:val="nil"/>
              <w:right w:val="nil"/>
            </w:tcBorders>
            <w:shd w:val="clear" w:color="000000" w:fill="FFFFFF"/>
            <w:noWrap/>
            <w:vAlign w:val="center"/>
            <w:hideMark/>
          </w:tcPr>
          <w:p w14:paraId="2F1ADDA0" w14:textId="77777777" w:rsidR="004D69BF" w:rsidRPr="00D0395E" w:rsidRDefault="004D69BF" w:rsidP="000240DA">
            <w:pPr>
              <w:spacing w:line="240" w:lineRule="auto"/>
              <w:jc w:val="center"/>
              <w:rPr>
                <w:color w:val="000000"/>
                <w:sz w:val="18"/>
                <w:szCs w:val="18"/>
              </w:rPr>
            </w:pPr>
            <w:r w:rsidRPr="00D0395E">
              <w:rPr>
                <w:color w:val="000000"/>
                <w:sz w:val="18"/>
                <w:szCs w:val="18"/>
              </w:rPr>
              <w:t>704 656</w:t>
            </w:r>
          </w:p>
        </w:tc>
        <w:tc>
          <w:tcPr>
            <w:tcW w:w="1328" w:type="pct"/>
            <w:tcBorders>
              <w:top w:val="nil"/>
              <w:left w:val="nil"/>
              <w:bottom w:val="nil"/>
              <w:right w:val="nil"/>
            </w:tcBorders>
            <w:shd w:val="clear" w:color="000000" w:fill="FFFFFF"/>
            <w:noWrap/>
            <w:vAlign w:val="center"/>
            <w:hideMark/>
          </w:tcPr>
          <w:p w14:paraId="34B4FFF8" w14:textId="77777777" w:rsidR="004D69BF" w:rsidRPr="00D0395E" w:rsidRDefault="004D69BF" w:rsidP="000240DA">
            <w:pPr>
              <w:spacing w:line="240" w:lineRule="auto"/>
              <w:jc w:val="center"/>
              <w:rPr>
                <w:color w:val="000000"/>
                <w:sz w:val="18"/>
                <w:szCs w:val="18"/>
              </w:rPr>
            </w:pPr>
            <w:r w:rsidRPr="00D0395E">
              <w:rPr>
                <w:color w:val="000000"/>
                <w:sz w:val="18"/>
                <w:szCs w:val="18"/>
              </w:rPr>
              <w:t>1 336 437</w:t>
            </w:r>
          </w:p>
        </w:tc>
      </w:tr>
      <w:tr w:rsidR="004D69BF" w:rsidRPr="00D0395E" w14:paraId="49001097" w14:textId="77777777" w:rsidTr="001D2C2C">
        <w:trPr>
          <w:trHeight w:val="330"/>
        </w:trPr>
        <w:tc>
          <w:tcPr>
            <w:tcW w:w="1016" w:type="pct"/>
            <w:tcBorders>
              <w:top w:val="nil"/>
              <w:left w:val="nil"/>
              <w:bottom w:val="nil"/>
              <w:right w:val="nil"/>
            </w:tcBorders>
            <w:shd w:val="clear" w:color="000000" w:fill="FFFFFF"/>
            <w:vAlign w:val="center"/>
            <w:hideMark/>
          </w:tcPr>
          <w:p w14:paraId="2941921F" w14:textId="77777777" w:rsidR="004D69BF" w:rsidRPr="00D0395E" w:rsidRDefault="004D69BF" w:rsidP="000240DA">
            <w:pPr>
              <w:spacing w:line="240" w:lineRule="auto"/>
              <w:jc w:val="center"/>
              <w:rPr>
                <w:color w:val="000000"/>
                <w:sz w:val="18"/>
                <w:szCs w:val="18"/>
              </w:rPr>
            </w:pPr>
            <w:r w:rsidRPr="00D0395E">
              <w:rPr>
                <w:color w:val="000000"/>
                <w:sz w:val="18"/>
                <w:szCs w:val="18"/>
              </w:rPr>
              <w:t>2012</w:t>
            </w:r>
          </w:p>
        </w:tc>
        <w:tc>
          <w:tcPr>
            <w:tcW w:w="1328" w:type="pct"/>
            <w:tcBorders>
              <w:top w:val="nil"/>
              <w:left w:val="nil"/>
              <w:bottom w:val="nil"/>
              <w:right w:val="nil"/>
            </w:tcBorders>
            <w:shd w:val="clear" w:color="000000" w:fill="FFFFFF"/>
            <w:noWrap/>
            <w:vAlign w:val="center"/>
            <w:hideMark/>
          </w:tcPr>
          <w:p w14:paraId="538F85F4" w14:textId="77777777" w:rsidR="004D69BF" w:rsidRPr="00D0395E" w:rsidRDefault="004D69BF" w:rsidP="000240DA">
            <w:pPr>
              <w:spacing w:line="240" w:lineRule="auto"/>
              <w:jc w:val="center"/>
              <w:rPr>
                <w:color w:val="000000"/>
                <w:sz w:val="18"/>
                <w:szCs w:val="18"/>
              </w:rPr>
            </w:pPr>
            <w:r w:rsidRPr="00D0395E">
              <w:rPr>
                <w:color w:val="000000"/>
                <w:sz w:val="18"/>
                <w:szCs w:val="18"/>
              </w:rPr>
              <w:t>2 137 849</w:t>
            </w:r>
          </w:p>
        </w:tc>
        <w:tc>
          <w:tcPr>
            <w:tcW w:w="1328" w:type="pct"/>
            <w:tcBorders>
              <w:top w:val="nil"/>
              <w:left w:val="nil"/>
              <w:bottom w:val="nil"/>
              <w:right w:val="nil"/>
            </w:tcBorders>
            <w:shd w:val="clear" w:color="000000" w:fill="FFFFFF"/>
            <w:noWrap/>
            <w:vAlign w:val="center"/>
            <w:hideMark/>
          </w:tcPr>
          <w:p w14:paraId="4412C18D" w14:textId="77777777" w:rsidR="004D69BF" w:rsidRPr="00D0395E" w:rsidRDefault="004D69BF" w:rsidP="000240DA">
            <w:pPr>
              <w:spacing w:line="240" w:lineRule="auto"/>
              <w:jc w:val="center"/>
              <w:rPr>
                <w:color w:val="000000"/>
                <w:sz w:val="18"/>
                <w:szCs w:val="18"/>
              </w:rPr>
            </w:pPr>
            <w:r w:rsidRPr="00D0395E">
              <w:rPr>
                <w:color w:val="000000"/>
                <w:sz w:val="18"/>
                <w:szCs w:val="18"/>
              </w:rPr>
              <w:t>722 831</w:t>
            </w:r>
          </w:p>
        </w:tc>
        <w:tc>
          <w:tcPr>
            <w:tcW w:w="1328" w:type="pct"/>
            <w:tcBorders>
              <w:top w:val="nil"/>
              <w:left w:val="nil"/>
              <w:bottom w:val="nil"/>
              <w:right w:val="nil"/>
            </w:tcBorders>
            <w:shd w:val="clear" w:color="000000" w:fill="FFFFFF"/>
            <w:noWrap/>
            <w:vAlign w:val="center"/>
            <w:hideMark/>
          </w:tcPr>
          <w:p w14:paraId="1E9804E2" w14:textId="77777777" w:rsidR="004D69BF" w:rsidRPr="00D0395E" w:rsidRDefault="004D69BF" w:rsidP="000240DA">
            <w:pPr>
              <w:spacing w:line="240" w:lineRule="auto"/>
              <w:jc w:val="center"/>
              <w:rPr>
                <w:color w:val="000000"/>
                <w:sz w:val="18"/>
                <w:szCs w:val="18"/>
              </w:rPr>
            </w:pPr>
            <w:r w:rsidRPr="00D0395E">
              <w:rPr>
                <w:color w:val="000000"/>
                <w:sz w:val="18"/>
                <w:szCs w:val="18"/>
              </w:rPr>
              <w:t>1 415 018</w:t>
            </w:r>
          </w:p>
        </w:tc>
      </w:tr>
      <w:tr w:rsidR="004D69BF" w:rsidRPr="00D0395E" w14:paraId="67CA3A44" w14:textId="77777777" w:rsidTr="001D2C2C">
        <w:trPr>
          <w:trHeight w:val="330"/>
        </w:trPr>
        <w:tc>
          <w:tcPr>
            <w:tcW w:w="1016" w:type="pct"/>
            <w:tcBorders>
              <w:top w:val="nil"/>
              <w:left w:val="nil"/>
              <w:bottom w:val="nil"/>
              <w:right w:val="nil"/>
            </w:tcBorders>
            <w:shd w:val="clear" w:color="000000" w:fill="FFFFFF"/>
            <w:vAlign w:val="center"/>
            <w:hideMark/>
          </w:tcPr>
          <w:p w14:paraId="22895D6E" w14:textId="77777777" w:rsidR="004D69BF" w:rsidRPr="00D0395E" w:rsidRDefault="004D69BF" w:rsidP="000240DA">
            <w:pPr>
              <w:spacing w:line="240" w:lineRule="auto"/>
              <w:jc w:val="center"/>
              <w:rPr>
                <w:color w:val="000000"/>
                <w:sz w:val="18"/>
                <w:szCs w:val="18"/>
              </w:rPr>
            </w:pPr>
            <w:r w:rsidRPr="00D0395E">
              <w:rPr>
                <w:color w:val="000000"/>
                <w:sz w:val="18"/>
                <w:szCs w:val="18"/>
              </w:rPr>
              <w:t>2013</w:t>
            </w:r>
          </w:p>
        </w:tc>
        <w:tc>
          <w:tcPr>
            <w:tcW w:w="1328" w:type="pct"/>
            <w:tcBorders>
              <w:top w:val="nil"/>
              <w:left w:val="nil"/>
              <w:bottom w:val="nil"/>
              <w:right w:val="nil"/>
            </w:tcBorders>
            <w:shd w:val="clear" w:color="000000" w:fill="FFFFFF"/>
            <w:noWrap/>
            <w:vAlign w:val="center"/>
            <w:hideMark/>
          </w:tcPr>
          <w:p w14:paraId="0AD20002" w14:textId="77777777" w:rsidR="004D69BF" w:rsidRPr="00D0395E" w:rsidRDefault="004D69BF" w:rsidP="000240DA">
            <w:pPr>
              <w:spacing w:line="240" w:lineRule="auto"/>
              <w:jc w:val="center"/>
              <w:rPr>
                <w:color w:val="000000"/>
                <w:sz w:val="18"/>
                <w:szCs w:val="18"/>
              </w:rPr>
            </w:pPr>
            <w:r w:rsidRPr="00D0395E">
              <w:rPr>
                <w:color w:val="000000"/>
                <w:sz w:val="18"/>
                <w:szCs w:val="18"/>
              </w:rPr>
              <w:t>2 185 358</w:t>
            </w:r>
          </w:p>
        </w:tc>
        <w:tc>
          <w:tcPr>
            <w:tcW w:w="1328" w:type="pct"/>
            <w:tcBorders>
              <w:top w:val="nil"/>
              <w:left w:val="nil"/>
              <w:bottom w:val="nil"/>
              <w:right w:val="nil"/>
            </w:tcBorders>
            <w:shd w:val="clear" w:color="000000" w:fill="FFFFFF"/>
            <w:noWrap/>
            <w:vAlign w:val="center"/>
            <w:hideMark/>
          </w:tcPr>
          <w:p w14:paraId="3557054C" w14:textId="77777777" w:rsidR="004D69BF" w:rsidRPr="00D0395E" w:rsidRDefault="004D69BF" w:rsidP="000240DA">
            <w:pPr>
              <w:spacing w:line="240" w:lineRule="auto"/>
              <w:jc w:val="center"/>
              <w:rPr>
                <w:color w:val="000000"/>
                <w:sz w:val="18"/>
                <w:szCs w:val="18"/>
              </w:rPr>
            </w:pPr>
            <w:r w:rsidRPr="00D0395E">
              <w:rPr>
                <w:color w:val="000000"/>
                <w:sz w:val="18"/>
                <w:szCs w:val="18"/>
              </w:rPr>
              <w:t>825 098</w:t>
            </w:r>
          </w:p>
        </w:tc>
        <w:tc>
          <w:tcPr>
            <w:tcW w:w="1328" w:type="pct"/>
            <w:tcBorders>
              <w:top w:val="nil"/>
              <w:left w:val="nil"/>
              <w:bottom w:val="nil"/>
              <w:right w:val="nil"/>
            </w:tcBorders>
            <w:shd w:val="clear" w:color="000000" w:fill="FFFFFF"/>
            <w:noWrap/>
            <w:vAlign w:val="center"/>
            <w:hideMark/>
          </w:tcPr>
          <w:p w14:paraId="667313C4" w14:textId="77777777" w:rsidR="004D69BF" w:rsidRPr="00D0395E" w:rsidRDefault="004D69BF" w:rsidP="000240DA">
            <w:pPr>
              <w:spacing w:line="240" w:lineRule="auto"/>
              <w:jc w:val="center"/>
              <w:rPr>
                <w:color w:val="000000"/>
                <w:sz w:val="18"/>
                <w:szCs w:val="18"/>
              </w:rPr>
            </w:pPr>
            <w:r w:rsidRPr="00D0395E">
              <w:rPr>
                <w:color w:val="000000"/>
                <w:sz w:val="18"/>
                <w:szCs w:val="18"/>
              </w:rPr>
              <w:t>1 360 260</w:t>
            </w:r>
          </w:p>
        </w:tc>
      </w:tr>
      <w:tr w:rsidR="004D69BF" w:rsidRPr="00D0395E" w14:paraId="7152EC2E" w14:textId="77777777" w:rsidTr="001D2C2C">
        <w:trPr>
          <w:trHeight w:val="330"/>
        </w:trPr>
        <w:tc>
          <w:tcPr>
            <w:tcW w:w="1016" w:type="pct"/>
            <w:tcBorders>
              <w:top w:val="nil"/>
              <w:left w:val="nil"/>
              <w:bottom w:val="nil"/>
              <w:right w:val="nil"/>
            </w:tcBorders>
            <w:shd w:val="clear" w:color="000000" w:fill="FFFFFF"/>
            <w:vAlign w:val="center"/>
            <w:hideMark/>
          </w:tcPr>
          <w:p w14:paraId="542A2A67" w14:textId="77777777" w:rsidR="004D69BF" w:rsidRPr="00D0395E" w:rsidRDefault="004D69BF" w:rsidP="000240DA">
            <w:pPr>
              <w:spacing w:line="240" w:lineRule="auto"/>
              <w:jc w:val="center"/>
              <w:rPr>
                <w:color w:val="000000"/>
                <w:sz w:val="18"/>
                <w:szCs w:val="18"/>
              </w:rPr>
            </w:pPr>
            <w:r w:rsidRPr="00D0395E">
              <w:rPr>
                <w:color w:val="000000"/>
                <w:sz w:val="18"/>
                <w:szCs w:val="18"/>
              </w:rPr>
              <w:t>2014</w:t>
            </w:r>
          </w:p>
        </w:tc>
        <w:tc>
          <w:tcPr>
            <w:tcW w:w="1328" w:type="pct"/>
            <w:tcBorders>
              <w:top w:val="nil"/>
              <w:left w:val="nil"/>
              <w:bottom w:val="nil"/>
              <w:right w:val="nil"/>
            </w:tcBorders>
            <w:shd w:val="clear" w:color="000000" w:fill="FFFFFF"/>
            <w:noWrap/>
            <w:vAlign w:val="center"/>
            <w:hideMark/>
          </w:tcPr>
          <w:p w14:paraId="70A99A3D" w14:textId="77777777" w:rsidR="004D69BF" w:rsidRPr="00D0395E" w:rsidRDefault="004D69BF" w:rsidP="000240DA">
            <w:pPr>
              <w:spacing w:line="240" w:lineRule="auto"/>
              <w:jc w:val="center"/>
              <w:rPr>
                <w:color w:val="000000"/>
                <w:sz w:val="18"/>
                <w:szCs w:val="18"/>
              </w:rPr>
            </w:pPr>
            <w:r w:rsidRPr="00D0395E">
              <w:rPr>
                <w:color w:val="000000"/>
                <w:sz w:val="18"/>
                <w:szCs w:val="18"/>
              </w:rPr>
              <w:t>1 265 091</w:t>
            </w:r>
          </w:p>
        </w:tc>
        <w:tc>
          <w:tcPr>
            <w:tcW w:w="1328" w:type="pct"/>
            <w:tcBorders>
              <w:top w:val="nil"/>
              <w:left w:val="nil"/>
              <w:bottom w:val="nil"/>
              <w:right w:val="nil"/>
            </w:tcBorders>
            <w:shd w:val="clear" w:color="000000" w:fill="FFFFFF"/>
            <w:noWrap/>
            <w:vAlign w:val="center"/>
            <w:hideMark/>
          </w:tcPr>
          <w:p w14:paraId="358F1AC9" w14:textId="77777777" w:rsidR="004D69BF" w:rsidRPr="00D0395E" w:rsidRDefault="004D69BF" w:rsidP="000240DA">
            <w:pPr>
              <w:spacing w:line="240" w:lineRule="auto"/>
              <w:jc w:val="center"/>
              <w:rPr>
                <w:color w:val="000000"/>
                <w:sz w:val="18"/>
                <w:szCs w:val="18"/>
              </w:rPr>
            </w:pPr>
            <w:r w:rsidRPr="00D0395E">
              <w:rPr>
                <w:color w:val="000000"/>
                <w:sz w:val="18"/>
                <w:szCs w:val="18"/>
              </w:rPr>
              <w:t>785 366</w:t>
            </w:r>
          </w:p>
        </w:tc>
        <w:tc>
          <w:tcPr>
            <w:tcW w:w="1328" w:type="pct"/>
            <w:tcBorders>
              <w:top w:val="nil"/>
              <w:left w:val="nil"/>
              <w:bottom w:val="nil"/>
              <w:right w:val="nil"/>
            </w:tcBorders>
            <w:shd w:val="clear" w:color="000000" w:fill="FFFFFF"/>
            <w:noWrap/>
            <w:vAlign w:val="center"/>
            <w:hideMark/>
          </w:tcPr>
          <w:p w14:paraId="4E0357FA" w14:textId="77777777" w:rsidR="004D69BF" w:rsidRPr="00D0395E" w:rsidRDefault="004D69BF" w:rsidP="000240DA">
            <w:pPr>
              <w:spacing w:line="240" w:lineRule="auto"/>
              <w:jc w:val="center"/>
              <w:rPr>
                <w:color w:val="000000"/>
                <w:sz w:val="18"/>
                <w:szCs w:val="18"/>
              </w:rPr>
            </w:pPr>
            <w:r w:rsidRPr="00D0395E">
              <w:rPr>
                <w:color w:val="000000"/>
                <w:sz w:val="18"/>
                <w:szCs w:val="18"/>
              </w:rPr>
              <w:t>479 725</w:t>
            </w:r>
          </w:p>
        </w:tc>
      </w:tr>
      <w:tr w:rsidR="004D69BF" w:rsidRPr="00D0395E" w14:paraId="40266103" w14:textId="77777777" w:rsidTr="001D2C2C">
        <w:trPr>
          <w:trHeight w:val="330"/>
        </w:trPr>
        <w:tc>
          <w:tcPr>
            <w:tcW w:w="1016" w:type="pct"/>
            <w:tcBorders>
              <w:top w:val="nil"/>
              <w:left w:val="nil"/>
              <w:bottom w:val="nil"/>
              <w:right w:val="nil"/>
            </w:tcBorders>
            <w:shd w:val="clear" w:color="000000" w:fill="FFFFFF"/>
            <w:vAlign w:val="center"/>
            <w:hideMark/>
          </w:tcPr>
          <w:p w14:paraId="153BA32A" w14:textId="77777777" w:rsidR="004D69BF" w:rsidRPr="00D0395E" w:rsidRDefault="004D69BF" w:rsidP="000240DA">
            <w:pPr>
              <w:spacing w:line="240" w:lineRule="auto"/>
              <w:jc w:val="center"/>
              <w:rPr>
                <w:color w:val="000000"/>
                <w:sz w:val="18"/>
                <w:szCs w:val="18"/>
              </w:rPr>
            </w:pPr>
            <w:r w:rsidRPr="00D0395E">
              <w:rPr>
                <w:color w:val="000000"/>
                <w:sz w:val="18"/>
                <w:szCs w:val="18"/>
              </w:rPr>
              <w:t>2015</w:t>
            </w:r>
          </w:p>
        </w:tc>
        <w:tc>
          <w:tcPr>
            <w:tcW w:w="1328" w:type="pct"/>
            <w:tcBorders>
              <w:top w:val="nil"/>
              <w:left w:val="nil"/>
              <w:bottom w:val="nil"/>
              <w:right w:val="nil"/>
            </w:tcBorders>
            <w:shd w:val="clear" w:color="auto" w:fill="auto"/>
            <w:noWrap/>
            <w:vAlign w:val="center"/>
            <w:hideMark/>
          </w:tcPr>
          <w:p w14:paraId="2BEF3EE0" w14:textId="77777777" w:rsidR="004D69BF" w:rsidRPr="00D0395E" w:rsidRDefault="004D69BF" w:rsidP="000240DA">
            <w:pPr>
              <w:spacing w:line="240" w:lineRule="auto"/>
              <w:jc w:val="center"/>
              <w:rPr>
                <w:color w:val="000000"/>
                <w:sz w:val="18"/>
                <w:szCs w:val="18"/>
              </w:rPr>
            </w:pPr>
            <w:r w:rsidRPr="00D0395E">
              <w:rPr>
                <w:color w:val="000000"/>
                <w:sz w:val="18"/>
                <w:szCs w:val="18"/>
              </w:rPr>
              <w:t>4 288 873</w:t>
            </w:r>
          </w:p>
        </w:tc>
        <w:tc>
          <w:tcPr>
            <w:tcW w:w="1328" w:type="pct"/>
            <w:tcBorders>
              <w:top w:val="nil"/>
              <w:left w:val="nil"/>
              <w:bottom w:val="nil"/>
              <w:right w:val="nil"/>
            </w:tcBorders>
            <w:shd w:val="clear" w:color="000000" w:fill="FFFFFF"/>
            <w:noWrap/>
            <w:vAlign w:val="center"/>
            <w:hideMark/>
          </w:tcPr>
          <w:p w14:paraId="144BEF32" w14:textId="77777777" w:rsidR="004D69BF" w:rsidRPr="00D0395E" w:rsidRDefault="004D69BF" w:rsidP="000240DA">
            <w:pPr>
              <w:spacing w:line="240" w:lineRule="auto"/>
              <w:jc w:val="center"/>
              <w:rPr>
                <w:color w:val="000000"/>
                <w:sz w:val="18"/>
                <w:szCs w:val="18"/>
              </w:rPr>
            </w:pPr>
            <w:r w:rsidRPr="00D0395E">
              <w:rPr>
                <w:color w:val="000000"/>
                <w:sz w:val="18"/>
                <w:szCs w:val="18"/>
              </w:rPr>
              <w:t>695 508</w:t>
            </w:r>
          </w:p>
        </w:tc>
        <w:tc>
          <w:tcPr>
            <w:tcW w:w="1328" w:type="pct"/>
            <w:tcBorders>
              <w:top w:val="nil"/>
              <w:left w:val="nil"/>
              <w:bottom w:val="nil"/>
              <w:right w:val="nil"/>
            </w:tcBorders>
            <w:shd w:val="clear" w:color="000000" w:fill="FFFFFF"/>
            <w:noWrap/>
            <w:vAlign w:val="center"/>
            <w:hideMark/>
          </w:tcPr>
          <w:p w14:paraId="40240025" w14:textId="77777777" w:rsidR="004D69BF" w:rsidRPr="00D0395E" w:rsidRDefault="004D69BF" w:rsidP="000240DA">
            <w:pPr>
              <w:spacing w:line="240" w:lineRule="auto"/>
              <w:jc w:val="center"/>
              <w:rPr>
                <w:color w:val="000000"/>
                <w:sz w:val="18"/>
                <w:szCs w:val="18"/>
              </w:rPr>
            </w:pPr>
            <w:r w:rsidRPr="00D0395E">
              <w:rPr>
                <w:color w:val="000000"/>
                <w:sz w:val="18"/>
                <w:szCs w:val="18"/>
              </w:rPr>
              <w:t>3 593 365</w:t>
            </w:r>
          </w:p>
        </w:tc>
      </w:tr>
      <w:tr w:rsidR="004D69BF" w:rsidRPr="00D0395E" w14:paraId="737692DD" w14:textId="77777777" w:rsidTr="001D2C2C">
        <w:trPr>
          <w:trHeight w:val="330"/>
        </w:trPr>
        <w:tc>
          <w:tcPr>
            <w:tcW w:w="1016" w:type="pct"/>
            <w:tcBorders>
              <w:top w:val="nil"/>
              <w:left w:val="nil"/>
              <w:bottom w:val="nil"/>
              <w:right w:val="nil"/>
            </w:tcBorders>
            <w:shd w:val="clear" w:color="000000" w:fill="FFFFFF"/>
            <w:vAlign w:val="center"/>
            <w:hideMark/>
          </w:tcPr>
          <w:p w14:paraId="1B647434" w14:textId="77777777" w:rsidR="004D69BF" w:rsidRPr="00D0395E" w:rsidRDefault="004D69BF" w:rsidP="000240DA">
            <w:pPr>
              <w:spacing w:line="240" w:lineRule="auto"/>
              <w:jc w:val="center"/>
              <w:rPr>
                <w:color w:val="000000"/>
                <w:sz w:val="18"/>
                <w:szCs w:val="18"/>
              </w:rPr>
            </w:pPr>
            <w:r w:rsidRPr="00D0395E">
              <w:rPr>
                <w:color w:val="000000"/>
                <w:sz w:val="18"/>
                <w:szCs w:val="18"/>
              </w:rPr>
              <w:t>2016</w:t>
            </w:r>
          </w:p>
        </w:tc>
        <w:tc>
          <w:tcPr>
            <w:tcW w:w="1328" w:type="pct"/>
            <w:tcBorders>
              <w:top w:val="nil"/>
              <w:left w:val="nil"/>
              <w:bottom w:val="nil"/>
              <w:right w:val="nil"/>
            </w:tcBorders>
            <w:shd w:val="clear" w:color="000000" w:fill="FFFFFF"/>
            <w:noWrap/>
            <w:vAlign w:val="center"/>
            <w:hideMark/>
          </w:tcPr>
          <w:p w14:paraId="77CAA6A2" w14:textId="77777777" w:rsidR="004D69BF" w:rsidRPr="00D0395E" w:rsidRDefault="004D69BF" w:rsidP="000240DA">
            <w:pPr>
              <w:spacing w:line="240" w:lineRule="auto"/>
              <w:jc w:val="center"/>
              <w:rPr>
                <w:color w:val="000000"/>
                <w:sz w:val="18"/>
                <w:szCs w:val="18"/>
              </w:rPr>
            </w:pPr>
            <w:r w:rsidRPr="00D0395E">
              <w:rPr>
                <w:color w:val="000000"/>
                <w:sz w:val="18"/>
                <w:szCs w:val="18"/>
              </w:rPr>
              <w:t>1 947 481</w:t>
            </w:r>
          </w:p>
        </w:tc>
        <w:tc>
          <w:tcPr>
            <w:tcW w:w="1328" w:type="pct"/>
            <w:tcBorders>
              <w:top w:val="nil"/>
              <w:left w:val="nil"/>
              <w:bottom w:val="nil"/>
              <w:right w:val="nil"/>
            </w:tcBorders>
            <w:shd w:val="clear" w:color="auto" w:fill="auto"/>
            <w:noWrap/>
            <w:vAlign w:val="center"/>
            <w:hideMark/>
          </w:tcPr>
          <w:p w14:paraId="34679A73" w14:textId="77777777" w:rsidR="004D69BF" w:rsidRPr="00D0395E" w:rsidRDefault="004D69BF" w:rsidP="000240DA">
            <w:pPr>
              <w:spacing w:line="240" w:lineRule="auto"/>
              <w:jc w:val="center"/>
              <w:rPr>
                <w:color w:val="000000"/>
                <w:sz w:val="18"/>
                <w:szCs w:val="18"/>
              </w:rPr>
            </w:pPr>
            <w:r w:rsidRPr="00D0395E">
              <w:rPr>
                <w:color w:val="000000"/>
                <w:sz w:val="18"/>
                <w:szCs w:val="18"/>
              </w:rPr>
              <w:t>739 903</w:t>
            </w:r>
          </w:p>
        </w:tc>
        <w:tc>
          <w:tcPr>
            <w:tcW w:w="1328" w:type="pct"/>
            <w:tcBorders>
              <w:top w:val="nil"/>
              <w:left w:val="nil"/>
              <w:bottom w:val="nil"/>
              <w:right w:val="nil"/>
            </w:tcBorders>
            <w:shd w:val="clear" w:color="000000" w:fill="FFFFFF"/>
            <w:noWrap/>
            <w:vAlign w:val="center"/>
            <w:hideMark/>
          </w:tcPr>
          <w:p w14:paraId="059D0286" w14:textId="77777777" w:rsidR="004D69BF" w:rsidRPr="00D0395E" w:rsidRDefault="004D69BF" w:rsidP="000240DA">
            <w:pPr>
              <w:spacing w:line="240" w:lineRule="auto"/>
              <w:jc w:val="center"/>
              <w:rPr>
                <w:color w:val="000000"/>
                <w:sz w:val="18"/>
                <w:szCs w:val="18"/>
              </w:rPr>
            </w:pPr>
            <w:r w:rsidRPr="00D0395E">
              <w:rPr>
                <w:color w:val="000000"/>
                <w:sz w:val="18"/>
                <w:szCs w:val="18"/>
              </w:rPr>
              <w:t>1 207 578</w:t>
            </w:r>
          </w:p>
        </w:tc>
      </w:tr>
      <w:tr w:rsidR="004D69BF" w:rsidRPr="00D0395E" w14:paraId="7D386C5F" w14:textId="77777777" w:rsidTr="001D2C2C">
        <w:trPr>
          <w:trHeight w:val="330"/>
        </w:trPr>
        <w:tc>
          <w:tcPr>
            <w:tcW w:w="1016" w:type="pct"/>
            <w:tcBorders>
              <w:top w:val="nil"/>
              <w:left w:val="nil"/>
              <w:bottom w:val="nil"/>
              <w:right w:val="nil"/>
            </w:tcBorders>
            <w:shd w:val="clear" w:color="000000" w:fill="FFFFFF"/>
            <w:vAlign w:val="center"/>
            <w:hideMark/>
          </w:tcPr>
          <w:p w14:paraId="26ED0D5E" w14:textId="77777777" w:rsidR="004D69BF" w:rsidRPr="00D0395E" w:rsidRDefault="004D69BF" w:rsidP="000240DA">
            <w:pPr>
              <w:spacing w:line="240" w:lineRule="auto"/>
              <w:jc w:val="center"/>
              <w:rPr>
                <w:color w:val="000000"/>
                <w:sz w:val="18"/>
                <w:szCs w:val="18"/>
              </w:rPr>
            </w:pPr>
            <w:r w:rsidRPr="00D0395E">
              <w:rPr>
                <w:color w:val="000000"/>
                <w:sz w:val="18"/>
                <w:szCs w:val="18"/>
              </w:rPr>
              <w:t>2017</w:t>
            </w:r>
          </w:p>
        </w:tc>
        <w:tc>
          <w:tcPr>
            <w:tcW w:w="1328" w:type="pct"/>
            <w:tcBorders>
              <w:top w:val="nil"/>
              <w:left w:val="nil"/>
              <w:bottom w:val="nil"/>
              <w:right w:val="nil"/>
            </w:tcBorders>
            <w:shd w:val="clear" w:color="000000" w:fill="FFFFFF"/>
            <w:noWrap/>
            <w:vAlign w:val="center"/>
            <w:hideMark/>
          </w:tcPr>
          <w:p w14:paraId="6F2683F8" w14:textId="77777777" w:rsidR="004D69BF" w:rsidRPr="00D0395E" w:rsidRDefault="004D69BF" w:rsidP="000240DA">
            <w:pPr>
              <w:spacing w:line="240" w:lineRule="auto"/>
              <w:jc w:val="center"/>
              <w:rPr>
                <w:color w:val="000000"/>
                <w:sz w:val="18"/>
                <w:szCs w:val="18"/>
              </w:rPr>
            </w:pPr>
            <w:r w:rsidRPr="00D0395E">
              <w:rPr>
                <w:color w:val="000000"/>
                <w:sz w:val="18"/>
                <w:szCs w:val="18"/>
              </w:rPr>
              <w:t>1 425 572</w:t>
            </w:r>
          </w:p>
        </w:tc>
        <w:tc>
          <w:tcPr>
            <w:tcW w:w="1328" w:type="pct"/>
            <w:tcBorders>
              <w:top w:val="nil"/>
              <w:left w:val="nil"/>
              <w:bottom w:val="nil"/>
              <w:right w:val="nil"/>
            </w:tcBorders>
            <w:shd w:val="clear" w:color="000000" w:fill="FFFFFF"/>
            <w:noWrap/>
            <w:vAlign w:val="center"/>
            <w:hideMark/>
          </w:tcPr>
          <w:p w14:paraId="33A1C378" w14:textId="77777777" w:rsidR="004D69BF" w:rsidRPr="00D0395E" w:rsidRDefault="004D69BF" w:rsidP="000240DA">
            <w:pPr>
              <w:spacing w:line="240" w:lineRule="auto"/>
              <w:jc w:val="center"/>
              <w:rPr>
                <w:color w:val="000000"/>
                <w:sz w:val="18"/>
                <w:szCs w:val="18"/>
              </w:rPr>
            </w:pPr>
            <w:r w:rsidRPr="00D0395E">
              <w:rPr>
                <w:color w:val="000000"/>
                <w:sz w:val="18"/>
                <w:szCs w:val="18"/>
              </w:rPr>
              <w:t>738 045</w:t>
            </w:r>
          </w:p>
        </w:tc>
        <w:tc>
          <w:tcPr>
            <w:tcW w:w="1328" w:type="pct"/>
            <w:tcBorders>
              <w:top w:val="nil"/>
              <w:left w:val="nil"/>
              <w:bottom w:val="nil"/>
              <w:right w:val="nil"/>
            </w:tcBorders>
            <w:shd w:val="clear" w:color="000000" w:fill="FFFFFF"/>
            <w:noWrap/>
            <w:vAlign w:val="center"/>
            <w:hideMark/>
          </w:tcPr>
          <w:p w14:paraId="5FD4AE87" w14:textId="77777777" w:rsidR="004D69BF" w:rsidRPr="00D0395E" w:rsidRDefault="004D69BF" w:rsidP="000240DA">
            <w:pPr>
              <w:spacing w:line="240" w:lineRule="auto"/>
              <w:jc w:val="center"/>
              <w:rPr>
                <w:color w:val="000000"/>
                <w:sz w:val="18"/>
                <w:szCs w:val="18"/>
              </w:rPr>
            </w:pPr>
            <w:r w:rsidRPr="00D0395E">
              <w:rPr>
                <w:color w:val="000000"/>
                <w:sz w:val="18"/>
                <w:szCs w:val="18"/>
              </w:rPr>
              <w:t>687 527</w:t>
            </w:r>
          </w:p>
        </w:tc>
      </w:tr>
      <w:tr w:rsidR="004D69BF" w:rsidRPr="00D0395E" w14:paraId="4534CD81" w14:textId="77777777" w:rsidTr="001D2C2C">
        <w:trPr>
          <w:trHeight w:val="330"/>
        </w:trPr>
        <w:tc>
          <w:tcPr>
            <w:tcW w:w="1016" w:type="pct"/>
            <w:tcBorders>
              <w:top w:val="nil"/>
              <w:left w:val="nil"/>
              <w:bottom w:val="nil"/>
              <w:right w:val="nil"/>
            </w:tcBorders>
            <w:shd w:val="clear" w:color="000000" w:fill="FFFFFF"/>
            <w:vAlign w:val="center"/>
            <w:hideMark/>
          </w:tcPr>
          <w:p w14:paraId="78A277F6" w14:textId="77777777" w:rsidR="004D69BF" w:rsidRPr="00D0395E" w:rsidRDefault="004D69BF" w:rsidP="000240DA">
            <w:pPr>
              <w:spacing w:line="240" w:lineRule="auto"/>
              <w:jc w:val="center"/>
              <w:rPr>
                <w:color w:val="000000"/>
                <w:sz w:val="18"/>
                <w:szCs w:val="18"/>
              </w:rPr>
            </w:pPr>
            <w:r w:rsidRPr="00D0395E">
              <w:rPr>
                <w:color w:val="000000"/>
                <w:sz w:val="18"/>
                <w:szCs w:val="18"/>
              </w:rPr>
              <w:t>2018</w:t>
            </w:r>
          </w:p>
        </w:tc>
        <w:tc>
          <w:tcPr>
            <w:tcW w:w="1328" w:type="pct"/>
            <w:tcBorders>
              <w:top w:val="nil"/>
              <w:left w:val="nil"/>
              <w:bottom w:val="nil"/>
              <w:right w:val="nil"/>
            </w:tcBorders>
            <w:shd w:val="clear" w:color="000000" w:fill="FFFFFF"/>
            <w:noWrap/>
            <w:vAlign w:val="center"/>
            <w:hideMark/>
          </w:tcPr>
          <w:p w14:paraId="0BE11786" w14:textId="77777777" w:rsidR="004D69BF" w:rsidRPr="00D0395E" w:rsidRDefault="004D69BF" w:rsidP="000240DA">
            <w:pPr>
              <w:spacing w:line="240" w:lineRule="auto"/>
              <w:jc w:val="center"/>
              <w:rPr>
                <w:color w:val="000000"/>
                <w:sz w:val="18"/>
                <w:szCs w:val="18"/>
              </w:rPr>
            </w:pPr>
            <w:r w:rsidRPr="00D0395E">
              <w:rPr>
                <w:color w:val="000000"/>
                <w:sz w:val="18"/>
                <w:szCs w:val="18"/>
              </w:rPr>
              <w:t>2 169 732</w:t>
            </w:r>
          </w:p>
        </w:tc>
        <w:tc>
          <w:tcPr>
            <w:tcW w:w="1328" w:type="pct"/>
            <w:tcBorders>
              <w:top w:val="nil"/>
              <w:left w:val="nil"/>
              <w:bottom w:val="nil"/>
              <w:right w:val="nil"/>
            </w:tcBorders>
            <w:shd w:val="clear" w:color="auto" w:fill="auto"/>
            <w:noWrap/>
            <w:vAlign w:val="center"/>
            <w:hideMark/>
          </w:tcPr>
          <w:p w14:paraId="55502C98" w14:textId="77777777" w:rsidR="004D69BF" w:rsidRPr="00D0395E" w:rsidRDefault="004D69BF" w:rsidP="000240DA">
            <w:pPr>
              <w:spacing w:line="240" w:lineRule="auto"/>
              <w:jc w:val="center"/>
              <w:rPr>
                <w:color w:val="000000"/>
                <w:sz w:val="18"/>
                <w:szCs w:val="18"/>
              </w:rPr>
            </w:pPr>
            <w:r w:rsidRPr="00D0395E">
              <w:rPr>
                <w:color w:val="000000"/>
                <w:sz w:val="18"/>
                <w:szCs w:val="18"/>
              </w:rPr>
              <w:t>841 321</w:t>
            </w:r>
          </w:p>
        </w:tc>
        <w:tc>
          <w:tcPr>
            <w:tcW w:w="1328" w:type="pct"/>
            <w:tcBorders>
              <w:top w:val="nil"/>
              <w:left w:val="nil"/>
              <w:bottom w:val="nil"/>
              <w:right w:val="nil"/>
            </w:tcBorders>
            <w:shd w:val="clear" w:color="000000" w:fill="FFFFFF"/>
            <w:noWrap/>
            <w:vAlign w:val="center"/>
            <w:hideMark/>
          </w:tcPr>
          <w:p w14:paraId="7FCBB6E8" w14:textId="77777777" w:rsidR="004D69BF" w:rsidRPr="00D0395E" w:rsidRDefault="004D69BF" w:rsidP="000240DA">
            <w:pPr>
              <w:spacing w:line="240" w:lineRule="auto"/>
              <w:jc w:val="center"/>
              <w:rPr>
                <w:color w:val="000000"/>
                <w:sz w:val="18"/>
                <w:szCs w:val="18"/>
              </w:rPr>
            </w:pPr>
            <w:r w:rsidRPr="00D0395E">
              <w:rPr>
                <w:color w:val="000000"/>
                <w:sz w:val="18"/>
                <w:szCs w:val="18"/>
              </w:rPr>
              <w:t>1 328 411</w:t>
            </w:r>
          </w:p>
        </w:tc>
      </w:tr>
      <w:tr w:rsidR="004D69BF" w:rsidRPr="00D0395E" w14:paraId="08B466D6" w14:textId="77777777" w:rsidTr="001D2C2C">
        <w:trPr>
          <w:trHeight w:val="330"/>
        </w:trPr>
        <w:tc>
          <w:tcPr>
            <w:tcW w:w="1016" w:type="pct"/>
            <w:tcBorders>
              <w:top w:val="nil"/>
              <w:left w:val="nil"/>
              <w:bottom w:val="nil"/>
              <w:right w:val="nil"/>
            </w:tcBorders>
            <w:shd w:val="clear" w:color="000000" w:fill="FFFFFF"/>
            <w:vAlign w:val="center"/>
            <w:hideMark/>
          </w:tcPr>
          <w:p w14:paraId="15BCA502" w14:textId="77777777" w:rsidR="004D69BF" w:rsidRPr="00D0395E" w:rsidRDefault="004D69BF" w:rsidP="000240DA">
            <w:pPr>
              <w:spacing w:line="240" w:lineRule="auto"/>
              <w:jc w:val="center"/>
              <w:rPr>
                <w:color w:val="000000"/>
                <w:sz w:val="18"/>
                <w:szCs w:val="18"/>
              </w:rPr>
            </w:pPr>
            <w:r w:rsidRPr="00D0395E">
              <w:rPr>
                <w:color w:val="000000"/>
                <w:sz w:val="18"/>
                <w:szCs w:val="18"/>
              </w:rPr>
              <w:t>2019</w:t>
            </w:r>
          </w:p>
        </w:tc>
        <w:tc>
          <w:tcPr>
            <w:tcW w:w="1328" w:type="pct"/>
            <w:tcBorders>
              <w:top w:val="nil"/>
              <w:left w:val="nil"/>
              <w:bottom w:val="nil"/>
              <w:right w:val="nil"/>
            </w:tcBorders>
            <w:shd w:val="clear" w:color="000000" w:fill="FFFFFF"/>
            <w:noWrap/>
            <w:vAlign w:val="center"/>
            <w:hideMark/>
          </w:tcPr>
          <w:p w14:paraId="0112FAB9" w14:textId="77777777" w:rsidR="004D69BF" w:rsidRPr="00D0395E" w:rsidRDefault="004D69BF" w:rsidP="000240DA">
            <w:pPr>
              <w:spacing w:line="240" w:lineRule="auto"/>
              <w:jc w:val="center"/>
              <w:rPr>
                <w:color w:val="000000"/>
                <w:sz w:val="18"/>
                <w:szCs w:val="18"/>
              </w:rPr>
            </w:pPr>
            <w:r w:rsidRPr="00D0395E">
              <w:rPr>
                <w:color w:val="000000"/>
                <w:sz w:val="18"/>
                <w:szCs w:val="18"/>
              </w:rPr>
              <w:t>2 126 943</w:t>
            </w:r>
          </w:p>
        </w:tc>
        <w:tc>
          <w:tcPr>
            <w:tcW w:w="1328" w:type="pct"/>
            <w:tcBorders>
              <w:top w:val="nil"/>
              <w:left w:val="nil"/>
              <w:bottom w:val="nil"/>
              <w:right w:val="nil"/>
            </w:tcBorders>
            <w:shd w:val="clear" w:color="000000" w:fill="FFFFFF"/>
            <w:noWrap/>
            <w:vAlign w:val="center"/>
            <w:hideMark/>
          </w:tcPr>
          <w:p w14:paraId="50293923" w14:textId="77777777" w:rsidR="004D69BF" w:rsidRPr="00D0395E" w:rsidRDefault="004D69BF" w:rsidP="000240DA">
            <w:pPr>
              <w:spacing w:line="240" w:lineRule="auto"/>
              <w:jc w:val="center"/>
              <w:rPr>
                <w:color w:val="000000"/>
                <w:sz w:val="18"/>
                <w:szCs w:val="18"/>
              </w:rPr>
            </w:pPr>
            <w:r w:rsidRPr="00D0395E">
              <w:rPr>
                <w:color w:val="000000"/>
                <w:sz w:val="18"/>
                <w:szCs w:val="18"/>
              </w:rPr>
              <w:t>851 733</w:t>
            </w:r>
          </w:p>
        </w:tc>
        <w:tc>
          <w:tcPr>
            <w:tcW w:w="1328" w:type="pct"/>
            <w:tcBorders>
              <w:top w:val="nil"/>
              <w:left w:val="nil"/>
              <w:bottom w:val="nil"/>
              <w:right w:val="nil"/>
            </w:tcBorders>
            <w:shd w:val="clear" w:color="000000" w:fill="FFFFFF"/>
            <w:noWrap/>
            <w:vAlign w:val="center"/>
            <w:hideMark/>
          </w:tcPr>
          <w:p w14:paraId="5881DAD1" w14:textId="77777777" w:rsidR="004D69BF" w:rsidRPr="00D0395E" w:rsidRDefault="004D69BF" w:rsidP="000240DA">
            <w:pPr>
              <w:spacing w:line="240" w:lineRule="auto"/>
              <w:jc w:val="center"/>
              <w:rPr>
                <w:color w:val="000000"/>
                <w:sz w:val="18"/>
                <w:szCs w:val="18"/>
              </w:rPr>
            </w:pPr>
            <w:r w:rsidRPr="00D0395E">
              <w:rPr>
                <w:color w:val="000000"/>
                <w:sz w:val="18"/>
                <w:szCs w:val="18"/>
              </w:rPr>
              <w:t>1 275 210</w:t>
            </w:r>
          </w:p>
        </w:tc>
      </w:tr>
      <w:tr w:rsidR="004D69BF" w:rsidRPr="00D0395E" w14:paraId="18C05324" w14:textId="77777777" w:rsidTr="001D2C2C">
        <w:trPr>
          <w:trHeight w:val="330"/>
        </w:trPr>
        <w:tc>
          <w:tcPr>
            <w:tcW w:w="1016" w:type="pct"/>
            <w:tcBorders>
              <w:top w:val="nil"/>
              <w:left w:val="nil"/>
              <w:bottom w:val="nil"/>
              <w:right w:val="nil"/>
            </w:tcBorders>
            <w:shd w:val="clear" w:color="000000" w:fill="FFFFFF"/>
            <w:vAlign w:val="center"/>
            <w:hideMark/>
          </w:tcPr>
          <w:p w14:paraId="0BD9CA3B" w14:textId="77777777" w:rsidR="004D69BF" w:rsidRPr="00D0395E" w:rsidRDefault="004D69BF" w:rsidP="000240DA">
            <w:pPr>
              <w:spacing w:line="240" w:lineRule="auto"/>
              <w:jc w:val="center"/>
              <w:rPr>
                <w:color w:val="000000"/>
                <w:sz w:val="18"/>
                <w:szCs w:val="18"/>
              </w:rPr>
            </w:pPr>
            <w:r w:rsidRPr="00D0395E">
              <w:rPr>
                <w:color w:val="000000"/>
                <w:sz w:val="18"/>
                <w:szCs w:val="18"/>
              </w:rPr>
              <w:t>2020</w:t>
            </w:r>
          </w:p>
        </w:tc>
        <w:tc>
          <w:tcPr>
            <w:tcW w:w="1328" w:type="pct"/>
            <w:tcBorders>
              <w:top w:val="nil"/>
              <w:left w:val="nil"/>
              <w:bottom w:val="nil"/>
              <w:right w:val="nil"/>
            </w:tcBorders>
            <w:shd w:val="clear" w:color="000000" w:fill="FFFFFF"/>
            <w:noWrap/>
            <w:vAlign w:val="center"/>
            <w:hideMark/>
          </w:tcPr>
          <w:p w14:paraId="3D2FEC89" w14:textId="77777777" w:rsidR="004D69BF" w:rsidRPr="00D0395E" w:rsidRDefault="004D69BF" w:rsidP="000240DA">
            <w:pPr>
              <w:spacing w:line="240" w:lineRule="auto"/>
              <w:jc w:val="center"/>
              <w:rPr>
                <w:color w:val="000000"/>
                <w:sz w:val="18"/>
                <w:szCs w:val="18"/>
              </w:rPr>
            </w:pPr>
            <w:r w:rsidRPr="00D0395E">
              <w:rPr>
                <w:color w:val="000000"/>
                <w:sz w:val="18"/>
                <w:szCs w:val="18"/>
              </w:rPr>
              <w:t>2 551 360</w:t>
            </w:r>
          </w:p>
        </w:tc>
        <w:tc>
          <w:tcPr>
            <w:tcW w:w="1328" w:type="pct"/>
            <w:tcBorders>
              <w:top w:val="nil"/>
              <w:left w:val="nil"/>
              <w:bottom w:val="nil"/>
              <w:right w:val="nil"/>
            </w:tcBorders>
            <w:shd w:val="clear" w:color="000000" w:fill="FFFFFF"/>
            <w:noWrap/>
            <w:vAlign w:val="center"/>
            <w:hideMark/>
          </w:tcPr>
          <w:p w14:paraId="729218F6" w14:textId="77777777" w:rsidR="004D69BF" w:rsidRPr="00D0395E" w:rsidRDefault="004D69BF" w:rsidP="000240DA">
            <w:pPr>
              <w:spacing w:line="240" w:lineRule="auto"/>
              <w:jc w:val="center"/>
              <w:rPr>
                <w:color w:val="000000"/>
                <w:sz w:val="18"/>
                <w:szCs w:val="18"/>
              </w:rPr>
            </w:pPr>
            <w:r w:rsidRPr="00D0395E">
              <w:rPr>
                <w:color w:val="000000"/>
                <w:sz w:val="18"/>
                <w:szCs w:val="18"/>
              </w:rPr>
              <w:t>974 126</w:t>
            </w:r>
          </w:p>
        </w:tc>
        <w:tc>
          <w:tcPr>
            <w:tcW w:w="1328" w:type="pct"/>
            <w:tcBorders>
              <w:top w:val="nil"/>
              <w:left w:val="nil"/>
              <w:bottom w:val="nil"/>
              <w:right w:val="nil"/>
            </w:tcBorders>
            <w:shd w:val="clear" w:color="000000" w:fill="FFFFFF"/>
            <w:noWrap/>
            <w:vAlign w:val="center"/>
            <w:hideMark/>
          </w:tcPr>
          <w:p w14:paraId="69D4835C" w14:textId="77777777" w:rsidR="004D69BF" w:rsidRPr="00D0395E" w:rsidRDefault="004D69BF" w:rsidP="000240DA">
            <w:pPr>
              <w:spacing w:line="240" w:lineRule="auto"/>
              <w:jc w:val="center"/>
              <w:rPr>
                <w:color w:val="000000"/>
                <w:sz w:val="18"/>
                <w:szCs w:val="18"/>
              </w:rPr>
            </w:pPr>
            <w:r w:rsidRPr="00D0395E">
              <w:rPr>
                <w:color w:val="000000"/>
                <w:sz w:val="18"/>
                <w:szCs w:val="18"/>
              </w:rPr>
              <w:t>1 577 234</w:t>
            </w:r>
          </w:p>
        </w:tc>
      </w:tr>
      <w:tr w:rsidR="004D69BF" w:rsidRPr="00D0395E" w14:paraId="7343DE0B" w14:textId="77777777" w:rsidTr="001D2C2C">
        <w:trPr>
          <w:trHeight w:val="330"/>
        </w:trPr>
        <w:tc>
          <w:tcPr>
            <w:tcW w:w="1016" w:type="pct"/>
            <w:tcBorders>
              <w:top w:val="nil"/>
              <w:left w:val="nil"/>
              <w:bottom w:val="nil"/>
              <w:right w:val="nil"/>
            </w:tcBorders>
            <w:shd w:val="clear" w:color="000000" w:fill="FFFFFF"/>
            <w:vAlign w:val="center"/>
            <w:hideMark/>
          </w:tcPr>
          <w:p w14:paraId="25424314" w14:textId="77777777" w:rsidR="004D69BF" w:rsidRPr="00D0395E" w:rsidRDefault="004D69BF" w:rsidP="000240DA">
            <w:pPr>
              <w:spacing w:line="240" w:lineRule="auto"/>
              <w:jc w:val="center"/>
              <w:rPr>
                <w:color w:val="000000"/>
                <w:sz w:val="18"/>
                <w:szCs w:val="18"/>
              </w:rPr>
            </w:pPr>
            <w:r w:rsidRPr="00D0395E">
              <w:rPr>
                <w:color w:val="000000"/>
                <w:sz w:val="18"/>
                <w:szCs w:val="18"/>
              </w:rPr>
              <w:t>2021</w:t>
            </w:r>
          </w:p>
        </w:tc>
        <w:tc>
          <w:tcPr>
            <w:tcW w:w="1328" w:type="pct"/>
            <w:tcBorders>
              <w:top w:val="nil"/>
              <w:left w:val="nil"/>
              <w:bottom w:val="nil"/>
              <w:right w:val="nil"/>
            </w:tcBorders>
            <w:shd w:val="clear" w:color="000000" w:fill="FFFFFF"/>
            <w:noWrap/>
            <w:vAlign w:val="center"/>
            <w:hideMark/>
          </w:tcPr>
          <w:p w14:paraId="7A14162D" w14:textId="77777777" w:rsidR="004D69BF" w:rsidRPr="00D0395E" w:rsidRDefault="004D69BF" w:rsidP="000240DA">
            <w:pPr>
              <w:spacing w:line="240" w:lineRule="auto"/>
              <w:jc w:val="center"/>
              <w:rPr>
                <w:color w:val="000000"/>
                <w:sz w:val="18"/>
                <w:szCs w:val="18"/>
              </w:rPr>
            </w:pPr>
            <w:r w:rsidRPr="00D0395E">
              <w:rPr>
                <w:color w:val="000000"/>
                <w:sz w:val="18"/>
                <w:szCs w:val="18"/>
              </w:rPr>
              <w:t>2 273 990</w:t>
            </w:r>
          </w:p>
        </w:tc>
        <w:tc>
          <w:tcPr>
            <w:tcW w:w="1328" w:type="pct"/>
            <w:tcBorders>
              <w:top w:val="nil"/>
              <w:left w:val="nil"/>
              <w:bottom w:val="nil"/>
              <w:right w:val="nil"/>
            </w:tcBorders>
            <w:shd w:val="clear" w:color="000000" w:fill="FFFFFF"/>
            <w:noWrap/>
            <w:vAlign w:val="center"/>
            <w:hideMark/>
          </w:tcPr>
          <w:p w14:paraId="6FA3BA39" w14:textId="77777777" w:rsidR="004D69BF" w:rsidRPr="00D0395E" w:rsidRDefault="004D69BF" w:rsidP="000240DA">
            <w:pPr>
              <w:spacing w:line="240" w:lineRule="auto"/>
              <w:jc w:val="center"/>
              <w:rPr>
                <w:color w:val="000000"/>
                <w:sz w:val="18"/>
                <w:szCs w:val="18"/>
              </w:rPr>
            </w:pPr>
            <w:r w:rsidRPr="00D0395E">
              <w:rPr>
                <w:color w:val="000000"/>
                <w:sz w:val="18"/>
                <w:szCs w:val="18"/>
              </w:rPr>
              <w:t>1 354 647</w:t>
            </w:r>
          </w:p>
        </w:tc>
        <w:tc>
          <w:tcPr>
            <w:tcW w:w="1328" w:type="pct"/>
            <w:tcBorders>
              <w:top w:val="nil"/>
              <w:left w:val="nil"/>
              <w:bottom w:val="nil"/>
              <w:right w:val="nil"/>
            </w:tcBorders>
            <w:shd w:val="clear" w:color="000000" w:fill="FFFFFF"/>
            <w:noWrap/>
            <w:vAlign w:val="center"/>
            <w:hideMark/>
          </w:tcPr>
          <w:p w14:paraId="772C22E7" w14:textId="77777777" w:rsidR="004D69BF" w:rsidRPr="00D0395E" w:rsidRDefault="004D69BF" w:rsidP="000240DA">
            <w:pPr>
              <w:spacing w:line="240" w:lineRule="auto"/>
              <w:jc w:val="center"/>
              <w:rPr>
                <w:color w:val="000000"/>
                <w:sz w:val="18"/>
                <w:szCs w:val="18"/>
              </w:rPr>
            </w:pPr>
            <w:r w:rsidRPr="00D0395E">
              <w:rPr>
                <w:color w:val="000000"/>
                <w:sz w:val="18"/>
                <w:szCs w:val="18"/>
              </w:rPr>
              <w:t>919 343</w:t>
            </w:r>
          </w:p>
        </w:tc>
      </w:tr>
      <w:tr w:rsidR="004D69BF" w:rsidRPr="00D0395E" w14:paraId="207BA1D6" w14:textId="77777777" w:rsidTr="001D2C2C">
        <w:trPr>
          <w:trHeight w:val="330"/>
        </w:trPr>
        <w:tc>
          <w:tcPr>
            <w:tcW w:w="1016" w:type="pct"/>
            <w:tcBorders>
              <w:top w:val="nil"/>
              <w:left w:val="nil"/>
              <w:bottom w:val="nil"/>
              <w:right w:val="nil"/>
            </w:tcBorders>
            <w:shd w:val="clear" w:color="000000" w:fill="FFFFFF"/>
            <w:vAlign w:val="center"/>
            <w:hideMark/>
          </w:tcPr>
          <w:p w14:paraId="0DAA3C04" w14:textId="77777777" w:rsidR="004D69BF" w:rsidRPr="00D0395E" w:rsidRDefault="004D69BF" w:rsidP="000240DA">
            <w:pPr>
              <w:spacing w:line="240" w:lineRule="auto"/>
              <w:jc w:val="center"/>
              <w:rPr>
                <w:color w:val="000000"/>
                <w:sz w:val="18"/>
                <w:szCs w:val="18"/>
              </w:rPr>
            </w:pPr>
            <w:r w:rsidRPr="00D0395E">
              <w:rPr>
                <w:color w:val="000000"/>
                <w:sz w:val="18"/>
                <w:szCs w:val="18"/>
              </w:rPr>
              <w:t>2022</w:t>
            </w:r>
          </w:p>
        </w:tc>
        <w:tc>
          <w:tcPr>
            <w:tcW w:w="1328" w:type="pct"/>
            <w:tcBorders>
              <w:top w:val="nil"/>
              <w:left w:val="nil"/>
              <w:bottom w:val="nil"/>
              <w:right w:val="nil"/>
            </w:tcBorders>
            <w:shd w:val="clear" w:color="000000" w:fill="FFFFFF"/>
            <w:noWrap/>
            <w:vAlign w:val="center"/>
            <w:hideMark/>
          </w:tcPr>
          <w:p w14:paraId="56CD2E35" w14:textId="77777777" w:rsidR="004D69BF" w:rsidRPr="00D0395E" w:rsidRDefault="004D69BF" w:rsidP="000240DA">
            <w:pPr>
              <w:spacing w:line="240" w:lineRule="auto"/>
              <w:jc w:val="center"/>
              <w:rPr>
                <w:color w:val="000000"/>
                <w:sz w:val="18"/>
                <w:szCs w:val="18"/>
              </w:rPr>
            </w:pPr>
            <w:r w:rsidRPr="00D0395E">
              <w:rPr>
                <w:color w:val="000000"/>
                <w:sz w:val="18"/>
                <w:szCs w:val="18"/>
              </w:rPr>
              <w:t>2 187 702</w:t>
            </w:r>
          </w:p>
        </w:tc>
        <w:tc>
          <w:tcPr>
            <w:tcW w:w="1328" w:type="pct"/>
            <w:tcBorders>
              <w:top w:val="nil"/>
              <w:left w:val="nil"/>
              <w:bottom w:val="nil"/>
              <w:right w:val="nil"/>
            </w:tcBorders>
            <w:shd w:val="clear" w:color="000000" w:fill="FFFFFF"/>
            <w:noWrap/>
            <w:vAlign w:val="center"/>
            <w:hideMark/>
          </w:tcPr>
          <w:p w14:paraId="18728F68" w14:textId="77777777" w:rsidR="004D69BF" w:rsidRPr="00D0395E" w:rsidRDefault="004D69BF" w:rsidP="000240DA">
            <w:pPr>
              <w:spacing w:line="240" w:lineRule="auto"/>
              <w:jc w:val="center"/>
              <w:rPr>
                <w:color w:val="000000"/>
                <w:sz w:val="18"/>
                <w:szCs w:val="18"/>
              </w:rPr>
            </w:pPr>
            <w:r w:rsidRPr="00D0395E">
              <w:rPr>
                <w:color w:val="000000"/>
                <w:sz w:val="18"/>
                <w:szCs w:val="18"/>
              </w:rPr>
              <w:t>1 070 208</w:t>
            </w:r>
          </w:p>
        </w:tc>
        <w:tc>
          <w:tcPr>
            <w:tcW w:w="1328" w:type="pct"/>
            <w:tcBorders>
              <w:top w:val="nil"/>
              <w:left w:val="nil"/>
              <w:bottom w:val="nil"/>
              <w:right w:val="nil"/>
            </w:tcBorders>
            <w:shd w:val="clear" w:color="000000" w:fill="FFFFFF"/>
            <w:noWrap/>
            <w:vAlign w:val="center"/>
            <w:hideMark/>
          </w:tcPr>
          <w:p w14:paraId="7DF44EB0" w14:textId="77777777" w:rsidR="004D69BF" w:rsidRPr="00D0395E" w:rsidRDefault="004D69BF" w:rsidP="000240DA">
            <w:pPr>
              <w:spacing w:line="240" w:lineRule="auto"/>
              <w:jc w:val="center"/>
              <w:rPr>
                <w:color w:val="000000"/>
                <w:sz w:val="18"/>
                <w:szCs w:val="18"/>
              </w:rPr>
            </w:pPr>
            <w:r w:rsidRPr="00D0395E">
              <w:rPr>
                <w:color w:val="000000"/>
                <w:sz w:val="18"/>
                <w:szCs w:val="18"/>
              </w:rPr>
              <w:t>1 117 494</w:t>
            </w:r>
          </w:p>
        </w:tc>
      </w:tr>
      <w:tr w:rsidR="004D69BF" w:rsidRPr="00D0395E" w14:paraId="15DD30B1" w14:textId="77777777" w:rsidTr="001D2C2C">
        <w:trPr>
          <w:trHeight w:val="330"/>
        </w:trPr>
        <w:tc>
          <w:tcPr>
            <w:tcW w:w="1016" w:type="pct"/>
            <w:tcBorders>
              <w:top w:val="nil"/>
              <w:left w:val="nil"/>
              <w:bottom w:val="nil"/>
              <w:right w:val="nil"/>
            </w:tcBorders>
            <w:shd w:val="clear" w:color="000000" w:fill="FFFFFF"/>
            <w:vAlign w:val="center"/>
            <w:hideMark/>
          </w:tcPr>
          <w:p w14:paraId="41FC57CC" w14:textId="77777777" w:rsidR="004D69BF" w:rsidRPr="00D0395E" w:rsidRDefault="004D69BF" w:rsidP="000240DA">
            <w:pPr>
              <w:spacing w:line="240" w:lineRule="auto"/>
              <w:jc w:val="center"/>
              <w:rPr>
                <w:color w:val="000000"/>
                <w:sz w:val="18"/>
                <w:szCs w:val="18"/>
              </w:rPr>
            </w:pPr>
            <w:r w:rsidRPr="00D0395E">
              <w:rPr>
                <w:color w:val="000000"/>
                <w:sz w:val="18"/>
                <w:szCs w:val="18"/>
              </w:rPr>
              <w:t>2023</w:t>
            </w:r>
          </w:p>
        </w:tc>
        <w:tc>
          <w:tcPr>
            <w:tcW w:w="1328" w:type="pct"/>
            <w:tcBorders>
              <w:top w:val="nil"/>
              <w:left w:val="nil"/>
              <w:bottom w:val="nil"/>
              <w:right w:val="nil"/>
            </w:tcBorders>
            <w:shd w:val="clear" w:color="000000" w:fill="FFFFFF"/>
            <w:noWrap/>
            <w:vAlign w:val="center"/>
            <w:hideMark/>
          </w:tcPr>
          <w:p w14:paraId="08C10AC6" w14:textId="77777777" w:rsidR="004D69BF" w:rsidRPr="00D0395E" w:rsidRDefault="004D69BF" w:rsidP="000240DA">
            <w:pPr>
              <w:spacing w:line="240" w:lineRule="auto"/>
              <w:jc w:val="center"/>
              <w:rPr>
                <w:color w:val="000000"/>
                <w:sz w:val="18"/>
                <w:szCs w:val="18"/>
              </w:rPr>
            </w:pPr>
            <w:r w:rsidRPr="00D0395E">
              <w:rPr>
                <w:color w:val="000000"/>
                <w:sz w:val="18"/>
                <w:szCs w:val="18"/>
              </w:rPr>
              <w:t>4 509 274</w:t>
            </w:r>
          </w:p>
        </w:tc>
        <w:tc>
          <w:tcPr>
            <w:tcW w:w="1328" w:type="pct"/>
            <w:tcBorders>
              <w:top w:val="nil"/>
              <w:left w:val="nil"/>
              <w:bottom w:val="nil"/>
              <w:right w:val="nil"/>
            </w:tcBorders>
            <w:shd w:val="clear" w:color="000000" w:fill="FFFFFF"/>
            <w:noWrap/>
            <w:vAlign w:val="center"/>
            <w:hideMark/>
          </w:tcPr>
          <w:p w14:paraId="70C7035A" w14:textId="77777777" w:rsidR="004D69BF" w:rsidRPr="00D0395E" w:rsidRDefault="004D69BF" w:rsidP="000240DA">
            <w:pPr>
              <w:spacing w:line="240" w:lineRule="auto"/>
              <w:jc w:val="center"/>
              <w:rPr>
                <w:color w:val="000000"/>
                <w:sz w:val="18"/>
                <w:szCs w:val="18"/>
              </w:rPr>
            </w:pPr>
            <w:r w:rsidRPr="00D0395E">
              <w:rPr>
                <w:color w:val="000000"/>
                <w:sz w:val="18"/>
                <w:szCs w:val="18"/>
              </w:rPr>
              <w:t>1 064 838</w:t>
            </w:r>
          </w:p>
        </w:tc>
        <w:tc>
          <w:tcPr>
            <w:tcW w:w="1328" w:type="pct"/>
            <w:tcBorders>
              <w:top w:val="nil"/>
              <w:left w:val="nil"/>
              <w:bottom w:val="nil"/>
              <w:right w:val="nil"/>
            </w:tcBorders>
            <w:shd w:val="clear" w:color="000000" w:fill="FFFFFF"/>
            <w:noWrap/>
            <w:vAlign w:val="center"/>
            <w:hideMark/>
          </w:tcPr>
          <w:p w14:paraId="1DD88118" w14:textId="77777777" w:rsidR="004D69BF" w:rsidRPr="00D0395E" w:rsidRDefault="004D69BF" w:rsidP="000240DA">
            <w:pPr>
              <w:spacing w:line="240" w:lineRule="auto"/>
              <w:jc w:val="center"/>
              <w:rPr>
                <w:color w:val="000000"/>
                <w:sz w:val="18"/>
                <w:szCs w:val="18"/>
              </w:rPr>
            </w:pPr>
            <w:r w:rsidRPr="00D0395E">
              <w:rPr>
                <w:color w:val="000000"/>
                <w:sz w:val="18"/>
                <w:szCs w:val="18"/>
              </w:rPr>
              <w:t>3 444 436</w:t>
            </w:r>
          </w:p>
        </w:tc>
      </w:tr>
      <w:tr w:rsidR="004D69BF" w:rsidRPr="00D0395E" w14:paraId="7F49F2EF" w14:textId="77777777" w:rsidTr="001D2C2C">
        <w:trPr>
          <w:trHeight w:val="330"/>
        </w:trPr>
        <w:tc>
          <w:tcPr>
            <w:tcW w:w="1016" w:type="pct"/>
            <w:tcBorders>
              <w:top w:val="nil"/>
              <w:left w:val="nil"/>
              <w:bottom w:val="single" w:sz="4" w:space="0" w:color="auto"/>
              <w:right w:val="nil"/>
            </w:tcBorders>
            <w:shd w:val="clear" w:color="000000" w:fill="FFFFFF"/>
            <w:vAlign w:val="center"/>
            <w:hideMark/>
          </w:tcPr>
          <w:p w14:paraId="61A1A7E7" w14:textId="77777777" w:rsidR="004D69BF" w:rsidRPr="00D0395E" w:rsidRDefault="004D69BF" w:rsidP="000240DA">
            <w:pPr>
              <w:spacing w:line="240" w:lineRule="auto"/>
              <w:jc w:val="center"/>
              <w:rPr>
                <w:color w:val="000000"/>
                <w:sz w:val="18"/>
                <w:szCs w:val="18"/>
              </w:rPr>
            </w:pPr>
            <w:r w:rsidRPr="00D0395E">
              <w:rPr>
                <w:color w:val="000000"/>
                <w:sz w:val="18"/>
                <w:szCs w:val="18"/>
              </w:rPr>
              <w:t>2024</w:t>
            </w:r>
          </w:p>
        </w:tc>
        <w:tc>
          <w:tcPr>
            <w:tcW w:w="1328" w:type="pct"/>
            <w:tcBorders>
              <w:top w:val="nil"/>
              <w:left w:val="nil"/>
              <w:bottom w:val="single" w:sz="4" w:space="0" w:color="auto"/>
              <w:right w:val="nil"/>
            </w:tcBorders>
            <w:shd w:val="clear" w:color="000000" w:fill="FFFFFF"/>
            <w:noWrap/>
            <w:vAlign w:val="center"/>
            <w:hideMark/>
          </w:tcPr>
          <w:p w14:paraId="11B32C33" w14:textId="77777777" w:rsidR="004D69BF" w:rsidRPr="00D0395E" w:rsidRDefault="004D69BF" w:rsidP="000240DA">
            <w:pPr>
              <w:spacing w:line="240" w:lineRule="auto"/>
              <w:jc w:val="center"/>
              <w:rPr>
                <w:color w:val="000000"/>
                <w:sz w:val="18"/>
                <w:szCs w:val="18"/>
              </w:rPr>
            </w:pPr>
            <w:r w:rsidRPr="00D0395E">
              <w:rPr>
                <w:color w:val="000000"/>
                <w:sz w:val="18"/>
                <w:szCs w:val="18"/>
              </w:rPr>
              <w:t>4 132 691</w:t>
            </w:r>
          </w:p>
        </w:tc>
        <w:tc>
          <w:tcPr>
            <w:tcW w:w="1328" w:type="pct"/>
            <w:tcBorders>
              <w:top w:val="nil"/>
              <w:left w:val="nil"/>
              <w:bottom w:val="single" w:sz="4" w:space="0" w:color="auto"/>
              <w:right w:val="nil"/>
            </w:tcBorders>
            <w:shd w:val="clear" w:color="000000" w:fill="FFFFFF"/>
            <w:noWrap/>
            <w:vAlign w:val="center"/>
            <w:hideMark/>
          </w:tcPr>
          <w:p w14:paraId="21B36DDB" w14:textId="77777777" w:rsidR="004D69BF" w:rsidRPr="00D0395E" w:rsidRDefault="004D69BF" w:rsidP="000240DA">
            <w:pPr>
              <w:spacing w:line="240" w:lineRule="auto"/>
              <w:jc w:val="center"/>
              <w:rPr>
                <w:color w:val="000000"/>
                <w:sz w:val="18"/>
                <w:szCs w:val="18"/>
              </w:rPr>
            </w:pPr>
            <w:r w:rsidRPr="00D0395E">
              <w:rPr>
                <w:color w:val="000000"/>
                <w:sz w:val="18"/>
                <w:szCs w:val="18"/>
              </w:rPr>
              <w:t>941 695</w:t>
            </w:r>
          </w:p>
        </w:tc>
        <w:tc>
          <w:tcPr>
            <w:tcW w:w="1328" w:type="pct"/>
            <w:tcBorders>
              <w:top w:val="nil"/>
              <w:left w:val="nil"/>
              <w:bottom w:val="single" w:sz="4" w:space="0" w:color="auto"/>
              <w:right w:val="nil"/>
            </w:tcBorders>
            <w:shd w:val="clear" w:color="000000" w:fill="FFFFFF"/>
            <w:noWrap/>
            <w:vAlign w:val="center"/>
            <w:hideMark/>
          </w:tcPr>
          <w:p w14:paraId="7B8A2F6A" w14:textId="77777777" w:rsidR="004D69BF" w:rsidRPr="00D0395E" w:rsidRDefault="004D69BF" w:rsidP="000240DA">
            <w:pPr>
              <w:spacing w:line="240" w:lineRule="auto"/>
              <w:jc w:val="center"/>
              <w:rPr>
                <w:color w:val="000000"/>
                <w:sz w:val="18"/>
                <w:szCs w:val="18"/>
              </w:rPr>
            </w:pPr>
            <w:r w:rsidRPr="00D0395E">
              <w:rPr>
                <w:color w:val="000000"/>
                <w:sz w:val="18"/>
                <w:szCs w:val="18"/>
              </w:rPr>
              <w:t>3 190 996</w:t>
            </w:r>
          </w:p>
        </w:tc>
      </w:tr>
      <w:tr w:rsidR="004D69BF" w:rsidRPr="00D0395E" w14:paraId="56C069E6" w14:textId="77777777" w:rsidTr="001D2C2C">
        <w:trPr>
          <w:trHeight w:val="345"/>
        </w:trPr>
        <w:tc>
          <w:tcPr>
            <w:tcW w:w="1016" w:type="pct"/>
            <w:tcBorders>
              <w:top w:val="single" w:sz="4" w:space="0" w:color="auto"/>
              <w:left w:val="nil"/>
              <w:bottom w:val="single" w:sz="4" w:space="0" w:color="auto"/>
              <w:right w:val="nil"/>
            </w:tcBorders>
            <w:shd w:val="clear" w:color="000000" w:fill="FFFFFF"/>
            <w:vAlign w:val="center"/>
            <w:hideMark/>
          </w:tcPr>
          <w:p w14:paraId="52F9BDB9" w14:textId="77777777" w:rsidR="004D69BF" w:rsidRPr="00D0395E" w:rsidRDefault="004D69BF" w:rsidP="000240DA">
            <w:pPr>
              <w:spacing w:line="240" w:lineRule="auto"/>
              <w:jc w:val="center"/>
              <w:rPr>
                <w:b/>
                <w:bCs/>
                <w:color w:val="000000"/>
                <w:sz w:val="18"/>
                <w:szCs w:val="18"/>
              </w:rPr>
            </w:pPr>
            <w:r w:rsidRPr="00D0395E">
              <w:rPr>
                <w:b/>
                <w:bCs/>
                <w:color w:val="000000"/>
                <w:sz w:val="18"/>
                <w:szCs w:val="18"/>
              </w:rPr>
              <w:t>Spolu</w:t>
            </w:r>
          </w:p>
        </w:tc>
        <w:tc>
          <w:tcPr>
            <w:tcW w:w="1328" w:type="pct"/>
            <w:tcBorders>
              <w:top w:val="single" w:sz="4" w:space="0" w:color="auto"/>
              <w:left w:val="nil"/>
              <w:bottom w:val="single" w:sz="4" w:space="0" w:color="auto"/>
              <w:right w:val="nil"/>
            </w:tcBorders>
            <w:shd w:val="clear" w:color="000000" w:fill="FFFFFF"/>
            <w:noWrap/>
            <w:vAlign w:val="center"/>
            <w:hideMark/>
          </w:tcPr>
          <w:p w14:paraId="51F048A2" w14:textId="77777777" w:rsidR="004D69BF" w:rsidRPr="00D0395E" w:rsidRDefault="004D69BF" w:rsidP="000240DA">
            <w:pPr>
              <w:spacing w:line="240" w:lineRule="auto"/>
              <w:jc w:val="center"/>
              <w:rPr>
                <w:b/>
                <w:bCs/>
                <w:color w:val="000000"/>
                <w:sz w:val="18"/>
                <w:szCs w:val="18"/>
              </w:rPr>
            </w:pPr>
            <w:r w:rsidRPr="00D0395E">
              <w:rPr>
                <w:b/>
                <w:bCs/>
                <w:color w:val="000000"/>
                <w:sz w:val="18"/>
                <w:szCs w:val="18"/>
              </w:rPr>
              <w:t>41 742 092</w:t>
            </w:r>
          </w:p>
        </w:tc>
        <w:tc>
          <w:tcPr>
            <w:tcW w:w="1328" w:type="pct"/>
            <w:tcBorders>
              <w:top w:val="single" w:sz="4" w:space="0" w:color="auto"/>
              <w:left w:val="nil"/>
              <w:bottom w:val="single" w:sz="4" w:space="0" w:color="auto"/>
              <w:right w:val="nil"/>
            </w:tcBorders>
            <w:shd w:val="clear" w:color="000000" w:fill="FFFFFF"/>
            <w:noWrap/>
            <w:vAlign w:val="center"/>
            <w:hideMark/>
          </w:tcPr>
          <w:p w14:paraId="0A1F544F" w14:textId="77777777" w:rsidR="004D69BF" w:rsidRPr="00D0395E" w:rsidRDefault="004D69BF" w:rsidP="000240DA">
            <w:pPr>
              <w:spacing w:line="240" w:lineRule="auto"/>
              <w:jc w:val="center"/>
              <w:rPr>
                <w:b/>
                <w:bCs/>
                <w:color w:val="000000"/>
                <w:sz w:val="18"/>
                <w:szCs w:val="18"/>
              </w:rPr>
            </w:pPr>
            <w:r w:rsidRPr="00D0395E">
              <w:rPr>
                <w:b/>
                <w:bCs/>
                <w:color w:val="000000"/>
                <w:sz w:val="18"/>
                <w:szCs w:val="18"/>
              </w:rPr>
              <w:t>16 169 033</w:t>
            </w:r>
          </w:p>
        </w:tc>
        <w:tc>
          <w:tcPr>
            <w:tcW w:w="1328" w:type="pct"/>
            <w:tcBorders>
              <w:top w:val="single" w:sz="4" w:space="0" w:color="auto"/>
              <w:left w:val="nil"/>
              <w:bottom w:val="single" w:sz="4" w:space="0" w:color="auto"/>
              <w:right w:val="nil"/>
            </w:tcBorders>
            <w:shd w:val="clear" w:color="000000" w:fill="FFFFFF"/>
            <w:noWrap/>
            <w:vAlign w:val="center"/>
            <w:hideMark/>
          </w:tcPr>
          <w:p w14:paraId="6EF20BED" w14:textId="77777777" w:rsidR="004D69BF" w:rsidRPr="00D0395E" w:rsidRDefault="004D69BF" w:rsidP="000240DA">
            <w:pPr>
              <w:spacing w:line="240" w:lineRule="auto"/>
              <w:jc w:val="center"/>
              <w:rPr>
                <w:b/>
                <w:bCs/>
                <w:color w:val="000000"/>
                <w:sz w:val="18"/>
                <w:szCs w:val="18"/>
              </w:rPr>
            </w:pPr>
            <w:r w:rsidRPr="00D0395E">
              <w:rPr>
                <w:b/>
                <w:bCs/>
                <w:color w:val="000000"/>
                <w:sz w:val="18"/>
                <w:szCs w:val="18"/>
              </w:rPr>
              <w:t>25 573 059</w:t>
            </w:r>
          </w:p>
        </w:tc>
      </w:tr>
    </w:tbl>
    <w:p w14:paraId="0E346BC1" w14:textId="1A0B7C19" w:rsidR="00D0395E" w:rsidRPr="00D0395E" w:rsidRDefault="00D0395E" w:rsidP="00FE302E">
      <w:pPr>
        <w:spacing w:line="240" w:lineRule="auto"/>
        <w:ind w:left="7650"/>
        <w:rPr>
          <w:sz w:val="18"/>
          <w:szCs w:val="18"/>
        </w:rPr>
      </w:pPr>
      <w:r w:rsidRPr="00D0395E">
        <w:rPr>
          <w:sz w:val="18"/>
          <w:szCs w:val="18"/>
        </w:rPr>
        <w:t>Zdroj: MF SR</w:t>
      </w:r>
    </w:p>
    <w:p w14:paraId="2CBA1936" w14:textId="2854B999" w:rsidR="0066704D" w:rsidRDefault="004D69BF" w:rsidP="00B733F4">
      <w:pPr>
        <w:spacing w:line="240" w:lineRule="auto"/>
        <w:rPr>
          <w:rFonts w:eastAsiaTheme="majorEastAsia" w:cstheme="majorBidi"/>
          <w:b/>
          <w:sz w:val="24"/>
          <w:szCs w:val="26"/>
        </w:rPr>
      </w:pPr>
      <w:r w:rsidRPr="00F34BAA">
        <w:rPr>
          <w:sz w:val="24"/>
          <w:szCs w:val="24"/>
        </w:rPr>
        <w:t>Za obdobie od</w:t>
      </w:r>
      <w:r w:rsidRPr="00F34BAA">
        <w:rPr>
          <w:b/>
          <w:sz w:val="24"/>
          <w:szCs w:val="24"/>
        </w:rPr>
        <w:t xml:space="preserve"> </w:t>
      </w:r>
      <w:r w:rsidRPr="00F34BAA">
        <w:rPr>
          <w:sz w:val="24"/>
          <w:szCs w:val="24"/>
        </w:rPr>
        <w:t>vstupu Slovenskej republiky do EÚ</w:t>
      </w:r>
      <w:r w:rsidRPr="00F34BAA">
        <w:rPr>
          <w:b/>
          <w:sz w:val="24"/>
          <w:szCs w:val="24"/>
        </w:rPr>
        <w:t xml:space="preserve"> </w:t>
      </w:r>
      <w:r w:rsidRPr="00F34BAA">
        <w:rPr>
          <w:sz w:val="24"/>
          <w:szCs w:val="24"/>
        </w:rPr>
        <w:t>boli celkovo</w:t>
      </w:r>
      <w:r w:rsidRPr="00F34BAA">
        <w:rPr>
          <w:b/>
          <w:sz w:val="24"/>
          <w:szCs w:val="24"/>
        </w:rPr>
        <w:t xml:space="preserve"> </w:t>
      </w:r>
      <w:r w:rsidRPr="00F34BAA">
        <w:rPr>
          <w:sz w:val="24"/>
          <w:szCs w:val="24"/>
        </w:rPr>
        <w:t xml:space="preserve">do rozpočtu Slovenskej republiky prijaté príjmy z EÚ vo výške </w:t>
      </w:r>
      <w:r w:rsidRPr="00F34BAA">
        <w:rPr>
          <w:b/>
          <w:bCs/>
          <w:sz w:val="24"/>
          <w:szCs w:val="24"/>
        </w:rPr>
        <w:t>41 742</w:t>
      </w:r>
      <w:r w:rsidR="003A0C92">
        <w:rPr>
          <w:b/>
          <w:bCs/>
          <w:sz w:val="24"/>
          <w:szCs w:val="24"/>
        </w:rPr>
        <w:t> </w:t>
      </w:r>
      <w:r w:rsidRPr="00F34BAA">
        <w:rPr>
          <w:b/>
          <w:bCs/>
          <w:sz w:val="24"/>
          <w:szCs w:val="24"/>
        </w:rPr>
        <w:t>092</w:t>
      </w:r>
      <w:r w:rsidR="003A0C92">
        <w:rPr>
          <w:b/>
          <w:bCs/>
          <w:sz w:val="24"/>
          <w:szCs w:val="24"/>
        </w:rPr>
        <w:t> </w:t>
      </w:r>
      <w:r w:rsidRPr="00F34BAA">
        <w:rPr>
          <w:b/>
          <w:bCs/>
          <w:sz w:val="24"/>
          <w:szCs w:val="24"/>
        </w:rPr>
        <w:t>tis.</w:t>
      </w:r>
      <w:r w:rsidR="003A0C92">
        <w:rPr>
          <w:b/>
          <w:bCs/>
          <w:sz w:val="24"/>
          <w:szCs w:val="24"/>
        </w:rPr>
        <w:t> </w:t>
      </w:r>
      <w:r w:rsidRPr="00F34BAA">
        <w:rPr>
          <w:b/>
          <w:bCs/>
          <w:sz w:val="24"/>
          <w:szCs w:val="24"/>
        </w:rPr>
        <w:t>eur</w:t>
      </w:r>
      <w:r w:rsidRPr="00F34BAA">
        <w:rPr>
          <w:sz w:val="24"/>
          <w:szCs w:val="24"/>
        </w:rPr>
        <w:t xml:space="preserve"> a Slovenská republika odviedla do</w:t>
      </w:r>
      <w:r w:rsidR="00922722">
        <w:rPr>
          <w:sz w:val="24"/>
          <w:szCs w:val="24"/>
        </w:rPr>
        <w:t> </w:t>
      </w:r>
      <w:r w:rsidRPr="00F34BAA">
        <w:rPr>
          <w:sz w:val="24"/>
          <w:szCs w:val="24"/>
        </w:rPr>
        <w:t xml:space="preserve">všeobecného rozpočtu EÚ sumu vo výške </w:t>
      </w:r>
      <w:r w:rsidRPr="00F34BAA">
        <w:rPr>
          <w:b/>
          <w:bCs/>
          <w:sz w:val="24"/>
          <w:szCs w:val="24"/>
        </w:rPr>
        <w:t>16 169</w:t>
      </w:r>
      <w:r w:rsidR="003A0C92">
        <w:rPr>
          <w:b/>
          <w:bCs/>
          <w:sz w:val="24"/>
          <w:szCs w:val="24"/>
        </w:rPr>
        <w:t> </w:t>
      </w:r>
      <w:r w:rsidRPr="00F34BAA">
        <w:rPr>
          <w:b/>
          <w:bCs/>
          <w:sz w:val="24"/>
          <w:szCs w:val="24"/>
        </w:rPr>
        <w:t>033</w:t>
      </w:r>
      <w:r w:rsidR="003A0C92">
        <w:rPr>
          <w:b/>
          <w:bCs/>
          <w:sz w:val="24"/>
          <w:szCs w:val="24"/>
        </w:rPr>
        <w:t> </w:t>
      </w:r>
      <w:r w:rsidRPr="00F34BAA">
        <w:rPr>
          <w:b/>
          <w:bCs/>
          <w:sz w:val="24"/>
          <w:szCs w:val="24"/>
        </w:rPr>
        <w:t>tis.</w:t>
      </w:r>
      <w:r w:rsidR="003A0C92">
        <w:rPr>
          <w:b/>
          <w:bCs/>
          <w:sz w:val="24"/>
          <w:szCs w:val="24"/>
        </w:rPr>
        <w:t> </w:t>
      </w:r>
      <w:r w:rsidRPr="00F34BAA">
        <w:rPr>
          <w:b/>
          <w:bCs/>
          <w:sz w:val="24"/>
          <w:szCs w:val="24"/>
        </w:rPr>
        <w:t>eur</w:t>
      </w:r>
      <w:r w:rsidRPr="00F34BAA">
        <w:rPr>
          <w:sz w:val="24"/>
          <w:szCs w:val="24"/>
        </w:rPr>
        <w:t xml:space="preserve">, na základe čoho </w:t>
      </w:r>
      <w:r w:rsidRPr="00F34BAA">
        <w:rPr>
          <w:b/>
          <w:sz w:val="24"/>
          <w:szCs w:val="24"/>
        </w:rPr>
        <w:t xml:space="preserve">čistá </w:t>
      </w:r>
      <w:r w:rsidRPr="00F34BAA">
        <w:rPr>
          <w:b/>
          <w:sz w:val="24"/>
          <w:szCs w:val="24"/>
        </w:rPr>
        <w:lastRenderedPageBreak/>
        <w:t>finančná pozícia voči EÚ dosiahla 25</w:t>
      </w:r>
      <w:r w:rsidR="003A0C92">
        <w:rPr>
          <w:b/>
          <w:sz w:val="24"/>
          <w:szCs w:val="24"/>
        </w:rPr>
        <w:t> </w:t>
      </w:r>
      <w:r w:rsidRPr="00F34BAA">
        <w:rPr>
          <w:b/>
          <w:sz w:val="24"/>
          <w:szCs w:val="24"/>
        </w:rPr>
        <w:t>573</w:t>
      </w:r>
      <w:r w:rsidR="003A0C92">
        <w:rPr>
          <w:b/>
          <w:sz w:val="24"/>
          <w:szCs w:val="24"/>
        </w:rPr>
        <w:t> </w:t>
      </w:r>
      <w:r w:rsidRPr="00F34BAA">
        <w:rPr>
          <w:b/>
          <w:sz w:val="24"/>
          <w:szCs w:val="24"/>
        </w:rPr>
        <w:t>059</w:t>
      </w:r>
      <w:r w:rsidR="003A0C92">
        <w:rPr>
          <w:b/>
          <w:sz w:val="24"/>
          <w:szCs w:val="24"/>
        </w:rPr>
        <w:t> </w:t>
      </w:r>
      <w:r w:rsidRPr="00F34BAA">
        <w:rPr>
          <w:b/>
          <w:sz w:val="24"/>
          <w:szCs w:val="24"/>
        </w:rPr>
        <w:t>tis.</w:t>
      </w:r>
      <w:r w:rsidR="003A0C92">
        <w:rPr>
          <w:b/>
          <w:sz w:val="24"/>
          <w:szCs w:val="24"/>
        </w:rPr>
        <w:t> </w:t>
      </w:r>
      <w:r w:rsidRPr="00F34BAA">
        <w:rPr>
          <w:b/>
          <w:sz w:val="24"/>
          <w:szCs w:val="24"/>
        </w:rPr>
        <w:t>eur</w:t>
      </w:r>
      <w:r w:rsidRPr="00F34BAA">
        <w:rPr>
          <w:sz w:val="24"/>
          <w:szCs w:val="24"/>
        </w:rPr>
        <w:t>.</w:t>
      </w:r>
      <w:r w:rsidRPr="00F34BAA">
        <w:rPr>
          <w:b/>
          <w:sz w:val="24"/>
          <w:szCs w:val="24"/>
        </w:rPr>
        <w:t xml:space="preserve"> </w:t>
      </w:r>
      <w:r w:rsidRPr="00F34BAA">
        <w:rPr>
          <w:sz w:val="24"/>
          <w:szCs w:val="24"/>
        </w:rPr>
        <w:t>Od roku 2004 Slovenská repu</w:t>
      </w:r>
      <w:r w:rsidR="003A0C92">
        <w:rPr>
          <w:sz w:val="24"/>
          <w:szCs w:val="24"/>
        </w:rPr>
        <w:t>blika prijala z rozpočtu EÚ 2,6 </w:t>
      </w:r>
      <w:r w:rsidRPr="00F34BAA">
        <w:rPr>
          <w:sz w:val="24"/>
          <w:szCs w:val="24"/>
        </w:rPr>
        <w:t>násobok prostriedkov, ktoré do rozpočtu odviedla.</w:t>
      </w:r>
      <w:bookmarkStart w:id="145" w:name="_Toc386461121"/>
      <w:bookmarkStart w:id="146" w:name="_Toc196314142"/>
    </w:p>
    <w:p w14:paraId="21ACC221" w14:textId="71823F0F" w:rsidR="004D69BF" w:rsidRPr="00BA03B4" w:rsidRDefault="004D69BF" w:rsidP="00FE302E">
      <w:pPr>
        <w:pStyle w:val="Nadpis2"/>
        <w:numPr>
          <w:ilvl w:val="2"/>
          <w:numId w:val="34"/>
        </w:numPr>
        <w:spacing w:before="240"/>
        <w:ind w:left="0" w:hanging="357"/>
      </w:pPr>
      <w:r w:rsidRPr="00BA03B4">
        <w:t>Príjmy z rozpočtu Európskej únie</w:t>
      </w:r>
      <w:bookmarkEnd w:id="145"/>
      <w:r w:rsidRPr="00BA03B4">
        <w:t xml:space="preserve"> – prostriedky EÚ</w:t>
      </w:r>
      <w:bookmarkEnd w:id="146"/>
    </w:p>
    <w:p w14:paraId="7BA0380A" w14:textId="7C540D88" w:rsidR="004D69BF" w:rsidRPr="00F34BAA" w:rsidRDefault="004D69BF" w:rsidP="004D69BF">
      <w:pPr>
        <w:spacing w:line="240" w:lineRule="auto"/>
        <w:rPr>
          <w:sz w:val="24"/>
          <w:szCs w:val="24"/>
          <w:highlight w:val="yellow"/>
        </w:rPr>
      </w:pPr>
      <w:r w:rsidRPr="00F34BAA">
        <w:rPr>
          <w:sz w:val="24"/>
          <w:szCs w:val="24"/>
        </w:rPr>
        <w:t>Príjmy z rozpočtu EÚ sa rozpočtujú za programy EÚ (štrukturálne operácie), ktoré sa v</w:t>
      </w:r>
      <w:r w:rsidR="003A0C92">
        <w:rPr>
          <w:sz w:val="24"/>
          <w:szCs w:val="24"/>
        </w:rPr>
        <w:t> </w:t>
      </w:r>
      <w:r w:rsidRPr="00F34BAA">
        <w:rPr>
          <w:sz w:val="24"/>
          <w:szCs w:val="24"/>
        </w:rPr>
        <w:t>Slovenskej republike poskytujú prostredníctvom</w:t>
      </w:r>
      <w:r w:rsidR="003A0C92">
        <w:rPr>
          <w:sz w:val="24"/>
          <w:szCs w:val="24"/>
        </w:rPr>
        <w:t xml:space="preserve"> certifikačného orgánu (MF SR a </w:t>
      </w:r>
      <w:r w:rsidRPr="00F34BAA">
        <w:rPr>
          <w:sz w:val="24"/>
          <w:szCs w:val="24"/>
        </w:rPr>
        <w:t>MPSVR SR), platobného orgánu</w:t>
      </w:r>
      <w:r w:rsidR="003A0C92">
        <w:rPr>
          <w:sz w:val="24"/>
          <w:szCs w:val="24"/>
        </w:rPr>
        <w:t xml:space="preserve"> (MF SR a MV SR) alebo MPRV SR.</w:t>
      </w:r>
    </w:p>
    <w:p w14:paraId="4C92BF7C" w14:textId="5B7FD543" w:rsidR="004D69BF" w:rsidRPr="00F34BAA" w:rsidRDefault="004D69BF" w:rsidP="004D69BF">
      <w:pPr>
        <w:spacing w:line="240" w:lineRule="auto"/>
        <w:rPr>
          <w:sz w:val="24"/>
          <w:szCs w:val="24"/>
        </w:rPr>
      </w:pPr>
      <w:r w:rsidRPr="00F34BAA">
        <w:rPr>
          <w:b/>
          <w:sz w:val="24"/>
          <w:szCs w:val="24"/>
        </w:rPr>
        <w:t>Príjmy z rozpočtu EÚ</w:t>
      </w:r>
      <w:r w:rsidRPr="00F34BAA">
        <w:rPr>
          <w:sz w:val="24"/>
          <w:szCs w:val="24"/>
        </w:rPr>
        <w:t xml:space="preserve"> sa rozpočtujú v rámci jednotlivých k</w:t>
      </w:r>
      <w:r w:rsidR="003A0C92">
        <w:rPr>
          <w:sz w:val="24"/>
          <w:szCs w:val="24"/>
        </w:rPr>
        <w:t>apitol na </w:t>
      </w:r>
      <w:r w:rsidRPr="00F34BAA">
        <w:rPr>
          <w:sz w:val="24"/>
          <w:szCs w:val="24"/>
        </w:rPr>
        <w:t>úrovni riadiacich</w:t>
      </w:r>
      <w:r w:rsidR="003A0C92">
        <w:rPr>
          <w:sz w:val="24"/>
          <w:szCs w:val="24"/>
        </w:rPr>
        <w:t> </w:t>
      </w:r>
      <w:r w:rsidRPr="00F34BAA">
        <w:rPr>
          <w:sz w:val="24"/>
          <w:szCs w:val="24"/>
        </w:rPr>
        <w:t>/</w:t>
      </w:r>
      <w:r w:rsidR="003A0C92">
        <w:rPr>
          <w:sz w:val="24"/>
          <w:szCs w:val="24"/>
        </w:rPr>
        <w:t> </w:t>
      </w:r>
      <w:r w:rsidRPr="00F34BAA">
        <w:rPr>
          <w:sz w:val="24"/>
          <w:szCs w:val="24"/>
        </w:rPr>
        <w:t>sprostredkovateľských</w:t>
      </w:r>
      <w:r w:rsidR="00922722">
        <w:rPr>
          <w:sz w:val="24"/>
          <w:szCs w:val="24"/>
        </w:rPr>
        <w:t xml:space="preserve"> orgánov s platobnou funkciou a </w:t>
      </w:r>
      <w:r w:rsidRPr="00F34BAA">
        <w:rPr>
          <w:sz w:val="24"/>
          <w:szCs w:val="24"/>
        </w:rPr>
        <w:t>Pôdohospodárskej platobnej agentúry.</w:t>
      </w:r>
    </w:p>
    <w:p w14:paraId="34C8C899" w14:textId="6E04B4D0" w:rsidR="004D69BF" w:rsidRPr="00F34BAA" w:rsidRDefault="004D69BF" w:rsidP="004D69BF">
      <w:pPr>
        <w:spacing w:line="240" w:lineRule="auto"/>
        <w:rPr>
          <w:sz w:val="24"/>
          <w:szCs w:val="24"/>
        </w:rPr>
      </w:pPr>
      <w:r w:rsidRPr="00F34BAA">
        <w:rPr>
          <w:sz w:val="24"/>
          <w:szCs w:val="24"/>
        </w:rPr>
        <w:t xml:space="preserve">Schválený rozpočet príjmov za prostriedky EÚ na rok 2024 bol vo výške </w:t>
      </w:r>
      <w:r w:rsidR="003A0C92">
        <w:rPr>
          <w:b/>
          <w:bCs/>
          <w:sz w:val="24"/>
          <w:szCs w:val="24"/>
        </w:rPr>
        <w:t>1 237 239 </w:t>
      </w:r>
      <w:r w:rsidRPr="00F34BAA">
        <w:rPr>
          <w:b/>
          <w:bCs/>
          <w:sz w:val="24"/>
          <w:szCs w:val="24"/>
        </w:rPr>
        <w:t>tis.</w:t>
      </w:r>
      <w:r w:rsidR="003A0C92">
        <w:rPr>
          <w:b/>
          <w:bCs/>
          <w:sz w:val="24"/>
          <w:szCs w:val="24"/>
        </w:rPr>
        <w:t> </w:t>
      </w:r>
      <w:r w:rsidRPr="00F34BAA">
        <w:rPr>
          <w:b/>
          <w:bCs/>
          <w:sz w:val="24"/>
          <w:szCs w:val="24"/>
        </w:rPr>
        <w:t>eur</w:t>
      </w:r>
      <w:r w:rsidRPr="00F34BAA">
        <w:rPr>
          <w:sz w:val="24"/>
          <w:szCs w:val="24"/>
        </w:rPr>
        <w:t xml:space="preserve"> (z</w:t>
      </w:r>
      <w:r w:rsidR="003A0C92">
        <w:rPr>
          <w:sz w:val="24"/>
          <w:szCs w:val="24"/>
        </w:rPr>
        <w:t> </w:t>
      </w:r>
      <w:r w:rsidRPr="00F34BAA">
        <w:rPr>
          <w:sz w:val="24"/>
          <w:szCs w:val="24"/>
        </w:rPr>
        <w:t>toho štrukturálne operácie MF SR vo výške 471</w:t>
      </w:r>
      <w:r w:rsidR="003A0C92">
        <w:rPr>
          <w:sz w:val="24"/>
          <w:szCs w:val="24"/>
        </w:rPr>
        <w:t> </w:t>
      </w:r>
      <w:r w:rsidRPr="00F34BAA">
        <w:rPr>
          <w:sz w:val="24"/>
          <w:szCs w:val="24"/>
        </w:rPr>
        <w:t>012</w:t>
      </w:r>
      <w:r w:rsidR="003A0C92">
        <w:rPr>
          <w:sz w:val="24"/>
          <w:szCs w:val="24"/>
        </w:rPr>
        <w:t> </w:t>
      </w:r>
      <w:r w:rsidRPr="00F34BAA">
        <w:rPr>
          <w:sz w:val="24"/>
          <w:szCs w:val="24"/>
        </w:rPr>
        <w:t>tis.</w:t>
      </w:r>
      <w:r w:rsidR="003A0C92">
        <w:rPr>
          <w:sz w:val="24"/>
          <w:szCs w:val="24"/>
        </w:rPr>
        <w:t> </w:t>
      </w:r>
      <w:r w:rsidRPr="00F34BAA">
        <w:rPr>
          <w:sz w:val="24"/>
          <w:szCs w:val="24"/>
        </w:rPr>
        <w:t>eur, štrukturálne operácie MV SR vo</w:t>
      </w:r>
      <w:r w:rsidR="003A0C92">
        <w:rPr>
          <w:sz w:val="24"/>
          <w:szCs w:val="24"/>
        </w:rPr>
        <w:t> výške 9 333 </w:t>
      </w:r>
      <w:r w:rsidRPr="00F34BAA">
        <w:rPr>
          <w:sz w:val="24"/>
          <w:szCs w:val="24"/>
        </w:rPr>
        <w:t>tis.</w:t>
      </w:r>
      <w:r w:rsidR="003A0C92">
        <w:rPr>
          <w:sz w:val="24"/>
          <w:szCs w:val="24"/>
        </w:rPr>
        <w:t> </w:t>
      </w:r>
      <w:r w:rsidRPr="00F34BAA">
        <w:rPr>
          <w:sz w:val="24"/>
          <w:szCs w:val="24"/>
        </w:rPr>
        <w:t>eur a poľnohospodárske fondy vo výške 756</w:t>
      </w:r>
      <w:r w:rsidR="003A0C92">
        <w:rPr>
          <w:sz w:val="24"/>
          <w:szCs w:val="24"/>
        </w:rPr>
        <w:t> </w:t>
      </w:r>
      <w:r w:rsidRPr="00F34BAA">
        <w:rPr>
          <w:sz w:val="24"/>
          <w:szCs w:val="24"/>
        </w:rPr>
        <w:t>894</w:t>
      </w:r>
      <w:r w:rsidR="003A0C92">
        <w:rPr>
          <w:sz w:val="24"/>
          <w:szCs w:val="24"/>
        </w:rPr>
        <w:t> </w:t>
      </w:r>
      <w:r w:rsidRPr="00F34BAA">
        <w:rPr>
          <w:sz w:val="24"/>
          <w:szCs w:val="24"/>
        </w:rPr>
        <w:t>tis.</w:t>
      </w:r>
      <w:r w:rsidR="003A0C92">
        <w:rPr>
          <w:sz w:val="24"/>
          <w:szCs w:val="24"/>
        </w:rPr>
        <w:t> </w:t>
      </w:r>
      <w:r w:rsidRPr="00F34BAA">
        <w:rPr>
          <w:sz w:val="24"/>
          <w:szCs w:val="24"/>
        </w:rPr>
        <w:t>eur).</w:t>
      </w:r>
    </w:p>
    <w:p w14:paraId="15C4532D" w14:textId="53B17A9F" w:rsidR="004D69BF" w:rsidRPr="00F34BAA" w:rsidRDefault="004D69BF" w:rsidP="004D69BF">
      <w:pPr>
        <w:spacing w:line="240" w:lineRule="auto"/>
        <w:rPr>
          <w:sz w:val="24"/>
          <w:szCs w:val="24"/>
        </w:rPr>
      </w:pPr>
      <w:r w:rsidRPr="00F34BAA">
        <w:rPr>
          <w:sz w:val="24"/>
          <w:szCs w:val="24"/>
        </w:rPr>
        <w:t xml:space="preserve">Rozpočet príjmov za prostriedky EÚ bol v roku 2024 upravený na úroveň </w:t>
      </w:r>
      <w:r w:rsidR="003A0C92">
        <w:rPr>
          <w:b/>
          <w:bCs/>
          <w:sz w:val="24"/>
          <w:szCs w:val="24"/>
        </w:rPr>
        <w:t>3 109 953 </w:t>
      </w:r>
      <w:r w:rsidRPr="00F34BAA">
        <w:rPr>
          <w:b/>
          <w:bCs/>
          <w:sz w:val="24"/>
          <w:szCs w:val="24"/>
        </w:rPr>
        <w:t>tis.</w:t>
      </w:r>
      <w:r w:rsidR="003A0C92">
        <w:rPr>
          <w:b/>
          <w:bCs/>
          <w:sz w:val="24"/>
          <w:szCs w:val="24"/>
        </w:rPr>
        <w:t> </w:t>
      </w:r>
      <w:r w:rsidRPr="00F34BAA">
        <w:rPr>
          <w:b/>
          <w:bCs/>
          <w:sz w:val="24"/>
          <w:szCs w:val="24"/>
        </w:rPr>
        <w:t xml:space="preserve">eur </w:t>
      </w:r>
      <w:r w:rsidR="003A0C92">
        <w:rPr>
          <w:sz w:val="24"/>
          <w:szCs w:val="24"/>
        </w:rPr>
        <w:t>(z </w:t>
      </w:r>
      <w:r w:rsidRPr="00F34BAA">
        <w:rPr>
          <w:sz w:val="24"/>
          <w:szCs w:val="24"/>
        </w:rPr>
        <w:t>toho štrukturálne operácie MF SR vo výške 2</w:t>
      </w:r>
      <w:r w:rsidR="003A0C92">
        <w:rPr>
          <w:sz w:val="24"/>
          <w:szCs w:val="24"/>
        </w:rPr>
        <w:t> 169 </w:t>
      </w:r>
      <w:r w:rsidRPr="00F34BAA">
        <w:rPr>
          <w:sz w:val="24"/>
          <w:szCs w:val="24"/>
        </w:rPr>
        <w:t>186</w:t>
      </w:r>
      <w:r w:rsidR="003A0C92">
        <w:rPr>
          <w:sz w:val="24"/>
          <w:szCs w:val="24"/>
        </w:rPr>
        <w:t> </w:t>
      </w:r>
      <w:r w:rsidRPr="00F34BAA">
        <w:rPr>
          <w:sz w:val="24"/>
          <w:szCs w:val="24"/>
        </w:rPr>
        <w:t>tis.</w:t>
      </w:r>
      <w:r w:rsidR="003A0C92">
        <w:rPr>
          <w:sz w:val="24"/>
          <w:szCs w:val="24"/>
        </w:rPr>
        <w:t> </w:t>
      </w:r>
      <w:r w:rsidRPr="00F34BAA">
        <w:rPr>
          <w:sz w:val="24"/>
          <w:szCs w:val="24"/>
        </w:rPr>
        <w:t>eur, štrukturálne op</w:t>
      </w:r>
      <w:r w:rsidR="003A0C92">
        <w:rPr>
          <w:sz w:val="24"/>
          <w:szCs w:val="24"/>
        </w:rPr>
        <w:t>erácie MPSVR SR vo výške 22 764 tis. </w:t>
      </w:r>
      <w:r w:rsidRPr="00F34BAA">
        <w:rPr>
          <w:sz w:val="24"/>
          <w:szCs w:val="24"/>
        </w:rPr>
        <w:t>eur a poľnohospodárske fondy vo výške 918</w:t>
      </w:r>
      <w:r w:rsidR="003A0C92">
        <w:rPr>
          <w:sz w:val="24"/>
          <w:szCs w:val="24"/>
        </w:rPr>
        <w:t> </w:t>
      </w:r>
      <w:r w:rsidRPr="00F34BAA">
        <w:rPr>
          <w:sz w:val="24"/>
          <w:szCs w:val="24"/>
        </w:rPr>
        <w:t>003</w:t>
      </w:r>
      <w:r w:rsidR="003A0C92">
        <w:rPr>
          <w:sz w:val="24"/>
          <w:szCs w:val="24"/>
        </w:rPr>
        <w:t> </w:t>
      </w:r>
      <w:r w:rsidRPr="00F34BAA">
        <w:rPr>
          <w:sz w:val="24"/>
          <w:szCs w:val="24"/>
        </w:rPr>
        <w:t>tis.</w:t>
      </w:r>
      <w:r w:rsidR="003A0C92">
        <w:rPr>
          <w:sz w:val="24"/>
          <w:szCs w:val="24"/>
        </w:rPr>
        <w:t> </w:t>
      </w:r>
      <w:r w:rsidRPr="00F34BAA">
        <w:rPr>
          <w:sz w:val="24"/>
          <w:szCs w:val="24"/>
        </w:rPr>
        <w:t>eur).</w:t>
      </w:r>
    </w:p>
    <w:p w14:paraId="27B7A4AA" w14:textId="40C94385" w:rsidR="004D69BF" w:rsidRPr="00F34BAA" w:rsidRDefault="004D69BF" w:rsidP="004D69BF">
      <w:pPr>
        <w:spacing w:line="240" w:lineRule="auto"/>
        <w:rPr>
          <w:sz w:val="24"/>
          <w:szCs w:val="24"/>
        </w:rPr>
      </w:pPr>
      <w:r w:rsidRPr="00F34BAA">
        <w:rPr>
          <w:sz w:val="24"/>
          <w:szCs w:val="24"/>
        </w:rPr>
        <w:t xml:space="preserve">Skutočné plnenie príjmov za prostriedky EÚ bolo vo výške </w:t>
      </w:r>
      <w:r w:rsidR="003A0C92">
        <w:rPr>
          <w:b/>
          <w:bCs/>
          <w:sz w:val="24"/>
          <w:szCs w:val="24"/>
        </w:rPr>
        <w:t>3 225 491 </w:t>
      </w:r>
      <w:r w:rsidRPr="00F34BAA">
        <w:rPr>
          <w:b/>
          <w:bCs/>
          <w:sz w:val="24"/>
          <w:szCs w:val="24"/>
        </w:rPr>
        <w:t>tis.</w:t>
      </w:r>
      <w:r w:rsidR="003A0C92">
        <w:rPr>
          <w:b/>
          <w:bCs/>
          <w:sz w:val="24"/>
          <w:szCs w:val="24"/>
        </w:rPr>
        <w:t> </w:t>
      </w:r>
      <w:r w:rsidRPr="00F34BAA">
        <w:rPr>
          <w:b/>
          <w:bCs/>
          <w:sz w:val="24"/>
          <w:szCs w:val="24"/>
        </w:rPr>
        <w:t>eur</w:t>
      </w:r>
      <w:r w:rsidRPr="00F34BAA">
        <w:rPr>
          <w:sz w:val="24"/>
          <w:szCs w:val="24"/>
        </w:rPr>
        <w:t xml:space="preserve"> (z</w:t>
      </w:r>
      <w:r w:rsidR="003A0C92">
        <w:rPr>
          <w:sz w:val="24"/>
          <w:szCs w:val="24"/>
        </w:rPr>
        <w:t> </w:t>
      </w:r>
      <w:r w:rsidRPr="00F34BAA">
        <w:rPr>
          <w:sz w:val="24"/>
          <w:szCs w:val="24"/>
        </w:rPr>
        <w:t>toho štrukturáln</w:t>
      </w:r>
      <w:r w:rsidR="003A0C92">
        <w:rPr>
          <w:sz w:val="24"/>
          <w:szCs w:val="24"/>
        </w:rPr>
        <w:t>e operácie MF SR vo výške 2 287 </w:t>
      </w:r>
      <w:r w:rsidRPr="00F34BAA">
        <w:rPr>
          <w:sz w:val="24"/>
          <w:szCs w:val="24"/>
        </w:rPr>
        <w:t>9</w:t>
      </w:r>
      <w:r w:rsidR="003A0C92">
        <w:rPr>
          <w:sz w:val="24"/>
          <w:szCs w:val="24"/>
        </w:rPr>
        <w:t>58 </w:t>
      </w:r>
      <w:r w:rsidRPr="00F34BAA">
        <w:rPr>
          <w:sz w:val="24"/>
          <w:szCs w:val="24"/>
        </w:rPr>
        <w:t>tis.</w:t>
      </w:r>
      <w:r w:rsidR="003A0C92">
        <w:rPr>
          <w:sz w:val="24"/>
          <w:szCs w:val="24"/>
        </w:rPr>
        <w:t> </w:t>
      </w:r>
      <w:r w:rsidRPr="00F34BAA">
        <w:rPr>
          <w:sz w:val="24"/>
          <w:szCs w:val="24"/>
        </w:rPr>
        <w:t>eur, štrukturálne operácie MPSVR SR vo</w:t>
      </w:r>
      <w:r w:rsidR="003A0C92">
        <w:rPr>
          <w:sz w:val="24"/>
          <w:szCs w:val="24"/>
        </w:rPr>
        <w:t> </w:t>
      </w:r>
      <w:r w:rsidRPr="00F34BAA">
        <w:rPr>
          <w:sz w:val="24"/>
          <w:szCs w:val="24"/>
        </w:rPr>
        <w:t>výške 19</w:t>
      </w:r>
      <w:r w:rsidR="003A0C92">
        <w:rPr>
          <w:sz w:val="24"/>
          <w:szCs w:val="24"/>
        </w:rPr>
        <w:t> </w:t>
      </w:r>
      <w:r w:rsidRPr="00F34BAA">
        <w:rPr>
          <w:sz w:val="24"/>
          <w:szCs w:val="24"/>
        </w:rPr>
        <w:t>530</w:t>
      </w:r>
      <w:r w:rsidR="003A0C92">
        <w:rPr>
          <w:sz w:val="24"/>
          <w:szCs w:val="24"/>
        </w:rPr>
        <w:t> </w:t>
      </w:r>
      <w:r w:rsidRPr="00F34BAA">
        <w:rPr>
          <w:sz w:val="24"/>
          <w:szCs w:val="24"/>
        </w:rPr>
        <w:t>tis.</w:t>
      </w:r>
      <w:r w:rsidR="003A0C92">
        <w:rPr>
          <w:sz w:val="24"/>
          <w:szCs w:val="24"/>
        </w:rPr>
        <w:t> </w:t>
      </w:r>
      <w:r w:rsidRPr="00F34BAA">
        <w:rPr>
          <w:sz w:val="24"/>
          <w:szCs w:val="24"/>
        </w:rPr>
        <w:t>eur a poľnohospodárske fondy vo výške 918</w:t>
      </w:r>
      <w:r w:rsidR="003A0C92">
        <w:rPr>
          <w:sz w:val="24"/>
          <w:szCs w:val="24"/>
        </w:rPr>
        <w:t> </w:t>
      </w:r>
      <w:r w:rsidRPr="00F34BAA">
        <w:rPr>
          <w:sz w:val="24"/>
          <w:szCs w:val="24"/>
        </w:rPr>
        <w:t>003</w:t>
      </w:r>
      <w:r w:rsidR="003A0C92">
        <w:rPr>
          <w:sz w:val="24"/>
          <w:szCs w:val="24"/>
        </w:rPr>
        <w:t> </w:t>
      </w:r>
      <w:r w:rsidRPr="00F34BAA">
        <w:rPr>
          <w:sz w:val="24"/>
          <w:szCs w:val="24"/>
        </w:rPr>
        <w:t>tis.</w:t>
      </w:r>
      <w:r w:rsidR="003A0C92">
        <w:rPr>
          <w:sz w:val="24"/>
          <w:szCs w:val="24"/>
        </w:rPr>
        <w:t> </w:t>
      </w:r>
      <w:r w:rsidRPr="00F34BAA">
        <w:rPr>
          <w:sz w:val="24"/>
          <w:szCs w:val="24"/>
        </w:rPr>
        <w:t>eur).</w:t>
      </w:r>
    </w:p>
    <w:p w14:paraId="4B34D3E4" w14:textId="51F16876" w:rsidR="004D69BF" w:rsidRPr="00F34BAA" w:rsidRDefault="004D69BF" w:rsidP="004D69BF">
      <w:pPr>
        <w:spacing w:line="240" w:lineRule="auto"/>
        <w:rPr>
          <w:sz w:val="24"/>
          <w:szCs w:val="24"/>
        </w:rPr>
      </w:pPr>
      <w:r w:rsidRPr="00F34BAA">
        <w:rPr>
          <w:b/>
          <w:sz w:val="24"/>
          <w:szCs w:val="24"/>
        </w:rPr>
        <w:t xml:space="preserve">Prostriedky za štrukturálne operácie – MF SR </w:t>
      </w:r>
      <w:r w:rsidRPr="00F34BAA">
        <w:rPr>
          <w:sz w:val="24"/>
          <w:szCs w:val="24"/>
        </w:rPr>
        <w:t>už neboli rozpočtované za 3.</w:t>
      </w:r>
      <w:r w:rsidR="003A0C92">
        <w:rPr>
          <w:sz w:val="24"/>
          <w:szCs w:val="24"/>
        </w:rPr>
        <w:t> </w:t>
      </w:r>
      <w:r w:rsidRPr="00F34BAA">
        <w:rPr>
          <w:sz w:val="24"/>
          <w:szCs w:val="24"/>
        </w:rPr>
        <w:t>programové obdobie v dôsledku ukončenia obdobia oprávnenosti k 31.12.2023, avšak preplatenie realizovaných výdavkov z úrovne platobnej jednotky prijímateľom pokračovalo aj v roku 2024. Rozpočet príjmov bol upravený o nepoužité prostriedky z predchádzajúcich rokov v zmysle §</w:t>
      </w:r>
      <w:r w:rsidR="003A0C92">
        <w:rPr>
          <w:sz w:val="24"/>
          <w:szCs w:val="24"/>
        </w:rPr>
        <w:t> </w:t>
      </w:r>
      <w:r w:rsidRPr="00F34BAA">
        <w:rPr>
          <w:sz w:val="24"/>
          <w:szCs w:val="24"/>
        </w:rPr>
        <w:t>8 zákona o rozpočtových pravidlách, prostriedky nadčerpania z VPS v kapitole MH SR, z dôvodu vysporiadania finančných prostriedkov za  nezrovnalosti a vratky a</w:t>
      </w:r>
      <w:r w:rsidR="00922722">
        <w:rPr>
          <w:sz w:val="24"/>
          <w:szCs w:val="24"/>
        </w:rPr>
        <w:t> </w:t>
      </w:r>
      <w:r w:rsidRPr="00F34BAA">
        <w:rPr>
          <w:sz w:val="24"/>
          <w:szCs w:val="24"/>
        </w:rPr>
        <w:t>presunov alokácií operačných programov a platobných jednotiek v dôsledku ukončovania programového obdobia 2014</w:t>
      </w:r>
      <w:r w:rsidR="003A0C92">
        <w:rPr>
          <w:sz w:val="24"/>
          <w:szCs w:val="24"/>
        </w:rPr>
        <w:t> </w:t>
      </w:r>
      <w:r w:rsidRPr="00F34BAA">
        <w:rPr>
          <w:sz w:val="24"/>
          <w:szCs w:val="24"/>
        </w:rPr>
        <w:t>–</w:t>
      </w:r>
      <w:r w:rsidR="003A0C92">
        <w:rPr>
          <w:sz w:val="24"/>
          <w:szCs w:val="24"/>
        </w:rPr>
        <w:t> </w:t>
      </w:r>
      <w:r w:rsidRPr="00F34BAA">
        <w:rPr>
          <w:sz w:val="24"/>
          <w:szCs w:val="24"/>
        </w:rPr>
        <w:t>2020 na úroveň 1 774</w:t>
      </w:r>
      <w:r w:rsidR="003A0C92">
        <w:rPr>
          <w:sz w:val="24"/>
          <w:szCs w:val="24"/>
        </w:rPr>
        <w:t> </w:t>
      </w:r>
      <w:r w:rsidRPr="00F34BAA">
        <w:rPr>
          <w:sz w:val="24"/>
          <w:szCs w:val="24"/>
        </w:rPr>
        <w:t>874</w:t>
      </w:r>
      <w:r w:rsidR="003A0C92">
        <w:rPr>
          <w:sz w:val="24"/>
          <w:szCs w:val="24"/>
        </w:rPr>
        <w:t> </w:t>
      </w:r>
      <w:r w:rsidRPr="00F34BAA">
        <w:rPr>
          <w:sz w:val="24"/>
          <w:szCs w:val="24"/>
        </w:rPr>
        <w:t>tis.</w:t>
      </w:r>
      <w:r w:rsidR="003A0C92">
        <w:rPr>
          <w:sz w:val="24"/>
          <w:szCs w:val="24"/>
        </w:rPr>
        <w:t> </w:t>
      </w:r>
      <w:r w:rsidRPr="00F34BAA">
        <w:rPr>
          <w:sz w:val="24"/>
          <w:szCs w:val="24"/>
        </w:rPr>
        <w:t>eur. Príjmy boli naplnené</w:t>
      </w:r>
      <w:r w:rsidR="003A0C92">
        <w:rPr>
          <w:sz w:val="24"/>
          <w:szCs w:val="24"/>
        </w:rPr>
        <w:t xml:space="preserve"> v roku 2024 vo výške 1 893 646 </w:t>
      </w:r>
      <w:r w:rsidRPr="00F34BAA">
        <w:rPr>
          <w:sz w:val="24"/>
          <w:szCs w:val="24"/>
        </w:rPr>
        <w:t>tis.</w:t>
      </w:r>
      <w:r w:rsidR="003A0C92">
        <w:rPr>
          <w:sz w:val="24"/>
          <w:szCs w:val="24"/>
        </w:rPr>
        <w:t> </w:t>
      </w:r>
      <w:r w:rsidRPr="00F34BAA">
        <w:rPr>
          <w:sz w:val="24"/>
          <w:szCs w:val="24"/>
        </w:rPr>
        <w:t>eur a</w:t>
      </w:r>
      <w:r w:rsidR="003A0C92">
        <w:rPr>
          <w:sz w:val="24"/>
          <w:szCs w:val="24"/>
        </w:rPr>
        <w:t> </w:t>
      </w:r>
      <w:r w:rsidRPr="00F34BAA">
        <w:rPr>
          <w:sz w:val="24"/>
          <w:szCs w:val="24"/>
        </w:rPr>
        <w:t>budú napĺňané v nadväznosti na ukončenie jednotlivých programov z úrovne EK a prijatie záverečných pla</w:t>
      </w:r>
      <w:r w:rsidR="003A0C92">
        <w:rPr>
          <w:sz w:val="24"/>
          <w:szCs w:val="24"/>
        </w:rPr>
        <w:t>tieb aj v nasledujúcich rokoch.</w:t>
      </w:r>
    </w:p>
    <w:p w14:paraId="44B1AC44" w14:textId="33361763" w:rsidR="004D69BF" w:rsidRPr="0044359C" w:rsidRDefault="004D69BF" w:rsidP="004D69BF">
      <w:pPr>
        <w:spacing w:line="240" w:lineRule="auto"/>
        <w:rPr>
          <w:sz w:val="24"/>
          <w:szCs w:val="24"/>
        </w:rPr>
      </w:pPr>
      <w:r w:rsidRPr="0044359C">
        <w:rPr>
          <w:sz w:val="24"/>
          <w:szCs w:val="24"/>
        </w:rPr>
        <w:t xml:space="preserve">V roku 2024 boli rozpočtované prostriedky za 4. programové obdobie za </w:t>
      </w:r>
      <w:r w:rsidRPr="0044359C">
        <w:rPr>
          <w:sz w:val="24"/>
          <w:szCs w:val="24"/>
          <w:u w:val="single"/>
        </w:rPr>
        <w:t>štrukturálne operácie MF SR</w:t>
      </w:r>
      <w:r w:rsidR="003A0C92">
        <w:rPr>
          <w:sz w:val="24"/>
          <w:szCs w:val="24"/>
        </w:rPr>
        <w:t xml:space="preserve"> vo výške 471 012 tis. </w:t>
      </w:r>
      <w:r w:rsidRPr="0044359C">
        <w:rPr>
          <w:sz w:val="24"/>
          <w:szCs w:val="24"/>
        </w:rPr>
        <w:t>eur za Program Slovensko, Program Rybné hospodárstvo a</w:t>
      </w:r>
      <w:r w:rsidR="003A0C92">
        <w:rPr>
          <w:sz w:val="24"/>
          <w:szCs w:val="24"/>
        </w:rPr>
        <w:t> </w:t>
      </w:r>
      <w:r w:rsidRPr="0044359C">
        <w:rPr>
          <w:sz w:val="24"/>
          <w:szCs w:val="24"/>
        </w:rPr>
        <w:t>za</w:t>
      </w:r>
      <w:r w:rsidR="003A0C92">
        <w:rPr>
          <w:sz w:val="24"/>
          <w:szCs w:val="24"/>
        </w:rPr>
        <w:t> </w:t>
      </w:r>
      <w:r w:rsidRPr="0044359C">
        <w:rPr>
          <w:sz w:val="24"/>
          <w:szCs w:val="24"/>
        </w:rPr>
        <w:t>programy európskej územnej spolupráce, pre ktoré je MF SR platobným orgánom (Interreg VI-A SK-AT 2021-2027, Interreg VI-A SK-CZ 2021-</w:t>
      </w:r>
      <w:r w:rsidR="003A0C92">
        <w:rPr>
          <w:sz w:val="24"/>
          <w:szCs w:val="24"/>
        </w:rPr>
        <w:t>2027). Rozpočet bol upravený na úroveň 382 259 tis. </w:t>
      </w:r>
      <w:r w:rsidRPr="0044359C">
        <w:rPr>
          <w:sz w:val="24"/>
          <w:szCs w:val="24"/>
        </w:rPr>
        <w:t>eur zohľadňujúc prostriedky zaviazané na použitie v nasledujúcich rokoch. Príjmy boli naplnené v roku 2024 vo výške 382</w:t>
      </w:r>
      <w:r w:rsidR="003A0C92">
        <w:rPr>
          <w:sz w:val="24"/>
          <w:szCs w:val="24"/>
        </w:rPr>
        <w:t> </w:t>
      </w:r>
      <w:r w:rsidRPr="0044359C">
        <w:rPr>
          <w:sz w:val="24"/>
          <w:szCs w:val="24"/>
        </w:rPr>
        <w:t>259</w:t>
      </w:r>
      <w:r w:rsidR="003A0C92">
        <w:rPr>
          <w:sz w:val="24"/>
          <w:szCs w:val="24"/>
        </w:rPr>
        <w:t> </w:t>
      </w:r>
      <w:r w:rsidRPr="0044359C">
        <w:rPr>
          <w:sz w:val="24"/>
          <w:szCs w:val="24"/>
        </w:rPr>
        <w:t>tis.</w:t>
      </w:r>
      <w:r w:rsidR="003A0C92">
        <w:rPr>
          <w:sz w:val="24"/>
          <w:szCs w:val="24"/>
        </w:rPr>
        <w:t> </w:t>
      </w:r>
      <w:r w:rsidRPr="0044359C">
        <w:rPr>
          <w:sz w:val="24"/>
          <w:szCs w:val="24"/>
        </w:rPr>
        <w:t>eur.</w:t>
      </w:r>
    </w:p>
    <w:p w14:paraId="6F2A8FC1" w14:textId="6C2102A6" w:rsidR="004D69BF" w:rsidRPr="0044359C" w:rsidRDefault="004D69BF" w:rsidP="004D69BF">
      <w:pPr>
        <w:spacing w:line="240" w:lineRule="auto"/>
        <w:rPr>
          <w:sz w:val="24"/>
          <w:szCs w:val="24"/>
        </w:rPr>
      </w:pPr>
      <w:r w:rsidRPr="0044359C">
        <w:rPr>
          <w:sz w:val="24"/>
          <w:szCs w:val="24"/>
        </w:rPr>
        <w:t>V roku 202</w:t>
      </w:r>
      <w:r w:rsidR="003A0C92">
        <w:rPr>
          <w:sz w:val="24"/>
          <w:szCs w:val="24"/>
        </w:rPr>
        <w:t>4 boli naplnené aj príjmy za 2. </w:t>
      </w:r>
      <w:r w:rsidRPr="0044359C">
        <w:rPr>
          <w:sz w:val="24"/>
          <w:szCs w:val="24"/>
        </w:rPr>
        <w:t>programové obdobie za program Výskum a vývoj vo</w:t>
      </w:r>
      <w:r w:rsidR="003A0C92">
        <w:rPr>
          <w:sz w:val="24"/>
          <w:szCs w:val="24"/>
        </w:rPr>
        <w:t> výške 12 053 </w:t>
      </w:r>
      <w:r w:rsidRPr="0044359C">
        <w:rPr>
          <w:sz w:val="24"/>
          <w:szCs w:val="24"/>
        </w:rPr>
        <w:t>tis.</w:t>
      </w:r>
      <w:r w:rsidR="003A0C92">
        <w:rPr>
          <w:sz w:val="24"/>
          <w:szCs w:val="24"/>
        </w:rPr>
        <w:t> </w:t>
      </w:r>
      <w:r w:rsidRPr="0044359C">
        <w:rPr>
          <w:sz w:val="24"/>
          <w:szCs w:val="24"/>
        </w:rPr>
        <w:t>eur v nadväznosti na prijatie záverečnej platby z EK.</w:t>
      </w:r>
    </w:p>
    <w:p w14:paraId="4ED9E443" w14:textId="7C09302F" w:rsidR="004D69BF" w:rsidRPr="0044359C" w:rsidRDefault="004D69BF" w:rsidP="004D69BF">
      <w:pPr>
        <w:spacing w:line="240" w:lineRule="auto"/>
        <w:rPr>
          <w:sz w:val="24"/>
          <w:szCs w:val="24"/>
        </w:rPr>
      </w:pPr>
      <w:r w:rsidRPr="0044359C">
        <w:rPr>
          <w:b/>
          <w:sz w:val="24"/>
          <w:szCs w:val="24"/>
        </w:rPr>
        <w:t>Prostriedky za štrukturálne operácie MPSVR SR</w:t>
      </w:r>
      <w:r w:rsidR="003A0C92">
        <w:rPr>
          <w:sz w:val="24"/>
          <w:szCs w:val="24"/>
        </w:rPr>
        <w:t xml:space="preserve"> </w:t>
      </w:r>
      <w:r w:rsidRPr="0044359C">
        <w:rPr>
          <w:sz w:val="24"/>
          <w:szCs w:val="24"/>
        </w:rPr>
        <w:t>neboli rozpočtované z dôvodu ukončenia 3.</w:t>
      </w:r>
      <w:r w:rsidR="003A0C92">
        <w:rPr>
          <w:sz w:val="24"/>
          <w:szCs w:val="24"/>
        </w:rPr>
        <w:t> </w:t>
      </w:r>
      <w:r w:rsidRPr="0044359C">
        <w:rPr>
          <w:sz w:val="24"/>
          <w:szCs w:val="24"/>
        </w:rPr>
        <w:t>programového obdobia Operačného programu sociálneho začlenenia najodkázanejších osôb. Rozpočet príjmov bol upravený o nepoužité prostriedky z predchádzajúcich rokov v zmysle §</w:t>
      </w:r>
      <w:r w:rsidR="003A0C92">
        <w:rPr>
          <w:sz w:val="24"/>
          <w:szCs w:val="24"/>
        </w:rPr>
        <w:t> </w:t>
      </w:r>
      <w:r w:rsidRPr="0044359C">
        <w:rPr>
          <w:sz w:val="24"/>
          <w:szCs w:val="24"/>
        </w:rPr>
        <w:t>8 zákona o rozpočtových pravidlách na úroveň 22</w:t>
      </w:r>
      <w:r w:rsidR="003A0C92">
        <w:rPr>
          <w:sz w:val="24"/>
          <w:szCs w:val="24"/>
        </w:rPr>
        <w:t> </w:t>
      </w:r>
      <w:r w:rsidRPr="0044359C">
        <w:rPr>
          <w:sz w:val="24"/>
          <w:szCs w:val="24"/>
        </w:rPr>
        <w:t>764</w:t>
      </w:r>
      <w:r w:rsidR="003A0C92">
        <w:rPr>
          <w:sz w:val="24"/>
          <w:szCs w:val="24"/>
        </w:rPr>
        <w:t> </w:t>
      </w:r>
      <w:r w:rsidRPr="0044359C">
        <w:rPr>
          <w:sz w:val="24"/>
          <w:szCs w:val="24"/>
        </w:rPr>
        <w:t>tis.</w:t>
      </w:r>
      <w:r w:rsidR="003A0C92">
        <w:rPr>
          <w:sz w:val="24"/>
          <w:szCs w:val="24"/>
        </w:rPr>
        <w:t> eur a naplnenie príjmov bolo na </w:t>
      </w:r>
      <w:r w:rsidRPr="0044359C">
        <w:rPr>
          <w:sz w:val="24"/>
          <w:szCs w:val="24"/>
        </w:rPr>
        <w:t>úrovni 19</w:t>
      </w:r>
      <w:r w:rsidR="003A0C92">
        <w:rPr>
          <w:sz w:val="24"/>
          <w:szCs w:val="24"/>
        </w:rPr>
        <w:t> </w:t>
      </w:r>
      <w:r w:rsidRPr="0044359C">
        <w:rPr>
          <w:sz w:val="24"/>
          <w:szCs w:val="24"/>
        </w:rPr>
        <w:t>530</w:t>
      </w:r>
      <w:r w:rsidR="003A0C92">
        <w:rPr>
          <w:sz w:val="24"/>
          <w:szCs w:val="24"/>
        </w:rPr>
        <w:t> </w:t>
      </w:r>
      <w:r w:rsidRPr="0044359C">
        <w:rPr>
          <w:sz w:val="24"/>
          <w:szCs w:val="24"/>
        </w:rPr>
        <w:t>tis.</w:t>
      </w:r>
      <w:r w:rsidR="003A0C92">
        <w:rPr>
          <w:sz w:val="24"/>
          <w:szCs w:val="24"/>
        </w:rPr>
        <w:t> </w:t>
      </w:r>
      <w:r w:rsidRPr="0044359C">
        <w:rPr>
          <w:sz w:val="24"/>
          <w:szCs w:val="24"/>
        </w:rPr>
        <w:t>eur. Zvyšné prostriedky neboli zaviazané z dôvodu pominutia účelu použitia prostriedkov.</w:t>
      </w:r>
    </w:p>
    <w:p w14:paraId="1816AFA4" w14:textId="35F8941C" w:rsidR="004D69BF" w:rsidRPr="0044359C" w:rsidRDefault="004D69BF" w:rsidP="004D69BF">
      <w:pPr>
        <w:spacing w:line="240" w:lineRule="auto"/>
        <w:rPr>
          <w:sz w:val="24"/>
          <w:szCs w:val="24"/>
        </w:rPr>
      </w:pPr>
      <w:r w:rsidRPr="0044359C">
        <w:rPr>
          <w:b/>
          <w:sz w:val="24"/>
          <w:szCs w:val="24"/>
        </w:rPr>
        <w:t>Prostriedky za štrukturálne operácie  MV SR</w:t>
      </w:r>
      <w:r w:rsidRPr="0044359C">
        <w:rPr>
          <w:sz w:val="24"/>
          <w:szCs w:val="24"/>
        </w:rPr>
        <w:t xml:space="preserve">  boli rozpočtované za 4.</w:t>
      </w:r>
      <w:r w:rsidR="003A0C92">
        <w:rPr>
          <w:sz w:val="24"/>
          <w:szCs w:val="24"/>
        </w:rPr>
        <w:t> </w:t>
      </w:r>
      <w:r w:rsidRPr="0044359C">
        <w:rPr>
          <w:sz w:val="24"/>
          <w:szCs w:val="24"/>
        </w:rPr>
        <w:t xml:space="preserve">programové obdobie vo výške </w:t>
      </w:r>
      <w:r w:rsidR="003A0C92">
        <w:rPr>
          <w:iCs/>
          <w:sz w:val="24"/>
          <w:szCs w:val="24"/>
        </w:rPr>
        <w:t>9 </w:t>
      </w:r>
      <w:r w:rsidRPr="003A0C92">
        <w:rPr>
          <w:iCs/>
          <w:sz w:val="24"/>
          <w:szCs w:val="24"/>
        </w:rPr>
        <w:t>333</w:t>
      </w:r>
      <w:r w:rsidR="003A0C92">
        <w:rPr>
          <w:iCs/>
          <w:sz w:val="24"/>
          <w:szCs w:val="24"/>
        </w:rPr>
        <w:t> </w:t>
      </w:r>
      <w:r w:rsidRPr="003A0C92">
        <w:rPr>
          <w:iCs/>
          <w:sz w:val="24"/>
          <w:szCs w:val="24"/>
        </w:rPr>
        <w:t>tis.</w:t>
      </w:r>
      <w:r w:rsidR="003A0C92">
        <w:rPr>
          <w:iCs/>
          <w:sz w:val="24"/>
          <w:szCs w:val="24"/>
        </w:rPr>
        <w:t> </w:t>
      </w:r>
      <w:r w:rsidRPr="003A0C92">
        <w:rPr>
          <w:iCs/>
          <w:sz w:val="24"/>
          <w:szCs w:val="24"/>
        </w:rPr>
        <w:t>eur</w:t>
      </w:r>
      <w:r w:rsidRPr="003A0C92">
        <w:rPr>
          <w:sz w:val="24"/>
          <w:szCs w:val="24"/>
        </w:rPr>
        <w:t xml:space="preserve"> za</w:t>
      </w:r>
      <w:r w:rsidRPr="0044359C">
        <w:rPr>
          <w:sz w:val="24"/>
          <w:szCs w:val="24"/>
        </w:rPr>
        <w:t xml:space="preserve"> Fondy pre oblasť vnútorných záležitostí (Fond pre azyl, migráciu </w:t>
      </w:r>
      <w:r w:rsidRPr="0044359C">
        <w:rPr>
          <w:sz w:val="24"/>
          <w:szCs w:val="24"/>
        </w:rPr>
        <w:lastRenderedPageBreak/>
        <w:t>a integráciu, Fond pre integrované riadenie hraníc, Fond pre vnútornú bezpečnosť). V roku 2024 nedošlo k úprave rozpočtu ani k skutočnému naplneniu príjmov. Dôvodom bolo vyplatenie len zálohových platieb, pri ktorých nedošlo k ich zúčtovaniu na úrovni platobného orgánu MV SR.</w:t>
      </w:r>
    </w:p>
    <w:p w14:paraId="395CDD20" w14:textId="1EE47ED0" w:rsidR="004D69BF" w:rsidRPr="0044359C" w:rsidRDefault="004D69BF" w:rsidP="004D69BF">
      <w:pPr>
        <w:spacing w:line="240" w:lineRule="auto"/>
        <w:rPr>
          <w:sz w:val="24"/>
          <w:szCs w:val="24"/>
        </w:rPr>
      </w:pPr>
      <w:r w:rsidRPr="0044359C">
        <w:rPr>
          <w:b/>
          <w:sz w:val="24"/>
          <w:szCs w:val="24"/>
        </w:rPr>
        <w:t>Prostriedky za poľnohospodárske fondy</w:t>
      </w:r>
      <w:r w:rsidRPr="0044359C">
        <w:rPr>
          <w:sz w:val="24"/>
          <w:szCs w:val="24"/>
        </w:rPr>
        <w:t xml:space="preserve"> boli v roku 2024 rozpočtované za 3.</w:t>
      </w:r>
      <w:r w:rsidR="003A0C92">
        <w:rPr>
          <w:sz w:val="24"/>
          <w:szCs w:val="24"/>
        </w:rPr>
        <w:t> </w:t>
      </w:r>
      <w:r w:rsidRPr="0044359C">
        <w:rPr>
          <w:sz w:val="24"/>
          <w:szCs w:val="24"/>
        </w:rPr>
        <w:t>programové obdobie za Program rozvoj</w:t>
      </w:r>
      <w:r w:rsidR="003A0C92">
        <w:rPr>
          <w:sz w:val="24"/>
          <w:szCs w:val="24"/>
        </w:rPr>
        <w:t>a vidieka vo výške 115 166 tis. eur a za 4. </w:t>
      </w:r>
      <w:r w:rsidRPr="0044359C">
        <w:rPr>
          <w:sz w:val="24"/>
          <w:szCs w:val="24"/>
        </w:rPr>
        <w:t>programové obdobie za</w:t>
      </w:r>
      <w:r w:rsidR="003A0C92">
        <w:rPr>
          <w:sz w:val="24"/>
          <w:szCs w:val="24"/>
        </w:rPr>
        <w:t> </w:t>
      </w:r>
      <w:r w:rsidRPr="0044359C">
        <w:rPr>
          <w:sz w:val="24"/>
          <w:szCs w:val="24"/>
        </w:rPr>
        <w:t>Európsky poľnohospodársky záručný fond (Priame platby a Trhovo orientované výdavky) a</w:t>
      </w:r>
      <w:r w:rsidR="003A0C92">
        <w:rPr>
          <w:sz w:val="24"/>
          <w:szCs w:val="24"/>
        </w:rPr>
        <w:t> </w:t>
      </w:r>
      <w:r w:rsidRPr="0044359C">
        <w:rPr>
          <w:sz w:val="24"/>
          <w:szCs w:val="24"/>
        </w:rPr>
        <w:t xml:space="preserve">za Európsky poľnohospodársky fond pre </w:t>
      </w:r>
      <w:r w:rsidR="003A0C92">
        <w:rPr>
          <w:sz w:val="24"/>
          <w:szCs w:val="24"/>
        </w:rPr>
        <w:t>rozvoj vidieka vo výške 641 728 tis </w:t>
      </w:r>
      <w:r w:rsidRPr="0044359C">
        <w:rPr>
          <w:sz w:val="24"/>
          <w:szCs w:val="24"/>
        </w:rPr>
        <w:t>eur.</w:t>
      </w:r>
    </w:p>
    <w:p w14:paraId="3A9BF775" w14:textId="1C770369" w:rsidR="004D69BF" w:rsidRPr="0044359C" w:rsidRDefault="004D69BF" w:rsidP="004D69BF">
      <w:pPr>
        <w:spacing w:line="240" w:lineRule="auto"/>
        <w:rPr>
          <w:sz w:val="24"/>
          <w:szCs w:val="24"/>
        </w:rPr>
      </w:pPr>
      <w:r w:rsidRPr="0044359C">
        <w:rPr>
          <w:sz w:val="24"/>
          <w:szCs w:val="24"/>
        </w:rPr>
        <w:t>Legisla</w:t>
      </w:r>
      <w:r w:rsidR="009F6272">
        <w:rPr>
          <w:sz w:val="24"/>
          <w:szCs w:val="24"/>
        </w:rPr>
        <w:t>tíva EÚ umožňuje prostriedky 3. </w:t>
      </w:r>
      <w:r w:rsidRPr="0044359C">
        <w:rPr>
          <w:sz w:val="24"/>
          <w:szCs w:val="24"/>
        </w:rPr>
        <w:t>programového obdobia čerpať až do 31.12.2025.</w:t>
      </w:r>
    </w:p>
    <w:p w14:paraId="0C710D63" w14:textId="3048BBD8" w:rsidR="004D69BF" w:rsidRDefault="004D69BF" w:rsidP="004D69BF">
      <w:pPr>
        <w:spacing w:line="240" w:lineRule="auto"/>
        <w:rPr>
          <w:sz w:val="24"/>
          <w:szCs w:val="24"/>
        </w:rPr>
      </w:pPr>
      <w:r w:rsidRPr="0044359C">
        <w:rPr>
          <w:sz w:val="24"/>
          <w:szCs w:val="24"/>
        </w:rPr>
        <w:t>Rozpočet príjmov bol upravený o nepoužité prostriedky z predchádzajúcich rokov v zmysle §</w:t>
      </w:r>
      <w:r w:rsidR="009F6272">
        <w:rPr>
          <w:sz w:val="24"/>
          <w:szCs w:val="24"/>
        </w:rPr>
        <w:t> </w:t>
      </w:r>
      <w:r w:rsidRPr="0044359C">
        <w:rPr>
          <w:sz w:val="24"/>
          <w:szCs w:val="24"/>
        </w:rPr>
        <w:t>8 zákona o rozpočtov</w:t>
      </w:r>
      <w:r w:rsidR="009F6272">
        <w:rPr>
          <w:sz w:val="24"/>
          <w:szCs w:val="24"/>
        </w:rPr>
        <w:t>ých pravidlách na výšku 918 003 </w:t>
      </w:r>
      <w:r w:rsidRPr="0044359C">
        <w:rPr>
          <w:sz w:val="24"/>
          <w:szCs w:val="24"/>
        </w:rPr>
        <w:t>tis.</w:t>
      </w:r>
      <w:r w:rsidR="009F6272">
        <w:rPr>
          <w:sz w:val="24"/>
          <w:szCs w:val="24"/>
        </w:rPr>
        <w:t> </w:t>
      </w:r>
      <w:r w:rsidRPr="0044359C">
        <w:rPr>
          <w:sz w:val="24"/>
          <w:szCs w:val="24"/>
        </w:rPr>
        <w:t>eur a príjmy boli naplnené v roku 2024 vo výške 918</w:t>
      </w:r>
      <w:r w:rsidR="009F6272">
        <w:rPr>
          <w:sz w:val="24"/>
          <w:szCs w:val="24"/>
        </w:rPr>
        <w:t> </w:t>
      </w:r>
      <w:r w:rsidRPr="0044359C">
        <w:rPr>
          <w:sz w:val="24"/>
          <w:szCs w:val="24"/>
        </w:rPr>
        <w:t>003</w:t>
      </w:r>
      <w:r w:rsidR="009F6272">
        <w:rPr>
          <w:sz w:val="24"/>
          <w:szCs w:val="24"/>
        </w:rPr>
        <w:t> </w:t>
      </w:r>
      <w:r w:rsidRPr="0044359C">
        <w:rPr>
          <w:sz w:val="24"/>
          <w:szCs w:val="24"/>
        </w:rPr>
        <w:t>tis.</w:t>
      </w:r>
      <w:r w:rsidR="009F6272">
        <w:rPr>
          <w:sz w:val="24"/>
          <w:szCs w:val="24"/>
        </w:rPr>
        <w:t> </w:t>
      </w:r>
      <w:r w:rsidRPr="0044359C">
        <w:rPr>
          <w:sz w:val="24"/>
          <w:szCs w:val="24"/>
        </w:rPr>
        <w:t>eur a budú napĺňané aj v nasledujúcich rokoch.</w:t>
      </w:r>
    </w:p>
    <w:p w14:paraId="6298674B" w14:textId="4026C173" w:rsidR="00291B58" w:rsidRPr="00291B58" w:rsidRDefault="00291B58" w:rsidP="00291B58">
      <w:pPr>
        <w:pStyle w:val="Popis"/>
        <w:keepNext/>
        <w:spacing w:after="120"/>
        <w:rPr>
          <w:rFonts w:ascii="Times-Bold" w:hAnsi="Times-Bold"/>
          <w:b/>
          <w:bCs/>
          <w:i w:val="0"/>
          <w:iCs w:val="0"/>
          <w:color w:val="5B9CD6"/>
          <w:sz w:val="20"/>
          <w:szCs w:val="20"/>
        </w:rPr>
      </w:pPr>
      <w:bookmarkStart w:id="147" w:name="_Toc196313666"/>
      <w:bookmarkStart w:id="148" w:name="_Toc196389287"/>
      <w:r w:rsidRPr="00291B58">
        <w:rPr>
          <w:rFonts w:ascii="Times-Bold" w:hAnsi="Times-Bold"/>
          <w:b/>
          <w:bCs/>
          <w:i w:val="0"/>
          <w:iCs w:val="0"/>
          <w:color w:val="5B9CD6"/>
          <w:sz w:val="20"/>
          <w:szCs w:val="20"/>
        </w:rPr>
        <w:t xml:space="preserve">Tabuľka </w:t>
      </w:r>
      <w:r w:rsidRPr="00291B58">
        <w:rPr>
          <w:rFonts w:ascii="Times-Bold" w:hAnsi="Times-Bold"/>
          <w:b/>
          <w:bCs/>
          <w:i w:val="0"/>
          <w:iCs w:val="0"/>
          <w:color w:val="5B9CD6"/>
          <w:sz w:val="20"/>
          <w:szCs w:val="20"/>
        </w:rPr>
        <w:fldChar w:fldCharType="begin"/>
      </w:r>
      <w:r w:rsidRPr="00291B58">
        <w:rPr>
          <w:rFonts w:ascii="Times-Bold" w:hAnsi="Times-Bold"/>
          <w:b/>
          <w:bCs/>
          <w:i w:val="0"/>
          <w:iCs w:val="0"/>
          <w:color w:val="5B9CD6"/>
          <w:sz w:val="20"/>
          <w:szCs w:val="20"/>
        </w:rPr>
        <w:instrText xml:space="preserve"> SEQ Tabuľka \* ARABIC </w:instrText>
      </w:r>
      <w:r w:rsidRPr="00291B58">
        <w:rPr>
          <w:rFonts w:ascii="Times-Bold" w:hAnsi="Times-Bold"/>
          <w:b/>
          <w:bCs/>
          <w:i w:val="0"/>
          <w:iCs w:val="0"/>
          <w:color w:val="5B9CD6"/>
          <w:sz w:val="20"/>
          <w:szCs w:val="20"/>
        </w:rPr>
        <w:fldChar w:fldCharType="separate"/>
      </w:r>
      <w:r w:rsidR="00C64CBA">
        <w:rPr>
          <w:rFonts w:ascii="Times-Bold" w:hAnsi="Times-Bold"/>
          <w:b/>
          <w:bCs/>
          <w:i w:val="0"/>
          <w:iCs w:val="0"/>
          <w:noProof/>
          <w:color w:val="5B9CD6"/>
          <w:sz w:val="20"/>
          <w:szCs w:val="20"/>
        </w:rPr>
        <w:t>40</w:t>
      </w:r>
      <w:r w:rsidRPr="00291B58">
        <w:rPr>
          <w:rFonts w:ascii="Times-Bold" w:hAnsi="Times-Bold"/>
          <w:b/>
          <w:bCs/>
          <w:i w:val="0"/>
          <w:iCs w:val="0"/>
          <w:color w:val="5B9CD6"/>
          <w:sz w:val="20"/>
          <w:szCs w:val="20"/>
        </w:rPr>
        <w:fldChar w:fldCharType="end"/>
      </w:r>
      <w:r w:rsidRPr="00291B58">
        <w:rPr>
          <w:rFonts w:ascii="Times-Bold" w:hAnsi="Times-Bold"/>
          <w:b/>
          <w:bCs/>
          <w:i w:val="0"/>
          <w:iCs w:val="0"/>
          <w:color w:val="5B9CD6"/>
          <w:sz w:val="20"/>
          <w:szCs w:val="20"/>
        </w:rPr>
        <w:t xml:space="preserve"> - Plnenie príjmov z rozpočtu EÚ </w:t>
      </w:r>
      <w:r w:rsidR="00503F12">
        <w:rPr>
          <w:rFonts w:ascii="Times-Bold" w:hAnsi="Times-Bold"/>
          <w:b/>
          <w:bCs/>
          <w:i w:val="0"/>
          <w:iCs w:val="0"/>
          <w:color w:val="5B9CD6"/>
          <w:sz w:val="20"/>
          <w:szCs w:val="20"/>
        </w:rPr>
        <w:t>(</w:t>
      </w:r>
      <w:r w:rsidRPr="00291B58">
        <w:rPr>
          <w:rFonts w:ascii="Times-Bold" w:hAnsi="Times-Bold"/>
          <w:b/>
          <w:bCs/>
          <w:i w:val="0"/>
          <w:iCs w:val="0"/>
          <w:color w:val="5B9CD6"/>
          <w:sz w:val="20"/>
          <w:szCs w:val="20"/>
        </w:rPr>
        <w:t>prostriedky EÚ</w:t>
      </w:r>
      <w:r w:rsidR="00503F12">
        <w:rPr>
          <w:rFonts w:ascii="Times-Bold" w:hAnsi="Times-Bold"/>
          <w:b/>
          <w:bCs/>
          <w:i w:val="0"/>
          <w:iCs w:val="0"/>
          <w:color w:val="5B9CD6"/>
          <w:sz w:val="20"/>
          <w:szCs w:val="20"/>
        </w:rPr>
        <w:t>,</w:t>
      </w:r>
      <w:r w:rsidRPr="00291B58">
        <w:rPr>
          <w:rFonts w:ascii="Times-Bold" w:hAnsi="Times-Bold"/>
          <w:b/>
          <w:bCs/>
          <w:i w:val="0"/>
          <w:iCs w:val="0"/>
          <w:color w:val="5B9CD6"/>
          <w:sz w:val="20"/>
          <w:szCs w:val="20"/>
        </w:rPr>
        <w:t xml:space="preserve"> zahraničné grant</w:t>
      </w:r>
      <w:bookmarkEnd w:id="147"/>
      <w:r w:rsidR="00503F12">
        <w:rPr>
          <w:rFonts w:ascii="Times-Bold" w:hAnsi="Times-Bold"/>
          <w:b/>
          <w:bCs/>
          <w:i w:val="0"/>
          <w:iCs w:val="0"/>
          <w:color w:val="5B9CD6"/>
          <w:sz w:val="20"/>
          <w:szCs w:val="20"/>
        </w:rPr>
        <w:t>y)</w:t>
      </w:r>
      <w:bookmarkEnd w:id="148"/>
    </w:p>
    <w:tbl>
      <w:tblPr>
        <w:tblW w:w="5000" w:type="pct"/>
        <w:tblCellMar>
          <w:left w:w="70" w:type="dxa"/>
          <w:right w:w="70" w:type="dxa"/>
        </w:tblCellMar>
        <w:tblLook w:val="04A0" w:firstRow="1" w:lastRow="0" w:firstColumn="1" w:lastColumn="0" w:noHBand="0" w:noVBand="1"/>
      </w:tblPr>
      <w:tblGrid>
        <w:gridCol w:w="4330"/>
        <w:gridCol w:w="920"/>
        <w:gridCol w:w="920"/>
        <w:gridCol w:w="920"/>
        <w:gridCol w:w="920"/>
        <w:gridCol w:w="920"/>
      </w:tblGrid>
      <w:tr w:rsidR="004D69BF" w:rsidRPr="0044359C" w14:paraId="3C3AF175" w14:textId="77777777" w:rsidTr="001D2C2C">
        <w:trPr>
          <w:trHeight w:val="330"/>
          <w:tblHeader/>
        </w:trPr>
        <w:tc>
          <w:tcPr>
            <w:tcW w:w="2424" w:type="pct"/>
            <w:vMerge w:val="restart"/>
            <w:tcBorders>
              <w:top w:val="single" w:sz="4" w:space="0" w:color="auto"/>
              <w:left w:val="nil"/>
              <w:bottom w:val="single" w:sz="8" w:space="0" w:color="000000"/>
              <w:right w:val="nil"/>
            </w:tcBorders>
            <w:shd w:val="clear" w:color="auto" w:fill="auto"/>
            <w:vAlign w:val="center"/>
            <w:hideMark/>
          </w:tcPr>
          <w:p w14:paraId="0458D322" w14:textId="77777777" w:rsidR="004D69BF" w:rsidRPr="0044359C" w:rsidRDefault="004D69BF" w:rsidP="000240DA">
            <w:pPr>
              <w:spacing w:line="240" w:lineRule="auto"/>
              <w:rPr>
                <w:b/>
                <w:bCs/>
                <w:sz w:val="18"/>
                <w:szCs w:val="18"/>
              </w:rPr>
            </w:pPr>
            <w:r w:rsidRPr="0044359C">
              <w:rPr>
                <w:b/>
                <w:bCs/>
                <w:sz w:val="18"/>
                <w:szCs w:val="18"/>
              </w:rPr>
              <w:t>v tis. eur</w:t>
            </w:r>
          </w:p>
        </w:tc>
        <w:tc>
          <w:tcPr>
            <w:tcW w:w="515" w:type="pct"/>
            <w:tcBorders>
              <w:top w:val="single" w:sz="4" w:space="0" w:color="auto"/>
              <w:left w:val="nil"/>
              <w:bottom w:val="nil"/>
              <w:right w:val="nil"/>
            </w:tcBorders>
            <w:shd w:val="clear" w:color="auto" w:fill="auto"/>
            <w:vAlign w:val="center"/>
            <w:hideMark/>
          </w:tcPr>
          <w:p w14:paraId="5EA87A05" w14:textId="77777777" w:rsidR="004D69BF" w:rsidRPr="0044359C" w:rsidRDefault="004D69BF" w:rsidP="000240DA">
            <w:pPr>
              <w:spacing w:line="240" w:lineRule="auto"/>
              <w:jc w:val="center"/>
              <w:rPr>
                <w:b/>
                <w:bCs/>
                <w:color w:val="000000"/>
                <w:sz w:val="18"/>
                <w:szCs w:val="18"/>
              </w:rPr>
            </w:pPr>
            <w:r w:rsidRPr="0044359C">
              <w:rPr>
                <w:b/>
                <w:bCs/>
                <w:color w:val="000000"/>
                <w:sz w:val="18"/>
                <w:szCs w:val="18"/>
              </w:rPr>
              <w:t>2022 S</w:t>
            </w:r>
          </w:p>
        </w:tc>
        <w:tc>
          <w:tcPr>
            <w:tcW w:w="515" w:type="pct"/>
            <w:tcBorders>
              <w:top w:val="single" w:sz="4" w:space="0" w:color="auto"/>
              <w:left w:val="nil"/>
              <w:bottom w:val="nil"/>
              <w:right w:val="nil"/>
            </w:tcBorders>
            <w:shd w:val="clear" w:color="auto" w:fill="auto"/>
            <w:vAlign w:val="center"/>
            <w:hideMark/>
          </w:tcPr>
          <w:p w14:paraId="005DF447" w14:textId="77777777" w:rsidR="004D69BF" w:rsidRPr="0044359C" w:rsidRDefault="004D69BF" w:rsidP="000240DA">
            <w:pPr>
              <w:spacing w:line="240" w:lineRule="auto"/>
              <w:jc w:val="center"/>
              <w:rPr>
                <w:b/>
                <w:bCs/>
                <w:color w:val="000000"/>
                <w:sz w:val="18"/>
                <w:szCs w:val="18"/>
              </w:rPr>
            </w:pPr>
            <w:r w:rsidRPr="0044359C">
              <w:rPr>
                <w:b/>
                <w:bCs/>
                <w:color w:val="000000"/>
                <w:sz w:val="18"/>
                <w:szCs w:val="18"/>
              </w:rPr>
              <w:t>2023 S</w:t>
            </w:r>
          </w:p>
        </w:tc>
        <w:tc>
          <w:tcPr>
            <w:tcW w:w="515" w:type="pct"/>
            <w:tcBorders>
              <w:top w:val="single" w:sz="4" w:space="0" w:color="auto"/>
              <w:left w:val="nil"/>
              <w:bottom w:val="nil"/>
              <w:right w:val="nil"/>
            </w:tcBorders>
            <w:shd w:val="clear" w:color="auto" w:fill="auto"/>
            <w:vAlign w:val="center"/>
            <w:hideMark/>
          </w:tcPr>
          <w:p w14:paraId="2F70EED5" w14:textId="77777777" w:rsidR="004D69BF" w:rsidRPr="0044359C" w:rsidRDefault="004D69BF" w:rsidP="000240DA">
            <w:pPr>
              <w:spacing w:line="240" w:lineRule="auto"/>
              <w:jc w:val="center"/>
              <w:rPr>
                <w:b/>
                <w:bCs/>
                <w:color w:val="000000"/>
                <w:sz w:val="18"/>
                <w:szCs w:val="18"/>
              </w:rPr>
            </w:pPr>
            <w:r w:rsidRPr="0044359C">
              <w:rPr>
                <w:b/>
                <w:bCs/>
                <w:color w:val="000000"/>
                <w:sz w:val="18"/>
                <w:szCs w:val="18"/>
              </w:rPr>
              <w:t>2024 R</w:t>
            </w:r>
          </w:p>
        </w:tc>
        <w:tc>
          <w:tcPr>
            <w:tcW w:w="515" w:type="pct"/>
            <w:tcBorders>
              <w:top w:val="single" w:sz="4" w:space="0" w:color="auto"/>
              <w:left w:val="nil"/>
              <w:bottom w:val="nil"/>
              <w:right w:val="nil"/>
            </w:tcBorders>
            <w:shd w:val="clear" w:color="auto" w:fill="auto"/>
            <w:vAlign w:val="center"/>
            <w:hideMark/>
          </w:tcPr>
          <w:p w14:paraId="1A872D36" w14:textId="77777777" w:rsidR="004D69BF" w:rsidRPr="0044359C" w:rsidRDefault="004D69BF" w:rsidP="000240DA">
            <w:pPr>
              <w:spacing w:line="240" w:lineRule="auto"/>
              <w:jc w:val="center"/>
              <w:rPr>
                <w:b/>
                <w:bCs/>
                <w:color w:val="000000"/>
                <w:sz w:val="18"/>
                <w:szCs w:val="18"/>
              </w:rPr>
            </w:pPr>
            <w:r w:rsidRPr="0044359C">
              <w:rPr>
                <w:b/>
                <w:bCs/>
                <w:color w:val="000000"/>
                <w:sz w:val="18"/>
                <w:szCs w:val="18"/>
              </w:rPr>
              <w:t>2024 S</w:t>
            </w:r>
          </w:p>
        </w:tc>
        <w:tc>
          <w:tcPr>
            <w:tcW w:w="515" w:type="pct"/>
            <w:tcBorders>
              <w:top w:val="single" w:sz="4" w:space="0" w:color="auto"/>
              <w:left w:val="nil"/>
              <w:bottom w:val="nil"/>
              <w:right w:val="nil"/>
            </w:tcBorders>
            <w:shd w:val="clear" w:color="auto" w:fill="auto"/>
            <w:vAlign w:val="center"/>
            <w:hideMark/>
          </w:tcPr>
          <w:p w14:paraId="4EDE2B96" w14:textId="77777777" w:rsidR="004D69BF" w:rsidRPr="0044359C" w:rsidRDefault="004D69BF" w:rsidP="000240DA">
            <w:pPr>
              <w:spacing w:line="240" w:lineRule="auto"/>
              <w:jc w:val="center"/>
              <w:rPr>
                <w:b/>
                <w:bCs/>
                <w:color w:val="000000"/>
                <w:sz w:val="18"/>
                <w:szCs w:val="18"/>
              </w:rPr>
            </w:pPr>
            <w:r w:rsidRPr="0044359C">
              <w:rPr>
                <w:b/>
                <w:bCs/>
                <w:color w:val="000000"/>
                <w:sz w:val="18"/>
                <w:szCs w:val="18"/>
              </w:rPr>
              <w:t>Rozdiel</w:t>
            </w:r>
          </w:p>
        </w:tc>
      </w:tr>
      <w:tr w:rsidR="004D69BF" w:rsidRPr="0044359C" w14:paraId="6ED85B2B" w14:textId="77777777" w:rsidTr="001D2C2C">
        <w:trPr>
          <w:trHeight w:val="345"/>
          <w:tblHeader/>
        </w:trPr>
        <w:tc>
          <w:tcPr>
            <w:tcW w:w="2424" w:type="pct"/>
            <w:vMerge/>
            <w:tcBorders>
              <w:top w:val="nil"/>
              <w:left w:val="nil"/>
              <w:bottom w:val="single" w:sz="4" w:space="0" w:color="auto"/>
              <w:right w:val="nil"/>
            </w:tcBorders>
            <w:vAlign w:val="center"/>
            <w:hideMark/>
          </w:tcPr>
          <w:p w14:paraId="3C4DF8C9" w14:textId="77777777" w:rsidR="004D69BF" w:rsidRPr="0044359C" w:rsidRDefault="004D69BF" w:rsidP="000240DA">
            <w:pPr>
              <w:spacing w:line="240" w:lineRule="auto"/>
              <w:rPr>
                <w:b/>
                <w:bCs/>
                <w:sz w:val="18"/>
                <w:szCs w:val="18"/>
              </w:rPr>
            </w:pPr>
          </w:p>
        </w:tc>
        <w:tc>
          <w:tcPr>
            <w:tcW w:w="515" w:type="pct"/>
            <w:tcBorders>
              <w:top w:val="nil"/>
              <w:left w:val="nil"/>
              <w:bottom w:val="single" w:sz="4" w:space="0" w:color="auto"/>
              <w:right w:val="nil"/>
            </w:tcBorders>
            <w:shd w:val="clear" w:color="auto" w:fill="auto"/>
            <w:vAlign w:val="center"/>
            <w:hideMark/>
          </w:tcPr>
          <w:p w14:paraId="164E0459" w14:textId="77777777" w:rsidR="004D69BF" w:rsidRPr="0044359C" w:rsidRDefault="004D69BF" w:rsidP="000240DA">
            <w:pPr>
              <w:spacing w:line="240" w:lineRule="auto"/>
              <w:jc w:val="center"/>
              <w:rPr>
                <w:b/>
                <w:bCs/>
                <w:sz w:val="18"/>
                <w:szCs w:val="18"/>
              </w:rPr>
            </w:pPr>
            <w:r w:rsidRPr="0044359C">
              <w:rPr>
                <w:b/>
                <w:bCs/>
                <w:sz w:val="18"/>
                <w:szCs w:val="18"/>
              </w:rPr>
              <w:t>1</w:t>
            </w:r>
          </w:p>
        </w:tc>
        <w:tc>
          <w:tcPr>
            <w:tcW w:w="515" w:type="pct"/>
            <w:tcBorders>
              <w:top w:val="nil"/>
              <w:left w:val="nil"/>
              <w:bottom w:val="single" w:sz="4" w:space="0" w:color="auto"/>
              <w:right w:val="nil"/>
            </w:tcBorders>
            <w:shd w:val="clear" w:color="auto" w:fill="auto"/>
            <w:vAlign w:val="center"/>
            <w:hideMark/>
          </w:tcPr>
          <w:p w14:paraId="4A098F31" w14:textId="77777777" w:rsidR="004D69BF" w:rsidRPr="0044359C" w:rsidRDefault="004D69BF" w:rsidP="000240DA">
            <w:pPr>
              <w:spacing w:line="240" w:lineRule="auto"/>
              <w:jc w:val="center"/>
              <w:rPr>
                <w:b/>
                <w:bCs/>
                <w:sz w:val="18"/>
                <w:szCs w:val="18"/>
              </w:rPr>
            </w:pPr>
            <w:r w:rsidRPr="0044359C">
              <w:rPr>
                <w:b/>
                <w:bCs/>
                <w:sz w:val="18"/>
                <w:szCs w:val="18"/>
              </w:rPr>
              <w:t>2</w:t>
            </w:r>
          </w:p>
        </w:tc>
        <w:tc>
          <w:tcPr>
            <w:tcW w:w="515" w:type="pct"/>
            <w:tcBorders>
              <w:top w:val="nil"/>
              <w:left w:val="nil"/>
              <w:bottom w:val="single" w:sz="4" w:space="0" w:color="auto"/>
              <w:right w:val="nil"/>
            </w:tcBorders>
            <w:shd w:val="clear" w:color="auto" w:fill="auto"/>
            <w:vAlign w:val="center"/>
            <w:hideMark/>
          </w:tcPr>
          <w:p w14:paraId="6BC721DD" w14:textId="77777777" w:rsidR="004D69BF" w:rsidRPr="0044359C" w:rsidRDefault="004D69BF" w:rsidP="000240DA">
            <w:pPr>
              <w:spacing w:line="240" w:lineRule="auto"/>
              <w:jc w:val="center"/>
              <w:rPr>
                <w:b/>
                <w:bCs/>
                <w:sz w:val="18"/>
                <w:szCs w:val="18"/>
              </w:rPr>
            </w:pPr>
            <w:r w:rsidRPr="0044359C">
              <w:rPr>
                <w:b/>
                <w:bCs/>
                <w:sz w:val="18"/>
                <w:szCs w:val="18"/>
              </w:rPr>
              <w:t>3</w:t>
            </w:r>
          </w:p>
        </w:tc>
        <w:tc>
          <w:tcPr>
            <w:tcW w:w="515" w:type="pct"/>
            <w:tcBorders>
              <w:top w:val="nil"/>
              <w:left w:val="nil"/>
              <w:bottom w:val="single" w:sz="4" w:space="0" w:color="auto"/>
              <w:right w:val="nil"/>
            </w:tcBorders>
            <w:shd w:val="clear" w:color="auto" w:fill="auto"/>
            <w:vAlign w:val="center"/>
            <w:hideMark/>
          </w:tcPr>
          <w:p w14:paraId="516B1E09" w14:textId="77777777" w:rsidR="004D69BF" w:rsidRPr="0044359C" w:rsidRDefault="004D69BF" w:rsidP="000240DA">
            <w:pPr>
              <w:spacing w:line="240" w:lineRule="auto"/>
              <w:jc w:val="center"/>
              <w:rPr>
                <w:b/>
                <w:bCs/>
                <w:sz w:val="18"/>
                <w:szCs w:val="18"/>
              </w:rPr>
            </w:pPr>
            <w:r w:rsidRPr="0044359C">
              <w:rPr>
                <w:b/>
                <w:bCs/>
                <w:sz w:val="18"/>
                <w:szCs w:val="18"/>
              </w:rPr>
              <w:t>4</w:t>
            </w:r>
          </w:p>
        </w:tc>
        <w:tc>
          <w:tcPr>
            <w:tcW w:w="515" w:type="pct"/>
            <w:tcBorders>
              <w:top w:val="nil"/>
              <w:left w:val="nil"/>
              <w:bottom w:val="single" w:sz="4" w:space="0" w:color="auto"/>
              <w:right w:val="nil"/>
            </w:tcBorders>
            <w:shd w:val="clear" w:color="auto" w:fill="auto"/>
            <w:vAlign w:val="center"/>
            <w:hideMark/>
          </w:tcPr>
          <w:p w14:paraId="156C17C3" w14:textId="77777777" w:rsidR="004D69BF" w:rsidRPr="0044359C" w:rsidRDefault="004D69BF" w:rsidP="000240DA">
            <w:pPr>
              <w:spacing w:line="240" w:lineRule="auto"/>
              <w:jc w:val="center"/>
              <w:rPr>
                <w:b/>
                <w:bCs/>
                <w:sz w:val="18"/>
                <w:szCs w:val="18"/>
              </w:rPr>
            </w:pPr>
            <w:r w:rsidRPr="0044359C">
              <w:rPr>
                <w:b/>
                <w:bCs/>
                <w:sz w:val="18"/>
                <w:szCs w:val="18"/>
              </w:rPr>
              <w:t>5=4-3</w:t>
            </w:r>
          </w:p>
        </w:tc>
      </w:tr>
      <w:tr w:rsidR="004D69BF" w:rsidRPr="0044359C" w14:paraId="4503DB0B" w14:textId="77777777" w:rsidTr="001D2C2C">
        <w:trPr>
          <w:trHeight w:val="330"/>
        </w:trPr>
        <w:tc>
          <w:tcPr>
            <w:tcW w:w="2424" w:type="pct"/>
            <w:tcBorders>
              <w:top w:val="single" w:sz="4" w:space="0" w:color="auto"/>
              <w:left w:val="nil"/>
              <w:bottom w:val="nil"/>
              <w:right w:val="nil"/>
            </w:tcBorders>
            <w:shd w:val="clear" w:color="auto" w:fill="auto"/>
            <w:vAlign w:val="center"/>
            <w:hideMark/>
          </w:tcPr>
          <w:p w14:paraId="7D2E7DD3" w14:textId="77777777" w:rsidR="004D69BF" w:rsidRPr="0044359C" w:rsidRDefault="004D69BF" w:rsidP="000240DA">
            <w:pPr>
              <w:spacing w:line="240" w:lineRule="auto"/>
              <w:rPr>
                <w:color w:val="000000"/>
                <w:sz w:val="18"/>
                <w:szCs w:val="18"/>
              </w:rPr>
            </w:pPr>
            <w:r w:rsidRPr="0044359C">
              <w:rPr>
                <w:color w:val="000000"/>
                <w:sz w:val="18"/>
                <w:szCs w:val="18"/>
              </w:rPr>
              <w:t>Poľnohospodárske fondy 3. programové obdobie</w:t>
            </w:r>
          </w:p>
        </w:tc>
        <w:tc>
          <w:tcPr>
            <w:tcW w:w="515" w:type="pct"/>
            <w:tcBorders>
              <w:top w:val="single" w:sz="4" w:space="0" w:color="auto"/>
              <w:left w:val="nil"/>
              <w:bottom w:val="nil"/>
              <w:right w:val="nil"/>
            </w:tcBorders>
            <w:shd w:val="clear" w:color="auto" w:fill="auto"/>
            <w:noWrap/>
            <w:vAlign w:val="center"/>
            <w:hideMark/>
          </w:tcPr>
          <w:p w14:paraId="7B9DF592" w14:textId="77777777" w:rsidR="004D69BF" w:rsidRPr="0044359C" w:rsidRDefault="004D69BF" w:rsidP="000240DA">
            <w:pPr>
              <w:spacing w:line="240" w:lineRule="auto"/>
              <w:jc w:val="right"/>
              <w:rPr>
                <w:color w:val="000000"/>
                <w:sz w:val="18"/>
                <w:szCs w:val="18"/>
              </w:rPr>
            </w:pPr>
            <w:r w:rsidRPr="0044359C">
              <w:rPr>
                <w:color w:val="000000"/>
                <w:sz w:val="18"/>
                <w:szCs w:val="18"/>
              </w:rPr>
              <w:t>371 783</w:t>
            </w:r>
          </w:p>
        </w:tc>
        <w:tc>
          <w:tcPr>
            <w:tcW w:w="515" w:type="pct"/>
            <w:tcBorders>
              <w:top w:val="single" w:sz="4" w:space="0" w:color="auto"/>
              <w:left w:val="nil"/>
              <w:bottom w:val="nil"/>
              <w:right w:val="nil"/>
            </w:tcBorders>
            <w:shd w:val="clear" w:color="auto" w:fill="auto"/>
            <w:noWrap/>
            <w:vAlign w:val="center"/>
            <w:hideMark/>
          </w:tcPr>
          <w:p w14:paraId="75E2CDDC" w14:textId="77777777" w:rsidR="004D69BF" w:rsidRPr="0044359C" w:rsidRDefault="004D69BF" w:rsidP="000240DA">
            <w:pPr>
              <w:spacing w:line="240" w:lineRule="auto"/>
              <w:jc w:val="right"/>
              <w:rPr>
                <w:color w:val="000000"/>
                <w:sz w:val="18"/>
                <w:szCs w:val="18"/>
              </w:rPr>
            </w:pPr>
            <w:r w:rsidRPr="0044359C">
              <w:rPr>
                <w:color w:val="000000"/>
                <w:sz w:val="18"/>
                <w:szCs w:val="18"/>
              </w:rPr>
              <w:t>369 382</w:t>
            </w:r>
          </w:p>
        </w:tc>
        <w:tc>
          <w:tcPr>
            <w:tcW w:w="515" w:type="pct"/>
            <w:tcBorders>
              <w:top w:val="single" w:sz="4" w:space="0" w:color="auto"/>
              <w:left w:val="nil"/>
              <w:bottom w:val="nil"/>
              <w:right w:val="nil"/>
            </w:tcBorders>
            <w:shd w:val="clear" w:color="auto" w:fill="auto"/>
            <w:noWrap/>
            <w:vAlign w:val="center"/>
            <w:hideMark/>
          </w:tcPr>
          <w:p w14:paraId="19005973" w14:textId="77777777" w:rsidR="004D69BF" w:rsidRPr="0044359C" w:rsidRDefault="004D69BF" w:rsidP="000240DA">
            <w:pPr>
              <w:spacing w:line="240" w:lineRule="auto"/>
              <w:jc w:val="right"/>
              <w:rPr>
                <w:color w:val="000000"/>
                <w:sz w:val="18"/>
                <w:szCs w:val="18"/>
              </w:rPr>
            </w:pPr>
            <w:r w:rsidRPr="0044359C">
              <w:rPr>
                <w:color w:val="000000"/>
                <w:sz w:val="18"/>
                <w:szCs w:val="18"/>
              </w:rPr>
              <w:t>115 166</w:t>
            </w:r>
          </w:p>
        </w:tc>
        <w:tc>
          <w:tcPr>
            <w:tcW w:w="515" w:type="pct"/>
            <w:tcBorders>
              <w:top w:val="single" w:sz="4" w:space="0" w:color="auto"/>
              <w:left w:val="nil"/>
              <w:bottom w:val="nil"/>
              <w:right w:val="nil"/>
            </w:tcBorders>
            <w:shd w:val="clear" w:color="auto" w:fill="auto"/>
            <w:noWrap/>
            <w:vAlign w:val="center"/>
            <w:hideMark/>
          </w:tcPr>
          <w:p w14:paraId="3D74533D" w14:textId="77777777" w:rsidR="004D69BF" w:rsidRPr="0044359C" w:rsidRDefault="004D69BF" w:rsidP="000240DA">
            <w:pPr>
              <w:spacing w:line="240" w:lineRule="auto"/>
              <w:jc w:val="right"/>
              <w:rPr>
                <w:color w:val="000000"/>
                <w:sz w:val="18"/>
                <w:szCs w:val="18"/>
              </w:rPr>
            </w:pPr>
            <w:r w:rsidRPr="0044359C">
              <w:rPr>
                <w:color w:val="000000"/>
                <w:sz w:val="18"/>
                <w:szCs w:val="18"/>
              </w:rPr>
              <w:t>147 693</w:t>
            </w:r>
          </w:p>
        </w:tc>
        <w:tc>
          <w:tcPr>
            <w:tcW w:w="515" w:type="pct"/>
            <w:tcBorders>
              <w:top w:val="single" w:sz="4" w:space="0" w:color="auto"/>
              <w:left w:val="nil"/>
              <w:bottom w:val="nil"/>
              <w:right w:val="nil"/>
            </w:tcBorders>
            <w:shd w:val="clear" w:color="auto" w:fill="auto"/>
            <w:noWrap/>
            <w:vAlign w:val="center"/>
            <w:hideMark/>
          </w:tcPr>
          <w:p w14:paraId="32AA296C" w14:textId="77777777" w:rsidR="004D69BF" w:rsidRPr="0044359C" w:rsidRDefault="004D69BF" w:rsidP="000240DA">
            <w:pPr>
              <w:spacing w:line="240" w:lineRule="auto"/>
              <w:jc w:val="right"/>
              <w:rPr>
                <w:color w:val="000000"/>
                <w:sz w:val="18"/>
                <w:szCs w:val="18"/>
              </w:rPr>
            </w:pPr>
            <w:r w:rsidRPr="0044359C">
              <w:rPr>
                <w:color w:val="000000"/>
                <w:sz w:val="18"/>
                <w:szCs w:val="18"/>
              </w:rPr>
              <w:t>32 527</w:t>
            </w:r>
          </w:p>
        </w:tc>
      </w:tr>
      <w:tr w:rsidR="004D69BF" w:rsidRPr="0044359C" w14:paraId="131DFC15" w14:textId="77777777" w:rsidTr="001D2C2C">
        <w:trPr>
          <w:trHeight w:val="330"/>
        </w:trPr>
        <w:tc>
          <w:tcPr>
            <w:tcW w:w="2424" w:type="pct"/>
            <w:tcBorders>
              <w:top w:val="nil"/>
              <w:left w:val="nil"/>
              <w:bottom w:val="nil"/>
              <w:right w:val="nil"/>
            </w:tcBorders>
            <w:shd w:val="clear" w:color="auto" w:fill="auto"/>
            <w:vAlign w:val="center"/>
            <w:hideMark/>
          </w:tcPr>
          <w:p w14:paraId="3FF7016C" w14:textId="77777777" w:rsidR="004D69BF" w:rsidRPr="0044359C" w:rsidRDefault="004D69BF" w:rsidP="000240DA">
            <w:pPr>
              <w:spacing w:line="240" w:lineRule="auto"/>
              <w:rPr>
                <w:color w:val="000000"/>
                <w:sz w:val="18"/>
                <w:szCs w:val="18"/>
              </w:rPr>
            </w:pPr>
            <w:r w:rsidRPr="0044359C">
              <w:rPr>
                <w:color w:val="000000"/>
                <w:sz w:val="18"/>
                <w:szCs w:val="18"/>
              </w:rPr>
              <w:t>Poľnohospodárske fondy 4. programové obdobie</w:t>
            </w:r>
          </w:p>
        </w:tc>
        <w:tc>
          <w:tcPr>
            <w:tcW w:w="515" w:type="pct"/>
            <w:tcBorders>
              <w:top w:val="nil"/>
              <w:left w:val="nil"/>
              <w:bottom w:val="nil"/>
              <w:right w:val="nil"/>
            </w:tcBorders>
            <w:shd w:val="clear" w:color="auto" w:fill="auto"/>
            <w:noWrap/>
            <w:vAlign w:val="center"/>
            <w:hideMark/>
          </w:tcPr>
          <w:p w14:paraId="01FE7091" w14:textId="77777777" w:rsidR="004D69BF" w:rsidRPr="0044359C" w:rsidRDefault="004D69BF" w:rsidP="000240DA">
            <w:pPr>
              <w:spacing w:line="240" w:lineRule="auto"/>
              <w:jc w:val="right"/>
              <w:rPr>
                <w:color w:val="000000"/>
                <w:sz w:val="18"/>
                <w:szCs w:val="18"/>
              </w:rPr>
            </w:pPr>
            <w:r w:rsidRPr="0044359C">
              <w:rPr>
                <w:color w:val="000000"/>
                <w:sz w:val="18"/>
                <w:szCs w:val="18"/>
              </w:rPr>
              <w:t>0</w:t>
            </w:r>
          </w:p>
        </w:tc>
        <w:tc>
          <w:tcPr>
            <w:tcW w:w="515" w:type="pct"/>
            <w:tcBorders>
              <w:top w:val="nil"/>
              <w:left w:val="nil"/>
              <w:bottom w:val="nil"/>
              <w:right w:val="nil"/>
            </w:tcBorders>
            <w:shd w:val="clear" w:color="auto" w:fill="auto"/>
            <w:noWrap/>
            <w:vAlign w:val="center"/>
            <w:hideMark/>
          </w:tcPr>
          <w:p w14:paraId="19312679" w14:textId="77777777" w:rsidR="004D69BF" w:rsidRPr="0044359C" w:rsidRDefault="004D69BF" w:rsidP="000240DA">
            <w:pPr>
              <w:spacing w:line="240" w:lineRule="auto"/>
              <w:jc w:val="right"/>
              <w:rPr>
                <w:color w:val="000000"/>
                <w:sz w:val="18"/>
                <w:szCs w:val="18"/>
              </w:rPr>
            </w:pPr>
            <w:r w:rsidRPr="0044359C">
              <w:rPr>
                <w:color w:val="000000"/>
                <w:sz w:val="18"/>
                <w:szCs w:val="18"/>
              </w:rPr>
              <w:t>124 883</w:t>
            </w:r>
          </w:p>
        </w:tc>
        <w:tc>
          <w:tcPr>
            <w:tcW w:w="515" w:type="pct"/>
            <w:tcBorders>
              <w:top w:val="nil"/>
              <w:left w:val="nil"/>
              <w:bottom w:val="nil"/>
              <w:right w:val="nil"/>
            </w:tcBorders>
            <w:shd w:val="clear" w:color="auto" w:fill="auto"/>
            <w:noWrap/>
            <w:vAlign w:val="center"/>
            <w:hideMark/>
          </w:tcPr>
          <w:p w14:paraId="0D9DA17E" w14:textId="77777777" w:rsidR="004D69BF" w:rsidRPr="0044359C" w:rsidRDefault="004D69BF" w:rsidP="000240DA">
            <w:pPr>
              <w:spacing w:line="240" w:lineRule="auto"/>
              <w:jc w:val="right"/>
              <w:rPr>
                <w:color w:val="000000"/>
                <w:sz w:val="18"/>
                <w:szCs w:val="18"/>
              </w:rPr>
            </w:pPr>
            <w:r w:rsidRPr="0044359C">
              <w:rPr>
                <w:color w:val="000000"/>
                <w:sz w:val="18"/>
                <w:szCs w:val="18"/>
              </w:rPr>
              <w:t>641 728</w:t>
            </w:r>
          </w:p>
        </w:tc>
        <w:tc>
          <w:tcPr>
            <w:tcW w:w="515" w:type="pct"/>
            <w:tcBorders>
              <w:top w:val="nil"/>
              <w:left w:val="nil"/>
              <w:bottom w:val="nil"/>
              <w:right w:val="nil"/>
            </w:tcBorders>
            <w:shd w:val="clear" w:color="auto" w:fill="auto"/>
            <w:noWrap/>
            <w:vAlign w:val="center"/>
            <w:hideMark/>
          </w:tcPr>
          <w:p w14:paraId="7349055C" w14:textId="77777777" w:rsidR="004D69BF" w:rsidRPr="0044359C" w:rsidRDefault="004D69BF" w:rsidP="000240DA">
            <w:pPr>
              <w:spacing w:line="240" w:lineRule="auto"/>
              <w:jc w:val="right"/>
              <w:rPr>
                <w:color w:val="000000"/>
                <w:sz w:val="18"/>
                <w:szCs w:val="18"/>
              </w:rPr>
            </w:pPr>
            <w:r w:rsidRPr="0044359C">
              <w:rPr>
                <w:color w:val="000000"/>
                <w:sz w:val="18"/>
                <w:szCs w:val="18"/>
              </w:rPr>
              <w:t>770 310</w:t>
            </w:r>
          </w:p>
        </w:tc>
        <w:tc>
          <w:tcPr>
            <w:tcW w:w="515" w:type="pct"/>
            <w:tcBorders>
              <w:top w:val="nil"/>
              <w:left w:val="nil"/>
              <w:bottom w:val="nil"/>
              <w:right w:val="nil"/>
            </w:tcBorders>
            <w:shd w:val="clear" w:color="auto" w:fill="auto"/>
            <w:noWrap/>
            <w:vAlign w:val="center"/>
            <w:hideMark/>
          </w:tcPr>
          <w:p w14:paraId="535F892A" w14:textId="77777777" w:rsidR="004D69BF" w:rsidRPr="0044359C" w:rsidRDefault="004D69BF" w:rsidP="000240DA">
            <w:pPr>
              <w:spacing w:line="240" w:lineRule="auto"/>
              <w:jc w:val="right"/>
              <w:rPr>
                <w:color w:val="000000"/>
                <w:sz w:val="18"/>
                <w:szCs w:val="18"/>
              </w:rPr>
            </w:pPr>
            <w:r w:rsidRPr="0044359C">
              <w:rPr>
                <w:color w:val="000000"/>
                <w:sz w:val="18"/>
                <w:szCs w:val="18"/>
              </w:rPr>
              <w:t>128 582</w:t>
            </w:r>
          </w:p>
        </w:tc>
      </w:tr>
      <w:tr w:rsidR="004D69BF" w:rsidRPr="0044359C" w14:paraId="0C105CF0" w14:textId="77777777" w:rsidTr="001D2C2C">
        <w:trPr>
          <w:trHeight w:val="330"/>
        </w:trPr>
        <w:tc>
          <w:tcPr>
            <w:tcW w:w="2424" w:type="pct"/>
            <w:tcBorders>
              <w:top w:val="nil"/>
              <w:left w:val="nil"/>
              <w:bottom w:val="nil"/>
              <w:right w:val="nil"/>
            </w:tcBorders>
            <w:shd w:val="clear" w:color="auto" w:fill="auto"/>
            <w:vAlign w:val="center"/>
            <w:hideMark/>
          </w:tcPr>
          <w:p w14:paraId="005C73B8" w14:textId="77777777" w:rsidR="004D69BF" w:rsidRPr="0044359C" w:rsidRDefault="004D69BF" w:rsidP="000240DA">
            <w:pPr>
              <w:spacing w:line="240" w:lineRule="auto"/>
              <w:rPr>
                <w:b/>
                <w:bCs/>
                <w:color w:val="000000"/>
                <w:sz w:val="18"/>
                <w:szCs w:val="18"/>
              </w:rPr>
            </w:pPr>
            <w:r w:rsidRPr="0044359C">
              <w:rPr>
                <w:b/>
                <w:bCs/>
                <w:color w:val="000000"/>
                <w:sz w:val="18"/>
                <w:szCs w:val="18"/>
              </w:rPr>
              <w:t>Poľnohospodárske fondy spolu - MPRV SR</w:t>
            </w:r>
          </w:p>
        </w:tc>
        <w:tc>
          <w:tcPr>
            <w:tcW w:w="515" w:type="pct"/>
            <w:tcBorders>
              <w:top w:val="nil"/>
              <w:left w:val="nil"/>
              <w:bottom w:val="nil"/>
              <w:right w:val="nil"/>
            </w:tcBorders>
            <w:shd w:val="clear" w:color="auto" w:fill="auto"/>
            <w:noWrap/>
            <w:vAlign w:val="center"/>
            <w:hideMark/>
          </w:tcPr>
          <w:p w14:paraId="75D01542" w14:textId="77777777" w:rsidR="004D69BF" w:rsidRPr="0044359C" w:rsidRDefault="004D69BF" w:rsidP="000240DA">
            <w:pPr>
              <w:spacing w:line="240" w:lineRule="auto"/>
              <w:jc w:val="right"/>
              <w:rPr>
                <w:b/>
                <w:bCs/>
                <w:color w:val="000000"/>
                <w:sz w:val="18"/>
                <w:szCs w:val="18"/>
              </w:rPr>
            </w:pPr>
            <w:r w:rsidRPr="0044359C">
              <w:rPr>
                <w:b/>
                <w:bCs/>
                <w:color w:val="000000"/>
                <w:sz w:val="18"/>
                <w:szCs w:val="18"/>
              </w:rPr>
              <w:t>371 783</w:t>
            </w:r>
          </w:p>
        </w:tc>
        <w:tc>
          <w:tcPr>
            <w:tcW w:w="515" w:type="pct"/>
            <w:tcBorders>
              <w:top w:val="nil"/>
              <w:left w:val="nil"/>
              <w:bottom w:val="nil"/>
              <w:right w:val="nil"/>
            </w:tcBorders>
            <w:shd w:val="clear" w:color="auto" w:fill="auto"/>
            <w:noWrap/>
            <w:vAlign w:val="center"/>
            <w:hideMark/>
          </w:tcPr>
          <w:p w14:paraId="4ACC86C1" w14:textId="77777777" w:rsidR="004D69BF" w:rsidRPr="0044359C" w:rsidRDefault="004D69BF" w:rsidP="000240DA">
            <w:pPr>
              <w:spacing w:line="240" w:lineRule="auto"/>
              <w:jc w:val="right"/>
              <w:rPr>
                <w:b/>
                <w:bCs/>
                <w:color w:val="000000"/>
                <w:sz w:val="18"/>
                <w:szCs w:val="18"/>
              </w:rPr>
            </w:pPr>
            <w:r w:rsidRPr="0044359C">
              <w:rPr>
                <w:b/>
                <w:bCs/>
                <w:color w:val="000000"/>
                <w:sz w:val="18"/>
                <w:szCs w:val="18"/>
              </w:rPr>
              <w:t>494 265</w:t>
            </w:r>
          </w:p>
        </w:tc>
        <w:tc>
          <w:tcPr>
            <w:tcW w:w="515" w:type="pct"/>
            <w:tcBorders>
              <w:top w:val="nil"/>
              <w:left w:val="nil"/>
              <w:bottom w:val="nil"/>
              <w:right w:val="nil"/>
            </w:tcBorders>
            <w:shd w:val="clear" w:color="auto" w:fill="auto"/>
            <w:noWrap/>
            <w:vAlign w:val="center"/>
            <w:hideMark/>
          </w:tcPr>
          <w:p w14:paraId="235A730E" w14:textId="77777777" w:rsidR="004D69BF" w:rsidRPr="0044359C" w:rsidRDefault="004D69BF" w:rsidP="000240DA">
            <w:pPr>
              <w:spacing w:line="240" w:lineRule="auto"/>
              <w:jc w:val="right"/>
              <w:rPr>
                <w:b/>
                <w:bCs/>
                <w:color w:val="000000"/>
                <w:sz w:val="18"/>
                <w:szCs w:val="18"/>
              </w:rPr>
            </w:pPr>
            <w:r w:rsidRPr="0044359C">
              <w:rPr>
                <w:b/>
                <w:bCs/>
                <w:color w:val="000000"/>
                <w:sz w:val="18"/>
                <w:szCs w:val="18"/>
              </w:rPr>
              <w:t>756 894</w:t>
            </w:r>
          </w:p>
        </w:tc>
        <w:tc>
          <w:tcPr>
            <w:tcW w:w="515" w:type="pct"/>
            <w:tcBorders>
              <w:top w:val="nil"/>
              <w:left w:val="nil"/>
              <w:bottom w:val="nil"/>
              <w:right w:val="nil"/>
            </w:tcBorders>
            <w:shd w:val="clear" w:color="auto" w:fill="auto"/>
            <w:noWrap/>
            <w:vAlign w:val="center"/>
            <w:hideMark/>
          </w:tcPr>
          <w:p w14:paraId="5FFCAADD" w14:textId="77777777" w:rsidR="004D69BF" w:rsidRPr="0044359C" w:rsidRDefault="004D69BF" w:rsidP="000240DA">
            <w:pPr>
              <w:spacing w:line="240" w:lineRule="auto"/>
              <w:jc w:val="right"/>
              <w:rPr>
                <w:b/>
                <w:bCs/>
                <w:color w:val="000000"/>
                <w:sz w:val="18"/>
                <w:szCs w:val="18"/>
              </w:rPr>
            </w:pPr>
            <w:r w:rsidRPr="0044359C">
              <w:rPr>
                <w:b/>
                <w:bCs/>
                <w:color w:val="000000"/>
                <w:sz w:val="18"/>
                <w:szCs w:val="18"/>
              </w:rPr>
              <w:t>918 003</w:t>
            </w:r>
          </w:p>
        </w:tc>
        <w:tc>
          <w:tcPr>
            <w:tcW w:w="515" w:type="pct"/>
            <w:tcBorders>
              <w:top w:val="nil"/>
              <w:left w:val="nil"/>
              <w:bottom w:val="nil"/>
              <w:right w:val="nil"/>
            </w:tcBorders>
            <w:shd w:val="clear" w:color="auto" w:fill="auto"/>
            <w:noWrap/>
            <w:vAlign w:val="center"/>
            <w:hideMark/>
          </w:tcPr>
          <w:p w14:paraId="7B33C4C3" w14:textId="77777777" w:rsidR="004D69BF" w:rsidRPr="0044359C" w:rsidRDefault="004D69BF" w:rsidP="000240DA">
            <w:pPr>
              <w:spacing w:line="240" w:lineRule="auto"/>
              <w:jc w:val="right"/>
              <w:rPr>
                <w:b/>
                <w:bCs/>
                <w:color w:val="000000"/>
                <w:sz w:val="18"/>
                <w:szCs w:val="18"/>
              </w:rPr>
            </w:pPr>
            <w:r w:rsidRPr="0044359C">
              <w:rPr>
                <w:b/>
                <w:bCs/>
                <w:color w:val="000000"/>
                <w:sz w:val="18"/>
                <w:szCs w:val="18"/>
              </w:rPr>
              <w:t>161 109</w:t>
            </w:r>
          </w:p>
        </w:tc>
      </w:tr>
      <w:tr w:rsidR="004D69BF" w:rsidRPr="0044359C" w14:paraId="3486F894" w14:textId="77777777" w:rsidTr="001D2C2C">
        <w:trPr>
          <w:trHeight w:val="510"/>
        </w:trPr>
        <w:tc>
          <w:tcPr>
            <w:tcW w:w="2424" w:type="pct"/>
            <w:tcBorders>
              <w:top w:val="nil"/>
              <w:left w:val="nil"/>
              <w:bottom w:val="nil"/>
              <w:right w:val="nil"/>
            </w:tcBorders>
            <w:shd w:val="clear" w:color="auto" w:fill="auto"/>
            <w:vAlign w:val="center"/>
            <w:hideMark/>
          </w:tcPr>
          <w:p w14:paraId="6ACA0C79" w14:textId="77777777" w:rsidR="004D69BF" w:rsidRPr="0044359C" w:rsidRDefault="004D69BF" w:rsidP="000240DA">
            <w:pPr>
              <w:spacing w:line="240" w:lineRule="auto"/>
              <w:rPr>
                <w:color w:val="000000"/>
                <w:sz w:val="18"/>
                <w:szCs w:val="18"/>
              </w:rPr>
            </w:pPr>
            <w:r w:rsidRPr="0044359C">
              <w:rPr>
                <w:color w:val="000000"/>
                <w:sz w:val="18"/>
                <w:szCs w:val="18"/>
              </w:rPr>
              <w:t xml:space="preserve">Štrukturálne fondy, Kohézny fond, Európsky fond pre rybné hospodárstvo 2. programové obdobie </w:t>
            </w:r>
          </w:p>
        </w:tc>
        <w:tc>
          <w:tcPr>
            <w:tcW w:w="515" w:type="pct"/>
            <w:tcBorders>
              <w:top w:val="nil"/>
              <w:left w:val="nil"/>
              <w:bottom w:val="nil"/>
              <w:right w:val="nil"/>
            </w:tcBorders>
            <w:shd w:val="clear" w:color="auto" w:fill="auto"/>
            <w:noWrap/>
            <w:vAlign w:val="center"/>
            <w:hideMark/>
          </w:tcPr>
          <w:p w14:paraId="644D5B04" w14:textId="77777777" w:rsidR="004D69BF" w:rsidRPr="0044359C" w:rsidRDefault="004D69BF" w:rsidP="000240DA">
            <w:pPr>
              <w:spacing w:line="240" w:lineRule="auto"/>
              <w:jc w:val="right"/>
              <w:rPr>
                <w:color w:val="000000"/>
                <w:sz w:val="18"/>
                <w:szCs w:val="18"/>
              </w:rPr>
            </w:pPr>
            <w:r w:rsidRPr="0044359C">
              <w:rPr>
                <w:color w:val="000000"/>
                <w:sz w:val="18"/>
                <w:szCs w:val="18"/>
              </w:rPr>
              <w:t>2 786</w:t>
            </w:r>
          </w:p>
        </w:tc>
        <w:tc>
          <w:tcPr>
            <w:tcW w:w="515" w:type="pct"/>
            <w:tcBorders>
              <w:top w:val="nil"/>
              <w:left w:val="nil"/>
              <w:bottom w:val="nil"/>
              <w:right w:val="nil"/>
            </w:tcBorders>
            <w:shd w:val="clear" w:color="auto" w:fill="auto"/>
            <w:noWrap/>
            <w:vAlign w:val="center"/>
            <w:hideMark/>
          </w:tcPr>
          <w:p w14:paraId="06A99960" w14:textId="77777777" w:rsidR="004D69BF" w:rsidRPr="0044359C" w:rsidRDefault="004D69BF" w:rsidP="000240DA">
            <w:pPr>
              <w:spacing w:line="240" w:lineRule="auto"/>
              <w:jc w:val="right"/>
              <w:rPr>
                <w:color w:val="000000"/>
                <w:sz w:val="18"/>
                <w:szCs w:val="18"/>
              </w:rPr>
            </w:pPr>
            <w:r w:rsidRPr="0044359C">
              <w:rPr>
                <w:color w:val="000000"/>
                <w:sz w:val="18"/>
                <w:szCs w:val="18"/>
              </w:rPr>
              <w:t>11 365</w:t>
            </w:r>
          </w:p>
        </w:tc>
        <w:tc>
          <w:tcPr>
            <w:tcW w:w="515" w:type="pct"/>
            <w:tcBorders>
              <w:top w:val="nil"/>
              <w:left w:val="nil"/>
              <w:bottom w:val="nil"/>
              <w:right w:val="nil"/>
            </w:tcBorders>
            <w:shd w:val="clear" w:color="auto" w:fill="auto"/>
            <w:noWrap/>
            <w:vAlign w:val="center"/>
            <w:hideMark/>
          </w:tcPr>
          <w:p w14:paraId="336DA116" w14:textId="77777777" w:rsidR="004D69BF" w:rsidRPr="0044359C" w:rsidRDefault="004D69BF" w:rsidP="000240DA">
            <w:pPr>
              <w:spacing w:line="240" w:lineRule="auto"/>
              <w:jc w:val="right"/>
              <w:rPr>
                <w:color w:val="000000"/>
                <w:sz w:val="18"/>
                <w:szCs w:val="18"/>
              </w:rPr>
            </w:pPr>
            <w:r w:rsidRPr="0044359C">
              <w:rPr>
                <w:color w:val="000000"/>
                <w:sz w:val="18"/>
                <w:szCs w:val="18"/>
              </w:rPr>
              <w:t>0</w:t>
            </w:r>
          </w:p>
        </w:tc>
        <w:tc>
          <w:tcPr>
            <w:tcW w:w="515" w:type="pct"/>
            <w:tcBorders>
              <w:top w:val="nil"/>
              <w:left w:val="nil"/>
              <w:bottom w:val="nil"/>
              <w:right w:val="nil"/>
            </w:tcBorders>
            <w:shd w:val="clear" w:color="auto" w:fill="auto"/>
            <w:noWrap/>
            <w:vAlign w:val="center"/>
            <w:hideMark/>
          </w:tcPr>
          <w:p w14:paraId="0FC99F17" w14:textId="77777777" w:rsidR="004D69BF" w:rsidRPr="0044359C" w:rsidRDefault="004D69BF" w:rsidP="000240DA">
            <w:pPr>
              <w:spacing w:line="240" w:lineRule="auto"/>
              <w:jc w:val="right"/>
              <w:rPr>
                <w:color w:val="000000"/>
                <w:sz w:val="18"/>
                <w:szCs w:val="18"/>
              </w:rPr>
            </w:pPr>
            <w:r w:rsidRPr="0044359C">
              <w:rPr>
                <w:color w:val="000000"/>
                <w:sz w:val="18"/>
                <w:szCs w:val="18"/>
              </w:rPr>
              <w:t>12 053</w:t>
            </w:r>
          </w:p>
        </w:tc>
        <w:tc>
          <w:tcPr>
            <w:tcW w:w="515" w:type="pct"/>
            <w:tcBorders>
              <w:top w:val="nil"/>
              <w:left w:val="nil"/>
              <w:bottom w:val="nil"/>
              <w:right w:val="nil"/>
            </w:tcBorders>
            <w:shd w:val="clear" w:color="auto" w:fill="auto"/>
            <w:noWrap/>
            <w:vAlign w:val="center"/>
            <w:hideMark/>
          </w:tcPr>
          <w:p w14:paraId="44E8DD84" w14:textId="77777777" w:rsidR="004D69BF" w:rsidRPr="0044359C" w:rsidRDefault="004D69BF" w:rsidP="000240DA">
            <w:pPr>
              <w:spacing w:line="240" w:lineRule="auto"/>
              <w:jc w:val="right"/>
              <w:rPr>
                <w:color w:val="000000"/>
                <w:sz w:val="18"/>
                <w:szCs w:val="18"/>
              </w:rPr>
            </w:pPr>
            <w:r w:rsidRPr="0044359C">
              <w:rPr>
                <w:color w:val="000000"/>
                <w:sz w:val="18"/>
                <w:szCs w:val="18"/>
              </w:rPr>
              <w:t>12 053</w:t>
            </w:r>
          </w:p>
        </w:tc>
      </w:tr>
      <w:tr w:rsidR="004D69BF" w:rsidRPr="0044359C" w14:paraId="273A5EE9" w14:textId="77777777" w:rsidTr="001D2C2C">
        <w:trPr>
          <w:trHeight w:val="510"/>
        </w:trPr>
        <w:tc>
          <w:tcPr>
            <w:tcW w:w="2424" w:type="pct"/>
            <w:tcBorders>
              <w:top w:val="nil"/>
              <w:left w:val="nil"/>
              <w:bottom w:val="nil"/>
              <w:right w:val="nil"/>
            </w:tcBorders>
            <w:shd w:val="clear" w:color="auto" w:fill="auto"/>
            <w:vAlign w:val="center"/>
            <w:hideMark/>
          </w:tcPr>
          <w:p w14:paraId="38FB279F" w14:textId="77777777" w:rsidR="004D69BF" w:rsidRPr="0044359C" w:rsidRDefault="004D69BF" w:rsidP="000240DA">
            <w:pPr>
              <w:spacing w:line="240" w:lineRule="auto"/>
              <w:rPr>
                <w:color w:val="000000"/>
                <w:sz w:val="18"/>
                <w:szCs w:val="18"/>
              </w:rPr>
            </w:pPr>
            <w:r w:rsidRPr="0044359C">
              <w:rPr>
                <w:color w:val="000000"/>
                <w:sz w:val="18"/>
                <w:szCs w:val="18"/>
              </w:rPr>
              <w:t xml:space="preserve">Štrukturálne fondy, Kohézny fond, Európsky námorný a rybársky fond 3. programové obdobie </w:t>
            </w:r>
          </w:p>
        </w:tc>
        <w:tc>
          <w:tcPr>
            <w:tcW w:w="515" w:type="pct"/>
            <w:tcBorders>
              <w:top w:val="nil"/>
              <w:left w:val="nil"/>
              <w:bottom w:val="nil"/>
              <w:right w:val="nil"/>
            </w:tcBorders>
            <w:shd w:val="clear" w:color="auto" w:fill="auto"/>
            <w:noWrap/>
            <w:vAlign w:val="center"/>
            <w:hideMark/>
          </w:tcPr>
          <w:p w14:paraId="162BE125" w14:textId="77777777" w:rsidR="004D69BF" w:rsidRPr="0044359C" w:rsidRDefault="004D69BF" w:rsidP="000240DA">
            <w:pPr>
              <w:spacing w:line="240" w:lineRule="auto"/>
              <w:jc w:val="right"/>
              <w:rPr>
                <w:color w:val="000000"/>
                <w:sz w:val="18"/>
                <w:szCs w:val="18"/>
              </w:rPr>
            </w:pPr>
            <w:r w:rsidRPr="0044359C">
              <w:rPr>
                <w:color w:val="000000"/>
                <w:sz w:val="18"/>
                <w:szCs w:val="18"/>
              </w:rPr>
              <w:t>1 743 444</w:t>
            </w:r>
          </w:p>
        </w:tc>
        <w:tc>
          <w:tcPr>
            <w:tcW w:w="515" w:type="pct"/>
            <w:tcBorders>
              <w:top w:val="nil"/>
              <w:left w:val="nil"/>
              <w:bottom w:val="nil"/>
              <w:right w:val="nil"/>
            </w:tcBorders>
            <w:shd w:val="clear" w:color="auto" w:fill="auto"/>
            <w:noWrap/>
            <w:vAlign w:val="center"/>
            <w:hideMark/>
          </w:tcPr>
          <w:p w14:paraId="2C690EE0" w14:textId="77777777" w:rsidR="004D69BF" w:rsidRPr="0044359C" w:rsidRDefault="004D69BF" w:rsidP="000240DA">
            <w:pPr>
              <w:spacing w:line="240" w:lineRule="auto"/>
              <w:jc w:val="right"/>
              <w:rPr>
                <w:color w:val="000000"/>
                <w:sz w:val="18"/>
                <w:szCs w:val="18"/>
              </w:rPr>
            </w:pPr>
            <w:r w:rsidRPr="0044359C">
              <w:rPr>
                <w:color w:val="000000"/>
                <w:sz w:val="18"/>
                <w:szCs w:val="18"/>
              </w:rPr>
              <w:t>3 597 597</w:t>
            </w:r>
          </w:p>
        </w:tc>
        <w:tc>
          <w:tcPr>
            <w:tcW w:w="515" w:type="pct"/>
            <w:tcBorders>
              <w:top w:val="nil"/>
              <w:left w:val="nil"/>
              <w:bottom w:val="nil"/>
              <w:right w:val="nil"/>
            </w:tcBorders>
            <w:shd w:val="clear" w:color="auto" w:fill="auto"/>
            <w:noWrap/>
            <w:vAlign w:val="center"/>
            <w:hideMark/>
          </w:tcPr>
          <w:p w14:paraId="556C7753" w14:textId="77777777" w:rsidR="004D69BF" w:rsidRPr="0044359C" w:rsidRDefault="004D69BF" w:rsidP="000240DA">
            <w:pPr>
              <w:spacing w:line="240" w:lineRule="auto"/>
              <w:jc w:val="right"/>
              <w:rPr>
                <w:color w:val="000000"/>
                <w:sz w:val="18"/>
                <w:szCs w:val="18"/>
              </w:rPr>
            </w:pPr>
            <w:r w:rsidRPr="0044359C">
              <w:rPr>
                <w:color w:val="000000"/>
                <w:sz w:val="18"/>
                <w:szCs w:val="18"/>
              </w:rPr>
              <w:t>0</w:t>
            </w:r>
          </w:p>
        </w:tc>
        <w:tc>
          <w:tcPr>
            <w:tcW w:w="515" w:type="pct"/>
            <w:tcBorders>
              <w:top w:val="nil"/>
              <w:left w:val="nil"/>
              <w:bottom w:val="nil"/>
              <w:right w:val="nil"/>
            </w:tcBorders>
            <w:shd w:val="clear" w:color="auto" w:fill="auto"/>
            <w:noWrap/>
            <w:vAlign w:val="center"/>
            <w:hideMark/>
          </w:tcPr>
          <w:p w14:paraId="3D2A7DB9" w14:textId="77777777" w:rsidR="004D69BF" w:rsidRPr="0044359C" w:rsidRDefault="004D69BF" w:rsidP="000240DA">
            <w:pPr>
              <w:spacing w:line="240" w:lineRule="auto"/>
              <w:jc w:val="right"/>
              <w:rPr>
                <w:color w:val="000000"/>
                <w:sz w:val="18"/>
                <w:szCs w:val="18"/>
              </w:rPr>
            </w:pPr>
            <w:r w:rsidRPr="0044359C">
              <w:rPr>
                <w:color w:val="000000"/>
                <w:sz w:val="18"/>
                <w:szCs w:val="18"/>
              </w:rPr>
              <w:t>1 865 524</w:t>
            </w:r>
          </w:p>
        </w:tc>
        <w:tc>
          <w:tcPr>
            <w:tcW w:w="515" w:type="pct"/>
            <w:tcBorders>
              <w:top w:val="nil"/>
              <w:left w:val="nil"/>
              <w:bottom w:val="nil"/>
              <w:right w:val="nil"/>
            </w:tcBorders>
            <w:shd w:val="clear" w:color="auto" w:fill="auto"/>
            <w:noWrap/>
            <w:vAlign w:val="center"/>
            <w:hideMark/>
          </w:tcPr>
          <w:p w14:paraId="2226027E" w14:textId="77777777" w:rsidR="004D69BF" w:rsidRPr="0044359C" w:rsidRDefault="004D69BF" w:rsidP="000240DA">
            <w:pPr>
              <w:spacing w:line="240" w:lineRule="auto"/>
              <w:jc w:val="right"/>
              <w:rPr>
                <w:color w:val="000000"/>
                <w:sz w:val="18"/>
                <w:szCs w:val="18"/>
              </w:rPr>
            </w:pPr>
            <w:r w:rsidRPr="0044359C">
              <w:rPr>
                <w:color w:val="000000"/>
                <w:sz w:val="18"/>
                <w:szCs w:val="18"/>
              </w:rPr>
              <w:t>1 865 524</w:t>
            </w:r>
          </w:p>
        </w:tc>
      </w:tr>
      <w:tr w:rsidR="004D69BF" w:rsidRPr="0044359C" w14:paraId="37F99A96" w14:textId="77777777" w:rsidTr="001D2C2C">
        <w:trPr>
          <w:trHeight w:val="510"/>
        </w:trPr>
        <w:tc>
          <w:tcPr>
            <w:tcW w:w="2424" w:type="pct"/>
            <w:tcBorders>
              <w:top w:val="nil"/>
              <w:left w:val="nil"/>
              <w:bottom w:val="nil"/>
              <w:right w:val="nil"/>
            </w:tcBorders>
            <w:shd w:val="clear" w:color="auto" w:fill="auto"/>
            <w:vAlign w:val="center"/>
            <w:hideMark/>
          </w:tcPr>
          <w:p w14:paraId="0557E0E6" w14:textId="77777777" w:rsidR="004D69BF" w:rsidRPr="0044359C" w:rsidRDefault="004D69BF" w:rsidP="000240DA">
            <w:pPr>
              <w:spacing w:line="240" w:lineRule="auto"/>
              <w:rPr>
                <w:color w:val="000000"/>
                <w:sz w:val="18"/>
                <w:szCs w:val="18"/>
              </w:rPr>
            </w:pPr>
            <w:r w:rsidRPr="0044359C">
              <w:rPr>
                <w:color w:val="000000"/>
                <w:sz w:val="18"/>
                <w:szCs w:val="18"/>
              </w:rPr>
              <w:t>Program Slovensko a Európsky námorný, rybolovný a akvakultúrny fond 4. programové obdobie</w:t>
            </w:r>
          </w:p>
        </w:tc>
        <w:tc>
          <w:tcPr>
            <w:tcW w:w="515" w:type="pct"/>
            <w:tcBorders>
              <w:top w:val="nil"/>
              <w:left w:val="nil"/>
              <w:bottom w:val="nil"/>
              <w:right w:val="nil"/>
            </w:tcBorders>
            <w:shd w:val="clear" w:color="auto" w:fill="auto"/>
            <w:noWrap/>
            <w:vAlign w:val="center"/>
            <w:hideMark/>
          </w:tcPr>
          <w:p w14:paraId="175B7946" w14:textId="77777777" w:rsidR="004D69BF" w:rsidRPr="0044359C" w:rsidRDefault="004D69BF" w:rsidP="000240DA">
            <w:pPr>
              <w:spacing w:line="240" w:lineRule="auto"/>
              <w:jc w:val="right"/>
              <w:rPr>
                <w:color w:val="000000"/>
                <w:sz w:val="18"/>
                <w:szCs w:val="18"/>
              </w:rPr>
            </w:pPr>
            <w:r w:rsidRPr="0044359C">
              <w:rPr>
                <w:color w:val="000000"/>
                <w:sz w:val="18"/>
                <w:szCs w:val="18"/>
              </w:rPr>
              <w:t>0</w:t>
            </w:r>
          </w:p>
        </w:tc>
        <w:tc>
          <w:tcPr>
            <w:tcW w:w="515" w:type="pct"/>
            <w:tcBorders>
              <w:top w:val="nil"/>
              <w:left w:val="nil"/>
              <w:bottom w:val="nil"/>
              <w:right w:val="nil"/>
            </w:tcBorders>
            <w:shd w:val="clear" w:color="auto" w:fill="auto"/>
            <w:noWrap/>
            <w:vAlign w:val="center"/>
            <w:hideMark/>
          </w:tcPr>
          <w:p w14:paraId="2B48423B" w14:textId="77777777" w:rsidR="004D69BF" w:rsidRPr="0044359C" w:rsidRDefault="004D69BF" w:rsidP="000240DA">
            <w:pPr>
              <w:spacing w:line="240" w:lineRule="auto"/>
              <w:jc w:val="right"/>
              <w:rPr>
                <w:color w:val="000000"/>
                <w:sz w:val="18"/>
                <w:szCs w:val="18"/>
              </w:rPr>
            </w:pPr>
            <w:r w:rsidRPr="0044359C">
              <w:rPr>
                <w:color w:val="000000"/>
                <w:sz w:val="18"/>
                <w:szCs w:val="18"/>
              </w:rPr>
              <w:t>0</w:t>
            </w:r>
          </w:p>
        </w:tc>
        <w:tc>
          <w:tcPr>
            <w:tcW w:w="515" w:type="pct"/>
            <w:tcBorders>
              <w:top w:val="nil"/>
              <w:left w:val="nil"/>
              <w:bottom w:val="nil"/>
              <w:right w:val="nil"/>
            </w:tcBorders>
            <w:shd w:val="clear" w:color="auto" w:fill="auto"/>
            <w:noWrap/>
            <w:vAlign w:val="center"/>
            <w:hideMark/>
          </w:tcPr>
          <w:p w14:paraId="0E219612" w14:textId="77777777" w:rsidR="004D69BF" w:rsidRPr="0044359C" w:rsidRDefault="004D69BF" w:rsidP="000240DA">
            <w:pPr>
              <w:spacing w:line="240" w:lineRule="auto"/>
              <w:jc w:val="right"/>
              <w:rPr>
                <w:color w:val="000000"/>
                <w:sz w:val="18"/>
                <w:szCs w:val="18"/>
              </w:rPr>
            </w:pPr>
            <w:r w:rsidRPr="0044359C">
              <w:rPr>
                <w:color w:val="000000"/>
                <w:sz w:val="18"/>
                <w:szCs w:val="18"/>
              </w:rPr>
              <w:t>459 912</w:t>
            </w:r>
          </w:p>
        </w:tc>
        <w:tc>
          <w:tcPr>
            <w:tcW w:w="515" w:type="pct"/>
            <w:tcBorders>
              <w:top w:val="nil"/>
              <w:left w:val="nil"/>
              <w:bottom w:val="nil"/>
              <w:right w:val="nil"/>
            </w:tcBorders>
            <w:shd w:val="clear" w:color="auto" w:fill="auto"/>
            <w:noWrap/>
            <w:vAlign w:val="center"/>
            <w:hideMark/>
          </w:tcPr>
          <w:p w14:paraId="3986F2B4" w14:textId="77777777" w:rsidR="004D69BF" w:rsidRPr="0044359C" w:rsidRDefault="004D69BF" w:rsidP="000240DA">
            <w:pPr>
              <w:spacing w:line="240" w:lineRule="auto"/>
              <w:jc w:val="right"/>
              <w:rPr>
                <w:color w:val="000000"/>
                <w:sz w:val="18"/>
                <w:szCs w:val="18"/>
              </w:rPr>
            </w:pPr>
            <w:r w:rsidRPr="0044359C">
              <w:rPr>
                <w:color w:val="000000"/>
                <w:sz w:val="18"/>
                <w:szCs w:val="18"/>
              </w:rPr>
              <w:t>382 259</w:t>
            </w:r>
          </w:p>
        </w:tc>
        <w:tc>
          <w:tcPr>
            <w:tcW w:w="515" w:type="pct"/>
            <w:tcBorders>
              <w:top w:val="nil"/>
              <w:left w:val="nil"/>
              <w:bottom w:val="nil"/>
              <w:right w:val="nil"/>
            </w:tcBorders>
            <w:shd w:val="clear" w:color="auto" w:fill="auto"/>
            <w:noWrap/>
            <w:vAlign w:val="center"/>
            <w:hideMark/>
          </w:tcPr>
          <w:p w14:paraId="0919A5C8" w14:textId="77777777" w:rsidR="004D69BF" w:rsidRPr="0044359C" w:rsidRDefault="004D69BF" w:rsidP="000240DA">
            <w:pPr>
              <w:spacing w:line="240" w:lineRule="auto"/>
              <w:jc w:val="right"/>
              <w:rPr>
                <w:color w:val="000000"/>
                <w:sz w:val="18"/>
                <w:szCs w:val="18"/>
              </w:rPr>
            </w:pPr>
            <w:r w:rsidRPr="0044359C">
              <w:rPr>
                <w:color w:val="000000"/>
                <w:sz w:val="18"/>
                <w:szCs w:val="18"/>
              </w:rPr>
              <w:t>-77 653</w:t>
            </w:r>
          </w:p>
        </w:tc>
      </w:tr>
      <w:tr w:rsidR="004D69BF" w:rsidRPr="0044359C" w14:paraId="0A736F2F" w14:textId="77777777" w:rsidTr="001D2C2C">
        <w:trPr>
          <w:trHeight w:val="330"/>
        </w:trPr>
        <w:tc>
          <w:tcPr>
            <w:tcW w:w="2424" w:type="pct"/>
            <w:tcBorders>
              <w:top w:val="nil"/>
              <w:left w:val="nil"/>
              <w:bottom w:val="nil"/>
              <w:right w:val="nil"/>
            </w:tcBorders>
            <w:shd w:val="clear" w:color="auto" w:fill="auto"/>
            <w:vAlign w:val="center"/>
            <w:hideMark/>
          </w:tcPr>
          <w:p w14:paraId="7DAC376B" w14:textId="77777777" w:rsidR="004D69BF" w:rsidRPr="0044359C" w:rsidRDefault="004D69BF" w:rsidP="000240DA">
            <w:pPr>
              <w:spacing w:line="240" w:lineRule="auto"/>
              <w:rPr>
                <w:color w:val="000000"/>
                <w:sz w:val="18"/>
                <w:szCs w:val="18"/>
              </w:rPr>
            </w:pPr>
            <w:r w:rsidRPr="0044359C">
              <w:rPr>
                <w:color w:val="000000"/>
                <w:sz w:val="18"/>
                <w:szCs w:val="18"/>
              </w:rPr>
              <w:t>Programy EÚS 3. programové obdobie (CO MF SR)*</w:t>
            </w:r>
          </w:p>
        </w:tc>
        <w:tc>
          <w:tcPr>
            <w:tcW w:w="515" w:type="pct"/>
            <w:tcBorders>
              <w:top w:val="nil"/>
              <w:left w:val="nil"/>
              <w:bottom w:val="nil"/>
              <w:right w:val="nil"/>
            </w:tcBorders>
            <w:shd w:val="clear" w:color="auto" w:fill="auto"/>
            <w:noWrap/>
            <w:vAlign w:val="center"/>
            <w:hideMark/>
          </w:tcPr>
          <w:p w14:paraId="52D6F649" w14:textId="77777777" w:rsidR="004D69BF" w:rsidRPr="0044359C" w:rsidRDefault="004D69BF" w:rsidP="000240DA">
            <w:pPr>
              <w:spacing w:line="240" w:lineRule="auto"/>
              <w:jc w:val="right"/>
              <w:rPr>
                <w:color w:val="000000"/>
                <w:sz w:val="18"/>
                <w:szCs w:val="18"/>
              </w:rPr>
            </w:pPr>
            <w:r w:rsidRPr="0044359C">
              <w:rPr>
                <w:color w:val="000000"/>
                <w:sz w:val="18"/>
                <w:szCs w:val="18"/>
              </w:rPr>
              <w:t>26 442</w:t>
            </w:r>
          </w:p>
        </w:tc>
        <w:tc>
          <w:tcPr>
            <w:tcW w:w="515" w:type="pct"/>
            <w:tcBorders>
              <w:top w:val="nil"/>
              <w:left w:val="nil"/>
              <w:bottom w:val="nil"/>
              <w:right w:val="nil"/>
            </w:tcBorders>
            <w:shd w:val="clear" w:color="auto" w:fill="auto"/>
            <w:noWrap/>
            <w:vAlign w:val="center"/>
            <w:hideMark/>
          </w:tcPr>
          <w:p w14:paraId="1BB33673" w14:textId="77777777" w:rsidR="004D69BF" w:rsidRPr="0044359C" w:rsidRDefault="004D69BF" w:rsidP="000240DA">
            <w:pPr>
              <w:spacing w:line="240" w:lineRule="auto"/>
              <w:jc w:val="right"/>
              <w:rPr>
                <w:color w:val="000000"/>
                <w:sz w:val="18"/>
                <w:szCs w:val="18"/>
              </w:rPr>
            </w:pPr>
            <w:r w:rsidRPr="0044359C">
              <w:rPr>
                <w:color w:val="000000"/>
                <w:sz w:val="18"/>
                <w:szCs w:val="18"/>
              </w:rPr>
              <w:t>31 436</w:t>
            </w:r>
          </w:p>
        </w:tc>
        <w:tc>
          <w:tcPr>
            <w:tcW w:w="515" w:type="pct"/>
            <w:tcBorders>
              <w:top w:val="nil"/>
              <w:left w:val="nil"/>
              <w:bottom w:val="nil"/>
              <w:right w:val="nil"/>
            </w:tcBorders>
            <w:shd w:val="clear" w:color="auto" w:fill="auto"/>
            <w:noWrap/>
            <w:vAlign w:val="center"/>
            <w:hideMark/>
          </w:tcPr>
          <w:p w14:paraId="453C8AC8" w14:textId="77777777" w:rsidR="004D69BF" w:rsidRPr="0044359C" w:rsidRDefault="004D69BF" w:rsidP="000240DA">
            <w:pPr>
              <w:spacing w:line="240" w:lineRule="auto"/>
              <w:jc w:val="right"/>
              <w:rPr>
                <w:color w:val="000000"/>
                <w:sz w:val="18"/>
                <w:szCs w:val="18"/>
              </w:rPr>
            </w:pPr>
            <w:r w:rsidRPr="0044359C">
              <w:rPr>
                <w:color w:val="000000"/>
                <w:sz w:val="18"/>
                <w:szCs w:val="18"/>
              </w:rPr>
              <w:t>0</w:t>
            </w:r>
          </w:p>
        </w:tc>
        <w:tc>
          <w:tcPr>
            <w:tcW w:w="515" w:type="pct"/>
            <w:tcBorders>
              <w:top w:val="nil"/>
              <w:left w:val="nil"/>
              <w:bottom w:val="nil"/>
              <w:right w:val="nil"/>
            </w:tcBorders>
            <w:shd w:val="clear" w:color="auto" w:fill="auto"/>
            <w:noWrap/>
            <w:vAlign w:val="center"/>
            <w:hideMark/>
          </w:tcPr>
          <w:p w14:paraId="3EA4EC8E" w14:textId="77777777" w:rsidR="004D69BF" w:rsidRPr="0044359C" w:rsidRDefault="004D69BF" w:rsidP="000240DA">
            <w:pPr>
              <w:spacing w:line="240" w:lineRule="auto"/>
              <w:jc w:val="right"/>
              <w:rPr>
                <w:color w:val="000000"/>
                <w:sz w:val="18"/>
                <w:szCs w:val="18"/>
              </w:rPr>
            </w:pPr>
            <w:r w:rsidRPr="0044359C">
              <w:rPr>
                <w:color w:val="000000"/>
                <w:sz w:val="18"/>
                <w:szCs w:val="18"/>
              </w:rPr>
              <w:t>28 122</w:t>
            </w:r>
          </w:p>
        </w:tc>
        <w:tc>
          <w:tcPr>
            <w:tcW w:w="515" w:type="pct"/>
            <w:tcBorders>
              <w:top w:val="nil"/>
              <w:left w:val="nil"/>
              <w:bottom w:val="nil"/>
              <w:right w:val="nil"/>
            </w:tcBorders>
            <w:shd w:val="clear" w:color="auto" w:fill="auto"/>
            <w:noWrap/>
            <w:vAlign w:val="center"/>
            <w:hideMark/>
          </w:tcPr>
          <w:p w14:paraId="5813CB84" w14:textId="77777777" w:rsidR="004D69BF" w:rsidRPr="0044359C" w:rsidRDefault="004D69BF" w:rsidP="000240DA">
            <w:pPr>
              <w:spacing w:line="240" w:lineRule="auto"/>
              <w:jc w:val="right"/>
              <w:rPr>
                <w:color w:val="000000"/>
                <w:sz w:val="18"/>
                <w:szCs w:val="18"/>
              </w:rPr>
            </w:pPr>
            <w:r w:rsidRPr="0044359C">
              <w:rPr>
                <w:color w:val="000000"/>
                <w:sz w:val="18"/>
                <w:szCs w:val="18"/>
              </w:rPr>
              <w:t>28 122</w:t>
            </w:r>
          </w:p>
        </w:tc>
      </w:tr>
      <w:tr w:rsidR="004D69BF" w:rsidRPr="0044359C" w14:paraId="72CDDE2F" w14:textId="77777777" w:rsidTr="001D2C2C">
        <w:trPr>
          <w:trHeight w:val="330"/>
        </w:trPr>
        <w:tc>
          <w:tcPr>
            <w:tcW w:w="2424" w:type="pct"/>
            <w:tcBorders>
              <w:top w:val="nil"/>
              <w:left w:val="nil"/>
              <w:bottom w:val="nil"/>
              <w:right w:val="nil"/>
            </w:tcBorders>
            <w:shd w:val="clear" w:color="auto" w:fill="auto"/>
            <w:vAlign w:val="center"/>
            <w:hideMark/>
          </w:tcPr>
          <w:p w14:paraId="097D0497" w14:textId="77777777" w:rsidR="004D69BF" w:rsidRPr="0044359C" w:rsidRDefault="004D69BF" w:rsidP="000240DA">
            <w:pPr>
              <w:spacing w:line="240" w:lineRule="auto"/>
              <w:rPr>
                <w:color w:val="000000"/>
                <w:sz w:val="18"/>
                <w:szCs w:val="18"/>
              </w:rPr>
            </w:pPr>
            <w:r w:rsidRPr="0044359C">
              <w:rPr>
                <w:color w:val="000000"/>
                <w:sz w:val="18"/>
                <w:szCs w:val="18"/>
              </w:rPr>
              <w:t>Programy EÚS 4. programové obdobie (PO MF SR)**</w:t>
            </w:r>
          </w:p>
        </w:tc>
        <w:tc>
          <w:tcPr>
            <w:tcW w:w="515" w:type="pct"/>
            <w:tcBorders>
              <w:top w:val="nil"/>
              <w:left w:val="nil"/>
              <w:bottom w:val="nil"/>
              <w:right w:val="nil"/>
            </w:tcBorders>
            <w:shd w:val="clear" w:color="auto" w:fill="auto"/>
            <w:noWrap/>
            <w:vAlign w:val="center"/>
            <w:hideMark/>
          </w:tcPr>
          <w:p w14:paraId="1C25D645" w14:textId="77777777" w:rsidR="004D69BF" w:rsidRPr="0044359C" w:rsidRDefault="004D69BF" w:rsidP="000240DA">
            <w:pPr>
              <w:spacing w:line="240" w:lineRule="auto"/>
              <w:jc w:val="right"/>
              <w:rPr>
                <w:color w:val="000000"/>
                <w:sz w:val="18"/>
                <w:szCs w:val="18"/>
              </w:rPr>
            </w:pPr>
            <w:r w:rsidRPr="0044359C">
              <w:rPr>
                <w:color w:val="000000"/>
                <w:sz w:val="18"/>
                <w:szCs w:val="18"/>
              </w:rPr>
              <w:t>0</w:t>
            </w:r>
          </w:p>
        </w:tc>
        <w:tc>
          <w:tcPr>
            <w:tcW w:w="515" w:type="pct"/>
            <w:tcBorders>
              <w:top w:val="nil"/>
              <w:left w:val="nil"/>
              <w:bottom w:val="nil"/>
              <w:right w:val="nil"/>
            </w:tcBorders>
            <w:shd w:val="clear" w:color="auto" w:fill="auto"/>
            <w:noWrap/>
            <w:vAlign w:val="center"/>
            <w:hideMark/>
          </w:tcPr>
          <w:p w14:paraId="7299DE7E" w14:textId="77777777" w:rsidR="004D69BF" w:rsidRPr="0044359C" w:rsidRDefault="004D69BF" w:rsidP="000240DA">
            <w:pPr>
              <w:spacing w:line="240" w:lineRule="auto"/>
              <w:jc w:val="right"/>
              <w:rPr>
                <w:color w:val="000000"/>
                <w:sz w:val="18"/>
                <w:szCs w:val="18"/>
              </w:rPr>
            </w:pPr>
            <w:r w:rsidRPr="0044359C">
              <w:rPr>
                <w:color w:val="000000"/>
                <w:sz w:val="18"/>
                <w:szCs w:val="18"/>
              </w:rPr>
              <w:t>0</w:t>
            </w:r>
          </w:p>
        </w:tc>
        <w:tc>
          <w:tcPr>
            <w:tcW w:w="515" w:type="pct"/>
            <w:tcBorders>
              <w:top w:val="nil"/>
              <w:left w:val="nil"/>
              <w:bottom w:val="nil"/>
              <w:right w:val="nil"/>
            </w:tcBorders>
            <w:shd w:val="clear" w:color="auto" w:fill="auto"/>
            <w:noWrap/>
            <w:vAlign w:val="center"/>
            <w:hideMark/>
          </w:tcPr>
          <w:p w14:paraId="13F98847" w14:textId="77777777" w:rsidR="004D69BF" w:rsidRPr="0044359C" w:rsidRDefault="004D69BF" w:rsidP="000240DA">
            <w:pPr>
              <w:spacing w:line="240" w:lineRule="auto"/>
              <w:jc w:val="right"/>
              <w:rPr>
                <w:color w:val="000000"/>
                <w:sz w:val="18"/>
                <w:szCs w:val="18"/>
              </w:rPr>
            </w:pPr>
            <w:r w:rsidRPr="0044359C">
              <w:rPr>
                <w:color w:val="000000"/>
                <w:sz w:val="18"/>
                <w:szCs w:val="18"/>
              </w:rPr>
              <w:t>11 100</w:t>
            </w:r>
          </w:p>
        </w:tc>
        <w:tc>
          <w:tcPr>
            <w:tcW w:w="515" w:type="pct"/>
            <w:tcBorders>
              <w:top w:val="nil"/>
              <w:left w:val="nil"/>
              <w:bottom w:val="nil"/>
              <w:right w:val="nil"/>
            </w:tcBorders>
            <w:shd w:val="clear" w:color="auto" w:fill="auto"/>
            <w:noWrap/>
            <w:vAlign w:val="center"/>
            <w:hideMark/>
          </w:tcPr>
          <w:p w14:paraId="66EDD30C" w14:textId="77777777" w:rsidR="004D69BF" w:rsidRPr="0044359C" w:rsidRDefault="004D69BF" w:rsidP="000240DA">
            <w:pPr>
              <w:spacing w:line="240" w:lineRule="auto"/>
              <w:jc w:val="right"/>
              <w:rPr>
                <w:color w:val="000000"/>
                <w:sz w:val="18"/>
                <w:szCs w:val="18"/>
              </w:rPr>
            </w:pPr>
            <w:r w:rsidRPr="0044359C">
              <w:rPr>
                <w:color w:val="000000"/>
                <w:sz w:val="18"/>
                <w:szCs w:val="18"/>
              </w:rPr>
              <w:t>0</w:t>
            </w:r>
          </w:p>
        </w:tc>
        <w:tc>
          <w:tcPr>
            <w:tcW w:w="515" w:type="pct"/>
            <w:tcBorders>
              <w:top w:val="nil"/>
              <w:left w:val="nil"/>
              <w:bottom w:val="nil"/>
              <w:right w:val="nil"/>
            </w:tcBorders>
            <w:shd w:val="clear" w:color="auto" w:fill="auto"/>
            <w:noWrap/>
            <w:vAlign w:val="center"/>
            <w:hideMark/>
          </w:tcPr>
          <w:p w14:paraId="4CC66999" w14:textId="77777777" w:rsidR="004D69BF" w:rsidRPr="0044359C" w:rsidRDefault="004D69BF" w:rsidP="000240DA">
            <w:pPr>
              <w:spacing w:line="240" w:lineRule="auto"/>
              <w:jc w:val="right"/>
              <w:rPr>
                <w:color w:val="000000"/>
                <w:sz w:val="18"/>
                <w:szCs w:val="18"/>
              </w:rPr>
            </w:pPr>
            <w:r w:rsidRPr="0044359C">
              <w:rPr>
                <w:color w:val="000000"/>
                <w:sz w:val="18"/>
                <w:szCs w:val="18"/>
              </w:rPr>
              <w:t>-11 100</w:t>
            </w:r>
          </w:p>
        </w:tc>
      </w:tr>
      <w:tr w:rsidR="004D69BF" w:rsidRPr="0044359C" w14:paraId="0B6DF8C5" w14:textId="77777777" w:rsidTr="001D2C2C">
        <w:trPr>
          <w:trHeight w:val="330"/>
        </w:trPr>
        <w:tc>
          <w:tcPr>
            <w:tcW w:w="2424" w:type="pct"/>
            <w:tcBorders>
              <w:top w:val="nil"/>
              <w:left w:val="nil"/>
              <w:bottom w:val="nil"/>
              <w:right w:val="nil"/>
            </w:tcBorders>
            <w:shd w:val="clear" w:color="auto" w:fill="auto"/>
            <w:vAlign w:val="center"/>
            <w:hideMark/>
          </w:tcPr>
          <w:p w14:paraId="5ED1957A" w14:textId="77777777" w:rsidR="004D69BF" w:rsidRPr="0044359C" w:rsidRDefault="004D69BF" w:rsidP="000240DA">
            <w:pPr>
              <w:spacing w:line="240" w:lineRule="auto"/>
              <w:rPr>
                <w:b/>
                <w:bCs/>
                <w:color w:val="000000"/>
                <w:sz w:val="18"/>
                <w:szCs w:val="18"/>
              </w:rPr>
            </w:pPr>
            <w:r w:rsidRPr="0044359C">
              <w:rPr>
                <w:b/>
                <w:bCs/>
                <w:color w:val="000000"/>
                <w:sz w:val="18"/>
                <w:szCs w:val="18"/>
              </w:rPr>
              <w:t>Štrukturálne operácie - MF SR</w:t>
            </w:r>
          </w:p>
        </w:tc>
        <w:tc>
          <w:tcPr>
            <w:tcW w:w="515" w:type="pct"/>
            <w:tcBorders>
              <w:top w:val="nil"/>
              <w:left w:val="nil"/>
              <w:bottom w:val="nil"/>
              <w:right w:val="nil"/>
            </w:tcBorders>
            <w:shd w:val="clear" w:color="auto" w:fill="auto"/>
            <w:noWrap/>
            <w:vAlign w:val="center"/>
            <w:hideMark/>
          </w:tcPr>
          <w:p w14:paraId="29605272" w14:textId="77777777" w:rsidR="004D69BF" w:rsidRPr="0044359C" w:rsidRDefault="004D69BF" w:rsidP="000240DA">
            <w:pPr>
              <w:spacing w:line="240" w:lineRule="auto"/>
              <w:jc w:val="right"/>
              <w:rPr>
                <w:b/>
                <w:bCs/>
                <w:color w:val="000000"/>
                <w:sz w:val="18"/>
                <w:szCs w:val="18"/>
              </w:rPr>
            </w:pPr>
            <w:r w:rsidRPr="0044359C">
              <w:rPr>
                <w:b/>
                <w:bCs/>
                <w:color w:val="000000"/>
                <w:sz w:val="18"/>
                <w:szCs w:val="18"/>
              </w:rPr>
              <w:t>1 772 672</w:t>
            </w:r>
          </w:p>
        </w:tc>
        <w:tc>
          <w:tcPr>
            <w:tcW w:w="515" w:type="pct"/>
            <w:tcBorders>
              <w:top w:val="nil"/>
              <w:left w:val="nil"/>
              <w:bottom w:val="nil"/>
              <w:right w:val="nil"/>
            </w:tcBorders>
            <w:shd w:val="clear" w:color="auto" w:fill="auto"/>
            <w:noWrap/>
            <w:vAlign w:val="center"/>
            <w:hideMark/>
          </w:tcPr>
          <w:p w14:paraId="6F47B32E" w14:textId="77777777" w:rsidR="004D69BF" w:rsidRPr="0044359C" w:rsidRDefault="004D69BF" w:rsidP="000240DA">
            <w:pPr>
              <w:spacing w:line="240" w:lineRule="auto"/>
              <w:jc w:val="right"/>
              <w:rPr>
                <w:b/>
                <w:bCs/>
                <w:color w:val="000000"/>
                <w:sz w:val="18"/>
                <w:szCs w:val="18"/>
              </w:rPr>
            </w:pPr>
            <w:r w:rsidRPr="0044359C">
              <w:rPr>
                <w:b/>
                <w:bCs/>
                <w:color w:val="000000"/>
                <w:sz w:val="18"/>
                <w:szCs w:val="18"/>
              </w:rPr>
              <w:t>3 640 398</w:t>
            </w:r>
          </w:p>
        </w:tc>
        <w:tc>
          <w:tcPr>
            <w:tcW w:w="515" w:type="pct"/>
            <w:tcBorders>
              <w:top w:val="nil"/>
              <w:left w:val="nil"/>
              <w:bottom w:val="nil"/>
              <w:right w:val="nil"/>
            </w:tcBorders>
            <w:shd w:val="clear" w:color="auto" w:fill="auto"/>
            <w:noWrap/>
            <w:vAlign w:val="center"/>
            <w:hideMark/>
          </w:tcPr>
          <w:p w14:paraId="2CB1EEC3" w14:textId="77777777" w:rsidR="004D69BF" w:rsidRPr="0044359C" w:rsidRDefault="004D69BF" w:rsidP="000240DA">
            <w:pPr>
              <w:spacing w:line="240" w:lineRule="auto"/>
              <w:jc w:val="right"/>
              <w:rPr>
                <w:b/>
                <w:bCs/>
                <w:color w:val="000000"/>
                <w:sz w:val="18"/>
                <w:szCs w:val="18"/>
              </w:rPr>
            </w:pPr>
            <w:r w:rsidRPr="0044359C">
              <w:rPr>
                <w:b/>
                <w:bCs/>
                <w:color w:val="000000"/>
                <w:sz w:val="18"/>
                <w:szCs w:val="18"/>
              </w:rPr>
              <w:t>471 012</w:t>
            </w:r>
          </w:p>
        </w:tc>
        <w:tc>
          <w:tcPr>
            <w:tcW w:w="515" w:type="pct"/>
            <w:tcBorders>
              <w:top w:val="nil"/>
              <w:left w:val="nil"/>
              <w:bottom w:val="nil"/>
              <w:right w:val="nil"/>
            </w:tcBorders>
            <w:shd w:val="clear" w:color="auto" w:fill="auto"/>
            <w:noWrap/>
            <w:vAlign w:val="center"/>
            <w:hideMark/>
          </w:tcPr>
          <w:p w14:paraId="41217CD7" w14:textId="77777777" w:rsidR="004D69BF" w:rsidRPr="0044359C" w:rsidRDefault="004D69BF" w:rsidP="000240DA">
            <w:pPr>
              <w:spacing w:line="240" w:lineRule="auto"/>
              <w:jc w:val="right"/>
              <w:rPr>
                <w:b/>
                <w:bCs/>
                <w:color w:val="000000"/>
                <w:sz w:val="18"/>
                <w:szCs w:val="18"/>
              </w:rPr>
            </w:pPr>
            <w:r w:rsidRPr="0044359C">
              <w:rPr>
                <w:b/>
                <w:bCs/>
                <w:color w:val="000000"/>
                <w:sz w:val="18"/>
                <w:szCs w:val="18"/>
              </w:rPr>
              <w:t>2 287 958</w:t>
            </w:r>
          </w:p>
        </w:tc>
        <w:tc>
          <w:tcPr>
            <w:tcW w:w="515" w:type="pct"/>
            <w:tcBorders>
              <w:top w:val="nil"/>
              <w:left w:val="nil"/>
              <w:bottom w:val="nil"/>
              <w:right w:val="nil"/>
            </w:tcBorders>
            <w:shd w:val="clear" w:color="auto" w:fill="auto"/>
            <w:noWrap/>
            <w:vAlign w:val="center"/>
            <w:hideMark/>
          </w:tcPr>
          <w:p w14:paraId="3CBF2151" w14:textId="77777777" w:rsidR="004D69BF" w:rsidRPr="0044359C" w:rsidRDefault="004D69BF" w:rsidP="000240DA">
            <w:pPr>
              <w:spacing w:line="240" w:lineRule="auto"/>
              <w:jc w:val="right"/>
              <w:rPr>
                <w:b/>
                <w:bCs/>
                <w:color w:val="000000"/>
                <w:sz w:val="18"/>
                <w:szCs w:val="18"/>
              </w:rPr>
            </w:pPr>
            <w:r w:rsidRPr="0044359C">
              <w:rPr>
                <w:b/>
                <w:bCs/>
                <w:color w:val="000000"/>
                <w:sz w:val="18"/>
                <w:szCs w:val="18"/>
              </w:rPr>
              <w:t>1 816 946</w:t>
            </w:r>
          </w:p>
        </w:tc>
      </w:tr>
      <w:tr w:rsidR="004D69BF" w:rsidRPr="0044359C" w14:paraId="62FCEE56" w14:textId="77777777" w:rsidTr="001D2C2C">
        <w:trPr>
          <w:trHeight w:val="480"/>
        </w:trPr>
        <w:tc>
          <w:tcPr>
            <w:tcW w:w="2424" w:type="pct"/>
            <w:tcBorders>
              <w:top w:val="nil"/>
              <w:left w:val="nil"/>
              <w:bottom w:val="nil"/>
              <w:right w:val="nil"/>
            </w:tcBorders>
            <w:shd w:val="clear" w:color="auto" w:fill="auto"/>
            <w:vAlign w:val="center"/>
            <w:hideMark/>
          </w:tcPr>
          <w:p w14:paraId="14ED56F7" w14:textId="77777777" w:rsidR="004D69BF" w:rsidRPr="0044359C" w:rsidRDefault="004D69BF" w:rsidP="000240DA">
            <w:pPr>
              <w:spacing w:line="240" w:lineRule="auto"/>
              <w:rPr>
                <w:color w:val="000000"/>
                <w:sz w:val="18"/>
                <w:szCs w:val="18"/>
              </w:rPr>
            </w:pPr>
            <w:r w:rsidRPr="0044359C">
              <w:rPr>
                <w:color w:val="000000"/>
                <w:sz w:val="18"/>
                <w:szCs w:val="18"/>
              </w:rPr>
              <w:t>OP Sociálneho začlenenia najodkázanejších osôb</w:t>
            </w:r>
          </w:p>
        </w:tc>
        <w:tc>
          <w:tcPr>
            <w:tcW w:w="515" w:type="pct"/>
            <w:tcBorders>
              <w:top w:val="nil"/>
              <w:left w:val="nil"/>
              <w:bottom w:val="nil"/>
              <w:right w:val="nil"/>
            </w:tcBorders>
            <w:shd w:val="clear" w:color="auto" w:fill="auto"/>
            <w:noWrap/>
            <w:vAlign w:val="center"/>
            <w:hideMark/>
          </w:tcPr>
          <w:p w14:paraId="702DFA73" w14:textId="77777777" w:rsidR="004D69BF" w:rsidRPr="0044359C" w:rsidRDefault="004D69BF" w:rsidP="000240DA">
            <w:pPr>
              <w:spacing w:line="240" w:lineRule="auto"/>
              <w:jc w:val="right"/>
              <w:rPr>
                <w:color w:val="000000"/>
                <w:sz w:val="18"/>
                <w:szCs w:val="18"/>
              </w:rPr>
            </w:pPr>
            <w:r w:rsidRPr="0044359C">
              <w:rPr>
                <w:color w:val="000000"/>
                <w:sz w:val="18"/>
                <w:szCs w:val="18"/>
              </w:rPr>
              <w:t>2 186</w:t>
            </w:r>
          </w:p>
        </w:tc>
        <w:tc>
          <w:tcPr>
            <w:tcW w:w="515" w:type="pct"/>
            <w:tcBorders>
              <w:top w:val="nil"/>
              <w:left w:val="nil"/>
              <w:bottom w:val="nil"/>
              <w:right w:val="nil"/>
            </w:tcBorders>
            <w:shd w:val="clear" w:color="auto" w:fill="auto"/>
            <w:noWrap/>
            <w:vAlign w:val="center"/>
            <w:hideMark/>
          </w:tcPr>
          <w:p w14:paraId="2EEDFAE0" w14:textId="77777777" w:rsidR="004D69BF" w:rsidRPr="0044359C" w:rsidRDefault="004D69BF" w:rsidP="000240DA">
            <w:pPr>
              <w:spacing w:line="240" w:lineRule="auto"/>
              <w:jc w:val="right"/>
              <w:rPr>
                <w:color w:val="000000"/>
                <w:sz w:val="18"/>
                <w:szCs w:val="18"/>
              </w:rPr>
            </w:pPr>
            <w:r w:rsidRPr="0044359C">
              <w:rPr>
                <w:color w:val="000000"/>
                <w:sz w:val="18"/>
                <w:szCs w:val="18"/>
              </w:rPr>
              <w:t>7 333</w:t>
            </w:r>
          </w:p>
        </w:tc>
        <w:tc>
          <w:tcPr>
            <w:tcW w:w="515" w:type="pct"/>
            <w:tcBorders>
              <w:top w:val="nil"/>
              <w:left w:val="nil"/>
              <w:bottom w:val="nil"/>
              <w:right w:val="nil"/>
            </w:tcBorders>
            <w:shd w:val="clear" w:color="auto" w:fill="auto"/>
            <w:noWrap/>
            <w:vAlign w:val="center"/>
            <w:hideMark/>
          </w:tcPr>
          <w:p w14:paraId="7ABE28D5" w14:textId="77777777" w:rsidR="004D69BF" w:rsidRPr="0044359C" w:rsidRDefault="004D69BF" w:rsidP="000240DA">
            <w:pPr>
              <w:spacing w:line="240" w:lineRule="auto"/>
              <w:jc w:val="right"/>
              <w:rPr>
                <w:color w:val="000000"/>
                <w:sz w:val="18"/>
                <w:szCs w:val="18"/>
              </w:rPr>
            </w:pPr>
            <w:r w:rsidRPr="0044359C">
              <w:rPr>
                <w:color w:val="000000"/>
                <w:sz w:val="18"/>
                <w:szCs w:val="18"/>
              </w:rPr>
              <w:t>0</w:t>
            </w:r>
          </w:p>
        </w:tc>
        <w:tc>
          <w:tcPr>
            <w:tcW w:w="515" w:type="pct"/>
            <w:tcBorders>
              <w:top w:val="nil"/>
              <w:left w:val="nil"/>
              <w:bottom w:val="nil"/>
              <w:right w:val="nil"/>
            </w:tcBorders>
            <w:shd w:val="clear" w:color="auto" w:fill="auto"/>
            <w:noWrap/>
            <w:vAlign w:val="center"/>
            <w:hideMark/>
          </w:tcPr>
          <w:p w14:paraId="6C315BD4" w14:textId="77777777" w:rsidR="004D69BF" w:rsidRPr="0044359C" w:rsidRDefault="004D69BF" w:rsidP="000240DA">
            <w:pPr>
              <w:spacing w:line="240" w:lineRule="auto"/>
              <w:jc w:val="right"/>
              <w:rPr>
                <w:color w:val="000000"/>
                <w:sz w:val="18"/>
                <w:szCs w:val="18"/>
              </w:rPr>
            </w:pPr>
            <w:r w:rsidRPr="0044359C">
              <w:rPr>
                <w:color w:val="000000"/>
                <w:sz w:val="18"/>
                <w:szCs w:val="18"/>
              </w:rPr>
              <w:t>19 530</w:t>
            </w:r>
          </w:p>
        </w:tc>
        <w:tc>
          <w:tcPr>
            <w:tcW w:w="515" w:type="pct"/>
            <w:tcBorders>
              <w:top w:val="nil"/>
              <w:left w:val="nil"/>
              <w:bottom w:val="nil"/>
              <w:right w:val="nil"/>
            </w:tcBorders>
            <w:shd w:val="clear" w:color="auto" w:fill="auto"/>
            <w:noWrap/>
            <w:vAlign w:val="center"/>
            <w:hideMark/>
          </w:tcPr>
          <w:p w14:paraId="3C9CB5F3" w14:textId="77777777" w:rsidR="004D69BF" w:rsidRPr="0044359C" w:rsidRDefault="004D69BF" w:rsidP="000240DA">
            <w:pPr>
              <w:spacing w:line="240" w:lineRule="auto"/>
              <w:jc w:val="right"/>
              <w:rPr>
                <w:color w:val="000000"/>
                <w:sz w:val="18"/>
                <w:szCs w:val="18"/>
              </w:rPr>
            </w:pPr>
            <w:r w:rsidRPr="0044359C">
              <w:rPr>
                <w:color w:val="000000"/>
                <w:sz w:val="18"/>
                <w:szCs w:val="18"/>
              </w:rPr>
              <w:t>19 530</w:t>
            </w:r>
          </w:p>
        </w:tc>
      </w:tr>
      <w:tr w:rsidR="004D69BF" w:rsidRPr="0044359C" w14:paraId="47A88251" w14:textId="77777777" w:rsidTr="001D2C2C">
        <w:trPr>
          <w:trHeight w:val="330"/>
        </w:trPr>
        <w:tc>
          <w:tcPr>
            <w:tcW w:w="2424" w:type="pct"/>
            <w:tcBorders>
              <w:top w:val="nil"/>
              <w:left w:val="nil"/>
              <w:bottom w:val="nil"/>
              <w:right w:val="nil"/>
            </w:tcBorders>
            <w:shd w:val="clear" w:color="auto" w:fill="auto"/>
            <w:vAlign w:val="center"/>
            <w:hideMark/>
          </w:tcPr>
          <w:p w14:paraId="1C5048E3" w14:textId="77777777" w:rsidR="004D69BF" w:rsidRPr="0044359C" w:rsidRDefault="004D69BF" w:rsidP="000240DA">
            <w:pPr>
              <w:spacing w:line="240" w:lineRule="auto"/>
              <w:rPr>
                <w:b/>
                <w:bCs/>
                <w:color w:val="000000"/>
                <w:sz w:val="18"/>
                <w:szCs w:val="18"/>
              </w:rPr>
            </w:pPr>
            <w:r w:rsidRPr="0044359C">
              <w:rPr>
                <w:b/>
                <w:bCs/>
                <w:color w:val="000000"/>
                <w:sz w:val="18"/>
                <w:szCs w:val="18"/>
              </w:rPr>
              <w:t>Štrukturálne operácie - MPSVR SR</w:t>
            </w:r>
          </w:p>
        </w:tc>
        <w:tc>
          <w:tcPr>
            <w:tcW w:w="515" w:type="pct"/>
            <w:tcBorders>
              <w:top w:val="nil"/>
              <w:left w:val="nil"/>
              <w:bottom w:val="nil"/>
              <w:right w:val="nil"/>
            </w:tcBorders>
            <w:shd w:val="clear" w:color="auto" w:fill="auto"/>
            <w:noWrap/>
            <w:vAlign w:val="center"/>
            <w:hideMark/>
          </w:tcPr>
          <w:p w14:paraId="4F08F8AB" w14:textId="77777777" w:rsidR="004D69BF" w:rsidRPr="0044359C" w:rsidRDefault="004D69BF" w:rsidP="000240DA">
            <w:pPr>
              <w:spacing w:line="240" w:lineRule="auto"/>
              <w:jc w:val="right"/>
              <w:rPr>
                <w:b/>
                <w:bCs/>
                <w:color w:val="000000"/>
                <w:sz w:val="18"/>
                <w:szCs w:val="18"/>
              </w:rPr>
            </w:pPr>
            <w:r w:rsidRPr="0044359C">
              <w:rPr>
                <w:b/>
                <w:bCs/>
                <w:color w:val="000000"/>
                <w:sz w:val="18"/>
                <w:szCs w:val="18"/>
              </w:rPr>
              <w:t>2 186</w:t>
            </w:r>
          </w:p>
        </w:tc>
        <w:tc>
          <w:tcPr>
            <w:tcW w:w="515" w:type="pct"/>
            <w:tcBorders>
              <w:top w:val="nil"/>
              <w:left w:val="nil"/>
              <w:bottom w:val="nil"/>
              <w:right w:val="nil"/>
            </w:tcBorders>
            <w:shd w:val="clear" w:color="auto" w:fill="auto"/>
            <w:noWrap/>
            <w:vAlign w:val="center"/>
            <w:hideMark/>
          </w:tcPr>
          <w:p w14:paraId="2638878C" w14:textId="77777777" w:rsidR="004D69BF" w:rsidRPr="0044359C" w:rsidRDefault="004D69BF" w:rsidP="000240DA">
            <w:pPr>
              <w:spacing w:line="240" w:lineRule="auto"/>
              <w:jc w:val="right"/>
              <w:rPr>
                <w:b/>
                <w:bCs/>
                <w:color w:val="000000"/>
                <w:sz w:val="18"/>
                <w:szCs w:val="18"/>
              </w:rPr>
            </w:pPr>
            <w:r w:rsidRPr="0044359C">
              <w:rPr>
                <w:b/>
                <w:bCs/>
                <w:color w:val="000000"/>
                <w:sz w:val="18"/>
                <w:szCs w:val="18"/>
              </w:rPr>
              <w:t>7 333</w:t>
            </w:r>
          </w:p>
        </w:tc>
        <w:tc>
          <w:tcPr>
            <w:tcW w:w="515" w:type="pct"/>
            <w:tcBorders>
              <w:top w:val="nil"/>
              <w:left w:val="nil"/>
              <w:bottom w:val="nil"/>
              <w:right w:val="nil"/>
            </w:tcBorders>
            <w:shd w:val="clear" w:color="auto" w:fill="auto"/>
            <w:noWrap/>
            <w:vAlign w:val="center"/>
            <w:hideMark/>
          </w:tcPr>
          <w:p w14:paraId="61B4CE03" w14:textId="77777777" w:rsidR="004D69BF" w:rsidRPr="0044359C" w:rsidRDefault="004D69BF" w:rsidP="000240DA">
            <w:pPr>
              <w:spacing w:line="240" w:lineRule="auto"/>
              <w:jc w:val="right"/>
              <w:rPr>
                <w:b/>
                <w:bCs/>
                <w:color w:val="000000"/>
                <w:sz w:val="18"/>
                <w:szCs w:val="18"/>
              </w:rPr>
            </w:pPr>
            <w:r w:rsidRPr="0044359C">
              <w:rPr>
                <w:b/>
                <w:bCs/>
                <w:color w:val="000000"/>
                <w:sz w:val="18"/>
                <w:szCs w:val="18"/>
              </w:rPr>
              <w:t>0</w:t>
            </w:r>
          </w:p>
        </w:tc>
        <w:tc>
          <w:tcPr>
            <w:tcW w:w="515" w:type="pct"/>
            <w:tcBorders>
              <w:top w:val="nil"/>
              <w:left w:val="nil"/>
              <w:bottom w:val="nil"/>
              <w:right w:val="nil"/>
            </w:tcBorders>
            <w:shd w:val="clear" w:color="auto" w:fill="auto"/>
            <w:noWrap/>
            <w:vAlign w:val="center"/>
            <w:hideMark/>
          </w:tcPr>
          <w:p w14:paraId="70504638" w14:textId="77777777" w:rsidR="004D69BF" w:rsidRPr="0044359C" w:rsidRDefault="004D69BF" w:rsidP="000240DA">
            <w:pPr>
              <w:spacing w:line="240" w:lineRule="auto"/>
              <w:jc w:val="right"/>
              <w:rPr>
                <w:b/>
                <w:bCs/>
                <w:color w:val="000000"/>
                <w:sz w:val="18"/>
                <w:szCs w:val="18"/>
              </w:rPr>
            </w:pPr>
            <w:r w:rsidRPr="0044359C">
              <w:rPr>
                <w:b/>
                <w:bCs/>
                <w:color w:val="000000"/>
                <w:sz w:val="18"/>
                <w:szCs w:val="18"/>
              </w:rPr>
              <w:t>19 530</w:t>
            </w:r>
          </w:p>
        </w:tc>
        <w:tc>
          <w:tcPr>
            <w:tcW w:w="515" w:type="pct"/>
            <w:tcBorders>
              <w:top w:val="nil"/>
              <w:left w:val="nil"/>
              <w:bottom w:val="nil"/>
              <w:right w:val="nil"/>
            </w:tcBorders>
            <w:shd w:val="clear" w:color="auto" w:fill="auto"/>
            <w:noWrap/>
            <w:vAlign w:val="center"/>
            <w:hideMark/>
          </w:tcPr>
          <w:p w14:paraId="52A2B938" w14:textId="77777777" w:rsidR="004D69BF" w:rsidRPr="0044359C" w:rsidRDefault="004D69BF" w:rsidP="000240DA">
            <w:pPr>
              <w:spacing w:line="240" w:lineRule="auto"/>
              <w:jc w:val="right"/>
              <w:rPr>
                <w:b/>
                <w:bCs/>
                <w:color w:val="000000"/>
                <w:sz w:val="18"/>
                <w:szCs w:val="18"/>
              </w:rPr>
            </w:pPr>
            <w:r w:rsidRPr="0044359C">
              <w:rPr>
                <w:b/>
                <w:bCs/>
                <w:color w:val="000000"/>
                <w:sz w:val="18"/>
                <w:szCs w:val="18"/>
              </w:rPr>
              <w:t>19 530</w:t>
            </w:r>
          </w:p>
        </w:tc>
      </w:tr>
      <w:tr w:rsidR="004D69BF" w:rsidRPr="0044359C" w14:paraId="0F2B93BB" w14:textId="77777777" w:rsidTr="001D2C2C">
        <w:trPr>
          <w:trHeight w:val="330"/>
        </w:trPr>
        <w:tc>
          <w:tcPr>
            <w:tcW w:w="2424" w:type="pct"/>
            <w:tcBorders>
              <w:top w:val="nil"/>
              <w:left w:val="nil"/>
              <w:bottom w:val="nil"/>
              <w:right w:val="nil"/>
            </w:tcBorders>
            <w:shd w:val="clear" w:color="auto" w:fill="auto"/>
            <w:vAlign w:val="center"/>
            <w:hideMark/>
          </w:tcPr>
          <w:p w14:paraId="269C49A0" w14:textId="77777777" w:rsidR="004D69BF" w:rsidRPr="0044359C" w:rsidRDefault="004D69BF" w:rsidP="000240DA">
            <w:pPr>
              <w:spacing w:line="240" w:lineRule="auto"/>
              <w:rPr>
                <w:color w:val="000000"/>
                <w:sz w:val="18"/>
                <w:szCs w:val="18"/>
              </w:rPr>
            </w:pPr>
            <w:r w:rsidRPr="0044359C">
              <w:rPr>
                <w:color w:val="000000"/>
                <w:sz w:val="18"/>
                <w:szCs w:val="18"/>
              </w:rPr>
              <w:t>Fondy pre oblasť vnútorných záležitostí 2021-2027</w:t>
            </w:r>
          </w:p>
        </w:tc>
        <w:tc>
          <w:tcPr>
            <w:tcW w:w="515" w:type="pct"/>
            <w:tcBorders>
              <w:top w:val="nil"/>
              <w:left w:val="nil"/>
              <w:bottom w:val="nil"/>
              <w:right w:val="nil"/>
            </w:tcBorders>
            <w:shd w:val="clear" w:color="auto" w:fill="auto"/>
            <w:noWrap/>
            <w:vAlign w:val="center"/>
            <w:hideMark/>
          </w:tcPr>
          <w:p w14:paraId="54C13DB0" w14:textId="77777777" w:rsidR="004D69BF" w:rsidRPr="0044359C" w:rsidRDefault="004D69BF" w:rsidP="000240DA">
            <w:pPr>
              <w:spacing w:line="240" w:lineRule="auto"/>
              <w:jc w:val="right"/>
              <w:rPr>
                <w:color w:val="000000"/>
                <w:sz w:val="18"/>
                <w:szCs w:val="18"/>
              </w:rPr>
            </w:pPr>
            <w:r w:rsidRPr="0044359C">
              <w:rPr>
                <w:color w:val="000000"/>
                <w:sz w:val="18"/>
                <w:szCs w:val="18"/>
              </w:rPr>
              <w:t>0</w:t>
            </w:r>
          </w:p>
        </w:tc>
        <w:tc>
          <w:tcPr>
            <w:tcW w:w="515" w:type="pct"/>
            <w:tcBorders>
              <w:top w:val="nil"/>
              <w:left w:val="nil"/>
              <w:bottom w:val="nil"/>
              <w:right w:val="nil"/>
            </w:tcBorders>
            <w:shd w:val="clear" w:color="auto" w:fill="auto"/>
            <w:noWrap/>
            <w:vAlign w:val="center"/>
            <w:hideMark/>
          </w:tcPr>
          <w:p w14:paraId="14687C7B" w14:textId="77777777" w:rsidR="004D69BF" w:rsidRPr="0044359C" w:rsidRDefault="004D69BF" w:rsidP="000240DA">
            <w:pPr>
              <w:spacing w:line="240" w:lineRule="auto"/>
              <w:jc w:val="right"/>
              <w:rPr>
                <w:color w:val="000000"/>
                <w:sz w:val="18"/>
                <w:szCs w:val="18"/>
              </w:rPr>
            </w:pPr>
            <w:r w:rsidRPr="0044359C">
              <w:rPr>
                <w:color w:val="000000"/>
                <w:sz w:val="18"/>
                <w:szCs w:val="18"/>
              </w:rPr>
              <w:t>0</w:t>
            </w:r>
          </w:p>
        </w:tc>
        <w:tc>
          <w:tcPr>
            <w:tcW w:w="515" w:type="pct"/>
            <w:tcBorders>
              <w:top w:val="nil"/>
              <w:left w:val="nil"/>
              <w:bottom w:val="nil"/>
              <w:right w:val="nil"/>
            </w:tcBorders>
            <w:shd w:val="clear" w:color="auto" w:fill="auto"/>
            <w:noWrap/>
            <w:vAlign w:val="center"/>
            <w:hideMark/>
          </w:tcPr>
          <w:p w14:paraId="077C319C" w14:textId="77777777" w:rsidR="004D69BF" w:rsidRPr="0044359C" w:rsidRDefault="004D69BF" w:rsidP="000240DA">
            <w:pPr>
              <w:spacing w:line="240" w:lineRule="auto"/>
              <w:jc w:val="right"/>
              <w:rPr>
                <w:color w:val="000000"/>
                <w:sz w:val="18"/>
                <w:szCs w:val="18"/>
              </w:rPr>
            </w:pPr>
            <w:r w:rsidRPr="0044359C">
              <w:rPr>
                <w:color w:val="000000"/>
                <w:sz w:val="18"/>
                <w:szCs w:val="18"/>
              </w:rPr>
              <w:t>9 333</w:t>
            </w:r>
          </w:p>
        </w:tc>
        <w:tc>
          <w:tcPr>
            <w:tcW w:w="515" w:type="pct"/>
            <w:tcBorders>
              <w:top w:val="nil"/>
              <w:left w:val="nil"/>
              <w:bottom w:val="nil"/>
              <w:right w:val="nil"/>
            </w:tcBorders>
            <w:shd w:val="clear" w:color="auto" w:fill="auto"/>
            <w:noWrap/>
            <w:vAlign w:val="center"/>
            <w:hideMark/>
          </w:tcPr>
          <w:p w14:paraId="4287E69E" w14:textId="77777777" w:rsidR="004D69BF" w:rsidRPr="0044359C" w:rsidRDefault="004D69BF" w:rsidP="000240DA">
            <w:pPr>
              <w:spacing w:line="240" w:lineRule="auto"/>
              <w:jc w:val="right"/>
              <w:rPr>
                <w:color w:val="000000"/>
                <w:sz w:val="18"/>
                <w:szCs w:val="18"/>
              </w:rPr>
            </w:pPr>
            <w:r w:rsidRPr="0044359C">
              <w:rPr>
                <w:color w:val="000000"/>
                <w:sz w:val="18"/>
                <w:szCs w:val="18"/>
              </w:rPr>
              <w:t>0</w:t>
            </w:r>
          </w:p>
        </w:tc>
        <w:tc>
          <w:tcPr>
            <w:tcW w:w="515" w:type="pct"/>
            <w:tcBorders>
              <w:top w:val="nil"/>
              <w:left w:val="nil"/>
              <w:bottom w:val="nil"/>
              <w:right w:val="nil"/>
            </w:tcBorders>
            <w:shd w:val="clear" w:color="auto" w:fill="auto"/>
            <w:noWrap/>
            <w:vAlign w:val="center"/>
            <w:hideMark/>
          </w:tcPr>
          <w:p w14:paraId="72A71708" w14:textId="77777777" w:rsidR="004D69BF" w:rsidRPr="0044359C" w:rsidRDefault="004D69BF" w:rsidP="000240DA">
            <w:pPr>
              <w:spacing w:line="240" w:lineRule="auto"/>
              <w:jc w:val="right"/>
              <w:rPr>
                <w:color w:val="000000"/>
                <w:sz w:val="18"/>
                <w:szCs w:val="18"/>
              </w:rPr>
            </w:pPr>
            <w:r w:rsidRPr="0044359C">
              <w:rPr>
                <w:color w:val="000000"/>
                <w:sz w:val="18"/>
                <w:szCs w:val="18"/>
              </w:rPr>
              <w:t>-9 333</w:t>
            </w:r>
          </w:p>
        </w:tc>
      </w:tr>
      <w:tr w:rsidR="004D69BF" w:rsidRPr="0044359C" w14:paraId="0721831E" w14:textId="77777777" w:rsidTr="00922722">
        <w:trPr>
          <w:trHeight w:val="330"/>
        </w:trPr>
        <w:tc>
          <w:tcPr>
            <w:tcW w:w="2424" w:type="pct"/>
            <w:tcBorders>
              <w:top w:val="nil"/>
              <w:left w:val="nil"/>
              <w:bottom w:val="single" w:sz="4" w:space="0" w:color="auto"/>
              <w:right w:val="nil"/>
            </w:tcBorders>
            <w:shd w:val="clear" w:color="auto" w:fill="auto"/>
            <w:vAlign w:val="center"/>
            <w:hideMark/>
          </w:tcPr>
          <w:p w14:paraId="15CF304C" w14:textId="77777777" w:rsidR="004D69BF" w:rsidRPr="0044359C" w:rsidRDefault="004D69BF" w:rsidP="000240DA">
            <w:pPr>
              <w:spacing w:line="240" w:lineRule="auto"/>
              <w:rPr>
                <w:b/>
                <w:bCs/>
                <w:color w:val="000000"/>
                <w:sz w:val="18"/>
                <w:szCs w:val="18"/>
              </w:rPr>
            </w:pPr>
            <w:r w:rsidRPr="0044359C">
              <w:rPr>
                <w:b/>
                <w:bCs/>
                <w:color w:val="000000"/>
                <w:sz w:val="18"/>
                <w:szCs w:val="18"/>
              </w:rPr>
              <w:t>Štrukturálne operácie - MV SR</w:t>
            </w:r>
          </w:p>
        </w:tc>
        <w:tc>
          <w:tcPr>
            <w:tcW w:w="515" w:type="pct"/>
            <w:tcBorders>
              <w:top w:val="nil"/>
              <w:left w:val="nil"/>
              <w:bottom w:val="single" w:sz="4" w:space="0" w:color="auto"/>
              <w:right w:val="nil"/>
            </w:tcBorders>
            <w:shd w:val="clear" w:color="auto" w:fill="auto"/>
            <w:noWrap/>
            <w:vAlign w:val="center"/>
            <w:hideMark/>
          </w:tcPr>
          <w:p w14:paraId="487C9266" w14:textId="77777777" w:rsidR="004D69BF" w:rsidRPr="0044359C" w:rsidRDefault="004D69BF" w:rsidP="000240DA">
            <w:pPr>
              <w:spacing w:line="240" w:lineRule="auto"/>
              <w:jc w:val="right"/>
              <w:rPr>
                <w:b/>
                <w:bCs/>
                <w:color w:val="000000"/>
                <w:sz w:val="18"/>
                <w:szCs w:val="18"/>
              </w:rPr>
            </w:pPr>
            <w:r w:rsidRPr="0044359C">
              <w:rPr>
                <w:b/>
                <w:bCs/>
                <w:color w:val="000000"/>
                <w:sz w:val="18"/>
                <w:szCs w:val="18"/>
              </w:rPr>
              <w:t>0</w:t>
            </w:r>
          </w:p>
        </w:tc>
        <w:tc>
          <w:tcPr>
            <w:tcW w:w="515" w:type="pct"/>
            <w:tcBorders>
              <w:top w:val="nil"/>
              <w:left w:val="nil"/>
              <w:bottom w:val="single" w:sz="4" w:space="0" w:color="auto"/>
              <w:right w:val="nil"/>
            </w:tcBorders>
            <w:shd w:val="clear" w:color="auto" w:fill="auto"/>
            <w:noWrap/>
            <w:vAlign w:val="center"/>
            <w:hideMark/>
          </w:tcPr>
          <w:p w14:paraId="6E093522" w14:textId="77777777" w:rsidR="004D69BF" w:rsidRPr="0044359C" w:rsidRDefault="004D69BF" w:rsidP="000240DA">
            <w:pPr>
              <w:spacing w:line="240" w:lineRule="auto"/>
              <w:jc w:val="right"/>
              <w:rPr>
                <w:b/>
                <w:bCs/>
                <w:color w:val="000000"/>
                <w:sz w:val="18"/>
                <w:szCs w:val="18"/>
              </w:rPr>
            </w:pPr>
            <w:r w:rsidRPr="0044359C">
              <w:rPr>
                <w:b/>
                <w:bCs/>
                <w:color w:val="000000"/>
                <w:sz w:val="18"/>
                <w:szCs w:val="18"/>
              </w:rPr>
              <w:t>0</w:t>
            </w:r>
          </w:p>
        </w:tc>
        <w:tc>
          <w:tcPr>
            <w:tcW w:w="515" w:type="pct"/>
            <w:tcBorders>
              <w:top w:val="nil"/>
              <w:left w:val="nil"/>
              <w:bottom w:val="single" w:sz="4" w:space="0" w:color="auto"/>
              <w:right w:val="nil"/>
            </w:tcBorders>
            <w:shd w:val="clear" w:color="auto" w:fill="auto"/>
            <w:noWrap/>
            <w:vAlign w:val="center"/>
            <w:hideMark/>
          </w:tcPr>
          <w:p w14:paraId="724850A2" w14:textId="77777777" w:rsidR="004D69BF" w:rsidRPr="0044359C" w:rsidRDefault="004D69BF" w:rsidP="000240DA">
            <w:pPr>
              <w:spacing w:line="240" w:lineRule="auto"/>
              <w:jc w:val="right"/>
              <w:rPr>
                <w:b/>
                <w:bCs/>
                <w:color w:val="000000"/>
                <w:sz w:val="18"/>
                <w:szCs w:val="18"/>
              </w:rPr>
            </w:pPr>
            <w:r w:rsidRPr="0044359C">
              <w:rPr>
                <w:b/>
                <w:bCs/>
                <w:color w:val="000000"/>
                <w:sz w:val="18"/>
                <w:szCs w:val="18"/>
              </w:rPr>
              <w:t>9 333</w:t>
            </w:r>
          </w:p>
        </w:tc>
        <w:tc>
          <w:tcPr>
            <w:tcW w:w="515" w:type="pct"/>
            <w:tcBorders>
              <w:top w:val="nil"/>
              <w:left w:val="nil"/>
              <w:bottom w:val="single" w:sz="4" w:space="0" w:color="auto"/>
              <w:right w:val="nil"/>
            </w:tcBorders>
            <w:shd w:val="clear" w:color="auto" w:fill="auto"/>
            <w:noWrap/>
            <w:vAlign w:val="center"/>
            <w:hideMark/>
          </w:tcPr>
          <w:p w14:paraId="5B4A5DA5" w14:textId="77777777" w:rsidR="004D69BF" w:rsidRPr="0044359C" w:rsidRDefault="004D69BF" w:rsidP="000240DA">
            <w:pPr>
              <w:spacing w:line="240" w:lineRule="auto"/>
              <w:jc w:val="right"/>
              <w:rPr>
                <w:b/>
                <w:bCs/>
                <w:color w:val="000000"/>
                <w:sz w:val="18"/>
                <w:szCs w:val="18"/>
              </w:rPr>
            </w:pPr>
            <w:r w:rsidRPr="0044359C">
              <w:rPr>
                <w:b/>
                <w:bCs/>
                <w:color w:val="000000"/>
                <w:sz w:val="18"/>
                <w:szCs w:val="18"/>
              </w:rPr>
              <w:t>0</w:t>
            </w:r>
          </w:p>
        </w:tc>
        <w:tc>
          <w:tcPr>
            <w:tcW w:w="515" w:type="pct"/>
            <w:tcBorders>
              <w:top w:val="nil"/>
              <w:left w:val="nil"/>
              <w:bottom w:val="single" w:sz="4" w:space="0" w:color="auto"/>
              <w:right w:val="nil"/>
            </w:tcBorders>
            <w:shd w:val="clear" w:color="auto" w:fill="auto"/>
            <w:noWrap/>
            <w:vAlign w:val="center"/>
            <w:hideMark/>
          </w:tcPr>
          <w:p w14:paraId="4EF77A74" w14:textId="77777777" w:rsidR="004D69BF" w:rsidRPr="0044359C" w:rsidRDefault="004D69BF" w:rsidP="000240DA">
            <w:pPr>
              <w:spacing w:line="240" w:lineRule="auto"/>
              <w:jc w:val="right"/>
              <w:rPr>
                <w:b/>
                <w:bCs/>
                <w:color w:val="000000"/>
                <w:sz w:val="18"/>
                <w:szCs w:val="18"/>
              </w:rPr>
            </w:pPr>
            <w:r w:rsidRPr="0044359C">
              <w:rPr>
                <w:b/>
                <w:bCs/>
                <w:color w:val="000000"/>
                <w:sz w:val="18"/>
                <w:szCs w:val="18"/>
              </w:rPr>
              <w:t>-9 333</w:t>
            </w:r>
          </w:p>
        </w:tc>
      </w:tr>
      <w:tr w:rsidR="004D69BF" w:rsidRPr="0044359C" w14:paraId="77233603" w14:textId="77777777" w:rsidTr="00922722">
        <w:trPr>
          <w:trHeight w:val="480"/>
        </w:trPr>
        <w:tc>
          <w:tcPr>
            <w:tcW w:w="2424" w:type="pct"/>
            <w:tcBorders>
              <w:top w:val="single" w:sz="4" w:space="0" w:color="auto"/>
              <w:left w:val="nil"/>
              <w:bottom w:val="single" w:sz="4" w:space="0" w:color="auto"/>
              <w:right w:val="nil"/>
            </w:tcBorders>
            <w:shd w:val="clear" w:color="auto" w:fill="auto"/>
            <w:vAlign w:val="center"/>
            <w:hideMark/>
          </w:tcPr>
          <w:p w14:paraId="2BAFDA9C" w14:textId="77777777" w:rsidR="004D69BF" w:rsidRPr="0044359C" w:rsidRDefault="004D69BF" w:rsidP="000240DA">
            <w:pPr>
              <w:spacing w:line="240" w:lineRule="auto"/>
              <w:rPr>
                <w:b/>
                <w:bCs/>
                <w:color w:val="000000"/>
                <w:sz w:val="18"/>
                <w:szCs w:val="18"/>
              </w:rPr>
            </w:pPr>
            <w:r w:rsidRPr="0044359C">
              <w:rPr>
                <w:b/>
                <w:bCs/>
                <w:color w:val="000000"/>
                <w:sz w:val="18"/>
                <w:szCs w:val="18"/>
              </w:rPr>
              <w:t>Spolu príjmy z rozpočtu EÚ</w:t>
            </w:r>
          </w:p>
        </w:tc>
        <w:tc>
          <w:tcPr>
            <w:tcW w:w="515" w:type="pct"/>
            <w:tcBorders>
              <w:top w:val="single" w:sz="4" w:space="0" w:color="auto"/>
              <w:left w:val="nil"/>
              <w:bottom w:val="single" w:sz="4" w:space="0" w:color="auto"/>
              <w:right w:val="nil"/>
            </w:tcBorders>
            <w:shd w:val="clear" w:color="auto" w:fill="auto"/>
            <w:noWrap/>
            <w:vAlign w:val="center"/>
            <w:hideMark/>
          </w:tcPr>
          <w:p w14:paraId="14625BCE" w14:textId="77777777" w:rsidR="004D69BF" w:rsidRPr="0044359C" w:rsidRDefault="004D69BF" w:rsidP="000240DA">
            <w:pPr>
              <w:spacing w:line="240" w:lineRule="auto"/>
              <w:jc w:val="right"/>
              <w:rPr>
                <w:b/>
                <w:bCs/>
                <w:color w:val="000000"/>
                <w:sz w:val="18"/>
                <w:szCs w:val="18"/>
              </w:rPr>
            </w:pPr>
            <w:r w:rsidRPr="0044359C">
              <w:rPr>
                <w:b/>
                <w:bCs/>
                <w:color w:val="000000"/>
                <w:sz w:val="18"/>
                <w:szCs w:val="18"/>
              </w:rPr>
              <w:t>2 146 641</w:t>
            </w:r>
          </w:p>
        </w:tc>
        <w:tc>
          <w:tcPr>
            <w:tcW w:w="515" w:type="pct"/>
            <w:tcBorders>
              <w:top w:val="single" w:sz="4" w:space="0" w:color="auto"/>
              <w:left w:val="nil"/>
              <w:bottom w:val="single" w:sz="4" w:space="0" w:color="auto"/>
              <w:right w:val="nil"/>
            </w:tcBorders>
            <w:shd w:val="clear" w:color="auto" w:fill="auto"/>
            <w:noWrap/>
            <w:vAlign w:val="center"/>
            <w:hideMark/>
          </w:tcPr>
          <w:p w14:paraId="1C68AC1B" w14:textId="77777777" w:rsidR="004D69BF" w:rsidRPr="0044359C" w:rsidRDefault="004D69BF" w:rsidP="000240DA">
            <w:pPr>
              <w:spacing w:line="240" w:lineRule="auto"/>
              <w:jc w:val="right"/>
              <w:rPr>
                <w:b/>
                <w:bCs/>
                <w:color w:val="000000"/>
                <w:sz w:val="18"/>
                <w:szCs w:val="18"/>
              </w:rPr>
            </w:pPr>
            <w:r w:rsidRPr="0044359C">
              <w:rPr>
                <w:b/>
                <w:bCs/>
                <w:color w:val="000000"/>
                <w:sz w:val="18"/>
                <w:szCs w:val="18"/>
              </w:rPr>
              <w:t>4 141 996</w:t>
            </w:r>
          </w:p>
        </w:tc>
        <w:tc>
          <w:tcPr>
            <w:tcW w:w="515" w:type="pct"/>
            <w:tcBorders>
              <w:top w:val="single" w:sz="4" w:space="0" w:color="auto"/>
              <w:left w:val="nil"/>
              <w:bottom w:val="single" w:sz="4" w:space="0" w:color="auto"/>
              <w:right w:val="nil"/>
            </w:tcBorders>
            <w:shd w:val="clear" w:color="auto" w:fill="auto"/>
            <w:noWrap/>
            <w:vAlign w:val="center"/>
            <w:hideMark/>
          </w:tcPr>
          <w:p w14:paraId="769F391C" w14:textId="77777777" w:rsidR="004D69BF" w:rsidRPr="0044359C" w:rsidRDefault="004D69BF" w:rsidP="000240DA">
            <w:pPr>
              <w:spacing w:line="240" w:lineRule="auto"/>
              <w:jc w:val="right"/>
              <w:rPr>
                <w:b/>
                <w:bCs/>
                <w:color w:val="000000"/>
                <w:sz w:val="18"/>
                <w:szCs w:val="18"/>
              </w:rPr>
            </w:pPr>
            <w:r w:rsidRPr="0044359C">
              <w:rPr>
                <w:b/>
                <w:bCs/>
                <w:color w:val="000000"/>
                <w:sz w:val="18"/>
                <w:szCs w:val="18"/>
              </w:rPr>
              <w:t>1 237 239</w:t>
            </w:r>
          </w:p>
        </w:tc>
        <w:tc>
          <w:tcPr>
            <w:tcW w:w="515" w:type="pct"/>
            <w:tcBorders>
              <w:top w:val="single" w:sz="4" w:space="0" w:color="auto"/>
              <w:left w:val="nil"/>
              <w:bottom w:val="single" w:sz="4" w:space="0" w:color="auto"/>
              <w:right w:val="nil"/>
            </w:tcBorders>
            <w:shd w:val="clear" w:color="auto" w:fill="auto"/>
            <w:noWrap/>
            <w:vAlign w:val="center"/>
            <w:hideMark/>
          </w:tcPr>
          <w:p w14:paraId="555ED4F1" w14:textId="77777777" w:rsidR="004D69BF" w:rsidRPr="0044359C" w:rsidRDefault="004D69BF" w:rsidP="000240DA">
            <w:pPr>
              <w:spacing w:line="240" w:lineRule="auto"/>
              <w:jc w:val="right"/>
              <w:rPr>
                <w:b/>
                <w:bCs/>
                <w:color w:val="000000"/>
                <w:sz w:val="18"/>
                <w:szCs w:val="18"/>
              </w:rPr>
            </w:pPr>
            <w:r w:rsidRPr="0044359C">
              <w:rPr>
                <w:b/>
                <w:bCs/>
                <w:color w:val="000000"/>
                <w:sz w:val="18"/>
                <w:szCs w:val="18"/>
              </w:rPr>
              <w:t>3 225 491</w:t>
            </w:r>
          </w:p>
        </w:tc>
        <w:tc>
          <w:tcPr>
            <w:tcW w:w="515" w:type="pct"/>
            <w:tcBorders>
              <w:top w:val="single" w:sz="4" w:space="0" w:color="auto"/>
              <w:left w:val="nil"/>
              <w:bottom w:val="single" w:sz="4" w:space="0" w:color="auto"/>
              <w:right w:val="nil"/>
            </w:tcBorders>
            <w:shd w:val="clear" w:color="auto" w:fill="auto"/>
            <w:noWrap/>
            <w:vAlign w:val="center"/>
            <w:hideMark/>
          </w:tcPr>
          <w:p w14:paraId="321BFF70" w14:textId="77777777" w:rsidR="004D69BF" w:rsidRPr="0044359C" w:rsidRDefault="004D69BF" w:rsidP="000240DA">
            <w:pPr>
              <w:spacing w:line="240" w:lineRule="auto"/>
              <w:jc w:val="right"/>
              <w:rPr>
                <w:b/>
                <w:bCs/>
                <w:color w:val="000000"/>
                <w:sz w:val="18"/>
                <w:szCs w:val="18"/>
              </w:rPr>
            </w:pPr>
            <w:r w:rsidRPr="0044359C">
              <w:rPr>
                <w:b/>
                <w:bCs/>
                <w:color w:val="000000"/>
                <w:sz w:val="18"/>
                <w:szCs w:val="18"/>
              </w:rPr>
              <w:t>1 988 252</w:t>
            </w:r>
          </w:p>
        </w:tc>
      </w:tr>
    </w:tbl>
    <w:p w14:paraId="1CDC187D" w14:textId="77777777" w:rsidR="004D69BF" w:rsidRPr="00072CDB" w:rsidRDefault="004D69BF" w:rsidP="004D69BF">
      <w:pPr>
        <w:jc w:val="right"/>
        <w:rPr>
          <w:sz w:val="18"/>
          <w:szCs w:val="18"/>
        </w:rPr>
      </w:pPr>
      <w:r w:rsidRPr="00072CDB">
        <w:rPr>
          <w:sz w:val="18"/>
          <w:szCs w:val="18"/>
        </w:rPr>
        <w:t>Zdroj: MF SR</w:t>
      </w:r>
    </w:p>
    <w:p w14:paraId="045351D3" w14:textId="77777777" w:rsidR="00B733F4" w:rsidRDefault="00B733F4">
      <w:pPr>
        <w:spacing w:after="160" w:line="259" w:lineRule="auto"/>
        <w:jc w:val="left"/>
        <w:rPr>
          <w:rFonts w:eastAsiaTheme="majorEastAsia" w:cstheme="majorBidi"/>
          <w:b/>
          <w:sz w:val="24"/>
          <w:szCs w:val="26"/>
        </w:rPr>
      </w:pPr>
      <w:bookmarkStart w:id="149" w:name="_Toc386461122"/>
      <w:bookmarkStart w:id="150" w:name="_Toc196314143"/>
      <w:r>
        <w:br w:type="page"/>
      </w:r>
    </w:p>
    <w:p w14:paraId="42A42F94" w14:textId="5560F993" w:rsidR="004D69BF" w:rsidRPr="008874E7" w:rsidRDefault="004D69BF" w:rsidP="004D69BF">
      <w:pPr>
        <w:pStyle w:val="Nadpis2"/>
        <w:numPr>
          <w:ilvl w:val="2"/>
          <w:numId w:val="34"/>
        </w:numPr>
        <w:ind w:left="709" w:hanging="360"/>
      </w:pPr>
      <w:r w:rsidRPr="008874E7">
        <w:lastRenderedPageBreak/>
        <w:t xml:space="preserve">Výdavky štátneho rozpočtu rozpočtované vo väzbe na príjmy z </w:t>
      </w:r>
      <w:bookmarkEnd w:id="149"/>
      <w:r w:rsidR="003B69D0">
        <w:t>EÚ</w:t>
      </w:r>
      <w:bookmarkEnd w:id="150"/>
    </w:p>
    <w:p w14:paraId="2FC21523" w14:textId="3F6F8CF9" w:rsidR="004D69BF" w:rsidRPr="008D0499" w:rsidRDefault="004D69BF" w:rsidP="004D69BF">
      <w:pPr>
        <w:spacing w:line="240" w:lineRule="auto"/>
        <w:rPr>
          <w:sz w:val="24"/>
          <w:szCs w:val="24"/>
        </w:rPr>
      </w:pPr>
      <w:r w:rsidRPr="008D0499">
        <w:rPr>
          <w:sz w:val="24"/>
          <w:szCs w:val="24"/>
        </w:rPr>
        <w:t>Vo väzbe na príjmy z prostriedkov EÚ sa v štátnom</w:t>
      </w:r>
      <w:r w:rsidR="009F6272">
        <w:rPr>
          <w:sz w:val="24"/>
          <w:szCs w:val="24"/>
        </w:rPr>
        <w:t xml:space="preserve"> rozpočte rozpočtujú výdavky za </w:t>
      </w:r>
      <w:r w:rsidRPr="008D0499">
        <w:rPr>
          <w:sz w:val="24"/>
          <w:szCs w:val="24"/>
        </w:rPr>
        <w:t>prostriedky EÚ a k nim zodpovedajúce výdavky na spolufin</w:t>
      </w:r>
      <w:r w:rsidR="009F6272">
        <w:rPr>
          <w:sz w:val="24"/>
          <w:szCs w:val="24"/>
        </w:rPr>
        <w:t>ancovanie zo</w:t>
      </w:r>
      <w:r w:rsidR="00922722">
        <w:rPr>
          <w:sz w:val="24"/>
          <w:szCs w:val="24"/>
        </w:rPr>
        <w:t> </w:t>
      </w:r>
      <w:r w:rsidR="009F6272">
        <w:rPr>
          <w:sz w:val="24"/>
          <w:szCs w:val="24"/>
        </w:rPr>
        <w:t>štátneho rozpočtu.</w:t>
      </w:r>
    </w:p>
    <w:p w14:paraId="43B1A76C" w14:textId="30C79DB2" w:rsidR="004D69BF" w:rsidRPr="008D0499" w:rsidRDefault="004D69BF" w:rsidP="004D69BF">
      <w:pPr>
        <w:spacing w:line="240" w:lineRule="auto"/>
        <w:rPr>
          <w:sz w:val="24"/>
          <w:szCs w:val="24"/>
        </w:rPr>
      </w:pPr>
      <w:r w:rsidRPr="008D0499">
        <w:rPr>
          <w:b/>
          <w:sz w:val="24"/>
          <w:szCs w:val="24"/>
        </w:rPr>
        <w:t>Výdavky z rozpočtu EÚ</w:t>
      </w:r>
      <w:r w:rsidRPr="008D0499">
        <w:rPr>
          <w:sz w:val="24"/>
          <w:szCs w:val="24"/>
        </w:rPr>
        <w:t xml:space="preserve"> sa rozpočtujú </w:t>
      </w:r>
      <w:r w:rsidR="009F6272">
        <w:rPr>
          <w:sz w:val="24"/>
          <w:szCs w:val="24"/>
        </w:rPr>
        <w:t>v rámci jednotlivých kapitol na </w:t>
      </w:r>
      <w:r w:rsidRPr="008D0499">
        <w:rPr>
          <w:sz w:val="24"/>
          <w:szCs w:val="24"/>
        </w:rPr>
        <w:t>úrovni riadiacich</w:t>
      </w:r>
      <w:r w:rsidR="009F6272">
        <w:rPr>
          <w:sz w:val="24"/>
          <w:szCs w:val="24"/>
        </w:rPr>
        <w:t> </w:t>
      </w:r>
      <w:r w:rsidRPr="008D0499">
        <w:rPr>
          <w:sz w:val="24"/>
          <w:szCs w:val="24"/>
        </w:rPr>
        <w:t>/</w:t>
      </w:r>
      <w:r w:rsidR="009F6272">
        <w:rPr>
          <w:sz w:val="24"/>
          <w:szCs w:val="24"/>
        </w:rPr>
        <w:t> </w:t>
      </w:r>
      <w:r w:rsidRPr="008D0499">
        <w:rPr>
          <w:sz w:val="24"/>
          <w:szCs w:val="24"/>
        </w:rPr>
        <w:t>sprostredkovateľských orgánov s platobnou funkci</w:t>
      </w:r>
      <w:r w:rsidR="00922722">
        <w:rPr>
          <w:sz w:val="24"/>
          <w:szCs w:val="24"/>
        </w:rPr>
        <w:t>ou a </w:t>
      </w:r>
      <w:r w:rsidRPr="008D0499">
        <w:rPr>
          <w:sz w:val="24"/>
          <w:szCs w:val="24"/>
        </w:rPr>
        <w:t>Pôdoh</w:t>
      </w:r>
      <w:r w:rsidR="009F6272">
        <w:rPr>
          <w:sz w:val="24"/>
          <w:szCs w:val="24"/>
        </w:rPr>
        <w:t>ospodárskej platobnej agentúry.</w:t>
      </w:r>
    </w:p>
    <w:p w14:paraId="1170AD8F" w14:textId="652F332C" w:rsidR="004D69BF" w:rsidRPr="008D0499" w:rsidRDefault="004D69BF" w:rsidP="004D69BF">
      <w:pPr>
        <w:spacing w:line="240" w:lineRule="auto"/>
        <w:rPr>
          <w:sz w:val="24"/>
          <w:szCs w:val="24"/>
        </w:rPr>
      </w:pPr>
      <w:r w:rsidRPr="008D0499">
        <w:rPr>
          <w:sz w:val="24"/>
          <w:szCs w:val="24"/>
        </w:rPr>
        <w:t xml:space="preserve">Schválený rozpočet výdavkov za prostriedky EÚ na rok 2024 bol vo výške </w:t>
      </w:r>
      <w:r w:rsidRPr="008D0499">
        <w:rPr>
          <w:b/>
          <w:bCs/>
          <w:sz w:val="24"/>
          <w:szCs w:val="24"/>
        </w:rPr>
        <w:t>1 237</w:t>
      </w:r>
      <w:r w:rsidR="009F6272">
        <w:rPr>
          <w:b/>
          <w:bCs/>
          <w:sz w:val="24"/>
          <w:szCs w:val="24"/>
        </w:rPr>
        <w:t> </w:t>
      </w:r>
      <w:r w:rsidRPr="008D0499">
        <w:rPr>
          <w:b/>
          <w:bCs/>
          <w:sz w:val="24"/>
          <w:szCs w:val="24"/>
        </w:rPr>
        <w:t>239</w:t>
      </w:r>
      <w:r w:rsidR="009F6272">
        <w:rPr>
          <w:b/>
          <w:bCs/>
          <w:sz w:val="24"/>
          <w:szCs w:val="24"/>
        </w:rPr>
        <w:t> tis. </w:t>
      </w:r>
      <w:r w:rsidRPr="008D0499">
        <w:rPr>
          <w:b/>
          <w:bCs/>
          <w:sz w:val="24"/>
          <w:szCs w:val="24"/>
        </w:rPr>
        <w:t>eur</w:t>
      </w:r>
      <w:r w:rsidRPr="008D0499">
        <w:rPr>
          <w:sz w:val="24"/>
          <w:szCs w:val="24"/>
        </w:rPr>
        <w:t xml:space="preserve"> (z</w:t>
      </w:r>
      <w:r w:rsidR="009F6272">
        <w:rPr>
          <w:sz w:val="24"/>
          <w:szCs w:val="24"/>
        </w:rPr>
        <w:t> </w:t>
      </w:r>
      <w:r w:rsidRPr="008D0499">
        <w:rPr>
          <w:sz w:val="24"/>
          <w:szCs w:val="24"/>
        </w:rPr>
        <w:t>toho štrukturálne operácie MF SR vo výške 471</w:t>
      </w:r>
      <w:r w:rsidR="009F6272">
        <w:rPr>
          <w:sz w:val="24"/>
          <w:szCs w:val="24"/>
        </w:rPr>
        <w:t> </w:t>
      </w:r>
      <w:r w:rsidRPr="008D0499">
        <w:rPr>
          <w:sz w:val="24"/>
          <w:szCs w:val="24"/>
        </w:rPr>
        <w:t>012</w:t>
      </w:r>
      <w:r w:rsidR="009F6272">
        <w:rPr>
          <w:sz w:val="24"/>
          <w:szCs w:val="24"/>
        </w:rPr>
        <w:t> </w:t>
      </w:r>
      <w:r w:rsidRPr="008D0499">
        <w:rPr>
          <w:sz w:val="24"/>
          <w:szCs w:val="24"/>
        </w:rPr>
        <w:t>tis.</w:t>
      </w:r>
      <w:r w:rsidR="009F6272">
        <w:rPr>
          <w:sz w:val="24"/>
          <w:szCs w:val="24"/>
        </w:rPr>
        <w:t> </w:t>
      </w:r>
      <w:r w:rsidRPr="008D0499">
        <w:rPr>
          <w:sz w:val="24"/>
          <w:szCs w:val="24"/>
        </w:rPr>
        <w:t>eur, štrukturálne operácie MV SR vo</w:t>
      </w:r>
      <w:r w:rsidR="009F6272">
        <w:rPr>
          <w:sz w:val="24"/>
          <w:szCs w:val="24"/>
        </w:rPr>
        <w:t> výške 9 333 </w:t>
      </w:r>
      <w:r w:rsidRPr="008D0499">
        <w:rPr>
          <w:sz w:val="24"/>
          <w:szCs w:val="24"/>
        </w:rPr>
        <w:t>tis.</w:t>
      </w:r>
      <w:r w:rsidR="009F6272">
        <w:rPr>
          <w:sz w:val="24"/>
          <w:szCs w:val="24"/>
        </w:rPr>
        <w:t> </w:t>
      </w:r>
      <w:r w:rsidRPr="008D0499">
        <w:rPr>
          <w:sz w:val="24"/>
          <w:szCs w:val="24"/>
        </w:rPr>
        <w:t>eur a poľnohos</w:t>
      </w:r>
      <w:r w:rsidR="009F6272">
        <w:rPr>
          <w:sz w:val="24"/>
          <w:szCs w:val="24"/>
        </w:rPr>
        <w:t>podárske fondy vo výške 756 894 </w:t>
      </w:r>
      <w:r w:rsidRPr="008D0499">
        <w:rPr>
          <w:sz w:val="24"/>
          <w:szCs w:val="24"/>
        </w:rPr>
        <w:t>tis.</w:t>
      </w:r>
      <w:r w:rsidR="009F6272">
        <w:rPr>
          <w:sz w:val="24"/>
          <w:szCs w:val="24"/>
        </w:rPr>
        <w:t> </w:t>
      </w:r>
      <w:r w:rsidRPr="008D0499">
        <w:rPr>
          <w:sz w:val="24"/>
          <w:szCs w:val="24"/>
        </w:rPr>
        <w:t>eur), teda v rovnakej výške ako</w:t>
      </w:r>
      <w:r>
        <w:rPr>
          <w:sz w:val="24"/>
          <w:szCs w:val="24"/>
        </w:rPr>
        <w:t xml:space="preserve"> </w:t>
      </w:r>
      <w:r w:rsidRPr="008D0499">
        <w:rPr>
          <w:sz w:val="24"/>
          <w:szCs w:val="24"/>
        </w:rPr>
        <w:t>príjmy z rozpočtu EÚ.</w:t>
      </w:r>
    </w:p>
    <w:p w14:paraId="2ABEF9D4" w14:textId="17426FE6" w:rsidR="004D69BF" w:rsidRPr="008D0499" w:rsidRDefault="004D69BF" w:rsidP="004D69BF">
      <w:pPr>
        <w:spacing w:line="240" w:lineRule="auto"/>
        <w:rPr>
          <w:sz w:val="24"/>
          <w:szCs w:val="24"/>
        </w:rPr>
      </w:pPr>
      <w:r w:rsidRPr="008D0499">
        <w:rPr>
          <w:sz w:val="24"/>
          <w:szCs w:val="24"/>
        </w:rPr>
        <w:t xml:space="preserve">Rozpočet výdavkov za prostriedky EÚ bol v roku 2024 upravený na úroveň </w:t>
      </w:r>
      <w:r w:rsidR="009F6272">
        <w:rPr>
          <w:b/>
          <w:bCs/>
          <w:sz w:val="24"/>
          <w:szCs w:val="24"/>
        </w:rPr>
        <w:t>3 009 658 </w:t>
      </w:r>
      <w:r w:rsidRPr="008D0499">
        <w:rPr>
          <w:b/>
          <w:bCs/>
          <w:sz w:val="24"/>
          <w:szCs w:val="24"/>
        </w:rPr>
        <w:t>tis.</w:t>
      </w:r>
      <w:r w:rsidR="009F6272">
        <w:rPr>
          <w:b/>
          <w:bCs/>
          <w:sz w:val="24"/>
          <w:szCs w:val="24"/>
        </w:rPr>
        <w:t> </w:t>
      </w:r>
      <w:r w:rsidRPr="008D0499">
        <w:rPr>
          <w:b/>
          <w:bCs/>
          <w:sz w:val="24"/>
          <w:szCs w:val="24"/>
        </w:rPr>
        <w:t>eur</w:t>
      </w:r>
      <w:r w:rsidRPr="008D0499">
        <w:rPr>
          <w:sz w:val="24"/>
          <w:szCs w:val="24"/>
        </w:rPr>
        <w:t xml:space="preserve"> (z toho štrukturáln</w:t>
      </w:r>
      <w:r w:rsidR="009F6272">
        <w:rPr>
          <w:sz w:val="24"/>
          <w:szCs w:val="24"/>
        </w:rPr>
        <w:t>e operácie MF SR vo výške 2 074 297 </w:t>
      </w:r>
      <w:r w:rsidRPr="008D0499">
        <w:rPr>
          <w:sz w:val="24"/>
          <w:szCs w:val="24"/>
        </w:rPr>
        <w:t>tis.</w:t>
      </w:r>
      <w:r w:rsidR="009F6272">
        <w:rPr>
          <w:sz w:val="24"/>
          <w:szCs w:val="24"/>
        </w:rPr>
        <w:t> </w:t>
      </w:r>
      <w:r w:rsidRPr="008D0499">
        <w:rPr>
          <w:sz w:val="24"/>
          <w:szCs w:val="24"/>
        </w:rPr>
        <w:t>eur, štrukturálne</w:t>
      </w:r>
      <w:r w:rsidR="009F6272">
        <w:rPr>
          <w:sz w:val="24"/>
          <w:szCs w:val="24"/>
        </w:rPr>
        <w:t xml:space="preserve"> operácie MPSVR SR vo výške 719 </w:t>
      </w:r>
      <w:r w:rsidRPr="008D0499">
        <w:rPr>
          <w:sz w:val="24"/>
          <w:szCs w:val="24"/>
        </w:rPr>
        <w:t>tis.</w:t>
      </w:r>
      <w:r w:rsidR="009F6272">
        <w:rPr>
          <w:sz w:val="24"/>
          <w:szCs w:val="24"/>
        </w:rPr>
        <w:t> </w:t>
      </w:r>
      <w:r w:rsidRPr="008D0499">
        <w:rPr>
          <w:sz w:val="24"/>
          <w:szCs w:val="24"/>
        </w:rPr>
        <w:t>eur a poľnohos</w:t>
      </w:r>
      <w:r w:rsidR="009F6272">
        <w:rPr>
          <w:sz w:val="24"/>
          <w:szCs w:val="24"/>
        </w:rPr>
        <w:t>podárske fondy vo výške 933 466 tis. </w:t>
      </w:r>
      <w:r w:rsidRPr="008D0499">
        <w:rPr>
          <w:sz w:val="24"/>
          <w:szCs w:val="24"/>
        </w:rPr>
        <w:t>eur).</w:t>
      </w:r>
    </w:p>
    <w:p w14:paraId="7B82FA4D" w14:textId="574B731A" w:rsidR="004D69BF" w:rsidRPr="008D0499" w:rsidRDefault="004D69BF" w:rsidP="004D69BF">
      <w:pPr>
        <w:spacing w:line="240" w:lineRule="auto"/>
        <w:rPr>
          <w:sz w:val="24"/>
          <w:szCs w:val="24"/>
        </w:rPr>
      </w:pPr>
      <w:r w:rsidRPr="008D0499">
        <w:rPr>
          <w:sz w:val="24"/>
          <w:szCs w:val="24"/>
        </w:rPr>
        <w:t xml:space="preserve">Skutočné čerpanie výdavkov za prostriedky EÚ bolo vo výške </w:t>
      </w:r>
      <w:r w:rsidR="009F6272">
        <w:rPr>
          <w:b/>
          <w:bCs/>
          <w:sz w:val="24"/>
          <w:szCs w:val="24"/>
        </w:rPr>
        <w:t>3 </w:t>
      </w:r>
      <w:r w:rsidRPr="008D0499">
        <w:rPr>
          <w:b/>
          <w:bCs/>
          <w:sz w:val="24"/>
          <w:szCs w:val="24"/>
        </w:rPr>
        <w:t>009</w:t>
      </w:r>
      <w:r w:rsidR="009F6272">
        <w:rPr>
          <w:b/>
          <w:bCs/>
          <w:sz w:val="24"/>
          <w:szCs w:val="24"/>
        </w:rPr>
        <w:t> </w:t>
      </w:r>
      <w:r w:rsidRPr="008D0499">
        <w:rPr>
          <w:b/>
          <w:bCs/>
          <w:sz w:val="24"/>
          <w:szCs w:val="24"/>
        </w:rPr>
        <w:t>658</w:t>
      </w:r>
      <w:r w:rsidR="009F6272">
        <w:rPr>
          <w:b/>
          <w:bCs/>
          <w:sz w:val="24"/>
          <w:szCs w:val="24"/>
        </w:rPr>
        <w:t> </w:t>
      </w:r>
      <w:r w:rsidRPr="008D0499">
        <w:rPr>
          <w:b/>
          <w:bCs/>
          <w:sz w:val="24"/>
          <w:szCs w:val="24"/>
        </w:rPr>
        <w:t>tis.</w:t>
      </w:r>
      <w:r w:rsidR="009F6272">
        <w:rPr>
          <w:b/>
          <w:bCs/>
          <w:sz w:val="24"/>
          <w:szCs w:val="24"/>
        </w:rPr>
        <w:t> </w:t>
      </w:r>
      <w:r w:rsidRPr="008D0499">
        <w:rPr>
          <w:b/>
          <w:bCs/>
          <w:sz w:val="24"/>
          <w:szCs w:val="24"/>
        </w:rPr>
        <w:t>eur</w:t>
      </w:r>
      <w:r w:rsidRPr="008D0499">
        <w:rPr>
          <w:sz w:val="24"/>
          <w:szCs w:val="24"/>
        </w:rPr>
        <w:t xml:space="preserve"> (z</w:t>
      </w:r>
      <w:r w:rsidR="009F6272">
        <w:rPr>
          <w:sz w:val="24"/>
          <w:szCs w:val="24"/>
        </w:rPr>
        <w:t> </w:t>
      </w:r>
      <w:r w:rsidRPr="008D0499">
        <w:rPr>
          <w:sz w:val="24"/>
          <w:szCs w:val="24"/>
        </w:rPr>
        <w:t>toho štrukturáln</w:t>
      </w:r>
      <w:r w:rsidR="009F6272">
        <w:rPr>
          <w:sz w:val="24"/>
          <w:szCs w:val="24"/>
        </w:rPr>
        <w:t>e operácie MF SR vo výške 2 074 </w:t>
      </w:r>
      <w:r w:rsidRPr="008D0499">
        <w:rPr>
          <w:sz w:val="24"/>
          <w:szCs w:val="24"/>
        </w:rPr>
        <w:t>297</w:t>
      </w:r>
      <w:r w:rsidR="009F6272">
        <w:rPr>
          <w:sz w:val="24"/>
          <w:szCs w:val="24"/>
        </w:rPr>
        <w:t> </w:t>
      </w:r>
      <w:r w:rsidRPr="008D0499">
        <w:rPr>
          <w:sz w:val="24"/>
          <w:szCs w:val="24"/>
        </w:rPr>
        <w:t>tis.</w:t>
      </w:r>
      <w:r w:rsidR="009F6272">
        <w:rPr>
          <w:sz w:val="24"/>
          <w:szCs w:val="24"/>
        </w:rPr>
        <w:t> </w:t>
      </w:r>
      <w:r w:rsidRPr="008D0499">
        <w:rPr>
          <w:sz w:val="24"/>
          <w:szCs w:val="24"/>
        </w:rPr>
        <w:t>eur, štrukturálne operácie MPSVR SR vo</w:t>
      </w:r>
      <w:r w:rsidR="009F6272">
        <w:rPr>
          <w:sz w:val="24"/>
          <w:szCs w:val="24"/>
        </w:rPr>
        <w:t> </w:t>
      </w:r>
      <w:r w:rsidRPr="008D0499">
        <w:rPr>
          <w:sz w:val="24"/>
          <w:szCs w:val="24"/>
        </w:rPr>
        <w:t>výške 719</w:t>
      </w:r>
      <w:r w:rsidR="009F6272">
        <w:rPr>
          <w:sz w:val="24"/>
          <w:szCs w:val="24"/>
        </w:rPr>
        <w:t> </w:t>
      </w:r>
      <w:r w:rsidRPr="008D0499">
        <w:rPr>
          <w:sz w:val="24"/>
          <w:szCs w:val="24"/>
        </w:rPr>
        <w:t>tis.</w:t>
      </w:r>
      <w:r w:rsidR="009F6272">
        <w:rPr>
          <w:sz w:val="24"/>
          <w:szCs w:val="24"/>
        </w:rPr>
        <w:t> </w:t>
      </w:r>
      <w:r w:rsidRPr="008D0499">
        <w:rPr>
          <w:sz w:val="24"/>
          <w:szCs w:val="24"/>
        </w:rPr>
        <w:t>eur a poľnohospodárske fondy vo výške 933</w:t>
      </w:r>
      <w:r w:rsidR="009F6272">
        <w:rPr>
          <w:sz w:val="24"/>
          <w:szCs w:val="24"/>
        </w:rPr>
        <w:t> </w:t>
      </w:r>
      <w:r w:rsidRPr="008D0499">
        <w:rPr>
          <w:sz w:val="24"/>
          <w:szCs w:val="24"/>
        </w:rPr>
        <w:t>466</w:t>
      </w:r>
      <w:r w:rsidR="009F6272">
        <w:rPr>
          <w:sz w:val="24"/>
          <w:szCs w:val="24"/>
        </w:rPr>
        <w:t> </w:t>
      </w:r>
      <w:r w:rsidRPr="008D0499">
        <w:rPr>
          <w:sz w:val="24"/>
          <w:szCs w:val="24"/>
        </w:rPr>
        <w:t>tis.</w:t>
      </w:r>
      <w:r w:rsidR="009F6272">
        <w:rPr>
          <w:sz w:val="24"/>
          <w:szCs w:val="24"/>
        </w:rPr>
        <w:t> </w:t>
      </w:r>
      <w:r w:rsidRPr="008D0499">
        <w:rPr>
          <w:sz w:val="24"/>
          <w:szCs w:val="24"/>
        </w:rPr>
        <w:t>eur).</w:t>
      </w:r>
    </w:p>
    <w:p w14:paraId="6AC95654" w14:textId="04BF5DD4" w:rsidR="004D69BF" w:rsidRPr="00767660" w:rsidRDefault="004D69BF" w:rsidP="004D69BF">
      <w:pPr>
        <w:spacing w:line="240" w:lineRule="auto"/>
        <w:rPr>
          <w:sz w:val="24"/>
          <w:szCs w:val="24"/>
        </w:rPr>
      </w:pPr>
      <w:r w:rsidRPr="008D0499">
        <w:rPr>
          <w:b/>
          <w:sz w:val="24"/>
          <w:szCs w:val="24"/>
        </w:rPr>
        <w:t xml:space="preserve">Prostriedky za štrukturálne operácie – MF SR </w:t>
      </w:r>
      <w:r w:rsidRPr="008D0499">
        <w:rPr>
          <w:sz w:val="24"/>
          <w:szCs w:val="24"/>
        </w:rPr>
        <w:t>už neboli rozpočtované za 3.</w:t>
      </w:r>
      <w:r w:rsidR="009F6272">
        <w:rPr>
          <w:sz w:val="24"/>
          <w:szCs w:val="24"/>
        </w:rPr>
        <w:t> </w:t>
      </w:r>
      <w:r w:rsidRPr="008D0499">
        <w:rPr>
          <w:sz w:val="24"/>
          <w:szCs w:val="24"/>
        </w:rPr>
        <w:t>programové obdobie v dôsledku ukončenia obdobia oprávnenosti k 31.12.2023, avšak preplatenie realizovaných výdavkov z úrovne platobnej jednotky prijímateľom pokračovalo aj v roku 2024. Rozpočet výdavkov bol upravený o nepoužité prostriedky z predchádzajúcich rokov v zmysle §</w:t>
      </w:r>
      <w:r w:rsidR="009F6272">
        <w:rPr>
          <w:sz w:val="24"/>
          <w:szCs w:val="24"/>
        </w:rPr>
        <w:t> </w:t>
      </w:r>
      <w:r w:rsidRPr="008D0499">
        <w:rPr>
          <w:sz w:val="24"/>
          <w:szCs w:val="24"/>
        </w:rPr>
        <w:t xml:space="preserve">8 zákona </w:t>
      </w:r>
      <w:r w:rsidRPr="00767660">
        <w:rPr>
          <w:sz w:val="24"/>
          <w:szCs w:val="24"/>
        </w:rPr>
        <w:t>o rozpočtových pravidlách, prostriedky nadčerpania z VPS v kapitole MH SR, z dôvodu vysporiadania finančných p</w:t>
      </w:r>
      <w:r w:rsidR="00B7397E">
        <w:rPr>
          <w:sz w:val="24"/>
          <w:szCs w:val="24"/>
        </w:rPr>
        <w:t>rostriedkov za nezrovnalosti a </w:t>
      </w:r>
      <w:r w:rsidRPr="00767660">
        <w:rPr>
          <w:sz w:val="24"/>
          <w:szCs w:val="24"/>
        </w:rPr>
        <w:t>vratky a</w:t>
      </w:r>
      <w:r w:rsidR="00B7397E">
        <w:rPr>
          <w:sz w:val="24"/>
          <w:szCs w:val="24"/>
        </w:rPr>
        <w:t> </w:t>
      </w:r>
      <w:r w:rsidRPr="00767660">
        <w:rPr>
          <w:sz w:val="24"/>
          <w:szCs w:val="24"/>
        </w:rPr>
        <w:t>presunov alokácií operačných programov a platobných jednotiek v dôsledku ukončovania programového obdobia 2014</w:t>
      </w:r>
      <w:r w:rsidR="00B7397E">
        <w:rPr>
          <w:sz w:val="24"/>
          <w:szCs w:val="24"/>
        </w:rPr>
        <w:t> </w:t>
      </w:r>
      <w:r w:rsidRPr="00767660">
        <w:rPr>
          <w:sz w:val="24"/>
          <w:szCs w:val="24"/>
        </w:rPr>
        <w:t>–</w:t>
      </w:r>
      <w:r w:rsidR="00B7397E">
        <w:rPr>
          <w:sz w:val="24"/>
          <w:szCs w:val="24"/>
        </w:rPr>
        <w:t> </w:t>
      </w:r>
      <w:r w:rsidRPr="00767660">
        <w:rPr>
          <w:sz w:val="24"/>
          <w:szCs w:val="24"/>
        </w:rPr>
        <w:t>2020 na úroveň 1 364</w:t>
      </w:r>
      <w:r w:rsidR="009F6272">
        <w:rPr>
          <w:sz w:val="24"/>
          <w:szCs w:val="24"/>
        </w:rPr>
        <w:t> </w:t>
      </w:r>
      <w:r w:rsidRPr="00767660">
        <w:rPr>
          <w:sz w:val="24"/>
          <w:szCs w:val="24"/>
        </w:rPr>
        <w:t>174</w:t>
      </w:r>
      <w:r w:rsidR="009F6272">
        <w:rPr>
          <w:sz w:val="24"/>
          <w:szCs w:val="24"/>
        </w:rPr>
        <w:t> </w:t>
      </w:r>
      <w:r w:rsidRPr="00767660">
        <w:rPr>
          <w:sz w:val="24"/>
          <w:szCs w:val="24"/>
        </w:rPr>
        <w:t>tis.</w:t>
      </w:r>
      <w:r w:rsidR="009F6272">
        <w:rPr>
          <w:sz w:val="24"/>
          <w:szCs w:val="24"/>
        </w:rPr>
        <w:t> </w:t>
      </w:r>
      <w:r w:rsidRPr="00767660">
        <w:rPr>
          <w:sz w:val="24"/>
          <w:szCs w:val="24"/>
        </w:rPr>
        <w:t>eur. Skutočné čerpan</w:t>
      </w:r>
      <w:r w:rsidR="009F6272">
        <w:rPr>
          <w:sz w:val="24"/>
          <w:szCs w:val="24"/>
        </w:rPr>
        <w:t>ie výdavkov bolo v roku 2024 vo výške 1 364 </w:t>
      </w:r>
      <w:r w:rsidRPr="00767660">
        <w:rPr>
          <w:sz w:val="24"/>
          <w:szCs w:val="24"/>
        </w:rPr>
        <w:t>174</w:t>
      </w:r>
      <w:r w:rsidR="009F6272">
        <w:rPr>
          <w:sz w:val="24"/>
          <w:szCs w:val="24"/>
        </w:rPr>
        <w:t> tis. e</w:t>
      </w:r>
      <w:r w:rsidRPr="00767660">
        <w:rPr>
          <w:sz w:val="24"/>
          <w:szCs w:val="24"/>
        </w:rPr>
        <w:t>ur.</w:t>
      </w:r>
    </w:p>
    <w:p w14:paraId="4901C62E" w14:textId="1305CC83" w:rsidR="004D69BF" w:rsidRPr="00767660" w:rsidRDefault="009F6272" w:rsidP="004D69BF">
      <w:pPr>
        <w:spacing w:line="240" w:lineRule="auto"/>
        <w:rPr>
          <w:sz w:val="24"/>
          <w:szCs w:val="24"/>
        </w:rPr>
      </w:pPr>
      <w:r>
        <w:rPr>
          <w:sz w:val="24"/>
          <w:szCs w:val="24"/>
        </w:rPr>
        <w:t>Výdavky za 3. </w:t>
      </w:r>
      <w:r w:rsidR="004D69BF" w:rsidRPr="008D0499">
        <w:rPr>
          <w:sz w:val="24"/>
          <w:szCs w:val="24"/>
        </w:rPr>
        <w:t xml:space="preserve">programové obdobie na opatrenia súvisiace s pandémiou COVID realizované prostredníctvom kapitol MIRRI SR, </w:t>
      </w:r>
      <w:r w:rsidR="004D69BF" w:rsidRPr="00767660">
        <w:rPr>
          <w:sz w:val="24"/>
          <w:szCs w:val="24"/>
        </w:rPr>
        <w:t xml:space="preserve">MŠVVM SR </w:t>
      </w:r>
      <w:r>
        <w:rPr>
          <w:sz w:val="24"/>
          <w:szCs w:val="24"/>
        </w:rPr>
        <w:t>a MPSVR SR boli vo výške 66 951 </w:t>
      </w:r>
      <w:r w:rsidR="004D69BF" w:rsidRPr="00767660">
        <w:rPr>
          <w:sz w:val="24"/>
          <w:szCs w:val="24"/>
        </w:rPr>
        <w:t>tis.</w:t>
      </w:r>
      <w:r>
        <w:rPr>
          <w:sz w:val="24"/>
          <w:szCs w:val="24"/>
        </w:rPr>
        <w:t> </w:t>
      </w:r>
      <w:r w:rsidR="004D69BF" w:rsidRPr="00767660">
        <w:rPr>
          <w:sz w:val="24"/>
          <w:szCs w:val="24"/>
        </w:rPr>
        <w:t>eur, výdavky na opatrenia súvisiace s rastom cien energií realizované prostredníctvom kapit</w:t>
      </w:r>
      <w:r>
        <w:rPr>
          <w:sz w:val="24"/>
          <w:szCs w:val="24"/>
        </w:rPr>
        <w:t>oly MH SR boli vo výške 436 652 </w:t>
      </w:r>
      <w:r w:rsidR="004D69BF" w:rsidRPr="00767660">
        <w:rPr>
          <w:sz w:val="24"/>
          <w:szCs w:val="24"/>
        </w:rPr>
        <w:t>tis.</w:t>
      </w:r>
      <w:r>
        <w:rPr>
          <w:sz w:val="24"/>
          <w:szCs w:val="24"/>
        </w:rPr>
        <w:t> </w:t>
      </w:r>
      <w:r w:rsidR="004D69BF" w:rsidRPr="00767660">
        <w:rPr>
          <w:sz w:val="24"/>
          <w:szCs w:val="24"/>
        </w:rPr>
        <w:t>eur (z toho opatrenia pre domácnosti boli vo</w:t>
      </w:r>
      <w:r w:rsidR="00B7397E">
        <w:rPr>
          <w:sz w:val="24"/>
          <w:szCs w:val="24"/>
        </w:rPr>
        <w:t> </w:t>
      </w:r>
      <w:r w:rsidR="004D69BF" w:rsidRPr="00767660">
        <w:rPr>
          <w:sz w:val="24"/>
          <w:szCs w:val="24"/>
        </w:rPr>
        <w:t>výške 428</w:t>
      </w:r>
      <w:r>
        <w:rPr>
          <w:sz w:val="24"/>
          <w:szCs w:val="24"/>
        </w:rPr>
        <w:t> </w:t>
      </w:r>
      <w:r w:rsidR="004D69BF" w:rsidRPr="00767660">
        <w:rPr>
          <w:sz w:val="24"/>
          <w:szCs w:val="24"/>
        </w:rPr>
        <w:t>133</w:t>
      </w:r>
      <w:r>
        <w:rPr>
          <w:sz w:val="24"/>
          <w:szCs w:val="24"/>
        </w:rPr>
        <w:t> </w:t>
      </w:r>
      <w:r w:rsidR="004D69BF" w:rsidRPr="00767660">
        <w:rPr>
          <w:sz w:val="24"/>
          <w:szCs w:val="24"/>
        </w:rPr>
        <w:t>tis.</w:t>
      </w:r>
      <w:r>
        <w:rPr>
          <w:sz w:val="24"/>
          <w:szCs w:val="24"/>
        </w:rPr>
        <w:t> </w:t>
      </w:r>
      <w:r w:rsidR="004D69BF" w:rsidRPr="00767660">
        <w:rPr>
          <w:sz w:val="24"/>
          <w:szCs w:val="24"/>
        </w:rPr>
        <w:t>eur a opatrenia pre subjekty vere</w:t>
      </w:r>
      <w:r>
        <w:rPr>
          <w:sz w:val="24"/>
          <w:szCs w:val="24"/>
        </w:rPr>
        <w:t>jnej správy boli vo výške 8 519 </w:t>
      </w:r>
      <w:r w:rsidR="004D69BF" w:rsidRPr="00767660">
        <w:rPr>
          <w:sz w:val="24"/>
          <w:szCs w:val="24"/>
        </w:rPr>
        <w:t>tis.</w:t>
      </w:r>
      <w:r>
        <w:rPr>
          <w:sz w:val="24"/>
          <w:szCs w:val="24"/>
        </w:rPr>
        <w:t> eur) a výdavky na </w:t>
      </w:r>
      <w:r w:rsidR="004D69BF" w:rsidRPr="00767660">
        <w:rPr>
          <w:sz w:val="24"/>
          <w:szCs w:val="24"/>
        </w:rPr>
        <w:t>opatrenia súvisiace s vojnovým konfliktom na Ukrajine realizované prostredníctvom kapitol MIRRI SR</w:t>
      </w:r>
      <w:r>
        <w:rPr>
          <w:sz w:val="24"/>
          <w:szCs w:val="24"/>
        </w:rPr>
        <w:t xml:space="preserve"> a MPSVR SR boli vo výške 9 030 </w:t>
      </w:r>
      <w:r w:rsidR="004D69BF" w:rsidRPr="00767660">
        <w:rPr>
          <w:sz w:val="24"/>
          <w:szCs w:val="24"/>
        </w:rPr>
        <w:t>tis.</w:t>
      </w:r>
      <w:r>
        <w:rPr>
          <w:sz w:val="24"/>
          <w:szCs w:val="24"/>
        </w:rPr>
        <w:t> </w:t>
      </w:r>
      <w:r w:rsidR="004D69BF" w:rsidRPr="00767660">
        <w:rPr>
          <w:sz w:val="24"/>
          <w:szCs w:val="24"/>
        </w:rPr>
        <w:t>eur.</w:t>
      </w:r>
      <w:r w:rsidR="004D69BF" w:rsidRPr="00767660">
        <w:rPr>
          <w:rStyle w:val="Odkaznapoznmkupodiarou"/>
          <w:sz w:val="24"/>
          <w:szCs w:val="24"/>
        </w:rPr>
        <w:footnoteReference w:id="34"/>
      </w:r>
    </w:p>
    <w:p w14:paraId="641CC1AE" w14:textId="177A4B56" w:rsidR="004D69BF" w:rsidRPr="00767660" w:rsidRDefault="004D69BF" w:rsidP="004D69BF">
      <w:pPr>
        <w:spacing w:line="240" w:lineRule="auto"/>
        <w:rPr>
          <w:sz w:val="24"/>
          <w:szCs w:val="24"/>
        </w:rPr>
      </w:pPr>
      <w:r w:rsidRPr="008D0499">
        <w:rPr>
          <w:sz w:val="24"/>
          <w:szCs w:val="24"/>
        </w:rPr>
        <w:t xml:space="preserve">V roku 2024 boli </w:t>
      </w:r>
      <w:r w:rsidRPr="00767660">
        <w:rPr>
          <w:sz w:val="24"/>
          <w:szCs w:val="24"/>
        </w:rPr>
        <w:t>rozpočtované prostrie</w:t>
      </w:r>
      <w:r w:rsidR="009F6272">
        <w:rPr>
          <w:sz w:val="24"/>
          <w:szCs w:val="24"/>
        </w:rPr>
        <w:t>dky za 4. programové obdobie za </w:t>
      </w:r>
      <w:r w:rsidRPr="00767660">
        <w:rPr>
          <w:sz w:val="24"/>
          <w:szCs w:val="24"/>
          <w:u w:val="single"/>
        </w:rPr>
        <w:t>štrukturálne operácie MF SR</w:t>
      </w:r>
      <w:r w:rsidR="009F6272">
        <w:rPr>
          <w:sz w:val="24"/>
          <w:szCs w:val="24"/>
        </w:rPr>
        <w:t xml:space="preserve"> vo výške 471 012 </w:t>
      </w:r>
      <w:r w:rsidRPr="00767660">
        <w:rPr>
          <w:sz w:val="24"/>
          <w:szCs w:val="24"/>
        </w:rPr>
        <w:t>tis.</w:t>
      </w:r>
      <w:r w:rsidR="009F6272">
        <w:rPr>
          <w:sz w:val="24"/>
          <w:szCs w:val="24"/>
        </w:rPr>
        <w:t> </w:t>
      </w:r>
      <w:r w:rsidRPr="00767660">
        <w:rPr>
          <w:sz w:val="24"/>
          <w:szCs w:val="24"/>
        </w:rPr>
        <w:t>eur za Program Slovensko, Program Rybné hospodárstvo a</w:t>
      </w:r>
      <w:r w:rsidR="009F6272">
        <w:rPr>
          <w:sz w:val="24"/>
          <w:szCs w:val="24"/>
        </w:rPr>
        <w:t> </w:t>
      </w:r>
      <w:r w:rsidRPr="00767660">
        <w:rPr>
          <w:sz w:val="24"/>
          <w:szCs w:val="24"/>
        </w:rPr>
        <w:t>za</w:t>
      </w:r>
      <w:r w:rsidR="009F6272">
        <w:rPr>
          <w:sz w:val="24"/>
          <w:szCs w:val="24"/>
        </w:rPr>
        <w:t> </w:t>
      </w:r>
      <w:r w:rsidRPr="00767660">
        <w:rPr>
          <w:sz w:val="24"/>
          <w:szCs w:val="24"/>
        </w:rPr>
        <w:t>programy európskej územnej spolupráce, pre ktoré je MF SR platobným orgánom (Interreg VI-A SK-AT 2021-2027, Interreg VI-A SK-CZ 2021-</w:t>
      </w:r>
      <w:r w:rsidR="009F6272">
        <w:rPr>
          <w:sz w:val="24"/>
          <w:szCs w:val="24"/>
        </w:rPr>
        <w:t>2027). Rozpočet bol upravený na úroveň 710 123 </w:t>
      </w:r>
      <w:r w:rsidRPr="00767660">
        <w:rPr>
          <w:sz w:val="24"/>
          <w:szCs w:val="24"/>
        </w:rPr>
        <w:t>tis.</w:t>
      </w:r>
      <w:r w:rsidR="009F6272">
        <w:rPr>
          <w:sz w:val="24"/>
          <w:szCs w:val="24"/>
        </w:rPr>
        <w:t> </w:t>
      </w:r>
      <w:r w:rsidRPr="00767660">
        <w:rPr>
          <w:sz w:val="24"/>
          <w:szCs w:val="24"/>
        </w:rPr>
        <w:t>eur zohľadňujúc prostriedky zaviazané na</w:t>
      </w:r>
      <w:r w:rsidR="00B7397E">
        <w:rPr>
          <w:sz w:val="24"/>
          <w:szCs w:val="24"/>
        </w:rPr>
        <w:t> </w:t>
      </w:r>
      <w:r w:rsidRPr="00767660">
        <w:rPr>
          <w:sz w:val="24"/>
          <w:szCs w:val="24"/>
        </w:rPr>
        <w:t>použitie v nasledujúcich rokoch. Skutočné čerpanie výdavkov bolo v roku 2024 vo</w:t>
      </w:r>
      <w:r w:rsidR="00B7397E">
        <w:rPr>
          <w:sz w:val="24"/>
          <w:szCs w:val="24"/>
        </w:rPr>
        <w:t> </w:t>
      </w:r>
      <w:r w:rsidRPr="00767660">
        <w:rPr>
          <w:sz w:val="24"/>
          <w:szCs w:val="24"/>
        </w:rPr>
        <w:t>výške 710</w:t>
      </w:r>
      <w:r w:rsidR="009F6272">
        <w:rPr>
          <w:sz w:val="24"/>
          <w:szCs w:val="24"/>
        </w:rPr>
        <w:t> </w:t>
      </w:r>
      <w:r w:rsidRPr="00767660">
        <w:rPr>
          <w:sz w:val="24"/>
          <w:szCs w:val="24"/>
        </w:rPr>
        <w:t>123</w:t>
      </w:r>
      <w:r w:rsidR="009F6272">
        <w:rPr>
          <w:sz w:val="24"/>
          <w:szCs w:val="24"/>
        </w:rPr>
        <w:t> </w:t>
      </w:r>
      <w:r w:rsidRPr="00767660">
        <w:rPr>
          <w:sz w:val="24"/>
          <w:szCs w:val="24"/>
        </w:rPr>
        <w:t>tis.</w:t>
      </w:r>
      <w:r w:rsidR="009F6272">
        <w:rPr>
          <w:sz w:val="24"/>
          <w:szCs w:val="24"/>
        </w:rPr>
        <w:t> </w:t>
      </w:r>
      <w:r w:rsidRPr="00767660">
        <w:rPr>
          <w:sz w:val="24"/>
          <w:szCs w:val="24"/>
        </w:rPr>
        <w:t>eur.</w:t>
      </w:r>
    </w:p>
    <w:p w14:paraId="3E3F0A6D" w14:textId="6AB89D32" w:rsidR="004D69BF" w:rsidRPr="00767660" w:rsidRDefault="004D69BF" w:rsidP="004D69BF">
      <w:pPr>
        <w:spacing w:line="240" w:lineRule="auto"/>
        <w:rPr>
          <w:sz w:val="24"/>
          <w:szCs w:val="24"/>
        </w:rPr>
      </w:pPr>
      <w:r w:rsidRPr="0007651D">
        <w:rPr>
          <w:sz w:val="24"/>
          <w:szCs w:val="24"/>
        </w:rPr>
        <w:lastRenderedPageBreak/>
        <w:t xml:space="preserve">Výdavky za 4. programové </w:t>
      </w:r>
      <w:r w:rsidRPr="00767660">
        <w:rPr>
          <w:sz w:val="24"/>
          <w:szCs w:val="24"/>
        </w:rPr>
        <w:t>obdobie na opatrenia súv</w:t>
      </w:r>
      <w:r w:rsidR="009F6272">
        <w:rPr>
          <w:sz w:val="24"/>
          <w:szCs w:val="24"/>
        </w:rPr>
        <w:t>isiace s vojnovým konfliktom na </w:t>
      </w:r>
      <w:r w:rsidRPr="00767660">
        <w:rPr>
          <w:sz w:val="24"/>
          <w:szCs w:val="24"/>
        </w:rPr>
        <w:t xml:space="preserve">Ukrajine realizované prostredníctvom kapitol MV SR, MPSVR </w:t>
      </w:r>
      <w:r w:rsidR="009F6272">
        <w:rPr>
          <w:sz w:val="24"/>
          <w:szCs w:val="24"/>
        </w:rPr>
        <w:t>SR a MD SR boli vo výške 22 743 tis. </w:t>
      </w:r>
      <w:r w:rsidRPr="00767660">
        <w:rPr>
          <w:sz w:val="24"/>
          <w:szCs w:val="24"/>
        </w:rPr>
        <w:t>eur.</w:t>
      </w:r>
      <w:r w:rsidR="009216AF" w:rsidRPr="009216AF">
        <w:rPr>
          <w:sz w:val="24"/>
          <w:szCs w:val="24"/>
          <w:vertAlign w:val="superscript"/>
        </w:rPr>
        <w:t>3</w:t>
      </w:r>
      <w:r w:rsidR="009216AF">
        <w:rPr>
          <w:sz w:val="24"/>
          <w:szCs w:val="24"/>
          <w:vertAlign w:val="superscript"/>
        </w:rPr>
        <w:t>2</w:t>
      </w:r>
    </w:p>
    <w:p w14:paraId="137FC5C0" w14:textId="027ABBC0" w:rsidR="004D69BF" w:rsidRPr="00767660" w:rsidRDefault="004D69BF" w:rsidP="004D69BF">
      <w:pPr>
        <w:spacing w:line="240" w:lineRule="auto"/>
        <w:rPr>
          <w:sz w:val="24"/>
          <w:szCs w:val="24"/>
        </w:rPr>
      </w:pPr>
      <w:r w:rsidRPr="0007651D">
        <w:rPr>
          <w:b/>
          <w:sz w:val="24"/>
          <w:szCs w:val="24"/>
        </w:rPr>
        <w:t>Prostriedky za štrukturálne operácie MPSVR SR</w:t>
      </w:r>
      <w:r w:rsidR="009F6272">
        <w:rPr>
          <w:sz w:val="24"/>
          <w:szCs w:val="24"/>
        </w:rPr>
        <w:t xml:space="preserve"> </w:t>
      </w:r>
      <w:r w:rsidRPr="0007651D">
        <w:rPr>
          <w:sz w:val="24"/>
          <w:szCs w:val="24"/>
        </w:rPr>
        <w:t xml:space="preserve">neboli rozpočtované z dôvodu ukončenia </w:t>
      </w:r>
      <w:r w:rsidR="009F6272">
        <w:rPr>
          <w:sz w:val="24"/>
          <w:szCs w:val="24"/>
        </w:rPr>
        <w:t>3. </w:t>
      </w:r>
      <w:r w:rsidRPr="0007651D">
        <w:rPr>
          <w:sz w:val="24"/>
          <w:szCs w:val="24"/>
        </w:rPr>
        <w:t xml:space="preserve">programového obdobia Operačného </w:t>
      </w:r>
      <w:r w:rsidRPr="00767660">
        <w:rPr>
          <w:sz w:val="24"/>
          <w:szCs w:val="24"/>
        </w:rPr>
        <w:t>programu sociálneho začlenenia najodkázanejších osôb. Rozpočet výdavkov bol upravený o nepoužité prostriedky z predchádzajúcich rokov v zmysle §</w:t>
      </w:r>
      <w:r w:rsidR="009F6272">
        <w:rPr>
          <w:sz w:val="24"/>
          <w:szCs w:val="24"/>
        </w:rPr>
        <w:t> </w:t>
      </w:r>
      <w:r w:rsidRPr="00767660">
        <w:rPr>
          <w:sz w:val="24"/>
          <w:szCs w:val="24"/>
        </w:rPr>
        <w:t>8 zákona o rozpočtových pravidlách na úroveň 719</w:t>
      </w:r>
      <w:r w:rsidR="009F6272">
        <w:rPr>
          <w:sz w:val="24"/>
          <w:szCs w:val="24"/>
        </w:rPr>
        <w:t> </w:t>
      </w:r>
      <w:r w:rsidRPr="00767660">
        <w:rPr>
          <w:sz w:val="24"/>
          <w:szCs w:val="24"/>
        </w:rPr>
        <w:t>tis.</w:t>
      </w:r>
      <w:r w:rsidR="009F6272">
        <w:rPr>
          <w:sz w:val="24"/>
          <w:szCs w:val="24"/>
        </w:rPr>
        <w:t> </w:t>
      </w:r>
      <w:r w:rsidRPr="00767660">
        <w:rPr>
          <w:sz w:val="24"/>
          <w:szCs w:val="24"/>
        </w:rPr>
        <w:t>eur a skutočné čerpanie výdavkov bolo na úrovni 719</w:t>
      </w:r>
      <w:r w:rsidR="009F6272">
        <w:rPr>
          <w:sz w:val="24"/>
          <w:szCs w:val="24"/>
        </w:rPr>
        <w:t> </w:t>
      </w:r>
      <w:r w:rsidRPr="00767660">
        <w:rPr>
          <w:sz w:val="24"/>
          <w:szCs w:val="24"/>
        </w:rPr>
        <w:t>tis.</w:t>
      </w:r>
      <w:r w:rsidR="009F6272">
        <w:rPr>
          <w:sz w:val="24"/>
          <w:szCs w:val="24"/>
        </w:rPr>
        <w:t> </w:t>
      </w:r>
      <w:r w:rsidRPr="00767660">
        <w:rPr>
          <w:sz w:val="24"/>
          <w:szCs w:val="24"/>
        </w:rPr>
        <w:t>eur.</w:t>
      </w:r>
    </w:p>
    <w:p w14:paraId="27D21B89" w14:textId="47A7A7AC" w:rsidR="004D69BF" w:rsidRPr="00767660" w:rsidRDefault="004D69BF" w:rsidP="004D69BF">
      <w:pPr>
        <w:spacing w:line="240" w:lineRule="auto"/>
        <w:rPr>
          <w:sz w:val="24"/>
          <w:szCs w:val="24"/>
        </w:rPr>
      </w:pPr>
      <w:r w:rsidRPr="00767660">
        <w:rPr>
          <w:b/>
          <w:sz w:val="24"/>
          <w:szCs w:val="24"/>
        </w:rPr>
        <w:t>Prostriedky za štrukturálne operácie MV SR</w:t>
      </w:r>
      <w:r w:rsidRPr="00767660">
        <w:rPr>
          <w:sz w:val="24"/>
          <w:szCs w:val="24"/>
        </w:rPr>
        <w:t xml:space="preserve"> </w:t>
      </w:r>
      <w:r w:rsidR="009F6272">
        <w:rPr>
          <w:sz w:val="24"/>
          <w:szCs w:val="24"/>
        </w:rPr>
        <w:t>boli rozpočtované za 4. </w:t>
      </w:r>
      <w:r w:rsidRPr="00767660">
        <w:rPr>
          <w:sz w:val="24"/>
          <w:szCs w:val="24"/>
        </w:rPr>
        <w:t>programové obdobie vo</w:t>
      </w:r>
      <w:r w:rsidR="009F6272">
        <w:rPr>
          <w:sz w:val="24"/>
          <w:szCs w:val="24"/>
        </w:rPr>
        <w:t> </w:t>
      </w:r>
      <w:r w:rsidRPr="00767660">
        <w:rPr>
          <w:sz w:val="24"/>
          <w:szCs w:val="24"/>
        </w:rPr>
        <w:t>výške 9</w:t>
      </w:r>
      <w:r w:rsidR="009F6272">
        <w:rPr>
          <w:sz w:val="24"/>
          <w:szCs w:val="24"/>
        </w:rPr>
        <w:t> </w:t>
      </w:r>
      <w:r w:rsidRPr="00767660">
        <w:rPr>
          <w:sz w:val="24"/>
          <w:szCs w:val="24"/>
        </w:rPr>
        <w:t>333</w:t>
      </w:r>
      <w:r w:rsidR="009F6272">
        <w:rPr>
          <w:sz w:val="24"/>
          <w:szCs w:val="24"/>
        </w:rPr>
        <w:t> </w:t>
      </w:r>
      <w:r w:rsidRPr="00767660">
        <w:rPr>
          <w:sz w:val="24"/>
          <w:szCs w:val="24"/>
        </w:rPr>
        <w:t>tis.</w:t>
      </w:r>
      <w:r w:rsidR="009F6272">
        <w:rPr>
          <w:sz w:val="24"/>
          <w:szCs w:val="24"/>
        </w:rPr>
        <w:t> </w:t>
      </w:r>
      <w:r w:rsidRPr="00767660">
        <w:rPr>
          <w:sz w:val="24"/>
          <w:szCs w:val="24"/>
        </w:rPr>
        <w:t>eur za Fondy pre oblasť vnútorných záležitostí (Fond pre azyl, migráciu a integráciu, Fond pre integrované riadenie hraníc, Fond pre vnútornú bezpečnosť). Rozpočet výdavkov bol upravený o nepoužité prostriedky z predchádzajúcich rokov v zmysle §</w:t>
      </w:r>
      <w:r w:rsidR="009F6272">
        <w:rPr>
          <w:sz w:val="24"/>
          <w:szCs w:val="24"/>
        </w:rPr>
        <w:t> </w:t>
      </w:r>
      <w:r w:rsidRPr="00767660">
        <w:rPr>
          <w:sz w:val="24"/>
          <w:szCs w:val="24"/>
        </w:rPr>
        <w:t>8 zákona o rozpočtových pravidlách na úroveň 1</w:t>
      </w:r>
      <w:r w:rsidR="009F6272">
        <w:rPr>
          <w:sz w:val="24"/>
          <w:szCs w:val="24"/>
        </w:rPr>
        <w:t> </w:t>
      </w:r>
      <w:r w:rsidRPr="00767660">
        <w:rPr>
          <w:sz w:val="24"/>
          <w:szCs w:val="24"/>
        </w:rPr>
        <w:t>176</w:t>
      </w:r>
      <w:r w:rsidR="009F6272">
        <w:rPr>
          <w:sz w:val="24"/>
          <w:szCs w:val="24"/>
        </w:rPr>
        <w:t> </w:t>
      </w:r>
      <w:r w:rsidRPr="00767660">
        <w:rPr>
          <w:sz w:val="24"/>
          <w:szCs w:val="24"/>
        </w:rPr>
        <w:t>tis.</w:t>
      </w:r>
      <w:r w:rsidR="009F6272">
        <w:rPr>
          <w:sz w:val="24"/>
          <w:szCs w:val="24"/>
        </w:rPr>
        <w:t> </w:t>
      </w:r>
      <w:r w:rsidRPr="00767660">
        <w:rPr>
          <w:sz w:val="24"/>
          <w:szCs w:val="24"/>
        </w:rPr>
        <w:t>eur a sku</w:t>
      </w:r>
      <w:r w:rsidR="009F6272">
        <w:rPr>
          <w:sz w:val="24"/>
          <w:szCs w:val="24"/>
        </w:rPr>
        <w:t>točné čerpanie výdavkov bolo na </w:t>
      </w:r>
      <w:r w:rsidRPr="00767660">
        <w:rPr>
          <w:sz w:val="24"/>
          <w:szCs w:val="24"/>
        </w:rPr>
        <w:t>úrovni 1</w:t>
      </w:r>
      <w:r w:rsidR="009F6272">
        <w:rPr>
          <w:sz w:val="24"/>
          <w:szCs w:val="24"/>
        </w:rPr>
        <w:t> </w:t>
      </w:r>
      <w:r w:rsidRPr="00767660">
        <w:rPr>
          <w:sz w:val="24"/>
          <w:szCs w:val="24"/>
        </w:rPr>
        <w:t>176</w:t>
      </w:r>
      <w:r w:rsidR="009F6272">
        <w:rPr>
          <w:sz w:val="24"/>
          <w:szCs w:val="24"/>
        </w:rPr>
        <w:t> </w:t>
      </w:r>
      <w:r w:rsidRPr="00767660">
        <w:rPr>
          <w:sz w:val="24"/>
          <w:szCs w:val="24"/>
        </w:rPr>
        <w:t>tis.</w:t>
      </w:r>
      <w:r w:rsidR="009F6272">
        <w:rPr>
          <w:sz w:val="24"/>
          <w:szCs w:val="24"/>
        </w:rPr>
        <w:t> </w:t>
      </w:r>
      <w:r w:rsidRPr="00767660">
        <w:rPr>
          <w:sz w:val="24"/>
          <w:szCs w:val="24"/>
        </w:rPr>
        <w:t>eur.</w:t>
      </w:r>
    </w:p>
    <w:p w14:paraId="427726DE" w14:textId="15B77BEA" w:rsidR="004D69BF" w:rsidRPr="00767660" w:rsidRDefault="004D69BF" w:rsidP="004D69BF">
      <w:pPr>
        <w:spacing w:line="240" w:lineRule="auto"/>
        <w:rPr>
          <w:sz w:val="24"/>
          <w:szCs w:val="24"/>
        </w:rPr>
      </w:pPr>
      <w:r w:rsidRPr="00767660">
        <w:rPr>
          <w:b/>
          <w:sz w:val="24"/>
          <w:szCs w:val="24"/>
        </w:rPr>
        <w:t>Prostriedky za poľnohospodárske fondy</w:t>
      </w:r>
      <w:r w:rsidRPr="00767660">
        <w:rPr>
          <w:sz w:val="24"/>
          <w:szCs w:val="24"/>
        </w:rPr>
        <w:t xml:space="preserve"> boli v roku 2024 rozpočtované za 3.</w:t>
      </w:r>
      <w:r w:rsidR="009F6272">
        <w:rPr>
          <w:sz w:val="24"/>
          <w:szCs w:val="24"/>
        </w:rPr>
        <w:t> </w:t>
      </w:r>
      <w:r w:rsidRPr="00767660">
        <w:rPr>
          <w:sz w:val="24"/>
          <w:szCs w:val="24"/>
        </w:rPr>
        <w:t>programové obdobie za Program r</w:t>
      </w:r>
      <w:r w:rsidR="009F6272">
        <w:rPr>
          <w:sz w:val="24"/>
          <w:szCs w:val="24"/>
        </w:rPr>
        <w:t>ozvoja vidieka vo výške 115 166 </w:t>
      </w:r>
      <w:r w:rsidRPr="00767660">
        <w:rPr>
          <w:sz w:val="24"/>
          <w:szCs w:val="24"/>
        </w:rPr>
        <w:t>tis.</w:t>
      </w:r>
      <w:r w:rsidR="009F6272">
        <w:rPr>
          <w:sz w:val="24"/>
          <w:szCs w:val="24"/>
        </w:rPr>
        <w:t> </w:t>
      </w:r>
      <w:r w:rsidRPr="00767660">
        <w:rPr>
          <w:sz w:val="24"/>
          <w:szCs w:val="24"/>
        </w:rPr>
        <w:t>eur a za 4.</w:t>
      </w:r>
      <w:r w:rsidR="009F6272">
        <w:rPr>
          <w:sz w:val="24"/>
          <w:szCs w:val="24"/>
        </w:rPr>
        <w:t> </w:t>
      </w:r>
      <w:r w:rsidRPr="00767660">
        <w:rPr>
          <w:sz w:val="24"/>
          <w:szCs w:val="24"/>
        </w:rPr>
        <w:t>programové obdobie za</w:t>
      </w:r>
      <w:r w:rsidR="009F6272">
        <w:rPr>
          <w:sz w:val="24"/>
          <w:szCs w:val="24"/>
        </w:rPr>
        <w:t> </w:t>
      </w:r>
      <w:r w:rsidRPr="00767660">
        <w:rPr>
          <w:sz w:val="24"/>
          <w:szCs w:val="24"/>
        </w:rPr>
        <w:t>Európsky poľnohospodársky záručný fond (Priame platby a Trhovo orientované v</w:t>
      </w:r>
      <w:r w:rsidR="009F6272">
        <w:rPr>
          <w:sz w:val="24"/>
          <w:szCs w:val="24"/>
        </w:rPr>
        <w:t>ýdavky) a </w:t>
      </w:r>
      <w:r w:rsidRPr="00767660">
        <w:rPr>
          <w:sz w:val="24"/>
          <w:szCs w:val="24"/>
        </w:rPr>
        <w:t xml:space="preserve">za Európsky poľnohospodársky fond pre </w:t>
      </w:r>
      <w:r w:rsidR="009F6272">
        <w:rPr>
          <w:sz w:val="24"/>
          <w:szCs w:val="24"/>
        </w:rPr>
        <w:t>rozvoj vidieka vo výške 641 728 tis </w:t>
      </w:r>
      <w:r w:rsidRPr="00767660">
        <w:rPr>
          <w:sz w:val="24"/>
          <w:szCs w:val="24"/>
        </w:rPr>
        <w:t>eur. Legislatíva EÚ umožňuje prostriedky 3.</w:t>
      </w:r>
      <w:r w:rsidR="009F6272">
        <w:rPr>
          <w:sz w:val="24"/>
          <w:szCs w:val="24"/>
        </w:rPr>
        <w:t> </w:t>
      </w:r>
      <w:r w:rsidRPr="00767660">
        <w:rPr>
          <w:sz w:val="24"/>
          <w:szCs w:val="24"/>
        </w:rPr>
        <w:t>programového obdobia čerpať až do 31.12.2025.</w:t>
      </w:r>
    </w:p>
    <w:p w14:paraId="701AF327" w14:textId="1A0F1BF1" w:rsidR="004D69BF" w:rsidRPr="00767660" w:rsidRDefault="004D69BF" w:rsidP="004D69BF">
      <w:pPr>
        <w:spacing w:line="240" w:lineRule="auto"/>
        <w:rPr>
          <w:sz w:val="24"/>
          <w:szCs w:val="24"/>
        </w:rPr>
      </w:pPr>
      <w:r w:rsidRPr="00767660">
        <w:rPr>
          <w:sz w:val="24"/>
          <w:szCs w:val="24"/>
        </w:rPr>
        <w:t>Rozpočet výdavkov bol upravený o nepoužité prostriedky z predchádzajúcich rokov v zmysle §</w:t>
      </w:r>
      <w:r w:rsidR="009F6272">
        <w:rPr>
          <w:sz w:val="24"/>
          <w:szCs w:val="24"/>
        </w:rPr>
        <w:t> </w:t>
      </w:r>
      <w:r w:rsidRPr="00767660">
        <w:rPr>
          <w:sz w:val="24"/>
          <w:szCs w:val="24"/>
        </w:rPr>
        <w:t>8 zákona o rozpočtov</w:t>
      </w:r>
      <w:r w:rsidR="009F6272">
        <w:rPr>
          <w:sz w:val="24"/>
          <w:szCs w:val="24"/>
        </w:rPr>
        <w:t>ých pravidlách na výšku 933 466 </w:t>
      </w:r>
      <w:r w:rsidRPr="00767660">
        <w:rPr>
          <w:sz w:val="24"/>
          <w:szCs w:val="24"/>
        </w:rPr>
        <w:t>tis.</w:t>
      </w:r>
      <w:r w:rsidR="009F6272">
        <w:rPr>
          <w:sz w:val="24"/>
          <w:szCs w:val="24"/>
        </w:rPr>
        <w:t> </w:t>
      </w:r>
      <w:r w:rsidRPr="00767660">
        <w:rPr>
          <w:sz w:val="24"/>
          <w:szCs w:val="24"/>
        </w:rPr>
        <w:t>eur a skutočné čerpanie výdavkov v </w:t>
      </w:r>
      <w:r w:rsidR="009F6272">
        <w:rPr>
          <w:sz w:val="24"/>
          <w:szCs w:val="24"/>
        </w:rPr>
        <w:t>roku 2024 bolo vo výške 933 466 </w:t>
      </w:r>
      <w:r w:rsidRPr="00767660">
        <w:rPr>
          <w:sz w:val="24"/>
          <w:szCs w:val="24"/>
        </w:rPr>
        <w:t>tis.</w:t>
      </w:r>
      <w:r w:rsidR="009F6272">
        <w:rPr>
          <w:sz w:val="24"/>
          <w:szCs w:val="24"/>
        </w:rPr>
        <w:t> </w:t>
      </w:r>
      <w:r w:rsidRPr="00767660">
        <w:rPr>
          <w:sz w:val="24"/>
          <w:szCs w:val="24"/>
        </w:rPr>
        <w:t>eur.</w:t>
      </w:r>
    </w:p>
    <w:p w14:paraId="54EF1D92" w14:textId="746589FF" w:rsidR="004D69BF" w:rsidRPr="00767660" w:rsidRDefault="004D69BF" w:rsidP="004D69BF">
      <w:pPr>
        <w:spacing w:line="240" w:lineRule="auto"/>
      </w:pPr>
      <w:r w:rsidRPr="00767660">
        <w:rPr>
          <w:sz w:val="24"/>
          <w:szCs w:val="24"/>
        </w:rPr>
        <w:t>Na rozdiel od schváleného rozpočtu výdavkov za prostriedky EÚ, ktoré boli zákonom o štátnom rozpočte na rok 2024 vyčlenené pre kapitoly, ktoré sú riadiacim orgánom/sprostredkovateľským orgánom s platobnou funkciou a Pôdohospodárska platobná agentúra, skutočné čerpanie výdavkov sa prejavuje tiež v rozpočtových kapitolách, v k</w:t>
      </w:r>
      <w:r w:rsidR="005C0285">
        <w:rPr>
          <w:sz w:val="24"/>
          <w:szCs w:val="24"/>
        </w:rPr>
        <w:t>torých sa realizujú projekty na </w:t>
      </w:r>
      <w:r w:rsidRPr="00767660">
        <w:rPr>
          <w:sz w:val="24"/>
          <w:szCs w:val="24"/>
        </w:rPr>
        <w:t>úrovni konečných prijímateľov. Na základe uvedeného sa v niektorých kapitolách prejavuje negatívne saldo príjmov a výdavkov za prostriedky EÚ.</w:t>
      </w:r>
    </w:p>
    <w:p w14:paraId="02D92E58" w14:textId="03365EE7" w:rsidR="00291B58" w:rsidRPr="00291B58" w:rsidRDefault="00291B58" w:rsidP="00291B58">
      <w:pPr>
        <w:pStyle w:val="Popis"/>
        <w:keepNext/>
        <w:spacing w:after="120"/>
        <w:rPr>
          <w:b/>
          <w:bCs/>
          <w:i w:val="0"/>
          <w:iCs w:val="0"/>
          <w:color w:val="5B9CD6"/>
          <w:sz w:val="20"/>
          <w:szCs w:val="20"/>
        </w:rPr>
      </w:pPr>
      <w:bookmarkStart w:id="151" w:name="_Toc196313667"/>
      <w:bookmarkStart w:id="152" w:name="_Toc196389288"/>
      <w:r w:rsidRPr="00291B58">
        <w:rPr>
          <w:b/>
          <w:bCs/>
          <w:i w:val="0"/>
          <w:iCs w:val="0"/>
          <w:color w:val="5B9CD6"/>
          <w:sz w:val="20"/>
          <w:szCs w:val="20"/>
        </w:rPr>
        <w:t xml:space="preserve">Tabuľka </w:t>
      </w:r>
      <w:r w:rsidRPr="00291B58">
        <w:rPr>
          <w:b/>
          <w:bCs/>
          <w:i w:val="0"/>
          <w:iCs w:val="0"/>
          <w:color w:val="5B9CD6"/>
          <w:sz w:val="20"/>
          <w:szCs w:val="20"/>
        </w:rPr>
        <w:fldChar w:fldCharType="begin"/>
      </w:r>
      <w:r w:rsidRPr="00291B58">
        <w:rPr>
          <w:b/>
          <w:bCs/>
          <w:i w:val="0"/>
          <w:iCs w:val="0"/>
          <w:color w:val="5B9CD6"/>
          <w:sz w:val="20"/>
          <w:szCs w:val="20"/>
        </w:rPr>
        <w:instrText xml:space="preserve"> SEQ Tabuľka \* ARABIC </w:instrText>
      </w:r>
      <w:r w:rsidRPr="00291B58">
        <w:rPr>
          <w:b/>
          <w:bCs/>
          <w:i w:val="0"/>
          <w:iCs w:val="0"/>
          <w:color w:val="5B9CD6"/>
          <w:sz w:val="20"/>
          <w:szCs w:val="20"/>
        </w:rPr>
        <w:fldChar w:fldCharType="separate"/>
      </w:r>
      <w:r w:rsidR="00C64CBA">
        <w:rPr>
          <w:b/>
          <w:bCs/>
          <w:i w:val="0"/>
          <w:iCs w:val="0"/>
          <w:noProof/>
          <w:color w:val="5B9CD6"/>
          <w:sz w:val="20"/>
          <w:szCs w:val="20"/>
        </w:rPr>
        <w:t>41</w:t>
      </w:r>
      <w:r w:rsidRPr="00291B58">
        <w:rPr>
          <w:b/>
          <w:bCs/>
          <w:i w:val="0"/>
          <w:iCs w:val="0"/>
          <w:color w:val="5B9CD6"/>
          <w:sz w:val="20"/>
          <w:szCs w:val="20"/>
        </w:rPr>
        <w:fldChar w:fldCharType="end"/>
      </w:r>
      <w:r w:rsidRPr="00291B58">
        <w:rPr>
          <w:b/>
          <w:bCs/>
          <w:i w:val="0"/>
          <w:iCs w:val="0"/>
          <w:color w:val="5B9CD6"/>
          <w:sz w:val="20"/>
          <w:szCs w:val="20"/>
        </w:rPr>
        <w:t xml:space="preserve"> - Výdavky za prostriedky EÚ</w:t>
      </w:r>
      <w:bookmarkEnd w:id="151"/>
      <w:bookmarkEnd w:id="152"/>
    </w:p>
    <w:tbl>
      <w:tblPr>
        <w:tblW w:w="5000" w:type="pct"/>
        <w:tblCellMar>
          <w:left w:w="70" w:type="dxa"/>
          <w:right w:w="70" w:type="dxa"/>
        </w:tblCellMar>
        <w:tblLook w:val="04A0" w:firstRow="1" w:lastRow="0" w:firstColumn="1" w:lastColumn="0" w:noHBand="0" w:noVBand="1"/>
      </w:tblPr>
      <w:tblGrid>
        <w:gridCol w:w="3767"/>
        <w:gridCol w:w="860"/>
        <w:gridCol w:w="1147"/>
        <w:gridCol w:w="1148"/>
        <w:gridCol w:w="1148"/>
        <w:gridCol w:w="860"/>
      </w:tblGrid>
      <w:tr w:rsidR="004D69BF" w:rsidRPr="0007651D" w14:paraId="1DB42621" w14:textId="77777777" w:rsidTr="001D2C2C">
        <w:trPr>
          <w:trHeight w:val="348"/>
          <w:tblHeader/>
        </w:trPr>
        <w:tc>
          <w:tcPr>
            <w:tcW w:w="2117" w:type="pct"/>
            <w:vMerge w:val="restart"/>
            <w:tcBorders>
              <w:top w:val="single" w:sz="4" w:space="0" w:color="auto"/>
            </w:tcBorders>
            <w:shd w:val="clear" w:color="auto" w:fill="auto"/>
            <w:vAlign w:val="center"/>
            <w:hideMark/>
          </w:tcPr>
          <w:p w14:paraId="7C0743F5" w14:textId="77777777" w:rsidR="004D69BF" w:rsidRPr="0007651D" w:rsidRDefault="004D69BF" w:rsidP="000240DA">
            <w:pPr>
              <w:spacing w:line="240" w:lineRule="auto"/>
              <w:rPr>
                <w:b/>
                <w:bCs/>
                <w:sz w:val="18"/>
                <w:szCs w:val="18"/>
              </w:rPr>
            </w:pPr>
            <w:r w:rsidRPr="0007651D">
              <w:rPr>
                <w:b/>
                <w:bCs/>
                <w:sz w:val="18"/>
                <w:szCs w:val="18"/>
              </w:rPr>
              <w:t>v tis. eur</w:t>
            </w:r>
          </w:p>
        </w:tc>
        <w:tc>
          <w:tcPr>
            <w:tcW w:w="467" w:type="pct"/>
            <w:tcBorders>
              <w:top w:val="single" w:sz="4" w:space="0" w:color="auto"/>
            </w:tcBorders>
            <w:shd w:val="clear" w:color="auto" w:fill="auto"/>
            <w:vAlign w:val="center"/>
            <w:hideMark/>
          </w:tcPr>
          <w:p w14:paraId="3DC6F5A1" w14:textId="77777777" w:rsidR="004D69BF" w:rsidRPr="0007651D" w:rsidRDefault="004D69BF" w:rsidP="000240DA">
            <w:pPr>
              <w:spacing w:line="240" w:lineRule="auto"/>
              <w:jc w:val="center"/>
              <w:rPr>
                <w:b/>
                <w:bCs/>
                <w:sz w:val="18"/>
                <w:szCs w:val="18"/>
              </w:rPr>
            </w:pPr>
            <w:r w:rsidRPr="0007651D">
              <w:rPr>
                <w:b/>
                <w:bCs/>
                <w:color w:val="000000"/>
                <w:sz w:val="18"/>
                <w:szCs w:val="18"/>
              </w:rPr>
              <w:t>2022 S</w:t>
            </w:r>
          </w:p>
        </w:tc>
        <w:tc>
          <w:tcPr>
            <w:tcW w:w="650" w:type="pct"/>
            <w:tcBorders>
              <w:top w:val="single" w:sz="4" w:space="0" w:color="auto"/>
            </w:tcBorders>
            <w:shd w:val="clear" w:color="auto" w:fill="auto"/>
            <w:vAlign w:val="center"/>
            <w:hideMark/>
          </w:tcPr>
          <w:p w14:paraId="14CA036C" w14:textId="77777777" w:rsidR="004D69BF" w:rsidRPr="0007651D" w:rsidRDefault="004D69BF" w:rsidP="000240DA">
            <w:pPr>
              <w:spacing w:line="240" w:lineRule="auto"/>
              <w:jc w:val="center"/>
              <w:rPr>
                <w:b/>
                <w:bCs/>
                <w:sz w:val="18"/>
                <w:szCs w:val="18"/>
              </w:rPr>
            </w:pPr>
            <w:r w:rsidRPr="0007651D">
              <w:rPr>
                <w:b/>
                <w:bCs/>
                <w:color w:val="000000"/>
                <w:sz w:val="18"/>
                <w:szCs w:val="18"/>
              </w:rPr>
              <w:t>2023 S</w:t>
            </w:r>
          </w:p>
        </w:tc>
        <w:tc>
          <w:tcPr>
            <w:tcW w:w="650" w:type="pct"/>
            <w:tcBorders>
              <w:top w:val="single" w:sz="4" w:space="0" w:color="auto"/>
            </w:tcBorders>
            <w:shd w:val="clear" w:color="auto" w:fill="auto"/>
            <w:vAlign w:val="center"/>
            <w:hideMark/>
          </w:tcPr>
          <w:p w14:paraId="24F20939" w14:textId="77777777" w:rsidR="004D69BF" w:rsidRPr="0007651D" w:rsidRDefault="004D69BF" w:rsidP="000240DA">
            <w:pPr>
              <w:spacing w:line="240" w:lineRule="auto"/>
              <w:jc w:val="center"/>
              <w:rPr>
                <w:b/>
                <w:bCs/>
                <w:sz w:val="18"/>
                <w:szCs w:val="18"/>
              </w:rPr>
            </w:pPr>
            <w:r w:rsidRPr="0007651D">
              <w:rPr>
                <w:b/>
                <w:bCs/>
                <w:color w:val="000000"/>
                <w:sz w:val="18"/>
                <w:szCs w:val="18"/>
              </w:rPr>
              <w:t>2024 R</w:t>
            </w:r>
          </w:p>
        </w:tc>
        <w:tc>
          <w:tcPr>
            <w:tcW w:w="650" w:type="pct"/>
            <w:tcBorders>
              <w:top w:val="single" w:sz="4" w:space="0" w:color="auto"/>
            </w:tcBorders>
            <w:shd w:val="clear" w:color="auto" w:fill="auto"/>
            <w:vAlign w:val="center"/>
            <w:hideMark/>
          </w:tcPr>
          <w:p w14:paraId="74589204" w14:textId="77777777" w:rsidR="004D69BF" w:rsidRPr="0007651D" w:rsidRDefault="004D69BF" w:rsidP="000240DA">
            <w:pPr>
              <w:spacing w:line="240" w:lineRule="auto"/>
              <w:jc w:val="center"/>
              <w:rPr>
                <w:b/>
                <w:bCs/>
                <w:sz w:val="18"/>
                <w:szCs w:val="18"/>
              </w:rPr>
            </w:pPr>
            <w:r w:rsidRPr="0007651D">
              <w:rPr>
                <w:b/>
                <w:bCs/>
                <w:color w:val="000000"/>
                <w:sz w:val="18"/>
                <w:szCs w:val="18"/>
              </w:rPr>
              <w:t>2024 S</w:t>
            </w:r>
          </w:p>
        </w:tc>
        <w:tc>
          <w:tcPr>
            <w:tcW w:w="467" w:type="pct"/>
            <w:tcBorders>
              <w:top w:val="single" w:sz="4" w:space="0" w:color="auto"/>
            </w:tcBorders>
            <w:shd w:val="clear" w:color="auto" w:fill="auto"/>
            <w:vAlign w:val="center"/>
            <w:hideMark/>
          </w:tcPr>
          <w:p w14:paraId="04E69A25" w14:textId="77777777" w:rsidR="004D69BF" w:rsidRPr="0007651D" w:rsidRDefault="004D69BF" w:rsidP="000240DA">
            <w:pPr>
              <w:spacing w:line="240" w:lineRule="auto"/>
              <w:jc w:val="center"/>
              <w:rPr>
                <w:b/>
                <w:bCs/>
                <w:sz w:val="18"/>
                <w:szCs w:val="18"/>
              </w:rPr>
            </w:pPr>
            <w:r w:rsidRPr="0007651D">
              <w:rPr>
                <w:b/>
                <w:bCs/>
                <w:color w:val="000000"/>
                <w:sz w:val="18"/>
                <w:szCs w:val="18"/>
              </w:rPr>
              <w:t>Rozdiel</w:t>
            </w:r>
          </w:p>
        </w:tc>
      </w:tr>
      <w:tr w:rsidR="004D69BF" w:rsidRPr="0007651D" w14:paraId="447F70C2" w14:textId="77777777" w:rsidTr="001D2C2C">
        <w:trPr>
          <w:trHeight w:val="113"/>
          <w:tblHeader/>
        </w:trPr>
        <w:tc>
          <w:tcPr>
            <w:tcW w:w="2117" w:type="pct"/>
            <w:vMerge/>
            <w:tcBorders>
              <w:bottom w:val="single" w:sz="4" w:space="0" w:color="auto"/>
            </w:tcBorders>
            <w:shd w:val="clear" w:color="auto" w:fill="auto"/>
            <w:vAlign w:val="center"/>
          </w:tcPr>
          <w:p w14:paraId="23278BAB" w14:textId="77777777" w:rsidR="004D69BF" w:rsidRPr="0007651D" w:rsidRDefault="004D69BF" w:rsidP="000240DA">
            <w:pPr>
              <w:spacing w:line="240" w:lineRule="auto"/>
              <w:rPr>
                <w:b/>
                <w:bCs/>
                <w:sz w:val="18"/>
                <w:szCs w:val="18"/>
              </w:rPr>
            </w:pPr>
          </w:p>
        </w:tc>
        <w:tc>
          <w:tcPr>
            <w:tcW w:w="467" w:type="pct"/>
            <w:tcBorders>
              <w:bottom w:val="single" w:sz="4" w:space="0" w:color="auto"/>
            </w:tcBorders>
            <w:shd w:val="clear" w:color="auto" w:fill="auto"/>
            <w:vAlign w:val="center"/>
          </w:tcPr>
          <w:p w14:paraId="3F25E421" w14:textId="77777777" w:rsidR="004D69BF" w:rsidRPr="0007651D" w:rsidRDefault="004D69BF" w:rsidP="000240DA">
            <w:pPr>
              <w:spacing w:line="240" w:lineRule="auto"/>
              <w:jc w:val="center"/>
              <w:rPr>
                <w:b/>
                <w:bCs/>
                <w:sz w:val="18"/>
                <w:szCs w:val="18"/>
              </w:rPr>
            </w:pPr>
            <w:r w:rsidRPr="0007651D">
              <w:rPr>
                <w:b/>
                <w:bCs/>
                <w:sz w:val="18"/>
                <w:szCs w:val="18"/>
              </w:rPr>
              <w:t>1</w:t>
            </w:r>
          </w:p>
        </w:tc>
        <w:tc>
          <w:tcPr>
            <w:tcW w:w="650" w:type="pct"/>
            <w:tcBorders>
              <w:bottom w:val="single" w:sz="4" w:space="0" w:color="auto"/>
            </w:tcBorders>
            <w:shd w:val="clear" w:color="auto" w:fill="auto"/>
            <w:vAlign w:val="center"/>
          </w:tcPr>
          <w:p w14:paraId="2BADAAFE" w14:textId="77777777" w:rsidR="004D69BF" w:rsidRPr="0007651D" w:rsidRDefault="004D69BF" w:rsidP="000240DA">
            <w:pPr>
              <w:spacing w:line="240" w:lineRule="auto"/>
              <w:jc w:val="center"/>
              <w:rPr>
                <w:b/>
                <w:bCs/>
                <w:sz w:val="18"/>
                <w:szCs w:val="18"/>
              </w:rPr>
            </w:pPr>
            <w:r w:rsidRPr="0007651D">
              <w:rPr>
                <w:b/>
                <w:bCs/>
                <w:sz w:val="18"/>
                <w:szCs w:val="18"/>
              </w:rPr>
              <w:t>2</w:t>
            </w:r>
          </w:p>
        </w:tc>
        <w:tc>
          <w:tcPr>
            <w:tcW w:w="650" w:type="pct"/>
            <w:tcBorders>
              <w:bottom w:val="single" w:sz="4" w:space="0" w:color="auto"/>
            </w:tcBorders>
            <w:shd w:val="clear" w:color="auto" w:fill="auto"/>
            <w:vAlign w:val="center"/>
          </w:tcPr>
          <w:p w14:paraId="4085A66B" w14:textId="77777777" w:rsidR="004D69BF" w:rsidRPr="0007651D" w:rsidRDefault="004D69BF" w:rsidP="000240DA">
            <w:pPr>
              <w:spacing w:line="240" w:lineRule="auto"/>
              <w:jc w:val="center"/>
              <w:rPr>
                <w:b/>
                <w:bCs/>
                <w:sz w:val="18"/>
                <w:szCs w:val="18"/>
              </w:rPr>
            </w:pPr>
            <w:r w:rsidRPr="0007651D">
              <w:rPr>
                <w:b/>
                <w:bCs/>
                <w:sz w:val="18"/>
                <w:szCs w:val="18"/>
              </w:rPr>
              <w:t>3</w:t>
            </w:r>
          </w:p>
        </w:tc>
        <w:tc>
          <w:tcPr>
            <w:tcW w:w="650" w:type="pct"/>
            <w:tcBorders>
              <w:bottom w:val="single" w:sz="4" w:space="0" w:color="auto"/>
            </w:tcBorders>
            <w:shd w:val="clear" w:color="auto" w:fill="auto"/>
            <w:vAlign w:val="center"/>
          </w:tcPr>
          <w:p w14:paraId="624E3009" w14:textId="77777777" w:rsidR="004D69BF" w:rsidRPr="0007651D" w:rsidRDefault="004D69BF" w:rsidP="000240DA">
            <w:pPr>
              <w:spacing w:line="240" w:lineRule="auto"/>
              <w:jc w:val="center"/>
              <w:rPr>
                <w:b/>
                <w:bCs/>
                <w:sz w:val="18"/>
                <w:szCs w:val="18"/>
              </w:rPr>
            </w:pPr>
            <w:r w:rsidRPr="0007651D">
              <w:rPr>
                <w:b/>
                <w:bCs/>
                <w:sz w:val="18"/>
                <w:szCs w:val="18"/>
              </w:rPr>
              <w:t>4</w:t>
            </w:r>
          </w:p>
        </w:tc>
        <w:tc>
          <w:tcPr>
            <w:tcW w:w="467" w:type="pct"/>
            <w:tcBorders>
              <w:bottom w:val="single" w:sz="4" w:space="0" w:color="auto"/>
            </w:tcBorders>
            <w:shd w:val="clear" w:color="auto" w:fill="auto"/>
            <w:vAlign w:val="center"/>
          </w:tcPr>
          <w:p w14:paraId="6C95A8F3" w14:textId="77777777" w:rsidR="004D69BF" w:rsidRPr="0007651D" w:rsidRDefault="004D69BF" w:rsidP="000240DA">
            <w:pPr>
              <w:spacing w:line="240" w:lineRule="auto"/>
              <w:jc w:val="center"/>
              <w:rPr>
                <w:b/>
                <w:bCs/>
                <w:sz w:val="18"/>
                <w:szCs w:val="18"/>
              </w:rPr>
            </w:pPr>
            <w:r w:rsidRPr="0007651D">
              <w:rPr>
                <w:b/>
                <w:bCs/>
                <w:sz w:val="18"/>
                <w:szCs w:val="18"/>
              </w:rPr>
              <w:t>5=4-3</w:t>
            </w:r>
          </w:p>
        </w:tc>
      </w:tr>
      <w:tr w:rsidR="004D69BF" w:rsidRPr="0007651D" w14:paraId="7ECFFD43" w14:textId="77777777" w:rsidTr="001D2C2C">
        <w:trPr>
          <w:trHeight w:val="330"/>
        </w:trPr>
        <w:tc>
          <w:tcPr>
            <w:tcW w:w="2117" w:type="pct"/>
            <w:tcBorders>
              <w:top w:val="single" w:sz="4" w:space="0" w:color="auto"/>
            </w:tcBorders>
            <w:shd w:val="clear" w:color="000000" w:fill="FFFFFF"/>
            <w:vAlign w:val="center"/>
            <w:hideMark/>
          </w:tcPr>
          <w:p w14:paraId="68158D54" w14:textId="77777777" w:rsidR="004D69BF" w:rsidRPr="0007651D" w:rsidRDefault="004D69BF" w:rsidP="000240DA">
            <w:pPr>
              <w:spacing w:line="240" w:lineRule="auto"/>
              <w:rPr>
                <w:sz w:val="18"/>
                <w:szCs w:val="18"/>
              </w:rPr>
            </w:pPr>
            <w:r w:rsidRPr="0007651D">
              <w:rPr>
                <w:color w:val="000000"/>
                <w:sz w:val="18"/>
                <w:szCs w:val="18"/>
              </w:rPr>
              <w:t>Poľnohospodárske fondy 3. programové obdobie</w:t>
            </w:r>
          </w:p>
        </w:tc>
        <w:tc>
          <w:tcPr>
            <w:tcW w:w="467" w:type="pct"/>
            <w:tcBorders>
              <w:top w:val="single" w:sz="4" w:space="0" w:color="auto"/>
            </w:tcBorders>
            <w:shd w:val="clear" w:color="000000" w:fill="FFFFFF"/>
            <w:noWrap/>
            <w:vAlign w:val="center"/>
            <w:hideMark/>
          </w:tcPr>
          <w:p w14:paraId="1DDBBAF7" w14:textId="77777777" w:rsidR="004D69BF" w:rsidRPr="0007651D" w:rsidRDefault="004D69BF" w:rsidP="000240DA">
            <w:pPr>
              <w:spacing w:line="240" w:lineRule="auto"/>
              <w:jc w:val="right"/>
              <w:rPr>
                <w:sz w:val="18"/>
                <w:szCs w:val="18"/>
              </w:rPr>
            </w:pPr>
            <w:r w:rsidRPr="0007651D">
              <w:rPr>
                <w:color w:val="000000"/>
                <w:sz w:val="18"/>
                <w:szCs w:val="18"/>
              </w:rPr>
              <w:t>429 555</w:t>
            </w:r>
          </w:p>
        </w:tc>
        <w:tc>
          <w:tcPr>
            <w:tcW w:w="650" w:type="pct"/>
            <w:tcBorders>
              <w:top w:val="single" w:sz="4" w:space="0" w:color="auto"/>
            </w:tcBorders>
            <w:shd w:val="clear" w:color="000000" w:fill="FFFFFF"/>
            <w:noWrap/>
            <w:vAlign w:val="center"/>
            <w:hideMark/>
          </w:tcPr>
          <w:p w14:paraId="11A05B58" w14:textId="77777777" w:rsidR="004D69BF" w:rsidRPr="0007651D" w:rsidRDefault="004D69BF" w:rsidP="000240DA">
            <w:pPr>
              <w:spacing w:line="240" w:lineRule="auto"/>
              <w:jc w:val="right"/>
              <w:rPr>
                <w:sz w:val="18"/>
                <w:szCs w:val="18"/>
              </w:rPr>
            </w:pPr>
            <w:r w:rsidRPr="0007651D">
              <w:rPr>
                <w:color w:val="000000"/>
                <w:sz w:val="18"/>
                <w:szCs w:val="18"/>
              </w:rPr>
              <w:t>381 232</w:t>
            </w:r>
          </w:p>
        </w:tc>
        <w:tc>
          <w:tcPr>
            <w:tcW w:w="650" w:type="pct"/>
            <w:tcBorders>
              <w:top w:val="single" w:sz="4" w:space="0" w:color="auto"/>
            </w:tcBorders>
            <w:shd w:val="clear" w:color="000000" w:fill="FFFFFF"/>
            <w:noWrap/>
            <w:vAlign w:val="center"/>
            <w:hideMark/>
          </w:tcPr>
          <w:p w14:paraId="4FDCE8A1" w14:textId="77777777" w:rsidR="004D69BF" w:rsidRPr="0007651D" w:rsidRDefault="004D69BF" w:rsidP="000240DA">
            <w:pPr>
              <w:spacing w:line="240" w:lineRule="auto"/>
              <w:jc w:val="right"/>
              <w:rPr>
                <w:sz w:val="18"/>
                <w:szCs w:val="18"/>
              </w:rPr>
            </w:pPr>
            <w:r w:rsidRPr="0007651D">
              <w:rPr>
                <w:color w:val="000000"/>
                <w:sz w:val="18"/>
                <w:szCs w:val="18"/>
              </w:rPr>
              <w:t>115 166</w:t>
            </w:r>
          </w:p>
        </w:tc>
        <w:tc>
          <w:tcPr>
            <w:tcW w:w="650" w:type="pct"/>
            <w:tcBorders>
              <w:top w:val="single" w:sz="4" w:space="0" w:color="auto"/>
            </w:tcBorders>
            <w:shd w:val="clear" w:color="000000" w:fill="FFFFFF"/>
            <w:noWrap/>
            <w:vAlign w:val="center"/>
            <w:hideMark/>
          </w:tcPr>
          <w:p w14:paraId="68D54207" w14:textId="77777777" w:rsidR="004D69BF" w:rsidRPr="0007651D" w:rsidRDefault="004D69BF" w:rsidP="000240DA">
            <w:pPr>
              <w:spacing w:line="240" w:lineRule="auto"/>
              <w:jc w:val="right"/>
              <w:rPr>
                <w:sz w:val="18"/>
                <w:szCs w:val="18"/>
              </w:rPr>
            </w:pPr>
            <w:r w:rsidRPr="0007651D">
              <w:rPr>
                <w:color w:val="000000"/>
                <w:sz w:val="18"/>
                <w:szCs w:val="18"/>
              </w:rPr>
              <w:t>163 206</w:t>
            </w:r>
          </w:p>
        </w:tc>
        <w:tc>
          <w:tcPr>
            <w:tcW w:w="467" w:type="pct"/>
            <w:tcBorders>
              <w:top w:val="single" w:sz="4" w:space="0" w:color="auto"/>
            </w:tcBorders>
            <w:shd w:val="clear" w:color="000000" w:fill="FFFFFF"/>
            <w:noWrap/>
            <w:vAlign w:val="center"/>
            <w:hideMark/>
          </w:tcPr>
          <w:p w14:paraId="5852E2B4" w14:textId="77777777" w:rsidR="004D69BF" w:rsidRPr="0007651D" w:rsidRDefault="004D69BF" w:rsidP="000240DA">
            <w:pPr>
              <w:spacing w:line="240" w:lineRule="auto"/>
              <w:jc w:val="right"/>
              <w:rPr>
                <w:sz w:val="18"/>
                <w:szCs w:val="18"/>
              </w:rPr>
            </w:pPr>
            <w:r w:rsidRPr="0007651D">
              <w:rPr>
                <w:color w:val="000000"/>
                <w:sz w:val="18"/>
                <w:szCs w:val="18"/>
              </w:rPr>
              <w:t>48 040</w:t>
            </w:r>
          </w:p>
        </w:tc>
      </w:tr>
      <w:tr w:rsidR="004D69BF" w:rsidRPr="0007651D" w14:paraId="3ACE65CA" w14:textId="77777777" w:rsidTr="001D2C2C">
        <w:trPr>
          <w:trHeight w:val="330"/>
        </w:trPr>
        <w:tc>
          <w:tcPr>
            <w:tcW w:w="2117" w:type="pct"/>
            <w:shd w:val="clear" w:color="000000" w:fill="FFFFFF"/>
            <w:vAlign w:val="center"/>
          </w:tcPr>
          <w:p w14:paraId="0C33E66F" w14:textId="77777777" w:rsidR="004D69BF" w:rsidRPr="0007651D" w:rsidRDefault="004D69BF" w:rsidP="000240DA">
            <w:pPr>
              <w:spacing w:line="240" w:lineRule="auto"/>
              <w:rPr>
                <w:sz w:val="18"/>
                <w:szCs w:val="18"/>
              </w:rPr>
            </w:pPr>
            <w:r w:rsidRPr="0007651D">
              <w:rPr>
                <w:color w:val="000000"/>
                <w:sz w:val="18"/>
                <w:szCs w:val="18"/>
              </w:rPr>
              <w:t>Poľnohospodárske fondy 4. programové obdobie</w:t>
            </w:r>
          </w:p>
        </w:tc>
        <w:tc>
          <w:tcPr>
            <w:tcW w:w="467" w:type="pct"/>
            <w:shd w:val="clear" w:color="000000" w:fill="FFFFFF"/>
            <w:noWrap/>
            <w:vAlign w:val="center"/>
          </w:tcPr>
          <w:p w14:paraId="3E1BE3CD" w14:textId="77777777" w:rsidR="004D69BF" w:rsidRPr="0007651D" w:rsidRDefault="004D69BF" w:rsidP="000240DA">
            <w:pPr>
              <w:spacing w:line="240" w:lineRule="auto"/>
              <w:jc w:val="right"/>
              <w:rPr>
                <w:sz w:val="18"/>
                <w:szCs w:val="18"/>
              </w:rPr>
            </w:pPr>
            <w:r w:rsidRPr="0007651D">
              <w:rPr>
                <w:color w:val="000000"/>
                <w:sz w:val="18"/>
                <w:szCs w:val="18"/>
              </w:rPr>
              <w:t>0</w:t>
            </w:r>
          </w:p>
        </w:tc>
        <w:tc>
          <w:tcPr>
            <w:tcW w:w="650" w:type="pct"/>
            <w:shd w:val="clear" w:color="000000" w:fill="FFFFFF"/>
            <w:noWrap/>
            <w:vAlign w:val="center"/>
          </w:tcPr>
          <w:p w14:paraId="4EFF0125" w14:textId="77777777" w:rsidR="004D69BF" w:rsidRPr="0007651D" w:rsidRDefault="004D69BF" w:rsidP="000240DA">
            <w:pPr>
              <w:spacing w:line="240" w:lineRule="auto"/>
              <w:jc w:val="right"/>
              <w:rPr>
                <w:sz w:val="18"/>
                <w:szCs w:val="18"/>
              </w:rPr>
            </w:pPr>
            <w:r w:rsidRPr="0007651D">
              <w:rPr>
                <w:color w:val="000000"/>
                <w:sz w:val="18"/>
                <w:szCs w:val="18"/>
              </w:rPr>
              <w:t>124 883</w:t>
            </w:r>
          </w:p>
        </w:tc>
        <w:tc>
          <w:tcPr>
            <w:tcW w:w="650" w:type="pct"/>
            <w:shd w:val="clear" w:color="000000" w:fill="FFFFFF"/>
            <w:noWrap/>
            <w:vAlign w:val="center"/>
          </w:tcPr>
          <w:p w14:paraId="27DBC1D5" w14:textId="77777777" w:rsidR="004D69BF" w:rsidRPr="0007651D" w:rsidRDefault="004D69BF" w:rsidP="000240DA">
            <w:pPr>
              <w:spacing w:line="240" w:lineRule="auto"/>
              <w:jc w:val="right"/>
              <w:rPr>
                <w:sz w:val="18"/>
                <w:szCs w:val="18"/>
              </w:rPr>
            </w:pPr>
            <w:r w:rsidRPr="0007651D">
              <w:rPr>
                <w:color w:val="000000"/>
                <w:sz w:val="18"/>
                <w:szCs w:val="18"/>
              </w:rPr>
              <w:t>641 728</w:t>
            </w:r>
          </w:p>
        </w:tc>
        <w:tc>
          <w:tcPr>
            <w:tcW w:w="650" w:type="pct"/>
            <w:shd w:val="clear" w:color="000000" w:fill="FFFFFF"/>
            <w:noWrap/>
            <w:vAlign w:val="center"/>
          </w:tcPr>
          <w:p w14:paraId="34A7D69B" w14:textId="77777777" w:rsidR="004D69BF" w:rsidRPr="0007651D" w:rsidRDefault="004D69BF" w:rsidP="000240DA">
            <w:pPr>
              <w:spacing w:line="240" w:lineRule="auto"/>
              <w:jc w:val="right"/>
              <w:rPr>
                <w:sz w:val="18"/>
                <w:szCs w:val="18"/>
              </w:rPr>
            </w:pPr>
            <w:r w:rsidRPr="0007651D">
              <w:rPr>
                <w:color w:val="000000"/>
                <w:sz w:val="18"/>
                <w:szCs w:val="18"/>
              </w:rPr>
              <w:t>770 260</w:t>
            </w:r>
          </w:p>
        </w:tc>
        <w:tc>
          <w:tcPr>
            <w:tcW w:w="467" w:type="pct"/>
            <w:shd w:val="clear" w:color="000000" w:fill="FFFFFF"/>
            <w:noWrap/>
            <w:vAlign w:val="center"/>
          </w:tcPr>
          <w:p w14:paraId="25E0C410" w14:textId="77777777" w:rsidR="004D69BF" w:rsidRPr="0007651D" w:rsidRDefault="004D69BF" w:rsidP="000240DA">
            <w:pPr>
              <w:spacing w:line="240" w:lineRule="auto"/>
              <w:jc w:val="right"/>
              <w:rPr>
                <w:sz w:val="18"/>
                <w:szCs w:val="18"/>
              </w:rPr>
            </w:pPr>
            <w:r w:rsidRPr="0007651D">
              <w:rPr>
                <w:color w:val="000000"/>
                <w:sz w:val="18"/>
                <w:szCs w:val="18"/>
              </w:rPr>
              <w:t>128 533</w:t>
            </w:r>
          </w:p>
        </w:tc>
      </w:tr>
      <w:tr w:rsidR="004D69BF" w:rsidRPr="0007651D" w14:paraId="36BC3C55" w14:textId="77777777" w:rsidTr="001D2C2C">
        <w:trPr>
          <w:trHeight w:val="330"/>
        </w:trPr>
        <w:tc>
          <w:tcPr>
            <w:tcW w:w="2117" w:type="pct"/>
            <w:shd w:val="clear" w:color="000000" w:fill="FFFFFF"/>
            <w:vAlign w:val="center"/>
            <w:hideMark/>
          </w:tcPr>
          <w:p w14:paraId="1B23D745" w14:textId="77777777" w:rsidR="004D69BF" w:rsidRPr="0007651D" w:rsidRDefault="004D69BF" w:rsidP="000240DA">
            <w:pPr>
              <w:spacing w:line="240" w:lineRule="auto"/>
              <w:rPr>
                <w:b/>
                <w:sz w:val="18"/>
                <w:szCs w:val="18"/>
              </w:rPr>
            </w:pPr>
            <w:r w:rsidRPr="0007651D">
              <w:rPr>
                <w:b/>
                <w:bCs/>
                <w:color w:val="000000"/>
                <w:sz w:val="18"/>
                <w:szCs w:val="18"/>
              </w:rPr>
              <w:t>Poľnohospodárske fondy spolu - MPRV SR</w:t>
            </w:r>
          </w:p>
        </w:tc>
        <w:tc>
          <w:tcPr>
            <w:tcW w:w="467" w:type="pct"/>
            <w:shd w:val="clear" w:color="000000" w:fill="FFFFFF"/>
            <w:noWrap/>
            <w:vAlign w:val="center"/>
            <w:hideMark/>
          </w:tcPr>
          <w:p w14:paraId="49062039" w14:textId="77777777" w:rsidR="004D69BF" w:rsidRPr="0007651D" w:rsidRDefault="004D69BF" w:rsidP="000240DA">
            <w:pPr>
              <w:spacing w:line="240" w:lineRule="auto"/>
              <w:jc w:val="right"/>
              <w:rPr>
                <w:b/>
                <w:sz w:val="18"/>
                <w:szCs w:val="18"/>
              </w:rPr>
            </w:pPr>
            <w:r w:rsidRPr="0007651D">
              <w:rPr>
                <w:b/>
                <w:bCs/>
                <w:color w:val="000000"/>
                <w:sz w:val="18"/>
                <w:szCs w:val="18"/>
              </w:rPr>
              <w:t>429 555</w:t>
            </w:r>
          </w:p>
        </w:tc>
        <w:tc>
          <w:tcPr>
            <w:tcW w:w="650" w:type="pct"/>
            <w:shd w:val="clear" w:color="000000" w:fill="FFFFFF"/>
            <w:noWrap/>
            <w:vAlign w:val="center"/>
            <w:hideMark/>
          </w:tcPr>
          <w:p w14:paraId="0B0F005B" w14:textId="77777777" w:rsidR="004D69BF" w:rsidRPr="0007651D" w:rsidRDefault="004D69BF" w:rsidP="000240DA">
            <w:pPr>
              <w:spacing w:line="240" w:lineRule="auto"/>
              <w:jc w:val="right"/>
              <w:rPr>
                <w:b/>
                <w:sz w:val="18"/>
                <w:szCs w:val="18"/>
              </w:rPr>
            </w:pPr>
            <w:r w:rsidRPr="0007651D">
              <w:rPr>
                <w:b/>
                <w:bCs/>
                <w:color w:val="000000"/>
                <w:sz w:val="18"/>
                <w:szCs w:val="18"/>
              </w:rPr>
              <w:t>506 115</w:t>
            </w:r>
          </w:p>
        </w:tc>
        <w:tc>
          <w:tcPr>
            <w:tcW w:w="650" w:type="pct"/>
            <w:shd w:val="clear" w:color="000000" w:fill="FFFFFF"/>
            <w:noWrap/>
            <w:vAlign w:val="center"/>
            <w:hideMark/>
          </w:tcPr>
          <w:p w14:paraId="598D47C6" w14:textId="77777777" w:rsidR="004D69BF" w:rsidRPr="0007651D" w:rsidRDefault="004D69BF" w:rsidP="000240DA">
            <w:pPr>
              <w:spacing w:line="240" w:lineRule="auto"/>
              <w:jc w:val="right"/>
              <w:rPr>
                <w:b/>
                <w:sz w:val="18"/>
                <w:szCs w:val="18"/>
              </w:rPr>
            </w:pPr>
            <w:r w:rsidRPr="0007651D">
              <w:rPr>
                <w:b/>
                <w:bCs/>
                <w:color w:val="000000"/>
                <w:sz w:val="18"/>
                <w:szCs w:val="18"/>
              </w:rPr>
              <w:t>756 894</w:t>
            </w:r>
          </w:p>
        </w:tc>
        <w:tc>
          <w:tcPr>
            <w:tcW w:w="650" w:type="pct"/>
            <w:shd w:val="clear" w:color="000000" w:fill="FFFFFF"/>
            <w:noWrap/>
            <w:vAlign w:val="center"/>
            <w:hideMark/>
          </w:tcPr>
          <w:p w14:paraId="1C0750EC" w14:textId="77777777" w:rsidR="004D69BF" w:rsidRPr="0007651D" w:rsidRDefault="004D69BF" w:rsidP="000240DA">
            <w:pPr>
              <w:spacing w:line="240" w:lineRule="auto"/>
              <w:jc w:val="right"/>
              <w:rPr>
                <w:b/>
                <w:sz w:val="18"/>
                <w:szCs w:val="18"/>
              </w:rPr>
            </w:pPr>
            <w:r w:rsidRPr="0007651D">
              <w:rPr>
                <w:b/>
                <w:bCs/>
                <w:color w:val="000000"/>
                <w:sz w:val="18"/>
                <w:szCs w:val="18"/>
              </w:rPr>
              <w:t>933 466</w:t>
            </w:r>
          </w:p>
        </w:tc>
        <w:tc>
          <w:tcPr>
            <w:tcW w:w="467" w:type="pct"/>
            <w:shd w:val="clear" w:color="000000" w:fill="FFFFFF"/>
            <w:noWrap/>
            <w:vAlign w:val="center"/>
            <w:hideMark/>
          </w:tcPr>
          <w:p w14:paraId="5FB826FA" w14:textId="77777777" w:rsidR="004D69BF" w:rsidRPr="0007651D" w:rsidRDefault="004D69BF" w:rsidP="000240DA">
            <w:pPr>
              <w:spacing w:line="240" w:lineRule="auto"/>
              <w:jc w:val="right"/>
              <w:rPr>
                <w:b/>
                <w:sz w:val="18"/>
                <w:szCs w:val="18"/>
              </w:rPr>
            </w:pPr>
            <w:r w:rsidRPr="0007651D">
              <w:rPr>
                <w:b/>
                <w:bCs/>
                <w:color w:val="000000"/>
                <w:sz w:val="18"/>
                <w:szCs w:val="18"/>
              </w:rPr>
              <w:t>176 573</w:t>
            </w:r>
          </w:p>
        </w:tc>
      </w:tr>
      <w:tr w:rsidR="004D69BF" w:rsidRPr="0007651D" w14:paraId="70817D63" w14:textId="77777777" w:rsidTr="001D2C2C">
        <w:trPr>
          <w:trHeight w:val="510"/>
        </w:trPr>
        <w:tc>
          <w:tcPr>
            <w:tcW w:w="2117" w:type="pct"/>
            <w:shd w:val="clear" w:color="000000" w:fill="FFFFFF"/>
            <w:vAlign w:val="center"/>
            <w:hideMark/>
          </w:tcPr>
          <w:p w14:paraId="6E6357DA" w14:textId="77777777" w:rsidR="004D69BF" w:rsidRPr="0007651D" w:rsidRDefault="004D69BF" w:rsidP="000240DA">
            <w:pPr>
              <w:spacing w:line="240" w:lineRule="auto"/>
              <w:rPr>
                <w:sz w:val="18"/>
                <w:szCs w:val="18"/>
              </w:rPr>
            </w:pPr>
            <w:r w:rsidRPr="0007651D">
              <w:rPr>
                <w:color w:val="000000"/>
                <w:sz w:val="18"/>
                <w:szCs w:val="18"/>
              </w:rPr>
              <w:t xml:space="preserve">Štrukturálne fondy, Kohézny fond, Európsky fond pre rybné hospodárstvo 2. programové obdobie </w:t>
            </w:r>
          </w:p>
        </w:tc>
        <w:tc>
          <w:tcPr>
            <w:tcW w:w="467" w:type="pct"/>
            <w:shd w:val="clear" w:color="000000" w:fill="FFFFFF"/>
            <w:noWrap/>
            <w:vAlign w:val="center"/>
            <w:hideMark/>
          </w:tcPr>
          <w:p w14:paraId="742E3144" w14:textId="77777777" w:rsidR="004D69BF" w:rsidRPr="0007651D" w:rsidRDefault="004D69BF" w:rsidP="000240DA">
            <w:pPr>
              <w:spacing w:line="240" w:lineRule="auto"/>
              <w:jc w:val="right"/>
              <w:rPr>
                <w:sz w:val="18"/>
                <w:szCs w:val="18"/>
              </w:rPr>
            </w:pPr>
            <w:r w:rsidRPr="0007651D">
              <w:rPr>
                <w:color w:val="000000"/>
                <w:sz w:val="18"/>
                <w:szCs w:val="18"/>
              </w:rPr>
              <w:t>0</w:t>
            </w:r>
          </w:p>
        </w:tc>
        <w:tc>
          <w:tcPr>
            <w:tcW w:w="650" w:type="pct"/>
            <w:shd w:val="clear" w:color="000000" w:fill="FFFFFF"/>
            <w:noWrap/>
            <w:vAlign w:val="center"/>
            <w:hideMark/>
          </w:tcPr>
          <w:p w14:paraId="2B24ED46" w14:textId="77777777" w:rsidR="004D69BF" w:rsidRPr="0007651D" w:rsidRDefault="004D69BF" w:rsidP="000240DA">
            <w:pPr>
              <w:spacing w:line="240" w:lineRule="auto"/>
              <w:jc w:val="right"/>
              <w:rPr>
                <w:sz w:val="18"/>
                <w:szCs w:val="18"/>
              </w:rPr>
            </w:pPr>
            <w:r w:rsidRPr="0007651D">
              <w:rPr>
                <w:color w:val="000000"/>
                <w:sz w:val="18"/>
                <w:szCs w:val="18"/>
              </w:rPr>
              <w:t>0</w:t>
            </w:r>
          </w:p>
        </w:tc>
        <w:tc>
          <w:tcPr>
            <w:tcW w:w="650" w:type="pct"/>
            <w:shd w:val="clear" w:color="000000" w:fill="FFFFFF"/>
            <w:noWrap/>
            <w:vAlign w:val="center"/>
            <w:hideMark/>
          </w:tcPr>
          <w:p w14:paraId="42AF5BBD" w14:textId="77777777" w:rsidR="004D69BF" w:rsidRPr="0007651D" w:rsidRDefault="004D69BF" w:rsidP="000240DA">
            <w:pPr>
              <w:spacing w:line="240" w:lineRule="auto"/>
              <w:jc w:val="right"/>
              <w:rPr>
                <w:sz w:val="18"/>
                <w:szCs w:val="18"/>
              </w:rPr>
            </w:pPr>
            <w:r w:rsidRPr="0007651D">
              <w:rPr>
                <w:color w:val="000000"/>
                <w:sz w:val="18"/>
                <w:szCs w:val="18"/>
              </w:rPr>
              <w:t>0</w:t>
            </w:r>
          </w:p>
        </w:tc>
        <w:tc>
          <w:tcPr>
            <w:tcW w:w="650" w:type="pct"/>
            <w:shd w:val="clear" w:color="000000" w:fill="FFFFFF"/>
            <w:noWrap/>
            <w:vAlign w:val="center"/>
            <w:hideMark/>
          </w:tcPr>
          <w:p w14:paraId="5C5F3C2C" w14:textId="77777777" w:rsidR="004D69BF" w:rsidRPr="0007651D" w:rsidRDefault="004D69BF" w:rsidP="000240DA">
            <w:pPr>
              <w:spacing w:line="240" w:lineRule="auto"/>
              <w:jc w:val="right"/>
              <w:rPr>
                <w:sz w:val="18"/>
                <w:szCs w:val="18"/>
              </w:rPr>
            </w:pPr>
            <w:r w:rsidRPr="0007651D">
              <w:rPr>
                <w:color w:val="000000"/>
                <w:sz w:val="18"/>
                <w:szCs w:val="18"/>
              </w:rPr>
              <w:t>0</w:t>
            </w:r>
          </w:p>
        </w:tc>
        <w:tc>
          <w:tcPr>
            <w:tcW w:w="467" w:type="pct"/>
            <w:shd w:val="clear" w:color="000000" w:fill="FFFFFF"/>
            <w:noWrap/>
            <w:vAlign w:val="center"/>
            <w:hideMark/>
          </w:tcPr>
          <w:p w14:paraId="4C944E02" w14:textId="77777777" w:rsidR="004D69BF" w:rsidRPr="0007651D" w:rsidRDefault="004D69BF" w:rsidP="000240DA">
            <w:pPr>
              <w:spacing w:line="240" w:lineRule="auto"/>
              <w:jc w:val="right"/>
              <w:rPr>
                <w:sz w:val="18"/>
                <w:szCs w:val="18"/>
              </w:rPr>
            </w:pPr>
            <w:r w:rsidRPr="0007651D">
              <w:rPr>
                <w:color w:val="000000"/>
                <w:sz w:val="18"/>
                <w:szCs w:val="18"/>
              </w:rPr>
              <w:t>0</w:t>
            </w:r>
          </w:p>
        </w:tc>
      </w:tr>
      <w:tr w:rsidR="004D69BF" w:rsidRPr="0007651D" w14:paraId="0D92D55D" w14:textId="77777777" w:rsidTr="001D2C2C">
        <w:trPr>
          <w:trHeight w:val="615"/>
        </w:trPr>
        <w:tc>
          <w:tcPr>
            <w:tcW w:w="2117" w:type="pct"/>
            <w:shd w:val="clear" w:color="000000" w:fill="FFFFFF"/>
            <w:vAlign w:val="center"/>
            <w:hideMark/>
          </w:tcPr>
          <w:p w14:paraId="32B436ED" w14:textId="77777777" w:rsidR="004D69BF" w:rsidRPr="0007651D" w:rsidRDefault="004D69BF" w:rsidP="000240DA">
            <w:pPr>
              <w:spacing w:line="240" w:lineRule="auto"/>
              <w:rPr>
                <w:sz w:val="18"/>
                <w:szCs w:val="18"/>
              </w:rPr>
            </w:pPr>
            <w:r w:rsidRPr="0007651D">
              <w:rPr>
                <w:color w:val="000000"/>
                <w:sz w:val="18"/>
                <w:szCs w:val="18"/>
              </w:rPr>
              <w:t xml:space="preserve">Štrukturálne fondy, Kohézny fond, Európsky námorný a rybársky fond 3. programové obdobie </w:t>
            </w:r>
          </w:p>
        </w:tc>
        <w:tc>
          <w:tcPr>
            <w:tcW w:w="467" w:type="pct"/>
            <w:shd w:val="clear" w:color="000000" w:fill="FFFFFF"/>
            <w:noWrap/>
            <w:vAlign w:val="center"/>
            <w:hideMark/>
          </w:tcPr>
          <w:p w14:paraId="46ABF498" w14:textId="77777777" w:rsidR="004D69BF" w:rsidRPr="0007651D" w:rsidRDefault="004D69BF" w:rsidP="000240DA">
            <w:pPr>
              <w:spacing w:line="240" w:lineRule="auto"/>
              <w:jc w:val="right"/>
              <w:rPr>
                <w:sz w:val="18"/>
                <w:szCs w:val="18"/>
              </w:rPr>
            </w:pPr>
            <w:r w:rsidRPr="0007651D">
              <w:rPr>
                <w:color w:val="000000"/>
                <w:sz w:val="18"/>
                <w:szCs w:val="18"/>
              </w:rPr>
              <w:t>1 746 097</w:t>
            </w:r>
          </w:p>
        </w:tc>
        <w:tc>
          <w:tcPr>
            <w:tcW w:w="650" w:type="pct"/>
            <w:shd w:val="clear" w:color="000000" w:fill="FFFFFF"/>
            <w:noWrap/>
            <w:vAlign w:val="center"/>
            <w:hideMark/>
          </w:tcPr>
          <w:p w14:paraId="4DD34488" w14:textId="77777777" w:rsidR="004D69BF" w:rsidRPr="0007651D" w:rsidRDefault="004D69BF" w:rsidP="000240DA">
            <w:pPr>
              <w:spacing w:line="240" w:lineRule="auto"/>
              <w:jc w:val="right"/>
              <w:rPr>
                <w:sz w:val="18"/>
                <w:szCs w:val="18"/>
              </w:rPr>
            </w:pPr>
            <w:r w:rsidRPr="0007651D">
              <w:rPr>
                <w:color w:val="000000"/>
                <w:sz w:val="18"/>
                <w:szCs w:val="18"/>
              </w:rPr>
              <w:t>4 302 980</w:t>
            </w:r>
          </w:p>
        </w:tc>
        <w:tc>
          <w:tcPr>
            <w:tcW w:w="650" w:type="pct"/>
            <w:shd w:val="clear" w:color="000000" w:fill="FFFFFF"/>
            <w:noWrap/>
            <w:vAlign w:val="center"/>
            <w:hideMark/>
          </w:tcPr>
          <w:p w14:paraId="3CF90307" w14:textId="77777777" w:rsidR="004D69BF" w:rsidRPr="0007651D" w:rsidRDefault="004D69BF" w:rsidP="000240DA">
            <w:pPr>
              <w:spacing w:line="240" w:lineRule="auto"/>
              <w:jc w:val="right"/>
              <w:rPr>
                <w:sz w:val="18"/>
                <w:szCs w:val="18"/>
              </w:rPr>
            </w:pPr>
            <w:r w:rsidRPr="0007651D">
              <w:rPr>
                <w:color w:val="000000"/>
                <w:sz w:val="18"/>
                <w:szCs w:val="18"/>
              </w:rPr>
              <w:t>0</w:t>
            </w:r>
          </w:p>
        </w:tc>
        <w:tc>
          <w:tcPr>
            <w:tcW w:w="650" w:type="pct"/>
            <w:shd w:val="clear" w:color="000000" w:fill="FFFFFF"/>
            <w:noWrap/>
            <w:vAlign w:val="center"/>
            <w:hideMark/>
          </w:tcPr>
          <w:p w14:paraId="37F5F36B" w14:textId="77777777" w:rsidR="004D69BF" w:rsidRPr="0007651D" w:rsidRDefault="004D69BF" w:rsidP="000240DA">
            <w:pPr>
              <w:spacing w:line="240" w:lineRule="auto"/>
              <w:jc w:val="right"/>
              <w:rPr>
                <w:sz w:val="18"/>
                <w:szCs w:val="18"/>
              </w:rPr>
            </w:pPr>
            <w:r w:rsidRPr="0007651D">
              <w:rPr>
                <w:color w:val="000000"/>
                <w:sz w:val="18"/>
                <w:szCs w:val="18"/>
              </w:rPr>
              <w:t>1 333 480</w:t>
            </w:r>
          </w:p>
        </w:tc>
        <w:tc>
          <w:tcPr>
            <w:tcW w:w="467" w:type="pct"/>
            <w:shd w:val="clear" w:color="000000" w:fill="FFFFFF"/>
            <w:noWrap/>
            <w:vAlign w:val="center"/>
            <w:hideMark/>
          </w:tcPr>
          <w:p w14:paraId="71881B79" w14:textId="77777777" w:rsidR="004D69BF" w:rsidRPr="0007651D" w:rsidRDefault="004D69BF" w:rsidP="000240DA">
            <w:pPr>
              <w:spacing w:line="240" w:lineRule="auto"/>
              <w:jc w:val="right"/>
              <w:rPr>
                <w:sz w:val="18"/>
                <w:szCs w:val="18"/>
              </w:rPr>
            </w:pPr>
            <w:r w:rsidRPr="0007651D">
              <w:rPr>
                <w:color w:val="000000"/>
                <w:sz w:val="18"/>
                <w:szCs w:val="18"/>
              </w:rPr>
              <w:t>1 333 480</w:t>
            </w:r>
          </w:p>
        </w:tc>
      </w:tr>
      <w:tr w:rsidR="004D69BF" w:rsidRPr="0007651D" w14:paraId="2D32024D" w14:textId="77777777" w:rsidTr="001D2C2C">
        <w:trPr>
          <w:trHeight w:val="615"/>
        </w:trPr>
        <w:tc>
          <w:tcPr>
            <w:tcW w:w="2117" w:type="pct"/>
            <w:shd w:val="clear" w:color="000000" w:fill="FFFFFF"/>
            <w:vAlign w:val="center"/>
          </w:tcPr>
          <w:p w14:paraId="5510138C" w14:textId="77777777" w:rsidR="004D69BF" w:rsidRPr="0007651D" w:rsidRDefault="004D69BF" w:rsidP="000240DA">
            <w:pPr>
              <w:spacing w:line="240" w:lineRule="auto"/>
              <w:rPr>
                <w:sz w:val="18"/>
                <w:szCs w:val="18"/>
              </w:rPr>
            </w:pPr>
            <w:r w:rsidRPr="0007651D">
              <w:rPr>
                <w:color w:val="000000"/>
                <w:sz w:val="18"/>
                <w:szCs w:val="18"/>
              </w:rPr>
              <w:t>Program Slovensko a Európsky námorný, rybolovný a akvakultúrny fond 4. programové obdobie</w:t>
            </w:r>
          </w:p>
        </w:tc>
        <w:tc>
          <w:tcPr>
            <w:tcW w:w="467" w:type="pct"/>
            <w:shd w:val="clear" w:color="000000" w:fill="FFFFFF"/>
            <w:noWrap/>
            <w:vAlign w:val="center"/>
          </w:tcPr>
          <w:p w14:paraId="64CAB5A1" w14:textId="77777777" w:rsidR="004D69BF" w:rsidRPr="0007651D" w:rsidRDefault="004D69BF" w:rsidP="000240DA">
            <w:pPr>
              <w:spacing w:line="240" w:lineRule="auto"/>
              <w:jc w:val="right"/>
              <w:rPr>
                <w:sz w:val="18"/>
                <w:szCs w:val="18"/>
              </w:rPr>
            </w:pPr>
            <w:r w:rsidRPr="0007651D">
              <w:rPr>
                <w:color w:val="000000"/>
                <w:sz w:val="18"/>
                <w:szCs w:val="18"/>
              </w:rPr>
              <w:t>0</w:t>
            </w:r>
          </w:p>
        </w:tc>
        <w:tc>
          <w:tcPr>
            <w:tcW w:w="650" w:type="pct"/>
            <w:shd w:val="clear" w:color="000000" w:fill="FFFFFF"/>
            <w:noWrap/>
            <w:vAlign w:val="center"/>
          </w:tcPr>
          <w:p w14:paraId="4FA6BE2D" w14:textId="77777777" w:rsidR="004D69BF" w:rsidRPr="0007651D" w:rsidRDefault="004D69BF" w:rsidP="000240DA">
            <w:pPr>
              <w:spacing w:line="240" w:lineRule="auto"/>
              <w:jc w:val="right"/>
              <w:rPr>
                <w:sz w:val="18"/>
                <w:szCs w:val="18"/>
              </w:rPr>
            </w:pPr>
            <w:r w:rsidRPr="0007651D">
              <w:rPr>
                <w:color w:val="000000"/>
                <w:sz w:val="18"/>
                <w:szCs w:val="18"/>
              </w:rPr>
              <w:t>42 191</w:t>
            </w:r>
          </w:p>
        </w:tc>
        <w:tc>
          <w:tcPr>
            <w:tcW w:w="650" w:type="pct"/>
            <w:shd w:val="clear" w:color="000000" w:fill="FFFFFF"/>
            <w:noWrap/>
            <w:vAlign w:val="center"/>
          </w:tcPr>
          <w:p w14:paraId="4ADA9246" w14:textId="77777777" w:rsidR="004D69BF" w:rsidRPr="0007651D" w:rsidRDefault="004D69BF" w:rsidP="000240DA">
            <w:pPr>
              <w:spacing w:line="240" w:lineRule="auto"/>
              <w:jc w:val="right"/>
              <w:rPr>
                <w:sz w:val="18"/>
                <w:szCs w:val="18"/>
              </w:rPr>
            </w:pPr>
            <w:r w:rsidRPr="0007651D">
              <w:rPr>
                <w:color w:val="000000"/>
                <w:sz w:val="18"/>
                <w:szCs w:val="18"/>
              </w:rPr>
              <w:t>459 912</w:t>
            </w:r>
          </w:p>
        </w:tc>
        <w:tc>
          <w:tcPr>
            <w:tcW w:w="650" w:type="pct"/>
            <w:shd w:val="clear" w:color="000000" w:fill="FFFFFF"/>
            <w:noWrap/>
            <w:vAlign w:val="center"/>
          </w:tcPr>
          <w:p w14:paraId="3E2A5DAC" w14:textId="77777777" w:rsidR="004D69BF" w:rsidRPr="0007651D" w:rsidRDefault="004D69BF" w:rsidP="000240DA">
            <w:pPr>
              <w:spacing w:line="240" w:lineRule="auto"/>
              <w:jc w:val="right"/>
              <w:rPr>
                <w:sz w:val="18"/>
                <w:szCs w:val="18"/>
              </w:rPr>
            </w:pPr>
            <w:r w:rsidRPr="0007651D">
              <w:rPr>
                <w:color w:val="000000"/>
                <w:sz w:val="18"/>
                <w:szCs w:val="18"/>
              </w:rPr>
              <w:t>709 775</w:t>
            </w:r>
          </w:p>
        </w:tc>
        <w:tc>
          <w:tcPr>
            <w:tcW w:w="467" w:type="pct"/>
            <w:shd w:val="clear" w:color="000000" w:fill="FFFFFF"/>
            <w:noWrap/>
            <w:vAlign w:val="center"/>
          </w:tcPr>
          <w:p w14:paraId="7A586BF1" w14:textId="77777777" w:rsidR="004D69BF" w:rsidRPr="0007651D" w:rsidRDefault="004D69BF" w:rsidP="000240DA">
            <w:pPr>
              <w:spacing w:line="240" w:lineRule="auto"/>
              <w:jc w:val="right"/>
              <w:rPr>
                <w:sz w:val="18"/>
                <w:szCs w:val="18"/>
              </w:rPr>
            </w:pPr>
            <w:r w:rsidRPr="0007651D">
              <w:rPr>
                <w:color w:val="000000"/>
                <w:sz w:val="18"/>
                <w:szCs w:val="18"/>
              </w:rPr>
              <w:t>249 862</w:t>
            </w:r>
          </w:p>
        </w:tc>
      </w:tr>
      <w:tr w:rsidR="004D69BF" w:rsidRPr="0007651D" w14:paraId="767284E7" w14:textId="77777777" w:rsidTr="001D2C2C">
        <w:trPr>
          <w:trHeight w:val="330"/>
        </w:trPr>
        <w:tc>
          <w:tcPr>
            <w:tcW w:w="2117" w:type="pct"/>
            <w:shd w:val="clear" w:color="000000" w:fill="FFFFFF"/>
            <w:vAlign w:val="center"/>
            <w:hideMark/>
          </w:tcPr>
          <w:p w14:paraId="728F004A" w14:textId="77777777" w:rsidR="004D69BF" w:rsidRPr="0007651D" w:rsidRDefault="004D69BF" w:rsidP="000240DA">
            <w:pPr>
              <w:spacing w:line="240" w:lineRule="auto"/>
              <w:rPr>
                <w:sz w:val="18"/>
                <w:szCs w:val="18"/>
              </w:rPr>
            </w:pPr>
            <w:r w:rsidRPr="0007651D">
              <w:rPr>
                <w:color w:val="000000"/>
                <w:sz w:val="18"/>
                <w:szCs w:val="18"/>
              </w:rPr>
              <w:t>Programy EÚS 3. programové obdobie (CO MF SR)</w:t>
            </w:r>
          </w:p>
        </w:tc>
        <w:tc>
          <w:tcPr>
            <w:tcW w:w="467" w:type="pct"/>
            <w:shd w:val="clear" w:color="000000" w:fill="FFFFFF"/>
            <w:noWrap/>
            <w:vAlign w:val="center"/>
            <w:hideMark/>
          </w:tcPr>
          <w:p w14:paraId="730AF930" w14:textId="77777777" w:rsidR="004D69BF" w:rsidRPr="0007651D" w:rsidRDefault="004D69BF" w:rsidP="000240DA">
            <w:pPr>
              <w:spacing w:line="240" w:lineRule="auto"/>
              <w:jc w:val="right"/>
              <w:rPr>
                <w:sz w:val="18"/>
                <w:szCs w:val="18"/>
              </w:rPr>
            </w:pPr>
            <w:r w:rsidRPr="0007651D">
              <w:rPr>
                <w:color w:val="000000"/>
                <w:sz w:val="18"/>
                <w:szCs w:val="18"/>
              </w:rPr>
              <w:t>26 475</w:t>
            </w:r>
          </w:p>
        </w:tc>
        <w:tc>
          <w:tcPr>
            <w:tcW w:w="650" w:type="pct"/>
            <w:shd w:val="clear" w:color="000000" w:fill="FFFFFF"/>
            <w:noWrap/>
            <w:vAlign w:val="center"/>
            <w:hideMark/>
          </w:tcPr>
          <w:p w14:paraId="07068C45" w14:textId="77777777" w:rsidR="004D69BF" w:rsidRPr="0007651D" w:rsidRDefault="004D69BF" w:rsidP="000240DA">
            <w:pPr>
              <w:spacing w:line="240" w:lineRule="auto"/>
              <w:jc w:val="right"/>
              <w:rPr>
                <w:sz w:val="18"/>
                <w:szCs w:val="18"/>
              </w:rPr>
            </w:pPr>
            <w:r w:rsidRPr="0007651D">
              <w:rPr>
                <w:color w:val="000000"/>
                <w:sz w:val="18"/>
                <w:szCs w:val="18"/>
              </w:rPr>
              <w:t>30 600</w:t>
            </w:r>
          </w:p>
        </w:tc>
        <w:tc>
          <w:tcPr>
            <w:tcW w:w="650" w:type="pct"/>
            <w:shd w:val="clear" w:color="000000" w:fill="FFFFFF"/>
            <w:noWrap/>
            <w:vAlign w:val="center"/>
            <w:hideMark/>
          </w:tcPr>
          <w:p w14:paraId="213FE0DA" w14:textId="77777777" w:rsidR="004D69BF" w:rsidRPr="0007651D" w:rsidRDefault="004D69BF" w:rsidP="000240DA">
            <w:pPr>
              <w:spacing w:line="240" w:lineRule="auto"/>
              <w:jc w:val="right"/>
              <w:rPr>
                <w:sz w:val="18"/>
                <w:szCs w:val="18"/>
              </w:rPr>
            </w:pPr>
            <w:r w:rsidRPr="0007651D">
              <w:rPr>
                <w:color w:val="000000"/>
                <w:sz w:val="18"/>
                <w:szCs w:val="18"/>
              </w:rPr>
              <w:t>0</w:t>
            </w:r>
          </w:p>
        </w:tc>
        <w:tc>
          <w:tcPr>
            <w:tcW w:w="650" w:type="pct"/>
            <w:shd w:val="clear" w:color="000000" w:fill="FFFFFF"/>
            <w:noWrap/>
            <w:vAlign w:val="center"/>
            <w:hideMark/>
          </w:tcPr>
          <w:p w14:paraId="2AA1BE00" w14:textId="77777777" w:rsidR="004D69BF" w:rsidRPr="0007651D" w:rsidRDefault="004D69BF" w:rsidP="000240DA">
            <w:pPr>
              <w:spacing w:line="240" w:lineRule="auto"/>
              <w:jc w:val="right"/>
              <w:rPr>
                <w:sz w:val="18"/>
                <w:szCs w:val="18"/>
              </w:rPr>
            </w:pPr>
            <w:r w:rsidRPr="0007651D">
              <w:rPr>
                <w:color w:val="000000"/>
                <w:sz w:val="18"/>
                <w:szCs w:val="18"/>
              </w:rPr>
              <w:t>30 694</w:t>
            </w:r>
          </w:p>
        </w:tc>
        <w:tc>
          <w:tcPr>
            <w:tcW w:w="467" w:type="pct"/>
            <w:shd w:val="clear" w:color="000000" w:fill="FFFFFF"/>
            <w:noWrap/>
            <w:vAlign w:val="center"/>
            <w:hideMark/>
          </w:tcPr>
          <w:p w14:paraId="1A02BF53" w14:textId="77777777" w:rsidR="004D69BF" w:rsidRPr="0007651D" w:rsidRDefault="004D69BF" w:rsidP="000240DA">
            <w:pPr>
              <w:spacing w:line="240" w:lineRule="auto"/>
              <w:jc w:val="right"/>
              <w:rPr>
                <w:sz w:val="18"/>
                <w:szCs w:val="18"/>
              </w:rPr>
            </w:pPr>
            <w:r w:rsidRPr="0007651D">
              <w:rPr>
                <w:color w:val="000000"/>
                <w:sz w:val="18"/>
                <w:szCs w:val="18"/>
              </w:rPr>
              <w:t>30 694</w:t>
            </w:r>
          </w:p>
        </w:tc>
      </w:tr>
      <w:tr w:rsidR="004D69BF" w:rsidRPr="0007651D" w14:paraId="0C5EA14B" w14:textId="77777777" w:rsidTr="001D2C2C">
        <w:trPr>
          <w:trHeight w:val="330"/>
        </w:trPr>
        <w:tc>
          <w:tcPr>
            <w:tcW w:w="2117" w:type="pct"/>
            <w:shd w:val="clear" w:color="000000" w:fill="FFFFFF"/>
            <w:vAlign w:val="center"/>
          </w:tcPr>
          <w:p w14:paraId="22618323" w14:textId="77777777" w:rsidR="004D69BF" w:rsidRPr="0007651D" w:rsidRDefault="004D69BF" w:rsidP="000240DA">
            <w:pPr>
              <w:spacing w:line="240" w:lineRule="auto"/>
              <w:rPr>
                <w:sz w:val="18"/>
                <w:szCs w:val="18"/>
              </w:rPr>
            </w:pPr>
            <w:r w:rsidRPr="0007651D">
              <w:rPr>
                <w:color w:val="000000"/>
                <w:sz w:val="18"/>
                <w:szCs w:val="18"/>
              </w:rPr>
              <w:t>Programy EÚS 4. programové obdobie (PO MF SR)</w:t>
            </w:r>
          </w:p>
        </w:tc>
        <w:tc>
          <w:tcPr>
            <w:tcW w:w="467" w:type="pct"/>
            <w:shd w:val="clear" w:color="000000" w:fill="FFFFFF"/>
            <w:noWrap/>
            <w:vAlign w:val="center"/>
          </w:tcPr>
          <w:p w14:paraId="11F09AE0" w14:textId="77777777" w:rsidR="004D69BF" w:rsidRPr="0007651D" w:rsidRDefault="004D69BF" w:rsidP="000240DA">
            <w:pPr>
              <w:spacing w:line="240" w:lineRule="auto"/>
              <w:jc w:val="right"/>
              <w:rPr>
                <w:sz w:val="18"/>
                <w:szCs w:val="18"/>
              </w:rPr>
            </w:pPr>
            <w:r w:rsidRPr="0007651D">
              <w:rPr>
                <w:color w:val="000000"/>
                <w:sz w:val="18"/>
                <w:szCs w:val="18"/>
              </w:rPr>
              <w:t>0</w:t>
            </w:r>
          </w:p>
        </w:tc>
        <w:tc>
          <w:tcPr>
            <w:tcW w:w="650" w:type="pct"/>
            <w:shd w:val="clear" w:color="000000" w:fill="FFFFFF"/>
            <w:noWrap/>
            <w:vAlign w:val="center"/>
          </w:tcPr>
          <w:p w14:paraId="56724FF3" w14:textId="77777777" w:rsidR="004D69BF" w:rsidRPr="0007651D" w:rsidRDefault="004D69BF" w:rsidP="000240DA">
            <w:pPr>
              <w:spacing w:line="240" w:lineRule="auto"/>
              <w:jc w:val="right"/>
              <w:rPr>
                <w:sz w:val="18"/>
                <w:szCs w:val="18"/>
              </w:rPr>
            </w:pPr>
            <w:r w:rsidRPr="0007651D">
              <w:rPr>
                <w:color w:val="000000"/>
                <w:sz w:val="18"/>
                <w:szCs w:val="18"/>
              </w:rPr>
              <w:t>0</w:t>
            </w:r>
          </w:p>
        </w:tc>
        <w:tc>
          <w:tcPr>
            <w:tcW w:w="650" w:type="pct"/>
            <w:shd w:val="clear" w:color="000000" w:fill="FFFFFF"/>
            <w:noWrap/>
            <w:vAlign w:val="center"/>
          </w:tcPr>
          <w:p w14:paraId="7A720F8A" w14:textId="77777777" w:rsidR="004D69BF" w:rsidRPr="0007651D" w:rsidRDefault="004D69BF" w:rsidP="000240DA">
            <w:pPr>
              <w:spacing w:line="240" w:lineRule="auto"/>
              <w:jc w:val="right"/>
              <w:rPr>
                <w:sz w:val="18"/>
                <w:szCs w:val="18"/>
              </w:rPr>
            </w:pPr>
            <w:r w:rsidRPr="0007651D">
              <w:rPr>
                <w:color w:val="000000"/>
                <w:sz w:val="18"/>
                <w:szCs w:val="18"/>
              </w:rPr>
              <w:t>11 100</w:t>
            </w:r>
          </w:p>
        </w:tc>
        <w:tc>
          <w:tcPr>
            <w:tcW w:w="650" w:type="pct"/>
            <w:shd w:val="clear" w:color="000000" w:fill="FFFFFF"/>
            <w:noWrap/>
            <w:vAlign w:val="center"/>
          </w:tcPr>
          <w:p w14:paraId="04CB216A" w14:textId="77777777" w:rsidR="004D69BF" w:rsidRPr="0007651D" w:rsidRDefault="004D69BF" w:rsidP="000240DA">
            <w:pPr>
              <w:spacing w:line="240" w:lineRule="auto"/>
              <w:jc w:val="right"/>
              <w:rPr>
                <w:sz w:val="18"/>
                <w:szCs w:val="18"/>
              </w:rPr>
            </w:pPr>
            <w:r w:rsidRPr="0007651D">
              <w:rPr>
                <w:color w:val="000000"/>
                <w:sz w:val="18"/>
                <w:szCs w:val="18"/>
              </w:rPr>
              <w:t>348</w:t>
            </w:r>
          </w:p>
        </w:tc>
        <w:tc>
          <w:tcPr>
            <w:tcW w:w="467" w:type="pct"/>
            <w:shd w:val="clear" w:color="000000" w:fill="FFFFFF"/>
            <w:noWrap/>
            <w:vAlign w:val="center"/>
          </w:tcPr>
          <w:p w14:paraId="7FCD91C8" w14:textId="77777777" w:rsidR="004D69BF" w:rsidRPr="0007651D" w:rsidRDefault="004D69BF" w:rsidP="000240DA">
            <w:pPr>
              <w:spacing w:line="240" w:lineRule="auto"/>
              <w:jc w:val="right"/>
              <w:rPr>
                <w:sz w:val="18"/>
                <w:szCs w:val="18"/>
              </w:rPr>
            </w:pPr>
            <w:r w:rsidRPr="0007651D">
              <w:rPr>
                <w:color w:val="000000"/>
                <w:sz w:val="18"/>
                <w:szCs w:val="18"/>
              </w:rPr>
              <w:t>-10 752</w:t>
            </w:r>
          </w:p>
        </w:tc>
      </w:tr>
      <w:tr w:rsidR="004D69BF" w:rsidRPr="0007651D" w14:paraId="504FF874" w14:textId="77777777" w:rsidTr="001D2C2C">
        <w:trPr>
          <w:trHeight w:val="330"/>
        </w:trPr>
        <w:tc>
          <w:tcPr>
            <w:tcW w:w="2117" w:type="pct"/>
            <w:shd w:val="clear" w:color="000000" w:fill="FFFFFF"/>
            <w:vAlign w:val="center"/>
            <w:hideMark/>
          </w:tcPr>
          <w:p w14:paraId="255E62A2" w14:textId="77777777" w:rsidR="004D69BF" w:rsidRPr="0007651D" w:rsidRDefault="004D69BF" w:rsidP="000240DA">
            <w:pPr>
              <w:spacing w:line="240" w:lineRule="auto"/>
              <w:rPr>
                <w:b/>
                <w:sz w:val="18"/>
                <w:szCs w:val="18"/>
              </w:rPr>
            </w:pPr>
            <w:r w:rsidRPr="0007651D">
              <w:rPr>
                <w:b/>
                <w:bCs/>
                <w:color w:val="000000"/>
                <w:sz w:val="18"/>
                <w:szCs w:val="18"/>
              </w:rPr>
              <w:lastRenderedPageBreak/>
              <w:t>Štrukturálne operácie - MF SR</w:t>
            </w:r>
          </w:p>
        </w:tc>
        <w:tc>
          <w:tcPr>
            <w:tcW w:w="467" w:type="pct"/>
            <w:shd w:val="clear" w:color="000000" w:fill="FFFFFF"/>
            <w:noWrap/>
            <w:vAlign w:val="center"/>
            <w:hideMark/>
          </w:tcPr>
          <w:p w14:paraId="30FAB705" w14:textId="77777777" w:rsidR="004D69BF" w:rsidRPr="0007651D" w:rsidRDefault="004D69BF" w:rsidP="000240DA">
            <w:pPr>
              <w:spacing w:line="240" w:lineRule="auto"/>
              <w:jc w:val="right"/>
              <w:rPr>
                <w:b/>
                <w:sz w:val="18"/>
                <w:szCs w:val="18"/>
              </w:rPr>
            </w:pPr>
            <w:r w:rsidRPr="0007651D">
              <w:rPr>
                <w:b/>
                <w:bCs/>
                <w:color w:val="000000"/>
                <w:sz w:val="18"/>
                <w:szCs w:val="18"/>
              </w:rPr>
              <w:t>1 772 572</w:t>
            </w:r>
          </w:p>
        </w:tc>
        <w:tc>
          <w:tcPr>
            <w:tcW w:w="650" w:type="pct"/>
            <w:shd w:val="clear" w:color="000000" w:fill="FFFFFF"/>
            <w:noWrap/>
            <w:vAlign w:val="center"/>
            <w:hideMark/>
          </w:tcPr>
          <w:p w14:paraId="1D4C1050" w14:textId="77777777" w:rsidR="004D69BF" w:rsidRPr="0007651D" w:rsidRDefault="004D69BF" w:rsidP="000240DA">
            <w:pPr>
              <w:spacing w:line="240" w:lineRule="auto"/>
              <w:jc w:val="right"/>
              <w:rPr>
                <w:b/>
                <w:sz w:val="18"/>
                <w:szCs w:val="18"/>
              </w:rPr>
            </w:pPr>
            <w:r w:rsidRPr="0007651D">
              <w:rPr>
                <w:b/>
                <w:bCs/>
                <w:color w:val="000000"/>
                <w:sz w:val="18"/>
                <w:szCs w:val="18"/>
              </w:rPr>
              <w:t>4 375 771</w:t>
            </w:r>
          </w:p>
        </w:tc>
        <w:tc>
          <w:tcPr>
            <w:tcW w:w="650" w:type="pct"/>
            <w:shd w:val="clear" w:color="000000" w:fill="FFFFFF"/>
            <w:noWrap/>
            <w:vAlign w:val="center"/>
            <w:hideMark/>
          </w:tcPr>
          <w:p w14:paraId="0A1A8A35" w14:textId="77777777" w:rsidR="004D69BF" w:rsidRPr="0007651D" w:rsidRDefault="004D69BF" w:rsidP="000240DA">
            <w:pPr>
              <w:spacing w:line="240" w:lineRule="auto"/>
              <w:jc w:val="right"/>
              <w:rPr>
                <w:b/>
                <w:sz w:val="18"/>
                <w:szCs w:val="18"/>
              </w:rPr>
            </w:pPr>
            <w:r w:rsidRPr="0007651D">
              <w:rPr>
                <w:b/>
                <w:bCs/>
                <w:color w:val="000000"/>
                <w:sz w:val="18"/>
                <w:szCs w:val="18"/>
              </w:rPr>
              <w:t>471 012</w:t>
            </w:r>
          </w:p>
        </w:tc>
        <w:tc>
          <w:tcPr>
            <w:tcW w:w="650" w:type="pct"/>
            <w:shd w:val="clear" w:color="000000" w:fill="FFFFFF"/>
            <w:noWrap/>
            <w:vAlign w:val="center"/>
            <w:hideMark/>
          </w:tcPr>
          <w:p w14:paraId="3734CF1F" w14:textId="77777777" w:rsidR="004D69BF" w:rsidRPr="0007651D" w:rsidRDefault="004D69BF" w:rsidP="000240DA">
            <w:pPr>
              <w:spacing w:line="240" w:lineRule="auto"/>
              <w:jc w:val="right"/>
              <w:rPr>
                <w:b/>
                <w:sz w:val="18"/>
                <w:szCs w:val="18"/>
              </w:rPr>
            </w:pPr>
            <w:r w:rsidRPr="0007651D">
              <w:rPr>
                <w:b/>
                <w:bCs/>
                <w:color w:val="000000"/>
                <w:sz w:val="18"/>
                <w:szCs w:val="18"/>
              </w:rPr>
              <w:t>2 074 297</w:t>
            </w:r>
          </w:p>
        </w:tc>
        <w:tc>
          <w:tcPr>
            <w:tcW w:w="467" w:type="pct"/>
            <w:shd w:val="clear" w:color="000000" w:fill="FFFFFF"/>
            <w:noWrap/>
            <w:vAlign w:val="center"/>
            <w:hideMark/>
          </w:tcPr>
          <w:p w14:paraId="7FFAB71E" w14:textId="77777777" w:rsidR="004D69BF" w:rsidRPr="0007651D" w:rsidRDefault="004D69BF" w:rsidP="000240DA">
            <w:pPr>
              <w:spacing w:line="240" w:lineRule="auto"/>
              <w:jc w:val="right"/>
              <w:rPr>
                <w:b/>
                <w:sz w:val="18"/>
                <w:szCs w:val="18"/>
              </w:rPr>
            </w:pPr>
            <w:r w:rsidRPr="0007651D">
              <w:rPr>
                <w:b/>
                <w:bCs/>
                <w:color w:val="000000"/>
                <w:sz w:val="18"/>
                <w:szCs w:val="18"/>
              </w:rPr>
              <w:t>1 603 284</w:t>
            </w:r>
          </w:p>
        </w:tc>
      </w:tr>
      <w:tr w:rsidR="004D69BF" w:rsidRPr="0007651D" w14:paraId="5D699B62" w14:textId="77777777" w:rsidTr="001D2C2C">
        <w:trPr>
          <w:trHeight w:val="330"/>
        </w:trPr>
        <w:tc>
          <w:tcPr>
            <w:tcW w:w="2117" w:type="pct"/>
            <w:shd w:val="clear" w:color="000000" w:fill="FFFFFF"/>
            <w:vAlign w:val="center"/>
            <w:hideMark/>
          </w:tcPr>
          <w:p w14:paraId="26FB4C0A" w14:textId="77777777" w:rsidR="004D69BF" w:rsidRPr="0007651D" w:rsidRDefault="004D69BF" w:rsidP="000240DA">
            <w:pPr>
              <w:spacing w:line="240" w:lineRule="auto"/>
              <w:rPr>
                <w:sz w:val="18"/>
                <w:szCs w:val="18"/>
              </w:rPr>
            </w:pPr>
            <w:r w:rsidRPr="0007651D">
              <w:rPr>
                <w:color w:val="000000"/>
                <w:sz w:val="18"/>
                <w:szCs w:val="18"/>
              </w:rPr>
              <w:t>OP Sociálneho začlenenia najodkázanejších osôb</w:t>
            </w:r>
          </w:p>
        </w:tc>
        <w:tc>
          <w:tcPr>
            <w:tcW w:w="467" w:type="pct"/>
            <w:shd w:val="clear" w:color="000000" w:fill="FFFFFF"/>
            <w:noWrap/>
            <w:vAlign w:val="center"/>
            <w:hideMark/>
          </w:tcPr>
          <w:p w14:paraId="11A0E391" w14:textId="77777777" w:rsidR="004D69BF" w:rsidRPr="0007651D" w:rsidRDefault="004D69BF" w:rsidP="000240DA">
            <w:pPr>
              <w:spacing w:line="240" w:lineRule="auto"/>
              <w:jc w:val="right"/>
              <w:rPr>
                <w:sz w:val="18"/>
                <w:szCs w:val="18"/>
              </w:rPr>
            </w:pPr>
            <w:r w:rsidRPr="0007651D">
              <w:rPr>
                <w:color w:val="000000"/>
                <w:sz w:val="18"/>
                <w:szCs w:val="18"/>
              </w:rPr>
              <w:t>1 188</w:t>
            </w:r>
          </w:p>
        </w:tc>
        <w:tc>
          <w:tcPr>
            <w:tcW w:w="650" w:type="pct"/>
            <w:shd w:val="clear" w:color="000000" w:fill="FFFFFF"/>
            <w:noWrap/>
            <w:vAlign w:val="center"/>
            <w:hideMark/>
          </w:tcPr>
          <w:p w14:paraId="6446F389" w14:textId="77777777" w:rsidR="004D69BF" w:rsidRPr="0007651D" w:rsidRDefault="004D69BF" w:rsidP="000240DA">
            <w:pPr>
              <w:spacing w:line="240" w:lineRule="auto"/>
              <w:jc w:val="right"/>
              <w:rPr>
                <w:sz w:val="18"/>
                <w:szCs w:val="18"/>
              </w:rPr>
            </w:pPr>
            <w:r w:rsidRPr="0007651D">
              <w:rPr>
                <w:color w:val="000000"/>
                <w:sz w:val="18"/>
                <w:szCs w:val="18"/>
              </w:rPr>
              <w:t>25 075</w:t>
            </w:r>
          </w:p>
        </w:tc>
        <w:tc>
          <w:tcPr>
            <w:tcW w:w="650" w:type="pct"/>
            <w:shd w:val="clear" w:color="000000" w:fill="FFFFFF"/>
            <w:noWrap/>
            <w:vAlign w:val="center"/>
            <w:hideMark/>
          </w:tcPr>
          <w:p w14:paraId="10F9C203" w14:textId="77777777" w:rsidR="004D69BF" w:rsidRPr="0007651D" w:rsidRDefault="004D69BF" w:rsidP="000240DA">
            <w:pPr>
              <w:spacing w:line="240" w:lineRule="auto"/>
              <w:jc w:val="right"/>
              <w:rPr>
                <w:sz w:val="18"/>
                <w:szCs w:val="18"/>
              </w:rPr>
            </w:pPr>
            <w:r w:rsidRPr="0007651D">
              <w:rPr>
                <w:color w:val="000000"/>
                <w:sz w:val="18"/>
                <w:szCs w:val="18"/>
              </w:rPr>
              <w:t>0</w:t>
            </w:r>
          </w:p>
        </w:tc>
        <w:tc>
          <w:tcPr>
            <w:tcW w:w="650" w:type="pct"/>
            <w:shd w:val="clear" w:color="000000" w:fill="FFFFFF"/>
            <w:noWrap/>
            <w:vAlign w:val="center"/>
            <w:hideMark/>
          </w:tcPr>
          <w:p w14:paraId="5894AE80" w14:textId="77777777" w:rsidR="004D69BF" w:rsidRPr="0007651D" w:rsidRDefault="004D69BF" w:rsidP="000240DA">
            <w:pPr>
              <w:spacing w:line="240" w:lineRule="auto"/>
              <w:jc w:val="right"/>
              <w:rPr>
                <w:sz w:val="18"/>
                <w:szCs w:val="18"/>
              </w:rPr>
            </w:pPr>
            <w:r w:rsidRPr="0007651D">
              <w:rPr>
                <w:color w:val="000000"/>
                <w:sz w:val="18"/>
                <w:szCs w:val="18"/>
              </w:rPr>
              <w:t>719</w:t>
            </w:r>
          </w:p>
        </w:tc>
        <w:tc>
          <w:tcPr>
            <w:tcW w:w="467" w:type="pct"/>
            <w:shd w:val="clear" w:color="000000" w:fill="FFFFFF"/>
            <w:noWrap/>
            <w:vAlign w:val="center"/>
            <w:hideMark/>
          </w:tcPr>
          <w:p w14:paraId="5AF7544B" w14:textId="77777777" w:rsidR="004D69BF" w:rsidRPr="0007651D" w:rsidRDefault="004D69BF" w:rsidP="000240DA">
            <w:pPr>
              <w:spacing w:line="240" w:lineRule="auto"/>
              <w:jc w:val="right"/>
              <w:rPr>
                <w:sz w:val="18"/>
                <w:szCs w:val="18"/>
              </w:rPr>
            </w:pPr>
            <w:r w:rsidRPr="0007651D">
              <w:rPr>
                <w:color w:val="000000"/>
                <w:sz w:val="18"/>
                <w:szCs w:val="18"/>
              </w:rPr>
              <w:t>719</w:t>
            </w:r>
          </w:p>
        </w:tc>
      </w:tr>
      <w:tr w:rsidR="004D69BF" w:rsidRPr="0007651D" w14:paraId="16284036" w14:textId="77777777" w:rsidTr="001D2C2C">
        <w:trPr>
          <w:trHeight w:val="330"/>
        </w:trPr>
        <w:tc>
          <w:tcPr>
            <w:tcW w:w="2117" w:type="pct"/>
            <w:shd w:val="clear" w:color="000000" w:fill="FFFFFF"/>
            <w:vAlign w:val="center"/>
            <w:hideMark/>
          </w:tcPr>
          <w:p w14:paraId="377AEC26" w14:textId="77777777" w:rsidR="004D69BF" w:rsidRPr="0007651D" w:rsidRDefault="004D69BF" w:rsidP="000240DA">
            <w:pPr>
              <w:spacing w:line="240" w:lineRule="auto"/>
              <w:rPr>
                <w:b/>
                <w:sz w:val="18"/>
                <w:szCs w:val="18"/>
              </w:rPr>
            </w:pPr>
            <w:r w:rsidRPr="0007651D">
              <w:rPr>
                <w:b/>
                <w:bCs/>
                <w:color w:val="000000"/>
                <w:sz w:val="18"/>
                <w:szCs w:val="18"/>
              </w:rPr>
              <w:t>Štrukturálne operácie - MPSVR SR</w:t>
            </w:r>
          </w:p>
        </w:tc>
        <w:tc>
          <w:tcPr>
            <w:tcW w:w="467" w:type="pct"/>
            <w:shd w:val="clear" w:color="000000" w:fill="FFFFFF"/>
            <w:noWrap/>
            <w:vAlign w:val="center"/>
            <w:hideMark/>
          </w:tcPr>
          <w:p w14:paraId="01C236B7" w14:textId="77777777" w:rsidR="004D69BF" w:rsidRPr="0007651D" w:rsidRDefault="004D69BF" w:rsidP="000240DA">
            <w:pPr>
              <w:spacing w:line="240" w:lineRule="auto"/>
              <w:jc w:val="right"/>
              <w:rPr>
                <w:b/>
                <w:sz w:val="18"/>
                <w:szCs w:val="18"/>
              </w:rPr>
            </w:pPr>
            <w:r w:rsidRPr="0007651D">
              <w:rPr>
                <w:b/>
                <w:bCs/>
                <w:color w:val="000000"/>
                <w:sz w:val="18"/>
                <w:szCs w:val="18"/>
              </w:rPr>
              <w:t>1 188</w:t>
            </w:r>
          </w:p>
        </w:tc>
        <w:tc>
          <w:tcPr>
            <w:tcW w:w="650" w:type="pct"/>
            <w:shd w:val="clear" w:color="000000" w:fill="FFFFFF"/>
            <w:noWrap/>
            <w:vAlign w:val="center"/>
            <w:hideMark/>
          </w:tcPr>
          <w:p w14:paraId="12B9B3D8" w14:textId="77777777" w:rsidR="004D69BF" w:rsidRPr="0007651D" w:rsidRDefault="004D69BF" w:rsidP="000240DA">
            <w:pPr>
              <w:spacing w:line="240" w:lineRule="auto"/>
              <w:jc w:val="right"/>
              <w:rPr>
                <w:b/>
                <w:sz w:val="18"/>
                <w:szCs w:val="18"/>
              </w:rPr>
            </w:pPr>
            <w:r w:rsidRPr="0007651D">
              <w:rPr>
                <w:b/>
                <w:bCs/>
                <w:color w:val="000000"/>
                <w:sz w:val="18"/>
                <w:szCs w:val="18"/>
              </w:rPr>
              <w:t>25 075</w:t>
            </w:r>
          </w:p>
        </w:tc>
        <w:tc>
          <w:tcPr>
            <w:tcW w:w="650" w:type="pct"/>
            <w:shd w:val="clear" w:color="000000" w:fill="FFFFFF"/>
            <w:noWrap/>
            <w:vAlign w:val="center"/>
            <w:hideMark/>
          </w:tcPr>
          <w:p w14:paraId="79352322" w14:textId="77777777" w:rsidR="004D69BF" w:rsidRPr="0007651D" w:rsidRDefault="004D69BF" w:rsidP="000240DA">
            <w:pPr>
              <w:spacing w:line="240" w:lineRule="auto"/>
              <w:jc w:val="right"/>
              <w:rPr>
                <w:b/>
                <w:sz w:val="18"/>
                <w:szCs w:val="18"/>
              </w:rPr>
            </w:pPr>
            <w:r w:rsidRPr="0007651D">
              <w:rPr>
                <w:b/>
                <w:bCs/>
                <w:color w:val="000000"/>
                <w:sz w:val="18"/>
                <w:szCs w:val="18"/>
              </w:rPr>
              <w:t>0</w:t>
            </w:r>
          </w:p>
        </w:tc>
        <w:tc>
          <w:tcPr>
            <w:tcW w:w="650" w:type="pct"/>
            <w:shd w:val="clear" w:color="auto" w:fill="auto"/>
            <w:noWrap/>
            <w:vAlign w:val="center"/>
            <w:hideMark/>
          </w:tcPr>
          <w:p w14:paraId="0691D301" w14:textId="77777777" w:rsidR="004D69BF" w:rsidRPr="0007651D" w:rsidRDefault="004D69BF" w:rsidP="000240DA">
            <w:pPr>
              <w:spacing w:line="240" w:lineRule="auto"/>
              <w:jc w:val="right"/>
              <w:rPr>
                <w:b/>
                <w:sz w:val="18"/>
                <w:szCs w:val="18"/>
              </w:rPr>
            </w:pPr>
            <w:r w:rsidRPr="0007651D">
              <w:rPr>
                <w:b/>
                <w:bCs/>
                <w:color w:val="000000"/>
                <w:sz w:val="18"/>
                <w:szCs w:val="18"/>
              </w:rPr>
              <w:t>719</w:t>
            </w:r>
          </w:p>
        </w:tc>
        <w:tc>
          <w:tcPr>
            <w:tcW w:w="467" w:type="pct"/>
            <w:shd w:val="clear" w:color="000000" w:fill="FFFFFF"/>
            <w:noWrap/>
            <w:vAlign w:val="center"/>
            <w:hideMark/>
          </w:tcPr>
          <w:p w14:paraId="23588663" w14:textId="77777777" w:rsidR="004D69BF" w:rsidRPr="0007651D" w:rsidRDefault="004D69BF" w:rsidP="000240DA">
            <w:pPr>
              <w:spacing w:line="240" w:lineRule="auto"/>
              <w:jc w:val="right"/>
              <w:rPr>
                <w:b/>
                <w:sz w:val="18"/>
                <w:szCs w:val="18"/>
              </w:rPr>
            </w:pPr>
            <w:r w:rsidRPr="0007651D">
              <w:rPr>
                <w:b/>
                <w:bCs/>
                <w:color w:val="000000"/>
                <w:sz w:val="18"/>
                <w:szCs w:val="18"/>
              </w:rPr>
              <w:t>719</w:t>
            </w:r>
          </w:p>
        </w:tc>
      </w:tr>
      <w:tr w:rsidR="004D69BF" w:rsidRPr="0007651D" w14:paraId="3402A0AE" w14:textId="77777777" w:rsidTr="001D2C2C">
        <w:trPr>
          <w:trHeight w:val="330"/>
        </w:trPr>
        <w:tc>
          <w:tcPr>
            <w:tcW w:w="2117" w:type="pct"/>
            <w:shd w:val="clear" w:color="000000" w:fill="FFFFFF"/>
            <w:vAlign w:val="center"/>
          </w:tcPr>
          <w:p w14:paraId="21340C98" w14:textId="77777777" w:rsidR="004D69BF" w:rsidRPr="0007651D" w:rsidRDefault="004D69BF" w:rsidP="000240DA">
            <w:pPr>
              <w:spacing w:line="240" w:lineRule="auto"/>
              <w:rPr>
                <w:sz w:val="18"/>
                <w:szCs w:val="18"/>
              </w:rPr>
            </w:pPr>
            <w:r w:rsidRPr="0007651D">
              <w:rPr>
                <w:color w:val="000000"/>
                <w:sz w:val="18"/>
                <w:szCs w:val="18"/>
              </w:rPr>
              <w:t>Fondy pre oblasť vnútorných záležitostí 2021-2027</w:t>
            </w:r>
          </w:p>
        </w:tc>
        <w:tc>
          <w:tcPr>
            <w:tcW w:w="467" w:type="pct"/>
            <w:shd w:val="clear" w:color="000000" w:fill="FFFFFF"/>
            <w:noWrap/>
            <w:vAlign w:val="center"/>
          </w:tcPr>
          <w:p w14:paraId="64D3E6CD" w14:textId="77777777" w:rsidR="004D69BF" w:rsidRPr="0007651D" w:rsidRDefault="004D69BF" w:rsidP="000240DA">
            <w:pPr>
              <w:spacing w:line="240" w:lineRule="auto"/>
              <w:jc w:val="right"/>
              <w:rPr>
                <w:sz w:val="18"/>
                <w:szCs w:val="18"/>
              </w:rPr>
            </w:pPr>
            <w:r w:rsidRPr="0007651D">
              <w:rPr>
                <w:color w:val="000000"/>
                <w:sz w:val="18"/>
                <w:szCs w:val="18"/>
              </w:rPr>
              <w:t>0</w:t>
            </w:r>
          </w:p>
        </w:tc>
        <w:tc>
          <w:tcPr>
            <w:tcW w:w="650" w:type="pct"/>
            <w:shd w:val="clear" w:color="000000" w:fill="FFFFFF"/>
            <w:noWrap/>
            <w:vAlign w:val="center"/>
          </w:tcPr>
          <w:p w14:paraId="304A4088" w14:textId="77777777" w:rsidR="004D69BF" w:rsidRPr="0007651D" w:rsidRDefault="004D69BF" w:rsidP="000240DA">
            <w:pPr>
              <w:spacing w:line="240" w:lineRule="auto"/>
              <w:jc w:val="right"/>
              <w:rPr>
                <w:sz w:val="18"/>
                <w:szCs w:val="18"/>
              </w:rPr>
            </w:pPr>
            <w:r w:rsidRPr="0007651D">
              <w:rPr>
                <w:color w:val="000000"/>
                <w:sz w:val="18"/>
                <w:szCs w:val="18"/>
              </w:rPr>
              <w:t>0</w:t>
            </w:r>
          </w:p>
        </w:tc>
        <w:tc>
          <w:tcPr>
            <w:tcW w:w="650" w:type="pct"/>
            <w:shd w:val="clear" w:color="000000" w:fill="FFFFFF"/>
            <w:noWrap/>
            <w:vAlign w:val="center"/>
          </w:tcPr>
          <w:p w14:paraId="2B9A7720" w14:textId="77777777" w:rsidR="004D69BF" w:rsidRPr="0007651D" w:rsidRDefault="004D69BF" w:rsidP="000240DA">
            <w:pPr>
              <w:spacing w:line="240" w:lineRule="auto"/>
              <w:jc w:val="right"/>
              <w:rPr>
                <w:sz w:val="18"/>
                <w:szCs w:val="18"/>
              </w:rPr>
            </w:pPr>
            <w:r w:rsidRPr="0007651D">
              <w:rPr>
                <w:color w:val="000000"/>
                <w:sz w:val="18"/>
                <w:szCs w:val="18"/>
              </w:rPr>
              <w:t>9 333</w:t>
            </w:r>
          </w:p>
        </w:tc>
        <w:tc>
          <w:tcPr>
            <w:tcW w:w="650" w:type="pct"/>
            <w:shd w:val="clear" w:color="auto" w:fill="auto"/>
            <w:noWrap/>
            <w:vAlign w:val="center"/>
          </w:tcPr>
          <w:p w14:paraId="5FD8D8AB" w14:textId="77777777" w:rsidR="004D69BF" w:rsidRPr="0007651D" w:rsidRDefault="004D69BF" w:rsidP="000240DA">
            <w:pPr>
              <w:spacing w:line="240" w:lineRule="auto"/>
              <w:jc w:val="right"/>
              <w:rPr>
                <w:sz w:val="18"/>
                <w:szCs w:val="18"/>
              </w:rPr>
            </w:pPr>
            <w:r w:rsidRPr="0007651D">
              <w:rPr>
                <w:color w:val="000000"/>
                <w:sz w:val="18"/>
                <w:szCs w:val="18"/>
              </w:rPr>
              <w:t>1 176</w:t>
            </w:r>
          </w:p>
        </w:tc>
        <w:tc>
          <w:tcPr>
            <w:tcW w:w="467" w:type="pct"/>
            <w:shd w:val="clear" w:color="000000" w:fill="FFFFFF"/>
            <w:noWrap/>
            <w:vAlign w:val="center"/>
          </w:tcPr>
          <w:p w14:paraId="1CFD145B" w14:textId="77777777" w:rsidR="004D69BF" w:rsidRPr="0007651D" w:rsidRDefault="004D69BF" w:rsidP="000240DA">
            <w:pPr>
              <w:spacing w:line="240" w:lineRule="auto"/>
              <w:jc w:val="right"/>
              <w:rPr>
                <w:sz w:val="18"/>
                <w:szCs w:val="18"/>
              </w:rPr>
            </w:pPr>
            <w:r w:rsidRPr="0007651D">
              <w:rPr>
                <w:color w:val="000000"/>
                <w:sz w:val="18"/>
                <w:szCs w:val="18"/>
              </w:rPr>
              <w:t>-8 157</w:t>
            </w:r>
          </w:p>
        </w:tc>
      </w:tr>
      <w:tr w:rsidR="004D69BF" w:rsidRPr="0007651D" w14:paraId="2C5C856A" w14:textId="77777777" w:rsidTr="001D2C2C">
        <w:trPr>
          <w:trHeight w:val="330"/>
        </w:trPr>
        <w:tc>
          <w:tcPr>
            <w:tcW w:w="2117" w:type="pct"/>
            <w:shd w:val="clear" w:color="000000" w:fill="FFFFFF"/>
            <w:vAlign w:val="center"/>
          </w:tcPr>
          <w:p w14:paraId="63DB00D6" w14:textId="77777777" w:rsidR="004D69BF" w:rsidRPr="0007651D" w:rsidRDefault="004D69BF" w:rsidP="000240DA">
            <w:pPr>
              <w:spacing w:line="240" w:lineRule="auto"/>
              <w:rPr>
                <w:b/>
                <w:sz w:val="18"/>
                <w:szCs w:val="18"/>
              </w:rPr>
            </w:pPr>
            <w:r w:rsidRPr="0007651D">
              <w:rPr>
                <w:b/>
                <w:bCs/>
                <w:color w:val="000000"/>
                <w:sz w:val="18"/>
                <w:szCs w:val="18"/>
              </w:rPr>
              <w:t>Štrukturálne operácie - MV SR</w:t>
            </w:r>
          </w:p>
        </w:tc>
        <w:tc>
          <w:tcPr>
            <w:tcW w:w="467" w:type="pct"/>
            <w:shd w:val="clear" w:color="000000" w:fill="FFFFFF"/>
            <w:noWrap/>
            <w:vAlign w:val="center"/>
          </w:tcPr>
          <w:p w14:paraId="63BBF279" w14:textId="77777777" w:rsidR="004D69BF" w:rsidRPr="0007651D" w:rsidRDefault="004D69BF" w:rsidP="000240DA">
            <w:pPr>
              <w:spacing w:line="240" w:lineRule="auto"/>
              <w:jc w:val="right"/>
              <w:rPr>
                <w:b/>
                <w:sz w:val="18"/>
                <w:szCs w:val="18"/>
              </w:rPr>
            </w:pPr>
            <w:r w:rsidRPr="0007651D">
              <w:rPr>
                <w:b/>
                <w:bCs/>
                <w:color w:val="000000"/>
                <w:sz w:val="18"/>
                <w:szCs w:val="18"/>
              </w:rPr>
              <w:t>0</w:t>
            </w:r>
          </w:p>
        </w:tc>
        <w:tc>
          <w:tcPr>
            <w:tcW w:w="650" w:type="pct"/>
            <w:shd w:val="clear" w:color="000000" w:fill="FFFFFF"/>
            <w:noWrap/>
            <w:vAlign w:val="center"/>
          </w:tcPr>
          <w:p w14:paraId="3C51F8E7" w14:textId="77777777" w:rsidR="004D69BF" w:rsidRPr="0007651D" w:rsidRDefault="004D69BF" w:rsidP="000240DA">
            <w:pPr>
              <w:spacing w:line="240" w:lineRule="auto"/>
              <w:jc w:val="right"/>
              <w:rPr>
                <w:b/>
                <w:sz w:val="18"/>
                <w:szCs w:val="18"/>
              </w:rPr>
            </w:pPr>
            <w:r w:rsidRPr="0007651D">
              <w:rPr>
                <w:b/>
                <w:bCs/>
                <w:color w:val="000000"/>
                <w:sz w:val="18"/>
                <w:szCs w:val="18"/>
              </w:rPr>
              <w:t>0</w:t>
            </w:r>
          </w:p>
        </w:tc>
        <w:tc>
          <w:tcPr>
            <w:tcW w:w="650" w:type="pct"/>
            <w:shd w:val="clear" w:color="000000" w:fill="FFFFFF"/>
            <w:noWrap/>
            <w:vAlign w:val="center"/>
          </w:tcPr>
          <w:p w14:paraId="2FC693CE" w14:textId="77777777" w:rsidR="004D69BF" w:rsidRPr="0007651D" w:rsidRDefault="004D69BF" w:rsidP="000240DA">
            <w:pPr>
              <w:spacing w:line="240" w:lineRule="auto"/>
              <w:jc w:val="right"/>
              <w:rPr>
                <w:b/>
                <w:sz w:val="18"/>
                <w:szCs w:val="18"/>
              </w:rPr>
            </w:pPr>
            <w:r w:rsidRPr="0007651D">
              <w:rPr>
                <w:b/>
                <w:bCs/>
                <w:color w:val="000000"/>
                <w:sz w:val="18"/>
                <w:szCs w:val="18"/>
              </w:rPr>
              <w:t>9 333</w:t>
            </w:r>
          </w:p>
        </w:tc>
        <w:tc>
          <w:tcPr>
            <w:tcW w:w="650" w:type="pct"/>
            <w:shd w:val="clear" w:color="auto" w:fill="auto"/>
            <w:noWrap/>
            <w:vAlign w:val="center"/>
          </w:tcPr>
          <w:p w14:paraId="7021102A" w14:textId="77777777" w:rsidR="004D69BF" w:rsidRPr="0007651D" w:rsidRDefault="004D69BF" w:rsidP="000240DA">
            <w:pPr>
              <w:spacing w:line="240" w:lineRule="auto"/>
              <w:jc w:val="right"/>
              <w:rPr>
                <w:b/>
                <w:sz w:val="18"/>
                <w:szCs w:val="18"/>
              </w:rPr>
            </w:pPr>
            <w:r w:rsidRPr="0007651D">
              <w:rPr>
                <w:b/>
                <w:bCs/>
                <w:color w:val="000000"/>
                <w:sz w:val="18"/>
                <w:szCs w:val="18"/>
              </w:rPr>
              <w:t>1 176</w:t>
            </w:r>
          </w:p>
        </w:tc>
        <w:tc>
          <w:tcPr>
            <w:tcW w:w="467" w:type="pct"/>
            <w:shd w:val="clear" w:color="000000" w:fill="FFFFFF"/>
            <w:noWrap/>
            <w:vAlign w:val="center"/>
          </w:tcPr>
          <w:p w14:paraId="3F75FC4A" w14:textId="77777777" w:rsidR="004D69BF" w:rsidRPr="0007651D" w:rsidRDefault="004D69BF" w:rsidP="000240DA">
            <w:pPr>
              <w:spacing w:line="240" w:lineRule="auto"/>
              <w:jc w:val="right"/>
              <w:rPr>
                <w:b/>
                <w:sz w:val="18"/>
                <w:szCs w:val="18"/>
              </w:rPr>
            </w:pPr>
            <w:r w:rsidRPr="0007651D">
              <w:rPr>
                <w:b/>
                <w:bCs/>
                <w:color w:val="000000"/>
                <w:sz w:val="18"/>
                <w:szCs w:val="18"/>
              </w:rPr>
              <w:t>-8 157</w:t>
            </w:r>
          </w:p>
        </w:tc>
      </w:tr>
      <w:tr w:rsidR="004D69BF" w:rsidRPr="0007651D" w14:paraId="0F3EB209" w14:textId="77777777" w:rsidTr="001D2C2C">
        <w:trPr>
          <w:trHeight w:val="345"/>
        </w:trPr>
        <w:tc>
          <w:tcPr>
            <w:tcW w:w="2117" w:type="pct"/>
            <w:tcBorders>
              <w:top w:val="single" w:sz="4" w:space="0" w:color="auto"/>
              <w:bottom w:val="single" w:sz="4" w:space="0" w:color="auto"/>
            </w:tcBorders>
            <w:shd w:val="clear" w:color="000000" w:fill="FFFFFF"/>
            <w:vAlign w:val="center"/>
            <w:hideMark/>
          </w:tcPr>
          <w:p w14:paraId="747707E0" w14:textId="77777777" w:rsidR="004D69BF" w:rsidRPr="0007651D" w:rsidRDefault="004D69BF" w:rsidP="000240DA">
            <w:pPr>
              <w:rPr>
                <w:b/>
                <w:sz w:val="18"/>
                <w:szCs w:val="18"/>
              </w:rPr>
            </w:pPr>
            <w:r w:rsidRPr="0007651D">
              <w:rPr>
                <w:b/>
                <w:bCs/>
                <w:color w:val="000000"/>
                <w:sz w:val="18"/>
                <w:szCs w:val="18"/>
              </w:rPr>
              <w:t>Spolu výdavky za prostriedky EÚ</w:t>
            </w:r>
          </w:p>
        </w:tc>
        <w:tc>
          <w:tcPr>
            <w:tcW w:w="467" w:type="pct"/>
            <w:tcBorders>
              <w:top w:val="single" w:sz="4" w:space="0" w:color="auto"/>
              <w:bottom w:val="single" w:sz="4" w:space="0" w:color="auto"/>
            </w:tcBorders>
            <w:shd w:val="clear" w:color="000000" w:fill="FFFFFF"/>
            <w:noWrap/>
            <w:vAlign w:val="center"/>
            <w:hideMark/>
          </w:tcPr>
          <w:p w14:paraId="15760A73" w14:textId="77777777" w:rsidR="004D69BF" w:rsidRPr="0007651D" w:rsidRDefault="004D69BF" w:rsidP="000240DA">
            <w:pPr>
              <w:jc w:val="right"/>
              <w:rPr>
                <w:b/>
                <w:sz w:val="18"/>
                <w:szCs w:val="18"/>
              </w:rPr>
            </w:pPr>
            <w:r w:rsidRPr="0007651D">
              <w:rPr>
                <w:b/>
                <w:bCs/>
                <w:color w:val="000000"/>
                <w:sz w:val="18"/>
                <w:szCs w:val="18"/>
              </w:rPr>
              <w:t>2 203 315</w:t>
            </w:r>
          </w:p>
        </w:tc>
        <w:tc>
          <w:tcPr>
            <w:tcW w:w="650" w:type="pct"/>
            <w:tcBorders>
              <w:top w:val="single" w:sz="4" w:space="0" w:color="auto"/>
              <w:bottom w:val="single" w:sz="4" w:space="0" w:color="auto"/>
            </w:tcBorders>
            <w:shd w:val="clear" w:color="000000" w:fill="FFFFFF"/>
            <w:noWrap/>
            <w:vAlign w:val="center"/>
            <w:hideMark/>
          </w:tcPr>
          <w:p w14:paraId="6C7B8ACF" w14:textId="77777777" w:rsidR="004D69BF" w:rsidRPr="0007651D" w:rsidRDefault="004D69BF" w:rsidP="000240DA">
            <w:pPr>
              <w:jc w:val="right"/>
              <w:rPr>
                <w:b/>
                <w:sz w:val="18"/>
                <w:szCs w:val="18"/>
              </w:rPr>
            </w:pPr>
            <w:r w:rsidRPr="0007651D">
              <w:rPr>
                <w:b/>
                <w:bCs/>
                <w:color w:val="000000"/>
                <w:sz w:val="18"/>
                <w:szCs w:val="18"/>
              </w:rPr>
              <w:t>4 906 961</w:t>
            </w:r>
          </w:p>
        </w:tc>
        <w:tc>
          <w:tcPr>
            <w:tcW w:w="650" w:type="pct"/>
            <w:tcBorders>
              <w:top w:val="single" w:sz="4" w:space="0" w:color="auto"/>
              <w:bottom w:val="single" w:sz="4" w:space="0" w:color="auto"/>
            </w:tcBorders>
            <w:shd w:val="clear" w:color="auto" w:fill="auto"/>
            <w:noWrap/>
            <w:vAlign w:val="center"/>
            <w:hideMark/>
          </w:tcPr>
          <w:p w14:paraId="5A890768" w14:textId="77777777" w:rsidR="004D69BF" w:rsidRPr="0007651D" w:rsidRDefault="004D69BF" w:rsidP="000240DA">
            <w:pPr>
              <w:jc w:val="right"/>
              <w:rPr>
                <w:b/>
                <w:sz w:val="18"/>
                <w:szCs w:val="18"/>
              </w:rPr>
            </w:pPr>
            <w:r w:rsidRPr="0007651D">
              <w:rPr>
                <w:b/>
                <w:bCs/>
                <w:color w:val="000000"/>
                <w:sz w:val="18"/>
                <w:szCs w:val="18"/>
              </w:rPr>
              <w:t>1 237 239</w:t>
            </w:r>
          </w:p>
        </w:tc>
        <w:tc>
          <w:tcPr>
            <w:tcW w:w="650" w:type="pct"/>
            <w:tcBorders>
              <w:top w:val="single" w:sz="4" w:space="0" w:color="auto"/>
              <w:bottom w:val="single" w:sz="4" w:space="0" w:color="auto"/>
            </w:tcBorders>
            <w:shd w:val="clear" w:color="000000" w:fill="FFFFFF"/>
            <w:noWrap/>
            <w:vAlign w:val="center"/>
            <w:hideMark/>
          </w:tcPr>
          <w:p w14:paraId="55EE0350" w14:textId="77777777" w:rsidR="004D69BF" w:rsidRPr="0007651D" w:rsidRDefault="004D69BF" w:rsidP="000240DA">
            <w:pPr>
              <w:jc w:val="right"/>
              <w:rPr>
                <w:b/>
                <w:sz w:val="18"/>
                <w:szCs w:val="18"/>
              </w:rPr>
            </w:pPr>
            <w:r w:rsidRPr="0007651D">
              <w:rPr>
                <w:b/>
                <w:bCs/>
                <w:color w:val="000000"/>
                <w:sz w:val="18"/>
                <w:szCs w:val="18"/>
              </w:rPr>
              <w:t>3 009 658</w:t>
            </w:r>
          </w:p>
        </w:tc>
        <w:tc>
          <w:tcPr>
            <w:tcW w:w="467" w:type="pct"/>
            <w:tcBorders>
              <w:top w:val="single" w:sz="4" w:space="0" w:color="auto"/>
              <w:bottom w:val="single" w:sz="4" w:space="0" w:color="auto"/>
            </w:tcBorders>
            <w:shd w:val="clear" w:color="000000" w:fill="FFFFFF"/>
            <w:noWrap/>
            <w:vAlign w:val="center"/>
            <w:hideMark/>
          </w:tcPr>
          <w:p w14:paraId="2701E86F" w14:textId="77777777" w:rsidR="004D69BF" w:rsidRPr="0007651D" w:rsidRDefault="004D69BF" w:rsidP="000240DA">
            <w:pPr>
              <w:jc w:val="right"/>
              <w:rPr>
                <w:b/>
                <w:sz w:val="18"/>
                <w:szCs w:val="18"/>
              </w:rPr>
            </w:pPr>
            <w:r w:rsidRPr="0007651D">
              <w:rPr>
                <w:b/>
                <w:bCs/>
                <w:color w:val="000000"/>
                <w:sz w:val="18"/>
                <w:szCs w:val="18"/>
              </w:rPr>
              <w:t>1 772 419</w:t>
            </w:r>
          </w:p>
        </w:tc>
      </w:tr>
    </w:tbl>
    <w:p w14:paraId="7340B039" w14:textId="54B2E60E" w:rsidR="004D69BF" w:rsidRPr="00072CDB" w:rsidRDefault="00B27E03" w:rsidP="004D69BF">
      <w:pPr>
        <w:jc w:val="right"/>
        <w:rPr>
          <w:sz w:val="18"/>
          <w:szCs w:val="18"/>
        </w:rPr>
      </w:pPr>
      <w:r>
        <w:rPr>
          <w:sz w:val="18"/>
          <w:szCs w:val="18"/>
        </w:rPr>
        <w:t>Zdroj: MF SR</w:t>
      </w:r>
    </w:p>
    <w:p w14:paraId="13B57A50" w14:textId="7A6602B5" w:rsidR="004D69BF" w:rsidRPr="0007651D" w:rsidRDefault="004D69BF" w:rsidP="00072CDB">
      <w:pPr>
        <w:tabs>
          <w:tab w:val="left" w:pos="284"/>
        </w:tabs>
        <w:spacing w:line="240" w:lineRule="auto"/>
        <w:rPr>
          <w:b/>
          <w:sz w:val="24"/>
          <w:szCs w:val="24"/>
        </w:rPr>
      </w:pPr>
      <w:r w:rsidRPr="0007651D">
        <w:rPr>
          <w:b/>
          <w:sz w:val="24"/>
          <w:szCs w:val="24"/>
        </w:rPr>
        <w:t>Výd</w:t>
      </w:r>
      <w:r w:rsidR="005C0285">
        <w:rPr>
          <w:b/>
          <w:sz w:val="24"/>
          <w:szCs w:val="24"/>
        </w:rPr>
        <w:t>avky na spolufinancovanie zo ŠR</w:t>
      </w:r>
    </w:p>
    <w:p w14:paraId="34220F6D" w14:textId="7B02C154" w:rsidR="004D69BF" w:rsidRPr="0007651D" w:rsidRDefault="004D69BF" w:rsidP="004D69BF">
      <w:pPr>
        <w:spacing w:line="240" w:lineRule="auto"/>
        <w:rPr>
          <w:sz w:val="24"/>
          <w:szCs w:val="24"/>
        </w:rPr>
      </w:pPr>
      <w:r w:rsidRPr="0007651D">
        <w:rPr>
          <w:sz w:val="24"/>
          <w:szCs w:val="24"/>
        </w:rPr>
        <w:t>Schválený rozpočet výdavkov na spolufinancovanie zo ŠR na rok 2024 bol vo</w:t>
      </w:r>
      <w:r w:rsidR="005C0285">
        <w:rPr>
          <w:sz w:val="24"/>
          <w:szCs w:val="24"/>
        </w:rPr>
        <w:t> </w:t>
      </w:r>
      <w:r w:rsidRPr="0007651D">
        <w:rPr>
          <w:sz w:val="24"/>
          <w:szCs w:val="24"/>
        </w:rPr>
        <w:t xml:space="preserve">výške </w:t>
      </w:r>
      <w:r w:rsidRPr="0007651D">
        <w:rPr>
          <w:b/>
          <w:bCs/>
          <w:sz w:val="24"/>
          <w:szCs w:val="24"/>
        </w:rPr>
        <w:t>325</w:t>
      </w:r>
      <w:r w:rsidR="005C0285">
        <w:rPr>
          <w:b/>
          <w:bCs/>
          <w:sz w:val="24"/>
          <w:szCs w:val="24"/>
        </w:rPr>
        <w:t> </w:t>
      </w:r>
      <w:r w:rsidRPr="0007651D">
        <w:rPr>
          <w:b/>
          <w:bCs/>
          <w:sz w:val="24"/>
          <w:szCs w:val="24"/>
        </w:rPr>
        <w:t>208</w:t>
      </w:r>
      <w:r w:rsidR="005C0285">
        <w:rPr>
          <w:b/>
          <w:bCs/>
          <w:sz w:val="24"/>
          <w:szCs w:val="24"/>
        </w:rPr>
        <w:t> </w:t>
      </w:r>
      <w:r w:rsidRPr="0007651D">
        <w:rPr>
          <w:b/>
          <w:bCs/>
          <w:sz w:val="24"/>
          <w:szCs w:val="24"/>
        </w:rPr>
        <w:t>tis.</w:t>
      </w:r>
      <w:r w:rsidR="005C0285">
        <w:rPr>
          <w:b/>
          <w:bCs/>
          <w:sz w:val="24"/>
          <w:szCs w:val="24"/>
        </w:rPr>
        <w:t> </w:t>
      </w:r>
      <w:r w:rsidRPr="0007651D">
        <w:rPr>
          <w:b/>
          <w:bCs/>
          <w:sz w:val="24"/>
          <w:szCs w:val="24"/>
        </w:rPr>
        <w:t xml:space="preserve">eur </w:t>
      </w:r>
      <w:r w:rsidRPr="0007651D">
        <w:rPr>
          <w:sz w:val="24"/>
          <w:szCs w:val="24"/>
        </w:rPr>
        <w:t>(z toho prostriedky na spolufinancova</w:t>
      </w:r>
      <w:r w:rsidR="005C0285">
        <w:rPr>
          <w:sz w:val="24"/>
          <w:szCs w:val="24"/>
        </w:rPr>
        <w:t>nie zo ŠR k  prostriedkom EÚ vo </w:t>
      </w:r>
      <w:r w:rsidRPr="0007651D">
        <w:rPr>
          <w:sz w:val="24"/>
          <w:szCs w:val="24"/>
        </w:rPr>
        <w:t>výške 300</w:t>
      </w:r>
      <w:r w:rsidR="005C0285">
        <w:rPr>
          <w:sz w:val="24"/>
          <w:szCs w:val="24"/>
        </w:rPr>
        <w:t> </w:t>
      </w:r>
      <w:r w:rsidRPr="0007651D">
        <w:rPr>
          <w:sz w:val="24"/>
          <w:szCs w:val="24"/>
        </w:rPr>
        <w:t>779</w:t>
      </w:r>
      <w:r w:rsidR="005C0285">
        <w:rPr>
          <w:sz w:val="24"/>
          <w:szCs w:val="24"/>
        </w:rPr>
        <w:t> </w:t>
      </w:r>
      <w:r w:rsidRPr="0007651D">
        <w:rPr>
          <w:sz w:val="24"/>
          <w:szCs w:val="24"/>
        </w:rPr>
        <w:t>tis.</w:t>
      </w:r>
      <w:r w:rsidR="005C0285">
        <w:rPr>
          <w:sz w:val="24"/>
          <w:szCs w:val="24"/>
        </w:rPr>
        <w:t> </w:t>
      </w:r>
      <w:r w:rsidRPr="0007651D">
        <w:rPr>
          <w:sz w:val="24"/>
          <w:szCs w:val="24"/>
        </w:rPr>
        <w:t>eur, prostriedky na spolufinancovanie k zahraničným grantom z </w:t>
      </w:r>
      <w:r w:rsidR="005C0285">
        <w:rPr>
          <w:sz w:val="24"/>
          <w:szCs w:val="24"/>
        </w:rPr>
        <w:t>prostriedkov EÚ vo výške 18 246 </w:t>
      </w:r>
      <w:r w:rsidRPr="0007651D">
        <w:rPr>
          <w:sz w:val="24"/>
          <w:szCs w:val="24"/>
        </w:rPr>
        <w:t>tis.</w:t>
      </w:r>
      <w:r w:rsidR="005C0285">
        <w:rPr>
          <w:sz w:val="24"/>
          <w:szCs w:val="24"/>
        </w:rPr>
        <w:t> </w:t>
      </w:r>
      <w:r w:rsidRPr="0007651D">
        <w:rPr>
          <w:sz w:val="24"/>
          <w:szCs w:val="24"/>
        </w:rPr>
        <w:t>eur, zahraničným grantom poskytnutým na základe medzinárodných zmlúv vo výške 6</w:t>
      </w:r>
      <w:r w:rsidR="005C0285">
        <w:rPr>
          <w:sz w:val="24"/>
          <w:szCs w:val="24"/>
        </w:rPr>
        <w:t> </w:t>
      </w:r>
      <w:r w:rsidRPr="0007651D">
        <w:rPr>
          <w:sz w:val="24"/>
          <w:szCs w:val="24"/>
        </w:rPr>
        <w:t>133</w:t>
      </w:r>
      <w:r w:rsidR="005C0285">
        <w:rPr>
          <w:sz w:val="24"/>
          <w:szCs w:val="24"/>
        </w:rPr>
        <w:t> </w:t>
      </w:r>
      <w:r w:rsidRPr="0007651D">
        <w:rPr>
          <w:sz w:val="24"/>
          <w:szCs w:val="24"/>
        </w:rPr>
        <w:t>tis.</w:t>
      </w:r>
      <w:r w:rsidR="005C0285">
        <w:rPr>
          <w:sz w:val="24"/>
          <w:szCs w:val="24"/>
        </w:rPr>
        <w:t> </w:t>
      </w:r>
      <w:r w:rsidRPr="0007651D">
        <w:rPr>
          <w:sz w:val="24"/>
          <w:szCs w:val="24"/>
        </w:rPr>
        <w:t>eur a prostriedky na spolufinancovanie</w:t>
      </w:r>
      <w:r w:rsidR="005C0285">
        <w:rPr>
          <w:sz w:val="24"/>
          <w:szCs w:val="24"/>
        </w:rPr>
        <w:t xml:space="preserve"> vnútorných politík vo výške 50 </w:t>
      </w:r>
      <w:r w:rsidRPr="0007651D">
        <w:rPr>
          <w:sz w:val="24"/>
          <w:szCs w:val="24"/>
        </w:rPr>
        <w:t>tis.</w:t>
      </w:r>
      <w:r w:rsidR="005C0285">
        <w:rPr>
          <w:sz w:val="24"/>
          <w:szCs w:val="24"/>
        </w:rPr>
        <w:t> </w:t>
      </w:r>
      <w:r w:rsidRPr="0007651D">
        <w:rPr>
          <w:sz w:val="24"/>
          <w:szCs w:val="24"/>
        </w:rPr>
        <w:t xml:space="preserve">eur). </w:t>
      </w:r>
    </w:p>
    <w:p w14:paraId="19B6A390" w14:textId="6965490C" w:rsidR="004D69BF" w:rsidRPr="0007651D" w:rsidRDefault="004D69BF" w:rsidP="004D69BF">
      <w:pPr>
        <w:spacing w:line="240" w:lineRule="auto"/>
        <w:rPr>
          <w:sz w:val="24"/>
          <w:szCs w:val="24"/>
        </w:rPr>
      </w:pPr>
      <w:r w:rsidRPr="0007651D">
        <w:rPr>
          <w:sz w:val="24"/>
          <w:szCs w:val="24"/>
        </w:rPr>
        <w:t xml:space="preserve">Rozpočet výdavkov na spolufinancovanie zo </w:t>
      </w:r>
      <w:r w:rsidR="005C0285">
        <w:rPr>
          <w:sz w:val="24"/>
          <w:szCs w:val="24"/>
        </w:rPr>
        <w:t>ŠR  bol v roku 2024 upravený na </w:t>
      </w:r>
      <w:r w:rsidRPr="0007651D">
        <w:rPr>
          <w:sz w:val="24"/>
          <w:szCs w:val="24"/>
        </w:rPr>
        <w:t xml:space="preserve">úroveň </w:t>
      </w:r>
      <w:r w:rsidR="005C0285">
        <w:rPr>
          <w:b/>
          <w:bCs/>
          <w:sz w:val="24"/>
          <w:szCs w:val="24"/>
        </w:rPr>
        <w:t>538 590 tis. </w:t>
      </w:r>
      <w:r w:rsidRPr="0007651D">
        <w:rPr>
          <w:b/>
          <w:bCs/>
          <w:sz w:val="24"/>
          <w:szCs w:val="24"/>
        </w:rPr>
        <w:t>eur</w:t>
      </w:r>
      <w:r w:rsidRPr="0007651D">
        <w:rPr>
          <w:sz w:val="24"/>
          <w:szCs w:val="24"/>
        </w:rPr>
        <w:t xml:space="preserve"> (z toho prostriedky na spolufinancovanie zo ŠR k  prostriedkom EÚ vo</w:t>
      </w:r>
      <w:r w:rsidR="005C0285">
        <w:rPr>
          <w:sz w:val="24"/>
          <w:szCs w:val="24"/>
        </w:rPr>
        <w:t> výške 523 084 tis. </w:t>
      </w:r>
      <w:r w:rsidRPr="0007651D">
        <w:rPr>
          <w:sz w:val="24"/>
          <w:szCs w:val="24"/>
        </w:rPr>
        <w:t>eur, prostriedky na spolufinancovanie k zahraničným grantom z prostriedkov EÚ vo</w:t>
      </w:r>
      <w:r w:rsidR="005C0285">
        <w:rPr>
          <w:sz w:val="24"/>
          <w:szCs w:val="24"/>
        </w:rPr>
        <w:t> výške 9 039 </w:t>
      </w:r>
      <w:r w:rsidRPr="0007651D">
        <w:rPr>
          <w:sz w:val="24"/>
          <w:szCs w:val="24"/>
        </w:rPr>
        <w:t>tis.</w:t>
      </w:r>
      <w:r w:rsidR="005C0285">
        <w:rPr>
          <w:sz w:val="24"/>
          <w:szCs w:val="24"/>
        </w:rPr>
        <w:t> </w:t>
      </w:r>
      <w:r w:rsidRPr="0007651D">
        <w:rPr>
          <w:sz w:val="24"/>
          <w:szCs w:val="24"/>
        </w:rPr>
        <w:t>eur a zahraničným grantom poskytnutým na základe medzinárodných zmlúv vo výške 6</w:t>
      </w:r>
      <w:r w:rsidR="005C0285">
        <w:rPr>
          <w:sz w:val="24"/>
          <w:szCs w:val="24"/>
        </w:rPr>
        <w:t> </w:t>
      </w:r>
      <w:r w:rsidRPr="0007651D">
        <w:rPr>
          <w:sz w:val="24"/>
          <w:szCs w:val="24"/>
        </w:rPr>
        <w:t>442</w:t>
      </w:r>
      <w:r w:rsidR="005C0285">
        <w:rPr>
          <w:sz w:val="24"/>
          <w:szCs w:val="24"/>
        </w:rPr>
        <w:t> </w:t>
      </w:r>
      <w:r w:rsidRPr="0007651D">
        <w:rPr>
          <w:sz w:val="24"/>
          <w:szCs w:val="24"/>
        </w:rPr>
        <w:t>tis.</w:t>
      </w:r>
      <w:r w:rsidR="005C0285">
        <w:rPr>
          <w:sz w:val="24"/>
          <w:szCs w:val="24"/>
        </w:rPr>
        <w:t> </w:t>
      </w:r>
      <w:r w:rsidRPr="0007651D">
        <w:rPr>
          <w:sz w:val="24"/>
          <w:szCs w:val="24"/>
        </w:rPr>
        <w:t>eur a prostriedky na spolufinancovanie vnút</w:t>
      </w:r>
      <w:r w:rsidR="005C0285">
        <w:rPr>
          <w:sz w:val="24"/>
          <w:szCs w:val="24"/>
        </w:rPr>
        <w:t>orných politík vo výške 25 tis. </w:t>
      </w:r>
      <w:r w:rsidRPr="0007651D">
        <w:rPr>
          <w:sz w:val="24"/>
          <w:szCs w:val="24"/>
        </w:rPr>
        <w:t>eur).</w:t>
      </w:r>
    </w:p>
    <w:p w14:paraId="0EAD926C" w14:textId="7D18773F" w:rsidR="004D69BF" w:rsidRPr="0007651D" w:rsidRDefault="004D69BF" w:rsidP="004D69BF">
      <w:pPr>
        <w:spacing w:line="240" w:lineRule="auto"/>
        <w:rPr>
          <w:sz w:val="24"/>
          <w:szCs w:val="24"/>
        </w:rPr>
      </w:pPr>
      <w:r w:rsidRPr="0007651D">
        <w:rPr>
          <w:sz w:val="24"/>
          <w:szCs w:val="24"/>
        </w:rPr>
        <w:t xml:space="preserve">Skutočné čerpanie výdavkov na spolufinancovanie zo ŠR bolo vo výške </w:t>
      </w:r>
      <w:r w:rsidRPr="0007651D">
        <w:rPr>
          <w:b/>
          <w:bCs/>
          <w:sz w:val="24"/>
          <w:szCs w:val="24"/>
        </w:rPr>
        <w:t>538</w:t>
      </w:r>
      <w:r w:rsidR="005C0285">
        <w:rPr>
          <w:b/>
          <w:bCs/>
          <w:sz w:val="24"/>
          <w:szCs w:val="24"/>
        </w:rPr>
        <w:t> </w:t>
      </w:r>
      <w:r w:rsidRPr="0007651D">
        <w:rPr>
          <w:b/>
          <w:bCs/>
          <w:sz w:val="24"/>
          <w:szCs w:val="24"/>
        </w:rPr>
        <w:t>589</w:t>
      </w:r>
      <w:r w:rsidR="005C0285">
        <w:rPr>
          <w:b/>
          <w:bCs/>
          <w:sz w:val="24"/>
          <w:szCs w:val="24"/>
        </w:rPr>
        <w:t> tis. </w:t>
      </w:r>
      <w:r w:rsidRPr="0007651D">
        <w:rPr>
          <w:b/>
          <w:bCs/>
          <w:sz w:val="24"/>
          <w:szCs w:val="24"/>
        </w:rPr>
        <w:t>eur</w:t>
      </w:r>
      <w:r w:rsidRPr="0007651D">
        <w:rPr>
          <w:sz w:val="24"/>
          <w:szCs w:val="24"/>
        </w:rPr>
        <w:t xml:space="preserve"> (z toho prostriedky na spolufinancovanie zo ŠR k prostriedkom EÚ vo výške 523</w:t>
      </w:r>
      <w:r w:rsidR="005C0285">
        <w:rPr>
          <w:sz w:val="24"/>
          <w:szCs w:val="24"/>
        </w:rPr>
        <w:t> </w:t>
      </w:r>
      <w:r w:rsidRPr="0007651D">
        <w:rPr>
          <w:sz w:val="24"/>
          <w:szCs w:val="24"/>
        </w:rPr>
        <w:t>08</w:t>
      </w:r>
      <w:r w:rsidR="005C0285">
        <w:rPr>
          <w:sz w:val="24"/>
          <w:szCs w:val="24"/>
        </w:rPr>
        <w:t>3 tis. </w:t>
      </w:r>
      <w:r w:rsidRPr="0007651D">
        <w:rPr>
          <w:sz w:val="24"/>
          <w:szCs w:val="24"/>
        </w:rPr>
        <w:t>eur, prostriedky na spolufinancovanie k zahraničným grantom z</w:t>
      </w:r>
      <w:r w:rsidR="005C0285">
        <w:rPr>
          <w:sz w:val="24"/>
          <w:szCs w:val="24"/>
        </w:rPr>
        <w:t> prostriedkov EÚ vo výške 9 039 </w:t>
      </w:r>
      <w:r w:rsidRPr="0007651D">
        <w:rPr>
          <w:sz w:val="24"/>
          <w:szCs w:val="24"/>
        </w:rPr>
        <w:t>tis.</w:t>
      </w:r>
      <w:r w:rsidR="005C0285">
        <w:rPr>
          <w:sz w:val="24"/>
          <w:szCs w:val="24"/>
        </w:rPr>
        <w:t> </w:t>
      </w:r>
      <w:r w:rsidRPr="0007651D">
        <w:rPr>
          <w:sz w:val="24"/>
          <w:szCs w:val="24"/>
        </w:rPr>
        <w:t xml:space="preserve">eur a zahraničným grantom poskytnutým na </w:t>
      </w:r>
      <w:r w:rsidR="005C0285">
        <w:rPr>
          <w:sz w:val="24"/>
          <w:szCs w:val="24"/>
        </w:rPr>
        <w:t>základe medzinárodných zmlúv vo </w:t>
      </w:r>
      <w:r w:rsidRPr="0007651D">
        <w:rPr>
          <w:sz w:val="24"/>
          <w:szCs w:val="24"/>
        </w:rPr>
        <w:t>výške 6</w:t>
      </w:r>
      <w:r w:rsidR="005C0285">
        <w:rPr>
          <w:sz w:val="24"/>
          <w:szCs w:val="24"/>
        </w:rPr>
        <w:t> </w:t>
      </w:r>
      <w:r w:rsidRPr="0007651D">
        <w:rPr>
          <w:sz w:val="24"/>
          <w:szCs w:val="24"/>
        </w:rPr>
        <w:t>442</w:t>
      </w:r>
      <w:r w:rsidR="005C0285">
        <w:rPr>
          <w:sz w:val="24"/>
          <w:szCs w:val="24"/>
        </w:rPr>
        <w:t> </w:t>
      </w:r>
      <w:r w:rsidRPr="0007651D">
        <w:rPr>
          <w:sz w:val="24"/>
          <w:szCs w:val="24"/>
        </w:rPr>
        <w:t>tis.</w:t>
      </w:r>
      <w:r w:rsidR="005C0285">
        <w:rPr>
          <w:sz w:val="24"/>
          <w:szCs w:val="24"/>
        </w:rPr>
        <w:t> </w:t>
      </w:r>
      <w:r w:rsidRPr="0007651D">
        <w:rPr>
          <w:sz w:val="24"/>
          <w:szCs w:val="24"/>
        </w:rPr>
        <w:t>eur a prostriedky na spolufinancovanie vnútorných politík v s</w:t>
      </w:r>
      <w:r w:rsidR="005C0285">
        <w:rPr>
          <w:sz w:val="24"/>
          <w:szCs w:val="24"/>
        </w:rPr>
        <w:t>ume 25 </w:t>
      </w:r>
      <w:r w:rsidRPr="0007651D">
        <w:rPr>
          <w:sz w:val="24"/>
          <w:szCs w:val="24"/>
        </w:rPr>
        <w:t>tis.</w:t>
      </w:r>
      <w:r w:rsidR="005C0285">
        <w:rPr>
          <w:sz w:val="24"/>
          <w:szCs w:val="24"/>
        </w:rPr>
        <w:t> </w:t>
      </w:r>
      <w:r w:rsidRPr="0007651D">
        <w:rPr>
          <w:sz w:val="24"/>
          <w:szCs w:val="24"/>
        </w:rPr>
        <w:t>eur).</w:t>
      </w:r>
    </w:p>
    <w:p w14:paraId="379A98CF" w14:textId="104A0B95" w:rsidR="00291B58" w:rsidRDefault="00291B58" w:rsidP="00291B58">
      <w:pPr>
        <w:pStyle w:val="Popis"/>
        <w:keepNext/>
        <w:spacing w:after="120"/>
      </w:pPr>
      <w:bookmarkStart w:id="153" w:name="_Toc196313668"/>
      <w:bookmarkStart w:id="154" w:name="_Toc196389289"/>
      <w:r w:rsidRPr="00291B58">
        <w:rPr>
          <w:b/>
          <w:bCs/>
          <w:i w:val="0"/>
          <w:iCs w:val="0"/>
          <w:color w:val="5B9CD6"/>
          <w:sz w:val="20"/>
          <w:szCs w:val="20"/>
        </w:rPr>
        <w:t xml:space="preserve">Tabuľka </w:t>
      </w:r>
      <w:r w:rsidRPr="00291B58">
        <w:rPr>
          <w:b/>
          <w:bCs/>
          <w:i w:val="0"/>
          <w:iCs w:val="0"/>
          <w:color w:val="5B9CD6"/>
          <w:sz w:val="20"/>
          <w:szCs w:val="20"/>
        </w:rPr>
        <w:fldChar w:fldCharType="begin"/>
      </w:r>
      <w:r w:rsidRPr="00291B58">
        <w:rPr>
          <w:b/>
          <w:bCs/>
          <w:i w:val="0"/>
          <w:iCs w:val="0"/>
          <w:color w:val="5B9CD6"/>
          <w:sz w:val="20"/>
          <w:szCs w:val="20"/>
        </w:rPr>
        <w:instrText xml:space="preserve"> SEQ Tabuľka \* ARABIC </w:instrText>
      </w:r>
      <w:r w:rsidRPr="00291B58">
        <w:rPr>
          <w:b/>
          <w:bCs/>
          <w:i w:val="0"/>
          <w:iCs w:val="0"/>
          <w:color w:val="5B9CD6"/>
          <w:sz w:val="20"/>
          <w:szCs w:val="20"/>
        </w:rPr>
        <w:fldChar w:fldCharType="separate"/>
      </w:r>
      <w:r w:rsidR="00C64CBA">
        <w:rPr>
          <w:b/>
          <w:bCs/>
          <w:i w:val="0"/>
          <w:iCs w:val="0"/>
          <w:noProof/>
          <w:color w:val="5B9CD6"/>
          <w:sz w:val="20"/>
          <w:szCs w:val="20"/>
        </w:rPr>
        <w:t>42</w:t>
      </w:r>
      <w:r w:rsidRPr="00291B58">
        <w:rPr>
          <w:b/>
          <w:bCs/>
          <w:i w:val="0"/>
          <w:iCs w:val="0"/>
          <w:color w:val="5B9CD6"/>
          <w:sz w:val="20"/>
          <w:szCs w:val="20"/>
        </w:rPr>
        <w:fldChar w:fldCharType="end"/>
      </w:r>
      <w:r w:rsidRPr="00291B58">
        <w:rPr>
          <w:b/>
          <w:bCs/>
          <w:i w:val="0"/>
          <w:iCs w:val="0"/>
          <w:color w:val="5B9CD6"/>
          <w:sz w:val="20"/>
          <w:szCs w:val="20"/>
        </w:rPr>
        <w:t xml:space="preserve"> - Celkový prehľad spolufin</w:t>
      </w:r>
      <w:r w:rsidR="00FA5A1C">
        <w:rPr>
          <w:b/>
          <w:bCs/>
          <w:i w:val="0"/>
          <w:iCs w:val="0"/>
          <w:color w:val="5B9CD6"/>
          <w:sz w:val="20"/>
          <w:szCs w:val="20"/>
        </w:rPr>
        <w:t>.</w:t>
      </w:r>
      <w:r w:rsidRPr="00291B58">
        <w:rPr>
          <w:b/>
          <w:bCs/>
          <w:i w:val="0"/>
          <w:iCs w:val="0"/>
          <w:color w:val="5B9CD6"/>
          <w:sz w:val="20"/>
          <w:szCs w:val="20"/>
        </w:rPr>
        <w:t xml:space="preserve"> zo ŠR vrátane vnútorných politík EÚ</w:t>
      </w:r>
      <w:bookmarkEnd w:id="153"/>
      <w:bookmarkEnd w:id="154"/>
    </w:p>
    <w:tbl>
      <w:tblPr>
        <w:tblW w:w="5000" w:type="pct"/>
        <w:tblCellMar>
          <w:left w:w="70" w:type="dxa"/>
          <w:right w:w="70" w:type="dxa"/>
        </w:tblCellMar>
        <w:tblLook w:val="04A0" w:firstRow="1" w:lastRow="0" w:firstColumn="1" w:lastColumn="0" w:noHBand="0" w:noVBand="1"/>
      </w:tblPr>
      <w:tblGrid>
        <w:gridCol w:w="3870"/>
        <w:gridCol w:w="1093"/>
        <w:gridCol w:w="1097"/>
        <w:gridCol w:w="818"/>
        <w:gridCol w:w="1189"/>
        <w:gridCol w:w="863"/>
      </w:tblGrid>
      <w:tr w:rsidR="00CA5634" w:rsidRPr="00D87E29" w14:paraId="644F73E5" w14:textId="77777777" w:rsidTr="00CA5634">
        <w:trPr>
          <w:trHeight w:val="415"/>
          <w:tblHeader/>
        </w:trPr>
        <w:tc>
          <w:tcPr>
            <w:tcW w:w="2167" w:type="pct"/>
            <w:vMerge w:val="restart"/>
            <w:tcBorders>
              <w:top w:val="single" w:sz="4" w:space="0" w:color="auto"/>
            </w:tcBorders>
            <w:shd w:val="clear" w:color="auto" w:fill="auto"/>
            <w:vAlign w:val="center"/>
            <w:hideMark/>
          </w:tcPr>
          <w:p w14:paraId="596E9AD4" w14:textId="77777777" w:rsidR="00CA5634" w:rsidRPr="00D87E29" w:rsidRDefault="00CA5634" w:rsidP="000240DA">
            <w:pPr>
              <w:spacing w:line="240" w:lineRule="auto"/>
              <w:rPr>
                <w:bCs/>
                <w:sz w:val="18"/>
                <w:szCs w:val="18"/>
              </w:rPr>
            </w:pPr>
            <w:r w:rsidRPr="00D87E29">
              <w:rPr>
                <w:b/>
                <w:bCs/>
                <w:sz w:val="18"/>
                <w:szCs w:val="18"/>
              </w:rPr>
              <w:t>v tis. eur</w:t>
            </w:r>
          </w:p>
        </w:tc>
        <w:tc>
          <w:tcPr>
            <w:tcW w:w="612" w:type="pct"/>
            <w:tcBorders>
              <w:top w:val="single" w:sz="4" w:space="0" w:color="auto"/>
            </w:tcBorders>
            <w:shd w:val="clear" w:color="auto" w:fill="auto"/>
            <w:vAlign w:val="center"/>
            <w:hideMark/>
          </w:tcPr>
          <w:p w14:paraId="03369AAD" w14:textId="77777777" w:rsidR="00CA5634" w:rsidRPr="00D87E29" w:rsidRDefault="00CA5634" w:rsidP="000240DA">
            <w:pPr>
              <w:spacing w:line="240" w:lineRule="auto"/>
              <w:jc w:val="center"/>
              <w:rPr>
                <w:b/>
                <w:bCs/>
                <w:sz w:val="18"/>
                <w:szCs w:val="18"/>
              </w:rPr>
            </w:pPr>
            <w:r w:rsidRPr="00D87E29">
              <w:rPr>
                <w:b/>
                <w:bCs/>
                <w:color w:val="000000"/>
                <w:sz w:val="18"/>
                <w:szCs w:val="18"/>
              </w:rPr>
              <w:t>2022 S</w:t>
            </w:r>
          </w:p>
        </w:tc>
        <w:tc>
          <w:tcPr>
            <w:tcW w:w="614" w:type="pct"/>
            <w:tcBorders>
              <w:top w:val="single" w:sz="4" w:space="0" w:color="auto"/>
            </w:tcBorders>
            <w:shd w:val="clear" w:color="auto" w:fill="auto"/>
            <w:vAlign w:val="center"/>
            <w:hideMark/>
          </w:tcPr>
          <w:p w14:paraId="60D88249" w14:textId="77777777" w:rsidR="00CA5634" w:rsidRPr="00D87E29" w:rsidRDefault="00CA5634" w:rsidP="000240DA">
            <w:pPr>
              <w:spacing w:line="240" w:lineRule="auto"/>
              <w:jc w:val="center"/>
              <w:rPr>
                <w:b/>
                <w:bCs/>
                <w:sz w:val="18"/>
                <w:szCs w:val="18"/>
              </w:rPr>
            </w:pPr>
            <w:r w:rsidRPr="00D87E29">
              <w:rPr>
                <w:b/>
                <w:bCs/>
                <w:color w:val="000000"/>
                <w:sz w:val="18"/>
                <w:szCs w:val="18"/>
              </w:rPr>
              <w:t>2023 S</w:t>
            </w:r>
          </w:p>
        </w:tc>
        <w:tc>
          <w:tcPr>
            <w:tcW w:w="458" w:type="pct"/>
            <w:tcBorders>
              <w:top w:val="single" w:sz="4" w:space="0" w:color="auto"/>
            </w:tcBorders>
            <w:shd w:val="clear" w:color="auto" w:fill="auto"/>
            <w:vAlign w:val="center"/>
            <w:hideMark/>
          </w:tcPr>
          <w:p w14:paraId="6D0B2780" w14:textId="77777777" w:rsidR="00CA5634" w:rsidRPr="00D87E29" w:rsidRDefault="00CA5634" w:rsidP="000240DA">
            <w:pPr>
              <w:spacing w:line="240" w:lineRule="auto"/>
              <w:jc w:val="center"/>
              <w:rPr>
                <w:b/>
                <w:bCs/>
                <w:sz w:val="18"/>
                <w:szCs w:val="18"/>
              </w:rPr>
            </w:pPr>
            <w:r w:rsidRPr="00D87E29">
              <w:rPr>
                <w:b/>
                <w:bCs/>
                <w:color w:val="000000"/>
                <w:sz w:val="18"/>
                <w:szCs w:val="18"/>
              </w:rPr>
              <w:t>2024 R</w:t>
            </w:r>
          </w:p>
        </w:tc>
        <w:tc>
          <w:tcPr>
            <w:tcW w:w="666" w:type="pct"/>
            <w:tcBorders>
              <w:top w:val="single" w:sz="4" w:space="0" w:color="auto"/>
            </w:tcBorders>
            <w:shd w:val="clear" w:color="auto" w:fill="auto"/>
            <w:vAlign w:val="center"/>
            <w:hideMark/>
          </w:tcPr>
          <w:p w14:paraId="5FF74971" w14:textId="77777777" w:rsidR="00CA5634" w:rsidRPr="00D87E29" w:rsidRDefault="00CA5634" w:rsidP="000240DA">
            <w:pPr>
              <w:spacing w:line="240" w:lineRule="auto"/>
              <w:jc w:val="center"/>
              <w:rPr>
                <w:b/>
                <w:bCs/>
                <w:sz w:val="18"/>
                <w:szCs w:val="18"/>
              </w:rPr>
            </w:pPr>
            <w:r w:rsidRPr="00D87E29">
              <w:rPr>
                <w:b/>
                <w:bCs/>
                <w:color w:val="000000"/>
                <w:sz w:val="18"/>
                <w:szCs w:val="18"/>
              </w:rPr>
              <w:t>2024 S</w:t>
            </w:r>
          </w:p>
        </w:tc>
        <w:tc>
          <w:tcPr>
            <w:tcW w:w="483" w:type="pct"/>
            <w:tcBorders>
              <w:top w:val="single" w:sz="4" w:space="0" w:color="auto"/>
            </w:tcBorders>
            <w:shd w:val="clear" w:color="auto" w:fill="auto"/>
            <w:vAlign w:val="center"/>
            <w:hideMark/>
          </w:tcPr>
          <w:p w14:paraId="2CC95C47" w14:textId="77777777" w:rsidR="00CA5634" w:rsidRPr="00D87E29" w:rsidRDefault="00CA5634" w:rsidP="000240DA">
            <w:pPr>
              <w:spacing w:line="240" w:lineRule="auto"/>
              <w:jc w:val="center"/>
              <w:rPr>
                <w:b/>
                <w:bCs/>
                <w:sz w:val="18"/>
                <w:szCs w:val="18"/>
              </w:rPr>
            </w:pPr>
            <w:r w:rsidRPr="00D87E29">
              <w:rPr>
                <w:b/>
                <w:bCs/>
                <w:color w:val="000000"/>
                <w:sz w:val="18"/>
                <w:szCs w:val="18"/>
              </w:rPr>
              <w:t>Rozdiel</w:t>
            </w:r>
          </w:p>
        </w:tc>
      </w:tr>
      <w:tr w:rsidR="00CA5634" w:rsidRPr="00D87E29" w14:paraId="72066A87" w14:textId="77777777" w:rsidTr="00CA5634">
        <w:trPr>
          <w:trHeight w:val="90"/>
          <w:tblHeader/>
        </w:trPr>
        <w:tc>
          <w:tcPr>
            <w:tcW w:w="2167" w:type="pct"/>
            <w:vMerge/>
            <w:tcBorders>
              <w:bottom w:val="single" w:sz="4" w:space="0" w:color="auto"/>
            </w:tcBorders>
            <w:shd w:val="clear" w:color="auto" w:fill="auto"/>
            <w:vAlign w:val="center"/>
          </w:tcPr>
          <w:p w14:paraId="571E07FC" w14:textId="77777777" w:rsidR="00CA5634" w:rsidRPr="00D87E29" w:rsidRDefault="00CA5634" w:rsidP="000240DA">
            <w:pPr>
              <w:spacing w:line="240" w:lineRule="auto"/>
              <w:jc w:val="center"/>
              <w:rPr>
                <w:bCs/>
                <w:sz w:val="18"/>
                <w:szCs w:val="18"/>
              </w:rPr>
            </w:pPr>
          </w:p>
        </w:tc>
        <w:tc>
          <w:tcPr>
            <w:tcW w:w="612" w:type="pct"/>
            <w:tcBorders>
              <w:bottom w:val="single" w:sz="4" w:space="0" w:color="auto"/>
            </w:tcBorders>
            <w:shd w:val="clear" w:color="auto" w:fill="auto"/>
            <w:vAlign w:val="center"/>
          </w:tcPr>
          <w:p w14:paraId="362528B0" w14:textId="77777777" w:rsidR="00CA5634" w:rsidRPr="00D87E29" w:rsidRDefault="00CA5634" w:rsidP="000240DA">
            <w:pPr>
              <w:spacing w:line="240" w:lineRule="auto"/>
              <w:jc w:val="center"/>
              <w:rPr>
                <w:b/>
                <w:bCs/>
                <w:sz w:val="18"/>
                <w:szCs w:val="18"/>
              </w:rPr>
            </w:pPr>
            <w:r w:rsidRPr="00D87E29">
              <w:rPr>
                <w:b/>
                <w:bCs/>
                <w:sz w:val="18"/>
                <w:szCs w:val="18"/>
              </w:rPr>
              <w:t>1</w:t>
            </w:r>
          </w:p>
        </w:tc>
        <w:tc>
          <w:tcPr>
            <w:tcW w:w="614" w:type="pct"/>
            <w:tcBorders>
              <w:bottom w:val="single" w:sz="4" w:space="0" w:color="auto"/>
            </w:tcBorders>
            <w:shd w:val="clear" w:color="auto" w:fill="auto"/>
            <w:vAlign w:val="center"/>
          </w:tcPr>
          <w:p w14:paraId="4A96AF1E" w14:textId="77777777" w:rsidR="00CA5634" w:rsidRPr="00D87E29" w:rsidRDefault="00CA5634" w:rsidP="000240DA">
            <w:pPr>
              <w:spacing w:line="240" w:lineRule="auto"/>
              <w:jc w:val="center"/>
              <w:rPr>
                <w:b/>
                <w:bCs/>
                <w:sz w:val="18"/>
                <w:szCs w:val="18"/>
              </w:rPr>
            </w:pPr>
            <w:r w:rsidRPr="00D87E29">
              <w:rPr>
                <w:b/>
                <w:bCs/>
                <w:sz w:val="18"/>
                <w:szCs w:val="18"/>
              </w:rPr>
              <w:t>2</w:t>
            </w:r>
          </w:p>
        </w:tc>
        <w:tc>
          <w:tcPr>
            <w:tcW w:w="458" w:type="pct"/>
            <w:tcBorders>
              <w:bottom w:val="single" w:sz="4" w:space="0" w:color="auto"/>
            </w:tcBorders>
            <w:shd w:val="clear" w:color="auto" w:fill="auto"/>
            <w:vAlign w:val="center"/>
          </w:tcPr>
          <w:p w14:paraId="11C9012C" w14:textId="77777777" w:rsidR="00CA5634" w:rsidRPr="00D87E29" w:rsidRDefault="00CA5634" w:rsidP="000240DA">
            <w:pPr>
              <w:spacing w:line="240" w:lineRule="auto"/>
              <w:jc w:val="center"/>
              <w:rPr>
                <w:b/>
                <w:bCs/>
                <w:sz w:val="18"/>
                <w:szCs w:val="18"/>
              </w:rPr>
            </w:pPr>
            <w:r w:rsidRPr="00D87E29">
              <w:rPr>
                <w:b/>
                <w:bCs/>
                <w:sz w:val="18"/>
                <w:szCs w:val="18"/>
              </w:rPr>
              <w:t>3</w:t>
            </w:r>
          </w:p>
        </w:tc>
        <w:tc>
          <w:tcPr>
            <w:tcW w:w="666" w:type="pct"/>
            <w:tcBorders>
              <w:bottom w:val="single" w:sz="4" w:space="0" w:color="auto"/>
            </w:tcBorders>
            <w:shd w:val="clear" w:color="auto" w:fill="auto"/>
            <w:vAlign w:val="center"/>
          </w:tcPr>
          <w:p w14:paraId="673E9E58" w14:textId="77777777" w:rsidR="00CA5634" w:rsidRPr="00D87E29" w:rsidRDefault="00CA5634" w:rsidP="000240DA">
            <w:pPr>
              <w:spacing w:line="240" w:lineRule="auto"/>
              <w:jc w:val="center"/>
              <w:rPr>
                <w:b/>
                <w:bCs/>
                <w:sz w:val="18"/>
                <w:szCs w:val="18"/>
              </w:rPr>
            </w:pPr>
            <w:r w:rsidRPr="00D87E29">
              <w:rPr>
                <w:b/>
                <w:bCs/>
                <w:sz w:val="18"/>
                <w:szCs w:val="18"/>
              </w:rPr>
              <w:t>4</w:t>
            </w:r>
          </w:p>
        </w:tc>
        <w:tc>
          <w:tcPr>
            <w:tcW w:w="483" w:type="pct"/>
            <w:tcBorders>
              <w:bottom w:val="single" w:sz="4" w:space="0" w:color="auto"/>
            </w:tcBorders>
            <w:shd w:val="clear" w:color="auto" w:fill="auto"/>
            <w:vAlign w:val="center"/>
          </w:tcPr>
          <w:p w14:paraId="684D79FF" w14:textId="77777777" w:rsidR="00CA5634" w:rsidRPr="00D87E29" w:rsidRDefault="00CA5634" w:rsidP="000240DA">
            <w:pPr>
              <w:spacing w:line="240" w:lineRule="auto"/>
              <w:jc w:val="center"/>
              <w:rPr>
                <w:b/>
                <w:bCs/>
                <w:sz w:val="18"/>
                <w:szCs w:val="18"/>
              </w:rPr>
            </w:pPr>
            <w:r w:rsidRPr="00D87E29">
              <w:rPr>
                <w:b/>
                <w:bCs/>
                <w:sz w:val="18"/>
                <w:szCs w:val="18"/>
              </w:rPr>
              <w:t>5=4-3</w:t>
            </w:r>
          </w:p>
        </w:tc>
      </w:tr>
      <w:tr w:rsidR="00CA5634" w:rsidRPr="00D87E29" w14:paraId="63419C8E" w14:textId="77777777" w:rsidTr="00CA5634">
        <w:trPr>
          <w:trHeight w:val="596"/>
        </w:trPr>
        <w:tc>
          <w:tcPr>
            <w:tcW w:w="2167" w:type="pct"/>
            <w:tcBorders>
              <w:top w:val="single" w:sz="4" w:space="0" w:color="auto"/>
              <w:left w:val="nil"/>
              <w:bottom w:val="nil"/>
              <w:right w:val="nil"/>
            </w:tcBorders>
            <w:shd w:val="clear" w:color="auto" w:fill="auto"/>
            <w:vAlign w:val="center"/>
            <w:hideMark/>
          </w:tcPr>
          <w:p w14:paraId="7B31BE4A" w14:textId="77777777" w:rsidR="00CA5634" w:rsidRPr="00D87E29" w:rsidRDefault="00CA5634" w:rsidP="000240DA">
            <w:pPr>
              <w:spacing w:line="240" w:lineRule="auto"/>
              <w:rPr>
                <w:sz w:val="18"/>
                <w:szCs w:val="18"/>
              </w:rPr>
            </w:pPr>
            <w:r w:rsidRPr="00D87E29">
              <w:rPr>
                <w:sz w:val="18"/>
                <w:szCs w:val="18"/>
              </w:rPr>
              <w:t>Spolufinancovanie k prostriedkom EÚ (štrukturálne operácie, poľnohospodárske fondy)</w:t>
            </w:r>
          </w:p>
        </w:tc>
        <w:tc>
          <w:tcPr>
            <w:tcW w:w="612" w:type="pct"/>
            <w:tcBorders>
              <w:top w:val="single" w:sz="4" w:space="0" w:color="auto"/>
              <w:left w:val="nil"/>
              <w:bottom w:val="nil"/>
              <w:right w:val="nil"/>
            </w:tcBorders>
            <w:shd w:val="clear" w:color="auto" w:fill="auto"/>
            <w:noWrap/>
            <w:vAlign w:val="center"/>
            <w:hideMark/>
          </w:tcPr>
          <w:p w14:paraId="3E5E29D3" w14:textId="77777777" w:rsidR="00CA5634" w:rsidRPr="00D87E29" w:rsidRDefault="00CA5634" w:rsidP="000240DA">
            <w:pPr>
              <w:spacing w:line="240" w:lineRule="auto"/>
              <w:jc w:val="right"/>
              <w:rPr>
                <w:sz w:val="18"/>
                <w:szCs w:val="18"/>
              </w:rPr>
            </w:pPr>
            <w:r w:rsidRPr="00D87E29">
              <w:rPr>
                <w:color w:val="000000"/>
                <w:sz w:val="18"/>
                <w:szCs w:val="18"/>
              </w:rPr>
              <w:t>396 427</w:t>
            </w:r>
          </w:p>
        </w:tc>
        <w:tc>
          <w:tcPr>
            <w:tcW w:w="614" w:type="pct"/>
            <w:tcBorders>
              <w:top w:val="single" w:sz="4" w:space="0" w:color="auto"/>
              <w:left w:val="nil"/>
              <w:bottom w:val="nil"/>
              <w:right w:val="nil"/>
            </w:tcBorders>
            <w:shd w:val="clear" w:color="auto" w:fill="auto"/>
            <w:noWrap/>
            <w:vAlign w:val="center"/>
            <w:hideMark/>
          </w:tcPr>
          <w:p w14:paraId="3D7750C1" w14:textId="77777777" w:rsidR="00CA5634" w:rsidRPr="00D87E29" w:rsidRDefault="00CA5634" w:rsidP="000240DA">
            <w:pPr>
              <w:spacing w:line="240" w:lineRule="auto"/>
              <w:jc w:val="right"/>
              <w:rPr>
                <w:sz w:val="18"/>
                <w:szCs w:val="18"/>
              </w:rPr>
            </w:pPr>
            <w:r w:rsidRPr="00D87E29">
              <w:rPr>
                <w:color w:val="000000"/>
                <w:sz w:val="18"/>
                <w:szCs w:val="18"/>
              </w:rPr>
              <w:t>724 210</w:t>
            </w:r>
          </w:p>
        </w:tc>
        <w:tc>
          <w:tcPr>
            <w:tcW w:w="458" w:type="pct"/>
            <w:tcBorders>
              <w:top w:val="single" w:sz="4" w:space="0" w:color="auto"/>
              <w:left w:val="nil"/>
              <w:bottom w:val="nil"/>
              <w:right w:val="nil"/>
            </w:tcBorders>
            <w:shd w:val="clear" w:color="auto" w:fill="auto"/>
            <w:noWrap/>
            <w:vAlign w:val="center"/>
            <w:hideMark/>
          </w:tcPr>
          <w:p w14:paraId="2561D26F" w14:textId="77777777" w:rsidR="00CA5634" w:rsidRPr="00D87E29" w:rsidRDefault="00CA5634" w:rsidP="000240DA">
            <w:pPr>
              <w:spacing w:line="240" w:lineRule="auto"/>
              <w:jc w:val="right"/>
              <w:rPr>
                <w:sz w:val="18"/>
                <w:szCs w:val="18"/>
              </w:rPr>
            </w:pPr>
            <w:r w:rsidRPr="00D87E29">
              <w:rPr>
                <w:color w:val="000000"/>
                <w:sz w:val="18"/>
                <w:szCs w:val="18"/>
              </w:rPr>
              <w:t>300 779</w:t>
            </w:r>
          </w:p>
        </w:tc>
        <w:tc>
          <w:tcPr>
            <w:tcW w:w="666" w:type="pct"/>
            <w:tcBorders>
              <w:top w:val="single" w:sz="4" w:space="0" w:color="auto"/>
              <w:left w:val="nil"/>
              <w:bottom w:val="nil"/>
              <w:right w:val="nil"/>
            </w:tcBorders>
            <w:shd w:val="clear" w:color="auto" w:fill="auto"/>
            <w:noWrap/>
            <w:vAlign w:val="center"/>
            <w:hideMark/>
          </w:tcPr>
          <w:p w14:paraId="34D2A964" w14:textId="77777777" w:rsidR="00CA5634" w:rsidRPr="00D87E29" w:rsidRDefault="00CA5634" w:rsidP="000240DA">
            <w:pPr>
              <w:spacing w:line="240" w:lineRule="auto"/>
              <w:jc w:val="right"/>
              <w:rPr>
                <w:sz w:val="18"/>
                <w:szCs w:val="18"/>
              </w:rPr>
            </w:pPr>
            <w:r w:rsidRPr="00D87E29">
              <w:rPr>
                <w:color w:val="000000"/>
                <w:sz w:val="18"/>
                <w:szCs w:val="18"/>
              </w:rPr>
              <w:t>523 083</w:t>
            </w:r>
          </w:p>
        </w:tc>
        <w:tc>
          <w:tcPr>
            <w:tcW w:w="483" w:type="pct"/>
            <w:tcBorders>
              <w:top w:val="single" w:sz="4" w:space="0" w:color="auto"/>
              <w:left w:val="nil"/>
              <w:bottom w:val="nil"/>
              <w:right w:val="nil"/>
            </w:tcBorders>
            <w:shd w:val="clear" w:color="auto" w:fill="auto"/>
            <w:noWrap/>
            <w:vAlign w:val="center"/>
            <w:hideMark/>
          </w:tcPr>
          <w:p w14:paraId="10B93C98" w14:textId="77777777" w:rsidR="00CA5634" w:rsidRPr="00D87E29" w:rsidRDefault="00CA5634" w:rsidP="000240DA">
            <w:pPr>
              <w:spacing w:line="240" w:lineRule="auto"/>
              <w:jc w:val="right"/>
              <w:rPr>
                <w:sz w:val="18"/>
                <w:szCs w:val="18"/>
              </w:rPr>
            </w:pPr>
            <w:r w:rsidRPr="00D87E29">
              <w:rPr>
                <w:color w:val="000000"/>
                <w:sz w:val="18"/>
                <w:szCs w:val="18"/>
              </w:rPr>
              <w:t>222 304</w:t>
            </w:r>
          </w:p>
        </w:tc>
      </w:tr>
      <w:tr w:rsidR="00CA5634" w:rsidRPr="00D87E29" w14:paraId="4167455A" w14:textId="77777777" w:rsidTr="00CA5634">
        <w:trPr>
          <w:trHeight w:val="596"/>
        </w:trPr>
        <w:tc>
          <w:tcPr>
            <w:tcW w:w="2167" w:type="pct"/>
            <w:tcBorders>
              <w:top w:val="nil"/>
              <w:left w:val="nil"/>
              <w:bottom w:val="nil"/>
              <w:right w:val="nil"/>
            </w:tcBorders>
            <w:shd w:val="clear" w:color="auto" w:fill="auto"/>
            <w:vAlign w:val="center"/>
            <w:hideMark/>
          </w:tcPr>
          <w:p w14:paraId="671FEF4A" w14:textId="77777777" w:rsidR="00CA5634" w:rsidRPr="00D87E29" w:rsidRDefault="00CA5634" w:rsidP="000240DA">
            <w:pPr>
              <w:spacing w:line="240" w:lineRule="auto"/>
              <w:rPr>
                <w:sz w:val="18"/>
                <w:szCs w:val="18"/>
              </w:rPr>
            </w:pPr>
            <w:r w:rsidRPr="00D87E29">
              <w:rPr>
                <w:sz w:val="18"/>
                <w:szCs w:val="18"/>
              </w:rPr>
              <w:t>Spolufinancovanie k zahraničným grantom z prostriedkov EÚ (EÚS, LIFE+)</w:t>
            </w:r>
          </w:p>
        </w:tc>
        <w:tc>
          <w:tcPr>
            <w:tcW w:w="612" w:type="pct"/>
            <w:tcBorders>
              <w:top w:val="nil"/>
              <w:left w:val="nil"/>
              <w:bottom w:val="nil"/>
              <w:right w:val="nil"/>
            </w:tcBorders>
            <w:shd w:val="clear" w:color="auto" w:fill="auto"/>
            <w:noWrap/>
            <w:vAlign w:val="center"/>
            <w:hideMark/>
          </w:tcPr>
          <w:p w14:paraId="4F2BE5D0" w14:textId="77777777" w:rsidR="00CA5634" w:rsidRPr="00D87E29" w:rsidRDefault="00CA5634" w:rsidP="000240DA">
            <w:pPr>
              <w:spacing w:line="240" w:lineRule="auto"/>
              <w:jc w:val="right"/>
              <w:rPr>
                <w:sz w:val="18"/>
                <w:szCs w:val="18"/>
              </w:rPr>
            </w:pPr>
            <w:r w:rsidRPr="00D87E29">
              <w:rPr>
                <w:color w:val="000000"/>
                <w:sz w:val="18"/>
                <w:szCs w:val="18"/>
              </w:rPr>
              <w:t>6 019</w:t>
            </w:r>
          </w:p>
        </w:tc>
        <w:tc>
          <w:tcPr>
            <w:tcW w:w="614" w:type="pct"/>
            <w:tcBorders>
              <w:top w:val="nil"/>
              <w:left w:val="nil"/>
              <w:bottom w:val="nil"/>
              <w:right w:val="nil"/>
            </w:tcBorders>
            <w:shd w:val="clear" w:color="auto" w:fill="auto"/>
            <w:noWrap/>
            <w:vAlign w:val="center"/>
            <w:hideMark/>
          </w:tcPr>
          <w:p w14:paraId="621C4709" w14:textId="77777777" w:rsidR="00CA5634" w:rsidRPr="00D87E29" w:rsidRDefault="00CA5634" w:rsidP="000240DA">
            <w:pPr>
              <w:spacing w:line="240" w:lineRule="auto"/>
              <w:jc w:val="right"/>
              <w:rPr>
                <w:sz w:val="18"/>
                <w:szCs w:val="18"/>
              </w:rPr>
            </w:pPr>
            <w:r w:rsidRPr="00D87E29">
              <w:rPr>
                <w:color w:val="000000"/>
                <w:sz w:val="18"/>
                <w:szCs w:val="18"/>
              </w:rPr>
              <w:t>5 677</w:t>
            </w:r>
          </w:p>
        </w:tc>
        <w:tc>
          <w:tcPr>
            <w:tcW w:w="458" w:type="pct"/>
            <w:tcBorders>
              <w:top w:val="nil"/>
              <w:left w:val="nil"/>
              <w:bottom w:val="nil"/>
              <w:right w:val="nil"/>
            </w:tcBorders>
            <w:shd w:val="clear" w:color="auto" w:fill="auto"/>
            <w:noWrap/>
            <w:vAlign w:val="center"/>
            <w:hideMark/>
          </w:tcPr>
          <w:p w14:paraId="71DE0260" w14:textId="77777777" w:rsidR="00CA5634" w:rsidRPr="00D87E29" w:rsidRDefault="00CA5634" w:rsidP="000240DA">
            <w:pPr>
              <w:spacing w:line="240" w:lineRule="auto"/>
              <w:jc w:val="right"/>
              <w:rPr>
                <w:sz w:val="18"/>
                <w:szCs w:val="18"/>
              </w:rPr>
            </w:pPr>
            <w:r w:rsidRPr="00D87E29">
              <w:rPr>
                <w:color w:val="000000"/>
                <w:sz w:val="18"/>
                <w:szCs w:val="18"/>
              </w:rPr>
              <w:t>18 246</w:t>
            </w:r>
          </w:p>
        </w:tc>
        <w:tc>
          <w:tcPr>
            <w:tcW w:w="666" w:type="pct"/>
            <w:tcBorders>
              <w:top w:val="nil"/>
              <w:left w:val="nil"/>
              <w:bottom w:val="nil"/>
              <w:right w:val="nil"/>
            </w:tcBorders>
            <w:shd w:val="clear" w:color="auto" w:fill="auto"/>
            <w:noWrap/>
            <w:vAlign w:val="center"/>
            <w:hideMark/>
          </w:tcPr>
          <w:p w14:paraId="6D0E2278" w14:textId="77777777" w:rsidR="00CA5634" w:rsidRPr="00D87E29" w:rsidRDefault="00CA5634" w:rsidP="000240DA">
            <w:pPr>
              <w:spacing w:line="240" w:lineRule="auto"/>
              <w:jc w:val="right"/>
              <w:rPr>
                <w:sz w:val="18"/>
                <w:szCs w:val="18"/>
              </w:rPr>
            </w:pPr>
            <w:r w:rsidRPr="00D87E29">
              <w:rPr>
                <w:color w:val="000000"/>
                <w:sz w:val="18"/>
                <w:szCs w:val="18"/>
              </w:rPr>
              <w:t>9 039</w:t>
            </w:r>
          </w:p>
        </w:tc>
        <w:tc>
          <w:tcPr>
            <w:tcW w:w="483" w:type="pct"/>
            <w:tcBorders>
              <w:top w:val="nil"/>
              <w:left w:val="nil"/>
              <w:bottom w:val="nil"/>
              <w:right w:val="nil"/>
            </w:tcBorders>
            <w:shd w:val="clear" w:color="auto" w:fill="auto"/>
            <w:noWrap/>
            <w:vAlign w:val="center"/>
            <w:hideMark/>
          </w:tcPr>
          <w:p w14:paraId="524D50B3" w14:textId="77777777" w:rsidR="00CA5634" w:rsidRPr="00D87E29" w:rsidRDefault="00CA5634" w:rsidP="000240DA">
            <w:pPr>
              <w:spacing w:line="240" w:lineRule="auto"/>
              <w:jc w:val="right"/>
              <w:rPr>
                <w:sz w:val="18"/>
                <w:szCs w:val="18"/>
              </w:rPr>
            </w:pPr>
            <w:r w:rsidRPr="00D87E29">
              <w:rPr>
                <w:color w:val="000000"/>
                <w:sz w:val="18"/>
                <w:szCs w:val="18"/>
              </w:rPr>
              <w:t>-9 207</w:t>
            </w:r>
          </w:p>
        </w:tc>
      </w:tr>
      <w:tr w:rsidR="00CA5634" w:rsidRPr="00D87E29" w14:paraId="22E478C9" w14:textId="77777777" w:rsidTr="00CA5634">
        <w:trPr>
          <w:trHeight w:val="596"/>
        </w:trPr>
        <w:tc>
          <w:tcPr>
            <w:tcW w:w="2167" w:type="pct"/>
            <w:tcBorders>
              <w:top w:val="nil"/>
              <w:left w:val="nil"/>
              <w:right w:val="nil"/>
            </w:tcBorders>
            <w:shd w:val="clear" w:color="auto" w:fill="auto"/>
            <w:vAlign w:val="center"/>
            <w:hideMark/>
          </w:tcPr>
          <w:p w14:paraId="31DC64D7" w14:textId="77777777" w:rsidR="00CA5634" w:rsidRPr="00D87E29" w:rsidRDefault="00CA5634" w:rsidP="000240DA">
            <w:pPr>
              <w:spacing w:line="240" w:lineRule="auto"/>
              <w:rPr>
                <w:sz w:val="18"/>
                <w:szCs w:val="18"/>
              </w:rPr>
            </w:pPr>
            <w:r w:rsidRPr="00D87E29">
              <w:rPr>
                <w:sz w:val="18"/>
                <w:szCs w:val="18"/>
              </w:rPr>
              <w:t>Spolufinancovanie k zahraničným grantom poskytnutým na základe medzinárodných zmlúv (EHP, NFM, ŠFM)</w:t>
            </w:r>
          </w:p>
        </w:tc>
        <w:tc>
          <w:tcPr>
            <w:tcW w:w="612" w:type="pct"/>
            <w:tcBorders>
              <w:top w:val="nil"/>
              <w:left w:val="nil"/>
              <w:right w:val="nil"/>
            </w:tcBorders>
            <w:shd w:val="clear" w:color="auto" w:fill="auto"/>
            <w:noWrap/>
            <w:vAlign w:val="center"/>
            <w:hideMark/>
          </w:tcPr>
          <w:p w14:paraId="6F154918" w14:textId="77777777" w:rsidR="00CA5634" w:rsidRPr="00D87E29" w:rsidRDefault="00CA5634" w:rsidP="000240DA">
            <w:pPr>
              <w:spacing w:line="240" w:lineRule="auto"/>
              <w:jc w:val="right"/>
              <w:rPr>
                <w:sz w:val="18"/>
                <w:szCs w:val="18"/>
              </w:rPr>
            </w:pPr>
            <w:r w:rsidRPr="00D87E29">
              <w:rPr>
                <w:color w:val="000000"/>
                <w:sz w:val="18"/>
                <w:szCs w:val="18"/>
              </w:rPr>
              <w:t>2 373</w:t>
            </w:r>
          </w:p>
        </w:tc>
        <w:tc>
          <w:tcPr>
            <w:tcW w:w="614" w:type="pct"/>
            <w:tcBorders>
              <w:top w:val="nil"/>
              <w:left w:val="nil"/>
              <w:right w:val="nil"/>
            </w:tcBorders>
            <w:shd w:val="clear" w:color="auto" w:fill="auto"/>
            <w:noWrap/>
            <w:vAlign w:val="center"/>
            <w:hideMark/>
          </w:tcPr>
          <w:p w14:paraId="1EA21861" w14:textId="77777777" w:rsidR="00CA5634" w:rsidRPr="00D87E29" w:rsidRDefault="00CA5634" w:rsidP="000240DA">
            <w:pPr>
              <w:spacing w:line="240" w:lineRule="auto"/>
              <w:jc w:val="right"/>
              <w:rPr>
                <w:sz w:val="18"/>
                <w:szCs w:val="18"/>
              </w:rPr>
            </w:pPr>
            <w:r w:rsidRPr="00D87E29">
              <w:rPr>
                <w:color w:val="000000"/>
                <w:sz w:val="18"/>
                <w:szCs w:val="18"/>
              </w:rPr>
              <w:t>1 377</w:t>
            </w:r>
          </w:p>
        </w:tc>
        <w:tc>
          <w:tcPr>
            <w:tcW w:w="458" w:type="pct"/>
            <w:tcBorders>
              <w:top w:val="nil"/>
              <w:left w:val="nil"/>
              <w:right w:val="nil"/>
            </w:tcBorders>
            <w:shd w:val="clear" w:color="auto" w:fill="auto"/>
            <w:noWrap/>
            <w:vAlign w:val="center"/>
            <w:hideMark/>
          </w:tcPr>
          <w:p w14:paraId="4B8E020D" w14:textId="77777777" w:rsidR="00CA5634" w:rsidRPr="00D87E29" w:rsidRDefault="00CA5634" w:rsidP="000240DA">
            <w:pPr>
              <w:spacing w:line="240" w:lineRule="auto"/>
              <w:jc w:val="right"/>
              <w:rPr>
                <w:sz w:val="18"/>
                <w:szCs w:val="18"/>
              </w:rPr>
            </w:pPr>
            <w:r w:rsidRPr="00D87E29">
              <w:rPr>
                <w:color w:val="000000"/>
                <w:sz w:val="18"/>
                <w:szCs w:val="18"/>
              </w:rPr>
              <w:t>6 133</w:t>
            </w:r>
          </w:p>
        </w:tc>
        <w:tc>
          <w:tcPr>
            <w:tcW w:w="666" w:type="pct"/>
            <w:tcBorders>
              <w:top w:val="nil"/>
              <w:left w:val="nil"/>
              <w:right w:val="nil"/>
            </w:tcBorders>
            <w:shd w:val="clear" w:color="auto" w:fill="auto"/>
            <w:noWrap/>
            <w:vAlign w:val="center"/>
            <w:hideMark/>
          </w:tcPr>
          <w:p w14:paraId="21F18B22" w14:textId="77777777" w:rsidR="00CA5634" w:rsidRPr="00D87E29" w:rsidRDefault="00CA5634" w:rsidP="000240DA">
            <w:pPr>
              <w:spacing w:line="240" w:lineRule="auto"/>
              <w:jc w:val="right"/>
              <w:rPr>
                <w:sz w:val="18"/>
                <w:szCs w:val="18"/>
              </w:rPr>
            </w:pPr>
            <w:r w:rsidRPr="00D87E29">
              <w:rPr>
                <w:color w:val="000000"/>
                <w:sz w:val="18"/>
                <w:szCs w:val="18"/>
              </w:rPr>
              <w:t>6 442</w:t>
            </w:r>
          </w:p>
        </w:tc>
        <w:tc>
          <w:tcPr>
            <w:tcW w:w="483" w:type="pct"/>
            <w:tcBorders>
              <w:top w:val="nil"/>
              <w:left w:val="nil"/>
              <w:bottom w:val="nil"/>
              <w:right w:val="nil"/>
            </w:tcBorders>
            <w:shd w:val="clear" w:color="auto" w:fill="auto"/>
            <w:noWrap/>
            <w:vAlign w:val="center"/>
            <w:hideMark/>
          </w:tcPr>
          <w:p w14:paraId="4A736C18" w14:textId="77777777" w:rsidR="00CA5634" w:rsidRPr="00D87E29" w:rsidRDefault="00CA5634" w:rsidP="000240DA">
            <w:pPr>
              <w:spacing w:line="240" w:lineRule="auto"/>
              <w:jc w:val="right"/>
              <w:rPr>
                <w:sz w:val="18"/>
                <w:szCs w:val="18"/>
              </w:rPr>
            </w:pPr>
            <w:r w:rsidRPr="00D87E29">
              <w:rPr>
                <w:color w:val="000000"/>
                <w:sz w:val="18"/>
                <w:szCs w:val="18"/>
              </w:rPr>
              <w:t>309</w:t>
            </w:r>
          </w:p>
        </w:tc>
      </w:tr>
      <w:tr w:rsidR="00CA5634" w:rsidRPr="00D87E29" w14:paraId="5A244541" w14:textId="77777777" w:rsidTr="00CA5634">
        <w:trPr>
          <w:trHeight w:val="266"/>
        </w:trPr>
        <w:tc>
          <w:tcPr>
            <w:tcW w:w="2167" w:type="pct"/>
            <w:tcBorders>
              <w:top w:val="nil"/>
              <w:left w:val="nil"/>
              <w:bottom w:val="single" w:sz="4" w:space="0" w:color="auto"/>
              <w:right w:val="nil"/>
            </w:tcBorders>
            <w:shd w:val="clear" w:color="auto" w:fill="auto"/>
            <w:vAlign w:val="center"/>
            <w:hideMark/>
          </w:tcPr>
          <w:p w14:paraId="31FA6BC5" w14:textId="77777777" w:rsidR="00CA5634" w:rsidRPr="00D87E29" w:rsidRDefault="00CA5634" w:rsidP="000240DA">
            <w:pPr>
              <w:spacing w:line="240" w:lineRule="auto"/>
              <w:rPr>
                <w:b/>
                <w:sz w:val="18"/>
                <w:szCs w:val="18"/>
              </w:rPr>
            </w:pPr>
            <w:r w:rsidRPr="00D87E29">
              <w:rPr>
                <w:b/>
                <w:sz w:val="18"/>
                <w:szCs w:val="18"/>
              </w:rPr>
              <w:t>Spolu</w:t>
            </w:r>
          </w:p>
        </w:tc>
        <w:tc>
          <w:tcPr>
            <w:tcW w:w="612" w:type="pct"/>
            <w:tcBorders>
              <w:top w:val="nil"/>
              <w:left w:val="nil"/>
              <w:bottom w:val="single" w:sz="4" w:space="0" w:color="auto"/>
              <w:right w:val="nil"/>
            </w:tcBorders>
            <w:shd w:val="clear" w:color="auto" w:fill="auto"/>
            <w:noWrap/>
            <w:vAlign w:val="center"/>
            <w:hideMark/>
          </w:tcPr>
          <w:p w14:paraId="6F05399C" w14:textId="77777777" w:rsidR="00CA5634" w:rsidRPr="00D87E29" w:rsidRDefault="00CA5634" w:rsidP="000240DA">
            <w:pPr>
              <w:spacing w:line="240" w:lineRule="auto"/>
              <w:jc w:val="right"/>
              <w:rPr>
                <w:b/>
                <w:sz w:val="18"/>
                <w:szCs w:val="18"/>
              </w:rPr>
            </w:pPr>
            <w:r w:rsidRPr="00D87E29">
              <w:rPr>
                <w:b/>
                <w:bCs/>
                <w:color w:val="000000"/>
                <w:sz w:val="18"/>
                <w:szCs w:val="18"/>
              </w:rPr>
              <w:t>404 819</w:t>
            </w:r>
          </w:p>
        </w:tc>
        <w:tc>
          <w:tcPr>
            <w:tcW w:w="614" w:type="pct"/>
            <w:tcBorders>
              <w:top w:val="nil"/>
              <w:left w:val="nil"/>
              <w:bottom w:val="single" w:sz="4" w:space="0" w:color="auto"/>
              <w:right w:val="nil"/>
            </w:tcBorders>
            <w:shd w:val="clear" w:color="auto" w:fill="auto"/>
            <w:noWrap/>
            <w:vAlign w:val="center"/>
            <w:hideMark/>
          </w:tcPr>
          <w:p w14:paraId="367FF5BB" w14:textId="77777777" w:rsidR="00CA5634" w:rsidRPr="00D87E29" w:rsidRDefault="00CA5634" w:rsidP="000240DA">
            <w:pPr>
              <w:spacing w:line="240" w:lineRule="auto"/>
              <w:jc w:val="right"/>
              <w:rPr>
                <w:b/>
                <w:sz w:val="18"/>
                <w:szCs w:val="18"/>
              </w:rPr>
            </w:pPr>
            <w:r w:rsidRPr="00D87E29">
              <w:rPr>
                <w:b/>
                <w:bCs/>
                <w:color w:val="000000"/>
                <w:sz w:val="18"/>
                <w:szCs w:val="18"/>
              </w:rPr>
              <w:t>731 264</w:t>
            </w:r>
          </w:p>
        </w:tc>
        <w:tc>
          <w:tcPr>
            <w:tcW w:w="458" w:type="pct"/>
            <w:tcBorders>
              <w:top w:val="nil"/>
              <w:left w:val="nil"/>
              <w:bottom w:val="single" w:sz="4" w:space="0" w:color="auto"/>
              <w:right w:val="nil"/>
            </w:tcBorders>
            <w:shd w:val="clear" w:color="auto" w:fill="auto"/>
            <w:noWrap/>
            <w:vAlign w:val="center"/>
            <w:hideMark/>
          </w:tcPr>
          <w:p w14:paraId="6602DBAD" w14:textId="77777777" w:rsidR="00CA5634" w:rsidRPr="00D87E29" w:rsidRDefault="00CA5634" w:rsidP="000240DA">
            <w:pPr>
              <w:spacing w:line="240" w:lineRule="auto"/>
              <w:jc w:val="right"/>
              <w:rPr>
                <w:b/>
                <w:sz w:val="18"/>
                <w:szCs w:val="18"/>
              </w:rPr>
            </w:pPr>
            <w:r w:rsidRPr="00D87E29">
              <w:rPr>
                <w:b/>
                <w:bCs/>
                <w:color w:val="000000"/>
                <w:sz w:val="18"/>
                <w:szCs w:val="18"/>
              </w:rPr>
              <w:t>325 158</w:t>
            </w:r>
          </w:p>
        </w:tc>
        <w:tc>
          <w:tcPr>
            <w:tcW w:w="666" w:type="pct"/>
            <w:tcBorders>
              <w:top w:val="nil"/>
              <w:left w:val="nil"/>
              <w:bottom w:val="single" w:sz="4" w:space="0" w:color="auto"/>
              <w:right w:val="nil"/>
            </w:tcBorders>
            <w:shd w:val="clear" w:color="auto" w:fill="auto"/>
            <w:noWrap/>
            <w:vAlign w:val="center"/>
            <w:hideMark/>
          </w:tcPr>
          <w:p w14:paraId="16B26666" w14:textId="77777777" w:rsidR="00CA5634" w:rsidRPr="00D87E29" w:rsidRDefault="00CA5634" w:rsidP="000240DA">
            <w:pPr>
              <w:spacing w:line="240" w:lineRule="auto"/>
              <w:jc w:val="right"/>
              <w:rPr>
                <w:b/>
                <w:sz w:val="18"/>
                <w:szCs w:val="18"/>
              </w:rPr>
            </w:pPr>
            <w:r w:rsidRPr="00D87E29">
              <w:rPr>
                <w:b/>
                <w:bCs/>
                <w:color w:val="000000"/>
                <w:sz w:val="18"/>
                <w:szCs w:val="18"/>
              </w:rPr>
              <w:t>538 564</w:t>
            </w:r>
          </w:p>
        </w:tc>
        <w:tc>
          <w:tcPr>
            <w:tcW w:w="483" w:type="pct"/>
            <w:tcBorders>
              <w:top w:val="nil"/>
              <w:left w:val="nil"/>
              <w:bottom w:val="single" w:sz="4" w:space="0" w:color="auto"/>
              <w:right w:val="nil"/>
            </w:tcBorders>
            <w:shd w:val="clear" w:color="auto" w:fill="auto"/>
            <w:noWrap/>
            <w:vAlign w:val="center"/>
            <w:hideMark/>
          </w:tcPr>
          <w:p w14:paraId="550F15C5" w14:textId="77777777" w:rsidR="00CA5634" w:rsidRPr="00D87E29" w:rsidRDefault="00CA5634" w:rsidP="000240DA">
            <w:pPr>
              <w:spacing w:line="240" w:lineRule="auto"/>
              <w:jc w:val="right"/>
              <w:rPr>
                <w:b/>
                <w:sz w:val="18"/>
                <w:szCs w:val="18"/>
              </w:rPr>
            </w:pPr>
            <w:r w:rsidRPr="00D87E29">
              <w:rPr>
                <w:b/>
                <w:bCs/>
                <w:color w:val="000000"/>
                <w:sz w:val="18"/>
                <w:szCs w:val="18"/>
              </w:rPr>
              <w:t>213 406</w:t>
            </w:r>
          </w:p>
        </w:tc>
      </w:tr>
      <w:tr w:rsidR="00CA5634" w:rsidRPr="00D87E29" w14:paraId="77A6BB68" w14:textId="77777777" w:rsidTr="00CA5634">
        <w:trPr>
          <w:trHeight w:val="266"/>
        </w:trPr>
        <w:tc>
          <w:tcPr>
            <w:tcW w:w="2167" w:type="pct"/>
            <w:tcBorders>
              <w:top w:val="single" w:sz="4" w:space="0" w:color="auto"/>
              <w:left w:val="nil"/>
              <w:bottom w:val="single" w:sz="4" w:space="0" w:color="auto"/>
              <w:right w:val="nil"/>
            </w:tcBorders>
            <w:shd w:val="clear" w:color="auto" w:fill="auto"/>
            <w:vAlign w:val="center"/>
            <w:hideMark/>
          </w:tcPr>
          <w:p w14:paraId="3C81AEAC" w14:textId="77777777" w:rsidR="00CA5634" w:rsidRPr="00D87E29" w:rsidRDefault="00CA5634" w:rsidP="000240DA">
            <w:pPr>
              <w:spacing w:line="240" w:lineRule="auto"/>
              <w:rPr>
                <w:sz w:val="18"/>
                <w:szCs w:val="18"/>
              </w:rPr>
            </w:pPr>
            <w:r w:rsidRPr="00D87E29">
              <w:rPr>
                <w:sz w:val="18"/>
                <w:szCs w:val="18"/>
              </w:rPr>
              <w:t>Vnútorné politiky EÚ</w:t>
            </w:r>
          </w:p>
        </w:tc>
        <w:tc>
          <w:tcPr>
            <w:tcW w:w="612" w:type="pct"/>
            <w:tcBorders>
              <w:top w:val="single" w:sz="4" w:space="0" w:color="auto"/>
              <w:left w:val="nil"/>
              <w:bottom w:val="single" w:sz="4" w:space="0" w:color="auto"/>
              <w:right w:val="nil"/>
            </w:tcBorders>
            <w:shd w:val="clear" w:color="auto" w:fill="auto"/>
            <w:noWrap/>
            <w:vAlign w:val="center"/>
            <w:hideMark/>
          </w:tcPr>
          <w:p w14:paraId="5616D114" w14:textId="77777777" w:rsidR="00CA5634" w:rsidRPr="00D87E29" w:rsidRDefault="00CA5634" w:rsidP="000240DA">
            <w:pPr>
              <w:spacing w:line="240" w:lineRule="auto"/>
              <w:jc w:val="right"/>
              <w:rPr>
                <w:sz w:val="18"/>
                <w:szCs w:val="18"/>
              </w:rPr>
            </w:pPr>
            <w:r w:rsidRPr="00D87E29">
              <w:rPr>
                <w:sz w:val="18"/>
                <w:szCs w:val="18"/>
              </w:rPr>
              <w:t>4 676</w:t>
            </w:r>
          </w:p>
        </w:tc>
        <w:tc>
          <w:tcPr>
            <w:tcW w:w="614" w:type="pct"/>
            <w:tcBorders>
              <w:top w:val="single" w:sz="4" w:space="0" w:color="auto"/>
              <w:left w:val="nil"/>
              <w:bottom w:val="single" w:sz="4" w:space="0" w:color="auto"/>
              <w:right w:val="nil"/>
            </w:tcBorders>
            <w:shd w:val="clear" w:color="auto" w:fill="auto"/>
            <w:noWrap/>
            <w:vAlign w:val="center"/>
            <w:hideMark/>
          </w:tcPr>
          <w:p w14:paraId="445FC8E1" w14:textId="77777777" w:rsidR="00CA5634" w:rsidRPr="00D87E29" w:rsidRDefault="00CA5634" w:rsidP="000240DA">
            <w:pPr>
              <w:spacing w:line="240" w:lineRule="auto"/>
              <w:jc w:val="right"/>
              <w:rPr>
                <w:sz w:val="18"/>
                <w:szCs w:val="18"/>
              </w:rPr>
            </w:pPr>
            <w:r w:rsidRPr="00D87E29">
              <w:rPr>
                <w:sz w:val="18"/>
                <w:szCs w:val="18"/>
              </w:rPr>
              <w:t>325</w:t>
            </w:r>
          </w:p>
        </w:tc>
        <w:tc>
          <w:tcPr>
            <w:tcW w:w="458" w:type="pct"/>
            <w:tcBorders>
              <w:top w:val="single" w:sz="4" w:space="0" w:color="auto"/>
              <w:left w:val="nil"/>
              <w:bottom w:val="single" w:sz="4" w:space="0" w:color="auto"/>
              <w:right w:val="nil"/>
            </w:tcBorders>
            <w:shd w:val="clear" w:color="auto" w:fill="auto"/>
            <w:noWrap/>
            <w:vAlign w:val="center"/>
            <w:hideMark/>
          </w:tcPr>
          <w:p w14:paraId="29AA26B2" w14:textId="77777777" w:rsidR="00CA5634" w:rsidRPr="00D87E29" w:rsidRDefault="00CA5634" w:rsidP="000240DA">
            <w:pPr>
              <w:spacing w:line="240" w:lineRule="auto"/>
              <w:jc w:val="right"/>
              <w:rPr>
                <w:sz w:val="18"/>
                <w:szCs w:val="18"/>
              </w:rPr>
            </w:pPr>
            <w:r w:rsidRPr="00D87E29">
              <w:rPr>
                <w:sz w:val="18"/>
                <w:szCs w:val="18"/>
              </w:rPr>
              <w:t>50</w:t>
            </w:r>
          </w:p>
        </w:tc>
        <w:tc>
          <w:tcPr>
            <w:tcW w:w="666" w:type="pct"/>
            <w:tcBorders>
              <w:top w:val="single" w:sz="4" w:space="0" w:color="auto"/>
              <w:left w:val="nil"/>
              <w:bottom w:val="single" w:sz="4" w:space="0" w:color="auto"/>
              <w:right w:val="nil"/>
            </w:tcBorders>
            <w:shd w:val="clear" w:color="auto" w:fill="auto"/>
            <w:noWrap/>
            <w:vAlign w:val="center"/>
            <w:hideMark/>
          </w:tcPr>
          <w:p w14:paraId="7F9B5506" w14:textId="77777777" w:rsidR="00CA5634" w:rsidRPr="00D87E29" w:rsidRDefault="00CA5634" w:rsidP="000240DA">
            <w:pPr>
              <w:spacing w:line="240" w:lineRule="auto"/>
              <w:jc w:val="right"/>
              <w:rPr>
                <w:sz w:val="18"/>
                <w:szCs w:val="18"/>
              </w:rPr>
            </w:pPr>
            <w:r w:rsidRPr="00D87E29">
              <w:rPr>
                <w:sz w:val="18"/>
                <w:szCs w:val="18"/>
              </w:rPr>
              <w:t>25</w:t>
            </w:r>
          </w:p>
        </w:tc>
        <w:tc>
          <w:tcPr>
            <w:tcW w:w="483" w:type="pct"/>
            <w:tcBorders>
              <w:top w:val="single" w:sz="4" w:space="0" w:color="auto"/>
              <w:left w:val="nil"/>
              <w:bottom w:val="single" w:sz="4" w:space="0" w:color="auto"/>
              <w:right w:val="nil"/>
            </w:tcBorders>
            <w:shd w:val="clear" w:color="auto" w:fill="auto"/>
            <w:noWrap/>
            <w:vAlign w:val="center"/>
            <w:hideMark/>
          </w:tcPr>
          <w:p w14:paraId="0519C9A2" w14:textId="77777777" w:rsidR="00CA5634" w:rsidRPr="00D87E29" w:rsidRDefault="00CA5634" w:rsidP="000240DA">
            <w:pPr>
              <w:spacing w:line="240" w:lineRule="auto"/>
              <w:jc w:val="right"/>
              <w:rPr>
                <w:sz w:val="18"/>
                <w:szCs w:val="18"/>
              </w:rPr>
            </w:pPr>
            <w:r w:rsidRPr="00D87E29">
              <w:rPr>
                <w:color w:val="000000"/>
                <w:sz w:val="18"/>
                <w:szCs w:val="18"/>
              </w:rPr>
              <w:t>-25</w:t>
            </w:r>
          </w:p>
        </w:tc>
      </w:tr>
      <w:tr w:rsidR="00CA5634" w:rsidRPr="00D87E29" w14:paraId="052FCCF1" w14:textId="77777777" w:rsidTr="00CA5634">
        <w:trPr>
          <w:trHeight w:val="278"/>
        </w:trPr>
        <w:tc>
          <w:tcPr>
            <w:tcW w:w="2167" w:type="pct"/>
            <w:tcBorders>
              <w:top w:val="single" w:sz="4" w:space="0" w:color="auto"/>
              <w:left w:val="nil"/>
              <w:bottom w:val="single" w:sz="4" w:space="0" w:color="auto"/>
              <w:right w:val="nil"/>
            </w:tcBorders>
            <w:shd w:val="clear" w:color="000000" w:fill="FFFFFF"/>
            <w:vAlign w:val="center"/>
            <w:hideMark/>
          </w:tcPr>
          <w:p w14:paraId="5270807D" w14:textId="77777777" w:rsidR="00CA5634" w:rsidRPr="00D87E29" w:rsidRDefault="00CA5634" w:rsidP="000240DA">
            <w:pPr>
              <w:spacing w:line="240" w:lineRule="auto"/>
              <w:rPr>
                <w:b/>
                <w:bCs/>
                <w:color w:val="000000"/>
                <w:sz w:val="18"/>
                <w:szCs w:val="18"/>
              </w:rPr>
            </w:pPr>
            <w:r w:rsidRPr="00D87E29">
              <w:rPr>
                <w:b/>
                <w:bCs/>
                <w:color w:val="000000"/>
                <w:sz w:val="18"/>
                <w:szCs w:val="18"/>
              </w:rPr>
              <w:t>Spolu (vrátane vnútorných politík EÚ)</w:t>
            </w:r>
          </w:p>
        </w:tc>
        <w:tc>
          <w:tcPr>
            <w:tcW w:w="612" w:type="pct"/>
            <w:tcBorders>
              <w:top w:val="single" w:sz="4" w:space="0" w:color="auto"/>
              <w:left w:val="nil"/>
              <w:bottom w:val="single" w:sz="4" w:space="0" w:color="auto"/>
              <w:right w:val="nil"/>
            </w:tcBorders>
            <w:shd w:val="clear" w:color="000000" w:fill="FFFFFF"/>
            <w:noWrap/>
            <w:vAlign w:val="center"/>
            <w:hideMark/>
          </w:tcPr>
          <w:p w14:paraId="40FE110E" w14:textId="77777777" w:rsidR="00CA5634" w:rsidRPr="00D87E29" w:rsidRDefault="00CA5634" w:rsidP="000240DA">
            <w:pPr>
              <w:spacing w:line="240" w:lineRule="auto"/>
              <w:jc w:val="right"/>
              <w:rPr>
                <w:b/>
                <w:bCs/>
                <w:color w:val="000000"/>
                <w:sz w:val="18"/>
                <w:szCs w:val="18"/>
                <w:highlight w:val="yellow"/>
              </w:rPr>
            </w:pPr>
            <w:r w:rsidRPr="00D87E29">
              <w:rPr>
                <w:b/>
                <w:bCs/>
                <w:color w:val="000000"/>
                <w:sz w:val="18"/>
                <w:szCs w:val="18"/>
              </w:rPr>
              <w:t>409 495</w:t>
            </w:r>
          </w:p>
        </w:tc>
        <w:tc>
          <w:tcPr>
            <w:tcW w:w="614" w:type="pct"/>
            <w:tcBorders>
              <w:top w:val="single" w:sz="4" w:space="0" w:color="auto"/>
              <w:left w:val="nil"/>
              <w:bottom w:val="single" w:sz="4" w:space="0" w:color="auto"/>
              <w:right w:val="nil"/>
            </w:tcBorders>
            <w:shd w:val="clear" w:color="000000" w:fill="FFFFFF"/>
            <w:noWrap/>
            <w:vAlign w:val="center"/>
            <w:hideMark/>
          </w:tcPr>
          <w:p w14:paraId="6DE11129" w14:textId="77777777" w:rsidR="00CA5634" w:rsidRPr="00D87E29" w:rsidRDefault="00CA5634" w:rsidP="000240DA">
            <w:pPr>
              <w:spacing w:line="240" w:lineRule="auto"/>
              <w:jc w:val="right"/>
              <w:rPr>
                <w:b/>
                <w:bCs/>
                <w:color w:val="000000"/>
                <w:sz w:val="18"/>
                <w:szCs w:val="18"/>
                <w:highlight w:val="yellow"/>
              </w:rPr>
            </w:pPr>
            <w:r w:rsidRPr="00D87E29">
              <w:rPr>
                <w:b/>
                <w:bCs/>
                <w:color w:val="000000"/>
                <w:sz w:val="18"/>
                <w:szCs w:val="18"/>
              </w:rPr>
              <w:t>731 589</w:t>
            </w:r>
          </w:p>
        </w:tc>
        <w:tc>
          <w:tcPr>
            <w:tcW w:w="458" w:type="pct"/>
            <w:tcBorders>
              <w:top w:val="single" w:sz="4" w:space="0" w:color="auto"/>
              <w:left w:val="nil"/>
              <w:bottom w:val="single" w:sz="4" w:space="0" w:color="auto"/>
              <w:right w:val="nil"/>
            </w:tcBorders>
            <w:shd w:val="clear" w:color="000000" w:fill="FFFFFF"/>
            <w:noWrap/>
            <w:vAlign w:val="center"/>
            <w:hideMark/>
          </w:tcPr>
          <w:p w14:paraId="6E5C523F" w14:textId="77777777" w:rsidR="00CA5634" w:rsidRPr="00D87E29" w:rsidRDefault="00CA5634" w:rsidP="000240DA">
            <w:pPr>
              <w:spacing w:line="240" w:lineRule="auto"/>
              <w:jc w:val="right"/>
              <w:rPr>
                <w:b/>
                <w:bCs/>
                <w:color w:val="000000"/>
                <w:sz w:val="18"/>
                <w:szCs w:val="18"/>
                <w:highlight w:val="yellow"/>
              </w:rPr>
            </w:pPr>
            <w:r w:rsidRPr="00D87E29">
              <w:rPr>
                <w:b/>
                <w:bCs/>
                <w:color w:val="000000"/>
                <w:sz w:val="18"/>
                <w:szCs w:val="18"/>
              </w:rPr>
              <w:t>325 208</w:t>
            </w:r>
          </w:p>
        </w:tc>
        <w:tc>
          <w:tcPr>
            <w:tcW w:w="666" w:type="pct"/>
            <w:tcBorders>
              <w:top w:val="single" w:sz="4" w:space="0" w:color="auto"/>
              <w:left w:val="nil"/>
              <w:bottom w:val="single" w:sz="4" w:space="0" w:color="auto"/>
              <w:right w:val="nil"/>
            </w:tcBorders>
            <w:shd w:val="clear" w:color="000000" w:fill="FFFFFF"/>
            <w:noWrap/>
            <w:vAlign w:val="center"/>
            <w:hideMark/>
          </w:tcPr>
          <w:p w14:paraId="66CC1A91" w14:textId="77777777" w:rsidR="00CA5634" w:rsidRPr="00D87E29" w:rsidRDefault="00CA5634" w:rsidP="000240DA">
            <w:pPr>
              <w:spacing w:line="240" w:lineRule="auto"/>
              <w:jc w:val="right"/>
              <w:rPr>
                <w:b/>
                <w:bCs/>
                <w:color w:val="000000"/>
                <w:sz w:val="18"/>
                <w:szCs w:val="18"/>
                <w:highlight w:val="yellow"/>
              </w:rPr>
            </w:pPr>
            <w:r w:rsidRPr="00D87E29">
              <w:rPr>
                <w:b/>
                <w:bCs/>
                <w:color w:val="000000"/>
                <w:sz w:val="18"/>
                <w:szCs w:val="18"/>
              </w:rPr>
              <w:t>538 589</w:t>
            </w:r>
          </w:p>
        </w:tc>
        <w:tc>
          <w:tcPr>
            <w:tcW w:w="483" w:type="pct"/>
            <w:tcBorders>
              <w:top w:val="single" w:sz="4" w:space="0" w:color="auto"/>
              <w:left w:val="nil"/>
              <w:bottom w:val="single" w:sz="4" w:space="0" w:color="auto"/>
              <w:right w:val="nil"/>
            </w:tcBorders>
            <w:shd w:val="clear" w:color="000000" w:fill="FFFFFF"/>
            <w:noWrap/>
            <w:vAlign w:val="center"/>
            <w:hideMark/>
          </w:tcPr>
          <w:p w14:paraId="3F242B3B" w14:textId="77777777" w:rsidR="00CA5634" w:rsidRPr="00D87E29" w:rsidRDefault="00CA5634" w:rsidP="000240DA">
            <w:pPr>
              <w:spacing w:line="240" w:lineRule="auto"/>
              <w:jc w:val="right"/>
              <w:rPr>
                <w:b/>
                <w:bCs/>
                <w:color w:val="000000"/>
                <w:sz w:val="18"/>
                <w:szCs w:val="18"/>
                <w:highlight w:val="yellow"/>
              </w:rPr>
            </w:pPr>
            <w:r w:rsidRPr="00D87E29">
              <w:rPr>
                <w:b/>
                <w:bCs/>
                <w:color w:val="000000"/>
                <w:sz w:val="18"/>
                <w:szCs w:val="18"/>
              </w:rPr>
              <w:t>213 381</w:t>
            </w:r>
          </w:p>
        </w:tc>
      </w:tr>
    </w:tbl>
    <w:p w14:paraId="15D5FF89" w14:textId="77777777" w:rsidR="004D69BF" w:rsidRPr="00576533" w:rsidRDefault="004D69BF" w:rsidP="004D69BF">
      <w:pPr>
        <w:jc w:val="right"/>
        <w:rPr>
          <w:sz w:val="18"/>
          <w:szCs w:val="18"/>
        </w:rPr>
      </w:pPr>
      <w:r w:rsidRPr="0041209E">
        <w:rPr>
          <w:i/>
          <w:sz w:val="16"/>
          <w:szCs w:val="16"/>
        </w:rPr>
        <w:tab/>
      </w:r>
      <w:r w:rsidRPr="0041209E">
        <w:rPr>
          <w:i/>
          <w:sz w:val="16"/>
          <w:szCs w:val="16"/>
        </w:rPr>
        <w:tab/>
      </w:r>
      <w:r w:rsidRPr="0041209E">
        <w:rPr>
          <w:i/>
          <w:sz w:val="16"/>
          <w:szCs w:val="16"/>
        </w:rPr>
        <w:tab/>
        <w:t xml:space="preserve">    </w:t>
      </w:r>
      <w:r w:rsidRPr="00576533">
        <w:rPr>
          <w:sz w:val="18"/>
          <w:szCs w:val="18"/>
        </w:rPr>
        <w:t>Zdroj: MF SR</w:t>
      </w:r>
    </w:p>
    <w:p w14:paraId="4DB8F745" w14:textId="060E7BDE" w:rsidR="004D69BF" w:rsidRPr="00B70048" w:rsidRDefault="004D69BF" w:rsidP="00576533">
      <w:pPr>
        <w:tabs>
          <w:tab w:val="left" w:pos="284"/>
        </w:tabs>
        <w:spacing w:line="240" w:lineRule="auto"/>
        <w:rPr>
          <w:b/>
          <w:sz w:val="24"/>
          <w:szCs w:val="24"/>
        </w:rPr>
      </w:pPr>
      <w:r w:rsidRPr="00B70048">
        <w:rPr>
          <w:b/>
          <w:sz w:val="24"/>
          <w:szCs w:val="24"/>
        </w:rPr>
        <w:lastRenderedPageBreak/>
        <w:t>Spolufinancovanie zo štátneho rozpočtu k prostriedkom EÚ</w:t>
      </w:r>
    </w:p>
    <w:p w14:paraId="4BF2FD5D" w14:textId="2E87A727" w:rsidR="004D69BF" w:rsidRPr="000D064C" w:rsidRDefault="004D69BF" w:rsidP="004D69BF">
      <w:pPr>
        <w:spacing w:line="240" w:lineRule="auto"/>
        <w:rPr>
          <w:sz w:val="24"/>
          <w:szCs w:val="24"/>
        </w:rPr>
      </w:pPr>
      <w:r w:rsidRPr="00B70048">
        <w:rPr>
          <w:b/>
          <w:sz w:val="24"/>
          <w:szCs w:val="24"/>
        </w:rPr>
        <w:t xml:space="preserve">Prostriedky za štrukturálne operácie – MF SR </w:t>
      </w:r>
      <w:r w:rsidR="005C0285">
        <w:rPr>
          <w:sz w:val="24"/>
          <w:szCs w:val="24"/>
        </w:rPr>
        <w:t>už neboli rozpočtované za 3. </w:t>
      </w:r>
      <w:r w:rsidRPr="00B70048">
        <w:rPr>
          <w:sz w:val="24"/>
          <w:szCs w:val="24"/>
        </w:rPr>
        <w:t xml:space="preserve">programové obdobie v dôsledku ukončenia obdobia </w:t>
      </w:r>
      <w:r w:rsidRPr="000D064C">
        <w:rPr>
          <w:sz w:val="24"/>
          <w:szCs w:val="24"/>
        </w:rPr>
        <w:t>oprávnenosti k 31.12.2023, avšak preplatenie realizovaných výdavkov z úrovne platobnej jednotky prijímateľom pokračovalo aj v roku 2024. Rozpočet výdavkov bol upravený o nepoužité prostriedky z predchádzajúcich rokov v zmysle §</w:t>
      </w:r>
      <w:r w:rsidR="005C0285">
        <w:rPr>
          <w:sz w:val="24"/>
          <w:szCs w:val="24"/>
        </w:rPr>
        <w:t> </w:t>
      </w:r>
      <w:r w:rsidRPr="000D064C">
        <w:rPr>
          <w:sz w:val="24"/>
          <w:szCs w:val="24"/>
        </w:rPr>
        <w:t>8 zákona o rozpočtových pravidlách, z dôvodu vysporiadania finančných prostriedkov za</w:t>
      </w:r>
      <w:r w:rsidR="005C0285">
        <w:rPr>
          <w:sz w:val="24"/>
          <w:szCs w:val="24"/>
        </w:rPr>
        <w:t> </w:t>
      </w:r>
      <w:r w:rsidRPr="000D064C">
        <w:rPr>
          <w:sz w:val="24"/>
          <w:szCs w:val="24"/>
        </w:rPr>
        <w:t>nezrovnalosti a vratky a presunov alokácií operačných programov a</w:t>
      </w:r>
      <w:r w:rsidR="00B7397E">
        <w:rPr>
          <w:sz w:val="24"/>
          <w:szCs w:val="24"/>
        </w:rPr>
        <w:t> </w:t>
      </w:r>
      <w:r w:rsidRPr="000D064C">
        <w:rPr>
          <w:sz w:val="24"/>
          <w:szCs w:val="24"/>
        </w:rPr>
        <w:t>platobných jednotiek v</w:t>
      </w:r>
      <w:r w:rsidR="005C0285">
        <w:rPr>
          <w:sz w:val="24"/>
          <w:szCs w:val="24"/>
        </w:rPr>
        <w:t> </w:t>
      </w:r>
      <w:r w:rsidRPr="000D064C">
        <w:rPr>
          <w:sz w:val="24"/>
          <w:szCs w:val="24"/>
        </w:rPr>
        <w:t>dôsledku ukončovania programového obdobia 2014</w:t>
      </w:r>
      <w:r w:rsidR="005C0285">
        <w:rPr>
          <w:sz w:val="24"/>
          <w:szCs w:val="24"/>
        </w:rPr>
        <w:t> </w:t>
      </w:r>
      <w:r w:rsidRPr="000D064C">
        <w:rPr>
          <w:sz w:val="24"/>
          <w:szCs w:val="24"/>
        </w:rPr>
        <w:t>–</w:t>
      </w:r>
      <w:r w:rsidR="005C0285">
        <w:rPr>
          <w:sz w:val="24"/>
          <w:szCs w:val="24"/>
        </w:rPr>
        <w:t> 2020 na</w:t>
      </w:r>
      <w:r w:rsidR="00B7397E">
        <w:rPr>
          <w:sz w:val="24"/>
          <w:szCs w:val="24"/>
        </w:rPr>
        <w:t> </w:t>
      </w:r>
      <w:r w:rsidR="005C0285">
        <w:rPr>
          <w:sz w:val="24"/>
          <w:szCs w:val="24"/>
        </w:rPr>
        <w:t>úroveň 251 378 tis. </w:t>
      </w:r>
      <w:r w:rsidRPr="000D064C">
        <w:rPr>
          <w:sz w:val="24"/>
          <w:szCs w:val="24"/>
        </w:rPr>
        <w:t>eur. Skutočné čerpan</w:t>
      </w:r>
      <w:r w:rsidR="00B7397E">
        <w:rPr>
          <w:sz w:val="24"/>
          <w:szCs w:val="24"/>
        </w:rPr>
        <w:t>ie výdavkov v roku 2024 bolo vo </w:t>
      </w:r>
      <w:r w:rsidRPr="000D064C">
        <w:rPr>
          <w:sz w:val="24"/>
          <w:szCs w:val="24"/>
        </w:rPr>
        <w:t>výške 251</w:t>
      </w:r>
      <w:r w:rsidR="005C0285">
        <w:rPr>
          <w:sz w:val="24"/>
          <w:szCs w:val="24"/>
        </w:rPr>
        <w:t> </w:t>
      </w:r>
      <w:r w:rsidRPr="000D064C">
        <w:rPr>
          <w:sz w:val="24"/>
          <w:szCs w:val="24"/>
        </w:rPr>
        <w:t>377</w:t>
      </w:r>
      <w:r w:rsidR="005C0285">
        <w:rPr>
          <w:sz w:val="24"/>
          <w:szCs w:val="24"/>
        </w:rPr>
        <w:t> </w:t>
      </w:r>
      <w:r w:rsidRPr="000D064C">
        <w:rPr>
          <w:sz w:val="24"/>
          <w:szCs w:val="24"/>
        </w:rPr>
        <w:t>tis.</w:t>
      </w:r>
      <w:r w:rsidR="005C0285">
        <w:rPr>
          <w:sz w:val="24"/>
          <w:szCs w:val="24"/>
        </w:rPr>
        <w:t> </w:t>
      </w:r>
      <w:r w:rsidRPr="000D064C">
        <w:rPr>
          <w:sz w:val="24"/>
          <w:szCs w:val="24"/>
        </w:rPr>
        <w:t>eur.</w:t>
      </w:r>
    </w:p>
    <w:p w14:paraId="43EEB6D2" w14:textId="0D0D8F98" w:rsidR="004D69BF" w:rsidRPr="000D064C" w:rsidRDefault="004D69BF" w:rsidP="004D69BF">
      <w:pPr>
        <w:spacing w:line="240" w:lineRule="auto"/>
        <w:rPr>
          <w:sz w:val="24"/>
          <w:szCs w:val="24"/>
        </w:rPr>
      </w:pPr>
      <w:r w:rsidRPr="000D064C">
        <w:rPr>
          <w:sz w:val="24"/>
          <w:szCs w:val="24"/>
        </w:rPr>
        <w:t>Výdavky za 3. programové obdobie na opatrenia súvisiace s pandémiou COVID realizované prostredníctvom kapitol MIRRI SR, MŠVVM</w:t>
      </w:r>
      <w:r w:rsidR="00234C09">
        <w:rPr>
          <w:sz w:val="24"/>
          <w:szCs w:val="24"/>
        </w:rPr>
        <w:t xml:space="preserve"> SR a MZ SR boli vo výške 4 682 </w:t>
      </w:r>
      <w:r w:rsidRPr="000D064C">
        <w:rPr>
          <w:sz w:val="24"/>
          <w:szCs w:val="24"/>
        </w:rPr>
        <w:t>tis.</w:t>
      </w:r>
      <w:r w:rsidR="00234C09">
        <w:rPr>
          <w:sz w:val="24"/>
          <w:szCs w:val="24"/>
        </w:rPr>
        <w:t> </w:t>
      </w:r>
      <w:r w:rsidRPr="000D064C">
        <w:rPr>
          <w:sz w:val="24"/>
          <w:szCs w:val="24"/>
        </w:rPr>
        <w:t>eur a výdavky na opatrenia súvisiace s vojnovým konfliktom na Ukrajine realizované prostredníctvom kapitoly MPSVR SR boli vo výške 2</w:t>
      </w:r>
      <w:r w:rsidR="00234C09">
        <w:rPr>
          <w:sz w:val="24"/>
          <w:szCs w:val="24"/>
        </w:rPr>
        <w:t> </w:t>
      </w:r>
      <w:r w:rsidRPr="000D064C">
        <w:rPr>
          <w:sz w:val="24"/>
          <w:szCs w:val="24"/>
        </w:rPr>
        <w:t>716</w:t>
      </w:r>
      <w:r w:rsidR="00234C09">
        <w:rPr>
          <w:sz w:val="24"/>
          <w:szCs w:val="24"/>
        </w:rPr>
        <w:t> </w:t>
      </w:r>
      <w:r w:rsidRPr="000D064C">
        <w:rPr>
          <w:sz w:val="24"/>
          <w:szCs w:val="24"/>
        </w:rPr>
        <w:t>tis.</w:t>
      </w:r>
      <w:r w:rsidR="00234C09">
        <w:rPr>
          <w:sz w:val="24"/>
          <w:szCs w:val="24"/>
        </w:rPr>
        <w:t> </w:t>
      </w:r>
      <w:r w:rsidRPr="000D064C">
        <w:rPr>
          <w:sz w:val="24"/>
          <w:szCs w:val="24"/>
        </w:rPr>
        <w:t>eur.</w:t>
      </w:r>
      <w:r w:rsidRPr="000D064C">
        <w:rPr>
          <w:rStyle w:val="Odkaznapoznmkupodiarou"/>
          <w:sz w:val="24"/>
          <w:szCs w:val="24"/>
        </w:rPr>
        <w:t xml:space="preserve"> </w:t>
      </w:r>
      <w:r w:rsidRPr="000D064C">
        <w:rPr>
          <w:rStyle w:val="Odkaznapoznmkupodiarou"/>
          <w:sz w:val="24"/>
          <w:szCs w:val="24"/>
        </w:rPr>
        <w:footnoteReference w:id="35"/>
      </w:r>
    </w:p>
    <w:p w14:paraId="37E86E8E" w14:textId="4C1408B9" w:rsidR="004D69BF" w:rsidRPr="000D064C" w:rsidRDefault="004D69BF" w:rsidP="004D69BF">
      <w:pPr>
        <w:spacing w:line="240" w:lineRule="auto"/>
        <w:rPr>
          <w:sz w:val="24"/>
          <w:szCs w:val="24"/>
        </w:rPr>
      </w:pPr>
      <w:r w:rsidRPr="000D064C">
        <w:rPr>
          <w:sz w:val="24"/>
          <w:szCs w:val="24"/>
        </w:rPr>
        <w:t xml:space="preserve">V roku 2024 boli rozpočtované prostriedky za 4. programové obdobie za </w:t>
      </w:r>
      <w:r w:rsidRPr="000D064C">
        <w:rPr>
          <w:sz w:val="24"/>
          <w:szCs w:val="24"/>
          <w:u w:val="single"/>
        </w:rPr>
        <w:t>štrukturálne operácie MF SR</w:t>
      </w:r>
      <w:r w:rsidR="00234C09">
        <w:rPr>
          <w:sz w:val="24"/>
          <w:szCs w:val="24"/>
        </w:rPr>
        <w:t xml:space="preserve"> vo výške 119 352 </w:t>
      </w:r>
      <w:r w:rsidRPr="000D064C">
        <w:rPr>
          <w:sz w:val="24"/>
          <w:szCs w:val="24"/>
        </w:rPr>
        <w:t>tis.</w:t>
      </w:r>
      <w:r w:rsidR="00234C09">
        <w:rPr>
          <w:sz w:val="24"/>
          <w:szCs w:val="24"/>
        </w:rPr>
        <w:t> </w:t>
      </w:r>
      <w:r w:rsidRPr="000D064C">
        <w:rPr>
          <w:sz w:val="24"/>
          <w:szCs w:val="24"/>
        </w:rPr>
        <w:t>eur za Program Slovensko, Program Rybné hospodárstvo a</w:t>
      </w:r>
      <w:r w:rsidR="00234C09">
        <w:rPr>
          <w:sz w:val="24"/>
          <w:szCs w:val="24"/>
        </w:rPr>
        <w:t> </w:t>
      </w:r>
      <w:r w:rsidRPr="000D064C">
        <w:rPr>
          <w:sz w:val="24"/>
          <w:szCs w:val="24"/>
        </w:rPr>
        <w:t>za</w:t>
      </w:r>
      <w:r w:rsidR="00234C09">
        <w:rPr>
          <w:sz w:val="24"/>
          <w:szCs w:val="24"/>
        </w:rPr>
        <w:t> </w:t>
      </w:r>
      <w:r w:rsidRPr="000D064C">
        <w:rPr>
          <w:sz w:val="24"/>
          <w:szCs w:val="24"/>
        </w:rPr>
        <w:t>programy európskej územnej spolupráce, pre ktoré je MF SR platobným orgánom (Interreg VI-A SK-AT 2021-2027, Interreg VI-A SK-CZ 2021-2027). Rozpočet bol upravený na</w:t>
      </w:r>
      <w:r w:rsidR="00234C09">
        <w:rPr>
          <w:sz w:val="24"/>
          <w:szCs w:val="24"/>
        </w:rPr>
        <w:t> úroveň 106 294 </w:t>
      </w:r>
      <w:r w:rsidRPr="000D064C">
        <w:rPr>
          <w:sz w:val="24"/>
          <w:szCs w:val="24"/>
        </w:rPr>
        <w:t>tis.</w:t>
      </w:r>
      <w:r w:rsidR="00234C09">
        <w:rPr>
          <w:sz w:val="24"/>
          <w:szCs w:val="24"/>
        </w:rPr>
        <w:t> </w:t>
      </w:r>
      <w:r w:rsidRPr="000D064C">
        <w:rPr>
          <w:sz w:val="24"/>
          <w:szCs w:val="24"/>
        </w:rPr>
        <w:t>eur zohľadňujúc prostriedky zaviazané na použitie v nasledujúcich rokoch. Skutočné čerpanie výdavkov v roku 2024 bolo vo výške 106</w:t>
      </w:r>
      <w:r w:rsidR="00234C09">
        <w:rPr>
          <w:sz w:val="24"/>
          <w:szCs w:val="24"/>
        </w:rPr>
        <w:t> </w:t>
      </w:r>
      <w:r w:rsidRPr="000D064C">
        <w:rPr>
          <w:sz w:val="24"/>
          <w:szCs w:val="24"/>
        </w:rPr>
        <w:t>294</w:t>
      </w:r>
      <w:r w:rsidR="00234C09">
        <w:rPr>
          <w:sz w:val="24"/>
          <w:szCs w:val="24"/>
        </w:rPr>
        <w:t> tis. </w:t>
      </w:r>
      <w:r w:rsidRPr="000D064C">
        <w:rPr>
          <w:sz w:val="24"/>
          <w:szCs w:val="24"/>
        </w:rPr>
        <w:t>eur.</w:t>
      </w:r>
    </w:p>
    <w:p w14:paraId="6AE61660" w14:textId="11A4FB6A" w:rsidR="004D69BF" w:rsidRPr="000D064C" w:rsidRDefault="00234C09" w:rsidP="004D69BF">
      <w:pPr>
        <w:spacing w:line="240" w:lineRule="auto"/>
        <w:rPr>
          <w:sz w:val="24"/>
          <w:szCs w:val="24"/>
          <w:highlight w:val="yellow"/>
        </w:rPr>
      </w:pPr>
      <w:r>
        <w:rPr>
          <w:sz w:val="24"/>
          <w:szCs w:val="24"/>
        </w:rPr>
        <w:t>Výdavky za 4. </w:t>
      </w:r>
      <w:r w:rsidR="004D69BF" w:rsidRPr="000D064C">
        <w:rPr>
          <w:sz w:val="24"/>
          <w:szCs w:val="24"/>
        </w:rPr>
        <w:t>programové obdobie na opatrenia súvisiace s vojnovým konfliktom na</w:t>
      </w:r>
      <w:r>
        <w:rPr>
          <w:sz w:val="24"/>
          <w:szCs w:val="24"/>
        </w:rPr>
        <w:t> </w:t>
      </w:r>
      <w:r w:rsidR="004D69BF" w:rsidRPr="000D064C">
        <w:rPr>
          <w:sz w:val="24"/>
          <w:szCs w:val="24"/>
        </w:rPr>
        <w:t>Ukrajine realizované prostredníctvom k</w:t>
      </w:r>
      <w:r w:rsidR="00B7397E">
        <w:rPr>
          <w:sz w:val="24"/>
          <w:szCs w:val="24"/>
        </w:rPr>
        <w:t>apitol MPSVR SR a MD SR boli vo </w:t>
      </w:r>
      <w:r w:rsidR="004D69BF" w:rsidRPr="000D064C">
        <w:rPr>
          <w:sz w:val="24"/>
          <w:szCs w:val="24"/>
        </w:rPr>
        <w:t>výške 811</w:t>
      </w:r>
      <w:r>
        <w:rPr>
          <w:sz w:val="24"/>
          <w:szCs w:val="24"/>
        </w:rPr>
        <w:t> tis. </w:t>
      </w:r>
      <w:r w:rsidR="004D69BF" w:rsidRPr="000D064C">
        <w:rPr>
          <w:sz w:val="24"/>
          <w:szCs w:val="24"/>
        </w:rPr>
        <w:t>eur</w:t>
      </w:r>
      <w:r w:rsidR="008C57B7" w:rsidRPr="008C57B7">
        <w:rPr>
          <w:sz w:val="24"/>
          <w:szCs w:val="24"/>
          <w:vertAlign w:val="superscript"/>
        </w:rPr>
        <w:t>3</w:t>
      </w:r>
      <w:r w:rsidR="008C57B7">
        <w:rPr>
          <w:sz w:val="24"/>
          <w:szCs w:val="24"/>
          <w:vertAlign w:val="superscript"/>
        </w:rPr>
        <w:t>3</w:t>
      </w:r>
      <w:r w:rsidR="004D69BF" w:rsidRPr="000D064C">
        <w:rPr>
          <w:sz w:val="24"/>
          <w:szCs w:val="24"/>
        </w:rPr>
        <w:t>.</w:t>
      </w:r>
    </w:p>
    <w:p w14:paraId="17F54415" w14:textId="18FCEA10" w:rsidR="004D69BF" w:rsidRPr="000D064C" w:rsidRDefault="004D69BF" w:rsidP="004D69BF">
      <w:pPr>
        <w:spacing w:line="240" w:lineRule="auto"/>
        <w:rPr>
          <w:sz w:val="24"/>
          <w:szCs w:val="24"/>
          <w:highlight w:val="yellow"/>
        </w:rPr>
      </w:pPr>
      <w:r w:rsidRPr="000D064C">
        <w:rPr>
          <w:b/>
          <w:sz w:val="24"/>
          <w:szCs w:val="24"/>
        </w:rPr>
        <w:t>Prost</w:t>
      </w:r>
      <w:r w:rsidR="00234C09">
        <w:rPr>
          <w:b/>
          <w:sz w:val="24"/>
          <w:szCs w:val="24"/>
        </w:rPr>
        <w:t>riedky za štrukturálne operácie</w:t>
      </w:r>
      <w:r w:rsidRPr="000D064C">
        <w:rPr>
          <w:b/>
          <w:sz w:val="24"/>
          <w:szCs w:val="24"/>
        </w:rPr>
        <w:t xml:space="preserve"> MPSVR SR</w:t>
      </w:r>
      <w:r w:rsidRPr="000D064C">
        <w:rPr>
          <w:sz w:val="24"/>
          <w:szCs w:val="24"/>
        </w:rPr>
        <w:t xml:space="preserve"> neboli rozpočtované z dôvodu ukončenia 3.</w:t>
      </w:r>
      <w:r w:rsidR="00234C09">
        <w:rPr>
          <w:sz w:val="24"/>
          <w:szCs w:val="24"/>
        </w:rPr>
        <w:t> </w:t>
      </w:r>
      <w:r w:rsidRPr="000D064C">
        <w:rPr>
          <w:sz w:val="24"/>
          <w:szCs w:val="24"/>
        </w:rPr>
        <w:t>programového obdobia Operačného programu sociálneho začlenenia najodkázanejších osôb. Rozpočet výdavkov bol upravený o nepoužité prostriedky z predchádzajúcich rokov v zmysle §</w:t>
      </w:r>
      <w:r w:rsidR="00234C09">
        <w:rPr>
          <w:sz w:val="24"/>
          <w:szCs w:val="24"/>
        </w:rPr>
        <w:t> </w:t>
      </w:r>
      <w:r w:rsidRPr="000D064C">
        <w:rPr>
          <w:sz w:val="24"/>
          <w:szCs w:val="24"/>
        </w:rPr>
        <w:t>8 zákona o rozpočtových pravidlách na úroveň</w:t>
      </w:r>
      <w:r w:rsidR="00234C09">
        <w:rPr>
          <w:sz w:val="24"/>
          <w:szCs w:val="24"/>
        </w:rPr>
        <w:t xml:space="preserve"> 100 </w:t>
      </w:r>
      <w:r w:rsidRPr="000D064C">
        <w:rPr>
          <w:sz w:val="24"/>
          <w:szCs w:val="24"/>
        </w:rPr>
        <w:t>tis.</w:t>
      </w:r>
      <w:r w:rsidR="00234C09">
        <w:rPr>
          <w:sz w:val="24"/>
          <w:szCs w:val="24"/>
        </w:rPr>
        <w:t> </w:t>
      </w:r>
      <w:r w:rsidRPr="000D064C">
        <w:rPr>
          <w:sz w:val="24"/>
          <w:szCs w:val="24"/>
        </w:rPr>
        <w:t>eur a skutočné čerpa</w:t>
      </w:r>
      <w:r w:rsidR="00234C09">
        <w:rPr>
          <w:sz w:val="24"/>
          <w:szCs w:val="24"/>
        </w:rPr>
        <w:t>nie výdavkov bolo na úrovni 100 </w:t>
      </w:r>
      <w:r w:rsidRPr="000D064C">
        <w:rPr>
          <w:sz w:val="24"/>
          <w:szCs w:val="24"/>
        </w:rPr>
        <w:t>tis.</w:t>
      </w:r>
      <w:r w:rsidR="00234C09">
        <w:rPr>
          <w:sz w:val="24"/>
          <w:szCs w:val="24"/>
        </w:rPr>
        <w:t> </w:t>
      </w:r>
      <w:r w:rsidRPr="000D064C">
        <w:rPr>
          <w:sz w:val="24"/>
          <w:szCs w:val="24"/>
        </w:rPr>
        <w:t>eur.</w:t>
      </w:r>
    </w:p>
    <w:p w14:paraId="37419FFD" w14:textId="3221C01C" w:rsidR="004D69BF" w:rsidRPr="000D064C" w:rsidRDefault="004D69BF" w:rsidP="004D69BF">
      <w:pPr>
        <w:spacing w:line="240" w:lineRule="auto"/>
        <w:rPr>
          <w:sz w:val="24"/>
          <w:szCs w:val="24"/>
        </w:rPr>
      </w:pPr>
      <w:r w:rsidRPr="000D064C">
        <w:rPr>
          <w:b/>
          <w:sz w:val="24"/>
          <w:szCs w:val="24"/>
        </w:rPr>
        <w:t>Prostr</w:t>
      </w:r>
      <w:r w:rsidR="00234C09">
        <w:rPr>
          <w:b/>
          <w:sz w:val="24"/>
          <w:szCs w:val="24"/>
        </w:rPr>
        <w:t xml:space="preserve">iedky za štrukturálne operácie </w:t>
      </w:r>
      <w:r w:rsidRPr="000D064C">
        <w:rPr>
          <w:b/>
          <w:sz w:val="24"/>
          <w:szCs w:val="24"/>
        </w:rPr>
        <w:t>MV SR</w:t>
      </w:r>
      <w:r w:rsidRPr="000D064C">
        <w:rPr>
          <w:sz w:val="24"/>
          <w:szCs w:val="24"/>
        </w:rPr>
        <w:t xml:space="preserve"> </w:t>
      </w:r>
      <w:r w:rsidR="00234C09">
        <w:rPr>
          <w:sz w:val="24"/>
          <w:szCs w:val="24"/>
        </w:rPr>
        <w:t>boli rozpočtované za 4. </w:t>
      </w:r>
      <w:r w:rsidRPr="000D064C">
        <w:rPr>
          <w:sz w:val="24"/>
          <w:szCs w:val="24"/>
        </w:rPr>
        <w:t>programové obdobie vo</w:t>
      </w:r>
      <w:r w:rsidR="00234C09">
        <w:rPr>
          <w:sz w:val="24"/>
          <w:szCs w:val="24"/>
        </w:rPr>
        <w:t> výške 2 356 </w:t>
      </w:r>
      <w:r w:rsidRPr="000D064C">
        <w:rPr>
          <w:sz w:val="24"/>
          <w:szCs w:val="24"/>
        </w:rPr>
        <w:t>tis.</w:t>
      </w:r>
      <w:r w:rsidR="00234C09">
        <w:rPr>
          <w:sz w:val="24"/>
          <w:szCs w:val="24"/>
        </w:rPr>
        <w:t> </w:t>
      </w:r>
      <w:r w:rsidRPr="000D064C">
        <w:rPr>
          <w:sz w:val="24"/>
          <w:szCs w:val="24"/>
        </w:rPr>
        <w:t>eur za Fondy pre oblasť v</w:t>
      </w:r>
      <w:r w:rsidR="00234C09">
        <w:rPr>
          <w:sz w:val="24"/>
          <w:szCs w:val="24"/>
        </w:rPr>
        <w:t>nútorných záležitostí (Fond pre </w:t>
      </w:r>
      <w:r w:rsidRPr="000D064C">
        <w:rPr>
          <w:sz w:val="24"/>
          <w:szCs w:val="24"/>
        </w:rPr>
        <w:t>azyl, migráciu a integráciu, Fond pre integrované riadenie hraníc, Fond pre vnútornú bezpečnosť). Rozpočet výdavkov bol upravený o nepoužité prostriedky z predchádzajúcich rokov v zmysle §</w:t>
      </w:r>
      <w:r w:rsidR="00234C09">
        <w:rPr>
          <w:sz w:val="24"/>
          <w:szCs w:val="24"/>
        </w:rPr>
        <w:t> </w:t>
      </w:r>
      <w:r w:rsidRPr="000D064C">
        <w:rPr>
          <w:sz w:val="24"/>
          <w:szCs w:val="24"/>
        </w:rPr>
        <w:t>8 zákona o rozpočtových pravidlách na úroveň 392</w:t>
      </w:r>
      <w:r w:rsidR="00234C09">
        <w:rPr>
          <w:sz w:val="24"/>
          <w:szCs w:val="24"/>
        </w:rPr>
        <w:t> </w:t>
      </w:r>
      <w:r w:rsidRPr="000D064C">
        <w:rPr>
          <w:sz w:val="24"/>
          <w:szCs w:val="24"/>
        </w:rPr>
        <w:t>tis.</w:t>
      </w:r>
      <w:r w:rsidR="00234C09">
        <w:rPr>
          <w:sz w:val="24"/>
          <w:szCs w:val="24"/>
        </w:rPr>
        <w:t> </w:t>
      </w:r>
      <w:r w:rsidRPr="000D064C">
        <w:rPr>
          <w:sz w:val="24"/>
          <w:szCs w:val="24"/>
        </w:rPr>
        <w:t>eur a skutočné čerpanie výdavkov</w:t>
      </w:r>
      <w:r w:rsidR="00234C09">
        <w:rPr>
          <w:sz w:val="24"/>
          <w:szCs w:val="24"/>
        </w:rPr>
        <w:t xml:space="preserve"> bolo na úrovni 392 </w:t>
      </w:r>
      <w:r w:rsidRPr="000D064C">
        <w:rPr>
          <w:sz w:val="24"/>
          <w:szCs w:val="24"/>
        </w:rPr>
        <w:t>tis.</w:t>
      </w:r>
      <w:r w:rsidR="00234C09">
        <w:rPr>
          <w:sz w:val="24"/>
          <w:szCs w:val="24"/>
        </w:rPr>
        <w:t> </w:t>
      </w:r>
      <w:r w:rsidRPr="000D064C">
        <w:rPr>
          <w:sz w:val="24"/>
          <w:szCs w:val="24"/>
        </w:rPr>
        <w:t>eur.</w:t>
      </w:r>
    </w:p>
    <w:p w14:paraId="6BA375E3" w14:textId="235896AA" w:rsidR="004D69BF" w:rsidRPr="000D064C" w:rsidRDefault="004D69BF" w:rsidP="004D69BF">
      <w:pPr>
        <w:spacing w:line="240" w:lineRule="auto"/>
        <w:rPr>
          <w:sz w:val="24"/>
          <w:szCs w:val="24"/>
        </w:rPr>
      </w:pPr>
      <w:r w:rsidRPr="000D064C">
        <w:rPr>
          <w:b/>
          <w:sz w:val="24"/>
          <w:szCs w:val="24"/>
        </w:rPr>
        <w:t>Prostriedky za poľnohospodárske fondy</w:t>
      </w:r>
      <w:r w:rsidRPr="000D064C">
        <w:rPr>
          <w:sz w:val="24"/>
          <w:szCs w:val="24"/>
        </w:rPr>
        <w:t xml:space="preserve"> boli</w:t>
      </w:r>
      <w:r w:rsidR="00234C09">
        <w:rPr>
          <w:sz w:val="24"/>
          <w:szCs w:val="24"/>
        </w:rPr>
        <w:t xml:space="preserve"> v roku 2024 rozpočtované za 3. </w:t>
      </w:r>
      <w:r w:rsidRPr="000D064C">
        <w:rPr>
          <w:sz w:val="24"/>
          <w:szCs w:val="24"/>
        </w:rPr>
        <w:t xml:space="preserve">programové obdobie za Program </w:t>
      </w:r>
      <w:r w:rsidR="00234C09">
        <w:rPr>
          <w:sz w:val="24"/>
          <w:szCs w:val="24"/>
        </w:rPr>
        <w:t xml:space="preserve">rozvoja vidieka vo výške </w:t>
      </w:r>
      <w:r w:rsidR="002F7A83">
        <w:rPr>
          <w:sz w:val="24"/>
          <w:szCs w:val="24"/>
        </w:rPr>
        <w:t>5 750</w:t>
      </w:r>
      <w:r w:rsidR="00234C09">
        <w:rPr>
          <w:sz w:val="24"/>
          <w:szCs w:val="24"/>
        </w:rPr>
        <w:t> </w:t>
      </w:r>
      <w:r w:rsidRPr="000D064C">
        <w:rPr>
          <w:sz w:val="24"/>
          <w:szCs w:val="24"/>
        </w:rPr>
        <w:t>tis.</w:t>
      </w:r>
      <w:r w:rsidR="00234C09">
        <w:rPr>
          <w:sz w:val="24"/>
          <w:szCs w:val="24"/>
        </w:rPr>
        <w:t> </w:t>
      </w:r>
      <w:r w:rsidRPr="000D064C">
        <w:rPr>
          <w:sz w:val="24"/>
          <w:szCs w:val="24"/>
        </w:rPr>
        <w:t>eur a za 4.</w:t>
      </w:r>
      <w:r w:rsidR="00234C09">
        <w:rPr>
          <w:sz w:val="24"/>
          <w:szCs w:val="24"/>
        </w:rPr>
        <w:t> </w:t>
      </w:r>
      <w:r w:rsidRPr="000D064C">
        <w:rPr>
          <w:sz w:val="24"/>
          <w:szCs w:val="24"/>
        </w:rPr>
        <w:t>programové obdobie za</w:t>
      </w:r>
      <w:r w:rsidR="00234C09">
        <w:rPr>
          <w:sz w:val="24"/>
          <w:szCs w:val="24"/>
        </w:rPr>
        <w:t> </w:t>
      </w:r>
      <w:r w:rsidRPr="000D064C">
        <w:rPr>
          <w:sz w:val="24"/>
          <w:szCs w:val="24"/>
        </w:rPr>
        <w:t>Európsky poľnohospodársky záručný fond (Priame platby a Trhovo orientované výdavky) a</w:t>
      </w:r>
      <w:r w:rsidR="00234C09">
        <w:rPr>
          <w:sz w:val="24"/>
          <w:szCs w:val="24"/>
        </w:rPr>
        <w:t> </w:t>
      </w:r>
      <w:r w:rsidRPr="000D064C">
        <w:rPr>
          <w:sz w:val="24"/>
          <w:szCs w:val="24"/>
        </w:rPr>
        <w:t xml:space="preserve">za Európsky poľnohospodársky fond pre rozvoj vidieka vo výške </w:t>
      </w:r>
      <w:r w:rsidR="002F7A83">
        <w:rPr>
          <w:sz w:val="24"/>
          <w:szCs w:val="24"/>
        </w:rPr>
        <w:t>173 321</w:t>
      </w:r>
      <w:r w:rsidR="00234C09">
        <w:rPr>
          <w:sz w:val="24"/>
          <w:szCs w:val="24"/>
        </w:rPr>
        <w:t> </w:t>
      </w:r>
      <w:r w:rsidRPr="000D064C">
        <w:rPr>
          <w:sz w:val="24"/>
          <w:szCs w:val="24"/>
        </w:rPr>
        <w:t>tis</w:t>
      </w:r>
      <w:r w:rsidR="00234C09">
        <w:rPr>
          <w:sz w:val="24"/>
          <w:szCs w:val="24"/>
        </w:rPr>
        <w:t>. </w:t>
      </w:r>
      <w:r w:rsidRPr="000D064C">
        <w:rPr>
          <w:sz w:val="24"/>
          <w:szCs w:val="24"/>
        </w:rPr>
        <w:t>eur. Legislatíva EÚ umožňuje prostriedky 3.</w:t>
      </w:r>
      <w:r w:rsidR="00234C09">
        <w:rPr>
          <w:sz w:val="24"/>
          <w:szCs w:val="24"/>
        </w:rPr>
        <w:t> </w:t>
      </w:r>
      <w:r w:rsidRPr="000D064C">
        <w:rPr>
          <w:sz w:val="24"/>
          <w:szCs w:val="24"/>
        </w:rPr>
        <w:t>programového obdobia čerpať až do 31.12.2025.</w:t>
      </w:r>
    </w:p>
    <w:p w14:paraId="78EE8284" w14:textId="0722C116" w:rsidR="004D69BF" w:rsidRPr="000D064C" w:rsidRDefault="004D69BF" w:rsidP="004D69BF">
      <w:pPr>
        <w:spacing w:line="240" w:lineRule="auto"/>
        <w:rPr>
          <w:sz w:val="24"/>
          <w:szCs w:val="24"/>
        </w:rPr>
      </w:pPr>
      <w:r w:rsidRPr="000D064C">
        <w:rPr>
          <w:sz w:val="24"/>
          <w:szCs w:val="24"/>
        </w:rPr>
        <w:t>Rozpočet výdavkov bol upravený o nepoužité prostriedky z predchádzajúcich rokov v zmysle §</w:t>
      </w:r>
      <w:r w:rsidR="00234C09">
        <w:rPr>
          <w:sz w:val="24"/>
          <w:szCs w:val="24"/>
        </w:rPr>
        <w:t> </w:t>
      </w:r>
      <w:r w:rsidRPr="000D064C">
        <w:rPr>
          <w:sz w:val="24"/>
          <w:szCs w:val="24"/>
        </w:rPr>
        <w:t xml:space="preserve">8 zákona o rozpočtových pravidlách a o presuny z dôvodu zmeny účelu použitia v rámci </w:t>
      </w:r>
      <w:r w:rsidRPr="000D064C">
        <w:rPr>
          <w:sz w:val="24"/>
          <w:szCs w:val="24"/>
        </w:rPr>
        <w:lastRenderedPageBreak/>
        <w:t>prechodnej vnútroštátnej pomoci na výšku 164</w:t>
      </w:r>
      <w:r w:rsidR="00234C09">
        <w:rPr>
          <w:sz w:val="24"/>
          <w:szCs w:val="24"/>
        </w:rPr>
        <w:t> </w:t>
      </w:r>
      <w:r w:rsidRPr="000D064C">
        <w:rPr>
          <w:sz w:val="24"/>
          <w:szCs w:val="24"/>
        </w:rPr>
        <w:t>920</w:t>
      </w:r>
      <w:r w:rsidR="00234C09">
        <w:rPr>
          <w:sz w:val="24"/>
          <w:szCs w:val="24"/>
        </w:rPr>
        <w:t> </w:t>
      </w:r>
      <w:r w:rsidRPr="000D064C">
        <w:rPr>
          <w:sz w:val="24"/>
          <w:szCs w:val="24"/>
        </w:rPr>
        <w:t>tis.</w:t>
      </w:r>
      <w:r w:rsidR="00234C09">
        <w:rPr>
          <w:sz w:val="24"/>
          <w:szCs w:val="24"/>
        </w:rPr>
        <w:t> </w:t>
      </w:r>
      <w:r w:rsidRPr="000D064C">
        <w:rPr>
          <w:sz w:val="24"/>
          <w:szCs w:val="24"/>
        </w:rPr>
        <w:t>eur a skutočné čerpanie výdavkov bo</w:t>
      </w:r>
      <w:r w:rsidR="00234C09">
        <w:rPr>
          <w:sz w:val="24"/>
          <w:szCs w:val="24"/>
        </w:rPr>
        <w:t>lo v roku 2024 vo výške 164 920 </w:t>
      </w:r>
      <w:r w:rsidRPr="000D064C">
        <w:rPr>
          <w:sz w:val="24"/>
          <w:szCs w:val="24"/>
        </w:rPr>
        <w:t>tis.</w:t>
      </w:r>
      <w:r w:rsidR="00234C09">
        <w:rPr>
          <w:sz w:val="24"/>
          <w:szCs w:val="24"/>
        </w:rPr>
        <w:t> </w:t>
      </w:r>
      <w:r w:rsidRPr="000D064C">
        <w:rPr>
          <w:sz w:val="24"/>
          <w:szCs w:val="24"/>
        </w:rPr>
        <w:t>eur.</w:t>
      </w:r>
    </w:p>
    <w:p w14:paraId="6C1F88BC" w14:textId="2A25730B" w:rsidR="00291B58" w:rsidRPr="00291B58" w:rsidRDefault="00291B58" w:rsidP="00291B58">
      <w:pPr>
        <w:spacing w:line="240" w:lineRule="auto"/>
        <w:rPr>
          <w:rFonts w:eastAsia="Times New Roman" w:cs="Times New Roman"/>
          <w:b/>
          <w:bCs/>
          <w:color w:val="5B9BD5"/>
          <w:sz w:val="20"/>
          <w:szCs w:val="20"/>
          <w:lang w:eastAsia="sk-SK"/>
        </w:rPr>
      </w:pPr>
      <w:bookmarkStart w:id="155" w:name="_Toc196313669"/>
      <w:bookmarkStart w:id="156" w:name="_Toc196389290"/>
      <w:r w:rsidRPr="00291B58">
        <w:rPr>
          <w:rFonts w:eastAsia="Times New Roman" w:cs="Times New Roman"/>
          <w:b/>
          <w:bCs/>
          <w:color w:val="5B9BD5"/>
          <w:sz w:val="20"/>
          <w:szCs w:val="20"/>
          <w:lang w:eastAsia="sk-SK"/>
        </w:rPr>
        <w:t xml:space="preserve">Tabuľka </w:t>
      </w:r>
      <w:r w:rsidRPr="00291B58">
        <w:rPr>
          <w:rFonts w:eastAsia="Times New Roman" w:cs="Times New Roman"/>
          <w:b/>
          <w:bCs/>
          <w:color w:val="5B9BD5"/>
          <w:sz w:val="20"/>
          <w:szCs w:val="20"/>
          <w:lang w:eastAsia="sk-SK"/>
        </w:rPr>
        <w:fldChar w:fldCharType="begin"/>
      </w:r>
      <w:r w:rsidRPr="00291B58">
        <w:rPr>
          <w:rFonts w:eastAsia="Times New Roman" w:cs="Times New Roman"/>
          <w:b/>
          <w:bCs/>
          <w:color w:val="5B9BD5"/>
          <w:sz w:val="20"/>
          <w:szCs w:val="20"/>
          <w:lang w:eastAsia="sk-SK"/>
        </w:rPr>
        <w:instrText xml:space="preserve"> SEQ Tabuľka \* ARABIC </w:instrText>
      </w:r>
      <w:r w:rsidRPr="00291B58">
        <w:rPr>
          <w:rFonts w:eastAsia="Times New Roman" w:cs="Times New Roman"/>
          <w:b/>
          <w:bCs/>
          <w:color w:val="5B9BD5"/>
          <w:sz w:val="20"/>
          <w:szCs w:val="20"/>
          <w:lang w:eastAsia="sk-SK"/>
        </w:rPr>
        <w:fldChar w:fldCharType="separate"/>
      </w:r>
      <w:r w:rsidR="00C64CBA">
        <w:rPr>
          <w:rFonts w:eastAsia="Times New Roman" w:cs="Times New Roman"/>
          <w:b/>
          <w:bCs/>
          <w:noProof/>
          <w:color w:val="5B9BD5"/>
          <w:sz w:val="20"/>
          <w:szCs w:val="20"/>
          <w:lang w:eastAsia="sk-SK"/>
        </w:rPr>
        <w:t>43</w:t>
      </w:r>
      <w:r w:rsidRPr="00291B58">
        <w:rPr>
          <w:rFonts w:eastAsia="Times New Roman" w:cs="Times New Roman"/>
          <w:b/>
          <w:bCs/>
          <w:color w:val="5B9BD5"/>
          <w:sz w:val="20"/>
          <w:szCs w:val="20"/>
          <w:lang w:eastAsia="sk-SK"/>
        </w:rPr>
        <w:fldChar w:fldCharType="end"/>
      </w:r>
      <w:r w:rsidRPr="00291B58">
        <w:rPr>
          <w:rFonts w:eastAsia="Times New Roman" w:cs="Times New Roman"/>
          <w:b/>
          <w:bCs/>
          <w:color w:val="5B9BD5"/>
          <w:sz w:val="20"/>
          <w:szCs w:val="20"/>
          <w:lang w:eastAsia="sk-SK"/>
        </w:rPr>
        <w:t xml:space="preserve"> - Výdavky spolufin</w:t>
      </w:r>
      <w:r w:rsidR="00FA5A1C">
        <w:rPr>
          <w:rFonts w:eastAsia="Times New Roman" w:cs="Times New Roman"/>
          <w:b/>
          <w:bCs/>
          <w:color w:val="5B9BD5"/>
          <w:sz w:val="20"/>
          <w:szCs w:val="20"/>
          <w:lang w:eastAsia="sk-SK"/>
        </w:rPr>
        <w:t>.</w:t>
      </w:r>
      <w:r w:rsidRPr="00291B58">
        <w:rPr>
          <w:rFonts w:eastAsia="Times New Roman" w:cs="Times New Roman"/>
          <w:b/>
          <w:bCs/>
          <w:color w:val="5B9BD5"/>
          <w:sz w:val="20"/>
          <w:szCs w:val="20"/>
          <w:lang w:eastAsia="sk-SK"/>
        </w:rPr>
        <w:t xml:space="preserve"> zo ŠR k prostriedkom EÚ</w:t>
      </w:r>
      <w:bookmarkEnd w:id="155"/>
      <w:bookmarkEnd w:id="156"/>
    </w:p>
    <w:tbl>
      <w:tblPr>
        <w:tblW w:w="5000" w:type="pct"/>
        <w:tblCellMar>
          <w:left w:w="70" w:type="dxa"/>
          <w:right w:w="70" w:type="dxa"/>
        </w:tblCellMar>
        <w:tblLook w:val="04A0" w:firstRow="1" w:lastRow="0" w:firstColumn="1" w:lastColumn="0" w:noHBand="0" w:noVBand="1"/>
      </w:tblPr>
      <w:tblGrid>
        <w:gridCol w:w="4401"/>
        <w:gridCol w:w="841"/>
        <w:gridCol w:w="922"/>
        <w:gridCol w:w="922"/>
        <w:gridCol w:w="922"/>
        <w:gridCol w:w="922"/>
      </w:tblGrid>
      <w:tr w:rsidR="004D69BF" w:rsidRPr="00B70048" w14:paraId="79951970" w14:textId="77777777" w:rsidTr="001D2C2C">
        <w:trPr>
          <w:trHeight w:val="407"/>
          <w:tblHeader/>
        </w:trPr>
        <w:tc>
          <w:tcPr>
            <w:tcW w:w="2464" w:type="pct"/>
            <w:vMerge w:val="restart"/>
            <w:tcBorders>
              <w:top w:val="single" w:sz="4" w:space="0" w:color="auto"/>
            </w:tcBorders>
            <w:shd w:val="clear" w:color="auto" w:fill="auto"/>
            <w:vAlign w:val="center"/>
            <w:hideMark/>
          </w:tcPr>
          <w:p w14:paraId="5BD53FAC" w14:textId="77777777" w:rsidR="004D69BF" w:rsidRPr="00B70048" w:rsidRDefault="004D69BF" w:rsidP="000240DA">
            <w:pPr>
              <w:spacing w:line="240" w:lineRule="auto"/>
              <w:rPr>
                <w:sz w:val="18"/>
                <w:szCs w:val="18"/>
              </w:rPr>
            </w:pPr>
            <w:r w:rsidRPr="00B70048">
              <w:rPr>
                <w:b/>
                <w:bCs/>
                <w:sz w:val="18"/>
                <w:szCs w:val="18"/>
              </w:rPr>
              <w:t>v tis. eur</w:t>
            </w:r>
          </w:p>
        </w:tc>
        <w:tc>
          <w:tcPr>
            <w:tcW w:w="471" w:type="pct"/>
            <w:tcBorders>
              <w:top w:val="single" w:sz="4" w:space="0" w:color="auto"/>
            </w:tcBorders>
            <w:shd w:val="clear" w:color="auto" w:fill="auto"/>
            <w:vAlign w:val="center"/>
            <w:hideMark/>
          </w:tcPr>
          <w:p w14:paraId="1EF89143" w14:textId="77777777" w:rsidR="004D69BF" w:rsidRPr="00B70048" w:rsidRDefault="004D69BF" w:rsidP="000240DA">
            <w:pPr>
              <w:spacing w:line="240" w:lineRule="auto"/>
              <w:jc w:val="center"/>
              <w:rPr>
                <w:sz w:val="18"/>
                <w:szCs w:val="18"/>
              </w:rPr>
            </w:pPr>
            <w:r w:rsidRPr="00B70048">
              <w:rPr>
                <w:b/>
                <w:bCs/>
                <w:color w:val="000000"/>
                <w:sz w:val="18"/>
                <w:szCs w:val="18"/>
              </w:rPr>
              <w:t>2022 S</w:t>
            </w:r>
          </w:p>
        </w:tc>
        <w:tc>
          <w:tcPr>
            <w:tcW w:w="516" w:type="pct"/>
            <w:tcBorders>
              <w:top w:val="single" w:sz="4" w:space="0" w:color="auto"/>
            </w:tcBorders>
            <w:shd w:val="clear" w:color="auto" w:fill="auto"/>
            <w:vAlign w:val="center"/>
            <w:hideMark/>
          </w:tcPr>
          <w:p w14:paraId="40E980C5" w14:textId="77777777" w:rsidR="004D69BF" w:rsidRPr="00B70048" w:rsidRDefault="004D69BF" w:rsidP="000240DA">
            <w:pPr>
              <w:spacing w:line="240" w:lineRule="auto"/>
              <w:jc w:val="center"/>
              <w:rPr>
                <w:sz w:val="18"/>
                <w:szCs w:val="18"/>
              </w:rPr>
            </w:pPr>
            <w:r w:rsidRPr="00B70048">
              <w:rPr>
                <w:b/>
                <w:bCs/>
                <w:color w:val="000000"/>
                <w:sz w:val="18"/>
                <w:szCs w:val="18"/>
              </w:rPr>
              <w:t>2023 S</w:t>
            </w:r>
          </w:p>
        </w:tc>
        <w:tc>
          <w:tcPr>
            <w:tcW w:w="516" w:type="pct"/>
            <w:tcBorders>
              <w:top w:val="single" w:sz="4" w:space="0" w:color="auto"/>
            </w:tcBorders>
            <w:shd w:val="clear" w:color="auto" w:fill="auto"/>
            <w:vAlign w:val="center"/>
            <w:hideMark/>
          </w:tcPr>
          <w:p w14:paraId="58FDDFB4" w14:textId="77777777" w:rsidR="004D69BF" w:rsidRPr="00B70048" w:rsidRDefault="004D69BF" w:rsidP="000240DA">
            <w:pPr>
              <w:spacing w:line="240" w:lineRule="auto"/>
              <w:jc w:val="center"/>
              <w:rPr>
                <w:sz w:val="18"/>
                <w:szCs w:val="18"/>
              </w:rPr>
            </w:pPr>
            <w:r w:rsidRPr="00B70048">
              <w:rPr>
                <w:b/>
                <w:bCs/>
                <w:color w:val="000000"/>
                <w:sz w:val="18"/>
                <w:szCs w:val="18"/>
              </w:rPr>
              <w:t>2024 R</w:t>
            </w:r>
          </w:p>
        </w:tc>
        <w:tc>
          <w:tcPr>
            <w:tcW w:w="516" w:type="pct"/>
            <w:tcBorders>
              <w:top w:val="single" w:sz="4" w:space="0" w:color="auto"/>
            </w:tcBorders>
            <w:shd w:val="clear" w:color="auto" w:fill="auto"/>
            <w:vAlign w:val="center"/>
            <w:hideMark/>
          </w:tcPr>
          <w:p w14:paraId="1E7BE9F0" w14:textId="77777777" w:rsidR="004D69BF" w:rsidRPr="00B70048" w:rsidRDefault="004D69BF" w:rsidP="000240DA">
            <w:pPr>
              <w:spacing w:line="240" w:lineRule="auto"/>
              <w:jc w:val="center"/>
              <w:rPr>
                <w:sz w:val="18"/>
                <w:szCs w:val="18"/>
              </w:rPr>
            </w:pPr>
            <w:r w:rsidRPr="00B70048">
              <w:rPr>
                <w:b/>
                <w:bCs/>
                <w:color w:val="000000"/>
                <w:sz w:val="18"/>
                <w:szCs w:val="18"/>
              </w:rPr>
              <w:t>2024 S</w:t>
            </w:r>
          </w:p>
        </w:tc>
        <w:tc>
          <w:tcPr>
            <w:tcW w:w="516" w:type="pct"/>
            <w:tcBorders>
              <w:top w:val="single" w:sz="4" w:space="0" w:color="auto"/>
            </w:tcBorders>
            <w:shd w:val="clear" w:color="auto" w:fill="auto"/>
            <w:vAlign w:val="center"/>
            <w:hideMark/>
          </w:tcPr>
          <w:p w14:paraId="12CA6519" w14:textId="77777777" w:rsidR="004D69BF" w:rsidRPr="00B70048" w:rsidRDefault="004D69BF" w:rsidP="000240DA">
            <w:pPr>
              <w:spacing w:line="240" w:lineRule="auto"/>
              <w:jc w:val="center"/>
              <w:rPr>
                <w:sz w:val="18"/>
                <w:szCs w:val="18"/>
              </w:rPr>
            </w:pPr>
            <w:r w:rsidRPr="00B70048">
              <w:rPr>
                <w:b/>
                <w:bCs/>
                <w:color w:val="000000"/>
                <w:sz w:val="18"/>
                <w:szCs w:val="18"/>
              </w:rPr>
              <w:t>Rozdiel</w:t>
            </w:r>
          </w:p>
        </w:tc>
      </w:tr>
      <w:tr w:rsidR="004D69BF" w:rsidRPr="00B70048" w14:paraId="29109530" w14:textId="77777777" w:rsidTr="001D2C2C">
        <w:trPr>
          <w:trHeight w:val="289"/>
          <w:tblHeader/>
        </w:trPr>
        <w:tc>
          <w:tcPr>
            <w:tcW w:w="2464" w:type="pct"/>
            <w:vMerge/>
            <w:tcBorders>
              <w:bottom w:val="single" w:sz="4" w:space="0" w:color="auto"/>
            </w:tcBorders>
            <w:shd w:val="clear" w:color="auto" w:fill="auto"/>
            <w:vAlign w:val="center"/>
          </w:tcPr>
          <w:p w14:paraId="67FDE814" w14:textId="77777777" w:rsidR="004D69BF" w:rsidRPr="00B70048" w:rsidRDefault="004D69BF" w:rsidP="000240DA">
            <w:pPr>
              <w:spacing w:line="240" w:lineRule="auto"/>
              <w:rPr>
                <w:sz w:val="18"/>
                <w:szCs w:val="18"/>
              </w:rPr>
            </w:pPr>
          </w:p>
        </w:tc>
        <w:tc>
          <w:tcPr>
            <w:tcW w:w="471" w:type="pct"/>
            <w:tcBorders>
              <w:bottom w:val="single" w:sz="4" w:space="0" w:color="auto"/>
            </w:tcBorders>
            <w:shd w:val="clear" w:color="auto" w:fill="auto"/>
            <w:vAlign w:val="center"/>
          </w:tcPr>
          <w:p w14:paraId="12BD33FD" w14:textId="77777777" w:rsidR="004D69BF" w:rsidRPr="00B70048" w:rsidRDefault="004D69BF" w:rsidP="000240DA">
            <w:pPr>
              <w:spacing w:line="240" w:lineRule="auto"/>
              <w:jc w:val="center"/>
              <w:rPr>
                <w:sz w:val="18"/>
                <w:szCs w:val="18"/>
              </w:rPr>
            </w:pPr>
            <w:r w:rsidRPr="00B70048">
              <w:rPr>
                <w:b/>
                <w:bCs/>
                <w:sz w:val="18"/>
                <w:szCs w:val="18"/>
              </w:rPr>
              <w:t>1</w:t>
            </w:r>
          </w:p>
        </w:tc>
        <w:tc>
          <w:tcPr>
            <w:tcW w:w="516" w:type="pct"/>
            <w:tcBorders>
              <w:bottom w:val="single" w:sz="4" w:space="0" w:color="auto"/>
            </w:tcBorders>
            <w:shd w:val="clear" w:color="auto" w:fill="auto"/>
            <w:vAlign w:val="center"/>
          </w:tcPr>
          <w:p w14:paraId="7F8039E3" w14:textId="77777777" w:rsidR="004D69BF" w:rsidRPr="00B70048" w:rsidRDefault="004D69BF" w:rsidP="000240DA">
            <w:pPr>
              <w:spacing w:line="240" w:lineRule="auto"/>
              <w:jc w:val="center"/>
              <w:rPr>
                <w:sz w:val="18"/>
                <w:szCs w:val="18"/>
              </w:rPr>
            </w:pPr>
            <w:r w:rsidRPr="00B70048">
              <w:rPr>
                <w:b/>
                <w:bCs/>
                <w:sz w:val="18"/>
                <w:szCs w:val="18"/>
              </w:rPr>
              <w:t>2</w:t>
            </w:r>
          </w:p>
        </w:tc>
        <w:tc>
          <w:tcPr>
            <w:tcW w:w="516" w:type="pct"/>
            <w:tcBorders>
              <w:bottom w:val="single" w:sz="4" w:space="0" w:color="auto"/>
            </w:tcBorders>
            <w:shd w:val="clear" w:color="auto" w:fill="auto"/>
            <w:vAlign w:val="center"/>
          </w:tcPr>
          <w:p w14:paraId="7539B684" w14:textId="77777777" w:rsidR="004D69BF" w:rsidRPr="00B70048" w:rsidRDefault="004D69BF" w:rsidP="000240DA">
            <w:pPr>
              <w:spacing w:line="240" w:lineRule="auto"/>
              <w:jc w:val="center"/>
              <w:rPr>
                <w:sz w:val="18"/>
                <w:szCs w:val="18"/>
              </w:rPr>
            </w:pPr>
            <w:r w:rsidRPr="00B70048">
              <w:rPr>
                <w:b/>
                <w:bCs/>
                <w:sz w:val="18"/>
                <w:szCs w:val="18"/>
              </w:rPr>
              <w:t>3</w:t>
            </w:r>
          </w:p>
        </w:tc>
        <w:tc>
          <w:tcPr>
            <w:tcW w:w="516" w:type="pct"/>
            <w:tcBorders>
              <w:bottom w:val="single" w:sz="4" w:space="0" w:color="auto"/>
            </w:tcBorders>
            <w:shd w:val="clear" w:color="auto" w:fill="auto"/>
            <w:vAlign w:val="center"/>
          </w:tcPr>
          <w:p w14:paraId="421BEC4D" w14:textId="77777777" w:rsidR="004D69BF" w:rsidRPr="00B70048" w:rsidRDefault="004D69BF" w:rsidP="000240DA">
            <w:pPr>
              <w:spacing w:line="240" w:lineRule="auto"/>
              <w:jc w:val="center"/>
              <w:rPr>
                <w:sz w:val="18"/>
                <w:szCs w:val="18"/>
              </w:rPr>
            </w:pPr>
            <w:r w:rsidRPr="00B70048">
              <w:rPr>
                <w:b/>
                <w:bCs/>
                <w:sz w:val="18"/>
                <w:szCs w:val="18"/>
              </w:rPr>
              <w:t>4</w:t>
            </w:r>
          </w:p>
        </w:tc>
        <w:tc>
          <w:tcPr>
            <w:tcW w:w="516" w:type="pct"/>
            <w:tcBorders>
              <w:bottom w:val="single" w:sz="4" w:space="0" w:color="auto"/>
            </w:tcBorders>
            <w:shd w:val="clear" w:color="auto" w:fill="auto"/>
            <w:vAlign w:val="center"/>
          </w:tcPr>
          <w:p w14:paraId="444513AC" w14:textId="77777777" w:rsidR="004D69BF" w:rsidRPr="00B70048" w:rsidRDefault="004D69BF" w:rsidP="000240DA">
            <w:pPr>
              <w:spacing w:line="240" w:lineRule="auto"/>
              <w:jc w:val="center"/>
              <w:rPr>
                <w:sz w:val="18"/>
                <w:szCs w:val="18"/>
              </w:rPr>
            </w:pPr>
            <w:r w:rsidRPr="00B70048">
              <w:rPr>
                <w:b/>
                <w:bCs/>
                <w:sz w:val="18"/>
                <w:szCs w:val="18"/>
              </w:rPr>
              <w:t>5=4-3</w:t>
            </w:r>
          </w:p>
        </w:tc>
      </w:tr>
      <w:tr w:rsidR="004D69BF" w:rsidRPr="00B70048" w14:paraId="1226699A" w14:textId="77777777" w:rsidTr="001D2C2C">
        <w:trPr>
          <w:trHeight w:val="330"/>
        </w:trPr>
        <w:tc>
          <w:tcPr>
            <w:tcW w:w="2464" w:type="pct"/>
            <w:tcBorders>
              <w:top w:val="single" w:sz="4" w:space="0" w:color="auto"/>
            </w:tcBorders>
            <w:shd w:val="clear" w:color="000000" w:fill="FFFFFF"/>
            <w:vAlign w:val="center"/>
            <w:hideMark/>
          </w:tcPr>
          <w:p w14:paraId="7C3814E5" w14:textId="77777777" w:rsidR="004D69BF" w:rsidRPr="00B70048" w:rsidRDefault="004D69BF" w:rsidP="000240DA">
            <w:pPr>
              <w:spacing w:line="240" w:lineRule="auto"/>
              <w:rPr>
                <w:sz w:val="18"/>
                <w:szCs w:val="18"/>
              </w:rPr>
            </w:pPr>
            <w:r w:rsidRPr="00B70048">
              <w:rPr>
                <w:sz w:val="18"/>
                <w:szCs w:val="18"/>
              </w:rPr>
              <w:t>Poľnohospodárske fondy 3. programové obdobie</w:t>
            </w:r>
          </w:p>
        </w:tc>
        <w:tc>
          <w:tcPr>
            <w:tcW w:w="471" w:type="pct"/>
            <w:tcBorders>
              <w:top w:val="single" w:sz="4" w:space="0" w:color="auto"/>
              <w:left w:val="nil"/>
              <w:bottom w:val="nil"/>
              <w:right w:val="nil"/>
            </w:tcBorders>
            <w:shd w:val="clear" w:color="000000" w:fill="FFFFFF"/>
            <w:noWrap/>
            <w:vAlign w:val="center"/>
          </w:tcPr>
          <w:p w14:paraId="0E8699D1" w14:textId="77777777" w:rsidR="004D69BF" w:rsidRPr="00B70048" w:rsidRDefault="004D69BF" w:rsidP="000240DA">
            <w:pPr>
              <w:spacing w:line="240" w:lineRule="auto"/>
              <w:jc w:val="right"/>
              <w:rPr>
                <w:sz w:val="18"/>
                <w:szCs w:val="18"/>
              </w:rPr>
            </w:pPr>
            <w:r w:rsidRPr="00B70048">
              <w:rPr>
                <w:color w:val="000000"/>
                <w:sz w:val="18"/>
                <w:szCs w:val="18"/>
              </w:rPr>
              <w:t>68 342</w:t>
            </w:r>
          </w:p>
        </w:tc>
        <w:tc>
          <w:tcPr>
            <w:tcW w:w="516" w:type="pct"/>
            <w:tcBorders>
              <w:top w:val="single" w:sz="4" w:space="0" w:color="auto"/>
              <w:left w:val="nil"/>
              <w:bottom w:val="nil"/>
              <w:right w:val="nil"/>
            </w:tcBorders>
            <w:shd w:val="clear" w:color="000000" w:fill="FFFFFF"/>
            <w:noWrap/>
            <w:vAlign w:val="center"/>
          </w:tcPr>
          <w:p w14:paraId="5CC7ADE2" w14:textId="77777777" w:rsidR="004D69BF" w:rsidRPr="00B70048" w:rsidRDefault="004D69BF" w:rsidP="000240DA">
            <w:pPr>
              <w:spacing w:line="240" w:lineRule="auto"/>
              <w:jc w:val="right"/>
              <w:rPr>
                <w:sz w:val="18"/>
                <w:szCs w:val="18"/>
              </w:rPr>
            </w:pPr>
            <w:r w:rsidRPr="00B70048">
              <w:rPr>
                <w:color w:val="000000"/>
                <w:sz w:val="18"/>
                <w:szCs w:val="18"/>
              </w:rPr>
              <w:t>55 608</w:t>
            </w:r>
          </w:p>
        </w:tc>
        <w:tc>
          <w:tcPr>
            <w:tcW w:w="516" w:type="pct"/>
            <w:tcBorders>
              <w:top w:val="single" w:sz="4" w:space="0" w:color="auto"/>
              <w:left w:val="nil"/>
              <w:bottom w:val="nil"/>
              <w:right w:val="nil"/>
            </w:tcBorders>
            <w:shd w:val="clear" w:color="000000" w:fill="FFFFFF"/>
            <w:noWrap/>
            <w:vAlign w:val="center"/>
          </w:tcPr>
          <w:p w14:paraId="73669176" w14:textId="77777777" w:rsidR="004D69BF" w:rsidRPr="00B70048" w:rsidRDefault="004D69BF" w:rsidP="000240DA">
            <w:pPr>
              <w:spacing w:line="240" w:lineRule="auto"/>
              <w:jc w:val="right"/>
              <w:rPr>
                <w:sz w:val="18"/>
                <w:szCs w:val="18"/>
              </w:rPr>
            </w:pPr>
            <w:r w:rsidRPr="00B70048">
              <w:rPr>
                <w:color w:val="000000"/>
                <w:sz w:val="18"/>
                <w:szCs w:val="18"/>
              </w:rPr>
              <w:t>5 750</w:t>
            </w:r>
          </w:p>
        </w:tc>
        <w:tc>
          <w:tcPr>
            <w:tcW w:w="516" w:type="pct"/>
            <w:tcBorders>
              <w:top w:val="single" w:sz="4" w:space="0" w:color="auto"/>
              <w:left w:val="nil"/>
              <w:bottom w:val="nil"/>
              <w:right w:val="nil"/>
            </w:tcBorders>
            <w:shd w:val="clear" w:color="auto" w:fill="auto"/>
            <w:noWrap/>
            <w:vAlign w:val="center"/>
          </w:tcPr>
          <w:p w14:paraId="40E75E51" w14:textId="77777777" w:rsidR="004D69BF" w:rsidRPr="00B70048" w:rsidRDefault="004D69BF" w:rsidP="000240DA">
            <w:pPr>
              <w:spacing w:line="240" w:lineRule="auto"/>
              <w:jc w:val="right"/>
              <w:rPr>
                <w:sz w:val="18"/>
                <w:szCs w:val="18"/>
              </w:rPr>
            </w:pPr>
            <w:r w:rsidRPr="00B70048">
              <w:rPr>
                <w:color w:val="000000"/>
                <w:sz w:val="18"/>
                <w:szCs w:val="18"/>
              </w:rPr>
              <w:t>53 492</w:t>
            </w:r>
          </w:p>
        </w:tc>
        <w:tc>
          <w:tcPr>
            <w:tcW w:w="516" w:type="pct"/>
            <w:tcBorders>
              <w:top w:val="single" w:sz="4" w:space="0" w:color="auto"/>
              <w:left w:val="nil"/>
              <w:bottom w:val="nil"/>
              <w:right w:val="nil"/>
            </w:tcBorders>
            <w:shd w:val="clear" w:color="000000" w:fill="FFFFFF"/>
            <w:noWrap/>
            <w:vAlign w:val="center"/>
          </w:tcPr>
          <w:p w14:paraId="071A2C69" w14:textId="77777777" w:rsidR="004D69BF" w:rsidRPr="00B70048" w:rsidRDefault="004D69BF" w:rsidP="000240DA">
            <w:pPr>
              <w:spacing w:line="240" w:lineRule="auto"/>
              <w:jc w:val="right"/>
              <w:rPr>
                <w:sz w:val="18"/>
                <w:szCs w:val="18"/>
              </w:rPr>
            </w:pPr>
            <w:r w:rsidRPr="00B70048">
              <w:rPr>
                <w:color w:val="000000"/>
                <w:sz w:val="18"/>
                <w:szCs w:val="18"/>
              </w:rPr>
              <w:t>47 742</w:t>
            </w:r>
          </w:p>
        </w:tc>
      </w:tr>
      <w:tr w:rsidR="004D69BF" w:rsidRPr="00B70048" w14:paraId="0E25D587" w14:textId="77777777" w:rsidTr="001D2C2C">
        <w:trPr>
          <w:trHeight w:val="330"/>
        </w:trPr>
        <w:tc>
          <w:tcPr>
            <w:tcW w:w="2464" w:type="pct"/>
            <w:shd w:val="clear" w:color="000000" w:fill="FFFFFF"/>
            <w:vAlign w:val="center"/>
          </w:tcPr>
          <w:p w14:paraId="66ADE7EC" w14:textId="77777777" w:rsidR="004D69BF" w:rsidRPr="00B70048" w:rsidRDefault="004D69BF" w:rsidP="000240DA">
            <w:pPr>
              <w:spacing w:line="240" w:lineRule="auto"/>
              <w:rPr>
                <w:sz w:val="18"/>
                <w:szCs w:val="18"/>
              </w:rPr>
            </w:pPr>
            <w:r w:rsidRPr="00B70048">
              <w:rPr>
                <w:sz w:val="18"/>
                <w:szCs w:val="18"/>
              </w:rPr>
              <w:t>Poľnohospodárske fondy 4. programové obdobie</w:t>
            </w:r>
          </w:p>
        </w:tc>
        <w:tc>
          <w:tcPr>
            <w:tcW w:w="471" w:type="pct"/>
            <w:tcBorders>
              <w:top w:val="nil"/>
              <w:left w:val="nil"/>
              <w:right w:val="nil"/>
            </w:tcBorders>
            <w:shd w:val="clear" w:color="000000" w:fill="FFFFFF"/>
            <w:noWrap/>
            <w:vAlign w:val="center"/>
          </w:tcPr>
          <w:p w14:paraId="38A744AB" w14:textId="77777777" w:rsidR="004D69BF" w:rsidRPr="00B70048" w:rsidRDefault="004D69BF" w:rsidP="000240DA">
            <w:pPr>
              <w:spacing w:line="240" w:lineRule="auto"/>
              <w:jc w:val="right"/>
              <w:rPr>
                <w:sz w:val="18"/>
                <w:szCs w:val="18"/>
              </w:rPr>
            </w:pPr>
            <w:r w:rsidRPr="00B70048">
              <w:rPr>
                <w:color w:val="000000"/>
                <w:sz w:val="18"/>
                <w:szCs w:val="18"/>
              </w:rPr>
              <w:t>0</w:t>
            </w:r>
          </w:p>
        </w:tc>
        <w:tc>
          <w:tcPr>
            <w:tcW w:w="516" w:type="pct"/>
            <w:tcBorders>
              <w:top w:val="nil"/>
              <w:left w:val="nil"/>
              <w:right w:val="nil"/>
            </w:tcBorders>
            <w:shd w:val="clear" w:color="000000" w:fill="FFFFFF"/>
            <w:noWrap/>
            <w:vAlign w:val="center"/>
          </w:tcPr>
          <w:p w14:paraId="0402183C" w14:textId="77777777" w:rsidR="004D69BF" w:rsidRPr="00B70048" w:rsidRDefault="004D69BF" w:rsidP="000240DA">
            <w:pPr>
              <w:spacing w:line="240" w:lineRule="auto"/>
              <w:jc w:val="right"/>
              <w:rPr>
                <w:sz w:val="18"/>
                <w:szCs w:val="18"/>
              </w:rPr>
            </w:pPr>
            <w:r w:rsidRPr="00B70048">
              <w:rPr>
                <w:color w:val="000000"/>
                <w:sz w:val="18"/>
                <w:szCs w:val="18"/>
              </w:rPr>
              <w:t>38 748</w:t>
            </w:r>
          </w:p>
        </w:tc>
        <w:tc>
          <w:tcPr>
            <w:tcW w:w="516" w:type="pct"/>
            <w:tcBorders>
              <w:top w:val="nil"/>
              <w:left w:val="nil"/>
              <w:right w:val="nil"/>
            </w:tcBorders>
            <w:shd w:val="clear" w:color="000000" w:fill="FFFFFF"/>
            <w:noWrap/>
            <w:vAlign w:val="center"/>
          </w:tcPr>
          <w:p w14:paraId="5F686D8B" w14:textId="77777777" w:rsidR="004D69BF" w:rsidRPr="00B70048" w:rsidRDefault="004D69BF" w:rsidP="000240DA">
            <w:pPr>
              <w:spacing w:line="240" w:lineRule="auto"/>
              <w:jc w:val="right"/>
              <w:rPr>
                <w:sz w:val="18"/>
                <w:szCs w:val="18"/>
              </w:rPr>
            </w:pPr>
            <w:r w:rsidRPr="00B70048">
              <w:rPr>
                <w:color w:val="000000"/>
                <w:sz w:val="18"/>
                <w:szCs w:val="18"/>
              </w:rPr>
              <w:t>173 321</w:t>
            </w:r>
          </w:p>
        </w:tc>
        <w:tc>
          <w:tcPr>
            <w:tcW w:w="516" w:type="pct"/>
            <w:tcBorders>
              <w:top w:val="nil"/>
              <w:left w:val="nil"/>
              <w:right w:val="nil"/>
            </w:tcBorders>
            <w:shd w:val="clear" w:color="000000" w:fill="FFFFFF"/>
            <w:noWrap/>
            <w:vAlign w:val="center"/>
          </w:tcPr>
          <w:p w14:paraId="443F4CBB" w14:textId="77777777" w:rsidR="004D69BF" w:rsidRPr="00B70048" w:rsidRDefault="004D69BF" w:rsidP="000240DA">
            <w:pPr>
              <w:spacing w:line="240" w:lineRule="auto"/>
              <w:jc w:val="right"/>
              <w:rPr>
                <w:sz w:val="18"/>
                <w:szCs w:val="18"/>
              </w:rPr>
            </w:pPr>
            <w:r w:rsidRPr="00B70048">
              <w:rPr>
                <w:color w:val="000000"/>
                <w:sz w:val="18"/>
                <w:szCs w:val="18"/>
              </w:rPr>
              <w:t>111 428</w:t>
            </w:r>
          </w:p>
        </w:tc>
        <w:tc>
          <w:tcPr>
            <w:tcW w:w="516" w:type="pct"/>
            <w:tcBorders>
              <w:top w:val="nil"/>
              <w:left w:val="nil"/>
              <w:right w:val="nil"/>
            </w:tcBorders>
            <w:shd w:val="clear" w:color="000000" w:fill="FFFFFF"/>
            <w:noWrap/>
            <w:vAlign w:val="center"/>
          </w:tcPr>
          <w:p w14:paraId="4B6F769A" w14:textId="77777777" w:rsidR="004D69BF" w:rsidRPr="00B70048" w:rsidRDefault="004D69BF" w:rsidP="000240DA">
            <w:pPr>
              <w:spacing w:line="240" w:lineRule="auto"/>
              <w:jc w:val="right"/>
              <w:rPr>
                <w:sz w:val="18"/>
                <w:szCs w:val="18"/>
              </w:rPr>
            </w:pPr>
            <w:r w:rsidRPr="00B70048">
              <w:rPr>
                <w:color w:val="000000"/>
                <w:sz w:val="18"/>
                <w:szCs w:val="18"/>
              </w:rPr>
              <w:t>-61 893</w:t>
            </w:r>
          </w:p>
        </w:tc>
      </w:tr>
      <w:tr w:rsidR="004D69BF" w:rsidRPr="00B70048" w14:paraId="6062BBE5" w14:textId="77777777" w:rsidTr="001D2C2C">
        <w:trPr>
          <w:trHeight w:val="330"/>
        </w:trPr>
        <w:tc>
          <w:tcPr>
            <w:tcW w:w="2464" w:type="pct"/>
            <w:shd w:val="clear" w:color="000000" w:fill="FFFFFF"/>
            <w:vAlign w:val="center"/>
            <w:hideMark/>
          </w:tcPr>
          <w:p w14:paraId="5C7D5EE1" w14:textId="77777777" w:rsidR="004D69BF" w:rsidRPr="00B70048" w:rsidRDefault="004D69BF" w:rsidP="000240DA">
            <w:pPr>
              <w:spacing w:line="240" w:lineRule="auto"/>
              <w:rPr>
                <w:b/>
                <w:sz w:val="18"/>
                <w:szCs w:val="18"/>
              </w:rPr>
            </w:pPr>
            <w:r w:rsidRPr="00B70048">
              <w:rPr>
                <w:b/>
                <w:sz w:val="18"/>
                <w:szCs w:val="18"/>
              </w:rPr>
              <w:t>Poľnohospodárske fondy spolu - MPRV SR</w:t>
            </w:r>
          </w:p>
        </w:tc>
        <w:tc>
          <w:tcPr>
            <w:tcW w:w="471" w:type="pct"/>
            <w:tcBorders>
              <w:top w:val="nil"/>
              <w:left w:val="nil"/>
              <w:right w:val="nil"/>
            </w:tcBorders>
            <w:shd w:val="clear" w:color="000000" w:fill="FFFFFF"/>
            <w:noWrap/>
            <w:vAlign w:val="center"/>
          </w:tcPr>
          <w:p w14:paraId="50ADB87A" w14:textId="77777777" w:rsidR="004D69BF" w:rsidRPr="00B70048" w:rsidRDefault="004D69BF" w:rsidP="000240DA">
            <w:pPr>
              <w:spacing w:line="240" w:lineRule="auto"/>
              <w:jc w:val="right"/>
              <w:rPr>
                <w:b/>
                <w:sz w:val="18"/>
                <w:szCs w:val="18"/>
              </w:rPr>
            </w:pPr>
            <w:r w:rsidRPr="00B70048">
              <w:rPr>
                <w:b/>
                <w:bCs/>
                <w:color w:val="000000"/>
                <w:sz w:val="18"/>
                <w:szCs w:val="18"/>
              </w:rPr>
              <w:t>68 342</w:t>
            </w:r>
          </w:p>
        </w:tc>
        <w:tc>
          <w:tcPr>
            <w:tcW w:w="516" w:type="pct"/>
            <w:tcBorders>
              <w:top w:val="nil"/>
              <w:left w:val="nil"/>
              <w:right w:val="nil"/>
            </w:tcBorders>
            <w:shd w:val="clear" w:color="000000" w:fill="FFFFFF"/>
            <w:noWrap/>
            <w:vAlign w:val="center"/>
          </w:tcPr>
          <w:p w14:paraId="338AF8E3" w14:textId="77777777" w:rsidR="004D69BF" w:rsidRPr="00B70048" w:rsidRDefault="004D69BF" w:rsidP="000240DA">
            <w:pPr>
              <w:spacing w:line="240" w:lineRule="auto"/>
              <w:jc w:val="right"/>
              <w:rPr>
                <w:b/>
                <w:sz w:val="18"/>
                <w:szCs w:val="18"/>
              </w:rPr>
            </w:pPr>
            <w:r w:rsidRPr="00B70048">
              <w:rPr>
                <w:b/>
                <w:bCs/>
                <w:color w:val="000000"/>
                <w:sz w:val="18"/>
                <w:szCs w:val="18"/>
              </w:rPr>
              <w:t>94 356</w:t>
            </w:r>
          </w:p>
        </w:tc>
        <w:tc>
          <w:tcPr>
            <w:tcW w:w="516" w:type="pct"/>
            <w:tcBorders>
              <w:top w:val="nil"/>
              <w:left w:val="nil"/>
              <w:right w:val="nil"/>
            </w:tcBorders>
            <w:shd w:val="clear" w:color="000000" w:fill="FFFFFF"/>
            <w:noWrap/>
            <w:vAlign w:val="center"/>
          </w:tcPr>
          <w:p w14:paraId="757AEAC3" w14:textId="77777777" w:rsidR="004D69BF" w:rsidRPr="00B70048" w:rsidRDefault="004D69BF" w:rsidP="000240DA">
            <w:pPr>
              <w:spacing w:line="240" w:lineRule="auto"/>
              <w:jc w:val="right"/>
              <w:rPr>
                <w:b/>
                <w:sz w:val="18"/>
                <w:szCs w:val="18"/>
              </w:rPr>
            </w:pPr>
            <w:r w:rsidRPr="00B70048">
              <w:rPr>
                <w:b/>
                <w:bCs/>
                <w:color w:val="000000"/>
                <w:sz w:val="18"/>
                <w:szCs w:val="18"/>
              </w:rPr>
              <w:t>179 071</w:t>
            </w:r>
          </w:p>
        </w:tc>
        <w:tc>
          <w:tcPr>
            <w:tcW w:w="516" w:type="pct"/>
            <w:tcBorders>
              <w:top w:val="nil"/>
              <w:left w:val="nil"/>
              <w:right w:val="nil"/>
            </w:tcBorders>
            <w:shd w:val="clear" w:color="000000" w:fill="FFFFFF"/>
            <w:noWrap/>
            <w:vAlign w:val="center"/>
          </w:tcPr>
          <w:p w14:paraId="078D33ED" w14:textId="77777777" w:rsidR="004D69BF" w:rsidRPr="00B70048" w:rsidRDefault="004D69BF" w:rsidP="000240DA">
            <w:pPr>
              <w:spacing w:line="240" w:lineRule="auto"/>
              <w:jc w:val="right"/>
              <w:rPr>
                <w:b/>
                <w:sz w:val="18"/>
                <w:szCs w:val="18"/>
              </w:rPr>
            </w:pPr>
            <w:r w:rsidRPr="00B70048">
              <w:rPr>
                <w:b/>
                <w:bCs/>
                <w:color w:val="000000"/>
                <w:sz w:val="18"/>
                <w:szCs w:val="18"/>
              </w:rPr>
              <w:t>164 920</w:t>
            </w:r>
          </w:p>
        </w:tc>
        <w:tc>
          <w:tcPr>
            <w:tcW w:w="516" w:type="pct"/>
            <w:tcBorders>
              <w:top w:val="nil"/>
              <w:left w:val="nil"/>
              <w:right w:val="nil"/>
            </w:tcBorders>
            <w:shd w:val="clear" w:color="000000" w:fill="FFFFFF"/>
            <w:noWrap/>
            <w:vAlign w:val="center"/>
          </w:tcPr>
          <w:p w14:paraId="4F0DD2F4" w14:textId="77777777" w:rsidR="004D69BF" w:rsidRPr="00B70048" w:rsidRDefault="004D69BF" w:rsidP="000240DA">
            <w:pPr>
              <w:spacing w:line="240" w:lineRule="auto"/>
              <w:jc w:val="right"/>
              <w:rPr>
                <w:b/>
                <w:sz w:val="18"/>
                <w:szCs w:val="18"/>
              </w:rPr>
            </w:pPr>
            <w:r w:rsidRPr="00B70048">
              <w:rPr>
                <w:b/>
                <w:bCs/>
                <w:color w:val="000000"/>
                <w:sz w:val="18"/>
                <w:szCs w:val="18"/>
              </w:rPr>
              <w:t>-14 151</w:t>
            </w:r>
          </w:p>
        </w:tc>
      </w:tr>
      <w:tr w:rsidR="004D69BF" w:rsidRPr="00B70048" w14:paraId="2F4DAFD4" w14:textId="77777777" w:rsidTr="001D2C2C">
        <w:trPr>
          <w:trHeight w:val="510"/>
        </w:trPr>
        <w:tc>
          <w:tcPr>
            <w:tcW w:w="2464" w:type="pct"/>
            <w:shd w:val="clear" w:color="000000" w:fill="FFFFFF"/>
            <w:vAlign w:val="center"/>
            <w:hideMark/>
          </w:tcPr>
          <w:p w14:paraId="46CF378D" w14:textId="77777777" w:rsidR="004D69BF" w:rsidRPr="00B70048" w:rsidRDefault="004D69BF" w:rsidP="000240DA">
            <w:pPr>
              <w:spacing w:line="240" w:lineRule="auto"/>
              <w:rPr>
                <w:sz w:val="18"/>
                <w:szCs w:val="18"/>
              </w:rPr>
            </w:pPr>
            <w:r w:rsidRPr="00B70048">
              <w:rPr>
                <w:sz w:val="18"/>
                <w:szCs w:val="18"/>
              </w:rPr>
              <w:t xml:space="preserve">Štrukturálne fondy, Kohézny fond, Európsky fond pre rybné hospodárstvo 2. programové obdobie </w:t>
            </w:r>
          </w:p>
        </w:tc>
        <w:tc>
          <w:tcPr>
            <w:tcW w:w="471" w:type="pct"/>
            <w:tcBorders>
              <w:left w:val="nil"/>
              <w:bottom w:val="nil"/>
              <w:right w:val="nil"/>
            </w:tcBorders>
            <w:shd w:val="clear" w:color="000000" w:fill="FFFFFF"/>
            <w:noWrap/>
            <w:vAlign w:val="center"/>
          </w:tcPr>
          <w:p w14:paraId="169303A0" w14:textId="77777777" w:rsidR="004D69BF" w:rsidRPr="00B70048" w:rsidRDefault="004D69BF" w:rsidP="000240DA">
            <w:pPr>
              <w:spacing w:line="240" w:lineRule="auto"/>
              <w:jc w:val="right"/>
              <w:rPr>
                <w:sz w:val="18"/>
                <w:szCs w:val="18"/>
              </w:rPr>
            </w:pPr>
            <w:r w:rsidRPr="00B70048">
              <w:rPr>
                <w:color w:val="000000"/>
                <w:sz w:val="18"/>
                <w:szCs w:val="18"/>
              </w:rPr>
              <w:t>0</w:t>
            </w:r>
          </w:p>
        </w:tc>
        <w:tc>
          <w:tcPr>
            <w:tcW w:w="516" w:type="pct"/>
            <w:tcBorders>
              <w:left w:val="nil"/>
              <w:bottom w:val="nil"/>
              <w:right w:val="nil"/>
            </w:tcBorders>
            <w:shd w:val="clear" w:color="000000" w:fill="FFFFFF"/>
            <w:noWrap/>
            <w:vAlign w:val="center"/>
          </w:tcPr>
          <w:p w14:paraId="20FEDE14" w14:textId="77777777" w:rsidR="004D69BF" w:rsidRPr="00B70048" w:rsidRDefault="004D69BF" w:rsidP="000240DA">
            <w:pPr>
              <w:spacing w:line="240" w:lineRule="auto"/>
              <w:jc w:val="right"/>
              <w:rPr>
                <w:sz w:val="18"/>
                <w:szCs w:val="18"/>
              </w:rPr>
            </w:pPr>
            <w:r w:rsidRPr="00B70048">
              <w:rPr>
                <w:color w:val="000000"/>
                <w:sz w:val="18"/>
                <w:szCs w:val="18"/>
              </w:rPr>
              <w:t>0</w:t>
            </w:r>
          </w:p>
        </w:tc>
        <w:tc>
          <w:tcPr>
            <w:tcW w:w="516" w:type="pct"/>
            <w:tcBorders>
              <w:left w:val="nil"/>
              <w:bottom w:val="nil"/>
              <w:right w:val="nil"/>
            </w:tcBorders>
            <w:shd w:val="clear" w:color="auto" w:fill="auto"/>
            <w:noWrap/>
            <w:vAlign w:val="center"/>
          </w:tcPr>
          <w:p w14:paraId="6C9A6DA5" w14:textId="77777777" w:rsidR="004D69BF" w:rsidRPr="00B70048" w:rsidRDefault="004D69BF" w:rsidP="000240DA">
            <w:pPr>
              <w:spacing w:line="240" w:lineRule="auto"/>
              <w:jc w:val="right"/>
              <w:rPr>
                <w:sz w:val="18"/>
                <w:szCs w:val="18"/>
              </w:rPr>
            </w:pPr>
            <w:r w:rsidRPr="00B70048">
              <w:rPr>
                <w:color w:val="000000"/>
                <w:sz w:val="18"/>
                <w:szCs w:val="18"/>
              </w:rPr>
              <w:t>0</w:t>
            </w:r>
          </w:p>
        </w:tc>
        <w:tc>
          <w:tcPr>
            <w:tcW w:w="516" w:type="pct"/>
            <w:tcBorders>
              <w:left w:val="nil"/>
              <w:bottom w:val="nil"/>
              <w:right w:val="nil"/>
            </w:tcBorders>
            <w:shd w:val="clear" w:color="000000" w:fill="FFFFFF"/>
            <w:noWrap/>
            <w:vAlign w:val="center"/>
          </w:tcPr>
          <w:p w14:paraId="7B6D3E9C" w14:textId="77777777" w:rsidR="004D69BF" w:rsidRPr="00B70048" w:rsidRDefault="004D69BF" w:rsidP="000240DA">
            <w:pPr>
              <w:spacing w:line="240" w:lineRule="auto"/>
              <w:jc w:val="right"/>
              <w:rPr>
                <w:sz w:val="18"/>
                <w:szCs w:val="18"/>
              </w:rPr>
            </w:pPr>
            <w:r w:rsidRPr="00B70048">
              <w:rPr>
                <w:color w:val="000000"/>
                <w:sz w:val="18"/>
                <w:szCs w:val="18"/>
              </w:rPr>
              <w:t>0</w:t>
            </w:r>
          </w:p>
        </w:tc>
        <w:tc>
          <w:tcPr>
            <w:tcW w:w="516" w:type="pct"/>
            <w:tcBorders>
              <w:left w:val="nil"/>
              <w:bottom w:val="nil"/>
              <w:right w:val="nil"/>
            </w:tcBorders>
            <w:shd w:val="clear" w:color="000000" w:fill="FFFFFF"/>
            <w:noWrap/>
            <w:vAlign w:val="center"/>
          </w:tcPr>
          <w:p w14:paraId="2907E7A0" w14:textId="77777777" w:rsidR="004D69BF" w:rsidRPr="00B70048" w:rsidRDefault="004D69BF" w:rsidP="000240DA">
            <w:pPr>
              <w:spacing w:line="240" w:lineRule="auto"/>
              <w:jc w:val="right"/>
              <w:rPr>
                <w:sz w:val="18"/>
                <w:szCs w:val="18"/>
              </w:rPr>
            </w:pPr>
            <w:r w:rsidRPr="00B70048">
              <w:rPr>
                <w:color w:val="000000"/>
                <w:sz w:val="18"/>
                <w:szCs w:val="18"/>
              </w:rPr>
              <w:t>0</w:t>
            </w:r>
          </w:p>
        </w:tc>
      </w:tr>
      <w:tr w:rsidR="004D69BF" w:rsidRPr="00B70048" w14:paraId="09609E34" w14:textId="77777777" w:rsidTr="001D2C2C">
        <w:trPr>
          <w:trHeight w:val="615"/>
        </w:trPr>
        <w:tc>
          <w:tcPr>
            <w:tcW w:w="2464" w:type="pct"/>
            <w:shd w:val="clear" w:color="000000" w:fill="FFFFFF"/>
            <w:vAlign w:val="center"/>
            <w:hideMark/>
          </w:tcPr>
          <w:p w14:paraId="525F3586" w14:textId="77777777" w:rsidR="004D69BF" w:rsidRPr="00B70048" w:rsidRDefault="004D69BF" w:rsidP="000240DA">
            <w:pPr>
              <w:spacing w:line="240" w:lineRule="auto"/>
              <w:rPr>
                <w:sz w:val="18"/>
                <w:szCs w:val="18"/>
              </w:rPr>
            </w:pPr>
            <w:r w:rsidRPr="00B70048">
              <w:rPr>
                <w:sz w:val="18"/>
                <w:szCs w:val="18"/>
              </w:rPr>
              <w:t xml:space="preserve">Štrukturálne fondy, Kohézny fond, Európsky námorný a rybársky fond 3. programové obdobie </w:t>
            </w:r>
          </w:p>
        </w:tc>
        <w:tc>
          <w:tcPr>
            <w:tcW w:w="471" w:type="pct"/>
            <w:tcBorders>
              <w:top w:val="nil"/>
              <w:left w:val="nil"/>
              <w:bottom w:val="nil"/>
              <w:right w:val="nil"/>
            </w:tcBorders>
            <w:shd w:val="clear" w:color="000000" w:fill="FFFFFF"/>
            <w:noWrap/>
            <w:vAlign w:val="center"/>
          </w:tcPr>
          <w:p w14:paraId="299549E5" w14:textId="77777777" w:rsidR="004D69BF" w:rsidRPr="00B70048" w:rsidRDefault="004D69BF" w:rsidP="000240DA">
            <w:pPr>
              <w:spacing w:line="240" w:lineRule="auto"/>
              <w:jc w:val="right"/>
              <w:rPr>
                <w:sz w:val="18"/>
                <w:szCs w:val="18"/>
              </w:rPr>
            </w:pPr>
            <w:r w:rsidRPr="00B70048">
              <w:rPr>
                <w:color w:val="000000"/>
                <w:sz w:val="18"/>
                <w:szCs w:val="18"/>
              </w:rPr>
              <w:t>326 225</w:t>
            </w:r>
          </w:p>
        </w:tc>
        <w:tc>
          <w:tcPr>
            <w:tcW w:w="516" w:type="pct"/>
            <w:tcBorders>
              <w:top w:val="nil"/>
              <w:left w:val="nil"/>
              <w:bottom w:val="nil"/>
              <w:right w:val="nil"/>
            </w:tcBorders>
            <w:shd w:val="clear" w:color="000000" w:fill="FFFFFF"/>
            <w:noWrap/>
            <w:vAlign w:val="center"/>
          </w:tcPr>
          <w:p w14:paraId="5F40A577" w14:textId="77777777" w:rsidR="004D69BF" w:rsidRPr="00B70048" w:rsidRDefault="004D69BF" w:rsidP="000240DA">
            <w:pPr>
              <w:spacing w:line="240" w:lineRule="auto"/>
              <w:jc w:val="right"/>
              <w:rPr>
                <w:sz w:val="18"/>
                <w:szCs w:val="18"/>
              </w:rPr>
            </w:pPr>
            <w:r w:rsidRPr="00B70048">
              <w:rPr>
                <w:color w:val="000000"/>
                <w:sz w:val="18"/>
                <w:szCs w:val="18"/>
              </w:rPr>
              <w:t>620 107</w:t>
            </w:r>
          </w:p>
        </w:tc>
        <w:tc>
          <w:tcPr>
            <w:tcW w:w="516" w:type="pct"/>
            <w:tcBorders>
              <w:top w:val="nil"/>
              <w:left w:val="nil"/>
              <w:bottom w:val="nil"/>
              <w:right w:val="nil"/>
            </w:tcBorders>
            <w:shd w:val="clear" w:color="000000" w:fill="FFFFFF"/>
            <w:noWrap/>
            <w:vAlign w:val="center"/>
          </w:tcPr>
          <w:p w14:paraId="4E18A6D0" w14:textId="77777777" w:rsidR="004D69BF" w:rsidRPr="00B70048" w:rsidRDefault="004D69BF" w:rsidP="000240DA">
            <w:pPr>
              <w:spacing w:line="240" w:lineRule="auto"/>
              <w:jc w:val="right"/>
              <w:rPr>
                <w:sz w:val="18"/>
                <w:szCs w:val="18"/>
              </w:rPr>
            </w:pPr>
            <w:r w:rsidRPr="00B70048">
              <w:rPr>
                <w:color w:val="000000"/>
                <w:sz w:val="18"/>
                <w:szCs w:val="18"/>
              </w:rPr>
              <w:t>0</w:t>
            </w:r>
          </w:p>
        </w:tc>
        <w:tc>
          <w:tcPr>
            <w:tcW w:w="516" w:type="pct"/>
            <w:tcBorders>
              <w:top w:val="nil"/>
              <w:left w:val="nil"/>
              <w:bottom w:val="nil"/>
              <w:right w:val="nil"/>
            </w:tcBorders>
            <w:shd w:val="clear" w:color="000000" w:fill="FFFFFF"/>
            <w:noWrap/>
            <w:vAlign w:val="center"/>
          </w:tcPr>
          <w:p w14:paraId="22C45893" w14:textId="77777777" w:rsidR="004D69BF" w:rsidRPr="00B70048" w:rsidRDefault="004D69BF" w:rsidP="000240DA">
            <w:pPr>
              <w:spacing w:line="240" w:lineRule="auto"/>
              <w:jc w:val="right"/>
              <w:rPr>
                <w:sz w:val="18"/>
                <w:szCs w:val="18"/>
              </w:rPr>
            </w:pPr>
            <w:r w:rsidRPr="00B70048">
              <w:rPr>
                <w:color w:val="000000"/>
                <w:sz w:val="18"/>
                <w:szCs w:val="18"/>
              </w:rPr>
              <w:t>248 995</w:t>
            </w:r>
          </w:p>
        </w:tc>
        <w:tc>
          <w:tcPr>
            <w:tcW w:w="516" w:type="pct"/>
            <w:tcBorders>
              <w:top w:val="nil"/>
              <w:left w:val="nil"/>
              <w:bottom w:val="nil"/>
              <w:right w:val="nil"/>
            </w:tcBorders>
            <w:shd w:val="clear" w:color="000000" w:fill="FFFFFF"/>
            <w:noWrap/>
            <w:vAlign w:val="center"/>
          </w:tcPr>
          <w:p w14:paraId="6186BF2A" w14:textId="77777777" w:rsidR="004D69BF" w:rsidRPr="00B70048" w:rsidRDefault="004D69BF" w:rsidP="000240DA">
            <w:pPr>
              <w:spacing w:line="240" w:lineRule="auto"/>
              <w:jc w:val="right"/>
              <w:rPr>
                <w:sz w:val="18"/>
                <w:szCs w:val="18"/>
              </w:rPr>
            </w:pPr>
            <w:r w:rsidRPr="00B70048">
              <w:rPr>
                <w:color w:val="000000"/>
                <w:sz w:val="18"/>
                <w:szCs w:val="18"/>
              </w:rPr>
              <w:t>248 995</w:t>
            </w:r>
          </w:p>
        </w:tc>
      </w:tr>
      <w:tr w:rsidR="004D69BF" w:rsidRPr="00B70048" w14:paraId="756B52C5" w14:textId="77777777" w:rsidTr="001D2C2C">
        <w:trPr>
          <w:trHeight w:val="615"/>
        </w:trPr>
        <w:tc>
          <w:tcPr>
            <w:tcW w:w="2464" w:type="pct"/>
            <w:shd w:val="clear" w:color="000000" w:fill="FFFFFF"/>
            <w:vAlign w:val="center"/>
          </w:tcPr>
          <w:p w14:paraId="5AA1F29A" w14:textId="77777777" w:rsidR="004D69BF" w:rsidRPr="00B70048" w:rsidRDefault="004D69BF" w:rsidP="000240DA">
            <w:pPr>
              <w:spacing w:line="240" w:lineRule="auto"/>
              <w:rPr>
                <w:sz w:val="18"/>
                <w:szCs w:val="18"/>
              </w:rPr>
            </w:pPr>
            <w:r w:rsidRPr="00B70048">
              <w:rPr>
                <w:sz w:val="18"/>
                <w:szCs w:val="18"/>
              </w:rPr>
              <w:t>Program Slovensko a Európsky námorný, rybolovný a akvakultúrny fond 4. programové obdobie</w:t>
            </w:r>
          </w:p>
        </w:tc>
        <w:tc>
          <w:tcPr>
            <w:tcW w:w="471" w:type="pct"/>
            <w:tcBorders>
              <w:top w:val="nil"/>
              <w:left w:val="nil"/>
              <w:bottom w:val="nil"/>
              <w:right w:val="nil"/>
            </w:tcBorders>
            <w:shd w:val="clear" w:color="000000" w:fill="FFFFFF"/>
            <w:noWrap/>
            <w:vAlign w:val="center"/>
          </w:tcPr>
          <w:p w14:paraId="11E4E340" w14:textId="77777777" w:rsidR="004D69BF" w:rsidRPr="00B70048" w:rsidRDefault="004D69BF" w:rsidP="000240DA">
            <w:pPr>
              <w:spacing w:line="240" w:lineRule="auto"/>
              <w:jc w:val="right"/>
              <w:rPr>
                <w:sz w:val="18"/>
                <w:szCs w:val="18"/>
              </w:rPr>
            </w:pPr>
            <w:r w:rsidRPr="00B70048">
              <w:rPr>
                <w:color w:val="000000"/>
                <w:sz w:val="18"/>
                <w:szCs w:val="18"/>
              </w:rPr>
              <w:t>0</w:t>
            </w:r>
          </w:p>
        </w:tc>
        <w:tc>
          <w:tcPr>
            <w:tcW w:w="516" w:type="pct"/>
            <w:tcBorders>
              <w:top w:val="nil"/>
              <w:left w:val="nil"/>
              <w:bottom w:val="nil"/>
              <w:right w:val="nil"/>
            </w:tcBorders>
            <w:shd w:val="clear" w:color="000000" w:fill="FFFFFF"/>
            <w:noWrap/>
            <w:vAlign w:val="center"/>
          </w:tcPr>
          <w:p w14:paraId="14EED7E8" w14:textId="77777777" w:rsidR="004D69BF" w:rsidRPr="00B70048" w:rsidRDefault="004D69BF" w:rsidP="000240DA">
            <w:pPr>
              <w:spacing w:line="240" w:lineRule="auto"/>
              <w:jc w:val="right"/>
              <w:rPr>
                <w:sz w:val="18"/>
                <w:szCs w:val="18"/>
              </w:rPr>
            </w:pPr>
            <w:r w:rsidRPr="00B70048">
              <w:rPr>
                <w:color w:val="000000"/>
                <w:sz w:val="18"/>
                <w:szCs w:val="18"/>
              </w:rPr>
              <w:t>7 458</w:t>
            </w:r>
          </w:p>
        </w:tc>
        <w:tc>
          <w:tcPr>
            <w:tcW w:w="516" w:type="pct"/>
            <w:tcBorders>
              <w:top w:val="nil"/>
              <w:left w:val="nil"/>
              <w:bottom w:val="nil"/>
              <w:right w:val="nil"/>
            </w:tcBorders>
            <w:shd w:val="clear" w:color="000000" w:fill="FFFFFF"/>
            <w:noWrap/>
            <w:vAlign w:val="center"/>
          </w:tcPr>
          <w:p w14:paraId="29DDA7F7" w14:textId="77777777" w:rsidR="004D69BF" w:rsidRPr="00B70048" w:rsidRDefault="004D69BF" w:rsidP="000240DA">
            <w:pPr>
              <w:spacing w:line="240" w:lineRule="auto"/>
              <w:jc w:val="right"/>
              <w:rPr>
                <w:sz w:val="18"/>
                <w:szCs w:val="18"/>
              </w:rPr>
            </w:pPr>
            <w:r w:rsidRPr="00B70048">
              <w:rPr>
                <w:color w:val="000000"/>
                <w:sz w:val="18"/>
                <w:szCs w:val="18"/>
              </w:rPr>
              <w:t>117 964</w:t>
            </w:r>
          </w:p>
        </w:tc>
        <w:tc>
          <w:tcPr>
            <w:tcW w:w="516" w:type="pct"/>
            <w:tcBorders>
              <w:top w:val="nil"/>
              <w:left w:val="nil"/>
              <w:bottom w:val="nil"/>
              <w:right w:val="nil"/>
            </w:tcBorders>
            <w:shd w:val="clear" w:color="000000" w:fill="FFFFFF"/>
            <w:noWrap/>
            <w:vAlign w:val="center"/>
          </w:tcPr>
          <w:p w14:paraId="3781698D" w14:textId="77777777" w:rsidR="004D69BF" w:rsidRPr="00B70048" w:rsidRDefault="004D69BF" w:rsidP="000240DA">
            <w:pPr>
              <w:spacing w:line="240" w:lineRule="auto"/>
              <w:jc w:val="right"/>
              <w:rPr>
                <w:sz w:val="18"/>
                <w:szCs w:val="18"/>
              </w:rPr>
            </w:pPr>
            <w:r w:rsidRPr="00B70048">
              <w:rPr>
                <w:color w:val="000000"/>
                <w:sz w:val="18"/>
                <w:szCs w:val="18"/>
              </w:rPr>
              <w:t>106 242</w:t>
            </w:r>
          </w:p>
        </w:tc>
        <w:tc>
          <w:tcPr>
            <w:tcW w:w="516" w:type="pct"/>
            <w:tcBorders>
              <w:top w:val="nil"/>
              <w:left w:val="nil"/>
              <w:bottom w:val="nil"/>
              <w:right w:val="nil"/>
            </w:tcBorders>
            <w:shd w:val="clear" w:color="000000" w:fill="FFFFFF"/>
            <w:noWrap/>
            <w:vAlign w:val="center"/>
          </w:tcPr>
          <w:p w14:paraId="7ABB1040" w14:textId="77777777" w:rsidR="004D69BF" w:rsidRPr="00B70048" w:rsidRDefault="004D69BF" w:rsidP="000240DA">
            <w:pPr>
              <w:spacing w:line="240" w:lineRule="auto"/>
              <w:jc w:val="right"/>
              <w:rPr>
                <w:sz w:val="18"/>
                <w:szCs w:val="18"/>
              </w:rPr>
            </w:pPr>
            <w:r w:rsidRPr="00B70048">
              <w:rPr>
                <w:color w:val="000000"/>
                <w:sz w:val="18"/>
                <w:szCs w:val="18"/>
              </w:rPr>
              <w:t>-11 722</w:t>
            </w:r>
          </w:p>
        </w:tc>
      </w:tr>
      <w:tr w:rsidR="004D69BF" w:rsidRPr="00B70048" w14:paraId="45410A35" w14:textId="77777777" w:rsidTr="001D2C2C">
        <w:trPr>
          <w:trHeight w:val="330"/>
        </w:trPr>
        <w:tc>
          <w:tcPr>
            <w:tcW w:w="2464" w:type="pct"/>
            <w:shd w:val="clear" w:color="000000" w:fill="FFFFFF"/>
            <w:vAlign w:val="center"/>
            <w:hideMark/>
          </w:tcPr>
          <w:p w14:paraId="31534295" w14:textId="77777777" w:rsidR="004D69BF" w:rsidRPr="00B70048" w:rsidRDefault="004D69BF" w:rsidP="000240DA">
            <w:pPr>
              <w:spacing w:line="240" w:lineRule="auto"/>
              <w:rPr>
                <w:sz w:val="18"/>
                <w:szCs w:val="18"/>
              </w:rPr>
            </w:pPr>
            <w:r w:rsidRPr="00B70048">
              <w:rPr>
                <w:sz w:val="18"/>
                <w:szCs w:val="18"/>
              </w:rPr>
              <w:t>Programy EÚS 3. programové obdobie (CO MF SR)</w:t>
            </w:r>
          </w:p>
        </w:tc>
        <w:tc>
          <w:tcPr>
            <w:tcW w:w="471" w:type="pct"/>
            <w:tcBorders>
              <w:top w:val="nil"/>
              <w:left w:val="nil"/>
              <w:bottom w:val="nil"/>
              <w:right w:val="nil"/>
            </w:tcBorders>
            <w:shd w:val="clear" w:color="000000" w:fill="FFFFFF"/>
            <w:noWrap/>
            <w:vAlign w:val="center"/>
          </w:tcPr>
          <w:p w14:paraId="622E2113" w14:textId="77777777" w:rsidR="004D69BF" w:rsidRPr="00B70048" w:rsidRDefault="004D69BF" w:rsidP="000240DA">
            <w:pPr>
              <w:spacing w:line="240" w:lineRule="auto"/>
              <w:jc w:val="right"/>
              <w:rPr>
                <w:sz w:val="18"/>
                <w:szCs w:val="18"/>
              </w:rPr>
            </w:pPr>
            <w:r w:rsidRPr="00B70048">
              <w:rPr>
                <w:color w:val="000000"/>
                <w:sz w:val="18"/>
                <w:szCs w:val="18"/>
              </w:rPr>
              <w:t>1 650</w:t>
            </w:r>
          </w:p>
        </w:tc>
        <w:tc>
          <w:tcPr>
            <w:tcW w:w="516" w:type="pct"/>
            <w:tcBorders>
              <w:top w:val="nil"/>
              <w:left w:val="nil"/>
              <w:bottom w:val="nil"/>
              <w:right w:val="nil"/>
            </w:tcBorders>
            <w:shd w:val="clear" w:color="000000" w:fill="FFFFFF"/>
            <w:noWrap/>
            <w:vAlign w:val="center"/>
          </w:tcPr>
          <w:p w14:paraId="1EB7B2AA" w14:textId="77777777" w:rsidR="004D69BF" w:rsidRPr="00B70048" w:rsidRDefault="004D69BF" w:rsidP="000240DA">
            <w:pPr>
              <w:spacing w:line="240" w:lineRule="auto"/>
              <w:jc w:val="right"/>
              <w:rPr>
                <w:sz w:val="18"/>
                <w:szCs w:val="18"/>
              </w:rPr>
            </w:pPr>
            <w:r w:rsidRPr="00B70048">
              <w:rPr>
                <w:color w:val="000000"/>
                <w:sz w:val="18"/>
                <w:szCs w:val="18"/>
              </w:rPr>
              <w:t>1 822</w:t>
            </w:r>
          </w:p>
        </w:tc>
        <w:tc>
          <w:tcPr>
            <w:tcW w:w="516" w:type="pct"/>
            <w:tcBorders>
              <w:top w:val="nil"/>
              <w:left w:val="nil"/>
              <w:bottom w:val="nil"/>
              <w:right w:val="nil"/>
            </w:tcBorders>
            <w:shd w:val="clear" w:color="000000" w:fill="FFFFFF"/>
            <w:noWrap/>
            <w:vAlign w:val="center"/>
          </w:tcPr>
          <w:p w14:paraId="084DF8A8" w14:textId="77777777" w:rsidR="004D69BF" w:rsidRPr="00B70048" w:rsidRDefault="004D69BF" w:rsidP="000240DA">
            <w:pPr>
              <w:spacing w:line="240" w:lineRule="auto"/>
              <w:jc w:val="right"/>
              <w:rPr>
                <w:sz w:val="18"/>
                <w:szCs w:val="18"/>
              </w:rPr>
            </w:pPr>
            <w:r w:rsidRPr="00B70048">
              <w:rPr>
                <w:color w:val="000000"/>
                <w:sz w:val="18"/>
                <w:szCs w:val="18"/>
              </w:rPr>
              <w:t>0</w:t>
            </w:r>
          </w:p>
        </w:tc>
        <w:tc>
          <w:tcPr>
            <w:tcW w:w="516" w:type="pct"/>
            <w:tcBorders>
              <w:top w:val="nil"/>
              <w:left w:val="nil"/>
              <w:bottom w:val="nil"/>
              <w:right w:val="nil"/>
            </w:tcBorders>
            <w:shd w:val="clear" w:color="000000" w:fill="FFFFFF"/>
            <w:noWrap/>
            <w:vAlign w:val="center"/>
          </w:tcPr>
          <w:p w14:paraId="3248F0CA" w14:textId="77777777" w:rsidR="004D69BF" w:rsidRPr="00B70048" w:rsidRDefault="004D69BF" w:rsidP="000240DA">
            <w:pPr>
              <w:spacing w:line="240" w:lineRule="auto"/>
              <w:jc w:val="right"/>
              <w:rPr>
                <w:sz w:val="18"/>
                <w:szCs w:val="18"/>
              </w:rPr>
            </w:pPr>
            <w:r w:rsidRPr="00B70048">
              <w:rPr>
                <w:color w:val="000000"/>
                <w:sz w:val="18"/>
                <w:szCs w:val="18"/>
              </w:rPr>
              <w:t>2 382</w:t>
            </w:r>
          </w:p>
        </w:tc>
        <w:tc>
          <w:tcPr>
            <w:tcW w:w="516" w:type="pct"/>
            <w:tcBorders>
              <w:top w:val="nil"/>
              <w:left w:val="nil"/>
              <w:bottom w:val="nil"/>
              <w:right w:val="nil"/>
            </w:tcBorders>
            <w:shd w:val="clear" w:color="000000" w:fill="FFFFFF"/>
            <w:noWrap/>
            <w:vAlign w:val="center"/>
          </w:tcPr>
          <w:p w14:paraId="334A5238" w14:textId="77777777" w:rsidR="004D69BF" w:rsidRPr="00B70048" w:rsidRDefault="004D69BF" w:rsidP="000240DA">
            <w:pPr>
              <w:spacing w:line="240" w:lineRule="auto"/>
              <w:jc w:val="right"/>
              <w:rPr>
                <w:sz w:val="18"/>
                <w:szCs w:val="18"/>
              </w:rPr>
            </w:pPr>
            <w:r w:rsidRPr="00B70048">
              <w:rPr>
                <w:color w:val="000000"/>
                <w:sz w:val="18"/>
                <w:szCs w:val="18"/>
              </w:rPr>
              <w:t>2 382</w:t>
            </w:r>
          </w:p>
        </w:tc>
      </w:tr>
      <w:tr w:rsidR="004D69BF" w:rsidRPr="00B70048" w14:paraId="22F39730" w14:textId="77777777" w:rsidTr="001D2C2C">
        <w:trPr>
          <w:trHeight w:val="330"/>
        </w:trPr>
        <w:tc>
          <w:tcPr>
            <w:tcW w:w="2464" w:type="pct"/>
            <w:shd w:val="clear" w:color="000000" w:fill="FFFFFF"/>
            <w:vAlign w:val="center"/>
          </w:tcPr>
          <w:p w14:paraId="6B316140" w14:textId="77777777" w:rsidR="004D69BF" w:rsidRPr="00B70048" w:rsidRDefault="004D69BF" w:rsidP="000240DA">
            <w:pPr>
              <w:spacing w:line="240" w:lineRule="auto"/>
              <w:rPr>
                <w:sz w:val="18"/>
                <w:szCs w:val="18"/>
              </w:rPr>
            </w:pPr>
            <w:r w:rsidRPr="00B70048">
              <w:rPr>
                <w:sz w:val="18"/>
                <w:szCs w:val="18"/>
              </w:rPr>
              <w:t>Programy EÚS 4. programové obdobie (PO MF SR)</w:t>
            </w:r>
          </w:p>
        </w:tc>
        <w:tc>
          <w:tcPr>
            <w:tcW w:w="471" w:type="pct"/>
            <w:tcBorders>
              <w:top w:val="nil"/>
              <w:left w:val="nil"/>
              <w:right w:val="nil"/>
            </w:tcBorders>
            <w:shd w:val="clear" w:color="000000" w:fill="FFFFFF"/>
            <w:noWrap/>
            <w:vAlign w:val="center"/>
          </w:tcPr>
          <w:p w14:paraId="606CD7D3" w14:textId="77777777" w:rsidR="004D69BF" w:rsidRPr="00B70048" w:rsidRDefault="004D69BF" w:rsidP="000240DA">
            <w:pPr>
              <w:spacing w:line="240" w:lineRule="auto"/>
              <w:jc w:val="right"/>
              <w:rPr>
                <w:sz w:val="18"/>
                <w:szCs w:val="18"/>
              </w:rPr>
            </w:pPr>
            <w:r w:rsidRPr="00B70048">
              <w:rPr>
                <w:color w:val="000000"/>
                <w:sz w:val="18"/>
                <w:szCs w:val="18"/>
              </w:rPr>
              <w:t>0</w:t>
            </w:r>
          </w:p>
        </w:tc>
        <w:tc>
          <w:tcPr>
            <w:tcW w:w="516" w:type="pct"/>
            <w:tcBorders>
              <w:top w:val="nil"/>
              <w:left w:val="nil"/>
              <w:right w:val="nil"/>
            </w:tcBorders>
            <w:shd w:val="clear" w:color="000000" w:fill="FFFFFF"/>
            <w:noWrap/>
            <w:vAlign w:val="center"/>
          </w:tcPr>
          <w:p w14:paraId="4AA091FE" w14:textId="77777777" w:rsidR="004D69BF" w:rsidRPr="00B70048" w:rsidRDefault="004D69BF" w:rsidP="000240DA">
            <w:pPr>
              <w:spacing w:line="240" w:lineRule="auto"/>
              <w:jc w:val="right"/>
              <w:rPr>
                <w:sz w:val="18"/>
                <w:szCs w:val="18"/>
              </w:rPr>
            </w:pPr>
            <w:r w:rsidRPr="00B70048">
              <w:rPr>
                <w:color w:val="000000"/>
                <w:sz w:val="18"/>
                <w:szCs w:val="18"/>
              </w:rPr>
              <w:t>0</w:t>
            </w:r>
          </w:p>
        </w:tc>
        <w:tc>
          <w:tcPr>
            <w:tcW w:w="516" w:type="pct"/>
            <w:tcBorders>
              <w:top w:val="nil"/>
              <w:left w:val="nil"/>
              <w:right w:val="nil"/>
            </w:tcBorders>
            <w:shd w:val="clear" w:color="000000" w:fill="FFFFFF"/>
            <w:noWrap/>
            <w:vAlign w:val="center"/>
          </w:tcPr>
          <w:p w14:paraId="0D0D9D09" w14:textId="77777777" w:rsidR="004D69BF" w:rsidRPr="00B70048" w:rsidRDefault="004D69BF" w:rsidP="000240DA">
            <w:pPr>
              <w:spacing w:line="240" w:lineRule="auto"/>
              <w:jc w:val="right"/>
              <w:rPr>
                <w:sz w:val="18"/>
                <w:szCs w:val="18"/>
              </w:rPr>
            </w:pPr>
            <w:r w:rsidRPr="00B70048">
              <w:rPr>
                <w:color w:val="000000"/>
                <w:sz w:val="18"/>
                <w:szCs w:val="18"/>
              </w:rPr>
              <w:t>1 388</w:t>
            </w:r>
          </w:p>
        </w:tc>
        <w:tc>
          <w:tcPr>
            <w:tcW w:w="516" w:type="pct"/>
            <w:tcBorders>
              <w:top w:val="nil"/>
              <w:left w:val="nil"/>
              <w:right w:val="nil"/>
            </w:tcBorders>
            <w:shd w:val="clear" w:color="000000" w:fill="FFFFFF"/>
            <w:noWrap/>
            <w:vAlign w:val="center"/>
          </w:tcPr>
          <w:p w14:paraId="5E4E1AFD" w14:textId="77777777" w:rsidR="004D69BF" w:rsidRPr="00B70048" w:rsidRDefault="004D69BF" w:rsidP="000240DA">
            <w:pPr>
              <w:spacing w:line="240" w:lineRule="auto"/>
              <w:jc w:val="right"/>
              <w:rPr>
                <w:sz w:val="18"/>
                <w:szCs w:val="18"/>
              </w:rPr>
            </w:pPr>
            <w:r w:rsidRPr="00B70048">
              <w:rPr>
                <w:color w:val="000000"/>
                <w:sz w:val="18"/>
                <w:szCs w:val="18"/>
              </w:rPr>
              <w:t>52</w:t>
            </w:r>
          </w:p>
        </w:tc>
        <w:tc>
          <w:tcPr>
            <w:tcW w:w="516" w:type="pct"/>
            <w:tcBorders>
              <w:top w:val="nil"/>
              <w:left w:val="nil"/>
              <w:right w:val="nil"/>
            </w:tcBorders>
            <w:shd w:val="clear" w:color="000000" w:fill="FFFFFF"/>
            <w:noWrap/>
            <w:vAlign w:val="center"/>
          </w:tcPr>
          <w:p w14:paraId="756E4901" w14:textId="77777777" w:rsidR="004D69BF" w:rsidRPr="00B70048" w:rsidRDefault="004D69BF" w:rsidP="000240DA">
            <w:pPr>
              <w:spacing w:line="240" w:lineRule="auto"/>
              <w:jc w:val="right"/>
              <w:rPr>
                <w:sz w:val="18"/>
                <w:szCs w:val="18"/>
              </w:rPr>
            </w:pPr>
            <w:r w:rsidRPr="00B70048">
              <w:rPr>
                <w:color w:val="000000"/>
                <w:sz w:val="18"/>
                <w:szCs w:val="18"/>
              </w:rPr>
              <w:t>-1 336</w:t>
            </w:r>
          </w:p>
        </w:tc>
      </w:tr>
      <w:tr w:rsidR="004D69BF" w:rsidRPr="00B70048" w14:paraId="331092FB" w14:textId="77777777" w:rsidTr="001D2C2C">
        <w:trPr>
          <w:trHeight w:val="330"/>
        </w:trPr>
        <w:tc>
          <w:tcPr>
            <w:tcW w:w="2464" w:type="pct"/>
            <w:tcBorders>
              <w:bottom w:val="single" w:sz="4" w:space="0" w:color="auto"/>
            </w:tcBorders>
            <w:shd w:val="clear" w:color="000000" w:fill="FFFFFF"/>
            <w:vAlign w:val="center"/>
            <w:hideMark/>
          </w:tcPr>
          <w:p w14:paraId="75FBCE99" w14:textId="77777777" w:rsidR="004D69BF" w:rsidRPr="00B70048" w:rsidRDefault="004D69BF" w:rsidP="000240DA">
            <w:pPr>
              <w:spacing w:line="240" w:lineRule="auto"/>
              <w:rPr>
                <w:b/>
                <w:sz w:val="18"/>
                <w:szCs w:val="18"/>
              </w:rPr>
            </w:pPr>
            <w:r w:rsidRPr="00B70048">
              <w:rPr>
                <w:b/>
                <w:sz w:val="18"/>
                <w:szCs w:val="18"/>
              </w:rPr>
              <w:t>Štrukturálne operácie - MF SR</w:t>
            </w:r>
          </w:p>
        </w:tc>
        <w:tc>
          <w:tcPr>
            <w:tcW w:w="471" w:type="pct"/>
            <w:tcBorders>
              <w:top w:val="nil"/>
              <w:left w:val="nil"/>
              <w:bottom w:val="single" w:sz="4" w:space="0" w:color="auto"/>
              <w:right w:val="nil"/>
            </w:tcBorders>
            <w:shd w:val="clear" w:color="000000" w:fill="FFFFFF"/>
            <w:noWrap/>
            <w:vAlign w:val="center"/>
          </w:tcPr>
          <w:p w14:paraId="5831AC55" w14:textId="77777777" w:rsidR="004D69BF" w:rsidRPr="00B70048" w:rsidRDefault="004D69BF" w:rsidP="000240DA">
            <w:pPr>
              <w:spacing w:line="240" w:lineRule="auto"/>
              <w:jc w:val="right"/>
              <w:rPr>
                <w:b/>
                <w:sz w:val="18"/>
                <w:szCs w:val="18"/>
              </w:rPr>
            </w:pPr>
            <w:r w:rsidRPr="00B70048">
              <w:rPr>
                <w:b/>
                <w:bCs/>
                <w:color w:val="000000"/>
                <w:sz w:val="18"/>
                <w:szCs w:val="18"/>
              </w:rPr>
              <w:t>327 875</w:t>
            </w:r>
          </w:p>
        </w:tc>
        <w:tc>
          <w:tcPr>
            <w:tcW w:w="516" w:type="pct"/>
            <w:tcBorders>
              <w:top w:val="nil"/>
              <w:left w:val="nil"/>
              <w:bottom w:val="single" w:sz="4" w:space="0" w:color="auto"/>
              <w:right w:val="nil"/>
            </w:tcBorders>
            <w:shd w:val="clear" w:color="000000" w:fill="FFFFFF"/>
            <w:noWrap/>
            <w:vAlign w:val="center"/>
          </w:tcPr>
          <w:p w14:paraId="04AD1053" w14:textId="77777777" w:rsidR="004D69BF" w:rsidRPr="00B70048" w:rsidRDefault="004D69BF" w:rsidP="000240DA">
            <w:pPr>
              <w:spacing w:line="240" w:lineRule="auto"/>
              <w:jc w:val="right"/>
              <w:rPr>
                <w:b/>
                <w:sz w:val="18"/>
                <w:szCs w:val="18"/>
              </w:rPr>
            </w:pPr>
            <w:r w:rsidRPr="00B70048">
              <w:rPr>
                <w:b/>
                <w:bCs/>
                <w:color w:val="000000"/>
                <w:sz w:val="18"/>
                <w:szCs w:val="18"/>
              </w:rPr>
              <w:t>629 387</w:t>
            </w:r>
          </w:p>
        </w:tc>
        <w:tc>
          <w:tcPr>
            <w:tcW w:w="516" w:type="pct"/>
            <w:tcBorders>
              <w:top w:val="nil"/>
              <w:left w:val="nil"/>
              <w:bottom w:val="single" w:sz="4" w:space="0" w:color="auto"/>
              <w:right w:val="nil"/>
            </w:tcBorders>
            <w:shd w:val="clear" w:color="000000" w:fill="FFFFFF"/>
            <w:noWrap/>
            <w:vAlign w:val="center"/>
          </w:tcPr>
          <w:p w14:paraId="7E57F2A7" w14:textId="77777777" w:rsidR="004D69BF" w:rsidRPr="00B70048" w:rsidRDefault="004D69BF" w:rsidP="000240DA">
            <w:pPr>
              <w:spacing w:line="240" w:lineRule="auto"/>
              <w:jc w:val="right"/>
              <w:rPr>
                <w:b/>
                <w:sz w:val="18"/>
                <w:szCs w:val="18"/>
              </w:rPr>
            </w:pPr>
            <w:r w:rsidRPr="00B70048">
              <w:rPr>
                <w:b/>
                <w:bCs/>
                <w:color w:val="000000"/>
                <w:sz w:val="18"/>
                <w:szCs w:val="18"/>
              </w:rPr>
              <w:t>119 352</w:t>
            </w:r>
          </w:p>
        </w:tc>
        <w:tc>
          <w:tcPr>
            <w:tcW w:w="516" w:type="pct"/>
            <w:tcBorders>
              <w:top w:val="nil"/>
              <w:left w:val="nil"/>
              <w:bottom w:val="single" w:sz="4" w:space="0" w:color="auto"/>
              <w:right w:val="nil"/>
            </w:tcBorders>
            <w:shd w:val="clear" w:color="000000" w:fill="FFFFFF"/>
            <w:noWrap/>
            <w:vAlign w:val="center"/>
          </w:tcPr>
          <w:p w14:paraId="0F04DAD8" w14:textId="77777777" w:rsidR="004D69BF" w:rsidRPr="00B70048" w:rsidRDefault="004D69BF" w:rsidP="000240DA">
            <w:pPr>
              <w:spacing w:line="240" w:lineRule="auto"/>
              <w:jc w:val="right"/>
              <w:rPr>
                <w:b/>
                <w:sz w:val="18"/>
                <w:szCs w:val="18"/>
              </w:rPr>
            </w:pPr>
            <w:r w:rsidRPr="00B70048">
              <w:rPr>
                <w:b/>
                <w:bCs/>
                <w:color w:val="000000"/>
                <w:sz w:val="18"/>
                <w:szCs w:val="18"/>
              </w:rPr>
              <w:t>357 671</w:t>
            </w:r>
          </w:p>
        </w:tc>
        <w:tc>
          <w:tcPr>
            <w:tcW w:w="516" w:type="pct"/>
            <w:tcBorders>
              <w:top w:val="nil"/>
              <w:left w:val="nil"/>
              <w:bottom w:val="single" w:sz="4" w:space="0" w:color="auto"/>
              <w:right w:val="nil"/>
            </w:tcBorders>
            <w:shd w:val="clear" w:color="000000" w:fill="FFFFFF"/>
            <w:noWrap/>
            <w:vAlign w:val="center"/>
          </w:tcPr>
          <w:p w14:paraId="484C52C8" w14:textId="77777777" w:rsidR="004D69BF" w:rsidRPr="00B70048" w:rsidRDefault="004D69BF" w:rsidP="000240DA">
            <w:pPr>
              <w:spacing w:line="240" w:lineRule="auto"/>
              <w:jc w:val="right"/>
              <w:rPr>
                <w:b/>
                <w:sz w:val="18"/>
                <w:szCs w:val="18"/>
              </w:rPr>
            </w:pPr>
            <w:r w:rsidRPr="00B70048">
              <w:rPr>
                <w:b/>
                <w:bCs/>
                <w:color w:val="000000"/>
                <w:sz w:val="18"/>
                <w:szCs w:val="18"/>
              </w:rPr>
              <w:t>238 319</w:t>
            </w:r>
          </w:p>
        </w:tc>
      </w:tr>
      <w:tr w:rsidR="004D69BF" w:rsidRPr="00B70048" w14:paraId="04544B77" w14:textId="77777777" w:rsidTr="001D2C2C">
        <w:trPr>
          <w:trHeight w:val="330"/>
        </w:trPr>
        <w:tc>
          <w:tcPr>
            <w:tcW w:w="2464" w:type="pct"/>
            <w:tcBorders>
              <w:top w:val="single" w:sz="4" w:space="0" w:color="auto"/>
            </w:tcBorders>
            <w:shd w:val="clear" w:color="000000" w:fill="FFFFFF"/>
            <w:vAlign w:val="center"/>
            <w:hideMark/>
          </w:tcPr>
          <w:p w14:paraId="1DE3763C" w14:textId="77777777" w:rsidR="004D69BF" w:rsidRPr="00B70048" w:rsidRDefault="004D69BF" w:rsidP="000240DA">
            <w:pPr>
              <w:spacing w:line="240" w:lineRule="auto"/>
              <w:rPr>
                <w:sz w:val="18"/>
                <w:szCs w:val="18"/>
              </w:rPr>
            </w:pPr>
            <w:r w:rsidRPr="00B70048">
              <w:rPr>
                <w:sz w:val="18"/>
                <w:szCs w:val="18"/>
              </w:rPr>
              <w:t>OP Sociálneho začlenenia najodkázanejších osôb</w:t>
            </w:r>
          </w:p>
        </w:tc>
        <w:tc>
          <w:tcPr>
            <w:tcW w:w="471" w:type="pct"/>
            <w:tcBorders>
              <w:top w:val="single" w:sz="4" w:space="0" w:color="auto"/>
              <w:left w:val="nil"/>
              <w:right w:val="nil"/>
            </w:tcBorders>
            <w:shd w:val="clear" w:color="000000" w:fill="FFFFFF"/>
            <w:noWrap/>
            <w:vAlign w:val="center"/>
          </w:tcPr>
          <w:p w14:paraId="3A3BA77A" w14:textId="77777777" w:rsidR="004D69BF" w:rsidRPr="00B70048" w:rsidRDefault="004D69BF" w:rsidP="000240DA">
            <w:pPr>
              <w:spacing w:line="240" w:lineRule="auto"/>
              <w:jc w:val="right"/>
              <w:rPr>
                <w:sz w:val="18"/>
                <w:szCs w:val="18"/>
              </w:rPr>
            </w:pPr>
            <w:r w:rsidRPr="00B70048">
              <w:rPr>
                <w:color w:val="000000"/>
                <w:sz w:val="18"/>
                <w:szCs w:val="18"/>
              </w:rPr>
              <w:t>210</w:t>
            </w:r>
          </w:p>
        </w:tc>
        <w:tc>
          <w:tcPr>
            <w:tcW w:w="516" w:type="pct"/>
            <w:tcBorders>
              <w:top w:val="single" w:sz="4" w:space="0" w:color="auto"/>
              <w:left w:val="nil"/>
              <w:right w:val="nil"/>
            </w:tcBorders>
            <w:shd w:val="clear" w:color="000000" w:fill="FFFFFF"/>
            <w:noWrap/>
            <w:vAlign w:val="center"/>
          </w:tcPr>
          <w:p w14:paraId="1D94B855" w14:textId="77777777" w:rsidR="004D69BF" w:rsidRPr="00B70048" w:rsidRDefault="004D69BF" w:rsidP="000240DA">
            <w:pPr>
              <w:spacing w:line="240" w:lineRule="auto"/>
              <w:jc w:val="right"/>
              <w:rPr>
                <w:sz w:val="18"/>
                <w:szCs w:val="18"/>
              </w:rPr>
            </w:pPr>
            <w:r w:rsidRPr="00B70048">
              <w:rPr>
                <w:color w:val="000000"/>
                <w:sz w:val="18"/>
                <w:szCs w:val="18"/>
              </w:rPr>
              <w:t>467</w:t>
            </w:r>
          </w:p>
        </w:tc>
        <w:tc>
          <w:tcPr>
            <w:tcW w:w="516" w:type="pct"/>
            <w:tcBorders>
              <w:top w:val="single" w:sz="4" w:space="0" w:color="auto"/>
              <w:left w:val="nil"/>
              <w:right w:val="nil"/>
            </w:tcBorders>
            <w:shd w:val="clear" w:color="000000" w:fill="FFFFFF"/>
            <w:noWrap/>
            <w:vAlign w:val="center"/>
          </w:tcPr>
          <w:p w14:paraId="6D705384" w14:textId="77777777" w:rsidR="004D69BF" w:rsidRPr="00B70048" w:rsidRDefault="004D69BF" w:rsidP="000240DA">
            <w:pPr>
              <w:spacing w:line="240" w:lineRule="auto"/>
              <w:jc w:val="right"/>
              <w:rPr>
                <w:sz w:val="18"/>
                <w:szCs w:val="18"/>
              </w:rPr>
            </w:pPr>
            <w:r w:rsidRPr="00B70048">
              <w:rPr>
                <w:color w:val="000000"/>
                <w:sz w:val="18"/>
                <w:szCs w:val="18"/>
              </w:rPr>
              <w:t>0</w:t>
            </w:r>
          </w:p>
        </w:tc>
        <w:tc>
          <w:tcPr>
            <w:tcW w:w="516" w:type="pct"/>
            <w:tcBorders>
              <w:top w:val="single" w:sz="4" w:space="0" w:color="auto"/>
              <w:left w:val="nil"/>
              <w:right w:val="nil"/>
            </w:tcBorders>
            <w:shd w:val="clear" w:color="000000" w:fill="FFFFFF"/>
            <w:noWrap/>
            <w:vAlign w:val="center"/>
          </w:tcPr>
          <w:p w14:paraId="0940E977" w14:textId="77777777" w:rsidR="004D69BF" w:rsidRPr="00B70048" w:rsidRDefault="004D69BF" w:rsidP="000240DA">
            <w:pPr>
              <w:spacing w:line="240" w:lineRule="auto"/>
              <w:jc w:val="right"/>
              <w:rPr>
                <w:sz w:val="18"/>
                <w:szCs w:val="18"/>
              </w:rPr>
            </w:pPr>
            <w:r w:rsidRPr="00B70048">
              <w:rPr>
                <w:color w:val="000000"/>
                <w:sz w:val="18"/>
                <w:szCs w:val="18"/>
              </w:rPr>
              <w:t>100</w:t>
            </w:r>
          </w:p>
        </w:tc>
        <w:tc>
          <w:tcPr>
            <w:tcW w:w="516" w:type="pct"/>
            <w:tcBorders>
              <w:top w:val="single" w:sz="4" w:space="0" w:color="auto"/>
              <w:left w:val="nil"/>
              <w:right w:val="nil"/>
            </w:tcBorders>
            <w:shd w:val="clear" w:color="000000" w:fill="FFFFFF"/>
            <w:noWrap/>
            <w:vAlign w:val="center"/>
          </w:tcPr>
          <w:p w14:paraId="1A492D1C" w14:textId="77777777" w:rsidR="004D69BF" w:rsidRPr="00B70048" w:rsidRDefault="004D69BF" w:rsidP="000240DA">
            <w:pPr>
              <w:spacing w:line="240" w:lineRule="auto"/>
              <w:jc w:val="right"/>
              <w:rPr>
                <w:sz w:val="18"/>
                <w:szCs w:val="18"/>
              </w:rPr>
            </w:pPr>
            <w:r w:rsidRPr="00B70048">
              <w:rPr>
                <w:color w:val="000000"/>
                <w:sz w:val="18"/>
                <w:szCs w:val="18"/>
              </w:rPr>
              <w:t>100</w:t>
            </w:r>
          </w:p>
        </w:tc>
      </w:tr>
      <w:tr w:rsidR="004D69BF" w:rsidRPr="00B70048" w14:paraId="40A70CE0" w14:textId="77777777" w:rsidTr="001D2C2C">
        <w:trPr>
          <w:trHeight w:val="330"/>
        </w:trPr>
        <w:tc>
          <w:tcPr>
            <w:tcW w:w="2464" w:type="pct"/>
            <w:shd w:val="clear" w:color="000000" w:fill="FFFFFF"/>
            <w:vAlign w:val="center"/>
            <w:hideMark/>
          </w:tcPr>
          <w:p w14:paraId="30DFC1DD" w14:textId="77777777" w:rsidR="004D69BF" w:rsidRPr="00B70048" w:rsidRDefault="004D69BF" w:rsidP="000240DA">
            <w:pPr>
              <w:spacing w:line="240" w:lineRule="auto"/>
              <w:rPr>
                <w:b/>
                <w:sz w:val="18"/>
                <w:szCs w:val="18"/>
              </w:rPr>
            </w:pPr>
            <w:r w:rsidRPr="00B70048">
              <w:rPr>
                <w:b/>
                <w:sz w:val="18"/>
                <w:szCs w:val="18"/>
              </w:rPr>
              <w:t>Štrukturálne operácie - MPSVR SR</w:t>
            </w:r>
          </w:p>
        </w:tc>
        <w:tc>
          <w:tcPr>
            <w:tcW w:w="471" w:type="pct"/>
            <w:tcBorders>
              <w:top w:val="nil"/>
              <w:left w:val="nil"/>
              <w:right w:val="nil"/>
            </w:tcBorders>
            <w:shd w:val="clear" w:color="000000" w:fill="FFFFFF"/>
            <w:noWrap/>
            <w:vAlign w:val="center"/>
          </w:tcPr>
          <w:p w14:paraId="131D0684" w14:textId="77777777" w:rsidR="004D69BF" w:rsidRPr="00B70048" w:rsidRDefault="004D69BF" w:rsidP="000240DA">
            <w:pPr>
              <w:spacing w:line="240" w:lineRule="auto"/>
              <w:jc w:val="right"/>
              <w:rPr>
                <w:b/>
                <w:sz w:val="18"/>
                <w:szCs w:val="18"/>
              </w:rPr>
            </w:pPr>
            <w:r w:rsidRPr="00B70048">
              <w:rPr>
                <w:b/>
                <w:bCs/>
                <w:color w:val="000000"/>
                <w:sz w:val="18"/>
                <w:szCs w:val="18"/>
              </w:rPr>
              <w:t>210</w:t>
            </w:r>
          </w:p>
        </w:tc>
        <w:tc>
          <w:tcPr>
            <w:tcW w:w="516" w:type="pct"/>
            <w:tcBorders>
              <w:top w:val="nil"/>
              <w:left w:val="nil"/>
              <w:right w:val="nil"/>
            </w:tcBorders>
            <w:shd w:val="clear" w:color="000000" w:fill="FFFFFF"/>
            <w:noWrap/>
            <w:vAlign w:val="center"/>
          </w:tcPr>
          <w:p w14:paraId="5B8FB784" w14:textId="77777777" w:rsidR="004D69BF" w:rsidRPr="00B70048" w:rsidRDefault="004D69BF" w:rsidP="000240DA">
            <w:pPr>
              <w:spacing w:line="240" w:lineRule="auto"/>
              <w:jc w:val="right"/>
              <w:rPr>
                <w:b/>
                <w:sz w:val="18"/>
                <w:szCs w:val="18"/>
              </w:rPr>
            </w:pPr>
            <w:r w:rsidRPr="00B70048">
              <w:rPr>
                <w:b/>
                <w:bCs/>
                <w:color w:val="000000"/>
                <w:sz w:val="18"/>
                <w:szCs w:val="18"/>
              </w:rPr>
              <w:t>467</w:t>
            </w:r>
          </w:p>
        </w:tc>
        <w:tc>
          <w:tcPr>
            <w:tcW w:w="516" w:type="pct"/>
            <w:tcBorders>
              <w:top w:val="nil"/>
              <w:left w:val="nil"/>
              <w:right w:val="nil"/>
            </w:tcBorders>
            <w:shd w:val="clear" w:color="000000" w:fill="FFFFFF"/>
            <w:noWrap/>
            <w:vAlign w:val="center"/>
          </w:tcPr>
          <w:p w14:paraId="33801A52" w14:textId="77777777" w:rsidR="004D69BF" w:rsidRPr="00B70048" w:rsidRDefault="004D69BF" w:rsidP="000240DA">
            <w:pPr>
              <w:spacing w:line="240" w:lineRule="auto"/>
              <w:jc w:val="right"/>
              <w:rPr>
                <w:b/>
                <w:sz w:val="18"/>
                <w:szCs w:val="18"/>
              </w:rPr>
            </w:pPr>
            <w:r w:rsidRPr="00B70048">
              <w:rPr>
                <w:b/>
                <w:bCs/>
                <w:color w:val="000000"/>
                <w:sz w:val="18"/>
                <w:szCs w:val="18"/>
              </w:rPr>
              <w:t>0</w:t>
            </w:r>
          </w:p>
        </w:tc>
        <w:tc>
          <w:tcPr>
            <w:tcW w:w="516" w:type="pct"/>
            <w:tcBorders>
              <w:top w:val="nil"/>
              <w:left w:val="nil"/>
              <w:right w:val="nil"/>
            </w:tcBorders>
            <w:shd w:val="clear" w:color="000000" w:fill="FFFFFF"/>
            <w:noWrap/>
            <w:vAlign w:val="center"/>
          </w:tcPr>
          <w:p w14:paraId="547E8DAF" w14:textId="77777777" w:rsidR="004D69BF" w:rsidRPr="00B70048" w:rsidRDefault="004D69BF" w:rsidP="000240DA">
            <w:pPr>
              <w:spacing w:line="240" w:lineRule="auto"/>
              <w:jc w:val="right"/>
              <w:rPr>
                <w:b/>
                <w:sz w:val="18"/>
                <w:szCs w:val="18"/>
              </w:rPr>
            </w:pPr>
            <w:r w:rsidRPr="00B70048">
              <w:rPr>
                <w:b/>
                <w:bCs/>
                <w:color w:val="000000"/>
                <w:sz w:val="18"/>
                <w:szCs w:val="18"/>
              </w:rPr>
              <w:t>100</w:t>
            </w:r>
          </w:p>
        </w:tc>
        <w:tc>
          <w:tcPr>
            <w:tcW w:w="516" w:type="pct"/>
            <w:tcBorders>
              <w:top w:val="nil"/>
              <w:left w:val="nil"/>
              <w:right w:val="nil"/>
            </w:tcBorders>
            <w:shd w:val="clear" w:color="000000" w:fill="FFFFFF"/>
            <w:noWrap/>
            <w:vAlign w:val="center"/>
          </w:tcPr>
          <w:p w14:paraId="160E60DF" w14:textId="77777777" w:rsidR="004D69BF" w:rsidRPr="00B70048" w:rsidRDefault="004D69BF" w:rsidP="000240DA">
            <w:pPr>
              <w:spacing w:line="240" w:lineRule="auto"/>
              <w:jc w:val="right"/>
              <w:rPr>
                <w:b/>
                <w:sz w:val="18"/>
                <w:szCs w:val="18"/>
              </w:rPr>
            </w:pPr>
            <w:r w:rsidRPr="00B70048">
              <w:rPr>
                <w:b/>
                <w:bCs/>
                <w:color w:val="000000"/>
                <w:sz w:val="18"/>
                <w:szCs w:val="18"/>
              </w:rPr>
              <w:t>100</w:t>
            </w:r>
          </w:p>
        </w:tc>
      </w:tr>
      <w:tr w:rsidR="004D69BF" w:rsidRPr="00B70048" w14:paraId="3F6D51E5" w14:textId="77777777" w:rsidTr="001D2C2C">
        <w:trPr>
          <w:trHeight w:val="330"/>
        </w:trPr>
        <w:tc>
          <w:tcPr>
            <w:tcW w:w="2464" w:type="pct"/>
            <w:shd w:val="clear" w:color="000000" w:fill="FFFFFF"/>
            <w:vAlign w:val="center"/>
          </w:tcPr>
          <w:p w14:paraId="63A5BA40" w14:textId="77777777" w:rsidR="004D69BF" w:rsidRPr="00B70048" w:rsidRDefault="004D69BF" w:rsidP="000240DA">
            <w:pPr>
              <w:spacing w:line="240" w:lineRule="auto"/>
              <w:rPr>
                <w:sz w:val="18"/>
                <w:szCs w:val="18"/>
              </w:rPr>
            </w:pPr>
            <w:r w:rsidRPr="00B70048">
              <w:rPr>
                <w:sz w:val="18"/>
                <w:szCs w:val="18"/>
              </w:rPr>
              <w:t>Fondy pre oblasť vnútorných záležitostí 2021 - 2027</w:t>
            </w:r>
          </w:p>
        </w:tc>
        <w:tc>
          <w:tcPr>
            <w:tcW w:w="471" w:type="pct"/>
            <w:tcBorders>
              <w:left w:val="nil"/>
              <w:bottom w:val="nil"/>
              <w:right w:val="nil"/>
            </w:tcBorders>
            <w:shd w:val="clear" w:color="000000" w:fill="FFFFFF"/>
            <w:noWrap/>
            <w:vAlign w:val="center"/>
          </w:tcPr>
          <w:p w14:paraId="67E71106" w14:textId="77777777" w:rsidR="004D69BF" w:rsidRPr="00B70048" w:rsidRDefault="004D69BF" w:rsidP="000240DA">
            <w:pPr>
              <w:spacing w:line="240" w:lineRule="auto"/>
              <w:jc w:val="right"/>
              <w:rPr>
                <w:sz w:val="18"/>
                <w:szCs w:val="18"/>
              </w:rPr>
            </w:pPr>
            <w:r w:rsidRPr="00B70048">
              <w:rPr>
                <w:color w:val="000000"/>
                <w:sz w:val="18"/>
                <w:szCs w:val="18"/>
              </w:rPr>
              <w:t>0</w:t>
            </w:r>
          </w:p>
        </w:tc>
        <w:tc>
          <w:tcPr>
            <w:tcW w:w="516" w:type="pct"/>
            <w:tcBorders>
              <w:left w:val="nil"/>
              <w:bottom w:val="nil"/>
              <w:right w:val="nil"/>
            </w:tcBorders>
            <w:shd w:val="clear" w:color="000000" w:fill="FFFFFF"/>
            <w:noWrap/>
            <w:vAlign w:val="center"/>
          </w:tcPr>
          <w:p w14:paraId="268502F9" w14:textId="77777777" w:rsidR="004D69BF" w:rsidRPr="00B70048" w:rsidRDefault="004D69BF" w:rsidP="000240DA">
            <w:pPr>
              <w:spacing w:line="240" w:lineRule="auto"/>
              <w:jc w:val="right"/>
              <w:rPr>
                <w:sz w:val="18"/>
                <w:szCs w:val="18"/>
              </w:rPr>
            </w:pPr>
            <w:r w:rsidRPr="00B70048">
              <w:rPr>
                <w:color w:val="000000"/>
                <w:sz w:val="18"/>
                <w:szCs w:val="18"/>
              </w:rPr>
              <w:t>0</w:t>
            </w:r>
          </w:p>
        </w:tc>
        <w:tc>
          <w:tcPr>
            <w:tcW w:w="516" w:type="pct"/>
            <w:tcBorders>
              <w:left w:val="nil"/>
              <w:bottom w:val="nil"/>
              <w:right w:val="nil"/>
            </w:tcBorders>
            <w:shd w:val="clear" w:color="000000" w:fill="FFFFFF"/>
            <w:noWrap/>
            <w:vAlign w:val="center"/>
          </w:tcPr>
          <w:p w14:paraId="57CFE498" w14:textId="77777777" w:rsidR="004D69BF" w:rsidRPr="00B70048" w:rsidRDefault="004D69BF" w:rsidP="000240DA">
            <w:pPr>
              <w:spacing w:line="240" w:lineRule="auto"/>
              <w:jc w:val="right"/>
              <w:rPr>
                <w:sz w:val="18"/>
                <w:szCs w:val="18"/>
              </w:rPr>
            </w:pPr>
            <w:r w:rsidRPr="00B70048">
              <w:rPr>
                <w:color w:val="000000"/>
                <w:sz w:val="18"/>
                <w:szCs w:val="18"/>
              </w:rPr>
              <w:t>2 356</w:t>
            </w:r>
          </w:p>
        </w:tc>
        <w:tc>
          <w:tcPr>
            <w:tcW w:w="516" w:type="pct"/>
            <w:tcBorders>
              <w:left w:val="nil"/>
              <w:bottom w:val="nil"/>
              <w:right w:val="nil"/>
            </w:tcBorders>
            <w:shd w:val="clear" w:color="auto" w:fill="auto"/>
            <w:noWrap/>
            <w:vAlign w:val="center"/>
          </w:tcPr>
          <w:p w14:paraId="5D8188C3" w14:textId="77777777" w:rsidR="004D69BF" w:rsidRPr="00B70048" w:rsidRDefault="004D69BF" w:rsidP="000240DA">
            <w:pPr>
              <w:spacing w:line="240" w:lineRule="auto"/>
              <w:jc w:val="right"/>
              <w:rPr>
                <w:sz w:val="18"/>
                <w:szCs w:val="18"/>
              </w:rPr>
            </w:pPr>
            <w:r w:rsidRPr="00B70048">
              <w:rPr>
                <w:color w:val="000000"/>
                <w:sz w:val="18"/>
                <w:szCs w:val="18"/>
              </w:rPr>
              <w:t>392</w:t>
            </w:r>
          </w:p>
        </w:tc>
        <w:tc>
          <w:tcPr>
            <w:tcW w:w="516" w:type="pct"/>
            <w:tcBorders>
              <w:left w:val="nil"/>
              <w:bottom w:val="nil"/>
              <w:right w:val="nil"/>
            </w:tcBorders>
            <w:shd w:val="clear" w:color="000000" w:fill="FFFFFF"/>
            <w:noWrap/>
            <w:vAlign w:val="center"/>
          </w:tcPr>
          <w:p w14:paraId="4D68901C" w14:textId="77777777" w:rsidR="004D69BF" w:rsidRPr="00B70048" w:rsidRDefault="004D69BF" w:rsidP="000240DA">
            <w:pPr>
              <w:spacing w:line="240" w:lineRule="auto"/>
              <w:jc w:val="right"/>
              <w:rPr>
                <w:sz w:val="18"/>
                <w:szCs w:val="18"/>
              </w:rPr>
            </w:pPr>
            <w:r w:rsidRPr="00B70048">
              <w:rPr>
                <w:color w:val="000000"/>
                <w:sz w:val="18"/>
                <w:szCs w:val="18"/>
              </w:rPr>
              <w:t>-1 964</w:t>
            </w:r>
          </w:p>
        </w:tc>
      </w:tr>
      <w:tr w:rsidR="004D69BF" w:rsidRPr="00B70048" w14:paraId="37D5C63D" w14:textId="77777777" w:rsidTr="001D2C2C">
        <w:trPr>
          <w:trHeight w:val="330"/>
        </w:trPr>
        <w:tc>
          <w:tcPr>
            <w:tcW w:w="2464" w:type="pct"/>
            <w:tcBorders>
              <w:bottom w:val="single" w:sz="4" w:space="0" w:color="auto"/>
            </w:tcBorders>
            <w:shd w:val="clear" w:color="000000" w:fill="FFFFFF"/>
            <w:vAlign w:val="center"/>
          </w:tcPr>
          <w:p w14:paraId="5FEBA238" w14:textId="77777777" w:rsidR="004D69BF" w:rsidRPr="00B70048" w:rsidRDefault="004D69BF" w:rsidP="000240DA">
            <w:pPr>
              <w:spacing w:line="240" w:lineRule="auto"/>
              <w:rPr>
                <w:b/>
                <w:sz w:val="18"/>
                <w:szCs w:val="18"/>
              </w:rPr>
            </w:pPr>
            <w:r w:rsidRPr="00B70048">
              <w:rPr>
                <w:b/>
                <w:sz w:val="18"/>
                <w:szCs w:val="18"/>
              </w:rPr>
              <w:t>Štrukturálne operácie – MV SR</w:t>
            </w:r>
          </w:p>
        </w:tc>
        <w:tc>
          <w:tcPr>
            <w:tcW w:w="471" w:type="pct"/>
            <w:tcBorders>
              <w:top w:val="nil"/>
              <w:left w:val="nil"/>
              <w:bottom w:val="single" w:sz="4" w:space="0" w:color="auto"/>
              <w:right w:val="nil"/>
            </w:tcBorders>
            <w:shd w:val="clear" w:color="000000" w:fill="FFFFFF"/>
            <w:noWrap/>
            <w:vAlign w:val="center"/>
          </w:tcPr>
          <w:p w14:paraId="6DBB2AFD" w14:textId="77777777" w:rsidR="004D69BF" w:rsidRPr="00B70048" w:rsidRDefault="004D69BF" w:rsidP="000240DA">
            <w:pPr>
              <w:spacing w:line="240" w:lineRule="auto"/>
              <w:jc w:val="right"/>
              <w:rPr>
                <w:b/>
                <w:sz w:val="18"/>
                <w:szCs w:val="18"/>
              </w:rPr>
            </w:pPr>
            <w:r w:rsidRPr="00B70048">
              <w:rPr>
                <w:b/>
                <w:bCs/>
                <w:color w:val="000000"/>
                <w:sz w:val="18"/>
                <w:szCs w:val="18"/>
              </w:rPr>
              <w:t>0</w:t>
            </w:r>
          </w:p>
        </w:tc>
        <w:tc>
          <w:tcPr>
            <w:tcW w:w="516" w:type="pct"/>
            <w:tcBorders>
              <w:top w:val="nil"/>
              <w:left w:val="nil"/>
              <w:bottom w:val="single" w:sz="4" w:space="0" w:color="auto"/>
              <w:right w:val="nil"/>
            </w:tcBorders>
            <w:shd w:val="clear" w:color="000000" w:fill="FFFFFF"/>
            <w:noWrap/>
            <w:vAlign w:val="center"/>
          </w:tcPr>
          <w:p w14:paraId="406D1449" w14:textId="77777777" w:rsidR="004D69BF" w:rsidRPr="00B70048" w:rsidRDefault="004D69BF" w:rsidP="000240DA">
            <w:pPr>
              <w:spacing w:line="240" w:lineRule="auto"/>
              <w:jc w:val="right"/>
              <w:rPr>
                <w:b/>
                <w:sz w:val="18"/>
                <w:szCs w:val="18"/>
              </w:rPr>
            </w:pPr>
            <w:r w:rsidRPr="00B70048">
              <w:rPr>
                <w:b/>
                <w:bCs/>
                <w:color w:val="000000"/>
                <w:sz w:val="18"/>
                <w:szCs w:val="18"/>
              </w:rPr>
              <w:t>0</w:t>
            </w:r>
          </w:p>
        </w:tc>
        <w:tc>
          <w:tcPr>
            <w:tcW w:w="516" w:type="pct"/>
            <w:tcBorders>
              <w:top w:val="nil"/>
              <w:left w:val="nil"/>
              <w:bottom w:val="single" w:sz="4" w:space="0" w:color="auto"/>
              <w:right w:val="nil"/>
            </w:tcBorders>
            <w:shd w:val="clear" w:color="000000" w:fill="FFFFFF"/>
            <w:noWrap/>
            <w:vAlign w:val="center"/>
          </w:tcPr>
          <w:p w14:paraId="33B00F69" w14:textId="77777777" w:rsidR="004D69BF" w:rsidRPr="00B70048" w:rsidRDefault="004D69BF" w:rsidP="000240DA">
            <w:pPr>
              <w:spacing w:line="240" w:lineRule="auto"/>
              <w:jc w:val="right"/>
              <w:rPr>
                <w:b/>
                <w:sz w:val="18"/>
                <w:szCs w:val="18"/>
              </w:rPr>
            </w:pPr>
            <w:r w:rsidRPr="00B70048">
              <w:rPr>
                <w:b/>
                <w:bCs/>
                <w:color w:val="000000"/>
                <w:sz w:val="18"/>
                <w:szCs w:val="18"/>
              </w:rPr>
              <w:t>2 356</w:t>
            </w:r>
          </w:p>
        </w:tc>
        <w:tc>
          <w:tcPr>
            <w:tcW w:w="516" w:type="pct"/>
            <w:tcBorders>
              <w:top w:val="nil"/>
              <w:left w:val="nil"/>
              <w:bottom w:val="single" w:sz="4" w:space="0" w:color="auto"/>
              <w:right w:val="nil"/>
            </w:tcBorders>
            <w:shd w:val="clear" w:color="000000" w:fill="FFFFFF"/>
            <w:noWrap/>
            <w:vAlign w:val="center"/>
          </w:tcPr>
          <w:p w14:paraId="044BEF4A" w14:textId="77777777" w:rsidR="004D69BF" w:rsidRPr="00B70048" w:rsidRDefault="004D69BF" w:rsidP="000240DA">
            <w:pPr>
              <w:spacing w:line="240" w:lineRule="auto"/>
              <w:jc w:val="right"/>
              <w:rPr>
                <w:b/>
                <w:sz w:val="18"/>
                <w:szCs w:val="18"/>
              </w:rPr>
            </w:pPr>
            <w:r w:rsidRPr="00B70048">
              <w:rPr>
                <w:b/>
                <w:bCs/>
                <w:color w:val="000000"/>
                <w:sz w:val="18"/>
                <w:szCs w:val="18"/>
              </w:rPr>
              <w:t>392</w:t>
            </w:r>
          </w:p>
        </w:tc>
        <w:tc>
          <w:tcPr>
            <w:tcW w:w="516" w:type="pct"/>
            <w:tcBorders>
              <w:top w:val="nil"/>
              <w:left w:val="nil"/>
              <w:bottom w:val="single" w:sz="4" w:space="0" w:color="auto"/>
              <w:right w:val="nil"/>
            </w:tcBorders>
            <w:shd w:val="clear" w:color="000000" w:fill="FFFFFF"/>
            <w:noWrap/>
            <w:vAlign w:val="center"/>
          </w:tcPr>
          <w:p w14:paraId="70278993" w14:textId="77777777" w:rsidR="004D69BF" w:rsidRPr="00B70048" w:rsidRDefault="004D69BF" w:rsidP="000240DA">
            <w:pPr>
              <w:spacing w:line="240" w:lineRule="auto"/>
              <w:jc w:val="right"/>
              <w:rPr>
                <w:b/>
                <w:sz w:val="18"/>
                <w:szCs w:val="18"/>
              </w:rPr>
            </w:pPr>
            <w:r w:rsidRPr="00B70048">
              <w:rPr>
                <w:b/>
                <w:bCs/>
                <w:color w:val="000000"/>
                <w:sz w:val="18"/>
                <w:szCs w:val="18"/>
              </w:rPr>
              <w:t>-1 964</w:t>
            </w:r>
          </w:p>
        </w:tc>
      </w:tr>
      <w:tr w:rsidR="004D69BF" w:rsidRPr="00B70048" w14:paraId="1315C0D7" w14:textId="77777777" w:rsidTr="001D2C2C">
        <w:trPr>
          <w:trHeight w:val="345"/>
        </w:trPr>
        <w:tc>
          <w:tcPr>
            <w:tcW w:w="2464" w:type="pct"/>
            <w:tcBorders>
              <w:top w:val="single" w:sz="4" w:space="0" w:color="auto"/>
              <w:bottom w:val="single" w:sz="4" w:space="0" w:color="auto"/>
            </w:tcBorders>
            <w:shd w:val="clear" w:color="000000" w:fill="FFFFFF"/>
            <w:vAlign w:val="center"/>
            <w:hideMark/>
          </w:tcPr>
          <w:p w14:paraId="1F22D320" w14:textId="77777777" w:rsidR="004D69BF" w:rsidRPr="00B70048" w:rsidRDefault="004D69BF" w:rsidP="000240DA">
            <w:pPr>
              <w:spacing w:line="240" w:lineRule="auto"/>
              <w:rPr>
                <w:b/>
                <w:sz w:val="18"/>
                <w:szCs w:val="18"/>
              </w:rPr>
            </w:pPr>
            <w:r w:rsidRPr="00B70048">
              <w:rPr>
                <w:b/>
                <w:sz w:val="18"/>
                <w:szCs w:val="18"/>
              </w:rPr>
              <w:t>Spolu výdavky za prostriedky EÚ</w:t>
            </w:r>
          </w:p>
        </w:tc>
        <w:tc>
          <w:tcPr>
            <w:tcW w:w="471" w:type="pct"/>
            <w:tcBorders>
              <w:top w:val="single" w:sz="4" w:space="0" w:color="auto"/>
              <w:left w:val="nil"/>
              <w:bottom w:val="single" w:sz="4" w:space="0" w:color="auto"/>
              <w:right w:val="nil"/>
            </w:tcBorders>
            <w:shd w:val="clear" w:color="000000" w:fill="FFFFFF"/>
            <w:noWrap/>
            <w:vAlign w:val="center"/>
          </w:tcPr>
          <w:p w14:paraId="160A389C" w14:textId="77777777" w:rsidR="004D69BF" w:rsidRPr="00B70048" w:rsidRDefault="004D69BF" w:rsidP="000240DA">
            <w:pPr>
              <w:spacing w:line="240" w:lineRule="auto"/>
              <w:jc w:val="right"/>
              <w:rPr>
                <w:b/>
                <w:sz w:val="18"/>
                <w:szCs w:val="18"/>
              </w:rPr>
            </w:pPr>
            <w:r w:rsidRPr="00B70048">
              <w:rPr>
                <w:b/>
                <w:bCs/>
                <w:color w:val="000000"/>
                <w:sz w:val="18"/>
                <w:szCs w:val="18"/>
              </w:rPr>
              <w:t>396 427</w:t>
            </w:r>
          </w:p>
        </w:tc>
        <w:tc>
          <w:tcPr>
            <w:tcW w:w="516" w:type="pct"/>
            <w:tcBorders>
              <w:top w:val="single" w:sz="4" w:space="0" w:color="auto"/>
              <w:left w:val="nil"/>
              <w:bottom w:val="single" w:sz="4" w:space="0" w:color="auto"/>
              <w:right w:val="nil"/>
            </w:tcBorders>
            <w:shd w:val="clear" w:color="000000" w:fill="FFFFFF"/>
            <w:noWrap/>
            <w:vAlign w:val="center"/>
          </w:tcPr>
          <w:p w14:paraId="212A852D" w14:textId="77777777" w:rsidR="004D69BF" w:rsidRPr="00B70048" w:rsidRDefault="004D69BF" w:rsidP="000240DA">
            <w:pPr>
              <w:spacing w:line="240" w:lineRule="auto"/>
              <w:jc w:val="right"/>
              <w:rPr>
                <w:b/>
                <w:sz w:val="18"/>
                <w:szCs w:val="18"/>
              </w:rPr>
            </w:pPr>
            <w:r w:rsidRPr="00B70048">
              <w:rPr>
                <w:b/>
                <w:bCs/>
                <w:color w:val="000000"/>
                <w:sz w:val="18"/>
                <w:szCs w:val="18"/>
              </w:rPr>
              <w:t>724 210</w:t>
            </w:r>
          </w:p>
        </w:tc>
        <w:tc>
          <w:tcPr>
            <w:tcW w:w="516" w:type="pct"/>
            <w:tcBorders>
              <w:top w:val="single" w:sz="4" w:space="0" w:color="auto"/>
              <w:left w:val="nil"/>
              <w:bottom w:val="single" w:sz="4" w:space="0" w:color="auto"/>
              <w:right w:val="nil"/>
            </w:tcBorders>
            <w:shd w:val="clear" w:color="000000" w:fill="FFFFFF"/>
            <w:noWrap/>
            <w:vAlign w:val="center"/>
          </w:tcPr>
          <w:p w14:paraId="7743D447" w14:textId="77777777" w:rsidR="004D69BF" w:rsidRPr="00B70048" w:rsidRDefault="004D69BF" w:rsidP="000240DA">
            <w:pPr>
              <w:spacing w:line="240" w:lineRule="auto"/>
              <w:jc w:val="right"/>
              <w:rPr>
                <w:b/>
                <w:sz w:val="18"/>
                <w:szCs w:val="18"/>
              </w:rPr>
            </w:pPr>
            <w:r w:rsidRPr="00B70048">
              <w:rPr>
                <w:b/>
                <w:bCs/>
                <w:color w:val="000000"/>
                <w:sz w:val="18"/>
                <w:szCs w:val="18"/>
              </w:rPr>
              <w:t>300 779</w:t>
            </w:r>
          </w:p>
        </w:tc>
        <w:tc>
          <w:tcPr>
            <w:tcW w:w="516" w:type="pct"/>
            <w:tcBorders>
              <w:top w:val="single" w:sz="4" w:space="0" w:color="auto"/>
              <w:left w:val="nil"/>
              <w:bottom w:val="single" w:sz="4" w:space="0" w:color="auto"/>
              <w:right w:val="nil"/>
            </w:tcBorders>
            <w:shd w:val="clear" w:color="000000" w:fill="FFFFFF"/>
            <w:noWrap/>
            <w:vAlign w:val="center"/>
          </w:tcPr>
          <w:p w14:paraId="0033AC32" w14:textId="77777777" w:rsidR="004D69BF" w:rsidRPr="00B70048" w:rsidRDefault="004D69BF" w:rsidP="000240DA">
            <w:pPr>
              <w:spacing w:line="240" w:lineRule="auto"/>
              <w:jc w:val="right"/>
              <w:rPr>
                <w:b/>
                <w:sz w:val="18"/>
                <w:szCs w:val="18"/>
              </w:rPr>
            </w:pPr>
            <w:r w:rsidRPr="00B70048">
              <w:rPr>
                <w:b/>
                <w:bCs/>
                <w:color w:val="000000"/>
                <w:sz w:val="18"/>
                <w:szCs w:val="18"/>
              </w:rPr>
              <w:t>523 083</w:t>
            </w:r>
          </w:p>
        </w:tc>
        <w:tc>
          <w:tcPr>
            <w:tcW w:w="516" w:type="pct"/>
            <w:tcBorders>
              <w:top w:val="single" w:sz="4" w:space="0" w:color="auto"/>
              <w:left w:val="nil"/>
              <w:bottom w:val="single" w:sz="4" w:space="0" w:color="auto"/>
              <w:right w:val="nil"/>
            </w:tcBorders>
            <w:shd w:val="clear" w:color="000000" w:fill="FFFFFF"/>
            <w:noWrap/>
            <w:vAlign w:val="center"/>
          </w:tcPr>
          <w:p w14:paraId="5961AC24" w14:textId="77777777" w:rsidR="004D69BF" w:rsidRPr="00B70048" w:rsidRDefault="004D69BF" w:rsidP="000240DA">
            <w:pPr>
              <w:spacing w:line="240" w:lineRule="auto"/>
              <w:jc w:val="right"/>
              <w:rPr>
                <w:b/>
                <w:sz w:val="18"/>
                <w:szCs w:val="18"/>
              </w:rPr>
            </w:pPr>
            <w:r w:rsidRPr="00B70048">
              <w:rPr>
                <w:b/>
                <w:bCs/>
                <w:color w:val="000000"/>
                <w:sz w:val="18"/>
                <w:szCs w:val="18"/>
              </w:rPr>
              <w:t>222 304</w:t>
            </w:r>
          </w:p>
        </w:tc>
      </w:tr>
    </w:tbl>
    <w:p w14:paraId="4493BF36" w14:textId="77777777" w:rsidR="004D69BF" w:rsidRPr="00576533" w:rsidRDefault="004D69BF" w:rsidP="004D69BF">
      <w:pPr>
        <w:jc w:val="right"/>
        <w:rPr>
          <w:sz w:val="18"/>
          <w:szCs w:val="18"/>
        </w:rPr>
      </w:pPr>
      <w:r w:rsidRPr="00576533">
        <w:rPr>
          <w:sz w:val="18"/>
          <w:szCs w:val="18"/>
        </w:rPr>
        <w:t>Zdroj: MF SR</w:t>
      </w:r>
    </w:p>
    <w:p w14:paraId="731B62EA" w14:textId="77777777" w:rsidR="004D69BF" w:rsidRPr="00B70048" w:rsidRDefault="004D69BF" w:rsidP="004D69BF">
      <w:pPr>
        <w:tabs>
          <w:tab w:val="left" w:pos="284"/>
        </w:tabs>
        <w:spacing w:line="240" w:lineRule="auto"/>
        <w:rPr>
          <w:b/>
          <w:sz w:val="24"/>
          <w:szCs w:val="24"/>
        </w:rPr>
      </w:pPr>
      <w:r w:rsidRPr="00B70048">
        <w:rPr>
          <w:b/>
          <w:sz w:val="24"/>
          <w:szCs w:val="24"/>
        </w:rPr>
        <w:t>Spolufinancovanie zo štátneho rozpočtu k zahraničným grantom z prostriedkov EÚ a k zahraničným grantom poskytnutým na základe medzinárodných zmlúv</w:t>
      </w:r>
    </w:p>
    <w:p w14:paraId="7CAEA536" w14:textId="6D03D20F" w:rsidR="004D69BF" w:rsidRPr="00B70048" w:rsidRDefault="004D69BF" w:rsidP="004D69BF">
      <w:pPr>
        <w:spacing w:line="240" w:lineRule="auto"/>
        <w:rPr>
          <w:color w:val="000000" w:themeColor="text1"/>
          <w:sz w:val="24"/>
          <w:szCs w:val="24"/>
        </w:rPr>
      </w:pPr>
      <w:r w:rsidRPr="00B70048">
        <w:rPr>
          <w:color w:val="000000" w:themeColor="text1"/>
          <w:sz w:val="24"/>
          <w:szCs w:val="24"/>
        </w:rPr>
        <w:t>Schválený rozpočet výdavkov na spolufinancovanie zo štátneho rozpočtu k</w:t>
      </w:r>
      <w:r w:rsidR="00234C09">
        <w:rPr>
          <w:color w:val="000000" w:themeColor="text1"/>
          <w:sz w:val="24"/>
          <w:szCs w:val="24"/>
        </w:rPr>
        <w:t> </w:t>
      </w:r>
      <w:r w:rsidRPr="00B70048">
        <w:rPr>
          <w:color w:val="000000" w:themeColor="text1"/>
          <w:sz w:val="24"/>
          <w:szCs w:val="24"/>
        </w:rPr>
        <w:t>zahraničným grantom z prostriedkov EÚ a k zah</w:t>
      </w:r>
      <w:r w:rsidR="00B7397E">
        <w:rPr>
          <w:color w:val="000000" w:themeColor="text1"/>
          <w:sz w:val="24"/>
          <w:szCs w:val="24"/>
        </w:rPr>
        <w:t>raničným grantom poskytnutým na </w:t>
      </w:r>
      <w:r w:rsidRPr="00B70048">
        <w:rPr>
          <w:color w:val="000000" w:themeColor="text1"/>
          <w:sz w:val="24"/>
          <w:szCs w:val="24"/>
        </w:rPr>
        <w:t xml:space="preserve">základe medzinárodných zmlúv na rok 2024 bol vo výške </w:t>
      </w:r>
      <w:r w:rsidR="00234C09">
        <w:rPr>
          <w:b/>
          <w:bCs/>
          <w:color w:val="000000" w:themeColor="text1"/>
          <w:sz w:val="24"/>
          <w:szCs w:val="24"/>
        </w:rPr>
        <w:t>24 379 </w:t>
      </w:r>
      <w:r w:rsidRPr="00B70048">
        <w:rPr>
          <w:b/>
          <w:bCs/>
          <w:color w:val="000000" w:themeColor="text1"/>
          <w:sz w:val="24"/>
          <w:szCs w:val="24"/>
        </w:rPr>
        <w:t>tis.</w:t>
      </w:r>
      <w:r w:rsidR="00234C09">
        <w:rPr>
          <w:b/>
          <w:bCs/>
          <w:color w:val="000000" w:themeColor="text1"/>
          <w:sz w:val="24"/>
          <w:szCs w:val="24"/>
        </w:rPr>
        <w:t> </w:t>
      </w:r>
      <w:r w:rsidRPr="00B70048">
        <w:rPr>
          <w:b/>
          <w:bCs/>
          <w:color w:val="000000" w:themeColor="text1"/>
          <w:sz w:val="24"/>
          <w:szCs w:val="24"/>
        </w:rPr>
        <w:t>eur</w:t>
      </w:r>
      <w:r w:rsidRPr="00B70048">
        <w:rPr>
          <w:color w:val="000000" w:themeColor="text1"/>
          <w:sz w:val="24"/>
          <w:szCs w:val="24"/>
        </w:rPr>
        <w:t xml:space="preserve"> (z toho spolufinancovanie zo štátneho rozpočtu k zahraničným grantom z </w:t>
      </w:r>
      <w:r w:rsidR="00234C09">
        <w:rPr>
          <w:color w:val="000000" w:themeColor="text1"/>
          <w:sz w:val="24"/>
          <w:szCs w:val="24"/>
        </w:rPr>
        <w:t>prostriedkov EÚ vo výške 18 246 </w:t>
      </w:r>
      <w:r w:rsidRPr="00B70048">
        <w:rPr>
          <w:color w:val="000000" w:themeColor="text1"/>
          <w:sz w:val="24"/>
          <w:szCs w:val="24"/>
        </w:rPr>
        <w:t>tis.</w:t>
      </w:r>
      <w:r w:rsidR="00234C09">
        <w:rPr>
          <w:color w:val="000000" w:themeColor="text1"/>
          <w:sz w:val="24"/>
          <w:szCs w:val="24"/>
        </w:rPr>
        <w:t> </w:t>
      </w:r>
      <w:r w:rsidRPr="00B70048">
        <w:rPr>
          <w:color w:val="000000" w:themeColor="text1"/>
          <w:sz w:val="24"/>
          <w:szCs w:val="24"/>
        </w:rPr>
        <w:t>eur a spolufinancovanie k zahraničným grantom poskytnutým na základe medzinárodných zmlúv vo výške 6</w:t>
      </w:r>
      <w:r w:rsidR="00234C09">
        <w:rPr>
          <w:color w:val="000000" w:themeColor="text1"/>
          <w:sz w:val="24"/>
          <w:szCs w:val="24"/>
        </w:rPr>
        <w:t> </w:t>
      </w:r>
      <w:r w:rsidRPr="00B70048">
        <w:rPr>
          <w:color w:val="000000" w:themeColor="text1"/>
          <w:sz w:val="24"/>
          <w:szCs w:val="24"/>
        </w:rPr>
        <w:t>133</w:t>
      </w:r>
      <w:r w:rsidR="00234C09">
        <w:rPr>
          <w:color w:val="000000" w:themeColor="text1"/>
          <w:sz w:val="24"/>
          <w:szCs w:val="24"/>
        </w:rPr>
        <w:t> </w:t>
      </w:r>
      <w:r w:rsidRPr="00B70048">
        <w:rPr>
          <w:color w:val="000000" w:themeColor="text1"/>
          <w:sz w:val="24"/>
          <w:szCs w:val="24"/>
        </w:rPr>
        <w:t>tis.</w:t>
      </w:r>
      <w:r w:rsidR="00234C09">
        <w:rPr>
          <w:color w:val="000000" w:themeColor="text1"/>
          <w:sz w:val="24"/>
          <w:szCs w:val="24"/>
        </w:rPr>
        <w:t> </w:t>
      </w:r>
      <w:r w:rsidRPr="00B70048">
        <w:rPr>
          <w:color w:val="000000" w:themeColor="text1"/>
          <w:sz w:val="24"/>
          <w:szCs w:val="24"/>
        </w:rPr>
        <w:t>eur).</w:t>
      </w:r>
    </w:p>
    <w:p w14:paraId="530512B6" w14:textId="30846705" w:rsidR="004D69BF" w:rsidRPr="00B70048" w:rsidRDefault="004D69BF" w:rsidP="004D69BF">
      <w:pPr>
        <w:spacing w:line="240" w:lineRule="auto"/>
        <w:rPr>
          <w:color w:val="000000" w:themeColor="text1"/>
          <w:sz w:val="24"/>
          <w:szCs w:val="24"/>
        </w:rPr>
      </w:pPr>
      <w:r w:rsidRPr="00B70048">
        <w:rPr>
          <w:color w:val="000000" w:themeColor="text1"/>
          <w:sz w:val="24"/>
          <w:szCs w:val="24"/>
        </w:rPr>
        <w:t xml:space="preserve">Rozpočet výdavkov bol v roku 2024 upravený </w:t>
      </w:r>
      <w:r w:rsidRPr="00B70048">
        <w:rPr>
          <w:sz w:val="24"/>
          <w:szCs w:val="24"/>
        </w:rPr>
        <w:t>o nepoužité prostriedky z predchádzajúcich rokov v zmysle §</w:t>
      </w:r>
      <w:r w:rsidR="00234C09">
        <w:rPr>
          <w:sz w:val="24"/>
          <w:szCs w:val="24"/>
        </w:rPr>
        <w:t> </w:t>
      </w:r>
      <w:r w:rsidRPr="00B70048">
        <w:rPr>
          <w:sz w:val="24"/>
          <w:szCs w:val="24"/>
        </w:rPr>
        <w:t xml:space="preserve">8 zákona o rozpočtových pravidlách na úroveň </w:t>
      </w:r>
      <w:r w:rsidRPr="00B70048">
        <w:rPr>
          <w:color w:val="000000" w:themeColor="text1"/>
          <w:sz w:val="24"/>
          <w:szCs w:val="24"/>
        </w:rPr>
        <w:t xml:space="preserve">na úroveň </w:t>
      </w:r>
      <w:r w:rsidRPr="00B70048">
        <w:rPr>
          <w:b/>
          <w:bCs/>
          <w:color w:val="000000" w:themeColor="text1"/>
          <w:sz w:val="24"/>
          <w:szCs w:val="24"/>
        </w:rPr>
        <w:t>15</w:t>
      </w:r>
      <w:r w:rsidR="00234C09">
        <w:rPr>
          <w:b/>
          <w:bCs/>
          <w:color w:val="000000" w:themeColor="text1"/>
          <w:sz w:val="24"/>
          <w:szCs w:val="24"/>
        </w:rPr>
        <w:t> </w:t>
      </w:r>
      <w:r w:rsidRPr="00B70048">
        <w:rPr>
          <w:b/>
          <w:bCs/>
          <w:color w:val="000000" w:themeColor="text1"/>
          <w:sz w:val="24"/>
          <w:szCs w:val="24"/>
        </w:rPr>
        <w:t>481</w:t>
      </w:r>
      <w:r w:rsidR="00234C09">
        <w:rPr>
          <w:b/>
          <w:bCs/>
          <w:color w:val="000000" w:themeColor="text1"/>
          <w:sz w:val="24"/>
          <w:szCs w:val="24"/>
        </w:rPr>
        <w:t> </w:t>
      </w:r>
      <w:r w:rsidRPr="00B70048">
        <w:rPr>
          <w:b/>
          <w:bCs/>
          <w:color w:val="000000" w:themeColor="text1"/>
          <w:sz w:val="24"/>
          <w:szCs w:val="24"/>
        </w:rPr>
        <w:t>tis.</w:t>
      </w:r>
      <w:r w:rsidR="00234C09">
        <w:rPr>
          <w:b/>
          <w:bCs/>
          <w:color w:val="000000" w:themeColor="text1"/>
          <w:sz w:val="24"/>
          <w:szCs w:val="24"/>
        </w:rPr>
        <w:t> </w:t>
      </w:r>
      <w:r w:rsidRPr="00B70048">
        <w:rPr>
          <w:b/>
          <w:bCs/>
          <w:color w:val="000000" w:themeColor="text1"/>
          <w:sz w:val="24"/>
          <w:szCs w:val="24"/>
        </w:rPr>
        <w:t>eur</w:t>
      </w:r>
      <w:r w:rsidRPr="00B70048">
        <w:rPr>
          <w:color w:val="000000" w:themeColor="text1"/>
          <w:sz w:val="24"/>
          <w:szCs w:val="24"/>
        </w:rPr>
        <w:t xml:space="preserve"> (z</w:t>
      </w:r>
      <w:r w:rsidR="00234C09">
        <w:rPr>
          <w:color w:val="000000" w:themeColor="text1"/>
          <w:sz w:val="24"/>
          <w:szCs w:val="24"/>
        </w:rPr>
        <w:t> </w:t>
      </w:r>
      <w:r w:rsidRPr="00B70048">
        <w:rPr>
          <w:color w:val="000000" w:themeColor="text1"/>
          <w:sz w:val="24"/>
          <w:szCs w:val="24"/>
        </w:rPr>
        <w:t>toho spolufinancovanie zo štátneho rozpočtu k zahraničn</w:t>
      </w:r>
      <w:r w:rsidR="00234C09">
        <w:rPr>
          <w:color w:val="000000" w:themeColor="text1"/>
          <w:sz w:val="24"/>
          <w:szCs w:val="24"/>
        </w:rPr>
        <w:t>ým grantom z prostriedkov EÚ vo výške 9 039 </w:t>
      </w:r>
      <w:r w:rsidRPr="00B70048">
        <w:rPr>
          <w:color w:val="000000" w:themeColor="text1"/>
          <w:sz w:val="24"/>
          <w:szCs w:val="24"/>
        </w:rPr>
        <w:t>tis.</w:t>
      </w:r>
      <w:r w:rsidR="00234C09">
        <w:rPr>
          <w:color w:val="000000" w:themeColor="text1"/>
          <w:sz w:val="24"/>
          <w:szCs w:val="24"/>
        </w:rPr>
        <w:t> </w:t>
      </w:r>
      <w:r w:rsidRPr="00B70048">
        <w:rPr>
          <w:color w:val="000000" w:themeColor="text1"/>
          <w:sz w:val="24"/>
          <w:szCs w:val="24"/>
        </w:rPr>
        <w:t>eur a spolufinancovanie k zah</w:t>
      </w:r>
      <w:r w:rsidR="00234C09">
        <w:rPr>
          <w:color w:val="000000" w:themeColor="text1"/>
          <w:sz w:val="24"/>
          <w:szCs w:val="24"/>
        </w:rPr>
        <w:t>raničným grantom poskytnutým na </w:t>
      </w:r>
      <w:r w:rsidRPr="00B70048">
        <w:rPr>
          <w:color w:val="000000" w:themeColor="text1"/>
          <w:sz w:val="24"/>
          <w:szCs w:val="24"/>
        </w:rPr>
        <w:t>základe medz</w:t>
      </w:r>
      <w:r w:rsidR="00234C09">
        <w:rPr>
          <w:color w:val="000000" w:themeColor="text1"/>
          <w:sz w:val="24"/>
          <w:szCs w:val="24"/>
        </w:rPr>
        <w:t>inárodných zmlúv vo výške 6 442 </w:t>
      </w:r>
      <w:r w:rsidRPr="00B70048">
        <w:rPr>
          <w:color w:val="000000" w:themeColor="text1"/>
          <w:sz w:val="24"/>
          <w:szCs w:val="24"/>
        </w:rPr>
        <w:t>tis. eur).</w:t>
      </w:r>
    </w:p>
    <w:p w14:paraId="04ABA0F8" w14:textId="26CD27A4" w:rsidR="004D69BF" w:rsidRPr="00B70048" w:rsidRDefault="004D69BF" w:rsidP="004D69BF">
      <w:pPr>
        <w:spacing w:line="240" w:lineRule="auto"/>
        <w:rPr>
          <w:color w:val="000000" w:themeColor="text1"/>
          <w:sz w:val="24"/>
          <w:szCs w:val="24"/>
        </w:rPr>
      </w:pPr>
      <w:r w:rsidRPr="00B70048">
        <w:rPr>
          <w:color w:val="000000" w:themeColor="text1"/>
          <w:sz w:val="24"/>
          <w:szCs w:val="24"/>
        </w:rPr>
        <w:t xml:space="preserve">Skutočné čerpanie výdavkov bolo vo výške </w:t>
      </w:r>
      <w:r w:rsidR="00234C09">
        <w:rPr>
          <w:b/>
          <w:bCs/>
          <w:color w:val="000000" w:themeColor="text1"/>
          <w:sz w:val="24"/>
          <w:szCs w:val="24"/>
        </w:rPr>
        <w:t>15 481 tis. </w:t>
      </w:r>
      <w:r w:rsidRPr="00B70048">
        <w:rPr>
          <w:b/>
          <w:bCs/>
          <w:color w:val="000000" w:themeColor="text1"/>
          <w:sz w:val="24"/>
          <w:szCs w:val="24"/>
        </w:rPr>
        <w:t>eur</w:t>
      </w:r>
      <w:r w:rsidRPr="00B70048">
        <w:rPr>
          <w:color w:val="000000" w:themeColor="text1"/>
          <w:sz w:val="24"/>
          <w:szCs w:val="24"/>
        </w:rPr>
        <w:t xml:space="preserve"> (z toho spolufinancovanie zo</w:t>
      </w:r>
      <w:r w:rsidR="00234C09">
        <w:rPr>
          <w:color w:val="000000" w:themeColor="text1"/>
          <w:sz w:val="24"/>
          <w:szCs w:val="24"/>
        </w:rPr>
        <w:t> </w:t>
      </w:r>
      <w:r w:rsidRPr="00B70048">
        <w:rPr>
          <w:color w:val="000000" w:themeColor="text1"/>
          <w:sz w:val="24"/>
          <w:szCs w:val="24"/>
        </w:rPr>
        <w:t>štátneho rozpočtu k zahraničným grantom z prostriedkov EÚ vo výške 9</w:t>
      </w:r>
      <w:r w:rsidR="00234C09">
        <w:rPr>
          <w:color w:val="000000" w:themeColor="text1"/>
          <w:sz w:val="24"/>
          <w:szCs w:val="24"/>
        </w:rPr>
        <w:t> </w:t>
      </w:r>
      <w:r w:rsidRPr="00B70048">
        <w:rPr>
          <w:color w:val="000000" w:themeColor="text1"/>
          <w:sz w:val="24"/>
          <w:szCs w:val="24"/>
        </w:rPr>
        <w:t>039</w:t>
      </w:r>
      <w:r w:rsidR="00234C09">
        <w:rPr>
          <w:color w:val="000000" w:themeColor="text1"/>
          <w:sz w:val="24"/>
          <w:szCs w:val="24"/>
        </w:rPr>
        <w:t> </w:t>
      </w:r>
      <w:r w:rsidRPr="00B70048">
        <w:rPr>
          <w:color w:val="000000" w:themeColor="text1"/>
          <w:sz w:val="24"/>
          <w:szCs w:val="24"/>
        </w:rPr>
        <w:t>tis.</w:t>
      </w:r>
      <w:r w:rsidR="00234C09">
        <w:rPr>
          <w:color w:val="000000" w:themeColor="text1"/>
          <w:sz w:val="24"/>
          <w:szCs w:val="24"/>
        </w:rPr>
        <w:t> </w:t>
      </w:r>
      <w:r w:rsidRPr="00B70048">
        <w:rPr>
          <w:color w:val="000000" w:themeColor="text1"/>
          <w:sz w:val="24"/>
          <w:szCs w:val="24"/>
        </w:rPr>
        <w:t>eur a spolufinancovanie k zahraničným grantom poskytnutým na základe medzinárodných zmlúv vo</w:t>
      </w:r>
      <w:r w:rsidR="00234C09">
        <w:rPr>
          <w:color w:val="000000" w:themeColor="text1"/>
          <w:sz w:val="24"/>
          <w:szCs w:val="24"/>
        </w:rPr>
        <w:t> </w:t>
      </w:r>
      <w:r w:rsidRPr="00B70048">
        <w:rPr>
          <w:color w:val="000000" w:themeColor="text1"/>
          <w:sz w:val="24"/>
          <w:szCs w:val="24"/>
        </w:rPr>
        <w:t>výške 6</w:t>
      </w:r>
      <w:r w:rsidR="00234C09">
        <w:rPr>
          <w:color w:val="000000" w:themeColor="text1"/>
          <w:sz w:val="24"/>
          <w:szCs w:val="24"/>
        </w:rPr>
        <w:t> </w:t>
      </w:r>
      <w:r w:rsidRPr="00B70048">
        <w:rPr>
          <w:color w:val="000000" w:themeColor="text1"/>
          <w:sz w:val="24"/>
          <w:szCs w:val="24"/>
        </w:rPr>
        <w:t>442</w:t>
      </w:r>
      <w:r w:rsidR="00234C09">
        <w:rPr>
          <w:color w:val="000000" w:themeColor="text1"/>
          <w:sz w:val="24"/>
          <w:szCs w:val="24"/>
        </w:rPr>
        <w:t> </w:t>
      </w:r>
      <w:r w:rsidRPr="00B70048">
        <w:rPr>
          <w:color w:val="000000" w:themeColor="text1"/>
          <w:sz w:val="24"/>
          <w:szCs w:val="24"/>
        </w:rPr>
        <w:t>tis. eur).</w:t>
      </w:r>
    </w:p>
    <w:p w14:paraId="474AFD32" w14:textId="0EF70465" w:rsidR="004D69BF" w:rsidRPr="000D064C" w:rsidRDefault="004D69BF" w:rsidP="004D69BF">
      <w:pPr>
        <w:spacing w:line="240" w:lineRule="auto"/>
        <w:rPr>
          <w:sz w:val="24"/>
          <w:szCs w:val="24"/>
        </w:rPr>
      </w:pPr>
      <w:r w:rsidRPr="000D064C">
        <w:rPr>
          <w:b/>
          <w:bCs/>
          <w:sz w:val="24"/>
          <w:szCs w:val="24"/>
        </w:rPr>
        <w:t>Spolufinancovanie k zahraničným grantom poskytnutým z prostriedkov EÚ</w:t>
      </w:r>
      <w:r w:rsidRPr="000D064C">
        <w:rPr>
          <w:sz w:val="24"/>
          <w:szCs w:val="24"/>
        </w:rPr>
        <w:t xml:space="preserve"> sa rozpočtuje v kapitolách zodpovedných za ich riadenie. </w:t>
      </w:r>
      <w:r w:rsidRPr="000D064C">
        <w:rPr>
          <w:sz w:val="24"/>
          <w:szCs w:val="24"/>
          <w:u w:val="single"/>
        </w:rPr>
        <w:t>Za programy európskej územnej spolupráce, pri</w:t>
      </w:r>
      <w:r w:rsidR="00234C09">
        <w:rPr>
          <w:sz w:val="24"/>
          <w:szCs w:val="24"/>
          <w:u w:val="single"/>
        </w:rPr>
        <w:t> </w:t>
      </w:r>
      <w:r w:rsidRPr="000D064C">
        <w:rPr>
          <w:sz w:val="24"/>
          <w:szCs w:val="24"/>
          <w:u w:val="single"/>
        </w:rPr>
        <w:t>ktorých MF SR nie je certifikačným ani platobným orgánom</w:t>
      </w:r>
      <w:r w:rsidRPr="000D064C">
        <w:rPr>
          <w:sz w:val="24"/>
          <w:szCs w:val="24"/>
        </w:rPr>
        <w:t xml:space="preserve"> sa rozpočtujú </w:t>
      </w:r>
      <w:r w:rsidRPr="000D064C">
        <w:rPr>
          <w:sz w:val="24"/>
          <w:szCs w:val="24"/>
        </w:rPr>
        <w:lastRenderedPageBreak/>
        <w:t xml:space="preserve">prostriedky </w:t>
      </w:r>
      <w:r w:rsidR="00234C09">
        <w:rPr>
          <w:sz w:val="24"/>
          <w:szCs w:val="24"/>
        </w:rPr>
        <w:t>na </w:t>
      </w:r>
      <w:r w:rsidRPr="000D064C">
        <w:rPr>
          <w:sz w:val="24"/>
          <w:szCs w:val="24"/>
        </w:rPr>
        <w:t xml:space="preserve">spolufinancovanie v kapitole MIRRI SR, </w:t>
      </w:r>
      <w:r w:rsidRPr="000D064C">
        <w:rPr>
          <w:sz w:val="24"/>
          <w:szCs w:val="24"/>
          <w:u w:val="single"/>
        </w:rPr>
        <w:t>programy medziregionálnej spolupráce</w:t>
      </w:r>
      <w:r w:rsidRPr="000D064C">
        <w:rPr>
          <w:sz w:val="24"/>
          <w:szCs w:val="24"/>
        </w:rPr>
        <w:t xml:space="preserve"> v</w:t>
      </w:r>
      <w:r w:rsidR="00234C09">
        <w:rPr>
          <w:sz w:val="24"/>
          <w:szCs w:val="24"/>
        </w:rPr>
        <w:t> </w:t>
      </w:r>
      <w:r w:rsidRPr="000D064C">
        <w:rPr>
          <w:sz w:val="24"/>
          <w:szCs w:val="24"/>
        </w:rPr>
        <w:t xml:space="preserve">kapitole MH SR a za </w:t>
      </w:r>
      <w:r w:rsidRPr="000D064C">
        <w:rPr>
          <w:sz w:val="24"/>
          <w:szCs w:val="24"/>
          <w:u w:val="single"/>
        </w:rPr>
        <w:t>programy nadnárodnej spolupráce</w:t>
      </w:r>
      <w:r w:rsidRPr="000D064C">
        <w:rPr>
          <w:sz w:val="24"/>
          <w:szCs w:val="24"/>
        </w:rPr>
        <w:t xml:space="preserve"> v kapitole MIRRI SR, pričom rozpočtované prostr</w:t>
      </w:r>
      <w:r w:rsidR="00234C09">
        <w:rPr>
          <w:sz w:val="24"/>
          <w:szCs w:val="24"/>
        </w:rPr>
        <w:t>iedky sú v celkovej výške 1 732 </w:t>
      </w:r>
      <w:r w:rsidRPr="000D064C">
        <w:rPr>
          <w:sz w:val="24"/>
          <w:szCs w:val="24"/>
        </w:rPr>
        <w:t>tis.</w:t>
      </w:r>
      <w:r w:rsidR="00234C09">
        <w:rPr>
          <w:sz w:val="24"/>
          <w:szCs w:val="24"/>
        </w:rPr>
        <w:t> </w:t>
      </w:r>
      <w:r w:rsidRPr="000D064C">
        <w:rPr>
          <w:sz w:val="24"/>
          <w:szCs w:val="24"/>
        </w:rPr>
        <w:t>eur.</w:t>
      </w:r>
      <w:r w:rsidRPr="000D064C">
        <w:rPr>
          <w:color w:val="000000" w:themeColor="text1"/>
          <w:sz w:val="24"/>
          <w:szCs w:val="24"/>
        </w:rPr>
        <w:t xml:space="preserve"> Rozpočet výdavkov bol v roku 2024 upravený na</w:t>
      </w:r>
      <w:r w:rsidR="00234C09">
        <w:rPr>
          <w:color w:val="000000" w:themeColor="text1"/>
          <w:sz w:val="24"/>
          <w:szCs w:val="24"/>
        </w:rPr>
        <w:t> úroveň 4 787 </w:t>
      </w:r>
      <w:r w:rsidRPr="000D064C">
        <w:rPr>
          <w:color w:val="000000" w:themeColor="text1"/>
          <w:sz w:val="24"/>
          <w:szCs w:val="24"/>
        </w:rPr>
        <w:t>tis.</w:t>
      </w:r>
      <w:r w:rsidR="00234C09">
        <w:rPr>
          <w:color w:val="000000" w:themeColor="text1"/>
          <w:sz w:val="24"/>
          <w:szCs w:val="24"/>
        </w:rPr>
        <w:t> </w:t>
      </w:r>
      <w:r w:rsidRPr="000D064C">
        <w:rPr>
          <w:color w:val="000000" w:themeColor="text1"/>
          <w:sz w:val="24"/>
          <w:szCs w:val="24"/>
        </w:rPr>
        <w:t>eur a skutočné čerpanie výdavkov bolo vo</w:t>
      </w:r>
      <w:r w:rsidR="00766E41">
        <w:rPr>
          <w:color w:val="000000" w:themeColor="text1"/>
          <w:sz w:val="24"/>
          <w:szCs w:val="24"/>
        </w:rPr>
        <w:t> </w:t>
      </w:r>
      <w:r w:rsidRPr="000D064C">
        <w:rPr>
          <w:color w:val="000000" w:themeColor="text1"/>
          <w:sz w:val="24"/>
          <w:szCs w:val="24"/>
        </w:rPr>
        <w:t>výške 4</w:t>
      </w:r>
      <w:r w:rsidR="00234C09">
        <w:rPr>
          <w:color w:val="000000" w:themeColor="text1"/>
          <w:sz w:val="24"/>
          <w:szCs w:val="24"/>
        </w:rPr>
        <w:t> </w:t>
      </w:r>
      <w:r w:rsidRPr="000D064C">
        <w:rPr>
          <w:color w:val="000000" w:themeColor="text1"/>
          <w:sz w:val="24"/>
          <w:szCs w:val="24"/>
        </w:rPr>
        <w:t>787</w:t>
      </w:r>
      <w:r w:rsidR="00234C09">
        <w:rPr>
          <w:color w:val="000000" w:themeColor="text1"/>
          <w:sz w:val="24"/>
          <w:szCs w:val="24"/>
        </w:rPr>
        <w:t> </w:t>
      </w:r>
      <w:r w:rsidRPr="000D064C">
        <w:rPr>
          <w:color w:val="000000" w:themeColor="text1"/>
          <w:sz w:val="24"/>
          <w:szCs w:val="24"/>
        </w:rPr>
        <w:t>tis.</w:t>
      </w:r>
      <w:r w:rsidR="00234C09">
        <w:rPr>
          <w:color w:val="000000" w:themeColor="text1"/>
          <w:sz w:val="24"/>
          <w:szCs w:val="24"/>
        </w:rPr>
        <w:t> </w:t>
      </w:r>
      <w:r w:rsidRPr="000D064C">
        <w:rPr>
          <w:color w:val="000000" w:themeColor="text1"/>
          <w:sz w:val="24"/>
          <w:szCs w:val="24"/>
        </w:rPr>
        <w:t xml:space="preserve">eur. </w:t>
      </w:r>
      <w:r w:rsidR="00234C09">
        <w:rPr>
          <w:sz w:val="24"/>
          <w:szCs w:val="24"/>
          <w:u w:val="single"/>
        </w:rPr>
        <w:t>Za </w:t>
      </w:r>
      <w:r w:rsidRPr="000D064C">
        <w:rPr>
          <w:sz w:val="24"/>
          <w:szCs w:val="24"/>
          <w:u w:val="single"/>
        </w:rPr>
        <w:t>Program LIFE+</w:t>
      </w:r>
      <w:r w:rsidRPr="000D064C">
        <w:rPr>
          <w:sz w:val="24"/>
          <w:szCs w:val="24"/>
        </w:rPr>
        <w:t xml:space="preserve"> sa rozpočtujú prostriedky na spolufi</w:t>
      </w:r>
      <w:r w:rsidR="00234C09">
        <w:rPr>
          <w:sz w:val="24"/>
          <w:szCs w:val="24"/>
        </w:rPr>
        <w:t>nancovanie v kapitole MŽP SR vo </w:t>
      </w:r>
      <w:r w:rsidRPr="000D064C">
        <w:rPr>
          <w:sz w:val="24"/>
          <w:szCs w:val="24"/>
        </w:rPr>
        <w:t>výške 16</w:t>
      </w:r>
      <w:r w:rsidR="00234C09">
        <w:rPr>
          <w:sz w:val="24"/>
          <w:szCs w:val="24"/>
        </w:rPr>
        <w:t> </w:t>
      </w:r>
      <w:r w:rsidRPr="000D064C">
        <w:rPr>
          <w:sz w:val="24"/>
          <w:szCs w:val="24"/>
        </w:rPr>
        <w:t>514</w:t>
      </w:r>
      <w:r w:rsidR="00234C09">
        <w:rPr>
          <w:sz w:val="24"/>
          <w:szCs w:val="24"/>
        </w:rPr>
        <w:t> </w:t>
      </w:r>
      <w:r w:rsidRPr="000D064C">
        <w:rPr>
          <w:sz w:val="24"/>
          <w:szCs w:val="24"/>
        </w:rPr>
        <w:t>tis.</w:t>
      </w:r>
      <w:r w:rsidR="00234C09">
        <w:rPr>
          <w:sz w:val="24"/>
          <w:szCs w:val="24"/>
        </w:rPr>
        <w:t> </w:t>
      </w:r>
      <w:r w:rsidRPr="000D064C">
        <w:rPr>
          <w:sz w:val="24"/>
          <w:szCs w:val="24"/>
        </w:rPr>
        <w:t xml:space="preserve">eur. </w:t>
      </w:r>
      <w:r w:rsidRPr="000D064C">
        <w:rPr>
          <w:color w:val="000000" w:themeColor="text1"/>
          <w:sz w:val="24"/>
          <w:szCs w:val="24"/>
        </w:rPr>
        <w:t>Rozpočet výdavkov bol v roku 2024 upravený na</w:t>
      </w:r>
      <w:r w:rsidR="00B7397E">
        <w:rPr>
          <w:color w:val="000000" w:themeColor="text1"/>
          <w:sz w:val="24"/>
          <w:szCs w:val="24"/>
        </w:rPr>
        <w:t> </w:t>
      </w:r>
      <w:r w:rsidRPr="000D064C">
        <w:rPr>
          <w:color w:val="000000" w:themeColor="text1"/>
          <w:sz w:val="24"/>
          <w:szCs w:val="24"/>
        </w:rPr>
        <w:t>úroveň 4</w:t>
      </w:r>
      <w:r w:rsidR="00234C09">
        <w:rPr>
          <w:color w:val="000000" w:themeColor="text1"/>
          <w:sz w:val="24"/>
          <w:szCs w:val="24"/>
        </w:rPr>
        <w:t> </w:t>
      </w:r>
      <w:r w:rsidRPr="000D064C">
        <w:rPr>
          <w:color w:val="000000" w:themeColor="text1"/>
          <w:sz w:val="24"/>
          <w:szCs w:val="24"/>
        </w:rPr>
        <w:t>252</w:t>
      </w:r>
      <w:r w:rsidR="00234C09">
        <w:rPr>
          <w:color w:val="000000" w:themeColor="text1"/>
          <w:sz w:val="24"/>
          <w:szCs w:val="24"/>
        </w:rPr>
        <w:t> </w:t>
      </w:r>
      <w:r w:rsidRPr="000D064C">
        <w:rPr>
          <w:color w:val="000000" w:themeColor="text1"/>
          <w:sz w:val="24"/>
          <w:szCs w:val="24"/>
        </w:rPr>
        <w:t>tis.</w:t>
      </w:r>
      <w:r w:rsidR="00234C09">
        <w:rPr>
          <w:color w:val="000000" w:themeColor="text1"/>
          <w:sz w:val="24"/>
          <w:szCs w:val="24"/>
        </w:rPr>
        <w:t> </w:t>
      </w:r>
      <w:r w:rsidRPr="000D064C">
        <w:rPr>
          <w:color w:val="000000" w:themeColor="text1"/>
          <w:sz w:val="24"/>
          <w:szCs w:val="24"/>
        </w:rPr>
        <w:t>eur a skutočné čerpan</w:t>
      </w:r>
      <w:r w:rsidR="00234C09">
        <w:rPr>
          <w:color w:val="000000" w:themeColor="text1"/>
          <w:sz w:val="24"/>
          <w:szCs w:val="24"/>
        </w:rPr>
        <w:t>ie výdavkov bolo vo výške 4 252 tis.</w:t>
      </w:r>
      <w:r w:rsidR="001D2C2C">
        <w:rPr>
          <w:color w:val="000000" w:themeColor="text1"/>
          <w:sz w:val="24"/>
          <w:szCs w:val="24"/>
        </w:rPr>
        <w:t> </w:t>
      </w:r>
      <w:r w:rsidR="00234C09">
        <w:rPr>
          <w:color w:val="000000" w:themeColor="text1"/>
          <w:sz w:val="24"/>
          <w:szCs w:val="24"/>
        </w:rPr>
        <w:t>eur.</w:t>
      </w:r>
    </w:p>
    <w:p w14:paraId="22E03C5C" w14:textId="03AF2933" w:rsidR="004D69BF" w:rsidRPr="00B70048" w:rsidRDefault="004D69BF" w:rsidP="004D69BF">
      <w:pPr>
        <w:spacing w:line="240" w:lineRule="auto"/>
        <w:rPr>
          <w:sz w:val="24"/>
          <w:szCs w:val="24"/>
        </w:rPr>
      </w:pPr>
      <w:r w:rsidRPr="000D064C">
        <w:rPr>
          <w:b/>
          <w:bCs/>
          <w:sz w:val="24"/>
          <w:szCs w:val="24"/>
        </w:rPr>
        <w:t>Spolufinancovanie k zahraničným grantom poskytnutým na základe medzinárodných zmlúv</w:t>
      </w:r>
      <w:r w:rsidRPr="000D064C">
        <w:rPr>
          <w:sz w:val="24"/>
          <w:szCs w:val="24"/>
        </w:rPr>
        <w:t xml:space="preserve"> je alokované v kapitole VPS za programy Finančného mechanizmu EHP vo</w:t>
      </w:r>
      <w:r w:rsidR="001871C8">
        <w:rPr>
          <w:sz w:val="24"/>
          <w:szCs w:val="24"/>
        </w:rPr>
        <w:t> </w:t>
      </w:r>
      <w:r w:rsidRPr="000D064C">
        <w:rPr>
          <w:sz w:val="24"/>
          <w:szCs w:val="24"/>
        </w:rPr>
        <w:t>výške 627</w:t>
      </w:r>
      <w:r w:rsidR="001871C8">
        <w:rPr>
          <w:sz w:val="24"/>
          <w:szCs w:val="24"/>
        </w:rPr>
        <w:t> </w:t>
      </w:r>
      <w:r w:rsidRPr="000D064C">
        <w:rPr>
          <w:sz w:val="24"/>
          <w:szCs w:val="24"/>
        </w:rPr>
        <w:t>tis.</w:t>
      </w:r>
      <w:r w:rsidR="001871C8">
        <w:rPr>
          <w:sz w:val="24"/>
          <w:szCs w:val="24"/>
        </w:rPr>
        <w:t> </w:t>
      </w:r>
      <w:r w:rsidRPr="000D064C">
        <w:rPr>
          <w:sz w:val="24"/>
          <w:szCs w:val="24"/>
        </w:rPr>
        <w:t>eur, NFM vo výške 373</w:t>
      </w:r>
      <w:r w:rsidR="001871C8">
        <w:rPr>
          <w:sz w:val="24"/>
          <w:szCs w:val="24"/>
        </w:rPr>
        <w:t> </w:t>
      </w:r>
      <w:r w:rsidRPr="000D064C">
        <w:rPr>
          <w:sz w:val="24"/>
          <w:szCs w:val="24"/>
        </w:rPr>
        <w:t>tis.</w:t>
      </w:r>
      <w:r w:rsidR="001871C8">
        <w:rPr>
          <w:sz w:val="24"/>
          <w:szCs w:val="24"/>
        </w:rPr>
        <w:t> </w:t>
      </w:r>
      <w:r w:rsidRPr="000D064C">
        <w:rPr>
          <w:sz w:val="24"/>
          <w:szCs w:val="24"/>
        </w:rPr>
        <w:t>eur a ŠFM vo výške 5</w:t>
      </w:r>
      <w:r w:rsidR="001871C8">
        <w:rPr>
          <w:sz w:val="24"/>
          <w:szCs w:val="24"/>
        </w:rPr>
        <w:t> </w:t>
      </w:r>
      <w:r w:rsidRPr="000D064C">
        <w:rPr>
          <w:sz w:val="24"/>
          <w:szCs w:val="24"/>
        </w:rPr>
        <w:t>133</w:t>
      </w:r>
      <w:r w:rsidR="001871C8">
        <w:rPr>
          <w:sz w:val="24"/>
          <w:szCs w:val="24"/>
        </w:rPr>
        <w:t> </w:t>
      </w:r>
      <w:r w:rsidRPr="000D064C">
        <w:rPr>
          <w:sz w:val="24"/>
          <w:szCs w:val="24"/>
        </w:rPr>
        <w:t>tis.</w:t>
      </w:r>
      <w:r w:rsidR="001871C8">
        <w:rPr>
          <w:sz w:val="24"/>
          <w:szCs w:val="24"/>
        </w:rPr>
        <w:t> eur (z toho vo </w:t>
      </w:r>
      <w:r w:rsidRPr="000D064C">
        <w:rPr>
          <w:sz w:val="24"/>
          <w:szCs w:val="24"/>
        </w:rPr>
        <w:t>výške 614</w:t>
      </w:r>
      <w:r w:rsidR="001871C8">
        <w:rPr>
          <w:sz w:val="24"/>
          <w:szCs w:val="24"/>
        </w:rPr>
        <w:t> </w:t>
      </w:r>
      <w:r w:rsidRPr="000D064C">
        <w:rPr>
          <w:sz w:val="24"/>
          <w:szCs w:val="24"/>
        </w:rPr>
        <w:t>tis.</w:t>
      </w:r>
      <w:r w:rsidR="001871C8">
        <w:rPr>
          <w:sz w:val="24"/>
          <w:szCs w:val="24"/>
        </w:rPr>
        <w:t> </w:t>
      </w:r>
      <w:r w:rsidRPr="000D064C">
        <w:rPr>
          <w:sz w:val="24"/>
          <w:szCs w:val="24"/>
        </w:rPr>
        <w:t>eur na spolufinancovanie projektov a vo výške 4</w:t>
      </w:r>
      <w:r w:rsidR="001871C8">
        <w:rPr>
          <w:sz w:val="24"/>
          <w:szCs w:val="24"/>
        </w:rPr>
        <w:t> </w:t>
      </w:r>
      <w:r w:rsidRPr="000D064C">
        <w:rPr>
          <w:sz w:val="24"/>
          <w:szCs w:val="24"/>
        </w:rPr>
        <w:t>519</w:t>
      </w:r>
      <w:r w:rsidR="001871C8">
        <w:rPr>
          <w:sz w:val="24"/>
          <w:szCs w:val="24"/>
        </w:rPr>
        <w:t> </w:t>
      </w:r>
      <w:r w:rsidRPr="000D064C">
        <w:rPr>
          <w:sz w:val="24"/>
          <w:szCs w:val="24"/>
        </w:rPr>
        <w:t>tis.</w:t>
      </w:r>
      <w:r w:rsidR="001871C8">
        <w:rPr>
          <w:sz w:val="24"/>
          <w:szCs w:val="24"/>
        </w:rPr>
        <w:t> </w:t>
      </w:r>
      <w:r w:rsidRPr="000D064C">
        <w:rPr>
          <w:sz w:val="24"/>
          <w:szCs w:val="24"/>
        </w:rPr>
        <w:t xml:space="preserve">eur na účel zabezpečenie predplatenia projektov). </w:t>
      </w:r>
      <w:r w:rsidRPr="000D064C">
        <w:rPr>
          <w:color w:val="000000" w:themeColor="text1"/>
          <w:sz w:val="24"/>
          <w:szCs w:val="24"/>
        </w:rPr>
        <w:t>Rozpočet výdavkov bol v roku 2024 upravený na úroveň skutočného čerpania vo výške 6</w:t>
      </w:r>
      <w:r w:rsidR="001871C8">
        <w:rPr>
          <w:color w:val="000000" w:themeColor="text1"/>
          <w:sz w:val="24"/>
          <w:szCs w:val="24"/>
        </w:rPr>
        <w:t>27 tis. eur v prípade EHP a 373 </w:t>
      </w:r>
      <w:r w:rsidRPr="000D064C">
        <w:rPr>
          <w:color w:val="000000" w:themeColor="text1"/>
          <w:sz w:val="24"/>
          <w:szCs w:val="24"/>
        </w:rPr>
        <w:t>tis.</w:t>
      </w:r>
      <w:r w:rsidR="001871C8">
        <w:rPr>
          <w:color w:val="000000" w:themeColor="text1"/>
          <w:sz w:val="24"/>
          <w:szCs w:val="24"/>
        </w:rPr>
        <w:t> </w:t>
      </w:r>
      <w:r w:rsidRPr="000D064C">
        <w:rPr>
          <w:color w:val="000000" w:themeColor="text1"/>
          <w:sz w:val="24"/>
          <w:szCs w:val="24"/>
        </w:rPr>
        <w:t>eur v prípade NFM. Rozpočet pre</w:t>
      </w:r>
      <w:r w:rsidR="001871C8">
        <w:rPr>
          <w:color w:val="000000" w:themeColor="text1"/>
          <w:sz w:val="24"/>
          <w:szCs w:val="24"/>
        </w:rPr>
        <w:t> </w:t>
      </w:r>
      <w:r w:rsidRPr="000D064C">
        <w:rPr>
          <w:color w:val="000000" w:themeColor="text1"/>
          <w:sz w:val="24"/>
          <w:szCs w:val="24"/>
        </w:rPr>
        <w:t>program ŠFM bol upravený o nepoužité prostriedky z predchádzajúcich rokov podľa §</w:t>
      </w:r>
      <w:r w:rsidR="001871C8">
        <w:rPr>
          <w:color w:val="000000" w:themeColor="text1"/>
          <w:sz w:val="24"/>
          <w:szCs w:val="24"/>
        </w:rPr>
        <w:t> </w:t>
      </w:r>
      <w:r w:rsidRPr="000D064C">
        <w:rPr>
          <w:color w:val="000000" w:themeColor="text1"/>
          <w:sz w:val="24"/>
          <w:szCs w:val="24"/>
        </w:rPr>
        <w:t>8 zákona o rozpočtových</w:t>
      </w:r>
      <w:r w:rsidRPr="00B70048">
        <w:rPr>
          <w:color w:val="000000" w:themeColor="text1"/>
          <w:sz w:val="24"/>
          <w:szCs w:val="24"/>
        </w:rPr>
        <w:t xml:space="preserve"> </w:t>
      </w:r>
      <w:r w:rsidR="004107A8">
        <w:rPr>
          <w:color w:val="000000" w:themeColor="text1"/>
          <w:sz w:val="24"/>
          <w:szCs w:val="24"/>
        </w:rPr>
        <w:t>pravidlách na výšku 5 442 </w:t>
      </w:r>
      <w:r w:rsidRPr="000D064C">
        <w:rPr>
          <w:color w:val="000000" w:themeColor="text1"/>
          <w:sz w:val="24"/>
          <w:szCs w:val="24"/>
        </w:rPr>
        <w:t>tis.</w:t>
      </w:r>
      <w:r w:rsidR="004107A8">
        <w:rPr>
          <w:color w:val="000000" w:themeColor="text1"/>
          <w:sz w:val="24"/>
          <w:szCs w:val="24"/>
        </w:rPr>
        <w:t> </w:t>
      </w:r>
      <w:r w:rsidRPr="000D064C">
        <w:rPr>
          <w:color w:val="000000" w:themeColor="text1"/>
          <w:sz w:val="24"/>
          <w:szCs w:val="24"/>
        </w:rPr>
        <w:t>eur</w:t>
      </w:r>
      <w:r w:rsidR="001871C8">
        <w:rPr>
          <w:color w:val="000000" w:themeColor="text1"/>
          <w:sz w:val="24"/>
          <w:szCs w:val="24"/>
        </w:rPr>
        <w:t>. Prostriedky boli poukázané na </w:t>
      </w:r>
      <w:r w:rsidRPr="000D064C">
        <w:rPr>
          <w:color w:val="000000" w:themeColor="text1"/>
          <w:sz w:val="24"/>
          <w:szCs w:val="24"/>
        </w:rPr>
        <w:t>samostatný účet certifikačného orgánu  MF SR vo výške 6</w:t>
      </w:r>
      <w:r w:rsidR="001871C8">
        <w:rPr>
          <w:color w:val="000000" w:themeColor="text1"/>
          <w:sz w:val="24"/>
          <w:szCs w:val="24"/>
        </w:rPr>
        <w:t>27 tis. eur v prípade EHP a 373 </w:t>
      </w:r>
      <w:r w:rsidRPr="000D064C">
        <w:rPr>
          <w:color w:val="000000" w:themeColor="text1"/>
          <w:sz w:val="24"/>
          <w:szCs w:val="24"/>
        </w:rPr>
        <w:t>tis.</w:t>
      </w:r>
      <w:r w:rsidR="001871C8">
        <w:rPr>
          <w:color w:val="000000" w:themeColor="text1"/>
          <w:sz w:val="24"/>
          <w:szCs w:val="24"/>
        </w:rPr>
        <w:t> </w:t>
      </w:r>
      <w:r w:rsidRPr="000D064C">
        <w:rPr>
          <w:color w:val="000000" w:themeColor="text1"/>
          <w:sz w:val="24"/>
          <w:szCs w:val="24"/>
        </w:rPr>
        <w:t>eur v prípade NFM a 5</w:t>
      </w:r>
      <w:r w:rsidR="00F84B85">
        <w:rPr>
          <w:color w:val="000000" w:themeColor="text1"/>
          <w:sz w:val="24"/>
          <w:szCs w:val="24"/>
        </w:rPr>
        <w:t> </w:t>
      </w:r>
      <w:r w:rsidRPr="000D064C">
        <w:rPr>
          <w:color w:val="000000" w:themeColor="text1"/>
          <w:sz w:val="24"/>
          <w:szCs w:val="24"/>
        </w:rPr>
        <w:t>442</w:t>
      </w:r>
      <w:r w:rsidR="00F84B85">
        <w:rPr>
          <w:color w:val="000000" w:themeColor="text1"/>
          <w:sz w:val="24"/>
          <w:szCs w:val="24"/>
        </w:rPr>
        <w:t> </w:t>
      </w:r>
      <w:r w:rsidRPr="000D064C">
        <w:rPr>
          <w:color w:val="000000" w:themeColor="text1"/>
          <w:sz w:val="24"/>
          <w:szCs w:val="24"/>
        </w:rPr>
        <w:t>tis.</w:t>
      </w:r>
      <w:r w:rsidR="00F84B85">
        <w:rPr>
          <w:color w:val="000000" w:themeColor="text1"/>
          <w:sz w:val="24"/>
          <w:szCs w:val="24"/>
        </w:rPr>
        <w:t> </w:t>
      </w:r>
      <w:r w:rsidRPr="000D064C">
        <w:rPr>
          <w:color w:val="000000" w:themeColor="text1"/>
          <w:sz w:val="24"/>
          <w:szCs w:val="24"/>
        </w:rPr>
        <w:t>eur na účet certifikačného orgánu MIRRI SR v prípade ŠFM</w:t>
      </w:r>
      <w:r w:rsidRPr="00B70048">
        <w:rPr>
          <w:i/>
          <w:iCs/>
          <w:color w:val="000000" w:themeColor="text1"/>
          <w:sz w:val="24"/>
          <w:szCs w:val="24"/>
        </w:rPr>
        <w:t>.</w:t>
      </w:r>
    </w:p>
    <w:p w14:paraId="2CF0D3AF" w14:textId="09B0DF97" w:rsidR="004D216F" w:rsidRPr="004D216F" w:rsidRDefault="004D216F" w:rsidP="004D216F">
      <w:pPr>
        <w:pStyle w:val="Popis"/>
        <w:keepNext/>
        <w:spacing w:after="120"/>
        <w:rPr>
          <w:b/>
          <w:bCs/>
          <w:i w:val="0"/>
          <w:iCs w:val="0"/>
          <w:color w:val="5B9CD6"/>
          <w:sz w:val="20"/>
          <w:szCs w:val="20"/>
        </w:rPr>
      </w:pPr>
      <w:bookmarkStart w:id="157" w:name="_Toc196389291"/>
      <w:bookmarkStart w:id="158" w:name="_Toc196313670"/>
      <w:r w:rsidRPr="004D216F">
        <w:rPr>
          <w:b/>
          <w:bCs/>
          <w:i w:val="0"/>
          <w:iCs w:val="0"/>
          <w:color w:val="5B9CD6"/>
          <w:sz w:val="20"/>
          <w:szCs w:val="20"/>
        </w:rPr>
        <w:t xml:space="preserve">Tabuľka </w:t>
      </w:r>
      <w:r w:rsidRPr="004D216F">
        <w:rPr>
          <w:b/>
          <w:bCs/>
          <w:i w:val="0"/>
          <w:iCs w:val="0"/>
          <w:color w:val="5B9CD6"/>
          <w:sz w:val="20"/>
          <w:szCs w:val="20"/>
        </w:rPr>
        <w:fldChar w:fldCharType="begin"/>
      </w:r>
      <w:r w:rsidRPr="004D216F">
        <w:rPr>
          <w:b/>
          <w:bCs/>
          <w:i w:val="0"/>
          <w:iCs w:val="0"/>
          <w:color w:val="5B9CD6"/>
          <w:sz w:val="20"/>
          <w:szCs w:val="20"/>
        </w:rPr>
        <w:instrText xml:space="preserve"> SEQ Tabuľka \* ARABIC </w:instrText>
      </w:r>
      <w:r w:rsidRPr="004D216F">
        <w:rPr>
          <w:b/>
          <w:bCs/>
          <w:i w:val="0"/>
          <w:iCs w:val="0"/>
          <w:color w:val="5B9CD6"/>
          <w:sz w:val="20"/>
          <w:szCs w:val="20"/>
        </w:rPr>
        <w:fldChar w:fldCharType="separate"/>
      </w:r>
      <w:r w:rsidR="00C64CBA">
        <w:rPr>
          <w:b/>
          <w:bCs/>
          <w:i w:val="0"/>
          <w:iCs w:val="0"/>
          <w:noProof/>
          <w:color w:val="5B9CD6"/>
          <w:sz w:val="20"/>
          <w:szCs w:val="20"/>
        </w:rPr>
        <w:t>44</w:t>
      </w:r>
      <w:r w:rsidRPr="004D216F">
        <w:rPr>
          <w:b/>
          <w:bCs/>
          <w:i w:val="0"/>
          <w:iCs w:val="0"/>
          <w:color w:val="5B9CD6"/>
          <w:sz w:val="20"/>
          <w:szCs w:val="20"/>
        </w:rPr>
        <w:fldChar w:fldCharType="end"/>
      </w:r>
      <w:r w:rsidRPr="004D216F">
        <w:rPr>
          <w:b/>
          <w:bCs/>
          <w:i w:val="0"/>
          <w:iCs w:val="0"/>
          <w:color w:val="5B9CD6"/>
          <w:sz w:val="20"/>
          <w:szCs w:val="20"/>
        </w:rPr>
        <w:t xml:space="preserve"> </w:t>
      </w:r>
      <w:r w:rsidR="00FA5A1C">
        <w:rPr>
          <w:b/>
          <w:bCs/>
          <w:i w:val="0"/>
          <w:iCs w:val="0"/>
          <w:color w:val="5B9CD6"/>
          <w:sz w:val="20"/>
          <w:szCs w:val="20"/>
        </w:rPr>
        <w:t>–</w:t>
      </w:r>
      <w:r w:rsidRPr="004D216F">
        <w:rPr>
          <w:b/>
          <w:bCs/>
          <w:i w:val="0"/>
          <w:iCs w:val="0"/>
          <w:color w:val="5B9CD6"/>
          <w:sz w:val="20"/>
          <w:szCs w:val="20"/>
        </w:rPr>
        <w:t xml:space="preserve"> Spolufin</w:t>
      </w:r>
      <w:r w:rsidR="00FA5A1C">
        <w:rPr>
          <w:b/>
          <w:bCs/>
          <w:i w:val="0"/>
          <w:iCs w:val="0"/>
          <w:color w:val="5B9CD6"/>
          <w:sz w:val="20"/>
          <w:szCs w:val="20"/>
        </w:rPr>
        <w:t>ancovanie</w:t>
      </w:r>
      <w:r w:rsidRPr="004D216F">
        <w:rPr>
          <w:b/>
          <w:bCs/>
          <w:i w:val="0"/>
          <w:iCs w:val="0"/>
          <w:color w:val="5B9CD6"/>
          <w:sz w:val="20"/>
          <w:szCs w:val="20"/>
        </w:rPr>
        <w:t xml:space="preserve"> zo ŠR k zahraničným grantom</w:t>
      </w:r>
      <w:bookmarkEnd w:id="157"/>
      <w:r w:rsidRPr="004D216F">
        <w:rPr>
          <w:b/>
          <w:bCs/>
          <w:i w:val="0"/>
          <w:iCs w:val="0"/>
          <w:color w:val="5B9CD6"/>
          <w:sz w:val="20"/>
          <w:szCs w:val="20"/>
        </w:rPr>
        <w:t xml:space="preserve"> </w:t>
      </w:r>
      <w:bookmarkEnd w:id="158"/>
    </w:p>
    <w:tbl>
      <w:tblPr>
        <w:tblW w:w="5000" w:type="pct"/>
        <w:tblCellMar>
          <w:left w:w="70" w:type="dxa"/>
          <w:right w:w="70" w:type="dxa"/>
        </w:tblCellMar>
        <w:tblLook w:val="04A0" w:firstRow="1" w:lastRow="0" w:firstColumn="1" w:lastColumn="0" w:noHBand="0" w:noVBand="1"/>
      </w:tblPr>
      <w:tblGrid>
        <w:gridCol w:w="4293"/>
        <w:gridCol w:w="937"/>
        <w:gridCol w:w="938"/>
        <w:gridCol w:w="938"/>
        <w:gridCol w:w="981"/>
        <w:gridCol w:w="843"/>
      </w:tblGrid>
      <w:tr w:rsidR="004D69BF" w:rsidRPr="00B70048" w14:paraId="65C5D696" w14:textId="77777777" w:rsidTr="001D2C2C">
        <w:trPr>
          <w:trHeight w:val="263"/>
          <w:tblHeader/>
        </w:trPr>
        <w:tc>
          <w:tcPr>
            <w:tcW w:w="2404" w:type="pct"/>
            <w:vMerge w:val="restart"/>
            <w:tcBorders>
              <w:top w:val="single" w:sz="4" w:space="0" w:color="auto"/>
              <w:left w:val="nil"/>
              <w:right w:val="nil"/>
            </w:tcBorders>
            <w:shd w:val="clear" w:color="auto" w:fill="auto"/>
            <w:vAlign w:val="center"/>
            <w:hideMark/>
          </w:tcPr>
          <w:p w14:paraId="1796AE71" w14:textId="77777777" w:rsidR="004D69BF" w:rsidRPr="00B70048" w:rsidRDefault="004D69BF" w:rsidP="000240DA">
            <w:pPr>
              <w:spacing w:line="240" w:lineRule="auto"/>
              <w:rPr>
                <w:bCs/>
                <w:sz w:val="18"/>
                <w:szCs w:val="18"/>
              </w:rPr>
            </w:pPr>
            <w:r w:rsidRPr="00B70048">
              <w:rPr>
                <w:b/>
                <w:bCs/>
                <w:sz w:val="18"/>
                <w:szCs w:val="18"/>
              </w:rPr>
              <w:t>v tis. eur</w:t>
            </w:r>
          </w:p>
        </w:tc>
        <w:tc>
          <w:tcPr>
            <w:tcW w:w="525" w:type="pct"/>
            <w:tcBorders>
              <w:top w:val="single" w:sz="4" w:space="0" w:color="auto"/>
              <w:left w:val="nil"/>
              <w:bottom w:val="nil"/>
              <w:right w:val="nil"/>
            </w:tcBorders>
            <w:shd w:val="clear" w:color="auto" w:fill="auto"/>
            <w:vAlign w:val="center"/>
            <w:hideMark/>
          </w:tcPr>
          <w:p w14:paraId="0AAEDC0D" w14:textId="77777777" w:rsidR="004D69BF" w:rsidRPr="00B70048" w:rsidRDefault="004D69BF" w:rsidP="000240DA">
            <w:pPr>
              <w:spacing w:line="240" w:lineRule="auto"/>
              <w:jc w:val="center"/>
              <w:rPr>
                <w:b/>
                <w:bCs/>
                <w:sz w:val="18"/>
                <w:szCs w:val="18"/>
              </w:rPr>
            </w:pPr>
            <w:r w:rsidRPr="00B70048">
              <w:rPr>
                <w:b/>
                <w:bCs/>
                <w:color w:val="000000"/>
                <w:sz w:val="18"/>
                <w:szCs w:val="18"/>
              </w:rPr>
              <w:t>2022 S</w:t>
            </w:r>
          </w:p>
        </w:tc>
        <w:tc>
          <w:tcPr>
            <w:tcW w:w="525" w:type="pct"/>
            <w:tcBorders>
              <w:top w:val="single" w:sz="4" w:space="0" w:color="auto"/>
              <w:left w:val="nil"/>
              <w:bottom w:val="nil"/>
              <w:right w:val="nil"/>
            </w:tcBorders>
            <w:shd w:val="clear" w:color="auto" w:fill="auto"/>
            <w:vAlign w:val="center"/>
            <w:hideMark/>
          </w:tcPr>
          <w:p w14:paraId="713C9EA2" w14:textId="77777777" w:rsidR="004D69BF" w:rsidRPr="00B70048" w:rsidRDefault="004D69BF" w:rsidP="000240DA">
            <w:pPr>
              <w:spacing w:line="240" w:lineRule="auto"/>
              <w:jc w:val="center"/>
              <w:rPr>
                <w:b/>
                <w:bCs/>
                <w:sz w:val="18"/>
                <w:szCs w:val="18"/>
              </w:rPr>
            </w:pPr>
            <w:r w:rsidRPr="00B70048">
              <w:rPr>
                <w:b/>
                <w:bCs/>
                <w:color w:val="000000"/>
                <w:sz w:val="18"/>
                <w:szCs w:val="18"/>
              </w:rPr>
              <w:t>2023 S</w:t>
            </w:r>
          </w:p>
        </w:tc>
        <w:tc>
          <w:tcPr>
            <w:tcW w:w="525" w:type="pct"/>
            <w:tcBorders>
              <w:top w:val="single" w:sz="4" w:space="0" w:color="auto"/>
              <w:left w:val="nil"/>
              <w:bottom w:val="nil"/>
              <w:right w:val="nil"/>
            </w:tcBorders>
            <w:shd w:val="clear" w:color="auto" w:fill="auto"/>
            <w:vAlign w:val="center"/>
            <w:hideMark/>
          </w:tcPr>
          <w:p w14:paraId="3D9EAABB" w14:textId="77777777" w:rsidR="004D69BF" w:rsidRPr="00B70048" w:rsidRDefault="004D69BF" w:rsidP="000240DA">
            <w:pPr>
              <w:spacing w:line="240" w:lineRule="auto"/>
              <w:jc w:val="center"/>
              <w:rPr>
                <w:b/>
                <w:bCs/>
                <w:sz w:val="18"/>
                <w:szCs w:val="18"/>
              </w:rPr>
            </w:pPr>
            <w:r w:rsidRPr="00B70048">
              <w:rPr>
                <w:b/>
                <w:bCs/>
                <w:color w:val="000000"/>
                <w:sz w:val="18"/>
                <w:szCs w:val="18"/>
              </w:rPr>
              <w:t>2024 R</w:t>
            </w:r>
          </w:p>
        </w:tc>
        <w:tc>
          <w:tcPr>
            <w:tcW w:w="549" w:type="pct"/>
            <w:tcBorders>
              <w:top w:val="single" w:sz="4" w:space="0" w:color="auto"/>
              <w:left w:val="nil"/>
              <w:bottom w:val="nil"/>
              <w:right w:val="nil"/>
            </w:tcBorders>
            <w:shd w:val="clear" w:color="auto" w:fill="auto"/>
            <w:vAlign w:val="center"/>
            <w:hideMark/>
          </w:tcPr>
          <w:p w14:paraId="0B08A7C5" w14:textId="77777777" w:rsidR="004D69BF" w:rsidRPr="00B70048" w:rsidRDefault="004D69BF" w:rsidP="000240DA">
            <w:pPr>
              <w:spacing w:line="240" w:lineRule="auto"/>
              <w:jc w:val="center"/>
              <w:rPr>
                <w:b/>
                <w:bCs/>
                <w:sz w:val="18"/>
                <w:szCs w:val="18"/>
              </w:rPr>
            </w:pPr>
            <w:r w:rsidRPr="00B70048">
              <w:rPr>
                <w:b/>
                <w:bCs/>
                <w:color w:val="000000"/>
                <w:sz w:val="18"/>
                <w:szCs w:val="18"/>
              </w:rPr>
              <w:t>2024 S</w:t>
            </w:r>
          </w:p>
        </w:tc>
        <w:tc>
          <w:tcPr>
            <w:tcW w:w="472" w:type="pct"/>
            <w:tcBorders>
              <w:top w:val="single" w:sz="4" w:space="0" w:color="auto"/>
              <w:left w:val="nil"/>
              <w:bottom w:val="nil"/>
              <w:right w:val="nil"/>
            </w:tcBorders>
            <w:shd w:val="clear" w:color="auto" w:fill="auto"/>
            <w:vAlign w:val="center"/>
            <w:hideMark/>
          </w:tcPr>
          <w:p w14:paraId="6618F041" w14:textId="77777777" w:rsidR="004D69BF" w:rsidRPr="00B70048" w:rsidRDefault="004D69BF" w:rsidP="000240DA">
            <w:pPr>
              <w:spacing w:line="240" w:lineRule="auto"/>
              <w:jc w:val="center"/>
              <w:rPr>
                <w:b/>
                <w:bCs/>
                <w:sz w:val="18"/>
                <w:szCs w:val="18"/>
              </w:rPr>
            </w:pPr>
            <w:r w:rsidRPr="00B70048">
              <w:rPr>
                <w:b/>
                <w:bCs/>
                <w:color w:val="000000"/>
                <w:sz w:val="18"/>
                <w:szCs w:val="18"/>
              </w:rPr>
              <w:t>Rozdiel</w:t>
            </w:r>
          </w:p>
        </w:tc>
      </w:tr>
      <w:tr w:rsidR="004D69BF" w:rsidRPr="00B70048" w14:paraId="4AB59FC2" w14:textId="77777777" w:rsidTr="001D2C2C">
        <w:trPr>
          <w:trHeight w:val="275"/>
          <w:tblHeader/>
        </w:trPr>
        <w:tc>
          <w:tcPr>
            <w:tcW w:w="2404" w:type="pct"/>
            <w:vMerge/>
            <w:tcBorders>
              <w:left w:val="nil"/>
              <w:bottom w:val="single" w:sz="4" w:space="0" w:color="auto"/>
              <w:right w:val="nil"/>
            </w:tcBorders>
            <w:shd w:val="clear" w:color="auto" w:fill="auto"/>
            <w:vAlign w:val="center"/>
            <w:hideMark/>
          </w:tcPr>
          <w:p w14:paraId="71C624B0" w14:textId="77777777" w:rsidR="004D69BF" w:rsidRPr="00B70048" w:rsidRDefault="004D69BF" w:rsidP="000240DA">
            <w:pPr>
              <w:spacing w:line="240" w:lineRule="auto"/>
              <w:rPr>
                <w:bCs/>
                <w:sz w:val="18"/>
                <w:szCs w:val="18"/>
              </w:rPr>
            </w:pPr>
          </w:p>
        </w:tc>
        <w:tc>
          <w:tcPr>
            <w:tcW w:w="525" w:type="pct"/>
            <w:tcBorders>
              <w:top w:val="nil"/>
              <w:left w:val="nil"/>
              <w:bottom w:val="single" w:sz="4" w:space="0" w:color="auto"/>
              <w:right w:val="nil"/>
            </w:tcBorders>
            <w:shd w:val="clear" w:color="auto" w:fill="auto"/>
            <w:vAlign w:val="center"/>
            <w:hideMark/>
          </w:tcPr>
          <w:p w14:paraId="597A58DD" w14:textId="77777777" w:rsidR="004D69BF" w:rsidRPr="00B70048" w:rsidRDefault="004D69BF" w:rsidP="000240DA">
            <w:pPr>
              <w:spacing w:line="240" w:lineRule="auto"/>
              <w:jc w:val="center"/>
              <w:rPr>
                <w:b/>
                <w:bCs/>
                <w:sz w:val="18"/>
                <w:szCs w:val="18"/>
              </w:rPr>
            </w:pPr>
            <w:r w:rsidRPr="00B70048">
              <w:rPr>
                <w:b/>
                <w:bCs/>
                <w:sz w:val="18"/>
                <w:szCs w:val="18"/>
              </w:rPr>
              <w:t>1</w:t>
            </w:r>
          </w:p>
        </w:tc>
        <w:tc>
          <w:tcPr>
            <w:tcW w:w="525" w:type="pct"/>
            <w:tcBorders>
              <w:top w:val="nil"/>
              <w:left w:val="nil"/>
              <w:bottom w:val="single" w:sz="4" w:space="0" w:color="auto"/>
              <w:right w:val="nil"/>
            </w:tcBorders>
            <w:shd w:val="clear" w:color="auto" w:fill="auto"/>
            <w:vAlign w:val="center"/>
            <w:hideMark/>
          </w:tcPr>
          <w:p w14:paraId="45B009E6" w14:textId="77777777" w:rsidR="004D69BF" w:rsidRPr="00B70048" w:rsidRDefault="004D69BF" w:rsidP="000240DA">
            <w:pPr>
              <w:spacing w:line="240" w:lineRule="auto"/>
              <w:jc w:val="center"/>
              <w:rPr>
                <w:b/>
                <w:bCs/>
                <w:sz w:val="18"/>
                <w:szCs w:val="18"/>
              </w:rPr>
            </w:pPr>
            <w:r w:rsidRPr="00B70048">
              <w:rPr>
                <w:b/>
                <w:bCs/>
                <w:sz w:val="18"/>
                <w:szCs w:val="18"/>
              </w:rPr>
              <w:t>2</w:t>
            </w:r>
          </w:p>
        </w:tc>
        <w:tc>
          <w:tcPr>
            <w:tcW w:w="525" w:type="pct"/>
            <w:tcBorders>
              <w:top w:val="nil"/>
              <w:left w:val="nil"/>
              <w:bottom w:val="single" w:sz="4" w:space="0" w:color="auto"/>
              <w:right w:val="nil"/>
            </w:tcBorders>
            <w:shd w:val="clear" w:color="auto" w:fill="auto"/>
            <w:vAlign w:val="center"/>
            <w:hideMark/>
          </w:tcPr>
          <w:p w14:paraId="0D78A0D0" w14:textId="77777777" w:rsidR="004D69BF" w:rsidRPr="00B70048" w:rsidRDefault="004D69BF" w:rsidP="000240DA">
            <w:pPr>
              <w:spacing w:line="240" w:lineRule="auto"/>
              <w:jc w:val="center"/>
              <w:rPr>
                <w:b/>
                <w:bCs/>
                <w:sz w:val="18"/>
                <w:szCs w:val="18"/>
              </w:rPr>
            </w:pPr>
            <w:r w:rsidRPr="00B70048">
              <w:rPr>
                <w:b/>
                <w:bCs/>
                <w:sz w:val="18"/>
                <w:szCs w:val="18"/>
              </w:rPr>
              <w:t>3</w:t>
            </w:r>
          </w:p>
        </w:tc>
        <w:tc>
          <w:tcPr>
            <w:tcW w:w="549" w:type="pct"/>
            <w:tcBorders>
              <w:top w:val="nil"/>
              <w:left w:val="nil"/>
              <w:bottom w:val="single" w:sz="4" w:space="0" w:color="auto"/>
              <w:right w:val="nil"/>
            </w:tcBorders>
            <w:shd w:val="clear" w:color="auto" w:fill="auto"/>
            <w:vAlign w:val="center"/>
            <w:hideMark/>
          </w:tcPr>
          <w:p w14:paraId="67BE0063" w14:textId="77777777" w:rsidR="004D69BF" w:rsidRPr="00B70048" w:rsidRDefault="004D69BF" w:rsidP="000240DA">
            <w:pPr>
              <w:spacing w:line="240" w:lineRule="auto"/>
              <w:jc w:val="center"/>
              <w:rPr>
                <w:b/>
                <w:bCs/>
                <w:sz w:val="18"/>
                <w:szCs w:val="18"/>
              </w:rPr>
            </w:pPr>
            <w:r w:rsidRPr="00B70048">
              <w:rPr>
                <w:b/>
                <w:bCs/>
                <w:sz w:val="18"/>
                <w:szCs w:val="18"/>
              </w:rPr>
              <w:t>4</w:t>
            </w:r>
          </w:p>
        </w:tc>
        <w:tc>
          <w:tcPr>
            <w:tcW w:w="472" w:type="pct"/>
            <w:tcBorders>
              <w:top w:val="nil"/>
              <w:left w:val="nil"/>
              <w:bottom w:val="single" w:sz="4" w:space="0" w:color="auto"/>
              <w:right w:val="nil"/>
            </w:tcBorders>
            <w:shd w:val="clear" w:color="auto" w:fill="auto"/>
            <w:vAlign w:val="center"/>
            <w:hideMark/>
          </w:tcPr>
          <w:p w14:paraId="7F21B1F9" w14:textId="77777777" w:rsidR="004D69BF" w:rsidRPr="00B70048" w:rsidRDefault="004D69BF" w:rsidP="000240DA">
            <w:pPr>
              <w:spacing w:line="240" w:lineRule="auto"/>
              <w:jc w:val="center"/>
              <w:rPr>
                <w:b/>
                <w:bCs/>
                <w:sz w:val="18"/>
                <w:szCs w:val="18"/>
              </w:rPr>
            </w:pPr>
            <w:r w:rsidRPr="00B70048">
              <w:rPr>
                <w:b/>
                <w:bCs/>
                <w:sz w:val="18"/>
                <w:szCs w:val="18"/>
              </w:rPr>
              <w:t>5=4-3</w:t>
            </w:r>
          </w:p>
        </w:tc>
      </w:tr>
      <w:tr w:rsidR="004D69BF" w:rsidRPr="00B70048" w14:paraId="1CC8ED6C" w14:textId="77777777" w:rsidTr="001D2C2C">
        <w:trPr>
          <w:trHeight w:val="406"/>
        </w:trPr>
        <w:tc>
          <w:tcPr>
            <w:tcW w:w="2404" w:type="pct"/>
            <w:tcBorders>
              <w:top w:val="single" w:sz="4" w:space="0" w:color="auto"/>
              <w:left w:val="nil"/>
              <w:bottom w:val="nil"/>
              <w:right w:val="nil"/>
            </w:tcBorders>
            <w:shd w:val="clear" w:color="000000" w:fill="FFFFFF"/>
            <w:vAlign w:val="center"/>
            <w:hideMark/>
          </w:tcPr>
          <w:p w14:paraId="34BEAA85" w14:textId="77777777" w:rsidR="004D69BF" w:rsidRPr="00B70048" w:rsidRDefault="004D69BF" w:rsidP="000240DA">
            <w:pPr>
              <w:spacing w:line="240" w:lineRule="auto"/>
              <w:rPr>
                <w:sz w:val="18"/>
                <w:szCs w:val="18"/>
              </w:rPr>
            </w:pPr>
            <w:r w:rsidRPr="00B70048">
              <w:rPr>
                <w:sz w:val="18"/>
                <w:szCs w:val="18"/>
              </w:rPr>
              <w:t xml:space="preserve">Finančný nástroj pre životné prostredie </w:t>
            </w:r>
            <w:r w:rsidRPr="00B70048">
              <w:rPr>
                <w:sz w:val="18"/>
                <w:szCs w:val="18"/>
              </w:rPr>
              <w:br/>
              <w:t>LIFE + (2. a 3. programové obdobie)</w:t>
            </w:r>
          </w:p>
        </w:tc>
        <w:tc>
          <w:tcPr>
            <w:tcW w:w="525" w:type="pct"/>
            <w:tcBorders>
              <w:top w:val="nil"/>
              <w:left w:val="nil"/>
              <w:bottom w:val="nil"/>
              <w:right w:val="nil"/>
            </w:tcBorders>
            <w:shd w:val="clear" w:color="000000" w:fill="FFFFFF"/>
            <w:noWrap/>
            <w:vAlign w:val="center"/>
            <w:hideMark/>
          </w:tcPr>
          <w:p w14:paraId="11A09061" w14:textId="77777777" w:rsidR="004D69BF" w:rsidRPr="00B70048" w:rsidRDefault="004D69BF" w:rsidP="000240DA">
            <w:pPr>
              <w:spacing w:line="240" w:lineRule="auto"/>
              <w:jc w:val="right"/>
              <w:rPr>
                <w:sz w:val="18"/>
                <w:szCs w:val="18"/>
              </w:rPr>
            </w:pPr>
            <w:r w:rsidRPr="00B70048">
              <w:rPr>
                <w:color w:val="000000"/>
                <w:sz w:val="18"/>
                <w:szCs w:val="18"/>
              </w:rPr>
              <w:t>3 118</w:t>
            </w:r>
          </w:p>
        </w:tc>
        <w:tc>
          <w:tcPr>
            <w:tcW w:w="525" w:type="pct"/>
            <w:tcBorders>
              <w:top w:val="nil"/>
              <w:left w:val="nil"/>
              <w:bottom w:val="nil"/>
              <w:right w:val="nil"/>
            </w:tcBorders>
            <w:shd w:val="clear" w:color="000000" w:fill="FFFFFF"/>
            <w:noWrap/>
            <w:vAlign w:val="center"/>
            <w:hideMark/>
          </w:tcPr>
          <w:p w14:paraId="57CF8778" w14:textId="77777777" w:rsidR="004D69BF" w:rsidRPr="00B70048" w:rsidRDefault="004D69BF" w:rsidP="000240DA">
            <w:pPr>
              <w:spacing w:line="240" w:lineRule="auto"/>
              <w:jc w:val="right"/>
              <w:rPr>
                <w:sz w:val="18"/>
                <w:szCs w:val="18"/>
              </w:rPr>
            </w:pPr>
            <w:r w:rsidRPr="00B70048">
              <w:rPr>
                <w:color w:val="000000"/>
                <w:sz w:val="18"/>
                <w:szCs w:val="18"/>
              </w:rPr>
              <w:t>2 599</w:t>
            </w:r>
          </w:p>
        </w:tc>
        <w:tc>
          <w:tcPr>
            <w:tcW w:w="525" w:type="pct"/>
            <w:tcBorders>
              <w:top w:val="nil"/>
              <w:left w:val="nil"/>
              <w:bottom w:val="nil"/>
              <w:right w:val="nil"/>
            </w:tcBorders>
            <w:shd w:val="clear" w:color="000000" w:fill="FFFFFF"/>
            <w:noWrap/>
            <w:vAlign w:val="center"/>
            <w:hideMark/>
          </w:tcPr>
          <w:p w14:paraId="4F8CE334" w14:textId="77777777" w:rsidR="004D69BF" w:rsidRPr="00B70048" w:rsidRDefault="004D69BF" w:rsidP="000240DA">
            <w:pPr>
              <w:spacing w:line="240" w:lineRule="auto"/>
              <w:jc w:val="right"/>
              <w:rPr>
                <w:sz w:val="18"/>
                <w:szCs w:val="18"/>
              </w:rPr>
            </w:pPr>
            <w:r w:rsidRPr="00B70048">
              <w:rPr>
                <w:color w:val="000000"/>
                <w:sz w:val="18"/>
                <w:szCs w:val="18"/>
              </w:rPr>
              <w:t>16 514</w:t>
            </w:r>
          </w:p>
        </w:tc>
        <w:tc>
          <w:tcPr>
            <w:tcW w:w="549" w:type="pct"/>
            <w:tcBorders>
              <w:top w:val="nil"/>
              <w:left w:val="nil"/>
              <w:bottom w:val="nil"/>
              <w:right w:val="nil"/>
            </w:tcBorders>
            <w:shd w:val="clear" w:color="000000" w:fill="FFFFFF"/>
            <w:noWrap/>
            <w:vAlign w:val="center"/>
            <w:hideMark/>
          </w:tcPr>
          <w:p w14:paraId="6AF52F35" w14:textId="77777777" w:rsidR="004D69BF" w:rsidRPr="00B70048" w:rsidRDefault="004D69BF" w:rsidP="000240DA">
            <w:pPr>
              <w:spacing w:line="240" w:lineRule="auto"/>
              <w:jc w:val="right"/>
              <w:rPr>
                <w:sz w:val="18"/>
                <w:szCs w:val="18"/>
              </w:rPr>
            </w:pPr>
            <w:r w:rsidRPr="00B70048">
              <w:rPr>
                <w:color w:val="000000"/>
                <w:sz w:val="18"/>
                <w:szCs w:val="18"/>
              </w:rPr>
              <w:t>4 252</w:t>
            </w:r>
          </w:p>
        </w:tc>
        <w:tc>
          <w:tcPr>
            <w:tcW w:w="472" w:type="pct"/>
            <w:tcBorders>
              <w:top w:val="nil"/>
              <w:left w:val="nil"/>
              <w:bottom w:val="nil"/>
              <w:right w:val="nil"/>
            </w:tcBorders>
            <w:shd w:val="clear" w:color="000000" w:fill="FFFFFF"/>
            <w:noWrap/>
            <w:vAlign w:val="center"/>
            <w:hideMark/>
          </w:tcPr>
          <w:p w14:paraId="5B2104FB" w14:textId="77777777" w:rsidR="004D69BF" w:rsidRPr="00B70048" w:rsidRDefault="004D69BF" w:rsidP="000240DA">
            <w:pPr>
              <w:spacing w:line="240" w:lineRule="auto"/>
              <w:jc w:val="right"/>
              <w:rPr>
                <w:sz w:val="18"/>
                <w:szCs w:val="18"/>
              </w:rPr>
            </w:pPr>
            <w:r w:rsidRPr="00B70048">
              <w:rPr>
                <w:color w:val="000000"/>
                <w:sz w:val="18"/>
                <w:szCs w:val="18"/>
              </w:rPr>
              <w:t>-12 262</w:t>
            </w:r>
          </w:p>
        </w:tc>
      </w:tr>
      <w:tr w:rsidR="004D69BF" w:rsidRPr="00B70048" w14:paraId="11E7EC71" w14:textId="77777777" w:rsidTr="001D2C2C">
        <w:trPr>
          <w:trHeight w:val="406"/>
        </w:trPr>
        <w:tc>
          <w:tcPr>
            <w:tcW w:w="2404" w:type="pct"/>
            <w:tcBorders>
              <w:top w:val="nil"/>
              <w:left w:val="nil"/>
              <w:right w:val="nil"/>
            </w:tcBorders>
            <w:shd w:val="clear" w:color="000000" w:fill="FFFFFF"/>
            <w:vAlign w:val="center"/>
          </w:tcPr>
          <w:p w14:paraId="634912B6" w14:textId="77777777" w:rsidR="004D69BF" w:rsidRPr="00B70048" w:rsidRDefault="004D69BF" w:rsidP="000240DA">
            <w:pPr>
              <w:spacing w:line="240" w:lineRule="auto"/>
              <w:rPr>
                <w:sz w:val="18"/>
                <w:szCs w:val="18"/>
              </w:rPr>
            </w:pPr>
            <w:r w:rsidRPr="00B70048">
              <w:rPr>
                <w:sz w:val="18"/>
                <w:szCs w:val="18"/>
              </w:rPr>
              <w:t>Programy EÚS (3. a 4. programové obdobie)</w:t>
            </w:r>
          </w:p>
        </w:tc>
        <w:tc>
          <w:tcPr>
            <w:tcW w:w="525" w:type="pct"/>
            <w:tcBorders>
              <w:top w:val="nil"/>
              <w:left w:val="nil"/>
              <w:bottom w:val="nil"/>
              <w:right w:val="nil"/>
            </w:tcBorders>
            <w:shd w:val="clear" w:color="000000" w:fill="FFFFFF"/>
            <w:noWrap/>
            <w:vAlign w:val="center"/>
          </w:tcPr>
          <w:p w14:paraId="055FBF17" w14:textId="77777777" w:rsidR="004D69BF" w:rsidRPr="00B70048" w:rsidRDefault="004D69BF" w:rsidP="000240DA">
            <w:pPr>
              <w:spacing w:line="240" w:lineRule="auto"/>
              <w:jc w:val="right"/>
              <w:rPr>
                <w:sz w:val="18"/>
                <w:szCs w:val="18"/>
              </w:rPr>
            </w:pPr>
            <w:r w:rsidRPr="00B70048">
              <w:rPr>
                <w:color w:val="000000"/>
                <w:sz w:val="18"/>
                <w:szCs w:val="18"/>
              </w:rPr>
              <w:t>2 901</w:t>
            </w:r>
          </w:p>
        </w:tc>
        <w:tc>
          <w:tcPr>
            <w:tcW w:w="525" w:type="pct"/>
            <w:tcBorders>
              <w:top w:val="nil"/>
              <w:left w:val="nil"/>
              <w:bottom w:val="nil"/>
              <w:right w:val="nil"/>
            </w:tcBorders>
            <w:shd w:val="clear" w:color="000000" w:fill="FFFFFF"/>
            <w:noWrap/>
            <w:vAlign w:val="center"/>
          </w:tcPr>
          <w:p w14:paraId="45328935" w14:textId="77777777" w:rsidR="004D69BF" w:rsidRPr="00B70048" w:rsidRDefault="004D69BF" w:rsidP="000240DA">
            <w:pPr>
              <w:spacing w:line="240" w:lineRule="auto"/>
              <w:jc w:val="right"/>
              <w:rPr>
                <w:sz w:val="18"/>
                <w:szCs w:val="18"/>
              </w:rPr>
            </w:pPr>
            <w:r w:rsidRPr="00B70048">
              <w:rPr>
                <w:color w:val="000000"/>
                <w:sz w:val="18"/>
                <w:szCs w:val="18"/>
              </w:rPr>
              <w:t>3 078</w:t>
            </w:r>
          </w:p>
        </w:tc>
        <w:tc>
          <w:tcPr>
            <w:tcW w:w="525" w:type="pct"/>
            <w:tcBorders>
              <w:top w:val="nil"/>
              <w:left w:val="nil"/>
              <w:bottom w:val="nil"/>
              <w:right w:val="nil"/>
            </w:tcBorders>
            <w:shd w:val="clear" w:color="000000" w:fill="FFFFFF"/>
            <w:noWrap/>
            <w:vAlign w:val="center"/>
          </w:tcPr>
          <w:p w14:paraId="3EC68468" w14:textId="77777777" w:rsidR="004D69BF" w:rsidRPr="00B70048" w:rsidRDefault="004D69BF" w:rsidP="000240DA">
            <w:pPr>
              <w:spacing w:line="240" w:lineRule="auto"/>
              <w:jc w:val="right"/>
              <w:rPr>
                <w:sz w:val="18"/>
                <w:szCs w:val="18"/>
              </w:rPr>
            </w:pPr>
            <w:r w:rsidRPr="00B70048">
              <w:rPr>
                <w:color w:val="000000"/>
                <w:sz w:val="18"/>
                <w:szCs w:val="18"/>
              </w:rPr>
              <w:t>1 732</w:t>
            </w:r>
          </w:p>
        </w:tc>
        <w:tc>
          <w:tcPr>
            <w:tcW w:w="549" w:type="pct"/>
            <w:tcBorders>
              <w:top w:val="nil"/>
              <w:left w:val="nil"/>
              <w:bottom w:val="nil"/>
              <w:right w:val="nil"/>
            </w:tcBorders>
            <w:shd w:val="clear" w:color="000000" w:fill="FFFFFF"/>
            <w:noWrap/>
            <w:vAlign w:val="center"/>
          </w:tcPr>
          <w:p w14:paraId="60D24E90" w14:textId="77777777" w:rsidR="004D69BF" w:rsidRPr="00B70048" w:rsidRDefault="004D69BF" w:rsidP="000240DA">
            <w:pPr>
              <w:spacing w:line="240" w:lineRule="auto"/>
              <w:jc w:val="right"/>
              <w:rPr>
                <w:sz w:val="18"/>
                <w:szCs w:val="18"/>
              </w:rPr>
            </w:pPr>
            <w:r w:rsidRPr="00B70048">
              <w:rPr>
                <w:color w:val="000000"/>
                <w:sz w:val="18"/>
                <w:szCs w:val="18"/>
              </w:rPr>
              <w:t>4 787</w:t>
            </w:r>
          </w:p>
        </w:tc>
        <w:tc>
          <w:tcPr>
            <w:tcW w:w="472" w:type="pct"/>
            <w:tcBorders>
              <w:top w:val="nil"/>
              <w:left w:val="nil"/>
              <w:bottom w:val="nil"/>
              <w:right w:val="nil"/>
            </w:tcBorders>
            <w:shd w:val="clear" w:color="000000" w:fill="FFFFFF"/>
            <w:noWrap/>
            <w:vAlign w:val="center"/>
          </w:tcPr>
          <w:p w14:paraId="7F1CE0C5" w14:textId="77777777" w:rsidR="004D69BF" w:rsidRPr="00B70048" w:rsidRDefault="004D69BF" w:rsidP="000240DA">
            <w:pPr>
              <w:spacing w:line="240" w:lineRule="auto"/>
              <w:jc w:val="right"/>
              <w:rPr>
                <w:sz w:val="18"/>
                <w:szCs w:val="18"/>
              </w:rPr>
            </w:pPr>
            <w:r w:rsidRPr="00B70048">
              <w:rPr>
                <w:color w:val="000000"/>
                <w:sz w:val="18"/>
                <w:szCs w:val="18"/>
              </w:rPr>
              <w:t>3 055</w:t>
            </w:r>
          </w:p>
        </w:tc>
      </w:tr>
      <w:tr w:rsidR="004D69BF" w:rsidRPr="00B70048" w14:paraId="69D3CF97" w14:textId="77777777" w:rsidTr="001D2C2C">
        <w:trPr>
          <w:trHeight w:val="406"/>
        </w:trPr>
        <w:tc>
          <w:tcPr>
            <w:tcW w:w="2404" w:type="pct"/>
            <w:tcBorders>
              <w:top w:val="nil"/>
              <w:left w:val="nil"/>
              <w:right w:val="nil"/>
            </w:tcBorders>
            <w:shd w:val="clear" w:color="000000" w:fill="FFFFFF"/>
            <w:vAlign w:val="center"/>
            <w:hideMark/>
          </w:tcPr>
          <w:p w14:paraId="09665CBB" w14:textId="77777777" w:rsidR="004D69BF" w:rsidRPr="00B70048" w:rsidRDefault="004D69BF" w:rsidP="000240DA">
            <w:pPr>
              <w:spacing w:line="240" w:lineRule="auto"/>
              <w:rPr>
                <w:b/>
                <w:sz w:val="18"/>
                <w:szCs w:val="18"/>
              </w:rPr>
            </w:pPr>
            <w:r w:rsidRPr="00B70048">
              <w:rPr>
                <w:b/>
                <w:sz w:val="18"/>
                <w:szCs w:val="18"/>
              </w:rPr>
              <w:t>Spolu spolufinancovanie k zahraničným grantom poskytnutým  z prostriedkov EÚ</w:t>
            </w:r>
          </w:p>
        </w:tc>
        <w:tc>
          <w:tcPr>
            <w:tcW w:w="525" w:type="pct"/>
            <w:tcBorders>
              <w:top w:val="nil"/>
              <w:left w:val="nil"/>
              <w:bottom w:val="nil"/>
              <w:right w:val="nil"/>
            </w:tcBorders>
            <w:shd w:val="clear" w:color="000000" w:fill="FFFFFF"/>
            <w:noWrap/>
            <w:vAlign w:val="center"/>
            <w:hideMark/>
          </w:tcPr>
          <w:p w14:paraId="370035D2" w14:textId="77777777" w:rsidR="004D69BF" w:rsidRPr="00B70048" w:rsidRDefault="004D69BF" w:rsidP="000240DA">
            <w:pPr>
              <w:spacing w:line="240" w:lineRule="auto"/>
              <w:jc w:val="right"/>
              <w:rPr>
                <w:b/>
                <w:sz w:val="18"/>
                <w:szCs w:val="18"/>
              </w:rPr>
            </w:pPr>
            <w:r w:rsidRPr="00B70048">
              <w:rPr>
                <w:b/>
                <w:bCs/>
                <w:color w:val="000000"/>
                <w:sz w:val="18"/>
                <w:szCs w:val="18"/>
              </w:rPr>
              <w:t>6 019</w:t>
            </w:r>
          </w:p>
        </w:tc>
        <w:tc>
          <w:tcPr>
            <w:tcW w:w="525" w:type="pct"/>
            <w:tcBorders>
              <w:top w:val="nil"/>
              <w:left w:val="nil"/>
              <w:bottom w:val="nil"/>
              <w:right w:val="nil"/>
            </w:tcBorders>
            <w:shd w:val="clear" w:color="000000" w:fill="FFFFFF"/>
            <w:noWrap/>
            <w:vAlign w:val="center"/>
            <w:hideMark/>
          </w:tcPr>
          <w:p w14:paraId="1E1D827F" w14:textId="77777777" w:rsidR="004D69BF" w:rsidRPr="00B70048" w:rsidRDefault="004D69BF" w:rsidP="000240DA">
            <w:pPr>
              <w:spacing w:line="240" w:lineRule="auto"/>
              <w:jc w:val="right"/>
              <w:rPr>
                <w:b/>
                <w:sz w:val="18"/>
                <w:szCs w:val="18"/>
              </w:rPr>
            </w:pPr>
            <w:r w:rsidRPr="00B70048">
              <w:rPr>
                <w:b/>
                <w:bCs/>
                <w:color w:val="000000"/>
                <w:sz w:val="18"/>
                <w:szCs w:val="18"/>
              </w:rPr>
              <w:t>5 677</w:t>
            </w:r>
          </w:p>
        </w:tc>
        <w:tc>
          <w:tcPr>
            <w:tcW w:w="525" w:type="pct"/>
            <w:tcBorders>
              <w:top w:val="nil"/>
              <w:left w:val="nil"/>
              <w:bottom w:val="nil"/>
              <w:right w:val="nil"/>
            </w:tcBorders>
            <w:shd w:val="clear" w:color="000000" w:fill="FFFFFF"/>
            <w:noWrap/>
            <w:vAlign w:val="center"/>
            <w:hideMark/>
          </w:tcPr>
          <w:p w14:paraId="6D24075E" w14:textId="77777777" w:rsidR="004D69BF" w:rsidRPr="00B70048" w:rsidRDefault="004D69BF" w:rsidP="000240DA">
            <w:pPr>
              <w:spacing w:line="240" w:lineRule="auto"/>
              <w:jc w:val="right"/>
              <w:rPr>
                <w:b/>
                <w:sz w:val="18"/>
                <w:szCs w:val="18"/>
              </w:rPr>
            </w:pPr>
            <w:r w:rsidRPr="00B70048">
              <w:rPr>
                <w:b/>
                <w:bCs/>
                <w:color w:val="000000"/>
                <w:sz w:val="18"/>
                <w:szCs w:val="18"/>
              </w:rPr>
              <w:t>18 246</w:t>
            </w:r>
          </w:p>
        </w:tc>
        <w:tc>
          <w:tcPr>
            <w:tcW w:w="549" w:type="pct"/>
            <w:tcBorders>
              <w:top w:val="nil"/>
              <w:left w:val="nil"/>
              <w:bottom w:val="nil"/>
              <w:right w:val="nil"/>
            </w:tcBorders>
            <w:shd w:val="clear" w:color="auto" w:fill="auto"/>
            <w:noWrap/>
            <w:vAlign w:val="center"/>
            <w:hideMark/>
          </w:tcPr>
          <w:p w14:paraId="1A3B9B0F" w14:textId="77777777" w:rsidR="004D69BF" w:rsidRPr="00B70048" w:rsidRDefault="004D69BF" w:rsidP="000240DA">
            <w:pPr>
              <w:spacing w:line="240" w:lineRule="auto"/>
              <w:jc w:val="right"/>
              <w:rPr>
                <w:b/>
                <w:sz w:val="18"/>
                <w:szCs w:val="18"/>
              </w:rPr>
            </w:pPr>
            <w:r w:rsidRPr="00B70048">
              <w:rPr>
                <w:b/>
                <w:bCs/>
                <w:color w:val="000000"/>
                <w:sz w:val="18"/>
                <w:szCs w:val="18"/>
              </w:rPr>
              <w:t>9 039</w:t>
            </w:r>
          </w:p>
        </w:tc>
        <w:tc>
          <w:tcPr>
            <w:tcW w:w="472" w:type="pct"/>
            <w:tcBorders>
              <w:top w:val="nil"/>
              <w:left w:val="nil"/>
              <w:bottom w:val="nil"/>
              <w:right w:val="nil"/>
            </w:tcBorders>
            <w:shd w:val="clear" w:color="000000" w:fill="FFFFFF"/>
            <w:noWrap/>
            <w:vAlign w:val="center"/>
            <w:hideMark/>
          </w:tcPr>
          <w:p w14:paraId="7BB8564D" w14:textId="77777777" w:rsidR="004D69BF" w:rsidRPr="00B70048" w:rsidRDefault="004D69BF" w:rsidP="000240DA">
            <w:pPr>
              <w:spacing w:line="240" w:lineRule="auto"/>
              <w:jc w:val="right"/>
              <w:rPr>
                <w:b/>
                <w:sz w:val="18"/>
                <w:szCs w:val="18"/>
              </w:rPr>
            </w:pPr>
            <w:r w:rsidRPr="00B70048">
              <w:rPr>
                <w:b/>
                <w:bCs/>
                <w:color w:val="000000"/>
                <w:sz w:val="18"/>
                <w:szCs w:val="18"/>
              </w:rPr>
              <w:t>-9 207</w:t>
            </w:r>
          </w:p>
        </w:tc>
      </w:tr>
      <w:tr w:rsidR="004D69BF" w:rsidRPr="00B70048" w14:paraId="39108A88" w14:textId="77777777" w:rsidTr="001D2C2C">
        <w:trPr>
          <w:trHeight w:val="263"/>
        </w:trPr>
        <w:tc>
          <w:tcPr>
            <w:tcW w:w="2404" w:type="pct"/>
            <w:tcBorders>
              <w:left w:val="nil"/>
              <w:bottom w:val="nil"/>
              <w:right w:val="nil"/>
            </w:tcBorders>
            <w:shd w:val="clear" w:color="000000" w:fill="FFFFFF"/>
            <w:vAlign w:val="center"/>
            <w:hideMark/>
          </w:tcPr>
          <w:p w14:paraId="7DCFCB5D" w14:textId="77777777" w:rsidR="004D69BF" w:rsidRPr="00B70048" w:rsidRDefault="004D69BF" w:rsidP="000240DA">
            <w:pPr>
              <w:spacing w:line="240" w:lineRule="auto"/>
              <w:rPr>
                <w:sz w:val="18"/>
                <w:szCs w:val="18"/>
              </w:rPr>
            </w:pPr>
            <w:r w:rsidRPr="00B70048">
              <w:rPr>
                <w:sz w:val="18"/>
                <w:szCs w:val="18"/>
              </w:rPr>
              <w:t>Finančný mechanizmus EHP</w:t>
            </w:r>
          </w:p>
        </w:tc>
        <w:tc>
          <w:tcPr>
            <w:tcW w:w="525" w:type="pct"/>
            <w:tcBorders>
              <w:top w:val="nil"/>
              <w:left w:val="nil"/>
              <w:bottom w:val="nil"/>
              <w:right w:val="nil"/>
            </w:tcBorders>
            <w:shd w:val="clear" w:color="000000" w:fill="FFFFFF"/>
            <w:noWrap/>
            <w:vAlign w:val="center"/>
            <w:hideMark/>
          </w:tcPr>
          <w:p w14:paraId="27B9A420" w14:textId="77777777" w:rsidR="004D69BF" w:rsidRPr="00B70048" w:rsidRDefault="004D69BF" w:rsidP="000240DA">
            <w:pPr>
              <w:spacing w:line="240" w:lineRule="auto"/>
              <w:jc w:val="right"/>
              <w:rPr>
                <w:sz w:val="18"/>
                <w:szCs w:val="18"/>
              </w:rPr>
            </w:pPr>
            <w:r w:rsidRPr="00B70048">
              <w:rPr>
                <w:color w:val="000000"/>
                <w:sz w:val="18"/>
                <w:szCs w:val="18"/>
              </w:rPr>
              <w:t>761</w:t>
            </w:r>
          </w:p>
        </w:tc>
        <w:tc>
          <w:tcPr>
            <w:tcW w:w="525" w:type="pct"/>
            <w:tcBorders>
              <w:top w:val="nil"/>
              <w:left w:val="nil"/>
              <w:bottom w:val="nil"/>
              <w:right w:val="nil"/>
            </w:tcBorders>
            <w:shd w:val="clear" w:color="000000" w:fill="FFFFFF"/>
            <w:noWrap/>
            <w:vAlign w:val="center"/>
            <w:hideMark/>
          </w:tcPr>
          <w:p w14:paraId="17DA247D" w14:textId="77777777" w:rsidR="004D69BF" w:rsidRPr="00B70048" w:rsidRDefault="004D69BF" w:rsidP="000240DA">
            <w:pPr>
              <w:spacing w:line="240" w:lineRule="auto"/>
              <w:jc w:val="right"/>
              <w:rPr>
                <w:sz w:val="18"/>
                <w:szCs w:val="18"/>
              </w:rPr>
            </w:pPr>
            <w:r w:rsidRPr="00B70048">
              <w:rPr>
                <w:color w:val="000000"/>
                <w:sz w:val="18"/>
                <w:szCs w:val="18"/>
              </w:rPr>
              <w:t>931</w:t>
            </w:r>
          </w:p>
        </w:tc>
        <w:tc>
          <w:tcPr>
            <w:tcW w:w="525" w:type="pct"/>
            <w:tcBorders>
              <w:top w:val="nil"/>
              <w:left w:val="nil"/>
              <w:bottom w:val="nil"/>
              <w:right w:val="nil"/>
            </w:tcBorders>
            <w:shd w:val="clear" w:color="auto" w:fill="auto"/>
            <w:noWrap/>
            <w:vAlign w:val="center"/>
            <w:hideMark/>
          </w:tcPr>
          <w:p w14:paraId="26B6801E" w14:textId="77777777" w:rsidR="004D69BF" w:rsidRPr="00B70048" w:rsidRDefault="004D69BF" w:rsidP="000240DA">
            <w:pPr>
              <w:spacing w:line="240" w:lineRule="auto"/>
              <w:jc w:val="right"/>
              <w:rPr>
                <w:sz w:val="18"/>
                <w:szCs w:val="18"/>
              </w:rPr>
            </w:pPr>
            <w:r w:rsidRPr="00B70048">
              <w:rPr>
                <w:color w:val="000000"/>
                <w:sz w:val="18"/>
                <w:szCs w:val="18"/>
              </w:rPr>
              <w:t>627</w:t>
            </w:r>
          </w:p>
        </w:tc>
        <w:tc>
          <w:tcPr>
            <w:tcW w:w="549" w:type="pct"/>
            <w:tcBorders>
              <w:top w:val="nil"/>
              <w:left w:val="nil"/>
              <w:bottom w:val="nil"/>
              <w:right w:val="nil"/>
            </w:tcBorders>
            <w:shd w:val="clear" w:color="000000" w:fill="FFFFFF"/>
            <w:noWrap/>
            <w:vAlign w:val="center"/>
            <w:hideMark/>
          </w:tcPr>
          <w:p w14:paraId="425DB4EC" w14:textId="77777777" w:rsidR="004D69BF" w:rsidRPr="00B70048" w:rsidRDefault="004D69BF" w:rsidP="000240DA">
            <w:pPr>
              <w:spacing w:line="240" w:lineRule="auto"/>
              <w:jc w:val="right"/>
              <w:rPr>
                <w:sz w:val="18"/>
                <w:szCs w:val="18"/>
              </w:rPr>
            </w:pPr>
            <w:r w:rsidRPr="00B70048">
              <w:rPr>
                <w:color w:val="000000"/>
                <w:sz w:val="18"/>
                <w:szCs w:val="18"/>
              </w:rPr>
              <w:t>627</w:t>
            </w:r>
          </w:p>
        </w:tc>
        <w:tc>
          <w:tcPr>
            <w:tcW w:w="472" w:type="pct"/>
            <w:tcBorders>
              <w:top w:val="nil"/>
              <w:left w:val="nil"/>
              <w:bottom w:val="nil"/>
              <w:right w:val="nil"/>
            </w:tcBorders>
            <w:shd w:val="clear" w:color="000000" w:fill="FFFFFF"/>
            <w:noWrap/>
            <w:vAlign w:val="center"/>
            <w:hideMark/>
          </w:tcPr>
          <w:p w14:paraId="1FF29A27" w14:textId="77777777" w:rsidR="004D69BF" w:rsidRPr="00B70048" w:rsidRDefault="004D69BF" w:rsidP="000240DA">
            <w:pPr>
              <w:spacing w:line="240" w:lineRule="auto"/>
              <w:jc w:val="right"/>
              <w:rPr>
                <w:sz w:val="18"/>
                <w:szCs w:val="18"/>
              </w:rPr>
            </w:pPr>
            <w:r w:rsidRPr="00B70048">
              <w:rPr>
                <w:color w:val="000000"/>
                <w:sz w:val="18"/>
                <w:szCs w:val="18"/>
              </w:rPr>
              <w:t>1</w:t>
            </w:r>
          </w:p>
        </w:tc>
      </w:tr>
      <w:tr w:rsidR="004D69BF" w:rsidRPr="00B70048" w14:paraId="4D1895B7" w14:textId="77777777" w:rsidTr="001D2C2C">
        <w:trPr>
          <w:trHeight w:val="263"/>
        </w:trPr>
        <w:tc>
          <w:tcPr>
            <w:tcW w:w="2404" w:type="pct"/>
            <w:tcBorders>
              <w:top w:val="nil"/>
              <w:left w:val="nil"/>
              <w:bottom w:val="nil"/>
              <w:right w:val="nil"/>
            </w:tcBorders>
            <w:shd w:val="clear" w:color="000000" w:fill="FFFFFF"/>
            <w:vAlign w:val="center"/>
            <w:hideMark/>
          </w:tcPr>
          <w:p w14:paraId="4A9F5E5E" w14:textId="77777777" w:rsidR="004D69BF" w:rsidRPr="00B70048" w:rsidRDefault="004D69BF" w:rsidP="000240DA">
            <w:pPr>
              <w:spacing w:line="240" w:lineRule="auto"/>
              <w:rPr>
                <w:sz w:val="18"/>
                <w:szCs w:val="18"/>
              </w:rPr>
            </w:pPr>
            <w:r w:rsidRPr="00B70048">
              <w:rPr>
                <w:sz w:val="18"/>
                <w:szCs w:val="18"/>
              </w:rPr>
              <w:t>Nórsky finančný mechanizmus</w:t>
            </w:r>
          </w:p>
        </w:tc>
        <w:tc>
          <w:tcPr>
            <w:tcW w:w="525" w:type="pct"/>
            <w:tcBorders>
              <w:top w:val="nil"/>
              <w:left w:val="nil"/>
              <w:bottom w:val="nil"/>
              <w:right w:val="nil"/>
            </w:tcBorders>
            <w:shd w:val="clear" w:color="000000" w:fill="FFFFFF"/>
            <w:noWrap/>
            <w:vAlign w:val="center"/>
            <w:hideMark/>
          </w:tcPr>
          <w:p w14:paraId="5EF4299E" w14:textId="77777777" w:rsidR="004D69BF" w:rsidRPr="00B70048" w:rsidRDefault="004D69BF" w:rsidP="000240DA">
            <w:pPr>
              <w:spacing w:line="240" w:lineRule="auto"/>
              <w:jc w:val="right"/>
              <w:rPr>
                <w:sz w:val="18"/>
                <w:szCs w:val="18"/>
              </w:rPr>
            </w:pPr>
            <w:r w:rsidRPr="00B70048">
              <w:rPr>
                <w:color w:val="000000"/>
                <w:sz w:val="18"/>
                <w:szCs w:val="18"/>
              </w:rPr>
              <w:t>1 612</w:t>
            </w:r>
          </w:p>
        </w:tc>
        <w:tc>
          <w:tcPr>
            <w:tcW w:w="525" w:type="pct"/>
            <w:tcBorders>
              <w:top w:val="nil"/>
              <w:left w:val="nil"/>
              <w:bottom w:val="nil"/>
              <w:right w:val="nil"/>
            </w:tcBorders>
            <w:shd w:val="clear" w:color="000000" w:fill="FFFFFF"/>
            <w:noWrap/>
            <w:vAlign w:val="center"/>
            <w:hideMark/>
          </w:tcPr>
          <w:p w14:paraId="57ED7AB3" w14:textId="77777777" w:rsidR="004D69BF" w:rsidRPr="00B70048" w:rsidRDefault="004D69BF" w:rsidP="000240DA">
            <w:pPr>
              <w:spacing w:line="240" w:lineRule="auto"/>
              <w:jc w:val="right"/>
              <w:rPr>
                <w:sz w:val="18"/>
                <w:szCs w:val="18"/>
              </w:rPr>
            </w:pPr>
            <w:r w:rsidRPr="00B70048">
              <w:rPr>
                <w:color w:val="000000"/>
                <w:sz w:val="18"/>
                <w:szCs w:val="18"/>
              </w:rPr>
              <w:t>446</w:t>
            </w:r>
          </w:p>
        </w:tc>
        <w:tc>
          <w:tcPr>
            <w:tcW w:w="525" w:type="pct"/>
            <w:tcBorders>
              <w:top w:val="nil"/>
              <w:left w:val="nil"/>
              <w:bottom w:val="nil"/>
              <w:right w:val="nil"/>
            </w:tcBorders>
            <w:shd w:val="clear" w:color="000000" w:fill="FFFFFF"/>
            <w:noWrap/>
            <w:vAlign w:val="center"/>
            <w:hideMark/>
          </w:tcPr>
          <w:p w14:paraId="4C88F8DF" w14:textId="77777777" w:rsidR="004D69BF" w:rsidRPr="00B70048" w:rsidRDefault="004D69BF" w:rsidP="000240DA">
            <w:pPr>
              <w:spacing w:line="240" w:lineRule="auto"/>
              <w:jc w:val="right"/>
              <w:rPr>
                <w:sz w:val="18"/>
                <w:szCs w:val="18"/>
              </w:rPr>
            </w:pPr>
            <w:r w:rsidRPr="00B70048">
              <w:rPr>
                <w:color w:val="000000"/>
                <w:sz w:val="18"/>
                <w:szCs w:val="18"/>
              </w:rPr>
              <w:t>373</w:t>
            </w:r>
          </w:p>
        </w:tc>
        <w:tc>
          <w:tcPr>
            <w:tcW w:w="549" w:type="pct"/>
            <w:tcBorders>
              <w:top w:val="nil"/>
              <w:left w:val="nil"/>
              <w:bottom w:val="nil"/>
              <w:right w:val="nil"/>
            </w:tcBorders>
            <w:shd w:val="clear" w:color="000000" w:fill="FFFFFF"/>
            <w:noWrap/>
            <w:vAlign w:val="center"/>
            <w:hideMark/>
          </w:tcPr>
          <w:p w14:paraId="3DC066AB" w14:textId="77777777" w:rsidR="004D69BF" w:rsidRPr="00B70048" w:rsidRDefault="004D69BF" w:rsidP="000240DA">
            <w:pPr>
              <w:spacing w:line="240" w:lineRule="auto"/>
              <w:jc w:val="right"/>
              <w:rPr>
                <w:sz w:val="18"/>
                <w:szCs w:val="18"/>
              </w:rPr>
            </w:pPr>
            <w:r w:rsidRPr="00B70048">
              <w:rPr>
                <w:color w:val="000000"/>
                <w:sz w:val="18"/>
                <w:szCs w:val="18"/>
              </w:rPr>
              <w:t>373</w:t>
            </w:r>
          </w:p>
        </w:tc>
        <w:tc>
          <w:tcPr>
            <w:tcW w:w="472" w:type="pct"/>
            <w:tcBorders>
              <w:top w:val="nil"/>
              <w:left w:val="nil"/>
              <w:bottom w:val="nil"/>
              <w:right w:val="nil"/>
            </w:tcBorders>
            <w:shd w:val="clear" w:color="000000" w:fill="FFFFFF"/>
            <w:noWrap/>
            <w:vAlign w:val="center"/>
            <w:hideMark/>
          </w:tcPr>
          <w:p w14:paraId="192F77EE" w14:textId="77777777" w:rsidR="004D69BF" w:rsidRPr="00B70048" w:rsidRDefault="004D69BF" w:rsidP="000240DA">
            <w:pPr>
              <w:spacing w:line="240" w:lineRule="auto"/>
              <w:jc w:val="right"/>
              <w:rPr>
                <w:sz w:val="18"/>
                <w:szCs w:val="18"/>
              </w:rPr>
            </w:pPr>
            <w:r w:rsidRPr="00B70048">
              <w:rPr>
                <w:color w:val="000000"/>
                <w:sz w:val="18"/>
                <w:szCs w:val="18"/>
              </w:rPr>
              <w:t>0</w:t>
            </w:r>
          </w:p>
        </w:tc>
      </w:tr>
      <w:tr w:rsidR="004D69BF" w:rsidRPr="00B70048" w14:paraId="10879D46" w14:textId="77777777" w:rsidTr="001D2C2C">
        <w:trPr>
          <w:trHeight w:val="263"/>
        </w:trPr>
        <w:tc>
          <w:tcPr>
            <w:tcW w:w="2404" w:type="pct"/>
            <w:tcBorders>
              <w:top w:val="nil"/>
              <w:left w:val="nil"/>
              <w:bottom w:val="nil"/>
              <w:right w:val="nil"/>
            </w:tcBorders>
            <w:shd w:val="clear" w:color="000000" w:fill="FFFFFF"/>
            <w:vAlign w:val="center"/>
          </w:tcPr>
          <w:p w14:paraId="4334666C" w14:textId="77777777" w:rsidR="004D69BF" w:rsidRPr="00B70048" w:rsidRDefault="004D69BF" w:rsidP="000240DA">
            <w:pPr>
              <w:spacing w:line="240" w:lineRule="auto"/>
              <w:rPr>
                <w:sz w:val="18"/>
                <w:szCs w:val="18"/>
              </w:rPr>
            </w:pPr>
            <w:r w:rsidRPr="00B70048">
              <w:rPr>
                <w:sz w:val="18"/>
                <w:szCs w:val="18"/>
              </w:rPr>
              <w:t>Švajčiarsky finančný mechanizmus</w:t>
            </w:r>
          </w:p>
        </w:tc>
        <w:tc>
          <w:tcPr>
            <w:tcW w:w="525" w:type="pct"/>
            <w:tcBorders>
              <w:top w:val="nil"/>
              <w:left w:val="nil"/>
              <w:bottom w:val="nil"/>
              <w:right w:val="nil"/>
            </w:tcBorders>
            <w:shd w:val="clear" w:color="000000" w:fill="FFFFFF"/>
            <w:noWrap/>
            <w:vAlign w:val="center"/>
          </w:tcPr>
          <w:p w14:paraId="4C4A0803" w14:textId="77777777" w:rsidR="004D69BF" w:rsidRPr="00B70048" w:rsidRDefault="004D69BF" w:rsidP="000240DA">
            <w:pPr>
              <w:spacing w:line="240" w:lineRule="auto"/>
              <w:jc w:val="right"/>
              <w:rPr>
                <w:sz w:val="18"/>
                <w:szCs w:val="18"/>
              </w:rPr>
            </w:pPr>
            <w:r w:rsidRPr="00B70048">
              <w:rPr>
                <w:color w:val="000000"/>
                <w:sz w:val="18"/>
                <w:szCs w:val="18"/>
              </w:rPr>
              <w:t>0</w:t>
            </w:r>
          </w:p>
        </w:tc>
        <w:tc>
          <w:tcPr>
            <w:tcW w:w="525" w:type="pct"/>
            <w:tcBorders>
              <w:top w:val="nil"/>
              <w:left w:val="nil"/>
              <w:bottom w:val="nil"/>
              <w:right w:val="nil"/>
            </w:tcBorders>
            <w:shd w:val="clear" w:color="000000" w:fill="FFFFFF"/>
            <w:noWrap/>
            <w:vAlign w:val="center"/>
          </w:tcPr>
          <w:p w14:paraId="4F223F91" w14:textId="77777777" w:rsidR="004D69BF" w:rsidRPr="00B70048" w:rsidRDefault="004D69BF" w:rsidP="000240DA">
            <w:pPr>
              <w:spacing w:line="240" w:lineRule="auto"/>
              <w:jc w:val="right"/>
              <w:rPr>
                <w:sz w:val="18"/>
                <w:szCs w:val="18"/>
              </w:rPr>
            </w:pPr>
            <w:r w:rsidRPr="00B70048">
              <w:rPr>
                <w:color w:val="000000"/>
                <w:sz w:val="18"/>
                <w:szCs w:val="18"/>
              </w:rPr>
              <w:t>0</w:t>
            </w:r>
          </w:p>
        </w:tc>
        <w:tc>
          <w:tcPr>
            <w:tcW w:w="525" w:type="pct"/>
            <w:tcBorders>
              <w:top w:val="nil"/>
              <w:left w:val="nil"/>
              <w:bottom w:val="nil"/>
              <w:right w:val="nil"/>
            </w:tcBorders>
            <w:shd w:val="clear" w:color="auto" w:fill="auto"/>
            <w:noWrap/>
            <w:vAlign w:val="center"/>
          </w:tcPr>
          <w:p w14:paraId="6FED8DC4" w14:textId="77777777" w:rsidR="004D69BF" w:rsidRPr="00B70048" w:rsidRDefault="004D69BF" w:rsidP="000240DA">
            <w:pPr>
              <w:spacing w:line="240" w:lineRule="auto"/>
              <w:jc w:val="right"/>
              <w:rPr>
                <w:sz w:val="18"/>
                <w:szCs w:val="18"/>
              </w:rPr>
            </w:pPr>
            <w:r w:rsidRPr="00B70048">
              <w:rPr>
                <w:color w:val="000000"/>
                <w:sz w:val="18"/>
                <w:szCs w:val="18"/>
              </w:rPr>
              <w:t>5 133</w:t>
            </w:r>
          </w:p>
        </w:tc>
        <w:tc>
          <w:tcPr>
            <w:tcW w:w="549" w:type="pct"/>
            <w:tcBorders>
              <w:top w:val="nil"/>
              <w:left w:val="nil"/>
              <w:bottom w:val="nil"/>
              <w:right w:val="nil"/>
            </w:tcBorders>
            <w:shd w:val="clear" w:color="000000" w:fill="FFFFFF"/>
            <w:noWrap/>
            <w:vAlign w:val="center"/>
          </w:tcPr>
          <w:p w14:paraId="07648E38" w14:textId="77777777" w:rsidR="004D69BF" w:rsidRPr="00B70048" w:rsidRDefault="004D69BF" w:rsidP="000240DA">
            <w:pPr>
              <w:spacing w:line="240" w:lineRule="auto"/>
              <w:jc w:val="right"/>
              <w:rPr>
                <w:sz w:val="18"/>
                <w:szCs w:val="18"/>
              </w:rPr>
            </w:pPr>
            <w:r w:rsidRPr="00B70048">
              <w:rPr>
                <w:color w:val="000000"/>
                <w:sz w:val="18"/>
                <w:szCs w:val="18"/>
              </w:rPr>
              <w:t>5 442</w:t>
            </w:r>
          </w:p>
        </w:tc>
        <w:tc>
          <w:tcPr>
            <w:tcW w:w="472" w:type="pct"/>
            <w:tcBorders>
              <w:top w:val="nil"/>
              <w:left w:val="nil"/>
              <w:bottom w:val="nil"/>
              <w:right w:val="nil"/>
            </w:tcBorders>
            <w:shd w:val="clear" w:color="000000" w:fill="FFFFFF"/>
            <w:noWrap/>
            <w:vAlign w:val="center"/>
          </w:tcPr>
          <w:p w14:paraId="37B0B11E" w14:textId="77777777" w:rsidR="004D69BF" w:rsidRPr="00B70048" w:rsidRDefault="004D69BF" w:rsidP="000240DA">
            <w:pPr>
              <w:spacing w:line="240" w:lineRule="auto"/>
              <w:jc w:val="right"/>
              <w:rPr>
                <w:sz w:val="18"/>
                <w:szCs w:val="18"/>
              </w:rPr>
            </w:pPr>
            <w:r w:rsidRPr="00B70048">
              <w:rPr>
                <w:color w:val="000000"/>
                <w:sz w:val="18"/>
                <w:szCs w:val="18"/>
              </w:rPr>
              <w:t>308</w:t>
            </w:r>
          </w:p>
        </w:tc>
      </w:tr>
      <w:tr w:rsidR="004D69BF" w:rsidRPr="00B70048" w14:paraId="12CAC49A" w14:textId="77777777" w:rsidTr="001D2C2C">
        <w:trPr>
          <w:trHeight w:val="609"/>
        </w:trPr>
        <w:tc>
          <w:tcPr>
            <w:tcW w:w="2404" w:type="pct"/>
            <w:tcBorders>
              <w:top w:val="nil"/>
              <w:left w:val="nil"/>
              <w:bottom w:val="single" w:sz="4" w:space="0" w:color="auto"/>
              <w:right w:val="nil"/>
            </w:tcBorders>
            <w:shd w:val="clear" w:color="000000" w:fill="FFFFFF"/>
            <w:vAlign w:val="center"/>
            <w:hideMark/>
          </w:tcPr>
          <w:p w14:paraId="3DA943F2" w14:textId="77777777" w:rsidR="004D69BF" w:rsidRPr="00B70048" w:rsidRDefault="004D69BF" w:rsidP="000240DA">
            <w:pPr>
              <w:spacing w:line="240" w:lineRule="auto"/>
              <w:rPr>
                <w:b/>
                <w:sz w:val="18"/>
                <w:szCs w:val="18"/>
              </w:rPr>
            </w:pPr>
            <w:r w:rsidRPr="00B70048">
              <w:rPr>
                <w:b/>
                <w:sz w:val="18"/>
                <w:szCs w:val="18"/>
              </w:rPr>
              <w:t>Spolu spolufinancovanie k zahraničným grantom poskytnutým  na základe medzinárodných zmlúv</w:t>
            </w:r>
          </w:p>
        </w:tc>
        <w:tc>
          <w:tcPr>
            <w:tcW w:w="525" w:type="pct"/>
            <w:tcBorders>
              <w:top w:val="nil"/>
              <w:left w:val="nil"/>
              <w:bottom w:val="single" w:sz="4" w:space="0" w:color="auto"/>
              <w:right w:val="nil"/>
            </w:tcBorders>
            <w:shd w:val="clear" w:color="000000" w:fill="FFFFFF"/>
            <w:noWrap/>
            <w:vAlign w:val="center"/>
            <w:hideMark/>
          </w:tcPr>
          <w:p w14:paraId="21A079A0" w14:textId="77777777" w:rsidR="004D69BF" w:rsidRPr="00B70048" w:rsidRDefault="004D69BF" w:rsidP="000240DA">
            <w:pPr>
              <w:spacing w:line="240" w:lineRule="auto"/>
              <w:jc w:val="right"/>
              <w:rPr>
                <w:b/>
                <w:sz w:val="18"/>
                <w:szCs w:val="18"/>
              </w:rPr>
            </w:pPr>
            <w:r w:rsidRPr="00B70048">
              <w:rPr>
                <w:b/>
                <w:bCs/>
                <w:color w:val="000000"/>
                <w:sz w:val="18"/>
                <w:szCs w:val="18"/>
              </w:rPr>
              <w:t>2 373</w:t>
            </w:r>
          </w:p>
        </w:tc>
        <w:tc>
          <w:tcPr>
            <w:tcW w:w="525" w:type="pct"/>
            <w:tcBorders>
              <w:top w:val="nil"/>
              <w:left w:val="nil"/>
              <w:bottom w:val="single" w:sz="4" w:space="0" w:color="auto"/>
              <w:right w:val="nil"/>
            </w:tcBorders>
            <w:shd w:val="clear" w:color="000000" w:fill="FFFFFF"/>
            <w:noWrap/>
            <w:vAlign w:val="center"/>
            <w:hideMark/>
          </w:tcPr>
          <w:p w14:paraId="2466B962" w14:textId="77777777" w:rsidR="004D69BF" w:rsidRPr="00B70048" w:rsidRDefault="004D69BF" w:rsidP="000240DA">
            <w:pPr>
              <w:spacing w:line="240" w:lineRule="auto"/>
              <w:jc w:val="right"/>
              <w:rPr>
                <w:b/>
                <w:sz w:val="18"/>
                <w:szCs w:val="18"/>
              </w:rPr>
            </w:pPr>
            <w:r w:rsidRPr="00B70048">
              <w:rPr>
                <w:b/>
                <w:bCs/>
                <w:color w:val="000000"/>
                <w:sz w:val="18"/>
                <w:szCs w:val="18"/>
              </w:rPr>
              <w:t>1 377</w:t>
            </w:r>
          </w:p>
        </w:tc>
        <w:tc>
          <w:tcPr>
            <w:tcW w:w="525" w:type="pct"/>
            <w:tcBorders>
              <w:top w:val="nil"/>
              <w:left w:val="nil"/>
              <w:bottom w:val="single" w:sz="4" w:space="0" w:color="auto"/>
              <w:right w:val="nil"/>
            </w:tcBorders>
            <w:shd w:val="clear" w:color="000000" w:fill="FFFFFF"/>
            <w:noWrap/>
            <w:vAlign w:val="center"/>
            <w:hideMark/>
          </w:tcPr>
          <w:p w14:paraId="13E2984E" w14:textId="77777777" w:rsidR="004D69BF" w:rsidRPr="00B70048" w:rsidRDefault="004D69BF" w:rsidP="000240DA">
            <w:pPr>
              <w:spacing w:line="240" w:lineRule="auto"/>
              <w:jc w:val="right"/>
              <w:rPr>
                <w:b/>
                <w:sz w:val="18"/>
                <w:szCs w:val="18"/>
              </w:rPr>
            </w:pPr>
            <w:r w:rsidRPr="00B70048">
              <w:rPr>
                <w:b/>
                <w:bCs/>
                <w:color w:val="000000"/>
                <w:sz w:val="18"/>
                <w:szCs w:val="18"/>
              </w:rPr>
              <w:t>6 133</w:t>
            </w:r>
          </w:p>
        </w:tc>
        <w:tc>
          <w:tcPr>
            <w:tcW w:w="549" w:type="pct"/>
            <w:tcBorders>
              <w:top w:val="nil"/>
              <w:left w:val="nil"/>
              <w:bottom w:val="single" w:sz="4" w:space="0" w:color="auto"/>
              <w:right w:val="nil"/>
            </w:tcBorders>
            <w:shd w:val="clear" w:color="auto" w:fill="auto"/>
            <w:noWrap/>
            <w:vAlign w:val="center"/>
            <w:hideMark/>
          </w:tcPr>
          <w:p w14:paraId="76F9A88C" w14:textId="77777777" w:rsidR="004D69BF" w:rsidRPr="00B70048" w:rsidRDefault="004D69BF" w:rsidP="000240DA">
            <w:pPr>
              <w:spacing w:line="240" w:lineRule="auto"/>
              <w:jc w:val="right"/>
              <w:rPr>
                <w:b/>
                <w:sz w:val="18"/>
                <w:szCs w:val="18"/>
              </w:rPr>
            </w:pPr>
            <w:r w:rsidRPr="00B70048">
              <w:rPr>
                <w:b/>
                <w:bCs/>
                <w:color w:val="000000"/>
                <w:sz w:val="18"/>
                <w:szCs w:val="18"/>
              </w:rPr>
              <w:t>6 442</w:t>
            </w:r>
          </w:p>
        </w:tc>
        <w:tc>
          <w:tcPr>
            <w:tcW w:w="472" w:type="pct"/>
            <w:tcBorders>
              <w:top w:val="nil"/>
              <w:left w:val="nil"/>
              <w:bottom w:val="single" w:sz="4" w:space="0" w:color="auto"/>
              <w:right w:val="nil"/>
            </w:tcBorders>
            <w:shd w:val="clear" w:color="000000" w:fill="FFFFFF"/>
            <w:noWrap/>
            <w:vAlign w:val="center"/>
            <w:hideMark/>
          </w:tcPr>
          <w:p w14:paraId="62C3F63F" w14:textId="77777777" w:rsidR="004D69BF" w:rsidRPr="00B70048" w:rsidRDefault="004D69BF" w:rsidP="000240DA">
            <w:pPr>
              <w:spacing w:line="240" w:lineRule="auto"/>
              <w:jc w:val="right"/>
              <w:rPr>
                <w:b/>
                <w:sz w:val="18"/>
                <w:szCs w:val="18"/>
              </w:rPr>
            </w:pPr>
            <w:r w:rsidRPr="00B70048">
              <w:rPr>
                <w:b/>
                <w:bCs/>
                <w:color w:val="000000"/>
                <w:sz w:val="18"/>
                <w:szCs w:val="18"/>
              </w:rPr>
              <w:t>309</w:t>
            </w:r>
          </w:p>
        </w:tc>
      </w:tr>
      <w:tr w:rsidR="004D69BF" w:rsidRPr="00B70048" w14:paraId="2868B20F" w14:textId="77777777" w:rsidTr="001D2C2C">
        <w:trPr>
          <w:trHeight w:val="275"/>
        </w:trPr>
        <w:tc>
          <w:tcPr>
            <w:tcW w:w="2404" w:type="pct"/>
            <w:tcBorders>
              <w:top w:val="single" w:sz="4" w:space="0" w:color="auto"/>
              <w:left w:val="nil"/>
              <w:bottom w:val="single" w:sz="4" w:space="0" w:color="auto"/>
              <w:right w:val="nil"/>
            </w:tcBorders>
            <w:shd w:val="clear" w:color="000000" w:fill="FFFFFF"/>
            <w:vAlign w:val="center"/>
            <w:hideMark/>
          </w:tcPr>
          <w:p w14:paraId="07E50923" w14:textId="77777777" w:rsidR="004D69BF" w:rsidRPr="00B70048" w:rsidRDefault="004D69BF" w:rsidP="000240DA">
            <w:pPr>
              <w:spacing w:line="240" w:lineRule="auto"/>
              <w:rPr>
                <w:b/>
                <w:bCs/>
                <w:color w:val="000000"/>
                <w:sz w:val="18"/>
                <w:szCs w:val="18"/>
              </w:rPr>
            </w:pPr>
            <w:r w:rsidRPr="00B70048">
              <w:rPr>
                <w:b/>
                <w:bCs/>
                <w:color w:val="000000"/>
                <w:sz w:val="18"/>
                <w:szCs w:val="18"/>
              </w:rPr>
              <w:t xml:space="preserve">Spolu </w:t>
            </w:r>
          </w:p>
        </w:tc>
        <w:tc>
          <w:tcPr>
            <w:tcW w:w="525" w:type="pct"/>
            <w:tcBorders>
              <w:top w:val="single" w:sz="4" w:space="0" w:color="auto"/>
              <w:left w:val="nil"/>
              <w:bottom w:val="single" w:sz="4" w:space="0" w:color="auto"/>
              <w:right w:val="nil"/>
            </w:tcBorders>
            <w:shd w:val="clear" w:color="000000" w:fill="FFFFFF"/>
            <w:noWrap/>
            <w:vAlign w:val="center"/>
            <w:hideMark/>
          </w:tcPr>
          <w:p w14:paraId="789C383D" w14:textId="77777777" w:rsidR="004D69BF" w:rsidRPr="00B70048" w:rsidRDefault="004D69BF" w:rsidP="000240DA">
            <w:pPr>
              <w:spacing w:line="240" w:lineRule="auto"/>
              <w:jc w:val="right"/>
              <w:rPr>
                <w:b/>
                <w:bCs/>
                <w:color w:val="000000"/>
                <w:sz w:val="18"/>
                <w:szCs w:val="18"/>
                <w:highlight w:val="yellow"/>
              </w:rPr>
            </w:pPr>
            <w:r w:rsidRPr="00B70048">
              <w:rPr>
                <w:b/>
                <w:bCs/>
                <w:color w:val="000000"/>
                <w:sz w:val="18"/>
                <w:szCs w:val="18"/>
              </w:rPr>
              <w:t>8 392</w:t>
            </w:r>
          </w:p>
        </w:tc>
        <w:tc>
          <w:tcPr>
            <w:tcW w:w="525" w:type="pct"/>
            <w:tcBorders>
              <w:top w:val="single" w:sz="4" w:space="0" w:color="auto"/>
              <w:left w:val="nil"/>
              <w:bottom w:val="single" w:sz="4" w:space="0" w:color="auto"/>
              <w:right w:val="nil"/>
            </w:tcBorders>
            <w:shd w:val="clear" w:color="000000" w:fill="FFFFFF"/>
            <w:noWrap/>
            <w:vAlign w:val="center"/>
            <w:hideMark/>
          </w:tcPr>
          <w:p w14:paraId="1C2662AA" w14:textId="77777777" w:rsidR="004D69BF" w:rsidRPr="00B70048" w:rsidRDefault="004D69BF" w:rsidP="000240DA">
            <w:pPr>
              <w:spacing w:line="240" w:lineRule="auto"/>
              <w:jc w:val="right"/>
              <w:rPr>
                <w:b/>
                <w:bCs/>
                <w:color w:val="000000"/>
                <w:sz w:val="18"/>
                <w:szCs w:val="18"/>
                <w:highlight w:val="yellow"/>
              </w:rPr>
            </w:pPr>
            <w:r w:rsidRPr="00B70048">
              <w:rPr>
                <w:b/>
                <w:bCs/>
                <w:color w:val="000000"/>
                <w:sz w:val="18"/>
                <w:szCs w:val="18"/>
              </w:rPr>
              <w:t>7 054</w:t>
            </w:r>
          </w:p>
        </w:tc>
        <w:tc>
          <w:tcPr>
            <w:tcW w:w="525" w:type="pct"/>
            <w:tcBorders>
              <w:top w:val="single" w:sz="4" w:space="0" w:color="auto"/>
              <w:left w:val="nil"/>
              <w:bottom w:val="single" w:sz="4" w:space="0" w:color="auto"/>
              <w:right w:val="nil"/>
            </w:tcBorders>
            <w:shd w:val="clear" w:color="000000" w:fill="FFFFFF"/>
            <w:noWrap/>
            <w:vAlign w:val="center"/>
            <w:hideMark/>
          </w:tcPr>
          <w:p w14:paraId="07A3D9D2" w14:textId="77777777" w:rsidR="004D69BF" w:rsidRPr="00B70048" w:rsidRDefault="004D69BF" w:rsidP="000240DA">
            <w:pPr>
              <w:spacing w:line="240" w:lineRule="auto"/>
              <w:jc w:val="right"/>
              <w:rPr>
                <w:b/>
                <w:bCs/>
                <w:color w:val="000000"/>
                <w:sz w:val="18"/>
                <w:szCs w:val="18"/>
                <w:highlight w:val="yellow"/>
              </w:rPr>
            </w:pPr>
            <w:r w:rsidRPr="00B70048">
              <w:rPr>
                <w:b/>
                <w:bCs/>
                <w:color w:val="000000"/>
                <w:sz w:val="18"/>
                <w:szCs w:val="18"/>
              </w:rPr>
              <w:t>24 379</w:t>
            </w:r>
          </w:p>
        </w:tc>
        <w:tc>
          <w:tcPr>
            <w:tcW w:w="549" w:type="pct"/>
            <w:tcBorders>
              <w:top w:val="single" w:sz="4" w:space="0" w:color="auto"/>
              <w:left w:val="nil"/>
              <w:bottom w:val="single" w:sz="4" w:space="0" w:color="auto"/>
              <w:right w:val="nil"/>
            </w:tcBorders>
            <w:shd w:val="clear" w:color="000000" w:fill="FFFFFF"/>
            <w:noWrap/>
            <w:vAlign w:val="center"/>
            <w:hideMark/>
          </w:tcPr>
          <w:p w14:paraId="33E7FA66" w14:textId="77777777" w:rsidR="004D69BF" w:rsidRPr="00B70048" w:rsidRDefault="004D69BF" w:rsidP="000240DA">
            <w:pPr>
              <w:spacing w:line="240" w:lineRule="auto"/>
              <w:jc w:val="right"/>
              <w:rPr>
                <w:b/>
                <w:bCs/>
                <w:color w:val="000000"/>
                <w:sz w:val="18"/>
                <w:szCs w:val="18"/>
                <w:highlight w:val="yellow"/>
              </w:rPr>
            </w:pPr>
            <w:r w:rsidRPr="00B70048">
              <w:rPr>
                <w:b/>
                <w:bCs/>
                <w:color w:val="000000"/>
                <w:sz w:val="18"/>
                <w:szCs w:val="18"/>
              </w:rPr>
              <w:t>15 481</w:t>
            </w:r>
          </w:p>
        </w:tc>
        <w:tc>
          <w:tcPr>
            <w:tcW w:w="472" w:type="pct"/>
            <w:tcBorders>
              <w:top w:val="single" w:sz="4" w:space="0" w:color="auto"/>
              <w:left w:val="nil"/>
              <w:bottom w:val="single" w:sz="4" w:space="0" w:color="auto"/>
              <w:right w:val="nil"/>
            </w:tcBorders>
            <w:shd w:val="clear" w:color="000000" w:fill="FFFFFF"/>
            <w:noWrap/>
            <w:vAlign w:val="center"/>
            <w:hideMark/>
          </w:tcPr>
          <w:p w14:paraId="657DDBDE" w14:textId="77777777" w:rsidR="004D69BF" w:rsidRPr="00B70048" w:rsidRDefault="004D69BF" w:rsidP="000240DA">
            <w:pPr>
              <w:spacing w:line="240" w:lineRule="auto"/>
              <w:jc w:val="right"/>
              <w:rPr>
                <w:b/>
                <w:bCs/>
                <w:color w:val="000000"/>
                <w:sz w:val="18"/>
                <w:szCs w:val="18"/>
                <w:highlight w:val="yellow"/>
              </w:rPr>
            </w:pPr>
            <w:r w:rsidRPr="00B70048">
              <w:rPr>
                <w:b/>
                <w:bCs/>
                <w:color w:val="000000"/>
                <w:sz w:val="18"/>
                <w:szCs w:val="18"/>
              </w:rPr>
              <w:t>-8 898</w:t>
            </w:r>
          </w:p>
        </w:tc>
      </w:tr>
    </w:tbl>
    <w:p w14:paraId="5383BE31" w14:textId="77777777" w:rsidR="004D69BF" w:rsidRPr="00576533" w:rsidRDefault="004D69BF" w:rsidP="004D69BF">
      <w:pPr>
        <w:jc w:val="right"/>
        <w:rPr>
          <w:sz w:val="18"/>
          <w:szCs w:val="18"/>
        </w:rPr>
      </w:pPr>
      <w:r w:rsidRPr="00576533">
        <w:rPr>
          <w:sz w:val="18"/>
          <w:szCs w:val="18"/>
        </w:rPr>
        <w:t>Zdroj: MF SR</w:t>
      </w:r>
    </w:p>
    <w:p w14:paraId="0024485A" w14:textId="54B9E0DC" w:rsidR="004D69BF" w:rsidRPr="00B70048" w:rsidRDefault="004D69BF" w:rsidP="004D69BF">
      <w:pPr>
        <w:spacing w:line="240" w:lineRule="auto"/>
        <w:rPr>
          <w:sz w:val="24"/>
          <w:szCs w:val="24"/>
        </w:rPr>
      </w:pPr>
      <w:r w:rsidRPr="00B70048">
        <w:rPr>
          <w:b/>
          <w:bCs/>
          <w:sz w:val="24"/>
          <w:szCs w:val="24"/>
        </w:rPr>
        <w:t xml:space="preserve">Spolufinancovanie k prostriedkom na spolufinancovanie Vnútorných politík EÚ </w:t>
      </w:r>
      <w:r w:rsidRPr="00B70048">
        <w:rPr>
          <w:sz w:val="24"/>
          <w:szCs w:val="24"/>
        </w:rPr>
        <w:t>(fondy pre</w:t>
      </w:r>
      <w:r w:rsidR="00F3718D">
        <w:rPr>
          <w:sz w:val="24"/>
          <w:szCs w:val="24"/>
        </w:rPr>
        <w:t> </w:t>
      </w:r>
      <w:r w:rsidRPr="00B70048">
        <w:rPr>
          <w:bCs/>
          <w:sz w:val="24"/>
          <w:szCs w:val="24"/>
        </w:rPr>
        <w:t xml:space="preserve">oblasť vnútorných záležitostí na </w:t>
      </w:r>
      <w:r w:rsidRPr="00B70048">
        <w:rPr>
          <w:sz w:val="24"/>
          <w:szCs w:val="24"/>
        </w:rPr>
        <w:t>roky 2014</w:t>
      </w:r>
      <w:r w:rsidR="00F3718D">
        <w:rPr>
          <w:sz w:val="24"/>
          <w:szCs w:val="24"/>
        </w:rPr>
        <w:t> </w:t>
      </w:r>
      <w:r w:rsidRPr="00B70048">
        <w:rPr>
          <w:sz w:val="24"/>
          <w:szCs w:val="24"/>
        </w:rPr>
        <w:t>–</w:t>
      </w:r>
      <w:r w:rsidR="00F3718D">
        <w:rPr>
          <w:sz w:val="24"/>
          <w:szCs w:val="24"/>
        </w:rPr>
        <w:t> </w:t>
      </w:r>
      <w:r w:rsidRPr="00B70048">
        <w:rPr>
          <w:sz w:val="24"/>
          <w:szCs w:val="24"/>
        </w:rPr>
        <w:t>2020) sa rozpočtuje v kapitole zodpovednej za</w:t>
      </w:r>
      <w:r w:rsidR="00F3718D">
        <w:rPr>
          <w:sz w:val="24"/>
          <w:szCs w:val="24"/>
        </w:rPr>
        <w:t> </w:t>
      </w:r>
      <w:r w:rsidRPr="00B70048">
        <w:rPr>
          <w:sz w:val="24"/>
          <w:szCs w:val="24"/>
        </w:rPr>
        <w:t>ich riadenie, ktorou je MV SR</w:t>
      </w:r>
      <w:r w:rsidR="00F3718D">
        <w:rPr>
          <w:color w:val="000000" w:themeColor="text1"/>
          <w:sz w:val="24"/>
          <w:szCs w:val="24"/>
        </w:rPr>
        <w:t xml:space="preserve"> vo výške 50 </w:t>
      </w:r>
      <w:r w:rsidRPr="00B70048">
        <w:rPr>
          <w:color w:val="000000" w:themeColor="text1"/>
          <w:sz w:val="24"/>
          <w:szCs w:val="24"/>
        </w:rPr>
        <w:t>tis.</w:t>
      </w:r>
      <w:r w:rsidR="00F3718D">
        <w:rPr>
          <w:color w:val="000000" w:themeColor="text1"/>
          <w:sz w:val="24"/>
          <w:szCs w:val="24"/>
        </w:rPr>
        <w:t> </w:t>
      </w:r>
      <w:r w:rsidRPr="00B70048">
        <w:rPr>
          <w:color w:val="000000" w:themeColor="text1"/>
          <w:sz w:val="24"/>
          <w:szCs w:val="24"/>
        </w:rPr>
        <w:t>eur. Rozpočet výdavkov bol v </w:t>
      </w:r>
      <w:r w:rsidRPr="00B70048">
        <w:rPr>
          <w:sz w:val="24"/>
          <w:szCs w:val="24"/>
        </w:rPr>
        <w:t>roku 2024 upravený o nepoužité prostriedky z predchádzajúcich rokov v zmysle §8 zákona o rozpoč</w:t>
      </w:r>
      <w:r w:rsidR="00F3718D">
        <w:rPr>
          <w:sz w:val="24"/>
          <w:szCs w:val="24"/>
        </w:rPr>
        <w:t>tových pravidlách na úroveň 25 </w:t>
      </w:r>
      <w:r w:rsidRPr="00B70048">
        <w:rPr>
          <w:sz w:val="24"/>
          <w:szCs w:val="24"/>
        </w:rPr>
        <w:t>tis.</w:t>
      </w:r>
      <w:r w:rsidR="00F3718D">
        <w:rPr>
          <w:sz w:val="24"/>
          <w:szCs w:val="24"/>
        </w:rPr>
        <w:t> </w:t>
      </w:r>
      <w:r w:rsidRPr="00B70048">
        <w:rPr>
          <w:sz w:val="24"/>
          <w:szCs w:val="24"/>
        </w:rPr>
        <w:t xml:space="preserve">eur. </w:t>
      </w:r>
      <w:r w:rsidRPr="00B70048">
        <w:rPr>
          <w:color w:val="000000" w:themeColor="text1"/>
          <w:sz w:val="24"/>
          <w:szCs w:val="24"/>
        </w:rPr>
        <w:t>Skutočné čerpanie výdavkov bolo vo</w:t>
      </w:r>
      <w:r w:rsidR="00B7397E">
        <w:rPr>
          <w:color w:val="000000" w:themeColor="text1"/>
          <w:sz w:val="24"/>
          <w:szCs w:val="24"/>
        </w:rPr>
        <w:t> </w:t>
      </w:r>
      <w:r w:rsidRPr="00B70048">
        <w:rPr>
          <w:color w:val="000000" w:themeColor="text1"/>
          <w:sz w:val="24"/>
          <w:szCs w:val="24"/>
        </w:rPr>
        <w:t>výške 25</w:t>
      </w:r>
      <w:r w:rsidR="00F3718D">
        <w:rPr>
          <w:color w:val="000000" w:themeColor="text1"/>
          <w:sz w:val="24"/>
          <w:szCs w:val="24"/>
        </w:rPr>
        <w:t> tis. </w:t>
      </w:r>
      <w:r w:rsidRPr="00B70048">
        <w:rPr>
          <w:color w:val="000000" w:themeColor="text1"/>
          <w:sz w:val="24"/>
          <w:szCs w:val="24"/>
        </w:rPr>
        <w:t>eur.</w:t>
      </w:r>
    </w:p>
    <w:p w14:paraId="0AF8636A" w14:textId="708CFF12" w:rsidR="004D69BF" w:rsidRDefault="004D69BF" w:rsidP="004D69BF">
      <w:pPr>
        <w:spacing w:line="240" w:lineRule="auto"/>
        <w:rPr>
          <w:sz w:val="24"/>
          <w:szCs w:val="24"/>
        </w:rPr>
      </w:pPr>
      <w:r w:rsidRPr="00B70048">
        <w:rPr>
          <w:sz w:val="24"/>
          <w:szCs w:val="24"/>
        </w:rPr>
        <w:t>Plnenie príjmov z prostriedkov EÚ a čerpanie výdavkov za prostriedky EÚ je uvedené v tabuľke č. 17. Čerpanie výdavkov na spolufinancovanie zo štátneho rozpočtu k prostriedkom EÚ, k zahraničným grantom z prostriedkov EÚ a k zah</w:t>
      </w:r>
      <w:r w:rsidR="00F3718D">
        <w:rPr>
          <w:sz w:val="24"/>
          <w:szCs w:val="24"/>
        </w:rPr>
        <w:t>raničným grantom poskytnutým na </w:t>
      </w:r>
      <w:r w:rsidRPr="00B70048">
        <w:rPr>
          <w:sz w:val="24"/>
          <w:szCs w:val="24"/>
        </w:rPr>
        <w:t xml:space="preserve">základe medzinárodných zmlúv bez vnútorných politík EÚ je uvedené </w:t>
      </w:r>
      <w:r w:rsidR="00F3718D">
        <w:rPr>
          <w:sz w:val="24"/>
          <w:szCs w:val="24"/>
        </w:rPr>
        <w:t>v tabuľke č. </w:t>
      </w:r>
      <w:r w:rsidRPr="00B70048">
        <w:rPr>
          <w:sz w:val="24"/>
          <w:szCs w:val="24"/>
        </w:rPr>
        <w:t>18.</w:t>
      </w:r>
    </w:p>
    <w:p w14:paraId="18BE19C0" w14:textId="77777777" w:rsidR="0066704D" w:rsidRDefault="0066704D" w:rsidP="004D69BF">
      <w:pPr>
        <w:spacing w:line="240" w:lineRule="auto"/>
        <w:rPr>
          <w:sz w:val="24"/>
          <w:szCs w:val="24"/>
        </w:rPr>
      </w:pPr>
    </w:p>
    <w:p w14:paraId="0E005D67" w14:textId="0AB9D990" w:rsidR="004D69BF" w:rsidRPr="00C762C4" w:rsidRDefault="004D69BF" w:rsidP="004D69BF">
      <w:pPr>
        <w:pStyle w:val="Nadpis2"/>
        <w:numPr>
          <w:ilvl w:val="2"/>
          <w:numId w:val="34"/>
        </w:numPr>
        <w:ind w:left="709" w:hanging="360"/>
      </w:pPr>
      <w:bookmarkStart w:id="159" w:name="_Toc449622847"/>
      <w:bookmarkStart w:id="160" w:name="_Toc196314144"/>
      <w:r w:rsidRPr="00C762C4">
        <w:lastRenderedPageBreak/>
        <w:t>Zhrnutie čerpania záväzkov programových období</w:t>
      </w:r>
      <w:r w:rsidRPr="00C762C4">
        <w:rPr>
          <w:rStyle w:val="Odkaznapoznmkupodiarou"/>
        </w:rPr>
        <w:footnoteReference w:id="36"/>
      </w:r>
      <w:r w:rsidRPr="00C762C4">
        <w:t xml:space="preserve"> po vstupe SR do</w:t>
      </w:r>
      <w:r w:rsidR="00F3718D">
        <w:t> </w:t>
      </w:r>
      <w:bookmarkEnd w:id="159"/>
      <w:r w:rsidR="003B69D0">
        <w:t>EÚ</w:t>
      </w:r>
      <w:bookmarkEnd w:id="160"/>
    </w:p>
    <w:p w14:paraId="3F0BDE1B" w14:textId="0046E349" w:rsidR="004D69BF" w:rsidRPr="00B70048" w:rsidRDefault="004D69BF" w:rsidP="004D69BF">
      <w:pPr>
        <w:spacing w:line="240" w:lineRule="auto"/>
        <w:rPr>
          <w:color w:val="000000" w:themeColor="text1"/>
          <w:sz w:val="24"/>
          <w:szCs w:val="24"/>
        </w:rPr>
      </w:pPr>
      <w:r w:rsidRPr="00B70048">
        <w:rPr>
          <w:color w:val="000000" w:themeColor="text1"/>
          <w:sz w:val="24"/>
          <w:szCs w:val="24"/>
        </w:rPr>
        <w:t>Slovenská republika v roku 2024 realizovala výdavky v rám</w:t>
      </w:r>
      <w:r w:rsidR="00F3718D">
        <w:rPr>
          <w:color w:val="000000" w:themeColor="text1"/>
          <w:sz w:val="24"/>
          <w:szCs w:val="24"/>
        </w:rPr>
        <w:t>ci 3. programového obdobia 2014 – </w:t>
      </w:r>
      <w:r w:rsidRPr="00B70048">
        <w:rPr>
          <w:color w:val="000000" w:themeColor="text1"/>
          <w:sz w:val="24"/>
          <w:szCs w:val="24"/>
        </w:rPr>
        <w:t>2020</w:t>
      </w:r>
      <w:r w:rsidR="00F3718D">
        <w:rPr>
          <w:color w:val="000000" w:themeColor="text1"/>
          <w:sz w:val="24"/>
          <w:szCs w:val="24"/>
        </w:rPr>
        <w:t xml:space="preserve"> a 4. programového obdobia 2021 – </w:t>
      </w:r>
      <w:r w:rsidRPr="00B70048">
        <w:rPr>
          <w:color w:val="000000" w:themeColor="text1"/>
          <w:sz w:val="24"/>
          <w:szCs w:val="24"/>
        </w:rPr>
        <w:t>2027.</w:t>
      </w:r>
    </w:p>
    <w:p w14:paraId="455499A9" w14:textId="5D63C487" w:rsidR="004D69BF" w:rsidRPr="00B70048" w:rsidRDefault="00F3718D" w:rsidP="004D69BF">
      <w:pPr>
        <w:spacing w:line="240" w:lineRule="auto"/>
        <w:rPr>
          <w:color w:val="000000" w:themeColor="text1"/>
          <w:sz w:val="24"/>
          <w:szCs w:val="24"/>
        </w:rPr>
      </w:pPr>
      <w:r>
        <w:rPr>
          <w:b/>
          <w:bCs/>
          <w:color w:val="000000" w:themeColor="text1"/>
          <w:sz w:val="24"/>
          <w:szCs w:val="24"/>
        </w:rPr>
        <w:t>V rámci 3. </w:t>
      </w:r>
      <w:r w:rsidR="004D69BF" w:rsidRPr="00B70048">
        <w:rPr>
          <w:b/>
          <w:bCs/>
          <w:color w:val="000000" w:themeColor="text1"/>
          <w:sz w:val="24"/>
          <w:szCs w:val="24"/>
        </w:rPr>
        <w:t xml:space="preserve">programového </w:t>
      </w:r>
      <w:r>
        <w:rPr>
          <w:b/>
          <w:bCs/>
          <w:color w:val="000000" w:themeColor="text1"/>
          <w:sz w:val="24"/>
          <w:szCs w:val="24"/>
        </w:rPr>
        <w:t>obdobia 2014 – </w:t>
      </w:r>
      <w:r w:rsidR="004D69BF" w:rsidRPr="00B70048">
        <w:rPr>
          <w:b/>
          <w:bCs/>
          <w:color w:val="000000" w:themeColor="text1"/>
          <w:sz w:val="24"/>
          <w:szCs w:val="24"/>
        </w:rPr>
        <w:t>2020</w:t>
      </w:r>
      <w:r w:rsidR="004D69BF" w:rsidRPr="00B70048">
        <w:rPr>
          <w:color w:val="000000" w:themeColor="text1"/>
          <w:sz w:val="24"/>
          <w:szCs w:val="24"/>
        </w:rPr>
        <w:t xml:space="preserve"> z celkového záväzku 10 operačných programov vyčerpala SR na národnej úrovni k 31.12.2024 pro</w:t>
      </w:r>
      <w:r>
        <w:rPr>
          <w:color w:val="000000" w:themeColor="text1"/>
          <w:sz w:val="24"/>
          <w:szCs w:val="24"/>
        </w:rPr>
        <w:t>striedky EÚ vo výške 14 531 802 </w:t>
      </w:r>
      <w:r w:rsidR="004D69BF" w:rsidRPr="00B70048">
        <w:rPr>
          <w:color w:val="000000" w:themeColor="text1"/>
          <w:sz w:val="24"/>
          <w:szCs w:val="24"/>
        </w:rPr>
        <w:t>tis.</w:t>
      </w:r>
      <w:r>
        <w:rPr>
          <w:color w:val="000000" w:themeColor="text1"/>
          <w:sz w:val="24"/>
          <w:szCs w:val="24"/>
        </w:rPr>
        <w:t> </w:t>
      </w:r>
      <w:r w:rsidR="004D69BF" w:rsidRPr="00B70048">
        <w:rPr>
          <w:color w:val="000000" w:themeColor="text1"/>
          <w:sz w:val="24"/>
          <w:szCs w:val="24"/>
        </w:rPr>
        <w:t>eur, čo predst</w:t>
      </w:r>
      <w:r>
        <w:rPr>
          <w:color w:val="000000" w:themeColor="text1"/>
          <w:sz w:val="24"/>
          <w:szCs w:val="24"/>
        </w:rPr>
        <w:t>avuje čerpanie na úrovni 100,21 % z celkovej alokácie záväzku.</w:t>
      </w:r>
    </w:p>
    <w:p w14:paraId="5997B8CB" w14:textId="7DEB53F2" w:rsidR="004D69BF" w:rsidRPr="00B70048" w:rsidRDefault="004D69BF" w:rsidP="004D69BF">
      <w:pPr>
        <w:spacing w:line="240" w:lineRule="auto"/>
        <w:rPr>
          <w:color w:val="000000" w:themeColor="text1"/>
          <w:sz w:val="24"/>
          <w:szCs w:val="24"/>
        </w:rPr>
      </w:pPr>
      <w:r w:rsidRPr="00B70048">
        <w:rPr>
          <w:color w:val="000000" w:themeColor="text1"/>
          <w:sz w:val="24"/>
          <w:szCs w:val="24"/>
        </w:rPr>
        <w:t>Implementáciu a čerpanie aj v</w:t>
      </w:r>
      <w:r w:rsidR="00F3718D">
        <w:rPr>
          <w:color w:val="000000" w:themeColor="text1"/>
          <w:sz w:val="24"/>
          <w:szCs w:val="24"/>
        </w:rPr>
        <w:t> r. </w:t>
      </w:r>
      <w:r w:rsidRPr="00B70048">
        <w:rPr>
          <w:color w:val="000000" w:themeColor="text1"/>
          <w:sz w:val="24"/>
          <w:szCs w:val="24"/>
        </w:rPr>
        <w:t>2024 ovplyvnila zmena legislatívy EÚ vo vzťahu k možnosti preplácania 100 % deklarovaných výdavkov zo strany EK. Uvedené malo pozitívny dopad na</w:t>
      </w:r>
      <w:r w:rsidR="00F3718D">
        <w:rPr>
          <w:color w:val="000000" w:themeColor="text1"/>
          <w:sz w:val="24"/>
          <w:szCs w:val="24"/>
        </w:rPr>
        <w:t> </w:t>
      </w:r>
      <w:r w:rsidRPr="00B70048">
        <w:rPr>
          <w:color w:val="000000" w:themeColor="text1"/>
          <w:sz w:val="24"/>
          <w:szCs w:val="24"/>
        </w:rPr>
        <w:t>príjmy z EK a na plnenie pravidla n+3.</w:t>
      </w:r>
      <w:r w:rsidRPr="00B70048">
        <w:rPr>
          <w:rStyle w:val="Odkaznapoznmkupodiarou"/>
          <w:color w:val="000000" w:themeColor="text1"/>
          <w:sz w:val="24"/>
          <w:szCs w:val="24"/>
        </w:rPr>
        <w:footnoteReference w:id="37"/>
      </w:r>
    </w:p>
    <w:p w14:paraId="2C9919C4" w14:textId="150428FD" w:rsidR="004D69BF" w:rsidRPr="00B70048" w:rsidRDefault="004D69BF" w:rsidP="004D69BF">
      <w:pPr>
        <w:spacing w:line="240" w:lineRule="auto"/>
        <w:rPr>
          <w:color w:val="000000" w:themeColor="text1"/>
          <w:sz w:val="24"/>
          <w:szCs w:val="24"/>
        </w:rPr>
      </w:pPr>
      <w:r w:rsidRPr="00B70048">
        <w:rPr>
          <w:color w:val="000000" w:themeColor="text1"/>
          <w:sz w:val="24"/>
          <w:szCs w:val="24"/>
        </w:rPr>
        <w:t>Ku koncu roka 2024 boli na národnej úrovni schválené všetky výdavky predložené na</w:t>
      </w:r>
      <w:r w:rsidR="00F3718D">
        <w:rPr>
          <w:color w:val="000000" w:themeColor="text1"/>
          <w:sz w:val="24"/>
          <w:szCs w:val="24"/>
        </w:rPr>
        <w:t> </w:t>
      </w:r>
      <w:r w:rsidRPr="00B70048">
        <w:rPr>
          <w:color w:val="000000" w:themeColor="text1"/>
          <w:sz w:val="24"/>
          <w:szCs w:val="24"/>
        </w:rPr>
        <w:t>certifikačný orgán a väčšina z nich bola a</w:t>
      </w:r>
      <w:r w:rsidR="00B7397E">
        <w:rPr>
          <w:color w:val="000000" w:themeColor="text1"/>
          <w:sz w:val="24"/>
          <w:szCs w:val="24"/>
        </w:rPr>
        <w:t>j deklarovaná na EK. V súlade s </w:t>
      </w:r>
      <w:r w:rsidRPr="00B70048">
        <w:rPr>
          <w:color w:val="000000" w:themeColor="text1"/>
          <w:sz w:val="24"/>
          <w:szCs w:val="24"/>
        </w:rPr>
        <w:t>nariadením EP a</w:t>
      </w:r>
      <w:r w:rsidR="00F3718D">
        <w:rPr>
          <w:color w:val="000000" w:themeColor="text1"/>
          <w:sz w:val="24"/>
          <w:szCs w:val="24"/>
        </w:rPr>
        <w:t> </w:t>
      </w:r>
      <w:r w:rsidRPr="00B70048">
        <w:rPr>
          <w:color w:val="000000" w:themeColor="text1"/>
          <w:sz w:val="24"/>
          <w:szCs w:val="24"/>
        </w:rPr>
        <w:t>Rady (EÚ) č.</w:t>
      </w:r>
      <w:r w:rsidR="00F3718D">
        <w:rPr>
          <w:color w:val="000000" w:themeColor="text1"/>
          <w:sz w:val="24"/>
          <w:szCs w:val="24"/>
        </w:rPr>
        <w:t> 2024/795 z 29.02.2024, ktoré o. </w:t>
      </w:r>
      <w:r w:rsidRPr="00B70048">
        <w:rPr>
          <w:color w:val="000000" w:themeColor="text1"/>
          <w:sz w:val="24"/>
          <w:szCs w:val="24"/>
        </w:rPr>
        <w:t>i. umožnilo posuny termínov záverečných žiadostí o platbu a záverečného balíka uistenia, bude pokračovať deklarovanie výdavkov na</w:t>
      </w:r>
      <w:r w:rsidR="00F3718D">
        <w:rPr>
          <w:color w:val="000000" w:themeColor="text1"/>
          <w:sz w:val="24"/>
          <w:szCs w:val="24"/>
        </w:rPr>
        <w:t> </w:t>
      </w:r>
      <w:r w:rsidRPr="00B70048">
        <w:rPr>
          <w:color w:val="000000" w:themeColor="text1"/>
          <w:sz w:val="24"/>
          <w:szCs w:val="24"/>
        </w:rPr>
        <w:t>EK aj v roku 2025 a spracovanie záverečných Účtov v rokoch 2025 a 202</w:t>
      </w:r>
      <w:r w:rsidR="00F3718D">
        <w:rPr>
          <w:color w:val="000000" w:themeColor="text1"/>
          <w:sz w:val="24"/>
          <w:szCs w:val="24"/>
        </w:rPr>
        <w:t>6 za</w:t>
      </w:r>
      <w:r w:rsidR="00B7397E">
        <w:rPr>
          <w:color w:val="000000" w:themeColor="text1"/>
          <w:sz w:val="24"/>
          <w:szCs w:val="24"/>
        </w:rPr>
        <w:t> </w:t>
      </w:r>
      <w:r w:rsidR="00F3718D">
        <w:rPr>
          <w:color w:val="000000" w:themeColor="text1"/>
          <w:sz w:val="24"/>
          <w:szCs w:val="24"/>
        </w:rPr>
        <w:t>účelom uzatvorenia PO 2014 </w:t>
      </w:r>
      <w:r w:rsidRPr="00B70048">
        <w:rPr>
          <w:color w:val="000000" w:themeColor="text1"/>
          <w:sz w:val="24"/>
          <w:szCs w:val="24"/>
        </w:rPr>
        <w:t>–</w:t>
      </w:r>
      <w:r w:rsidR="00F3718D">
        <w:rPr>
          <w:color w:val="000000" w:themeColor="text1"/>
          <w:sz w:val="24"/>
          <w:szCs w:val="24"/>
        </w:rPr>
        <w:t> </w:t>
      </w:r>
      <w:r w:rsidRPr="00B70048">
        <w:rPr>
          <w:color w:val="000000" w:themeColor="text1"/>
          <w:sz w:val="24"/>
          <w:szCs w:val="24"/>
        </w:rPr>
        <w:t>2020 s EK.</w:t>
      </w:r>
    </w:p>
    <w:p w14:paraId="087E3BC3" w14:textId="01E17D26" w:rsidR="004D69BF" w:rsidRPr="00B70048" w:rsidRDefault="004D69BF" w:rsidP="004D69BF">
      <w:pPr>
        <w:spacing w:line="240" w:lineRule="auto"/>
        <w:rPr>
          <w:color w:val="000000" w:themeColor="text1"/>
          <w:sz w:val="24"/>
          <w:szCs w:val="24"/>
        </w:rPr>
      </w:pPr>
      <w:r w:rsidRPr="00B70048">
        <w:rPr>
          <w:color w:val="000000" w:themeColor="text1"/>
          <w:sz w:val="24"/>
          <w:szCs w:val="24"/>
        </w:rPr>
        <w:t>Zo zdrojov určených na elimináciu dopadov COVID-19 (vo výške 1</w:t>
      </w:r>
      <w:r w:rsidR="00F3718D">
        <w:rPr>
          <w:color w:val="000000" w:themeColor="text1"/>
          <w:sz w:val="24"/>
          <w:szCs w:val="24"/>
        </w:rPr>
        <w:t> </w:t>
      </w:r>
      <w:r w:rsidRPr="00B70048">
        <w:rPr>
          <w:color w:val="000000" w:themeColor="text1"/>
          <w:sz w:val="24"/>
          <w:szCs w:val="24"/>
        </w:rPr>
        <w:t>105</w:t>
      </w:r>
      <w:r w:rsidR="00F3718D">
        <w:rPr>
          <w:color w:val="000000" w:themeColor="text1"/>
          <w:sz w:val="24"/>
          <w:szCs w:val="24"/>
        </w:rPr>
        <w:t> </w:t>
      </w:r>
      <w:r w:rsidRPr="00B70048">
        <w:rPr>
          <w:color w:val="000000" w:themeColor="text1"/>
          <w:sz w:val="24"/>
          <w:szCs w:val="24"/>
        </w:rPr>
        <w:t>062</w:t>
      </w:r>
      <w:r w:rsidR="00F3718D">
        <w:rPr>
          <w:color w:val="000000" w:themeColor="text1"/>
          <w:sz w:val="24"/>
          <w:szCs w:val="24"/>
        </w:rPr>
        <w:t> </w:t>
      </w:r>
      <w:r w:rsidRPr="00B70048">
        <w:rPr>
          <w:color w:val="000000" w:themeColor="text1"/>
          <w:sz w:val="24"/>
          <w:szCs w:val="24"/>
        </w:rPr>
        <w:t>tis.</w:t>
      </w:r>
      <w:r w:rsidR="00F3718D">
        <w:rPr>
          <w:color w:val="000000" w:themeColor="text1"/>
          <w:sz w:val="24"/>
          <w:szCs w:val="24"/>
        </w:rPr>
        <w:t> eur) bolo na </w:t>
      </w:r>
      <w:r w:rsidRPr="00B70048">
        <w:rPr>
          <w:color w:val="000000" w:themeColor="text1"/>
          <w:sz w:val="24"/>
          <w:szCs w:val="24"/>
        </w:rPr>
        <w:t>národnej úrovni vyčerpaných 1</w:t>
      </w:r>
      <w:r w:rsidR="00F3718D">
        <w:rPr>
          <w:color w:val="000000" w:themeColor="text1"/>
          <w:sz w:val="24"/>
          <w:szCs w:val="24"/>
        </w:rPr>
        <w:t> </w:t>
      </w:r>
      <w:r w:rsidRPr="00B70048">
        <w:rPr>
          <w:color w:val="000000" w:themeColor="text1"/>
          <w:sz w:val="24"/>
          <w:szCs w:val="24"/>
        </w:rPr>
        <w:t>279</w:t>
      </w:r>
      <w:r w:rsidR="00F3718D">
        <w:rPr>
          <w:color w:val="000000" w:themeColor="text1"/>
          <w:sz w:val="24"/>
          <w:szCs w:val="24"/>
        </w:rPr>
        <w:t> </w:t>
      </w:r>
      <w:r w:rsidRPr="00B70048">
        <w:rPr>
          <w:color w:val="000000" w:themeColor="text1"/>
          <w:sz w:val="24"/>
          <w:szCs w:val="24"/>
        </w:rPr>
        <w:t>647</w:t>
      </w:r>
      <w:r w:rsidR="00F3718D">
        <w:rPr>
          <w:color w:val="000000" w:themeColor="text1"/>
          <w:sz w:val="24"/>
          <w:szCs w:val="24"/>
        </w:rPr>
        <w:t> </w:t>
      </w:r>
      <w:r w:rsidRPr="00B70048">
        <w:rPr>
          <w:color w:val="000000" w:themeColor="text1"/>
          <w:sz w:val="24"/>
          <w:szCs w:val="24"/>
        </w:rPr>
        <w:t>tis.</w:t>
      </w:r>
      <w:r w:rsidR="00F3718D">
        <w:rPr>
          <w:color w:val="000000" w:themeColor="text1"/>
          <w:sz w:val="24"/>
          <w:szCs w:val="24"/>
        </w:rPr>
        <w:t> </w:t>
      </w:r>
      <w:r w:rsidRPr="00B70048">
        <w:rPr>
          <w:color w:val="000000" w:themeColor="text1"/>
          <w:sz w:val="24"/>
          <w:szCs w:val="24"/>
        </w:rPr>
        <w:t>eur za EÚ zdroj, čo predstavuje 115,80</w:t>
      </w:r>
      <w:r w:rsidR="00F3718D">
        <w:rPr>
          <w:color w:val="000000" w:themeColor="text1"/>
          <w:sz w:val="24"/>
          <w:szCs w:val="24"/>
        </w:rPr>
        <w:t> </w:t>
      </w:r>
      <w:r w:rsidRPr="00B70048">
        <w:rPr>
          <w:color w:val="000000" w:themeColor="text1"/>
          <w:sz w:val="24"/>
          <w:szCs w:val="24"/>
        </w:rPr>
        <w:t>% podiel presunutých zdrojov. Zároveň boli prijaté a financované ďalšie opatrenia vo</w:t>
      </w:r>
      <w:r w:rsidR="00F3718D">
        <w:rPr>
          <w:color w:val="000000" w:themeColor="text1"/>
          <w:sz w:val="24"/>
          <w:szCs w:val="24"/>
        </w:rPr>
        <w:t> </w:t>
      </w:r>
      <w:r w:rsidRPr="00B70048">
        <w:rPr>
          <w:color w:val="000000" w:themeColor="text1"/>
          <w:sz w:val="24"/>
          <w:szCs w:val="24"/>
        </w:rPr>
        <w:t>výške 102</w:t>
      </w:r>
      <w:r w:rsidR="00F3718D">
        <w:rPr>
          <w:color w:val="000000" w:themeColor="text1"/>
          <w:sz w:val="24"/>
          <w:szCs w:val="24"/>
        </w:rPr>
        <w:t> </w:t>
      </w:r>
      <w:r w:rsidRPr="00B70048">
        <w:rPr>
          <w:color w:val="000000" w:themeColor="text1"/>
          <w:sz w:val="24"/>
          <w:szCs w:val="24"/>
        </w:rPr>
        <w:t>359</w:t>
      </w:r>
      <w:r w:rsidR="00F3718D">
        <w:rPr>
          <w:color w:val="000000" w:themeColor="text1"/>
          <w:sz w:val="24"/>
          <w:szCs w:val="24"/>
        </w:rPr>
        <w:t> </w:t>
      </w:r>
      <w:r w:rsidRPr="00B70048">
        <w:rPr>
          <w:color w:val="000000" w:themeColor="text1"/>
          <w:sz w:val="24"/>
          <w:szCs w:val="24"/>
        </w:rPr>
        <w:t>tis.</w:t>
      </w:r>
      <w:r w:rsidR="00F3718D">
        <w:rPr>
          <w:color w:val="000000" w:themeColor="text1"/>
          <w:sz w:val="24"/>
          <w:szCs w:val="24"/>
        </w:rPr>
        <w:t> </w:t>
      </w:r>
      <w:r w:rsidRPr="00B70048">
        <w:rPr>
          <w:color w:val="000000" w:themeColor="text1"/>
          <w:sz w:val="24"/>
          <w:szCs w:val="24"/>
        </w:rPr>
        <w:t>eur. V priebehu roka 2024 došlo k nárastu čerpania o 25</w:t>
      </w:r>
      <w:r w:rsidR="00F3718D">
        <w:rPr>
          <w:color w:val="000000" w:themeColor="text1"/>
          <w:sz w:val="24"/>
          <w:szCs w:val="24"/>
        </w:rPr>
        <w:t> </w:t>
      </w:r>
      <w:r w:rsidRPr="00B70048">
        <w:rPr>
          <w:color w:val="000000" w:themeColor="text1"/>
          <w:sz w:val="24"/>
          <w:szCs w:val="24"/>
        </w:rPr>
        <w:t>249</w:t>
      </w:r>
      <w:r w:rsidR="00F3718D">
        <w:rPr>
          <w:color w:val="000000" w:themeColor="text1"/>
          <w:sz w:val="24"/>
          <w:szCs w:val="24"/>
        </w:rPr>
        <w:t> </w:t>
      </w:r>
      <w:r w:rsidRPr="00B70048">
        <w:rPr>
          <w:color w:val="000000" w:themeColor="text1"/>
          <w:sz w:val="24"/>
          <w:szCs w:val="24"/>
        </w:rPr>
        <w:t>tis.</w:t>
      </w:r>
      <w:r w:rsidR="00F3718D">
        <w:rPr>
          <w:color w:val="000000" w:themeColor="text1"/>
          <w:sz w:val="24"/>
          <w:szCs w:val="24"/>
        </w:rPr>
        <w:t> </w:t>
      </w:r>
      <w:r w:rsidRPr="00B70048">
        <w:rPr>
          <w:color w:val="000000" w:themeColor="text1"/>
          <w:sz w:val="24"/>
          <w:szCs w:val="24"/>
        </w:rPr>
        <w:t>eur.</w:t>
      </w:r>
    </w:p>
    <w:p w14:paraId="6DC76D39" w14:textId="772E3070" w:rsidR="004D69BF" w:rsidRPr="00B70048" w:rsidRDefault="004D69BF" w:rsidP="004D69BF">
      <w:pPr>
        <w:spacing w:line="240" w:lineRule="auto"/>
        <w:rPr>
          <w:color w:val="000000" w:themeColor="text1"/>
          <w:sz w:val="24"/>
          <w:szCs w:val="24"/>
        </w:rPr>
      </w:pPr>
      <w:r w:rsidRPr="00B70048">
        <w:rPr>
          <w:color w:val="000000" w:themeColor="text1"/>
          <w:sz w:val="24"/>
          <w:szCs w:val="24"/>
        </w:rPr>
        <w:t>V rámci dodatočnej alokácie iniciatívy REACT-EU na eliminovanie dopadov pandémie bolo vyčerpaných 716</w:t>
      </w:r>
      <w:r w:rsidR="00F3718D">
        <w:rPr>
          <w:color w:val="000000" w:themeColor="text1"/>
          <w:sz w:val="24"/>
          <w:szCs w:val="24"/>
        </w:rPr>
        <w:t> </w:t>
      </w:r>
      <w:r w:rsidRPr="00B70048">
        <w:rPr>
          <w:color w:val="000000" w:themeColor="text1"/>
          <w:sz w:val="24"/>
          <w:szCs w:val="24"/>
        </w:rPr>
        <w:t>495</w:t>
      </w:r>
      <w:r w:rsidR="00F3718D">
        <w:rPr>
          <w:color w:val="000000" w:themeColor="text1"/>
          <w:sz w:val="24"/>
          <w:szCs w:val="24"/>
        </w:rPr>
        <w:t> </w:t>
      </w:r>
      <w:r w:rsidRPr="00B70048">
        <w:rPr>
          <w:color w:val="000000" w:themeColor="text1"/>
          <w:sz w:val="24"/>
          <w:szCs w:val="24"/>
        </w:rPr>
        <w:t>tis.</w:t>
      </w:r>
      <w:r w:rsidR="00F3718D">
        <w:rPr>
          <w:color w:val="000000" w:themeColor="text1"/>
          <w:sz w:val="24"/>
          <w:szCs w:val="24"/>
        </w:rPr>
        <w:t> </w:t>
      </w:r>
      <w:r w:rsidRPr="00B70048">
        <w:rPr>
          <w:color w:val="000000" w:themeColor="text1"/>
          <w:sz w:val="24"/>
          <w:szCs w:val="24"/>
        </w:rPr>
        <w:t>eur za EÚ zdroj, čo predstavuje 99,20</w:t>
      </w:r>
      <w:r w:rsidR="00F3718D">
        <w:rPr>
          <w:color w:val="000000" w:themeColor="text1"/>
          <w:sz w:val="24"/>
          <w:szCs w:val="24"/>
        </w:rPr>
        <w:t> </w:t>
      </w:r>
      <w:r w:rsidRPr="00B70048">
        <w:rPr>
          <w:color w:val="000000" w:themeColor="text1"/>
          <w:sz w:val="24"/>
          <w:szCs w:val="24"/>
        </w:rPr>
        <w:t>% z celkovej alokácie (722</w:t>
      </w:r>
      <w:r w:rsidR="00F3718D">
        <w:rPr>
          <w:color w:val="000000" w:themeColor="text1"/>
          <w:sz w:val="24"/>
          <w:szCs w:val="24"/>
        </w:rPr>
        <w:t> 253 </w:t>
      </w:r>
      <w:r w:rsidRPr="00B70048">
        <w:rPr>
          <w:color w:val="000000" w:themeColor="text1"/>
          <w:sz w:val="24"/>
          <w:szCs w:val="24"/>
        </w:rPr>
        <w:t>tis. eur). V priebehu roka 2024 došlo k nárastu čerpania o 204</w:t>
      </w:r>
      <w:r w:rsidR="00F3718D">
        <w:rPr>
          <w:color w:val="000000" w:themeColor="text1"/>
          <w:sz w:val="24"/>
          <w:szCs w:val="24"/>
        </w:rPr>
        <w:t> </w:t>
      </w:r>
      <w:r w:rsidRPr="00B70048">
        <w:rPr>
          <w:color w:val="000000" w:themeColor="text1"/>
          <w:sz w:val="24"/>
          <w:szCs w:val="24"/>
        </w:rPr>
        <w:t>410</w:t>
      </w:r>
      <w:r w:rsidR="00F3718D">
        <w:rPr>
          <w:color w:val="000000" w:themeColor="text1"/>
          <w:sz w:val="24"/>
          <w:szCs w:val="24"/>
        </w:rPr>
        <w:t> </w:t>
      </w:r>
      <w:r w:rsidRPr="00B70048">
        <w:rPr>
          <w:color w:val="000000" w:themeColor="text1"/>
          <w:sz w:val="24"/>
          <w:szCs w:val="24"/>
        </w:rPr>
        <w:t>tis.</w:t>
      </w:r>
      <w:r w:rsidR="00F3718D">
        <w:rPr>
          <w:color w:val="000000" w:themeColor="text1"/>
          <w:sz w:val="24"/>
          <w:szCs w:val="24"/>
        </w:rPr>
        <w:t> </w:t>
      </w:r>
      <w:r w:rsidRPr="00B70048">
        <w:rPr>
          <w:color w:val="000000" w:themeColor="text1"/>
          <w:sz w:val="24"/>
          <w:szCs w:val="24"/>
        </w:rPr>
        <w:t>eur.</w:t>
      </w:r>
    </w:p>
    <w:p w14:paraId="16B60531" w14:textId="271D4666" w:rsidR="004D69BF" w:rsidRPr="00B70048" w:rsidRDefault="004D69BF" w:rsidP="004D69BF">
      <w:pPr>
        <w:spacing w:line="240" w:lineRule="auto"/>
        <w:rPr>
          <w:color w:val="000000" w:themeColor="text1"/>
          <w:sz w:val="24"/>
          <w:szCs w:val="24"/>
        </w:rPr>
      </w:pPr>
      <w:r w:rsidRPr="00B70048">
        <w:rPr>
          <w:color w:val="000000" w:themeColor="text1"/>
          <w:sz w:val="24"/>
          <w:szCs w:val="24"/>
        </w:rPr>
        <w:t>Z celkovej alokácie 339</w:t>
      </w:r>
      <w:r w:rsidR="00F3718D">
        <w:rPr>
          <w:color w:val="000000" w:themeColor="text1"/>
          <w:sz w:val="24"/>
          <w:szCs w:val="24"/>
        </w:rPr>
        <w:t> </w:t>
      </w:r>
      <w:r w:rsidRPr="00B70048">
        <w:rPr>
          <w:color w:val="000000" w:themeColor="text1"/>
          <w:sz w:val="24"/>
          <w:szCs w:val="24"/>
        </w:rPr>
        <w:t>55</w:t>
      </w:r>
      <w:r w:rsidR="00F3718D">
        <w:rPr>
          <w:color w:val="000000" w:themeColor="text1"/>
          <w:sz w:val="24"/>
          <w:szCs w:val="24"/>
        </w:rPr>
        <w:t>9 </w:t>
      </w:r>
      <w:r w:rsidRPr="00B70048">
        <w:rPr>
          <w:color w:val="000000" w:themeColor="text1"/>
          <w:sz w:val="24"/>
          <w:szCs w:val="24"/>
        </w:rPr>
        <w:t>tis.</w:t>
      </w:r>
      <w:r w:rsidR="00F3718D">
        <w:rPr>
          <w:color w:val="000000" w:themeColor="text1"/>
          <w:sz w:val="24"/>
          <w:szCs w:val="24"/>
        </w:rPr>
        <w:t> </w:t>
      </w:r>
      <w:r w:rsidRPr="00B70048">
        <w:rPr>
          <w:color w:val="000000" w:themeColor="text1"/>
          <w:sz w:val="24"/>
          <w:szCs w:val="24"/>
        </w:rPr>
        <w:t>eur vyčlenenej na iniciatívu CARE a FAST CARE, zameranej na riešenie problematiky migračnej krízy súvisiacej s vojnovým konfliktom na</w:t>
      </w:r>
      <w:r w:rsidR="00B7397E">
        <w:rPr>
          <w:color w:val="000000" w:themeColor="text1"/>
          <w:sz w:val="24"/>
          <w:szCs w:val="24"/>
        </w:rPr>
        <w:t> </w:t>
      </w:r>
      <w:r w:rsidRPr="00B70048">
        <w:rPr>
          <w:color w:val="000000" w:themeColor="text1"/>
          <w:sz w:val="24"/>
          <w:szCs w:val="24"/>
        </w:rPr>
        <w:t>Ukrajine bolo vyčerpaných 328</w:t>
      </w:r>
      <w:r w:rsidR="00F3718D">
        <w:rPr>
          <w:color w:val="000000" w:themeColor="text1"/>
          <w:sz w:val="24"/>
          <w:szCs w:val="24"/>
        </w:rPr>
        <w:t> </w:t>
      </w:r>
      <w:r w:rsidRPr="00B70048">
        <w:rPr>
          <w:color w:val="000000" w:themeColor="text1"/>
          <w:sz w:val="24"/>
          <w:szCs w:val="24"/>
        </w:rPr>
        <w:t>340</w:t>
      </w:r>
      <w:r w:rsidR="00F3718D">
        <w:rPr>
          <w:color w:val="000000" w:themeColor="text1"/>
          <w:sz w:val="24"/>
          <w:szCs w:val="24"/>
        </w:rPr>
        <w:t> tis. </w:t>
      </w:r>
      <w:r w:rsidRPr="00B70048">
        <w:rPr>
          <w:color w:val="000000" w:themeColor="text1"/>
          <w:sz w:val="24"/>
          <w:szCs w:val="24"/>
        </w:rPr>
        <w:t>eur za EÚ zdroj, čo predstavovalo čerpanie na úrovni 96,70</w:t>
      </w:r>
      <w:r w:rsidR="00F3718D">
        <w:rPr>
          <w:color w:val="000000" w:themeColor="text1"/>
          <w:sz w:val="24"/>
          <w:szCs w:val="24"/>
        </w:rPr>
        <w:t> </w:t>
      </w:r>
      <w:r w:rsidRPr="00B70048">
        <w:rPr>
          <w:color w:val="000000" w:themeColor="text1"/>
          <w:sz w:val="24"/>
          <w:szCs w:val="24"/>
        </w:rPr>
        <w:t>%. V</w:t>
      </w:r>
      <w:r w:rsidR="00F3718D">
        <w:rPr>
          <w:color w:val="000000" w:themeColor="text1"/>
          <w:sz w:val="24"/>
          <w:szCs w:val="24"/>
        </w:rPr>
        <w:t> </w:t>
      </w:r>
      <w:r w:rsidRPr="00B70048">
        <w:rPr>
          <w:color w:val="000000" w:themeColor="text1"/>
          <w:sz w:val="24"/>
          <w:szCs w:val="24"/>
        </w:rPr>
        <w:t>priebehu roka 2024 sa zvýšilo čerpanie o 51</w:t>
      </w:r>
      <w:r w:rsidR="00F3718D">
        <w:rPr>
          <w:color w:val="000000" w:themeColor="text1"/>
          <w:sz w:val="24"/>
          <w:szCs w:val="24"/>
        </w:rPr>
        <w:t> </w:t>
      </w:r>
      <w:r w:rsidRPr="00B70048">
        <w:rPr>
          <w:color w:val="000000" w:themeColor="text1"/>
          <w:sz w:val="24"/>
          <w:szCs w:val="24"/>
        </w:rPr>
        <w:t>095</w:t>
      </w:r>
      <w:r w:rsidR="00F3718D">
        <w:rPr>
          <w:color w:val="000000" w:themeColor="text1"/>
          <w:sz w:val="24"/>
          <w:szCs w:val="24"/>
        </w:rPr>
        <w:t> </w:t>
      </w:r>
      <w:r w:rsidRPr="00B70048">
        <w:rPr>
          <w:color w:val="000000" w:themeColor="text1"/>
          <w:sz w:val="24"/>
          <w:szCs w:val="24"/>
        </w:rPr>
        <w:t>tis.</w:t>
      </w:r>
      <w:r w:rsidR="00F3718D">
        <w:rPr>
          <w:color w:val="000000" w:themeColor="text1"/>
          <w:sz w:val="24"/>
          <w:szCs w:val="24"/>
        </w:rPr>
        <w:t> </w:t>
      </w:r>
      <w:r w:rsidRPr="00B70048">
        <w:rPr>
          <w:color w:val="000000" w:themeColor="text1"/>
          <w:sz w:val="24"/>
          <w:szCs w:val="24"/>
        </w:rPr>
        <w:t>eur.</w:t>
      </w:r>
    </w:p>
    <w:p w14:paraId="5FF1E86A" w14:textId="00092EE8" w:rsidR="004D69BF" w:rsidRPr="00B70048" w:rsidRDefault="004D69BF" w:rsidP="004D69BF">
      <w:pPr>
        <w:spacing w:line="240" w:lineRule="auto"/>
        <w:rPr>
          <w:color w:val="000000" w:themeColor="text1"/>
          <w:sz w:val="24"/>
          <w:szCs w:val="24"/>
        </w:rPr>
      </w:pPr>
      <w:r w:rsidRPr="00B70048">
        <w:rPr>
          <w:color w:val="000000" w:themeColor="text1"/>
          <w:sz w:val="24"/>
          <w:szCs w:val="24"/>
        </w:rPr>
        <w:t>Za účelom riešenia problémov spojených s extrémnym nárastom cien energií prijala EK iniciatívu SAFE, v rámci ktorej EK umožnila poskytn</w:t>
      </w:r>
      <w:r w:rsidR="00F3718D">
        <w:rPr>
          <w:color w:val="000000" w:themeColor="text1"/>
          <w:sz w:val="24"/>
          <w:szCs w:val="24"/>
        </w:rPr>
        <w:t>úť pomoc pri úhrade nákladov na </w:t>
      </w:r>
      <w:r w:rsidRPr="00B70048">
        <w:rPr>
          <w:color w:val="000000" w:themeColor="text1"/>
          <w:sz w:val="24"/>
          <w:szCs w:val="24"/>
        </w:rPr>
        <w:t xml:space="preserve">spotrebu energie v prípade zraniteľných domácností a využiť tak zostávajúce nevyčerpané zdroje </w:t>
      </w:r>
      <w:r w:rsidR="001D6597">
        <w:rPr>
          <w:sz w:val="24"/>
          <w:szCs w:val="24"/>
        </w:rPr>
        <w:t>EÚ</w:t>
      </w:r>
      <w:r w:rsidRPr="00B70048">
        <w:rPr>
          <w:color w:val="000000" w:themeColor="text1"/>
          <w:sz w:val="24"/>
          <w:szCs w:val="24"/>
        </w:rPr>
        <w:t>.</w:t>
      </w:r>
    </w:p>
    <w:p w14:paraId="5E6E0C83" w14:textId="561F774C" w:rsidR="004D69BF" w:rsidRPr="00B70048" w:rsidRDefault="004D69BF" w:rsidP="004D69BF">
      <w:pPr>
        <w:spacing w:line="240" w:lineRule="auto"/>
        <w:rPr>
          <w:color w:val="000000" w:themeColor="text1"/>
          <w:sz w:val="24"/>
          <w:szCs w:val="24"/>
        </w:rPr>
      </w:pPr>
      <w:r w:rsidRPr="00B70048">
        <w:rPr>
          <w:color w:val="000000" w:themeColor="text1"/>
          <w:sz w:val="24"/>
          <w:szCs w:val="24"/>
        </w:rPr>
        <w:t>Na základe analýzy bola ako najvhodnejšie opatrenie pre podporu v rámci iniciatívy SAFE identifikovaná kompenzácia zvýšených nákladov na dodávk</w:t>
      </w:r>
      <w:r w:rsidR="00F3718D">
        <w:rPr>
          <w:color w:val="000000" w:themeColor="text1"/>
          <w:sz w:val="24"/>
          <w:szCs w:val="24"/>
        </w:rPr>
        <w:t>y plynu, prípadne elektriny pre </w:t>
      </w:r>
      <w:r w:rsidRPr="00B70048">
        <w:rPr>
          <w:color w:val="000000" w:themeColor="text1"/>
          <w:sz w:val="24"/>
          <w:szCs w:val="24"/>
        </w:rPr>
        <w:t>zraniteľné domácnosti. Zdroje SAFE boli použité na preplatenie kompenzácií rozdielu medzi trhovou cenou energie a limitom určeným vládou Slovenskej republiky, ktoré boli poskytované dodávateľom energií zo štátneho rozpočtu.</w:t>
      </w:r>
    </w:p>
    <w:p w14:paraId="3EE2EDE8" w14:textId="3F65AEFF" w:rsidR="004D69BF" w:rsidRPr="00B70048" w:rsidRDefault="004D69BF" w:rsidP="004D69BF">
      <w:pPr>
        <w:spacing w:line="240" w:lineRule="auto"/>
        <w:rPr>
          <w:color w:val="000000" w:themeColor="text1"/>
          <w:sz w:val="24"/>
          <w:szCs w:val="24"/>
        </w:rPr>
      </w:pPr>
      <w:r w:rsidRPr="00B70048">
        <w:rPr>
          <w:color w:val="000000" w:themeColor="text1"/>
          <w:sz w:val="24"/>
          <w:szCs w:val="24"/>
        </w:rPr>
        <w:t>Opatrenia SAFE boli realizované prostredníctvom národných projektov v</w:t>
      </w:r>
      <w:r w:rsidR="00B7397E">
        <w:rPr>
          <w:color w:val="000000" w:themeColor="text1"/>
          <w:sz w:val="24"/>
          <w:szCs w:val="24"/>
        </w:rPr>
        <w:t> </w:t>
      </w:r>
      <w:r w:rsidRPr="00B70048">
        <w:rPr>
          <w:color w:val="000000" w:themeColor="text1"/>
          <w:sz w:val="24"/>
          <w:szCs w:val="24"/>
        </w:rPr>
        <w:t>rámci troch operačných programov - OP Kvalita životného prostredia, Integrovaný regionálny operačný program a OP Integrovaná infraštruktúra, kde jediným prijímateľom pre tieto OP bolo Ministerstvo hospodárstva SR.</w:t>
      </w:r>
    </w:p>
    <w:p w14:paraId="5770D316" w14:textId="3BA900E8" w:rsidR="0066704D" w:rsidRDefault="00F3718D" w:rsidP="00B733F4">
      <w:pPr>
        <w:spacing w:line="240" w:lineRule="auto"/>
        <w:rPr>
          <w:b/>
          <w:bCs/>
          <w:color w:val="5B9CD6"/>
          <w:sz w:val="20"/>
          <w:szCs w:val="20"/>
        </w:rPr>
      </w:pPr>
      <w:r>
        <w:rPr>
          <w:color w:val="000000" w:themeColor="text1"/>
          <w:sz w:val="24"/>
          <w:szCs w:val="24"/>
        </w:rPr>
        <w:lastRenderedPageBreak/>
        <w:t>K </w:t>
      </w:r>
      <w:r w:rsidR="004D69BF" w:rsidRPr="00B70048">
        <w:rPr>
          <w:color w:val="000000" w:themeColor="text1"/>
          <w:sz w:val="24"/>
          <w:szCs w:val="24"/>
        </w:rPr>
        <w:t>31.12.2024 bolo z alokácie vyčlenenej na iniciatívy SAFE celkovo vyčerpané finančné prostriedky vo výške 936</w:t>
      </w:r>
      <w:r>
        <w:rPr>
          <w:color w:val="000000" w:themeColor="text1"/>
          <w:sz w:val="24"/>
          <w:szCs w:val="24"/>
        </w:rPr>
        <w:t> </w:t>
      </w:r>
      <w:r w:rsidR="004D69BF" w:rsidRPr="00B70048">
        <w:rPr>
          <w:color w:val="000000" w:themeColor="text1"/>
          <w:sz w:val="24"/>
          <w:szCs w:val="24"/>
        </w:rPr>
        <w:t>735</w:t>
      </w:r>
      <w:r>
        <w:rPr>
          <w:color w:val="000000" w:themeColor="text1"/>
          <w:sz w:val="24"/>
          <w:szCs w:val="24"/>
        </w:rPr>
        <w:t> </w:t>
      </w:r>
      <w:r w:rsidR="004D69BF" w:rsidRPr="00B70048">
        <w:rPr>
          <w:color w:val="000000" w:themeColor="text1"/>
          <w:sz w:val="24"/>
          <w:szCs w:val="24"/>
        </w:rPr>
        <w:t>tis.</w:t>
      </w:r>
      <w:r>
        <w:rPr>
          <w:color w:val="000000" w:themeColor="text1"/>
          <w:sz w:val="24"/>
          <w:szCs w:val="24"/>
        </w:rPr>
        <w:t> </w:t>
      </w:r>
      <w:r w:rsidR="004D69BF" w:rsidRPr="00B70048">
        <w:rPr>
          <w:color w:val="000000" w:themeColor="text1"/>
          <w:sz w:val="24"/>
          <w:szCs w:val="24"/>
        </w:rPr>
        <w:t>eur za EÚ zdroj, čo predstavuje čerpanie na úrovni 90,62</w:t>
      </w:r>
      <w:r>
        <w:rPr>
          <w:color w:val="000000" w:themeColor="text1"/>
          <w:sz w:val="24"/>
          <w:szCs w:val="24"/>
        </w:rPr>
        <w:t> </w:t>
      </w:r>
      <w:r w:rsidR="004D69BF" w:rsidRPr="00B70048">
        <w:rPr>
          <w:color w:val="000000" w:themeColor="text1"/>
          <w:sz w:val="24"/>
          <w:szCs w:val="24"/>
        </w:rPr>
        <w:t>%. V</w:t>
      </w:r>
      <w:r>
        <w:rPr>
          <w:color w:val="000000" w:themeColor="text1"/>
          <w:sz w:val="24"/>
          <w:szCs w:val="24"/>
        </w:rPr>
        <w:t> </w:t>
      </w:r>
      <w:r w:rsidR="004D69BF" w:rsidRPr="00B70048">
        <w:rPr>
          <w:color w:val="000000" w:themeColor="text1"/>
          <w:sz w:val="24"/>
          <w:szCs w:val="24"/>
        </w:rPr>
        <w:t>priebehu roka 2024 doš</w:t>
      </w:r>
      <w:r>
        <w:rPr>
          <w:color w:val="000000" w:themeColor="text1"/>
          <w:sz w:val="24"/>
          <w:szCs w:val="24"/>
        </w:rPr>
        <w:t>lo k nárastu čerpania o 436 652 </w:t>
      </w:r>
      <w:r w:rsidR="004D69BF" w:rsidRPr="00B70048">
        <w:rPr>
          <w:color w:val="000000" w:themeColor="text1"/>
          <w:sz w:val="24"/>
          <w:szCs w:val="24"/>
        </w:rPr>
        <w:t>tis.</w:t>
      </w:r>
      <w:r>
        <w:rPr>
          <w:color w:val="000000" w:themeColor="text1"/>
          <w:sz w:val="24"/>
          <w:szCs w:val="24"/>
        </w:rPr>
        <w:t> </w:t>
      </w:r>
      <w:r w:rsidR="004D69BF" w:rsidRPr="00B70048">
        <w:rPr>
          <w:color w:val="000000" w:themeColor="text1"/>
          <w:sz w:val="24"/>
          <w:szCs w:val="24"/>
        </w:rPr>
        <w:t>eur.</w:t>
      </w:r>
      <w:bookmarkStart w:id="161" w:name="_Toc196389292"/>
      <w:bookmarkStart w:id="162" w:name="_Toc196313671"/>
    </w:p>
    <w:p w14:paraId="3CE8413C" w14:textId="4BDFBE58" w:rsidR="004D216F" w:rsidRPr="004D216F" w:rsidRDefault="004D216F" w:rsidP="00847E1E">
      <w:pPr>
        <w:pStyle w:val="Popis"/>
        <w:keepNext/>
        <w:spacing w:after="120"/>
        <w:rPr>
          <w:b/>
          <w:bCs/>
          <w:i w:val="0"/>
          <w:iCs w:val="0"/>
          <w:color w:val="5B9CD6"/>
          <w:sz w:val="20"/>
          <w:szCs w:val="20"/>
        </w:rPr>
      </w:pPr>
      <w:r w:rsidRPr="004D216F">
        <w:rPr>
          <w:b/>
          <w:bCs/>
          <w:i w:val="0"/>
          <w:iCs w:val="0"/>
          <w:color w:val="5B9CD6"/>
          <w:sz w:val="20"/>
          <w:szCs w:val="20"/>
        </w:rPr>
        <w:t xml:space="preserve">Tabuľka </w:t>
      </w:r>
      <w:r w:rsidRPr="004D216F">
        <w:rPr>
          <w:b/>
          <w:bCs/>
          <w:i w:val="0"/>
          <w:iCs w:val="0"/>
          <w:color w:val="5B9CD6"/>
          <w:sz w:val="20"/>
          <w:szCs w:val="20"/>
        </w:rPr>
        <w:fldChar w:fldCharType="begin"/>
      </w:r>
      <w:r w:rsidRPr="004D216F">
        <w:rPr>
          <w:b/>
          <w:bCs/>
          <w:i w:val="0"/>
          <w:iCs w:val="0"/>
          <w:color w:val="5B9CD6"/>
          <w:sz w:val="20"/>
          <w:szCs w:val="20"/>
        </w:rPr>
        <w:instrText xml:space="preserve"> SEQ Tabuľka \* ARABIC </w:instrText>
      </w:r>
      <w:r w:rsidRPr="004D216F">
        <w:rPr>
          <w:b/>
          <w:bCs/>
          <w:i w:val="0"/>
          <w:iCs w:val="0"/>
          <w:color w:val="5B9CD6"/>
          <w:sz w:val="20"/>
          <w:szCs w:val="20"/>
        </w:rPr>
        <w:fldChar w:fldCharType="separate"/>
      </w:r>
      <w:r w:rsidR="00C64CBA">
        <w:rPr>
          <w:b/>
          <w:bCs/>
          <w:i w:val="0"/>
          <w:iCs w:val="0"/>
          <w:noProof/>
          <w:color w:val="5B9CD6"/>
          <w:sz w:val="20"/>
          <w:szCs w:val="20"/>
        </w:rPr>
        <w:t>45</w:t>
      </w:r>
      <w:r w:rsidRPr="004D216F">
        <w:rPr>
          <w:b/>
          <w:bCs/>
          <w:i w:val="0"/>
          <w:iCs w:val="0"/>
          <w:color w:val="5B9CD6"/>
          <w:sz w:val="20"/>
          <w:szCs w:val="20"/>
        </w:rPr>
        <w:fldChar w:fldCharType="end"/>
      </w:r>
      <w:r w:rsidRPr="004D216F">
        <w:rPr>
          <w:b/>
          <w:bCs/>
          <w:i w:val="0"/>
          <w:iCs w:val="0"/>
          <w:color w:val="5B9CD6"/>
          <w:sz w:val="20"/>
          <w:szCs w:val="20"/>
        </w:rPr>
        <w:t xml:space="preserve"> - Prehľad čerpania iniciatívy SAFE k 31.12.2024</w:t>
      </w:r>
      <w:bookmarkEnd w:id="161"/>
      <w:r w:rsidRPr="004D216F">
        <w:rPr>
          <w:b/>
          <w:bCs/>
          <w:i w:val="0"/>
          <w:iCs w:val="0"/>
          <w:color w:val="5B9CD6"/>
          <w:sz w:val="20"/>
          <w:szCs w:val="20"/>
        </w:rPr>
        <w:t xml:space="preserve"> </w:t>
      </w:r>
      <w:bookmarkEnd w:id="162"/>
    </w:p>
    <w:tbl>
      <w:tblPr>
        <w:tblStyle w:val="Mriekatabukysvet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4"/>
        <w:gridCol w:w="2372"/>
        <w:gridCol w:w="2929"/>
        <w:gridCol w:w="1675"/>
      </w:tblGrid>
      <w:tr w:rsidR="004D69BF" w:rsidRPr="00D0395E" w14:paraId="4E6B301A" w14:textId="77777777" w:rsidTr="00D0395E">
        <w:trPr>
          <w:trHeight w:val="363"/>
          <w:tblHeader/>
        </w:trPr>
        <w:tc>
          <w:tcPr>
            <w:tcW w:w="1094" w:type="pct"/>
            <w:tcBorders>
              <w:top w:val="single" w:sz="4" w:space="0" w:color="auto"/>
              <w:bottom w:val="single" w:sz="4" w:space="0" w:color="auto"/>
            </w:tcBorders>
            <w:vAlign w:val="center"/>
            <w:hideMark/>
          </w:tcPr>
          <w:p w14:paraId="5E015D94" w14:textId="77777777" w:rsidR="004D69BF" w:rsidRPr="00D0395E" w:rsidRDefault="004D69BF" w:rsidP="000240DA">
            <w:pPr>
              <w:ind w:hanging="105"/>
              <w:jc w:val="center"/>
              <w:rPr>
                <w:b/>
                <w:bCs/>
                <w:sz w:val="18"/>
                <w:szCs w:val="18"/>
              </w:rPr>
            </w:pPr>
            <w:r w:rsidRPr="00D0395E">
              <w:rPr>
                <w:b/>
                <w:bCs/>
                <w:sz w:val="18"/>
                <w:szCs w:val="18"/>
              </w:rPr>
              <w:t>Operačný program</w:t>
            </w:r>
          </w:p>
        </w:tc>
        <w:tc>
          <w:tcPr>
            <w:tcW w:w="1328" w:type="pct"/>
            <w:tcBorders>
              <w:top w:val="single" w:sz="4" w:space="0" w:color="auto"/>
              <w:bottom w:val="single" w:sz="4" w:space="0" w:color="auto"/>
            </w:tcBorders>
            <w:vAlign w:val="center"/>
            <w:hideMark/>
          </w:tcPr>
          <w:p w14:paraId="756FD433" w14:textId="57C2B70C" w:rsidR="004D69BF" w:rsidRPr="00D0395E" w:rsidRDefault="004D69BF" w:rsidP="000240DA">
            <w:pPr>
              <w:jc w:val="center"/>
              <w:rPr>
                <w:b/>
                <w:bCs/>
                <w:color w:val="000000"/>
                <w:sz w:val="18"/>
                <w:szCs w:val="18"/>
              </w:rPr>
            </w:pPr>
            <w:r w:rsidRPr="00D0395E">
              <w:rPr>
                <w:b/>
                <w:bCs/>
                <w:color w:val="000000"/>
                <w:sz w:val="18"/>
                <w:szCs w:val="18"/>
              </w:rPr>
              <w:t>Alokácia</w:t>
            </w:r>
            <w:r w:rsidR="00B5714D">
              <w:rPr>
                <w:b/>
                <w:bCs/>
                <w:color w:val="000000"/>
                <w:sz w:val="18"/>
                <w:szCs w:val="18"/>
              </w:rPr>
              <w:t xml:space="preserve"> </w:t>
            </w:r>
            <w:r w:rsidR="00B5714D" w:rsidRPr="00B5714D">
              <w:rPr>
                <w:bCs/>
                <w:color w:val="000000"/>
                <w:sz w:val="18"/>
                <w:szCs w:val="18"/>
              </w:rPr>
              <w:t>(v tis.)</w:t>
            </w:r>
          </w:p>
        </w:tc>
        <w:tc>
          <w:tcPr>
            <w:tcW w:w="1640" w:type="pct"/>
            <w:tcBorders>
              <w:top w:val="single" w:sz="4" w:space="0" w:color="auto"/>
              <w:bottom w:val="single" w:sz="4" w:space="0" w:color="auto"/>
            </w:tcBorders>
            <w:vAlign w:val="center"/>
          </w:tcPr>
          <w:p w14:paraId="5E2C95C5" w14:textId="28502615" w:rsidR="004D69BF" w:rsidRPr="00D0395E" w:rsidRDefault="004D69BF" w:rsidP="000240DA">
            <w:pPr>
              <w:jc w:val="center"/>
              <w:rPr>
                <w:b/>
                <w:bCs/>
                <w:color w:val="000000"/>
                <w:sz w:val="18"/>
                <w:szCs w:val="18"/>
              </w:rPr>
            </w:pPr>
            <w:r w:rsidRPr="00D0395E">
              <w:rPr>
                <w:b/>
                <w:bCs/>
                <w:color w:val="000000"/>
                <w:sz w:val="18"/>
                <w:szCs w:val="18"/>
              </w:rPr>
              <w:t>Čerpanie</w:t>
            </w:r>
            <w:r w:rsidR="00B5714D">
              <w:rPr>
                <w:b/>
                <w:bCs/>
                <w:color w:val="000000"/>
                <w:sz w:val="18"/>
                <w:szCs w:val="18"/>
              </w:rPr>
              <w:t xml:space="preserve"> </w:t>
            </w:r>
            <w:r w:rsidR="00B5714D" w:rsidRPr="00B5714D">
              <w:rPr>
                <w:bCs/>
                <w:color w:val="000000"/>
                <w:sz w:val="18"/>
                <w:szCs w:val="18"/>
              </w:rPr>
              <w:t>(v tis.)</w:t>
            </w:r>
          </w:p>
        </w:tc>
        <w:tc>
          <w:tcPr>
            <w:tcW w:w="938" w:type="pct"/>
            <w:tcBorders>
              <w:top w:val="single" w:sz="4" w:space="0" w:color="auto"/>
              <w:bottom w:val="single" w:sz="4" w:space="0" w:color="auto"/>
            </w:tcBorders>
            <w:vAlign w:val="center"/>
          </w:tcPr>
          <w:p w14:paraId="6F7AA079" w14:textId="77777777" w:rsidR="004D69BF" w:rsidRPr="00D0395E" w:rsidRDefault="004D69BF" w:rsidP="000240DA">
            <w:pPr>
              <w:jc w:val="center"/>
              <w:rPr>
                <w:b/>
                <w:bCs/>
                <w:color w:val="000000"/>
                <w:sz w:val="18"/>
                <w:szCs w:val="18"/>
              </w:rPr>
            </w:pPr>
            <w:r w:rsidRPr="00D0395E">
              <w:rPr>
                <w:b/>
                <w:bCs/>
                <w:color w:val="000000"/>
                <w:sz w:val="18"/>
                <w:szCs w:val="18"/>
              </w:rPr>
              <w:t>Podiel čerpania</w:t>
            </w:r>
          </w:p>
        </w:tc>
      </w:tr>
      <w:tr w:rsidR="004D69BF" w:rsidRPr="00D0395E" w14:paraId="02D68F35" w14:textId="77777777" w:rsidTr="00D0395E">
        <w:trPr>
          <w:trHeight w:val="363"/>
        </w:trPr>
        <w:tc>
          <w:tcPr>
            <w:tcW w:w="1094" w:type="pct"/>
            <w:tcBorders>
              <w:top w:val="single" w:sz="4" w:space="0" w:color="auto"/>
            </w:tcBorders>
            <w:noWrap/>
            <w:hideMark/>
          </w:tcPr>
          <w:p w14:paraId="01212FE3" w14:textId="77777777" w:rsidR="004D69BF" w:rsidRPr="00D0395E" w:rsidRDefault="004D69BF" w:rsidP="000240DA">
            <w:pPr>
              <w:spacing w:line="240" w:lineRule="auto"/>
              <w:rPr>
                <w:color w:val="000000"/>
                <w:sz w:val="18"/>
                <w:szCs w:val="18"/>
              </w:rPr>
            </w:pPr>
            <w:r w:rsidRPr="00D0395E">
              <w:rPr>
                <w:sz w:val="18"/>
                <w:szCs w:val="18"/>
              </w:rPr>
              <w:t>OP II</w:t>
            </w:r>
          </w:p>
        </w:tc>
        <w:tc>
          <w:tcPr>
            <w:tcW w:w="1328" w:type="pct"/>
            <w:tcBorders>
              <w:top w:val="single" w:sz="4" w:space="0" w:color="auto"/>
            </w:tcBorders>
            <w:noWrap/>
            <w:vAlign w:val="center"/>
            <w:hideMark/>
          </w:tcPr>
          <w:p w14:paraId="7136D427" w14:textId="77777777" w:rsidR="004D69BF" w:rsidRPr="00D0395E" w:rsidRDefault="004D69BF" w:rsidP="000240DA">
            <w:pPr>
              <w:spacing w:line="240" w:lineRule="auto"/>
              <w:jc w:val="center"/>
              <w:rPr>
                <w:color w:val="000000"/>
                <w:sz w:val="18"/>
                <w:szCs w:val="18"/>
              </w:rPr>
            </w:pPr>
            <w:r w:rsidRPr="00D0395E">
              <w:rPr>
                <w:color w:val="000000"/>
                <w:sz w:val="18"/>
                <w:szCs w:val="18"/>
              </w:rPr>
              <w:t>574 819</w:t>
            </w:r>
          </w:p>
        </w:tc>
        <w:tc>
          <w:tcPr>
            <w:tcW w:w="1640" w:type="pct"/>
            <w:tcBorders>
              <w:top w:val="single" w:sz="4" w:space="0" w:color="auto"/>
            </w:tcBorders>
            <w:vAlign w:val="center"/>
          </w:tcPr>
          <w:p w14:paraId="5F75E151" w14:textId="77777777" w:rsidR="004D69BF" w:rsidRPr="00D0395E" w:rsidRDefault="004D69BF" w:rsidP="000240DA">
            <w:pPr>
              <w:spacing w:line="240" w:lineRule="auto"/>
              <w:jc w:val="center"/>
              <w:rPr>
                <w:color w:val="000000"/>
                <w:sz w:val="18"/>
                <w:szCs w:val="18"/>
              </w:rPr>
            </w:pPr>
            <w:r w:rsidRPr="00D0395E">
              <w:rPr>
                <w:color w:val="000000"/>
                <w:sz w:val="18"/>
                <w:szCs w:val="18"/>
              </w:rPr>
              <w:t>501 618</w:t>
            </w:r>
          </w:p>
        </w:tc>
        <w:tc>
          <w:tcPr>
            <w:tcW w:w="938" w:type="pct"/>
            <w:tcBorders>
              <w:top w:val="single" w:sz="4" w:space="0" w:color="auto"/>
            </w:tcBorders>
            <w:vAlign w:val="center"/>
          </w:tcPr>
          <w:p w14:paraId="4851BD43" w14:textId="77777777" w:rsidR="004D69BF" w:rsidRPr="00D0395E" w:rsidRDefault="004D69BF" w:rsidP="000240DA">
            <w:pPr>
              <w:spacing w:line="240" w:lineRule="auto"/>
              <w:jc w:val="center"/>
              <w:rPr>
                <w:color w:val="000000"/>
                <w:sz w:val="18"/>
                <w:szCs w:val="18"/>
              </w:rPr>
            </w:pPr>
            <w:r w:rsidRPr="00D0395E">
              <w:rPr>
                <w:color w:val="000000"/>
                <w:sz w:val="18"/>
                <w:szCs w:val="18"/>
              </w:rPr>
              <w:t>87,27 %</w:t>
            </w:r>
          </w:p>
        </w:tc>
      </w:tr>
      <w:tr w:rsidR="004D69BF" w:rsidRPr="00D0395E" w14:paraId="006EE565" w14:textId="77777777" w:rsidTr="00D0395E">
        <w:trPr>
          <w:trHeight w:val="363"/>
        </w:trPr>
        <w:tc>
          <w:tcPr>
            <w:tcW w:w="1094" w:type="pct"/>
            <w:hideMark/>
          </w:tcPr>
          <w:p w14:paraId="7C408BE3" w14:textId="77777777" w:rsidR="004D69BF" w:rsidRPr="00D0395E" w:rsidRDefault="004D69BF" w:rsidP="000240DA">
            <w:pPr>
              <w:spacing w:line="240" w:lineRule="auto"/>
              <w:rPr>
                <w:color w:val="000000"/>
                <w:sz w:val="18"/>
                <w:szCs w:val="18"/>
              </w:rPr>
            </w:pPr>
            <w:r w:rsidRPr="00D0395E">
              <w:rPr>
                <w:sz w:val="18"/>
                <w:szCs w:val="18"/>
              </w:rPr>
              <w:t>IROP</w:t>
            </w:r>
          </w:p>
        </w:tc>
        <w:tc>
          <w:tcPr>
            <w:tcW w:w="1328" w:type="pct"/>
            <w:noWrap/>
            <w:vAlign w:val="center"/>
            <w:hideMark/>
          </w:tcPr>
          <w:p w14:paraId="5343870A" w14:textId="77777777" w:rsidR="004D69BF" w:rsidRPr="00D0395E" w:rsidRDefault="004D69BF" w:rsidP="000240DA">
            <w:pPr>
              <w:spacing w:line="240" w:lineRule="auto"/>
              <w:jc w:val="center"/>
              <w:rPr>
                <w:color w:val="000000"/>
                <w:sz w:val="18"/>
                <w:szCs w:val="18"/>
              </w:rPr>
            </w:pPr>
            <w:r w:rsidRPr="00D0395E">
              <w:rPr>
                <w:color w:val="000000"/>
                <w:sz w:val="18"/>
                <w:szCs w:val="18"/>
              </w:rPr>
              <w:t>10 000</w:t>
            </w:r>
          </w:p>
        </w:tc>
        <w:tc>
          <w:tcPr>
            <w:tcW w:w="1640" w:type="pct"/>
            <w:vAlign w:val="center"/>
          </w:tcPr>
          <w:p w14:paraId="60A07A0D" w14:textId="77777777" w:rsidR="004D69BF" w:rsidRPr="00D0395E" w:rsidRDefault="004D69BF" w:rsidP="000240DA">
            <w:pPr>
              <w:spacing w:line="240" w:lineRule="auto"/>
              <w:jc w:val="center"/>
              <w:rPr>
                <w:color w:val="000000"/>
                <w:sz w:val="18"/>
                <w:szCs w:val="18"/>
              </w:rPr>
            </w:pPr>
            <w:r w:rsidRPr="00D0395E">
              <w:rPr>
                <w:color w:val="000000"/>
                <w:sz w:val="18"/>
                <w:szCs w:val="18"/>
              </w:rPr>
              <w:t>8 519</w:t>
            </w:r>
          </w:p>
        </w:tc>
        <w:tc>
          <w:tcPr>
            <w:tcW w:w="938" w:type="pct"/>
            <w:vAlign w:val="center"/>
          </w:tcPr>
          <w:p w14:paraId="07772263" w14:textId="77777777" w:rsidR="004D69BF" w:rsidRPr="00D0395E" w:rsidRDefault="004D69BF" w:rsidP="000240DA">
            <w:pPr>
              <w:spacing w:line="240" w:lineRule="auto"/>
              <w:jc w:val="center"/>
              <w:rPr>
                <w:color w:val="000000"/>
                <w:sz w:val="18"/>
                <w:szCs w:val="18"/>
              </w:rPr>
            </w:pPr>
            <w:r w:rsidRPr="00D0395E">
              <w:rPr>
                <w:color w:val="000000"/>
                <w:sz w:val="18"/>
                <w:szCs w:val="18"/>
              </w:rPr>
              <w:t>85,19 %</w:t>
            </w:r>
          </w:p>
        </w:tc>
      </w:tr>
      <w:tr w:rsidR="004D69BF" w:rsidRPr="00D0395E" w14:paraId="3D519575" w14:textId="77777777" w:rsidTr="00D0395E">
        <w:trPr>
          <w:trHeight w:val="363"/>
        </w:trPr>
        <w:tc>
          <w:tcPr>
            <w:tcW w:w="1094" w:type="pct"/>
            <w:hideMark/>
          </w:tcPr>
          <w:p w14:paraId="3962F45C" w14:textId="77777777" w:rsidR="004D69BF" w:rsidRPr="00D0395E" w:rsidRDefault="004D69BF" w:rsidP="000240DA">
            <w:pPr>
              <w:spacing w:line="240" w:lineRule="auto"/>
              <w:rPr>
                <w:color w:val="000000"/>
                <w:sz w:val="18"/>
                <w:szCs w:val="18"/>
              </w:rPr>
            </w:pPr>
            <w:r w:rsidRPr="00D0395E">
              <w:rPr>
                <w:sz w:val="18"/>
                <w:szCs w:val="18"/>
              </w:rPr>
              <w:t>OP KŽP</w:t>
            </w:r>
          </w:p>
        </w:tc>
        <w:tc>
          <w:tcPr>
            <w:tcW w:w="1328" w:type="pct"/>
            <w:noWrap/>
            <w:vAlign w:val="center"/>
            <w:hideMark/>
          </w:tcPr>
          <w:p w14:paraId="24454EC2" w14:textId="77777777" w:rsidR="004D69BF" w:rsidRPr="00D0395E" w:rsidRDefault="004D69BF" w:rsidP="000240DA">
            <w:pPr>
              <w:spacing w:line="240" w:lineRule="auto"/>
              <w:jc w:val="center"/>
              <w:rPr>
                <w:color w:val="000000"/>
                <w:sz w:val="18"/>
                <w:szCs w:val="18"/>
              </w:rPr>
            </w:pPr>
            <w:r w:rsidRPr="00D0395E">
              <w:rPr>
                <w:color w:val="000000"/>
                <w:sz w:val="18"/>
                <w:szCs w:val="18"/>
              </w:rPr>
              <w:t xml:space="preserve">448 912 </w:t>
            </w:r>
          </w:p>
        </w:tc>
        <w:tc>
          <w:tcPr>
            <w:tcW w:w="1640" w:type="pct"/>
            <w:vAlign w:val="center"/>
          </w:tcPr>
          <w:p w14:paraId="11EB258C" w14:textId="77777777" w:rsidR="004D69BF" w:rsidRPr="00D0395E" w:rsidRDefault="004D69BF" w:rsidP="000240DA">
            <w:pPr>
              <w:spacing w:line="240" w:lineRule="auto"/>
              <w:jc w:val="center"/>
              <w:rPr>
                <w:color w:val="000000"/>
                <w:sz w:val="18"/>
                <w:szCs w:val="18"/>
              </w:rPr>
            </w:pPr>
            <w:r w:rsidRPr="00D0395E">
              <w:rPr>
                <w:color w:val="000000"/>
                <w:sz w:val="18"/>
                <w:szCs w:val="18"/>
              </w:rPr>
              <w:t>426 598</w:t>
            </w:r>
          </w:p>
        </w:tc>
        <w:tc>
          <w:tcPr>
            <w:tcW w:w="938" w:type="pct"/>
            <w:vAlign w:val="center"/>
          </w:tcPr>
          <w:p w14:paraId="050C20C3" w14:textId="77777777" w:rsidR="004D69BF" w:rsidRPr="00D0395E" w:rsidRDefault="004D69BF" w:rsidP="000240DA">
            <w:pPr>
              <w:spacing w:line="240" w:lineRule="auto"/>
              <w:jc w:val="center"/>
              <w:rPr>
                <w:color w:val="000000"/>
                <w:sz w:val="18"/>
                <w:szCs w:val="18"/>
              </w:rPr>
            </w:pPr>
            <w:r w:rsidRPr="00D0395E">
              <w:rPr>
                <w:color w:val="000000"/>
                <w:sz w:val="18"/>
                <w:szCs w:val="18"/>
              </w:rPr>
              <w:t>95,03 %</w:t>
            </w:r>
          </w:p>
        </w:tc>
      </w:tr>
      <w:tr w:rsidR="004D69BF" w:rsidRPr="00D0395E" w14:paraId="63F6BB78" w14:textId="77777777" w:rsidTr="00D0395E">
        <w:trPr>
          <w:trHeight w:val="363"/>
        </w:trPr>
        <w:tc>
          <w:tcPr>
            <w:tcW w:w="1094" w:type="pct"/>
            <w:tcBorders>
              <w:bottom w:val="single" w:sz="4" w:space="0" w:color="auto"/>
            </w:tcBorders>
            <w:hideMark/>
          </w:tcPr>
          <w:p w14:paraId="7DDF8151" w14:textId="65B1A404" w:rsidR="004D69BF" w:rsidRPr="00D0395E" w:rsidRDefault="00B5714D" w:rsidP="00B5714D">
            <w:pPr>
              <w:spacing w:line="240" w:lineRule="auto"/>
              <w:rPr>
                <w:color w:val="000000"/>
                <w:sz w:val="18"/>
                <w:szCs w:val="18"/>
              </w:rPr>
            </w:pPr>
            <w:r>
              <w:rPr>
                <w:b/>
                <w:sz w:val="18"/>
                <w:szCs w:val="18"/>
              </w:rPr>
              <w:t>Spolu</w:t>
            </w:r>
            <w:r w:rsidR="004D69BF" w:rsidRPr="00D0395E">
              <w:rPr>
                <w:b/>
                <w:sz w:val="18"/>
                <w:szCs w:val="18"/>
              </w:rPr>
              <w:t xml:space="preserve"> </w:t>
            </w:r>
          </w:p>
        </w:tc>
        <w:tc>
          <w:tcPr>
            <w:tcW w:w="1328" w:type="pct"/>
            <w:tcBorders>
              <w:bottom w:val="single" w:sz="4" w:space="0" w:color="auto"/>
            </w:tcBorders>
            <w:noWrap/>
            <w:vAlign w:val="center"/>
            <w:hideMark/>
          </w:tcPr>
          <w:p w14:paraId="0270FC23" w14:textId="77777777" w:rsidR="004D69BF" w:rsidRPr="00D0395E" w:rsidRDefault="004D69BF" w:rsidP="000240DA">
            <w:pPr>
              <w:spacing w:line="240" w:lineRule="auto"/>
              <w:jc w:val="center"/>
              <w:rPr>
                <w:color w:val="000000"/>
                <w:sz w:val="18"/>
                <w:szCs w:val="18"/>
              </w:rPr>
            </w:pPr>
            <w:r w:rsidRPr="00D0395E">
              <w:rPr>
                <w:b/>
                <w:bCs/>
                <w:color w:val="000000"/>
                <w:sz w:val="18"/>
                <w:szCs w:val="18"/>
              </w:rPr>
              <w:t>1 033 731</w:t>
            </w:r>
          </w:p>
        </w:tc>
        <w:tc>
          <w:tcPr>
            <w:tcW w:w="1640" w:type="pct"/>
            <w:tcBorders>
              <w:bottom w:val="single" w:sz="4" w:space="0" w:color="auto"/>
            </w:tcBorders>
            <w:vAlign w:val="center"/>
          </w:tcPr>
          <w:p w14:paraId="438579FF" w14:textId="77777777" w:rsidR="004D69BF" w:rsidRPr="00D0395E" w:rsidRDefault="004D69BF" w:rsidP="000240DA">
            <w:pPr>
              <w:spacing w:line="240" w:lineRule="auto"/>
              <w:jc w:val="center"/>
              <w:rPr>
                <w:color w:val="000000"/>
                <w:sz w:val="18"/>
                <w:szCs w:val="18"/>
              </w:rPr>
            </w:pPr>
            <w:r w:rsidRPr="00D0395E">
              <w:rPr>
                <w:b/>
                <w:bCs/>
                <w:color w:val="000000"/>
                <w:sz w:val="18"/>
                <w:szCs w:val="18"/>
              </w:rPr>
              <w:t>936 735</w:t>
            </w:r>
          </w:p>
        </w:tc>
        <w:tc>
          <w:tcPr>
            <w:tcW w:w="938" w:type="pct"/>
            <w:tcBorders>
              <w:bottom w:val="single" w:sz="4" w:space="0" w:color="auto"/>
            </w:tcBorders>
            <w:vAlign w:val="center"/>
          </w:tcPr>
          <w:p w14:paraId="72A5F6B7" w14:textId="77777777" w:rsidR="004D69BF" w:rsidRPr="00D0395E" w:rsidRDefault="004D69BF" w:rsidP="000240DA">
            <w:pPr>
              <w:spacing w:line="240" w:lineRule="auto"/>
              <w:jc w:val="center"/>
              <w:rPr>
                <w:color w:val="000000"/>
                <w:sz w:val="18"/>
                <w:szCs w:val="18"/>
              </w:rPr>
            </w:pPr>
            <w:r w:rsidRPr="00D0395E">
              <w:rPr>
                <w:b/>
                <w:bCs/>
                <w:color w:val="000000"/>
                <w:sz w:val="18"/>
                <w:szCs w:val="18"/>
              </w:rPr>
              <w:t>90,62 %</w:t>
            </w:r>
          </w:p>
        </w:tc>
      </w:tr>
    </w:tbl>
    <w:p w14:paraId="0B82E781" w14:textId="6A51C563" w:rsidR="004D69BF" w:rsidRPr="00B8262F" w:rsidRDefault="00B5714D" w:rsidP="00294DB4">
      <w:pPr>
        <w:rPr>
          <w:iCs/>
          <w:sz w:val="18"/>
          <w:szCs w:val="18"/>
        </w:rPr>
      </w:pPr>
      <w:r>
        <w:rPr>
          <w:iCs/>
          <w:sz w:val="18"/>
          <w:szCs w:val="18"/>
        </w:rPr>
        <w:tab/>
      </w:r>
      <w:r w:rsidR="00294DB4">
        <w:rPr>
          <w:iCs/>
          <w:sz w:val="18"/>
          <w:szCs w:val="18"/>
        </w:rPr>
        <w:tab/>
      </w:r>
      <w:r w:rsidR="00294DB4">
        <w:rPr>
          <w:iCs/>
          <w:sz w:val="18"/>
          <w:szCs w:val="18"/>
        </w:rPr>
        <w:tab/>
      </w:r>
      <w:r w:rsidR="00294DB4">
        <w:rPr>
          <w:iCs/>
          <w:sz w:val="18"/>
          <w:szCs w:val="18"/>
        </w:rPr>
        <w:tab/>
      </w:r>
      <w:r w:rsidR="00294DB4">
        <w:rPr>
          <w:iCs/>
          <w:sz w:val="18"/>
          <w:szCs w:val="18"/>
        </w:rPr>
        <w:tab/>
      </w:r>
      <w:r w:rsidR="00294DB4">
        <w:rPr>
          <w:iCs/>
          <w:sz w:val="18"/>
          <w:szCs w:val="18"/>
        </w:rPr>
        <w:tab/>
      </w:r>
      <w:r w:rsidR="00294DB4">
        <w:rPr>
          <w:iCs/>
          <w:sz w:val="18"/>
          <w:szCs w:val="18"/>
        </w:rPr>
        <w:tab/>
      </w:r>
      <w:r w:rsidR="00294DB4">
        <w:rPr>
          <w:iCs/>
          <w:sz w:val="18"/>
          <w:szCs w:val="18"/>
        </w:rPr>
        <w:tab/>
      </w:r>
      <w:r w:rsidR="00294DB4">
        <w:rPr>
          <w:iCs/>
          <w:sz w:val="18"/>
          <w:szCs w:val="18"/>
        </w:rPr>
        <w:tab/>
      </w:r>
      <w:r w:rsidR="00294DB4">
        <w:rPr>
          <w:iCs/>
          <w:sz w:val="18"/>
          <w:szCs w:val="18"/>
        </w:rPr>
        <w:tab/>
      </w:r>
      <w:r w:rsidR="00294DB4">
        <w:rPr>
          <w:iCs/>
          <w:sz w:val="18"/>
          <w:szCs w:val="18"/>
        </w:rPr>
        <w:tab/>
      </w:r>
      <w:r w:rsidR="00294DB4">
        <w:rPr>
          <w:iCs/>
          <w:sz w:val="18"/>
          <w:szCs w:val="18"/>
        </w:rPr>
        <w:tab/>
      </w:r>
      <w:r w:rsidR="00294DB4">
        <w:rPr>
          <w:iCs/>
          <w:sz w:val="18"/>
          <w:szCs w:val="18"/>
        </w:rPr>
        <w:tab/>
      </w:r>
      <w:r w:rsidR="004D69BF" w:rsidRPr="00B8262F">
        <w:rPr>
          <w:iCs/>
          <w:sz w:val="18"/>
          <w:szCs w:val="18"/>
        </w:rPr>
        <w:t>Zdroj: ITMS2014+, MIRRI SR</w:t>
      </w:r>
    </w:p>
    <w:p w14:paraId="37F7EB79" w14:textId="5CBF388C" w:rsidR="004D69BF" w:rsidRPr="0063263E" w:rsidRDefault="004D69BF" w:rsidP="004D69BF">
      <w:pPr>
        <w:spacing w:line="240" w:lineRule="auto"/>
        <w:rPr>
          <w:color w:val="000000" w:themeColor="text1"/>
          <w:sz w:val="24"/>
          <w:szCs w:val="24"/>
        </w:rPr>
      </w:pPr>
      <w:r w:rsidRPr="0063263E">
        <w:rPr>
          <w:b/>
          <w:bCs/>
          <w:color w:val="000000" w:themeColor="text1"/>
          <w:sz w:val="24"/>
          <w:szCs w:val="24"/>
        </w:rPr>
        <w:t>V rám</w:t>
      </w:r>
      <w:r w:rsidR="00F3718D">
        <w:rPr>
          <w:b/>
          <w:bCs/>
          <w:color w:val="000000" w:themeColor="text1"/>
          <w:sz w:val="24"/>
          <w:szCs w:val="24"/>
        </w:rPr>
        <w:t>ci 4. programového obdobia 2021 – </w:t>
      </w:r>
      <w:r w:rsidRPr="0063263E">
        <w:rPr>
          <w:b/>
          <w:bCs/>
          <w:color w:val="000000" w:themeColor="text1"/>
          <w:sz w:val="24"/>
          <w:szCs w:val="24"/>
        </w:rPr>
        <w:t>2027</w:t>
      </w:r>
      <w:r w:rsidRPr="0063263E">
        <w:rPr>
          <w:color w:val="000000" w:themeColor="text1"/>
          <w:sz w:val="24"/>
          <w:szCs w:val="24"/>
        </w:rPr>
        <w:t xml:space="preserve"> boli z celkovej alokácie 12</w:t>
      </w:r>
      <w:r w:rsidR="00F3718D">
        <w:rPr>
          <w:color w:val="000000" w:themeColor="text1"/>
          <w:sz w:val="24"/>
          <w:szCs w:val="24"/>
        </w:rPr>
        <w:t> </w:t>
      </w:r>
      <w:r w:rsidRPr="0063263E">
        <w:rPr>
          <w:color w:val="000000" w:themeColor="text1"/>
          <w:sz w:val="24"/>
          <w:szCs w:val="24"/>
        </w:rPr>
        <w:t>794</w:t>
      </w:r>
      <w:r w:rsidR="00F3718D">
        <w:rPr>
          <w:color w:val="000000" w:themeColor="text1"/>
          <w:sz w:val="24"/>
          <w:szCs w:val="24"/>
        </w:rPr>
        <w:t> </w:t>
      </w:r>
      <w:r w:rsidRPr="0063263E">
        <w:rPr>
          <w:color w:val="000000" w:themeColor="text1"/>
          <w:sz w:val="24"/>
          <w:szCs w:val="24"/>
        </w:rPr>
        <w:t>783</w:t>
      </w:r>
      <w:r w:rsidR="00F3718D">
        <w:rPr>
          <w:color w:val="000000" w:themeColor="text1"/>
          <w:sz w:val="24"/>
          <w:szCs w:val="24"/>
        </w:rPr>
        <w:t> </w:t>
      </w:r>
      <w:r w:rsidRPr="0063263E">
        <w:rPr>
          <w:color w:val="000000" w:themeColor="text1"/>
          <w:sz w:val="24"/>
          <w:szCs w:val="24"/>
        </w:rPr>
        <w:t>tis.</w:t>
      </w:r>
      <w:r w:rsidR="00F3718D">
        <w:rPr>
          <w:color w:val="000000" w:themeColor="text1"/>
          <w:sz w:val="24"/>
          <w:szCs w:val="24"/>
        </w:rPr>
        <w:t> </w:t>
      </w:r>
      <w:r w:rsidRPr="0063263E">
        <w:rPr>
          <w:color w:val="000000" w:themeColor="text1"/>
          <w:sz w:val="24"/>
          <w:szCs w:val="24"/>
        </w:rPr>
        <w:t>eur (Program Slovensko, Interact IV, Interreg SK CZ, Interreg SK AT a Program Rybné hospodárstvo 2021</w:t>
      </w:r>
      <w:r w:rsidR="00F3718D">
        <w:rPr>
          <w:color w:val="000000" w:themeColor="text1"/>
          <w:sz w:val="24"/>
          <w:szCs w:val="24"/>
        </w:rPr>
        <w:t> </w:t>
      </w:r>
      <w:r w:rsidRPr="0063263E">
        <w:rPr>
          <w:color w:val="000000" w:themeColor="text1"/>
          <w:sz w:val="24"/>
          <w:szCs w:val="24"/>
        </w:rPr>
        <w:t>-</w:t>
      </w:r>
      <w:r w:rsidR="00F3718D">
        <w:rPr>
          <w:color w:val="000000" w:themeColor="text1"/>
          <w:sz w:val="24"/>
          <w:szCs w:val="24"/>
        </w:rPr>
        <w:t> </w:t>
      </w:r>
      <w:r w:rsidRPr="0063263E">
        <w:rPr>
          <w:color w:val="000000" w:themeColor="text1"/>
          <w:sz w:val="24"/>
          <w:szCs w:val="24"/>
        </w:rPr>
        <w:t>2027) k 31.12.2024 schválené prostriedky vo výške 390</w:t>
      </w:r>
      <w:r w:rsidR="00F3718D">
        <w:rPr>
          <w:color w:val="000000" w:themeColor="text1"/>
          <w:sz w:val="24"/>
          <w:szCs w:val="24"/>
        </w:rPr>
        <w:t> 126 </w:t>
      </w:r>
      <w:r w:rsidRPr="0063263E">
        <w:rPr>
          <w:color w:val="000000" w:themeColor="text1"/>
          <w:sz w:val="24"/>
          <w:szCs w:val="24"/>
        </w:rPr>
        <w:t>tis.</w:t>
      </w:r>
      <w:r w:rsidR="00F3718D">
        <w:rPr>
          <w:color w:val="000000" w:themeColor="text1"/>
          <w:sz w:val="24"/>
          <w:szCs w:val="24"/>
        </w:rPr>
        <w:t> </w:t>
      </w:r>
      <w:r w:rsidRPr="0063263E">
        <w:rPr>
          <w:color w:val="000000" w:themeColor="text1"/>
          <w:sz w:val="24"/>
          <w:szCs w:val="24"/>
        </w:rPr>
        <w:t>eur (za</w:t>
      </w:r>
      <w:r w:rsidR="00F3718D">
        <w:rPr>
          <w:color w:val="000000" w:themeColor="text1"/>
          <w:sz w:val="24"/>
          <w:szCs w:val="24"/>
        </w:rPr>
        <w:t> </w:t>
      </w:r>
      <w:r w:rsidRPr="0063263E">
        <w:rPr>
          <w:color w:val="000000" w:themeColor="text1"/>
          <w:sz w:val="24"/>
          <w:szCs w:val="24"/>
        </w:rPr>
        <w:t>zdroj EÚ), čo predstavuje čerpanie  na úrovni 3,05 %.</w:t>
      </w:r>
      <w:r w:rsidR="00F3718D">
        <w:rPr>
          <w:color w:val="000000" w:themeColor="text1"/>
          <w:sz w:val="24"/>
          <w:szCs w:val="24"/>
        </w:rPr>
        <w:t xml:space="preserve"> Prvý míľnik vo</w:t>
      </w:r>
      <w:r w:rsidR="00B7397E">
        <w:rPr>
          <w:color w:val="000000" w:themeColor="text1"/>
          <w:sz w:val="24"/>
          <w:szCs w:val="24"/>
        </w:rPr>
        <w:t> </w:t>
      </w:r>
      <w:r w:rsidR="00F3718D">
        <w:rPr>
          <w:color w:val="000000" w:themeColor="text1"/>
          <w:sz w:val="24"/>
          <w:szCs w:val="24"/>
        </w:rPr>
        <w:t>výške 1 548 182 </w:t>
      </w:r>
      <w:r w:rsidRPr="0063263E">
        <w:rPr>
          <w:color w:val="000000" w:themeColor="text1"/>
          <w:sz w:val="24"/>
          <w:szCs w:val="24"/>
        </w:rPr>
        <w:t>tis.</w:t>
      </w:r>
      <w:r w:rsidR="00F3718D">
        <w:rPr>
          <w:color w:val="000000" w:themeColor="text1"/>
          <w:sz w:val="24"/>
          <w:szCs w:val="24"/>
        </w:rPr>
        <w:t> </w:t>
      </w:r>
      <w:r w:rsidRPr="0063263E">
        <w:rPr>
          <w:color w:val="000000" w:themeColor="text1"/>
          <w:sz w:val="24"/>
          <w:szCs w:val="24"/>
        </w:rPr>
        <w:t>eur sa bude odpočtovať k 31.12. 2025 za Program Slovensko a</w:t>
      </w:r>
      <w:r w:rsidR="00B7397E">
        <w:rPr>
          <w:color w:val="000000" w:themeColor="text1"/>
          <w:sz w:val="24"/>
          <w:szCs w:val="24"/>
        </w:rPr>
        <w:t> </w:t>
      </w:r>
      <w:r w:rsidRPr="0063263E">
        <w:rPr>
          <w:color w:val="000000" w:themeColor="text1"/>
          <w:sz w:val="24"/>
          <w:szCs w:val="24"/>
        </w:rPr>
        <w:t>programy európskej územnej spolupráce.</w:t>
      </w:r>
    </w:p>
    <w:p w14:paraId="3D114FDB" w14:textId="34BB9CD6" w:rsidR="004D69BF" w:rsidRPr="0063263E" w:rsidRDefault="004D69BF" w:rsidP="004D69BF">
      <w:pPr>
        <w:spacing w:line="240" w:lineRule="auto"/>
        <w:rPr>
          <w:color w:val="000000" w:themeColor="text1"/>
          <w:sz w:val="24"/>
          <w:szCs w:val="24"/>
        </w:rPr>
      </w:pPr>
      <w:r w:rsidRPr="0063263E">
        <w:rPr>
          <w:color w:val="000000" w:themeColor="text1"/>
          <w:sz w:val="24"/>
          <w:szCs w:val="24"/>
        </w:rPr>
        <w:t>Vo februári 2024 bola nariadením EP a Rady (EÚ) č.</w:t>
      </w:r>
      <w:r w:rsidR="00F3718D">
        <w:rPr>
          <w:color w:val="000000" w:themeColor="text1"/>
          <w:sz w:val="24"/>
          <w:szCs w:val="24"/>
        </w:rPr>
        <w:t> </w:t>
      </w:r>
      <w:r w:rsidRPr="0063263E">
        <w:rPr>
          <w:color w:val="000000" w:themeColor="text1"/>
          <w:sz w:val="24"/>
          <w:szCs w:val="24"/>
        </w:rPr>
        <w:t>2024/795 zriadená Platforma strategických technológií pre Európu (ďalej len STEP), ktorej cieľom je podpora vývoja a</w:t>
      </w:r>
      <w:r w:rsidR="00B7397E">
        <w:rPr>
          <w:color w:val="000000" w:themeColor="text1"/>
          <w:sz w:val="24"/>
          <w:szCs w:val="24"/>
        </w:rPr>
        <w:t> </w:t>
      </w:r>
      <w:r w:rsidRPr="0063263E">
        <w:rPr>
          <w:color w:val="000000" w:themeColor="text1"/>
          <w:sz w:val="24"/>
          <w:szCs w:val="24"/>
        </w:rPr>
        <w:t>výroby kritických technológií v celej EÚ a ochrana a posilnenie ich prís</w:t>
      </w:r>
      <w:r w:rsidR="00F3718D">
        <w:rPr>
          <w:color w:val="000000" w:themeColor="text1"/>
          <w:sz w:val="24"/>
          <w:szCs w:val="24"/>
        </w:rPr>
        <w:t>lušných hodnotových reťazcov. V </w:t>
      </w:r>
      <w:r w:rsidRPr="0063263E">
        <w:rPr>
          <w:color w:val="000000" w:themeColor="text1"/>
          <w:sz w:val="24"/>
          <w:szCs w:val="24"/>
        </w:rPr>
        <w:t>rámci Programu Slovensko bude vytvorená nová priori</w:t>
      </w:r>
      <w:r w:rsidR="00F3718D">
        <w:rPr>
          <w:color w:val="000000" w:themeColor="text1"/>
          <w:sz w:val="24"/>
          <w:szCs w:val="24"/>
        </w:rPr>
        <w:t>ta s</w:t>
      </w:r>
      <w:r w:rsidR="00B7397E">
        <w:rPr>
          <w:color w:val="000000" w:themeColor="text1"/>
          <w:sz w:val="24"/>
          <w:szCs w:val="24"/>
        </w:rPr>
        <w:t> </w:t>
      </w:r>
      <w:r w:rsidR="00F3718D">
        <w:rPr>
          <w:color w:val="000000" w:themeColor="text1"/>
          <w:sz w:val="24"/>
          <w:szCs w:val="24"/>
        </w:rPr>
        <w:t>alokáciou vo výške 231 782 </w:t>
      </w:r>
      <w:r w:rsidRPr="0063263E">
        <w:rPr>
          <w:color w:val="000000" w:themeColor="text1"/>
          <w:sz w:val="24"/>
          <w:szCs w:val="24"/>
        </w:rPr>
        <w:t>tis.</w:t>
      </w:r>
      <w:r w:rsidR="00F3718D">
        <w:rPr>
          <w:color w:val="000000" w:themeColor="text1"/>
          <w:sz w:val="24"/>
          <w:szCs w:val="24"/>
        </w:rPr>
        <w:t> </w:t>
      </w:r>
      <w:r w:rsidRPr="0063263E">
        <w:rPr>
          <w:color w:val="000000" w:themeColor="text1"/>
          <w:sz w:val="24"/>
          <w:szCs w:val="24"/>
        </w:rPr>
        <w:t>eur. Z</w:t>
      </w:r>
      <w:r w:rsidR="00F3718D">
        <w:rPr>
          <w:color w:val="000000" w:themeColor="text1"/>
          <w:sz w:val="24"/>
          <w:szCs w:val="24"/>
        </w:rPr>
        <w:t> </w:t>
      </w:r>
      <w:r w:rsidRPr="0063263E">
        <w:rPr>
          <w:color w:val="000000" w:themeColor="text1"/>
          <w:sz w:val="24"/>
          <w:szCs w:val="24"/>
        </w:rPr>
        <w:t>dôvodu pre</w:t>
      </w:r>
      <w:r w:rsidR="00B7397E">
        <w:rPr>
          <w:color w:val="000000" w:themeColor="text1"/>
          <w:sz w:val="24"/>
          <w:szCs w:val="24"/>
        </w:rPr>
        <w:t>sunu alokácii sa zníži nárok na </w:t>
      </w:r>
      <w:r w:rsidRPr="0063263E">
        <w:rPr>
          <w:color w:val="000000" w:themeColor="text1"/>
          <w:sz w:val="24"/>
          <w:szCs w:val="24"/>
        </w:rPr>
        <w:t>štátny rozpočet, keďže miera spolufinancovania pre</w:t>
      </w:r>
      <w:r w:rsidR="00F3718D">
        <w:rPr>
          <w:color w:val="000000" w:themeColor="text1"/>
          <w:sz w:val="24"/>
          <w:szCs w:val="24"/>
        </w:rPr>
        <w:t> vyhradenú prioritu STEP je 100 </w:t>
      </w:r>
      <w:r w:rsidRPr="0063263E">
        <w:rPr>
          <w:color w:val="000000" w:themeColor="text1"/>
          <w:sz w:val="24"/>
          <w:szCs w:val="24"/>
        </w:rPr>
        <w:t>%.</w:t>
      </w:r>
    </w:p>
    <w:p w14:paraId="6E890F02" w14:textId="77777777" w:rsidR="004D69BF" w:rsidRDefault="004D69BF" w:rsidP="004D69BF">
      <w:pPr>
        <w:spacing w:after="160" w:line="259" w:lineRule="auto"/>
        <w:jc w:val="left"/>
        <w:rPr>
          <w:rFonts w:eastAsiaTheme="majorEastAsia" w:cstheme="majorBidi"/>
          <w:b/>
          <w:sz w:val="26"/>
          <w:szCs w:val="32"/>
        </w:rPr>
      </w:pPr>
      <w:bookmarkStart w:id="163" w:name="_Toc6415657"/>
      <w:bookmarkEnd w:id="140"/>
      <w:r>
        <w:br w:type="page"/>
      </w:r>
    </w:p>
    <w:p w14:paraId="5B7A08F3" w14:textId="77777777" w:rsidR="004D69BF" w:rsidRPr="00AC0420" w:rsidRDefault="004D69BF" w:rsidP="00AC0420">
      <w:pPr>
        <w:pStyle w:val="Nadpis21"/>
        <w:jc w:val="both"/>
        <w:rPr>
          <w:rFonts w:eastAsiaTheme="majorEastAsia"/>
        </w:rPr>
      </w:pPr>
      <w:bookmarkStart w:id="164" w:name="_Toc196314145"/>
      <w:r w:rsidRPr="00AC0420">
        <w:rPr>
          <w:rFonts w:eastAsiaTheme="majorEastAsia"/>
        </w:rPr>
        <w:lastRenderedPageBreak/>
        <w:t>Tabuľková príloha</w:t>
      </w:r>
      <w:bookmarkEnd w:id="163"/>
      <w:r w:rsidRPr="00AC0420">
        <w:rPr>
          <w:rFonts w:eastAsiaTheme="majorEastAsia"/>
        </w:rPr>
        <w:t xml:space="preserve"> k hotovostnému plneniu ŠR</w:t>
      </w:r>
      <w:bookmarkEnd w:id="164"/>
    </w:p>
    <w:tbl>
      <w:tblPr>
        <w:tblW w:w="9249" w:type="dxa"/>
        <w:jc w:val="center"/>
        <w:tblLayout w:type="fixed"/>
        <w:tblLook w:val="01E0" w:firstRow="1" w:lastRow="1" w:firstColumn="1" w:lastColumn="1" w:noHBand="0" w:noVBand="0"/>
      </w:tblPr>
      <w:tblGrid>
        <w:gridCol w:w="1169"/>
        <w:gridCol w:w="8080"/>
      </w:tblGrid>
      <w:tr w:rsidR="004D69BF" w:rsidRPr="00D83632" w14:paraId="6D4252EF" w14:textId="77777777" w:rsidTr="000240DA">
        <w:trPr>
          <w:trHeight w:val="142"/>
          <w:jc w:val="center"/>
        </w:trPr>
        <w:tc>
          <w:tcPr>
            <w:tcW w:w="9249" w:type="dxa"/>
            <w:gridSpan w:val="2"/>
            <w:shd w:val="clear" w:color="auto" w:fill="auto"/>
            <w:vAlign w:val="center"/>
          </w:tcPr>
          <w:p w14:paraId="3239C4DE" w14:textId="3DE12D7E" w:rsidR="004D69BF" w:rsidRPr="00D83632" w:rsidRDefault="004D69BF" w:rsidP="000240DA">
            <w:pPr>
              <w:spacing w:after="0" w:line="240" w:lineRule="auto"/>
              <w:jc w:val="left"/>
              <w:rPr>
                <w:rFonts w:eastAsia="Times New Roman" w:cs="Times New Roman"/>
                <w:b/>
                <w:bCs/>
                <w:color w:val="5B9BD5" w:themeColor="accent1"/>
                <w:sz w:val="24"/>
                <w:szCs w:val="24"/>
                <w:lang w:eastAsia="sk-SK"/>
              </w:rPr>
            </w:pPr>
          </w:p>
        </w:tc>
      </w:tr>
      <w:tr w:rsidR="004D69BF" w:rsidRPr="001F4D7C" w14:paraId="35BB6142" w14:textId="77777777" w:rsidTr="000240DA">
        <w:trPr>
          <w:jc w:val="center"/>
        </w:trPr>
        <w:tc>
          <w:tcPr>
            <w:tcW w:w="1169" w:type="dxa"/>
            <w:vAlign w:val="center"/>
          </w:tcPr>
          <w:p w14:paraId="2474964F" w14:textId="77777777" w:rsidR="004D69BF" w:rsidRPr="00592DD4" w:rsidRDefault="004D69BF" w:rsidP="000240DA">
            <w:pPr>
              <w:spacing w:after="0" w:line="240" w:lineRule="auto"/>
              <w:rPr>
                <w:rFonts w:cs="Times New Roman"/>
              </w:rPr>
            </w:pPr>
            <w:r w:rsidRPr="00592DD4">
              <w:rPr>
                <w:rFonts w:cs="Times New Roman"/>
              </w:rPr>
              <w:t xml:space="preserve">Tab. č. 1   </w:t>
            </w:r>
          </w:p>
        </w:tc>
        <w:tc>
          <w:tcPr>
            <w:tcW w:w="8080" w:type="dxa"/>
            <w:vAlign w:val="center"/>
          </w:tcPr>
          <w:p w14:paraId="27B7155D" w14:textId="77777777" w:rsidR="004D69BF" w:rsidRPr="00592DD4" w:rsidRDefault="004D69BF" w:rsidP="000240DA">
            <w:pPr>
              <w:spacing w:after="0" w:line="240" w:lineRule="auto"/>
              <w:rPr>
                <w:rFonts w:cs="Times New Roman"/>
              </w:rPr>
            </w:pPr>
            <w:r w:rsidRPr="00592DD4">
              <w:rPr>
                <w:rFonts w:cs="Times New Roman"/>
              </w:rPr>
              <w:t>Bilancia príjmov a výdavkov štátneho rozpočtu za rok 202</w:t>
            </w:r>
            <w:r>
              <w:rPr>
                <w:rFonts w:cs="Times New Roman"/>
              </w:rPr>
              <w:t>4</w:t>
            </w:r>
          </w:p>
        </w:tc>
      </w:tr>
      <w:tr w:rsidR="004D69BF" w:rsidRPr="001F4D7C" w14:paraId="13C02762" w14:textId="77777777" w:rsidTr="000240DA">
        <w:trPr>
          <w:jc w:val="center"/>
        </w:trPr>
        <w:tc>
          <w:tcPr>
            <w:tcW w:w="1169" w:type="dxa"/>
            <w:vAlign w:val="center"/>
          </w:tcPr>
          <w:p w14:paraId="708EFDF6" w14:textId="77777777" w:rsidR="004D69BF" w:rsidRPr="00592DD4" w:rsidRDefault="004D69BF" w:rsidP="000240DA">
            <w:pPr>
              <w:spacing w:after="0" w:line="240" w:lineRule="auto"/>
              <w:rPr>
                <w:rFonts w:cs="Times New Roman"/>
              </w:rPr>
            </w:pPr>
            <w:r w:rsidRPr="00592DD4">
              <w:rPr>
                <w:rFonts w:cs="Times New Roman"/>
              </w:rPr>
              <w:t xml:space="preserve">Tab. č. 2   </w:t>
            </w:r>
          </w:p>
        </w:tc>
        <w:tc>
          <w:tcPr>
            <w:tcW w:w="8080" w:type="dxa"/>
            <w:vAlign w:val="center"/>
          </w:tcPr>
          <w:p w14:paraId="38B1B02B" w14:textId="77777777" w:rsidR="004D69BF" w:rsidRPr="00592DD4" w:rsidRDefault="004D69BF" w:rsidP="000240DA">
            <w:pPr>
              <w:spacing w:after="0" w:line="240" w:lineRule="auto"/>
              <w:rPr>
                <w:rFonts w:cs="Times New Roman"/>
              </w:rPr>
            </w:pPr>
            <w:r w:rsidRPr="00592DD4">
              <w:rPr>
                <w:rFonts w:cs="Times New Roman"/>
              </w:rPr>
              <w:t>Daňové príj</w:t>
            </w:r>
            <w:r>
              <w:rPr>
                <w:rFonts w:cs="Times New Roman"/>
              </w:rPr>
              <w:t>my štátneho rozpočtu za rok 2024</w:t>
            </w:r>
          </w:p>
        </w:tc>
      </w:tr>
      <w:tr w:rsidR="004D69BF" w:rsidRPr="001F4D7C" w14:paraId="7DC09E8F" w14:textId="77777777" w:rsidTr="000240DA">
        <w:trPr>
          <w:jc w:val="center"/>
        </w:trPr>
        <w:tc>
          <w:tcPr>
            <w:tcW w:w="1169" w:type="dxa"/>
            <w:vAlign w:val="center"/>
          </w:tcPr>
          <w:p w14:paraId="4DB39233" w14:textId="77777777" w:rsidR="004D69BF" w:rsidRPr="00592DD4" w:rsidRDefault="004D69BF" w:rsidP="000240DA">
            <w:pPr>
              <w:spacing w:after="0" w:line="240" w:lineRule="auto"/>
              <w:rPr>
                <w:rFonts w:cs="Times New Roman"/>
              </w:rPr>
            </w:pPr>
            <w:r w:rsidRPr="00592DD4">
              <w:rPr>
                <w:rFonts w:cs="Times New Roman"/>
              </w:rPr>
              <w:t xml:space="preserve">Tab. č. 3   </w:t>
            </w:r>
          </w:p>
        </w:tc>
        <w:tc>
          <w:tcPr>
            <w:tcW w:w="8080" w:type="dxa"/>
            <w:vAlign w:val="center"/>
          </w:tcPr>
          <w:p w14:paraId="7CFC7FD2" w14:textId="77777777" w:rsidR="004D69BF" w:rsidRPr="00592DD4" w:rsidRDefault="004D69BF" w:rsidP="000240DA">
            <w:pPr>
              <w:spacing w:after="0" w:line="240" w:lineRule="auto"/>
              <w:rPr>
                <w:rFonts w:cs="Times New Roman"/>
              </w:rPr>
            </w:pPr>
            <w:r w:rsidRPr="00592DD4">
              <w:rPr>
                <w:rFonts w:cs="Times New Roman"/>
              </w:rPr>
              <w:t>Nedaňové príjmy štátneho rozpočtu</w:t>
            </w:r>
            <w:r>
              <w:rPr>
                <w:rFonts w:cs="Times New Roman"/>
              </w:rPr>
              <w:t>, granty a transfery za rok 2024</w:t>
            </w:r>
          </w:p>
        </w:tc>
      </w:tr>
      <w:tr w:rsidR="004D69BF" w:rsidRPr="001F4D7C" w14:paraId="5C806D3E" w14:textId="77777777" w:rsidTr="000240DA">
        <w:trPr>
          <w:jc w:val="center"/>
        </w:trPr>
        <w:tc>
          <w:tcPr>
            <w:tcW w:w="1169" w:type="dxa"/>
            <w:vAlign w:val="center"/>
          </w:tcPr>
          <w:p w14:paraId="618FDD24" w14:textId="77777777" w:rsidR="004D69BF" w:rsidRPr="00592DD4" w:rsidRDefault="004D69BF" w:rsidP="000240DA">
            <w:pPr>
              <w:spacing w:after="0" w:line="240" w:lineRule="auto"/>
              <w:rPr>
                <w:rFonts w:cs="Times New Roman"/>
              </w:rPr>
            </w:pPr>
            <w:r w:rsidRPr="00592DD4">
              <w:rPr>
                <w:rFonts w:cs="Times New Roman"/>
              </w:rPr>
              <w:t xml:space="preserve">Tab. č. 4   </w:t>
            </w:r>
          </w:p>
        </w:tc>
        <w:tc>
          <w:tcPr>
            <w:tcW w:w="8080" w:type="dxa"/>
            <w:vAlign w:val="center"/>
          </w:tcPr>
          <w:p w14:paraId="67239E65" w14:textId="77777777" w:rsidR="004D69BF" w:rsidRPr="00592DD4" w:rsidRDefault="004D69BF" w:rsidP="000240DA">
            <w:pPr>
              <w:spacing w:after="0" w:line="240" w:lineRule="auto"/>
              <w:rPr>
                <w:rFonts w:cs="Times New Roman"/>
              </w:rPr>
            </w:pPr>
            <w:r w:rsidRPr="00592DD4">
              <w:rPr>
                <w:rFonts w:cs="Times New Roman"/>
              </w:rPr>
              <w:t>Príjmy kapitol ŠR za rok 202</w:t>
            </w:r>
            <w:r>
              <w:rPr>
                <w:rFonts w:cs="Times New Roman"/>
              </w:rPr>
              <w:t>4</w:t>
            </w:r>
            <w:r w:rsidRPr="00592DD4">
              <w:rPr>
                <w:rFonts w:cs="Times New Roman"/>
              </w:rPr>
              <w:t xml:space="preserve"> – záväzné ukazovatele</w:t>
            </w:r>
          </w:p>
        </w:tc>
      </w:tr>
      <w:tr w:rsidR="004D69BF" w:rsidRPr="001F4D7C" w14:paraId="5F623540" w14:textId="77777777" w:rsidTr="000240DA">
        <w:trPr>
          <w:jc w:val="center"/>
        </w:trPr>
        <w:tc>
          <w:tcPr>
            <w:tcW w:w="1169" w:type="dxa"/>
            <w:vAlign w:val="center"/>
          </w:tcPr>
          <w:p w14:paraId="45EBDA96" w14:textId="77777777" w:rsidR="004D69BF" w:rsidRPr="00E42AD5" w:rsidRDefault="004D69BF" w:rsidP="000240DA">
            <w:pPr>
              <w:spacing w:after="0" w:line="240" w:lineRule="auto"/>
              <w:rPr>
                <w:rFonts w:cs="Times New Roman"/>
              </w:rPr>
            </w:pPr>
            <w:r w:rsidRPr="00E42AD5">
              <w:rPr>
                <w:rFonts w:cs="Times New Roman"/>
              </w:rPr>
              <w:t xml:space="preserve">Tab. č. 5  </w:t>
            </w:r>
          </w:p>
        </w:tc>
        <w:tc>
          <w:tcPr>
            <w:tcW w:w="8080" w:type="dxa"/>
            <w:vAlign w:val="center"/>
          </w:tcPr>
          <w:p w14:paraId="042D7806" w14:textId="77777777" w:rsidR="004D69BF" w:rsidRPr="00E42AD5" w:rsidRDefault="004D69BF" w:rsidP="000240DA">
            <w:pPr>
              <w:spacing w:after="0" w:line="240" w:lineRule="auto"/>
              <w:rPr>
                <w:rFonts w:cs="Times New Roman"/>
              </w:rPr>
            </w:pPr>
            <w:r w:rsidRPr="00E42AD5">
              <w:rPr>
                <w:rFonts w:cs="Times New Roman"/>
              </w:rPr>
              <w:t>Nedaňové príjmy št</w:t>
            </w:r>
            <w:r>
              <w:rPr>
                <w:rFonts w:cs="Times New Roman"/>
              </w:rPr>
              <w:t xml:space="preserve">átneho rozpočtu podľa </w:t>
            </w:r>
            <w:r w:rsidRPr="00E42AD5">
              <w:rPr>
                <w:rFonts w:cs="Times New Roman"/>
              </w:rPr>
              <w:t xml:space="preserve">kapitol ŠR za rok </w:t>
            </w:r>
            <w:r>
              <w:rPr>
                <w:rFonts w:cs="Times New Roman"/>
              </w:rPr>
              <w:t>2024</w:t>
            </w:r>
          </w:p>
        </w:tc>
      </w:tr>
      <w:tr w:rsidR="004D69BF" w:rsidRPr="001F4D7C" w14:paraId="55AA7D9D" w14:textId="77777777" w:rsidTr="000240DA">
        <w:trPr>
          <w:jc w:val="center"/>
        </w:trPr>
        <w:tc>
          <w:tcPr>
            <w:tcW w:w="1169" w:type="dxa"/>
            <w:vAlign w:val="center"/>
          </w:tcPr>
          <w:p w14:paraId="55A1C57F" w14:textId="77777777" w:rsidR="004D69BF" w:rsidRPr="00592DD4" w:rsidRDefault="004D69BF" w:rsidP="000240DA">
            <w:pPr>
              <w:spacing w:after="0" w:line="240" w:lineRule="auto"/>
              <w:rPr>
                <w:rFonts w:cs="Times New Roman"/>
              </w:rPr>
            </w:pPr>
            <w:r w:rsidRPr="00592DD4">
              <w:rPr>
                <w:rFonts w:cs="Times New Roman"/>
              </w:rPr>
              <w:t xml:space="preserve">Tab. č. 6   </w:t>
            </w:r>
          </w:p>
        </w:tc>
        <w:tc>
          <w:tcPr>
            <w:tcW w:w="8080" w:type="dxa"/>
            <w:vAlign w:val="center"/>
          </w:tcPr>
          <w:p w14:paraId="3A226C88" w14:textId="77777777" w:rsidR="004D69BF" w:rsidRPr="00592DD4" w:rsidRDefault="004D69BF" w:rsidP="000240DA">
            <w:pPr>
              <w:spacing w:after="0" w:line="240" w:lineRule="auto"/>
              <w:rPr>
                <w:rFonts w:cs="Times New Roman"/>
              </w:rPr>
            </w:pPr>
            <w:r w:rsidRPr="00592DD4">
              <w:rPr>
                <w:rFonts w:cs="Times New Roman"/>
                <w:bCs/>
                <w:lang w:eastAsia="sk-SK"/>
              </w:rPr>
              <w:t xml:space="preserve">Príjmy štátneho rozpočtu podľa zdrojov v roku </w:t>
            </w:r>
            <w:r>
              <w:rPr>
                <w:rFonts w:cs="Times New Roman"/>
              </w:rPr>
              <w:t>2024</w:t>
            </w:r>
          </w:p>
        </w:tc>
      </w:tr>
      <w:tr w:rsidR="004D69BF" w:rsidRPr="001F4D7C" w14:paraId="04EE6912" w14:textId="77777777" w:rsidTr="000240DA">
        <w:trPr>
          <w:jc w:val="center"/>
        </w:trPr>
        <w:tc>
          <w:tcPr>
            <w:tcW w:w="1169" w:type="dxa"/>
            <w:vAlign w:val="center"/>
          </w:tcPr>
          <w:p w14:paraId="08A1D292" w14:textId="77777777" w:rsidR="004D69BF" w:rsidRPr="00592DD4" w:rsidRDefault="004D69BF" w:rsidP="000240DA">
            <w:pPr>
              <w:spacing w:after="0" w:line="240" w:lineRule="auto"/>
              <w:rPr>
                <w:rFonts w:cs="Times New Roman"/>
              </w:rPr>
            </w:pPr>
            <w:r w:rsidRPr="00592DD4">
              <w:rPr>
                <w:rFonts w:cs="Times New Roman"/>
              </w:rPr>
              <w:t xml:space="preserve">Tab. č. 7   </w:t>
            </w:r>
          </w:p>
        </w:tc>
        <w:tc>
          <w:tcPr>
            <w:tcW w:w="8080" w:type="dxa"/>
            <w:vAlign w:val="center"/>
          </w:tcPr>
          <w:p w14:paraId="4317D90C" w14:textId="77777777" w:rsidR="004D69BF" w:rsidRPr="00592DD4" w:rsidRDefault="004D69BF" w:rsidP="000240DA">
            <w:pPr>
              <w:spacing w:after="0" w:line="240" w:lineRule="auto"/>
              <w:rPr>
                <w:rFonts w:cs="Times New Roman"/>
              </w:rPr>
            </w:pPr>
            <w:r w:rsidRPr="00592DD4">
              <w:rPr>
                <w:rFonts w:cs="Times New Roman"/>
              </w:rPr>
              <w:t xml:space="preserve">Výdavky štátneho rozpočtu podľa kategórií a kapitol ŠR za rok </w:t>
            </w:r>
            <w:r>
              <w:rPr>
                <w:rFonts w:cs="Times New Roman"/>
              </w:rPr>
              <w:t>2024</w:t>
            </w:r>
          </w:p>
        </w:tc>
      </w:tr>
      <w:tr w:rsidR="004D69BF" w:rsidRPr="001F4D7C" w14:paraId="0FFAAA88" w14:textId="77777777" w:rsidTr="000240DA">
        <w:trPr>
          <w:jc w:val="center"/>
        </w:trPr>
        <w:tc>
          <w:tcPr>
            <w:tcW w:w="1169" w:type="dxa"/>
            <w:vAlign w:val="center"/>
          </w:tcPr>
          <w:p w14:paraId="4941847F" w14:textId="77777777" w:rsidR="004D69BF" w:rsidRPr="00592DD4" w:rsidRDefault="004D69BF" w:rsidP="000240DA">
            <w:pPr>
              <w:spacing w:after="0" w:line="240" w:lineRule="auto"/>
              <w:rPr>
                <w:rFonts w:cs="Times New Roman"/>
              </w:rPr>
            </w:pPr>
            <w:r w:rsidRPr="00592DD4">
              <w:rPr>
                <w:rFonts w:cs="Times New Roman"/>
              </w:rPr>
              <w:t xml:space="preserve">Tab. č. 8   </w:t>
            </w:r>
          </w:p>
        </w:tc>
        <w:tc>
          <w:tcPr>
            <w:tcW w:w="8080" w:type="dxa"/>
            <w:vAlign w:val="center"/>
          </w:tcPr>
          <w:p w14:paraId="7184D560" w14:textId="77777777" w:rsidR="004D69BF" w:rsidRPr="00592DD4" w:rsidRDefault="004D69BF" w:rsidP="000240DA">
            <w:pPr>
              <w:spacing w:after="0" w:line="240" w:lineRule="auto"/>
              <w:rPr>
                <w:rFonts w:cs="Times New Roman"/>
              </w:rPr>
            </w:pPr>
            <w:r w:rsidRPr="00592DD4">
              <w:rPr>
                <w:rFonts w:cs="Times New Roman"/>
              </w:rPr>
              <w:t xml:space="preserve">Bežné transfery za rok </w:t>
            </w:r>
            <w:r>
              <w:rPr>
                <w:rFonts w:cs="Times New Roman"/>
              </w:rPr>
              <w:t>2024</w:t>
            </w:r>
          </w:p>
        </w:tc>
      </w:tr>
      <w:tr w:rsidR="004D69BF" w:rsidRPr="001F4D7C" w14:paraId="13A4AEA2" w14:textId="77777777" w:rsidTr="000240DA">
        <w:trPr>
          <w:jc w:val="center"/>
        </w:trPr>
        <w:tc>
          <w:tcPr>
            <w:tcW w:w="1169" w:type="dxa"/>
            <w:vAlign w:val="center"/>
          </w:tcPr>
          <w:p w14:paraId="1E6CD131" w14:textId="77777777" w:rsidR="004D69BF" w:rsidRPr="00592DD4" w:rsidRDefault="004D69BF" w:rsidP="000240DA">
            <w:pPr>
              <w:spacing w:after="0" w:line="240" w:lineRule="auto"/>
              <w:rPr>
                <w:rFonts w:cs="Times New Roman"/>
              </w:rPr>
            </w:pPr>
            <w:r w:rsidRPr="00592DD4">
              <w:rPr>
                <w:rFonts w:cs="Times New Roman"/>
              </w:rPr>
              <w:t xml:space="preserve">Tab. č. 9   </w:t>
            </w:r>
          </w:p>
        </w:tc>
        <w:tc>
          <w:tcPr>
            <w:tcW w:w="8080" w:type="dxa"/>
            <w:vAlign w:val="center"/>
          </w:tcPr>
          <w:p w14:paraId="4FA1F79A" w14:textId="77777777" w:rsidR="004D69BF" w:rsidRPr="00592DD4" w:rsidRDefault="004D69BF" w:rsidP="000240DA">
            <w:pPr>
              <w:spacing w:after="0" w:line="240" w:lineRule="auto"/>
              <w:rPr>
                <w:rFonts w:cs="Times New Roman"/>
              </w:rPr>
            </w:pPr>
            <w:r w:rsidRPr="00592DD4">
              <w:rPr>
                <w:rFonts w:cs="Times New Roman"/>
              </w:rPr>
              <w:t xml:space="preserve">Kapitálové výdavky za rok </w:t>
            </w:r>
            <w:r>
              <w:rPr>
                <w:rFonts w:cs="Times New Roman"/>
              </w:rPr>
              <w:t>2024</w:t>
            </w:r>
          </w:p>
        </w:tc>
      </w:tr>
      <w:tr w:rsidR="004D69BF" w:rsidRPr="001F4D7C" w14:paraId="672CFF57" w14:textId="77777777" w:rsidTr="000240DA">
        <w:trPr>
          <w:jc w:val="center"/>
        </w:trPr>
        <w:tc>
          <w:tcPr>
            <w:tcW w:w="1169" w:type="dxa"/>
            <w:vAlign w:val="center"/>
          </w:tcPr>
          <w:p w14:paraId="2FCC2E9B" w14:textId="77777777" w:rsidR="004D69BF" w:rsidRPr="00592DD4" w:rsidRDefault="004D69BF" w:rsidP="000240DA">
            <w:pPr>
              <w:spacing w:after="0" w:line="240" w:lineRule="auto"/>
              <w:rPr>
                <w:rFonts w:cs="Times New Roman"/>
              </w:rPr>
            </w:pPr>
            <w:r w:rsidRPr="00592DD4">
              <w:rPr>
                <w:rFonts w:cs="Times New Roman"/>
              </w:rPr>
              <w:t xml:space="preserve">Tab. č. 10   </w:t>
            </w:r>
          </w:p>
        </w:tc>
        <w:tc>
          <w:tcPr>
            <w:tcW w:w="8080" w:type="dxa"/>
            <w:vAlign w:val="center"/>
          </w:tcPr>
          <w:p w14:paraId="4724BB29" w14:textId="77777777" w:rsidR="004D69BF" w:rsidRPr="00592DD4" w:rsidRDefault="004D69BF" w:rsidP="000240DA">
            <w:pPr>
              <w:spacing w:after="0" w:line="240" w:lineRule="auto"/>
              <w:rPr>
                <w:rFonts w:cs="Times New Roman"/>
              </w:rPr>
            </w:pPr>
            <w:r w:rsidRPr="00592DD4">
              <w:rPr>
                <w:rFonts w:cs="Times New Roman"/>
              </w:rPr>
              <w:t xml:space="preserve">Finančné operácie na samostatných účtoch štátnych rozpočtových organizácií za rok </w:t>
            </w:r>
            <w:r>
              <w:rPr>
                <w:rFonts w:cs="Times New Roman"/>
              </w:rPr>
              <w:t>2024</w:t>
            </w:r>
          </w:p>
        </w:tc>
      </w:tr>
      <w:tr w:rsidR="004D69BF" w:rsidRPr="001F4D7C" w14:paraId="3CCA5FEC" w14:textId="77777777" w:rsidTr="000240DA">
        <w:trPr>
          <w:trHeight w:val="242"/>
          <w:jc w:val="center"/>
        </w:trPr>
        <w:tc>
          <w:tcPr>
            <w:tcW w:w="1169" w:type="dxa"/>
            <w:vAlign w:val="center"/>
          </w:tcPr>
          <w:p w14:paraId="444C9894" w14:textId="77777777" w:rsidR="004D69BF" w:rsidRPr="00592DD4" w:rsidRDefault="004D69BF" w:rsidP="000240DA">
            <w:pPr>
              <w:spacing w:after="0" w:line="240" w:lineRule="auto"/>
              <w:rPr>
                <w:rFonts w:cs="Times New Roman"/>
              </w:rPr>
            </w:pPr>
            <w:r w:rsidRPr="00592DD4">
              <w:rPr>
                <w:rFonts w:cs="Times New Roman"/>
              </w:rPr>
              <w:t xml:space="preserve">Tab. č. 11  </w:t>
            </w:r>
          </w:p>
        </w:tc>
        <w:tc>
          <w:tcPr>
            <w:tcW w:w="8080" w:type="dxa"/>
            <w:vAlign w:val="center"/>
          </w:tcPr>
          <w:p w14:paraId="498635CA" w14:textId="77777777" w:rsidR="004D69BF" w:rsidRPr="00592DD4" w:rsidRDefault="004D69BF" w:rsidP="000240DA">
            <w:pPr>
              <w:spacing w:after="0" w:line="240" w:lineRule="auto"/>
              <w:rPr>
                <w:rFonts w:cs="Times New Roman"/>
              </w:rPr>
            </w:pPr>
            <w:r w:rsidRPr="00592DD4">
              <w:rPr>
                <w:rFonts w:cs="Times New Roman"/>
              </w:rPr>
              <w:t xml:space="preserve">Výdavky štátneho rozpočtu podľa funkčnej klasifikácie za rok </w:t>
            </w:r>
            <w:r>
              <w:rPr>
                <w:rFonts w:cs="Times New Roman"/>
              </w:rPr>
              <w:t>2024</w:t>
            </w:r>
          </w:p>
        </w:tc>
      </w:tr>
      <w:tr w:rsidR="004D69BF" w:rsidRPr="001F4D7C" w14:paraId="0F1763E8" w14:textId="77777777" w:rsidTr="000240DA">
        <w:trPr>
          <w:trHeight w:val="242"/>
          <w:jc w:val="center"/>
        </w:trPr>
        <w:tc>
          <w:tcPr>
            <w:tcW w:w="1169" w:type="dxa"/>
            <w:vAlign w:val="center"/>
          </w:tcPr>
          <w:p w14:paraId="3ACEBCE6" w14:textId="77777777" w:rsidR="004D69BF" w:rsidRPr="00592DD4" w:rsidRDefault="004D69BF" w:rsidP="000240DA">
            <w:pPr>
              <w:spacing w:after="0" w:line="240" w:lineRule="auto"/>
              <w:rPr>
                <w:rFonts w:cs="Times New Roman"/>
              </w:rPr>
            </w:pPr>
            <w:r w:rsidRPr="00592DD4">
              <w:rPr>
                <w:rFonts w:cs="Times New Roman"/>
              </w:rPr>
              <w:t>Tab. č. 12</w:t>
            </w:r>
          </w:p>
        </w:tc>
        <w:tc>
          <w:tcPr>
            <w:tcW w:w="8080" w:type="dxa"/>
            <w:vAlign w:val="center"/>
          </w:tcPr>
          <w:p w14:paraId="28318711" w14:textId="77777777" w:rsidR="004D69BF" w:rsidRPr="00592DD4" w:rsidRDefault="004D69BF" w:rsidP="000240DA">
            <w:pPr>
              <w:spacing w:after="0" w:line="240" w:lineRule="auto"/>
              <w:rPr>
                <w:rFonts w:cs="Times New Roman"/>
              </w:rPr>
            </w:pPr>
            <w:r w:rsidRPr="00592DD4">
              <w:rPr>
                <w:rFonts w:cs="Times New Roman"/>
                <w:bCs/>
                <w:lang w:eastAsia="sk-SK"/>
              </w:rPr>
              <w:t xml:space="preserve">Výdavky štátneho rozpočtu podľa kapitol ŠR a zdrojov v roku </w:t>
            </w:r>
            <w:r>
              <w:rPr>
                <w:rFonts w:cs="Times New Roman"/>
              </w:rPr>
              <w:t>2024</w:t>
            </w:r>
          </w:p>
        </w:tc>
      </w:tr>
      <w:tr w:rsidR="004D69BF" w:rsidRPr="001F4D7C" w14:paraId="070EBD33" w14:textId="77777777" w:rsidTr="000240DA">
        <w:trPr>
          <w:trHeight w:val="242"/>
          <w:jc w:val="center"/>
        </w:trPr>
        <w:tc>
          <w:tcPr>
            <w:tcW w:w="1169" w:type="dxa"/>
            <w:vAlign w:val="center"/>
          </w:tcPr>
          <w:p w14:paraId="0F606EC3" w14:textId="77777777" w:rsidR="004D69BF" w:rsidRPr="00592DD4" w:rsidRDefault="004D69BF" w:rsidP="000240DA">
            <w:pPr>
              <w:spacing w:after="0" w:line="240" w:lineRule="auto"/>
              <w:rPr>
                <w:rFonts w:cs="Times New Roman"/>
              </w:rPr>
            </w:pPr>
            <w:r w:rsidRPr="00592DD4">
              <w:rPr>
                <w:rFonts w:cs="Times New Roman"/>
              </w:rPr>
              <w:t xml:space="preserve">Tab. č. 13  </w:t>
            </w:r>
          </w:p>
        </w:tc>
        <w:tc>
          <w:tcPr>
            <w:tcW w:w="8080" w:type="dxa"/>
            <w:vAlign w:val="center"/>
          </w:tcPr>
          <w:p w14:paraId="0185DA27" w14:textId="77777777" w:rsidR="004D69BF" w:rsidRPr="00592DD4" w:rsidRDefault="004D69BF" w:rsidP="000240DA">
            <w:pPr>
              <w:spacing w:after="0" w:line="240" w:lineRule="auto"/>
              <w:rPr>
                <w:rFonts w:cs="Times New Roman"/>
              </w:rPr>
            </w:pPr>
            <w:r w:rsidRPr="00592DD4">
              <w:rPr>
                <w:rFonts w:cs="Times New Roman"/>
              </w:rPr>
              <w:t>Výdavky štátneho rozpočtu na vedu a techn</w:t>
            </w:r>
            <w:r>
              <w:rPr>
                <w:rFonts w:cs="Times New Roman"/>
              </w:rPr>
              <w:t>iku podľa kapitol ŠR za rok 2024</w:t>
            </w:r>
          </w:p>
        </w:tc>
      </w:tr>
      <w:tr w:rsidR="004D69BF" w:rsidRPr="001F4D7C" w14:paraId="768E32CA" w14:textId="77777777" w:rsidTr="000240DA">
        <w:trPr>
          <w:trHeight w:val="242"/>
          <w:jc w:val="center"/>
        </w:trPr>
        <w:tc>
          <w:tcPr>
            <w:tcW w:w="1169" w:type="dxa"/>
            <w:vAlign w:val="center"/>
          </w:tcPr>
          <w:p w14:paraId="5B7CF564" w14:textId="77777777" w:rsidR="004D69BF" w:rsidRPr="00592DD4" w:rsidRDefault="004D69BF" w:rsidP="000240DA">
            <w:pPr>
              <w:spacing w:after="0" w:line="240" w:lineRule="auto"/>
              <w:rPr>
                <w:rFonts w:cs="Times New Roman"/>
              </w:rPr>
            </w:pPr>
            <w:r w:rsidRPr="00592DD4">
              <w:rPr>
                <w:rFonts w:cs="Times New Roman"/>
              </w:rPr>
              <w:t>Tab. č. 14</w:t>
            </w:r>
          </w:p>
        </w:tc>
        <w:tc>
          <w:tcPr>
            <w:tcW w:w="8080" w:type="dxa"/>
            <w:vAlign w:val="center"/>
          </w:tcPr>
          <w:p w14:paraId="63DED495" w14:textId="77777777" w:rsidR="004D69BF" w:rsidRPr="00592DD4" w:rsidRDefault="004D69BF" w:rsidP="000240DA">
            <w:pPr>
              <w:spacing w:after="0" w:line="240" w:lineRule="auto"/>
              <w:rPr>
                <w:rFonts w:cs="Times New Roman"/>
              </w:rPr>
            </w:pPr>
            <w:r w:rsidRPr="00592DD4">
              <w:rPr>
                <w:rFonts w:cs="Times New Roman"/>
              </w:rPr>
              <w:t xml:space="preserve">Výdavky štátneho rozpočtu na vedu a techniku podľa funkčnej klasifikácie za rok </w:t>
            </w:r>
            <w:r>
              <w:rPr>
                <w:rFonts w:cs="Times New Roman"/>
              </w:rPr>
              <w:t>2024</w:t>
            </w:r>
          </w:p>
        </w:tc>
      </w:tr>
      <w:tr w:rsidR="004D69BF" w:rsidRPr="001F4D7C" w14:paraId="31B0478C" w14:textId="77777777" w:rsidTr="000240DA">
        <w:trPr>
          <w:trHeight w:val="242"/>
          <w:jc w:val="center"/>
        </w:trPr>
        <w:tc>
          <w:tcPr>
            <w:tcW w:w="1169" w:type="dxa"/>
            <w:vAlign w:val="center"/>
          </w:tcPr>
          <w:p w14:paraId="483F6758" w14:textId="77777777" w:rsidR="004D69BF" w:rsidRPr="00592DD4" w:rsidRDefault="004D69BF" w:rsidP="000240DA">
            <w:pPr>
              <w:spacing w:after="0" w:line="240" w:lineRule="auto"/>
              <w:rPr>
                <w:rFonts w:cs="Times New Roman"/>
              </w:rPr>
            </w:pPr>
            <w:r w:rsidRPr="00592DD4">
              <w:rPr>
                <w:rFonts w:cs="Times New Roman"/>
              </w:rPr>
              <w:t>Tab. č. 15</w:t>
            </w:r>
          </w:p>
        </w:tc>
        <w:tc>
          <w:tcPr>
            <w:tcW w:w="8080" w:type="dxa"/>
            <w:vAlign w:val="center"/>
          </w:tcPr>
          <w:p w14:paraId="436C6D77" w14:textId="77777777" w:rsidR="004D69BF" w:rsidRPr="00592DD4" w:rsidRDefault="004D69BF" w:rsidP="000240DA">
            <w:pPr>
              <w:spacing w:after="0" w:line="240" w:lineRule="auto"/>
              <w:rPr>
                <w:rFonts w:cs="Times New Roman"/>
              </w:rPr>
            </w:pPr>
            <w:r w:rsidRPr="00E42AD5">
              <w:rPr>
                <w:rFonts w:cs="Times New Roman"/>
              </w:rPr>
              <w:t xml:space="preserve">Čerpanie rezervy predsedu vlády SR za rok </w:t>
            </w:r>
            <w:r>
              <w:rPr>
                <w:rFonts w:cs="Times New Roman"/>
              </w:rPr>
              <w:t>2024</w:t>
            </w:r>
          </w:p>
        </w:tc>
      </w:tr>
      <w:tr w:rsidR="004D69BF" w:rsidRPr="001F4D7C" w14:paraId="2EAC8289" w14:textId="77777777" w:rsidTr="000240DA">
        <w:trPr>
          <w:jc w:val="center"/>
        </w:trPr>
        <w:tc>
          <w:tcPr>
            <w:tcW w:w="1169" w:type="dxa"/>
            <w:vAlign w:val="center"/>
          </w:tcPr>
          <w:p w14:paraId="52B58D1E" w14:textId="77777777" w:rsidR="004D69BF" w:rsidRPr="00592DD4" w:rsidRDefault="004D69BF" w:rsidP="000240DA">
            <w:pPr>
              <w:spacing w:after="0" w:line="240" w:lineRule="auto"/>
              <w:rPr>
                <w:rFonts w:cs="Times New Roman"/>
              </w:rPr>
            </w:pPr>
            <w:r w:rsidRPr="00592DD4">
              <w:rPr>
                <w:rFonts w:cs="Times New Roman"/>
              </w:rPr>
              <w:t>Tab. č. 16</w:t>
            </w:r>
          </w:p>
        </w:tc>
        <w:tc>
          <w:tcPr>
            <w:tcW w:w="8080" w:type="dxa"/>
            <w:vAlign w:val="center"/>
          </w:tcPr>
          <w:p w14:paraId="19F387C6" w14:textId="77777777" w:rsidR="004D69BF" w:rsidRPr="00592DD4" w:rsidRDefault="004D69BF" w:rsidP="000240DA">
            <w:pPr>
              <w:spacing w:after="0" w:line="240" w:lineRule="auto"/>
              <w:rPr>
                <w:rFonts w:cs="Times New Roman"/>
              </w:rPr>
            </w:pPr>
            <w:r w:rsidRPr="00592DD4">
              <w:rPr>
                <w:rFonts w:cs="Times New Roman"/>
              </w:rPr>
              <w:t xml:space="preserve">Prehľad výdavkov štátneho rozpočtu na </w:t>
            </w:r>
            <w:r>
              <w:rPr>
                <w:rFonts w:cs="Times New Roman"/>
              </w:rPr>
              <w:t>realizáciu programov za rok 2024</w:t>
            </w:r>
          </w:p>
        </w:tc>
      </w:tr>
      <w:tr w:rsidR="004D69BF" w:rsidRPr="00E42AD5" w14:paraId="2C6170EC" w14:textId="77777777" w:rsidTr="000240DA">
        <w:trPr>
          <w:jc w:val="center"/>
        </w:trPr>
        <w:tc>
          <w:tcPr>
            <w:tcW w:w="1169" w:type="dxa"/>
          </w:tcPr>
          <w:p w14:paraId="2B187FD0" w14:textId="77777777" w:rsidR="004D69BF" w:rsidRPr="00592DD4" w:rsidRDefault="004D69BF" w:rsidP="000240DA">
            <w:pPr>
              <w:spacing w:after="0" w:line="240" w:lineRule="auto"/>
              <w:rPr>
                <w:rFonts w:cs="Times New Roman"/>
              </w:rPr>
            </w:pPr>
            <w:r w:rsidRPr="00592DD4">
              <w:rPr>
                <w:rFonts w:cs="Times New Roman"/>
              </w:rPr>
              <w:t>Tab. č. 17</w:t>
            </w:r>
          </w:p>
        </w:tc>
        <w:tc>
          <w:tcPr>
            <w:tcW w:w="8080" w:type="dxa"/>
            <w:vAlign w:val="center"/>
          </w:tcPr>
          <w:p w14:paraId="65EC1152" w14:textId="77777777" w:rsidR="004D69BF" w:rsidRPr="00592DD4" w:rsidRDefault="004D69BF" w:rsidP="000240DA">
            <w:pPr>
              <w:spacing w:after="0" w:line="240" w:lineRule="auto"/>
              <w:rPr>
                <w:rFonts w:cs="Times New Roman"/>
              </w:rPr>
            </w:pPr>
            <w:r w:rsidRPr="00592DD4">
              <w:rPr>
                <w:rFonts w:cs="Times New Roman"/>
              </w:rPr>
              <w:t>Prehľad príjmov a</w:t>
            </w:r>
            <w:r>
              <w:rPr>
                <w:rFonts w:cs="Times New Roman"/>
              </w:rPr>
              <w:t xml:space="preserve"> </w:t>
            </w:r>
            <w:r w:rsidRPr="00592DD4">
              <w:rPr>
                <w:rFonts w:cs="Times New Roman"/>
              </w:rPr>
              <w:t>výdavkov z rozpočtu Európsk</w:t>
            </w:r>
            <w:r>
              <w:rPr>
                <w:rFonts w:cs="Times New Roman"/>
              </w:rPr>
              <w:t xml:space="preserve">ej únie zaradených do príjmov a </w:t>
            </w:r>
            <w:r w:rsidRPr="00592DD4">
              <w:rPr>
                <w:rFonts w:cs="Times New Roman"/>
              </w:rPr>
              <w:t>výdavkov štátneho rozpočtu podľa kapitol ŠR</w:t>
            </w:r>
          </w:p>
        </w:tc>
      </w:tr>
      <w:tr w:rsidR="004D69BF" w:rsidRPr="001F4D7C" w14:paraId="493F9E23" w14:textId="77777777" w:rsidTr="000240DA">
        <w:trPr>
          <w:jc w:val="center"/>
        </w:trPr>
        <w:tc>
          <w:tcPr>
            <w:tcW w:w="1169" w:type="dxa"/>
          </w:tcPr>
          <w:p w14:paraId="3135EA6C" w14:textId="77777777" w:rsidR="004D69BF" w:rsidRPr="00592DD4" w:rsidRDefault="004D69BF" w:rsidP="000240DA">
            <w:pPr>
              <w:spacing w:after="0" w:line="240" w:lineRule="auto"/>
              <w:rPr>
                <w:rFonts w:cs="Times New Roman"/>
              </w:rPr>
            </w:pPr>
            <w:r w:rsidRPr="00592DD4">
              <w:rPr>
                <w:rFonts w:cs="Times New Roman"/>
              </w:rPr>
              <w:t>Tab. č. 18</w:t>
            </w:r>
          </w:p>
        </w:tc>
        <w:tc>
          <w:tcPr>
            <w:tcW w:w="8080" w:type="dxa"/>
            <w:vAlign w:val="center"/>
          </w:tcPr>
          <w:p w14:paraId="7C6EFF28" w14:textId="77777777" w:rsidR="004D69BF" w:rsidRPr="00592DD4" w:rsidRDefault="004D69BF" w:rsidP="000240DA">
            <w:pPr>
              <w:spacing w:after="0" w:line="240" w:lineRule="auto"/>
              <w:rPr>
                <w:rFonts w:cs="Times New Roman"/>
              </w:rPr>
            </w:pPr>
            <w:r w:rsidRPr="00592DD4">
              <w:rPr>
                <w:rFonts w:cs="Times New Roman"/>
                <w:bCs/>
                <w:lang w:eastAsia="sk-SK"/>
              </w:rPr>
              <w:t xml:space="preserve">Prostriedky </w:t>
            </w:r>
            <w:r>
              <w:rPr>
                <w:rFonts w:cs="Times New Roman"/>
                <w:bCs/>
                <w:lang w:eastAsia="sk-SK"/>
              </w:rPr>
              <w:t>ŠR</w:t>
            </w:r>
            <w:r w:rsidRPr="00592DD4">
              <w:rPr>
                <w:rFonts w:cs="Times New Roman"/>
                <w:bCs/>
                <w:lang w:eastAsia="sk-SK"/>
              </w:rPr>
              <w:t xml:space="preserve"> na financovanie spoločných programov </w:t>
            </w:r>
            <w:r>
              <w:rPr>
                <w:rFonts w:cs="Times New Roman"/>
                <w:bCs/>
                <w:lang w:eastAsia="sk-SK"/>
              </w:rPr>
              <w:t>SR</w:t>
            </w:r>
            <w:r w:rsidRPr="00592DD4">
              <w:rPr>
                <w:rFonts w:cs="Times New Roman"/>
                <w:bCs/>
                <w:lang w:eastAsia="sk-SK"/>
              </w:rPr>
              <w:t xml:space="preserve"> a EÚ podľa kapitol ŠR</w:t>
            </w:r>
          </w:p>
        </w:tc>
      </w:tr>
      <w:tr w:rsidR="004D69BF" w:rsidRPr="001F4D7C" w14:paraId="68B1A46E" w14:textId="77777777" w:rsidTr="000240DA">
        <w:trPr>
          <w:jc w:val="center"/>
        </w:trPr>
        <w:tc>
          <w:tcPr>
            <w:tcW w:w="1169" w:type="dxa"/>
            <w:vAlign w:val="center"/>
          </w:tcPr>
          <w:p w14:paraId="28A28141" w14:textId="77777777" w:rsidR="004D69BF" w:rsidRPr="00592DD4" w:rsidRDefault="004D69BF" w:rsidP="000240DA">
            <w:pPr>
              <w:tabs>
                <w:tab w:val="left" w:pos="1310"/>
              </w:tabs>
              <w:spacing w:after="0" w:line="240" w:lineRule="auto"/>
              <w:ind w:right="34"/>
              <w:rPr>
                <w:rFonts w:cs="Times New Roman"/>
              </w:rPr>
            </w:pPr>
            <w:r w:rsidRPr="00592DD4">
              <w:rPr>
                <w:rFonts w:cs="Times New Roman"/>
              </w:rPr>
              <w:t>Tab. č. 19</w:t>
            </w:r>
          </w:p>
        </w:tc>
        <w:tc>
          <w:tcPr>
            <w:tcW w:w="8080" w:type="dxa"/>
            <w:vAlign w:val="center"/>
          </w:tcPr>
          <w:p w14:paraId="7D455A99" w14:textId="77777777" w:rsidR="004D69BF" w:rsidRPr="00592DD4" w:rsidRDefault="004D69BF" w:rsidP="000240DA">
            <w:pPr>
              <w:spacing w:after="0" w:line="240" w:lineRule="auto"/>
              <w:rPr>
                <w:rFonts w:cs="Times New Roman"/>
              </w:rPr>
            </w:pPr>
            <w:r w:rsidRPr="00592DD4">
              <w:rPr>
                <w:rFonts w:cs="Times New Roman"/>
              </w:rPr>
              <w:t xml:space="preserve">Prehľad vzťahu jednotlivých kapitol ŠR k štátnemu rozpočtu za rok </w:t>
            </w:r>
            <w:r>
              <w:rPr>
                <w:rFonts w:cs="Times New Roman"/>
              </w:rPr>
              <w:t>2024</w:t>
            </w:r>
          </w:p>
        </w:tc>
      </w:tr>
      <w:tr w:rsidR="004D69BF" w:rsidRPr="001F4D7C" w14:paraId="7FE738FD" w14:textId="77777777" w:rsidTr="000240DA">
        <w:trPr>
          <w:jc w:val="center"/>
        </w:trPr>
        <w:tc>
          <w:tcPr>
            <w:tcW w:w="1169" w:type="dxa"/>
            <w:vAlign w:val="center"/>
          </w:tcPr>
          <w:p w14:paraId="01FDEBC1" w14:textId="77777777" w:rsidR="004D69BF" w:rsidRPr="00592DD4" w:rsidRDefault="004D69BF" w:rsidP="000240DA">
            <w:pPr>
              <w:spacing w:after="0" w:line="240" w:lineRule="auto"/>
              <w:rPr>
                <w:rFonts w:cs="Times New Roman"/>
              </w:rPr>
            </w:pPr>
            <w:r>
              <w:rPr>
                <w:rFonts w:cs="Times New Roman"/>
              </w:rPr>
              <w:t>Tab. č. 20</w:t>
            </w:r>
          </w:p>
        </w:tc>
        <w:tc>
          <w:tcPr>
            <w:tcW w:w="8080" w:type="dxa"/>
            <w:vAlign w:val="center"/>
          </w:tcPr>
          <w:p w14:paraId="0549EBC9" w14:textId="77777777" w:rsidR="004D69BF" w:rsidRPr="00592DD4" w:rsidRDefault="004D69BF" w:rsidP="000240DA">
            <w:pPr>
              <w:spacing w:after="0" w:line="240" w:lineRule="auto"/>
              <w:rPr>
                <w:rFonts w:cs="Times New Roman"/>
              </w:rPr>
            </w:pPr>
            <w:r w:rsidRPr="00592DD4">
              <w:rPr>
                <w:rFonts w:cs="Times New Roman"/>
              </w:rPr>
              <w:t xml:space="preserve">Vývoj príjmov a výdavkov štátneho rozpočtu v rokoch </w:t>
            </w:r>
            <w:r>
              <w:rPr>
                <w:rFonts w:cs="Times New Roman"/>
              </w:rPr>
              <w:t>2024 a 2023</w:t>
            </w:r>
          </w:p>
        </w:tc>
      </w:tr>
      <w:tr w:rsidR="004D69BF" w:rsidRPr="001F4D7C" w14:paraId="2E82BA7A" w14:textId="77777777" w:rsidTr="000240DA">
        <w:trPr>
          <w:jc w:val="center"/>
        </w:trPr>
        <w:tc>
          <w:tcPr>
            <w:tcW w:w="1169" w:type="dxa"/>
            <w:vAlign w:val="center"/>
          </w:tcPr>
          <w:p w14:paraId="648230DE" w14:textId="77777777" w:rsidR="004D69BF" w:rsidRPr="00592DD4" w:rsidRDefault="004D69BF" w:rsidP="000240DA">
            <w:pPr>
              <w:spacing w:after="0" w:line="240" w:lineRule="auto"/>
              <w:rPr>
                <w:rFonts w:cs="Times New Roman"/>
              </w:rPr>
            </w:pPr>
            <w:r w:rsidRPr="00592DD4">
              <w:rPr>
                <w:rFonts w:cs="Times New Roman"/>
              </w:rPr>
              <w:t>Tab. č. 21</w:t>
            </w:r>
          </w:p>
        </w:tc>
        <w:tc>
          <w:tcPr>
            <w:tcW w:w="8080" w:type="dxa"/>
            <w:vAlign w:val="center"/>
          </w:tcPr>
          <w:p w14:paraId="7199A603" w14:textId="77777777" w:rsidR="004D69BF" w:rsidRPr="00592DD4" w:rsidRDefault="004D69BF" w:rsidP="000240DA">
            <w:pPr>
              <w:spacing w:after="0" w:line="240" w:lineRule="auto"/>
              <w:rPr>
                <w:rFonts w:cs="Times New Roman"/>
              </w:rPr>
            </w:pPr>
            <w:r w:rsidRPr="00592DD4">
              <w:rPr>
                <w:rFonts w:cs="Times New Roman"/>
              </w:rPr>
              <w:t xml:space="preserve">Záväzné limity </w:t>
            </w:r>
            <w:r>
              <w:rPr>
                <w:rFonts w:cs="Times New Roman"/>
              </w:rPr>
              <w:t>dotácií zo ŠR obciam za rok 2024</w:t>
            </w:r>
          </w:p>
        </w:tc>
      </w:tr>
      <w:tr w:rsidR="004D69BF" w:rsidRPr="001F4D7C" w14:paraId="0E6E179E" w14:textId="77777777" w:rsidTr="000240DA">
        <w:trPr>
          <w:trHeight w:val="242"/>
          <w:jc w:val="center"/>
        </w:trPr>
        <w:tc>
          <w:tcPr>
            <w:tcW w:w="1169" w:type="dxa"/>
            <w:vAlign w:val="center"/>
          </w:tcPr>
          <w:p w14:paraId="683897AF" w14:textId="77777777" w:rsidR="004D69BF" w:rsidRPr="00592DD4" w:rsidRDefault="004D69BF" w:rsidP="000240DA">
            <w:pPr>
              <w:spacing w:after="0" w:line="240" w:lineRule="auto"/>
              <w:rPr>
                <w:rFonts w:cs="Times New Roman"/>
              </w:rPr>
            </w:pPr>
            <w:r w:rsidRPr="00592DD4">
              <w:rPr>
                <w:rFonts w:cs="Times New Roman"/>
              </w:rPr>
              <w:t>Tab. č. 22</w:t>
            </w:r>
          </w:p>
        </w:tc>
        <w:tc>
          <w:tcPr>
            <w:tcW w:w="8080" w:type="dxa"/>
            <w:vAlign w:val="center"/>
          </w:tcPr>
          <w:p w14:paraId="5E200BB5" w14:textId="77777777" w:rsidR="004D69BF" w:rsidRPr="00592DD4" w:rsidRDefault="004D69BF" w:rsidP="000240DA">
            <w:pPr>
              <w:spacing w:after="0" w:line="240" w:lineRule="auto"/>
              <w:rPr>
                <w:rFonts w:cs="Times New Roman"/>
              </w:rPr>
            </w:pPr>
            <w:r w:rsidRPr="00592DD4">
              <w:rPr>
                <w:rFonts w:cs="Times New Roman"/>
              </w:rPr>
              <w:t xml:space="preserve">Záväzné limity dotácií zo ŠR vyšším územným celkom za rok </w:t>
            </w:r>
            <w:r>
              <w:rPr>
                <w:rFonts w:cs="Times New Roman"/>
              </w:rPr>
              <w:t>2024</w:t>
            </w:r>
          </w:p>
        </w:tc>
      </w:tr>
      <w:tr w:rsidR="004D69BF" w:rsidRPr="001F4D7C" w14:paraId="633B8A83" w14:textId="77777777" w:rsidTr="000240DA">
        <w:trPr>
          <w:jc w:val="center"/>
        </w:trPr>
        <w:tc>
          <w:tcPr>
            <w:tcW w:w="1169" w:type="dxa"/>
            <w:vAlign w:val="center"/>
          </w:tcPr>
          <w:p w14:paraId="308CBB5A" w14:textId="77777777" w:rsidR="004D69BF" w:rsidRPr="00592DD4" w:rsidRDefault="004D69BF" w:rsidP="000240DA">
            <w:pPr>
              <w:spacing w:after="0" w:line="240" w:lineRule="auto"/>
              <w:rPr>
                <w:rFonts w:cs="Times New Roman"/>
              </w:rPr>
            </w:pPr>
            <w:r w:rsidRPr="00592DD4">
              <w:rPr>
                <w:rFonts w:cs="Times New Roman"/>
              </w:rPr>
              <w:t>Tab. č. 23</w:t>
            </w:r>
          </w:p>
        </w:tc>
        <w:tc>
          <w:tcPr>
            <w:tcW w:w="8080" w:type="dxa"/>
            <w:vAlign w:val="center"/>
          </w:tcPr>
          <w:p w14:paraId="21FC32F4" w14:textId="77777777" w:rsidR="004D69BF" w:rsidRPr="00592DD4" w:rsidRDefault="004D69BF" w:rsidP="000240DA">
            <w:pPr>
              <w:spacing w:after="0" w:line="240" w:lineRule="auto"/>
              <w:rPr>
                <w:rFonts w:cs="Times New Roman"/>
              </w:rPr>
            </w:pPr>
            <w:r w:rsidRPr="00592DD4">
              <w:rPr>
                <w:rFonts w:cs="Times New Roman"/>
              </w:rPr>
              <w:t xml:space="preserve">Prehľad o plnení limitu počtu zamestnancov, miezd, platov, služobných príjmov a ostatných osobných vyrovnaní v kapitolách ŠR za rok </w:t>
            </w:r>
            <w:r>
              <w:rPr>
                <w:rFonts w:cs="Times New Roman"/>
              </w:rPr>
              <w:t>2024</w:t>
            </w:r>
          </w:p>
        </w:tc>
      </w:tr>
      <w:tr w:rsidR="004D69BF" w:rsidRPr="001F4D7C" w14:paraId="41128F09" w14:textId="77777777" w:rsidTr="000240DA">
        <w:trPr>
          <w:jc w:val="center"/>
        </w:trPr>
        <w:tc>
          <w:tcPr>
            <w:tcW w:w="1169" w:type="dxa"/>
            <w:vAlign w:val="center"/>
          </w:tcPr>
          <w:p w14:paraId="7E3DB58D" w14:textId="77777777" w:rsidR="004D69BF" w:rsidRPr="00592DD4" w:rsidRDefault="004D69BF" w:rsidP="000240DA">
            <w:pPr>
              <w:spacing w:after="0" w:line="240" w:lineRule="auto"/>
              <w:rPr>
                <w:rFonts w:cs="Times New Roman"/>
              </w:rPr>
            </w:pPr>
            <w:r w:rsidRPr="00592DD4">
              <w:rPr>
                <w:rFonts w:cs="Times New Roman"/>
              </w:rPr>
              <w:t>Tab. č. 24</w:t>
            </w:r>
          </w:p>
        </w:tc>
        <w:tc>
          <w:tcPr>
            <w:tcW w:w="8080" w:type="dxa"/>
            <w:vAlign w:val="center"/>
          </w:tcPr>
          <w:p w14:paraId="206AECFE" w14:textId="77777777" w:rsidR="004D69BF" w:rsidRPr="00592DD4" w:rsidRDefault="004D69BF" w:rsidP="000240DA">
            <w:pPr>
              <w:spacing w:after="0" w:line="240" w:lineRule="auto"/>
              <w:rPr>
                <w:rFonts w:cs="Times New Roman"/>
              </w:rPr>
            </w:pPr>
            <w:r w:rsidRPr="00592DD4">
              <w:rPr>
                <w:rFonts w:cs="Times New Roman"/>
              </w:rPr>
              <w:t xml:space="preserve">Prehľad o čerpaní miezd, platov, služobných príjmov a ostatných osobných vyrovnaní v kapitolách ŠR za rok </w:t>
            </w:r>
            <w:r>
              <w:rPr>
                <w:rFonts w:cs="Times New Roman"/>
              </w:rPr>
              <w:t>2024</w:t>
            </w:r>
          </w:p>
        </w:tc>
      </w:tr>
      <w:tr w:rsidR="004D69BF" w:rsidRPr="001F4D7C" w14:paraId="7B67A3B6" w14:textId="77777777" w:rsidTr="000240DA">
        <w:trPr>
          <w:jc w:val="center"/>
        </w:trPr>
        <w:tc>
          <w:tcPr>
            <w:tcW w:w="1169" w:type="dxa"/>
            <w:vAlign w:val="center"/>
          </w:tcPr>
          <w:p w14:paraId="0006200B" w14:textId="77777777" w:rsidR="004D69BF" w:rsidRPr="00592DD4" w:rsidRDefault="004D69BF" w:rsidP="000240DA">
            <w:pPr>
              <w:spacing w:after="0" w:line="240" w:lineRule="auto"/>
              <w:rPr>
                <w:rFonts w:cs="Times New Roman"/>
              </w:rPr>
            </w:pPr>
            <w:r w:rsidRPr="00592DD4">
              <w:rPr>
                <w:rFonts w:cs="Times New Roman"/>
              </w:rPr>
              <w:t>Tab. č. 25</w:t>
            </w:r>
          </w:p>
        </w:tc>
        <w:tc>
          <w:tcPr>
            <w:tcW w:w="8080" w:type="dxa"/>
            <w:vAlign w:val="center"/>
          </w:tcPr>
          <w:p w14:paraId="0607FC53" w14:textId="77777777" w:rsidR="004D69BF" w:rsidRPr="00592DD4" w:rsidRDefault="004D69BF" w:rsidP="000240DA">
            <w:pPr>
              <w:spacing w:after="0" w:line="240" w:lineRule="auto"/>
              <w:rPr>
                <w:rFonts w:cs="Times New Roman"/>
              </w:rPr>
            </w:pPr>
            <w:r w:rsidRPr="00592DD4">
              <w:rPr>
                <w:rFonts w:cs="Times New Roman"/>
              </w:rPr>
              <w:t xml:space="preserve">Systemizácia colníkov v štátnej službe za rok </w:t>
            </w:r>
            <w:r>
              <w:rPr>
                <w:rFonts w:cs="Times New Roman"/>
              </w:rPr>
              <w:t>2024</w:t>
            </w:r>
          </w:p>
        </w:tc>
      </w:tr>
      <w:tr w:rsidR="004D69BF" w:rsidRPr="001F4D7C" w14:paraId="035C8BDB" w14:textId="77777777" w:rsidTr="000240DA">
        <w:trPr>
          <w:jc w:val="center"/>
        </w:trPr>
        <w:tc>
          <w:tcPr>
            <w:tcW w:w="1169" w:type="dxa"/>
            <w:vAlign w:val="center"/>
          </w:tcPr>
          <w:p w14:paraId="52008761" w14:textId="77777777" w:rsidR="004D69BF" w:rsidRPr="00592DD4" w:rsidRDefault="004D69BF" w:rsidP="000240DA">
            <w:pPr>
              <w:spacing w:after="0" w:line="240" w:lineRule="auto"/>
              <w:rPr>
                <w:rFonts w:cs="Times New Roman"/>
              </w:rPr>
            </w:pPr>
            <w:r w:rsidRPr="00592DD4">
              <w:rPr>
                <w:rFonts w:cs="Times New Roman"/>
              </w:rPr>
              <w:t>Tab. č. 26</w:t>
            </w:r>
          </w:p>
        </w:tc>
        <w:tc>
          <w:tcPr>
            <w:tcW w:w="8080" w:type="dxa"/>
            <w:vAlign w:val="center"/>
          </w:tcPr>
          <w:p w14:paraId="79566B3A" w14:textId="77777777" w:rsidR="004D69BF" w:rsidRPr="00592DD4" w:rsidRDefault="004D69BF" w:rsidP="000240DA">
            <w:pPr>
              <w:spacing w:after="0" w:line="240" w:lineRule="auto"/>
              <w:rPr>
                <w:rFonts w:cs="Times New Roman"/>
              </w:rPr>
            </w:pPr>
            <w:r w:rsidRPr="00592DD4">
              <w:rPr>
                <w:rFonts w:cs="Times New Roman"/>
                <w:snapToGrid w:val="0"/>
                <w:color w:val="000000"/>
              </w:rPr>
              <w:t xml:space="preserve">Systemizácia príslušníkov Hasičského záchranného zboru a príslušníkov Horskej záchrannej služby v štátnej službe za rok </w:t>
            </w:r>
            <w:r>
              <w:rPr>
                <w:rFonts w:cs="Times New Roman"/>
                <w:snapToGrid w:val="0"/>
                <w:color w:val="000000"/>
              </w:rPr>
              <w:t>2024</w:t>
            </w:r>
          </w:p>
        </w:tc>
      </w:tr>
      <w:tr w:rsidR="004D69BF" w:rsidRPr="001F4D7C" w14:paraId="26CE4102" w14:textId="77777777" w:rsidTr="000240DA">
        <w:trPr>
          <w:jc w:val="center"/>
        </w:trPr>
        <w:tc>
          <w:tcPr>
            <w:tcW w:w="1169" w:type="dxa"/>
            <w:vAlign w:val="center"/>
          </w:tcPr>
          <w:p w14:paraId="106E06BC" w14:textId="77777777" w:rsidR="004D69BF" w:rsidRPr="00592DD4" w:rsidRDefault="004D69BF" w:rsidP="000240DA">
            <w:pPr>
              <w:spacing w:after="0" w:line="240" w:lineRule="auto"/>
              <w:rPr>
                <w:rFonts w:cs="Times New Roman"/>
              </w:rPr>
            </w:pPr>
            <w:r w:rsidRPr="00592DD4">
              <w:rPr>
                <w:rFonts w:cs="Times New Roman"/>
              </w:rPr>
              <w:t>Tab. č. 27</w:t>
            </w:r>
          </w:p>
        </w:tc>
        <w:tc>
          <w:tcPr>
            <w:tcW w:w="8080" w:type="dxa"/>
            <w:vAlign w:val="center"/>
          </w:tcPr>
          <w:p w14:paraId="68051A49" w14:textId="77777777" w:rsidR="004D69BF" w:rsidRPr="00592DD4" w:rsidRDefault="004D69BF" w:rsidP="000240DA">
            <w:pPr>
              <w:spacing w:after="0" w:line="240" w:lineRule="auto"/>
              <w:rPr>
                <w:rFonts w:cs="Times New Roman"/>
              </w:rPr>
            </w:pPr>
            <w:r w:rsidRPr="00592DD4">
              <w:rPr>
                <w:rFonts w:cs="Times New Roman"/>
              </w:rPr>
              <w:t xml:space="preserve">Systemizácia policajtov v štátnej službe za rok </w:t>
            </w:r>
            <w:r>
              <w:rPr>
                <w:rFonts w:cs="Times New Roman"/>
              </w:rPr>
              <w:t>2024</w:t>
            </w:r>
          </w:p>
        </w:tc>
      </w:tr>
      <w:tr w:rsidR="004D69BF" w:rsidRPr="001F4D7C" w14:paraId="13ABB5F9" w14:textId="77777777" w:rsidTr="000240DA">
        <w:trPr>
          <w:jc w:val="center"/>
        </w:trPr>
        <w:tc>
          <w:tcPr>
            <w:tcW w:w="1169" w:type="dxa"/>
            <w:vAlign w:val="center"/>
          </w:tcPr>
          <w:p w14:paraId="51A09F13" w14:textId="77777777" w:rsidR="004D69BF" w:rsidRPr="00592DD4" w:rsidRDefault="004D69BF" w:rsidP="000240DA">
            <w:pPr>
              <w:spacing w:after="0" w:line="240" w:lineRule="auto"/>
              <w:rPr>
                <w:rFonts w:cs="Times New Roman"/>
              </w:rPr>
            </w:pPr>
            <w:r w:rsidRPr="00592DD4">
              <w:rPr>
                <w:rFonts w:cs="Times New Roman"/>
              </w:rPr>
              <w:t>Tab. č. 28</w:t>
            </w:r>
          </w:p>
        </w:tc>
        <w:tc>
          <w:tcPr>
            <w:tcW w:w="8080" w:type="dxa"/>
            <w:vAlign w:val="center"/>
          </w:tcPr>
          <w:p w14:paraId="1A038255" w14:textId="77777777" w:rsidR="004D69BF" w:rsidRPr="00592DD4" w:rsidRDefault="004D69BF" w:rsidP="000240DA">
            <w:pPr>
              <w:spacing w:after="0" w:line="240" w:lineRule="auto"/>
              <w:rPr>
                <w:rFonts w:cs="Times New Roman"/>
              </w:rPr>
            </w:pPr>
            <w:r w:rsidRPr="00592DD4">
              <w:rPr>
                <w:rFonts w:cs="Times New Roman"/>
              </w:rPr>
              <w:t xml:space="preserve">Systemizácia profesionálnych vojakov v štátnej službe za rok </w:t>
            </w:r>
            <w:r>
              <w:rPr>
                <w:rFonts w:cs="Times New Roman"/>
              </w:rPr>
              <w:t>2024</w:t>
            </w:r>
          </w:p>
        </w:tc>
      </w:tr>
      <w:tr w:rsidR="004D69BF" w:rsidRPr="001F4D7C" w14:paraId="01D436CF" w14:textId="77777777" w:rsidTr="000240DA">
        <w:trPr>
          <w:jc w:val="center"/>
        </w:trPr>
        <w:tc>
          <w:tcPr>
            <w:tcW w:w="1169" w:type="dxa"/>
            <w:vAlign w:val="center"/>
          </w:tcPr>
          <w:p w14:paraId="3D70C2AF" w14:textId="77777777" w:rsidR="004D69BF" w:rsidRPr="00592DD4" w:rsidRDefault="004D69BF" w:rsidP="000240DA">
            <w:pPr>
              <w:spacing w:after="0" w:line="240" w:lineRule="auto"/>
              <w:rPr>
                <w:rFonts w:cs="Times New Roman"/>
              </w:rPr>
            </w:pPr>
            <w:r w:rsidRPr="00592DD4">
              <w:rPr>
                <w:rFonts w:cs="Times New Roman"/>
              </w:rPr>
              <w:t>Tab. č. 29</w:t>
            </w:r>
          </w:p>
        </w:tc>
        <w:tc>
          <w:tcPr>
            <w:tcW w:w="8080" w:type="dxa"/>
            <w:vAlign w:val="center"/>
          </w:tcPr>
          <w:p w14:paraId="29E99A61" w14:textId="77777777" w:rsidR="004D69BF" w:rsidRPr="00592DD4" w:rsidRDefault="004D69BF" w:rsidP="000240DA">
            <w:pPr>
              <w:spacing w:after="0" w:line="240" w:lineRule="auto"/>
              <w:rPr>
                <w:rFonts w:cs="Times New Roman"/>
              </w:rPr>
            </w:pPr>
            <w:r w:rsidRPr="00592DD4">
              <w:rPr>
                <w:rFonts w:cs="Times New Roman"/>
              </w:rPr>
              <w:t xml:space="preserve">Príjmy štátnych príspevkových organizácií podľa kategórií a kapitol ŠR za rok </w:t>
            </w:r>
            <w:r>
              <w:rPr>
                <w:rFonts w:cs="Times New Roman"/>
              </w:rPr>
              <w:t>2024</w:t>
            </w:r>
          </w:p>
        </w:tc>
      </w:tr>
      <w:tr w:rsidR="004D69BF" w:rsidRPr="001F4D7C" w14:paraId="1CD80A14" w14:textId="77777777" w:rsidTr="000240DA">
        <w:trPr>
          <w:jc w:val="center"/>
        </w:trPr>
        <w:tc>
          <w:tcPr>
            <w:tcW w:w="1169" w:type="dxa"/>
            <w:vAlign w:val="center"/>
          </w:tcPr>
          <w:p w14:paraId="4547662F" w14:textId="77777777" w:rsidR="004D69BF" w:rsidRPr="00592DD4" w:rsidRDefault="004D69BF" w:rsidP="000240DA">
            <w:pPr>
              <w:spacing w:after="0" w:line="240" w:lineRule="auto"/>
              <w:rPr>
                <w:rFonts w:cs="Times New Roman"/>
              </w:rPr>
            </w:pPr>
            <w:r w:rsidRPr="00592DD4">
              <w:rPr>
                <w:rFonts w:cs="Times New Roman"/>
              </w:rPr>
              <w:t>Tab. č. 30</w:t>
            </w:r>
          </w:p>
        </w:tc>
        <w:tc>
          <w:tcPr>
            <w:tcW w:w="8080" w:type="dxa"/>
            <w:vAlign w:val="center"/>
          </w:tcPr>
          <w:p w14:paraId="5F2801C0" w14:textId="77777777" w:rsidR="004D69BF" w:rsidRPr="00592DD4" w:rsidRDefault="004D69BF" w:rsidP="000240DA">
            <w:pPr>
              <w:spacing w:after="0" w:line="240" w:lineRule="auto"/>
              <w:rPr>
                <w:rFonts w:cs="Times New Roman"/>
              </w:rPr>
            </w:pPr>
            <w:r w:rsidRPr="00592DD4">
              <w:rPr>
                <w:rFonts w:cs="Times New Roman"/>
              </w:rPr>
              <w:t xml:space="preserve">Výdavky štátnych príspevkových organizácií podľa kategórií a kapitol ŠR za rok </w:t>
            </w:r>
            <w:r>
              <w:rPr>
                <w:rFonts w:cs="Times New Roman"/>
              </w:rPr>
              <w:t>2024</w:t>
            </w:r>
          </w:p>
        </w:tc>
      </w:tr>
      <w:tr w:rsidR="004D69BF" w:rsidRPr="001F4D7C" w14:paraId="39D8870C" w14:textId="77777777" w:rsidTr="000240DA">
        <w:trPr>
          <w:jc w:val="center"/>
        </w:trPr>
        <w:tc>
          <w:tcPr>
            <w:tcW w:w="1169" w:type="dxa"/>
            <w:vAlign w:val="center"/>
          </w:tcPr>
          <w:p w14:paraId="27076740" w14:textId="77777777" w:rsidR="004D69BF" w:rsidRPr="00592DD4" w:rsidRDefault="004D69BF" w:rsidP="000240DA">
            <w:pPr>
              <w:spacing w:after="0" w:line="240" w:lineRule="auto"/>
              <w:rPr>
                <w:rFonts w:cs="Times New Roman"/>
              </w:rPr>
            </w:pPr>
            <w:r w:rsidRPr="00592DD4">
              <w:rPr>
                <w:rFonts w:cs="Times New Roman"/>
              </w:rPr>
              <w:t>Tab. č. 31</w:t>
            </w:r>
          </w:p>
        </w:tc>
        <w:tc>
          <w:tcPr>
            <w:tcW w:w="8080" w:type="dxa"/>
            <w:vAlign w:val="center"/>
          </w:tcPr>
          <w:p w14:paraId="6210CEC0" w14:textId="77777777" w:rsidR="004D69BF" w:rsidRPr="00592DD4" w:rsidRDefault="004D69BF" w:rsidP="000240DA">
            <w:pPr>
              <w:spacing w:after="0" w:line="240" w:lineRule="auto"/>
              <w:rPr>
                <w:rFonts w:cs="Times New Roman"/>
              </w:rPr>
            </w:pPr>
            <w:r w:rsidRPr="00592DD4">
              <w:rPr>
                <w:rFonts w:cs="Times New Roman"/>
              </w:rPr>
              <w:t xml:space="preserve">Výdavky štátnych príspevkových organizácií podľa funkčnej klasifikácie za rok </w:t>
            </w:r>
            <w:r>
              <w:rPr>
                <w:rFonts w:cs="Times New Roman"/>
              </w:rPr>
              <w:t>2024</w:t>
            </w:r>
          </w:p>
        </w:tc>
      </w:tr>
      <w:tr w:rsidR="004D69BF" w:rsidRPr="001F4D7C" w14:paraId="132F7ECC" w14:textId="77777777" w:rsidTr="000240DA">
        <w:trPr>
          <w:jc w:val="center"/>
        </w:trPr>
        <w:tc>
          <w:tcPr>
            <w:tcW w:w="1169" w:type="dxa"/>
            <w:vAlign w:val="center"/>
          </w:tcPr>
          <w:p w14:paraId="42C1B565" w14:textId="77777777" w:rsidR="004D69BF" w:rsidRPr="00592DD4" w:rsidRDefault="004D69BF" w:rsidP="000240DA">
            <w:pPr>
              <w:spacing w:after="0" w:line="240" w:lineRule="auto"/>
              <w:rPr>
                <w:rFonts w:cs="Times New Roman"/>
              </w:rPr>
            </w:pPr>
            <w:r>
              <w:rPr>
                <w:rFonts w:cs="Times New Roman"/>
              </w:rPr>
              <w:t>Tab. č. 32</w:t>
            </w:r>
          </w:p>
        </w:tc>
        <w:tc>
          <w:tcPr>
            <w:tcW w:w="8080" w:type="dxa"/>
            <w:vAlign w:val="center"/>
          </w:tcPr>
          <w:p w14:paraId="1C58BBF6" w14:textId="77777777" w:rsidR="004D69BF" w:rsidRPr="00592DD4" w:rsidRDefault="004D69BF" w:rsidP="000240DA">
            <w:pPr>
              <w:spacing w:after="0" w:line="240" w:lineRule="auto"/>
              <w:rPr>
                <w:rFonts w:cs="Times New Roman"/>
              </w:rPr>
            </w:pPr>
            <w:r w:rsidRPr="00592DD4">
              <w:rPr>
                <w:rFonts w:cs="Times New Roman"/>
              </w:rPr>
              <w:t xml:space="preserve">Finančné operácie štátnych príspevkových organizácií za rok </w:t>
            </w:r>
            <w:r>
              <w:rPr>
                <w:rFonts w:cs="Times New Roman"/>
              </w:rPr>
              <w:t>2024</w:t>
            </w:r>
          </w:p>
        </w:tc>
      </w:tr>
      <w:tr w:rsidR="004D69BF" w:rsidRPr="001F4D7C" w14:paraId="22D717FB" w14:textId="77777777" w:rsidTr="000240DA">
        <w:trPr>
          <w:jc w:val="center"/>
        </w:trPr>
        <w:tc>
          <w:tcPr>
            <w:tcW w:w="1169" w:type="dxa"/>
            <w:vAlign w:val="center"/>
          </w:tcPr>
          <w:p w14:paraId="202014F4" w14:textId="77777777" w:rsidR="004D69BF" w:rsidRDefault="004D69BF" w:rsidP="000240DA">
            <w:pPr>
              <w:spacing w:after="0" w:line="240" w:lineRule="auto"/>
              <w:rPr>
                <w:rFonts w:cs="Times New Roman"/>
              </w:rPr>
            </w:pPr>
            <w:r>
              <w:rPr>
                <w:rFonts w:cs="Times New Roman"/>
              </w:rPr>
              <w:t>Tab. č. 33</w:t>
            </w:r>
          </w:p>
        </w:tc>
        <w:tc>
          <w:tcPr>
            <w:tcW w:w="8080" w:type="dxa"/>
            <w:vAlign w:val="center"/>
          </w:tcPr>
          <w:p w14:paraId="09D09B00" w14:textId="77777777" w:rsidR="004D69BF" w:rsidRPr="00592DD4" w:rsidRDefault="004D69BF" w:rsidP="000240DA">
            <w:pPr>
              <w:spacing w:after="0" w:line="240" w:lineRule="auto"/>
              <w:rPr>
                <w:rFonts w:cs="Times New Roman"/>
              </w:rPr>
            </w:pPr>
            <w:r>
              <w:rPr>
                <w:rFonts w:cs="Times New Roman"/>
              </w:rPr>
              <w:t>Rezerva na riešenie vplyvov legislatívnych zmien za rok 2024</w:t>
            </w:r>
          </w:p>
        </w:tc>
      </w:tr>
      <w:tr w:rsidR="004D69BF" w:rsidRPr="001F4D7C" w14:paraId="736B822D" w14:textId="77777777" w:rsidTr="000240DA">
        <w:trPr>
          <w:jc w:val="center"/>
        </w:trPr>
        <w:tc>
          <w:tcPr>
            <w:tcW w:w="1169" w:type="dxa"/>
            <w:vAlign w:val="center"/>
          </w:tcPr>
          <w:p w14:paraId="30BFCEE0" w14:textId="77777777" w:rsidR="004D69BF" w:rsidRDefault="004D69BF" w:rsidP="000240DA">
            <w:pPr>
              <w:spacing w:after="0" w:line="240" w:lineRule="auto"/>
              <w:rPr>
                <w:rFonts w:cs="Times New Roman"/>
              </w:rPr>
            </w:pPr>
            <w:r>
              <w:rPr>
                <w:rFonts w:cs="Times New Roman"/>
              </w:rPr>
              <w:t>Tab. č. 34</w:t>
            </w:r>
          </w:p>
        </w:tc>
        <w:tc>
          <w:tcPr>
            <w:tcW w:w="8080" w:type="dxa"/>
            <w:vAlign w:val="center"/>
          </w:tcPr>
          <w:p w14:paraId="49704748" w14:textId="77777777" w:rsidR="004D69BF" w:rsidRDefault="004D69BF" w:rsidP="000240DA">
            <w:pPr>
              <w:spacing w:after="0" w:line="240" w:lineRule="auto"/>
              <w:rPr>
                <w:rFonts w:cs="Times New Roman"/>
              </w:rPr>
            </w:pPr>
            <w:r>
              <w:rPr>
                <w:rFonts w:cs="Times New Roman"/>
              </w:rPr>
              <w:t>Rezerva na riešenie krízových situácií mimo času vojny a vojnového stavu a vykonávanie povodňových prác za rok 2024</w:t>
            </w:r>
          </w:p>
        </w:tc>
      </w:tr>
      <w:tr w:rsidR="004D69BF" w:rsidRPr="001F4D7C" w14:paraId="4280924E" w14:textId="77777777" w:rsidTr="000240DA">
        <w:trPr>
          <w:jc w:val="center"/>
        </w:trPr>
        <w:tc>
          <w:tcPr>
            <w:tcW w:w="1169" w:type="dxa"/>
            <w:vAlign w:val="center"/>
          </w:tcPr>
          <w:p w14:paraId="7E6DDD33" w14:textId="77777777" w:rsidR="004D69BF" w:rsidRDefault="004D69BF" w:rsidP="000240DA">
            <w:pPr>
              <w:spacing w:after="0" w:line="240" w:lineRule="auto"/>
              <w:rPr>
                <w:rFonts w:cs="Times New Roman"/>
              </w:rPr>
            </w:pPr>
            <w:r>
              <w:rPr>
                <w:rFonts w:cs="Times New Roman"/>
              </w:rPr>
              <w:t>Tab. č. 35</w:t>
            </w:r>
          </w:p>
        </w:tc>
        <w:tc>
          <w:tcPr>
            <w:tcW w:w="8080" w:type="dxa"/>
            <w:vAlign w:val="center"/>
          </w:tcPr>
          <w:p w14:paraId="57CBDA3F" w14:textId="77777777" w:rsidR="004D69BF" w:rsidRDefault="004D69BF" w:rsidP="000240DA">
            <w:pPr>
              <w:spacing w:after="0" w:line="240" w:lineRule="auto"/>
              <w:rPr>
                <w:rFonts w:cs="Times New Roman"/>
              </w:rPr>
            </w:pPr>
            <w:r>
              <w:rPr>
                <w:rFonts w:cs="Times New Roman"/>
              </w:rPr>
              <w:t>R</w:t>
            </w:r>
            <w:r w:rsidRPr="005A58F0">
              <w:rPr>
                <w:rFonts w:cs="Times New Roman"/>
              </w:rPr>
              <w:t>ezerva na realizáciu súdnych a exekučných rozhodnutí za rok 2024</w:t>
            </w:r>
          </w:p>
        </w:tc>
      </w:tr>
      <w:tr w:rsidR="004D69BF" w:rsidRPr="001F4D7C" w14:paraId="3F4935A1" w14:textId="77777777" w:rsidTr="000240DA">
        <w:trPr>
          <w:jc w:val="center"/>
        </w:trPr>
        <w:tc>
          <w:tcPr>
            <w:tcW w:w="1169" w:type="dxa"/>
            <w:vAlign w:val="center"/>
          </w:tcPr>
          <w:p w14:paraId="597997FF" w14:textId="77777777" w:rsidR="004D69BF" w:rsidRDefault="004D69BF" w:rsidP="000240DA">
            <w:pPr>
              <w:spacing w:after="0" w:line="240" w:lineRule="auto"/>
              <w:rPr>
                <w:rFonts w:cs="Times New Roman"/>
              </w:rPr>
            </w:pPr>
            <w:r>
              <w:rPr>
                <w:rFonts w:cs="Times New Roman"/>
              </w:rPr>
              <w:t>Tab. č. 36</w:t>
            </w:r>
          </w:p>
        </w:tc>
        <w:tc>
          <w:tcPr>
            <w:tcW w:w="8080" w:type="dxa"/>
            <w:vAlign w:val="center"/>
          </w:tcPr>
          <w:p w14:paraId="28C8ED6D" w14:textId="77777777" w:rsidR="004D69BF" w:rsidRDefault="004D69BF" w:rsidP="000240DA">
            <w:pPr>
              <w:spacing w:after="0" w:line="240" w:lineRule="auto"/>
              <w:rPr>
                <w:rFonts w:cs="Times New Roman"/>
              </w:rPr>
            </w:pPr>
            <w:r w:rsidRPr="005A58F0">
              <w:rPr>
                <w:rFonts w:cs="Times New Roman"/>
              </w:rPr>
              <w:t>Rezerva na mzdy a poistné za rok 2024</w:t>
            </w:r>
          </w:p>
        </w:tc>
      </w:tr>
      <w:tr w:rsidR="004D69BF" w:rsidRPr="001F4D7C" w14:paraId="0BB0830C" w14:textId="77777777" w:rsidTr="000240DA">
        <w:trPr>
          <w:jc w:val="center"/>
        </w:trPr>
        <w:tc>
          <w:tcPr>
            <w:tcW w:w="1169" w:type="dxa"/>
            <w:vAlign w:val="center"/>
          </w:tcPr>
          <w:p w14:paraId="769B42D1" w14:textId="77777777" w:rsidR="004D69BF" w:rsidRDefault="004D69BF" w:rsidP="000240DA">
            <w:pPr>
              <w:spacing w:after="0" w:line="240" w:lineRule="auto"/>
              <w:rPr>
                <w:rFonts w:cs="Times New Roman"/>
              </w:rPr>
            </w:pPr>
          </w:p>
        </w:tc>
        <w:tc>
          <w:tcPr>
            <w:tcW w:w="8080" w:type="dxa"/>
            <w:vAlign w:val="center"/>
          </w:tcPr>
          <w:p w14:paraId="3D5F4A41" w14:textId="77777777" w:rsidR="004D69BF" w:rsidRPr="005A58F0" w:rsidRDefault="004D69BF" w:rsidP="000240DA">
            <w:pPr>
              <w:spacing w:after="0" w:line="240" w:lineRule="auto"/>
              <w:rPr>
                <w:rFonts w:cs="Times New Roman"/>
              </w:rPr>
            </w:pPr>
          </w:p>
        </w:tc>
      </w:tr>
    </w:tbl>
    <w:p w14:paraId="0DA01843" w14:textId="77777777" w:rsidR="004D69BF" w:rsidRDefault="004D69BF" w:rsidP="004D69BF"/>
    <w:sectPr w:rsidR="004D69BF" w:rsidSect="004C043F">
      <w:type w:val="continuous"/>
      <w:pgSz w:w="11906" w:h="16838"/>
      <w:pgMar w:top="1418" w:right="1133" w:bottom="1418" w:left="1276"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1D1D5" w14:textId="77777777" w:rsidR="007A7529" w:rsidRDefault="007A7529" w:rsidP="00881BDB">
      <w:pPr>
        <w:spacing w:after="0" w:line="240" w:lineRule="auto"/>
      </w:pPr>
      <w:r>
        <w:separator/>
      </w:r>
    </w:p>
  </w:endnote>
  <w:endnote w:type="continuationSeparator" w:id="0">
    <w:p w14:paraId="0D2B266E" w14:textId="77777777" w:rsidR="007A7529" w:rsidRDefault="007A7529" w:rsidP="00881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Dutch801 SWC">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Bold">
    <w:altName w:val="Times New Roman"/>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3116811"/>
      <w:docPartObj>
        <w:docPartGallery w:val="Page Numbers (Bottom of Page)"/>
        <w:docPartUnique/>
      </w:docPartObj>
    </w:sdtPr>
    <w:sdtEndPr>
      <w:rPr>
        <w:sz w:val="20"/>
        <w:szCs w:val="20"/>
      </w:rPr>
    </w:sdtEndPr>
    <w:sdtContent>
      <w:p w14:paraId="40CDF45F" w14:textId="2178B36D" w:rsidR="007A7529" w:rsidRPr="00CA3D7D" w:rsidRDefault="007A7529">
        <w:pPr>
          <w:pStyle w:val="Pta"/>
          <w:jc w:val="center"/>
          <w:rPr>
            <w:sz w:val="20"/>
            <w:szCs w:val="20"/>
          </w:rPr>
        </w:pPr>
        <w:r w:rsidRPr="00CA3D7D">
          <w:rPr>
            <w:sz w:val="20"/>
            <w:szCs w:val="20"/>
          </w:rPr>
          <w:fldChar w:fldCharType="begin"/>
        </w:r>
        <w:r w:rsidRPr="00CA3D7D">
          <w:rPr>
            <w:sz w:val="20"/>
            <w:szCs w:val="20"/>
          </w:rPr>
          <w:instrText>PAGE   \* MERGEFORMAT</w:instrText>
        </w:r>
        <w:r w:rsidRPr="00CA3D7D">
          <w:rPr>
            <w:sz w:val="20"/>
            <w:szCs w:val="20"/>
          </w:rPr>
          <w:fldChar w:fldCharType="separate"/>
        </w:r>
        <w:r w:rsidR="00766E41">
          <w:rPr>
            <w:noProof/>
            <w:sz w:val="20"/>
            <w:szCs w:val="20"/>
          </w:rPr>
          <w:t>90</w:t>
        </w:r>
        <w:r w:rsidRPr="00CA3D7D">
          <w:rPr>
            <w:sz w:val="20"/>
            <w:szCs w:val="20"/>
          </w:rPr>
          <w:fldChar w:fldCharType="end"/>
        </w:r>
      </w:p>
    </w:sdtContent>
  </w:sdt>
  <w:p w14:paraId="598E35E0" w14:textId="77777777" w:rsidR="007A7529" w:rsidRDefault="007A7529">
    <w:pPr>
      <w:pStyle w:val="Pta"/>
    </w:pPr>
  </w:p>
  <w:p w14:paraId="14387167" w14:textId="77777777" w:rsidR="007A7529" w:rsidRDefault="007A75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9208128"/>
      <w:docPartObj>
        <w:docPartGallery w:val="Page Numbers (Bottom of Page)"/>
        <w:docPartUnique/>
      </w:docPartObj>
    </w:sdtPr>
    <w:sdtEndPr>
      <w:rPr>
        <w:sz w:val="20"/>
        <w:szCs w:val="20"/>
      </w:rPr>
    </w:sdtEndPr>
    <w:sdtContent>
      <w:p w14:paraId="23270C04" w14:textId="74F36E1D" w:rsidR="007A7529" w:rsidRPr="00CA3D7D" w:rsidRDefault="007A7529">
        <w:pPr>
          <w:pStyle w:val="Pta"/>
          <w:jc w:val="center"/>
          <w:rPr>
            <w:sz w:val="20"/>
            <w:szCs w:val="20"/>
          </w:rPr>
        </w:pPr>
        <w:r w:rsidRPr="00CA3D7D">
          <w:rPr>
            <w:sz w:val="20"/>
            <w:szCs w:val="20"/>
          </w:rPr>
          <w:fldChar w:fldCharType="begin"/>
        </w:r>
        <w:r w:rsidRPr="00CA3D7D">
          <w:rPr>
            <w:sz w:val="20"/>
            <w:szCs w:val="20"/>
          </w:rPr>
          <w:instrText>PAGE   \* MERGEFORMAT</w:instrText>
        </w:r>
        <w:r w:rsidRPr="00CA3D7D">
          <w:rPr>
            <w:sz w:val="20"/>
            <w:szCs w:val="20"/>
          </w:rPr>
          <w:fldChar w:fldCharType="separate"/>
        </w:r>
        <w:r w:rsidR="00766E41">
          <w:rPr>
            <w:noProof/>
            <w:sz w:val="20"/>
            <w:szCs w:val="20"/>
          </w:rPr>
          <w:t>89</w:t>
        </w:r>
        <w:r w:rsidRPr="00CA3D7D">
          <w:rPr>
            <w:sz w:val="20"/>
            <w:szCs w:val="20"/>
          </w:rPr>
          <w:fldChar w:fldCharType="end"/>
        </w:r>
      </w:p>
    </w:sdtContent>
  </w:sdt>
  <w:p w14:paraId="2A479206" w14:textId="77777777" w:rsidR="007A7529" w:rsidRDefault="007A7529">
    <w:pPr>
      <w:pStyle w:val="Pta"/>
    </w:pPr>
  </w:p>
  <w:p w14:paraId="09863316" w14:textId="77777777" w:rsidR="007A7529" w:rsidRDefault="007A752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121BF" w14:textId="77777777" w:rsidR="007A7529" w:rsidRDefault="007A7529" w:rsidP="00881BDB">
      <w:pPr>
        <w:spacing w:after="0" w:line="240" w:lineRule="auto"/>
      </w:pPr>
      <w:r>
        <w:separator/>
      </w:r>
    </w:p>
  </w:footnote>
  <w:footnote w:type="continuationSeparator" w:id="0">
    <w:p w14:paraId="29D0FC38" w14:textId="77777777" w:rsidR="007A7529" w:rsidRDefault="007A7529" w:rsidP="00881BDB">
      <w:pPr>
        <w:spacing w:after="0" w:line="240" w:lineRule="auto"/>
      </w:pPr>
      <w:r>
        <w:continuationSeparator/>
      </w:r>
    </w:p>
  </w:footnote>
  <w:footnote w:id="1">
    <w:p w14:paraId="5A3C5014" w14:textId="7071D761" w:rsidR="007A7529" w:rsidRDefault="007A7529" w:rsidP="003E206C">
      <w:pPr>
        <w:pStyle w:val="Textpoznmkypodiarou"/>
        <w:rPr>
          <w:sz w:val="18"/>
          <w:szCs w:val="18"/>
        </w:rPr>
      </w:pPr>
      <w:r>
        <w:rPr>
          <w:rStyle w:val="Odkaznapoznmkupodiarou"/>
        </w:rPr>
        <w:footnoteRef/>
      </w:r>
      <w:r>
        <w:t xml:space="preserve"> </w:t>
      </w:r>
      <w:r w:rsidRPr="00BB14A0">
        <w:rPr>
          <w:sz w:val="18"/>
          <w:szCs w:val="18"/>
        </w:rPr>
        <w:t xml:space="preserve">Údaje za Slovenskú republiku boli odoslané 31.3.2024 a následne notifikované zo strany Eurostatu. Zverejnené výsledky sú </w:t>
      </w:r>
      <w:r w:rsidRPr="00F416A5">
        <w:rPr>
          <w:sz w:val="18"/>
          <w:szCs w:val="18"/>
        </w:rPr>
        <w:t>dostupné na webovom sídle Eurostatu:</w:t>
      </w:r>
    </w:p>
    <w:p w14:paraId="7ECEC402" w14:textId="77777777" w:rsidR="007A7529" w:rsidRDefault="00C64CBA" w:rsidP="003E206C">
      <w:pPr>
        <w:pStyle w:val="Textpoznmkypodiarou"/>
        <w:rPr>
          <w:rStyle w:val="Hypertextovprepojenie"/>
          <w:sz w:val="18"/>
          <w:szCs w:val="18"/>
        </w:rPr>
      </w:pPr>
      <w:hyperlink r:id="rId1" w:history="1">
        <w:r w:rsidR="007A7529" w:rsidRPr="00F416A5">
          <w:rPr>
            <w:rStyle w:val="Hypertextovprepojenie"/>
            <w:sz w:val="18"/>
            <w:szCs w:val="18"/>
          </w:rPr>
          <w:t>https://ec.europa.eu/eurostat/web/products-euro-indicators/w/2-22042025-ap</w:t>
        </w:r>
      </w:hyperlink>
    </w:p>
    <w:p w14:paraId="59168898" w14:textId="00717B3D" w:rsidR="007A7529" w:rsidRPr="000918B9" w:rsidRDefault="00C64CBA" w:rsidP="003E206C">
      <w:pPr>
        <w:pStyle w:val="Textpoznmkypodiarou"/>
        <w:rPr>
          <w:rStyle w:val="Hypertextovprepojenie"/>
          <w:color w:val="auto"/>
          <w:sz w:val="18"/>
          <w:szCs w:val="18"/>
          <w:u w:val="none"/>
        </w:rPr>
      </w:pPr>
      <w:hyperlink r:id="rId2" w:history="1">
        <w:r w:rsidR="007A7529" w:rsidRPr="00F416A5">
          <w:rPr>
            <w:rStyle w:val="Hypertextovprepojenie"/>
            <w:sz w:val="18"/>
            <w:szCs w:val="18"/>
          </w:rPr>
          <w:t>https://ec.europa.eu/eurostat/databrowser/view/gov_10dd_edpt1/default/table?lang=en&amp;category=gov.gov_gfs10.gov_10dd</w:t>
        </w:r>
      </w:hyperlink>
    </w:p>
  </w:footnote>
  <w:footnote w:id="2">
    <w:p w14:paraId="202D5012" w14:textId="77777777" w:rsidR="007A7529" w:rsidRPr="004520E6" w:rsidRDefault="007A7529" w:rsidP="009A05C7">
      <w:pPr>
        <w:pStyle w:val="Textpoznmkypodiarou"/>
        <w:rPr>
          <w:rFonts w:cs="Times New Roman"/>
          <w:sz w:val="18"/>
          <w:szCs w:val="18"/>
        </w:rPr>
      </w:pPr>
      <w:r w:rsidRPr="004520E6">
        <w:rPr>
          <w:rStyle w:val="Odkaznapoznmkupodiarou"/>
          <w:rFonts w:cs="Times New Roman"/>
          <w:sz w:val="18"/>
          <w:szCs w:val="18"/>
        </w:rPr>
        <w:footnoteRef/>
      </w:r>
      <w:r w:rsidRPr="004520E6">
        <w:rPr>
          <w:rFonts w:cs="Times New Roman"/>
          <w:sz w:val="18"/>
          <w:szCs w:val="18"/>
        </w:rPr>
        <w:t xml:space="preserve"> Index spotrebiteľských cien (angl. Consumer Price Index, CPI) je cenový index, ktorý vyjadruje cenovú hladinu spotrebných tovarov pomocou spotrebného koša. Sleduje ceny na základe národnej metodiky. Harmonizovaný index spotrebiteľských cien (HICP – Harmonized Index of Consumer Prices) sleduje vývoj spotrebiteľských cien na základe medzinárodnej harmonizovanej metodiky EÚ.</w:t>
      </w:r>
    </w:p>
  </w:footnote>
  <w:footnote w:id="3">
    <w:p w14:paraId="5C43D1EB" w14:textId="77777777" w:rsidR="005169D0" w:rsidRPr="00EF0D20" w:rsidRDefault="005169D0" w:rsidP="005169D0">
      <w:pPr>
        <w:pStyle w:val="Textpoznmkypodiarou"/>
        <w:rPr>
          <w:szCs w:val="16"/>
        </w:rPr>
      </w:pPr>
      <w:r w:rsidRPr="00EF0D20">
        <w:rPr>
          <w:rStyle w:val="Odkaznapoznmkupodiarou"/>
          <w:szCs w:val="16"/>
        </w:rPr>
        <w:footnoteRef/>
      </w:r>
      <w:r w:rsidRPr="00EF0D20">
        <w:rPr>
          <w:szCs w:val="16"/>
        </w:rPr>
        <w:t xml:space="preserve"> </w:t>
      </w:r>
      <w:r w:rsidRPr="000E25A5">
        <w:rPr>
          <w:sz w:val="18"/>
          <w:szCs w:val="18"/>
        </w:rPr>
        <w:t>Odporúčanie sa v tom čase líšilo od v súčasnosti systémového fungovania rastu čistých výdavkov v zahrnutí výdavkov na spolufinancovanie, ktoré sa dnes z národne financovaných primárnych výdavkov už vylučujú.</w:t>
      </w:r>
    </w:p>
  </w:footnote>
  <w:footnote w:id="4">
    <w:p w14:paraId="4EC662A2" w14:textId="0323F74C" w:rsidR="007A7529" w:rsidRDefault="007A7529" w:rsidP="009A05C7">
      <w:pPr>
        <w:pStyle w:val="Textpoznmkypodiarou"/>
      </w:pPr>
      <w:r>
        <w:rPr>
          <w:rStyle w:val="Odkaznapoznmkupodiarou"/>
        </w:rPr>
        <w:footnoteRef/>
      </w:r>
      <w:r>
        <w:t xml:space="preserve"> </w:t>
      </w:r>
      <w:r w:rsidRPr="00836EB5">
        <w:rPr>
          <w:sz w:val="18"/>
          <w:szCs w:val="18"/>
        </w:rPr>
        <w:t>FISIM – Financial Intermediation Services Indirectly Measured</w:t>
      </w:r>
      <w:r w:rsidR="00601245">
        <w:rPr>
          <w:sz w:val="18"/>
          <w:szCs w:val="18"/>
        </w:rPr>
        <w:t>.</w:t>
      </w:r>
      <w:r>
        <w:rPr>
          <w:sz w:val="18"/>
          <w:szCs w:val="18"/>
        </w:rPr>
        <w:t xml:space="preserve"> </w:t>
      </w:r>
      <w:r w:rsidR="00601245">
        <w:rPr>
          <w:sz w:val="18"/>
          <w:szCs w:val="18"/>
        </w:rPr>
        <w:t>I</w:t>
      </w:r>
      <w:r w:rsidR="00432491" w:rsidRPr="003153FB">
        <w:rPr>
          <w:sz w:val="18"/>
          <w:szCs w:val="18"/>
        </w:rPr>
        <w:t>de o odhad hodnoty služieb poskytovaných finančnými sprostredkovateľmi ako sú banky, za ktoré sa neúčtujú žiadne explicitné poplatky.</w:t>
      </w:r>
    </w:p>
  </w:footnote>
  <w:footnote w:id="5">
    <w:p w14:paraId="2BC2BDFD" w14:textId="77777777" w:rsidR="007A7529" w:rsidRPr="000C3C49" w:rsidRDefault="007A7529" w:rsidP="009A05C7">
      <w:pPr>
        <w:pStyle w:val="Textpoznmkypodiarou"/>
        <w:rPr>
          <w:sz w:val="18"/>
          <w:szCs w:val="18"/>
        </w:rPr>
      </w:pPr>
      <w:r w:rsidRPr="000C3C49">
        <w:rPr>
          <w:rStyle w:val="Odkaznapoznmkupodiarou"/>
          <w:sz w:val="18"/>
          <w:szCs w:val="18"/>
        </w:rPr>
        <w:footnoteRef/>
      </w:r>
      <w:r w:rsidRPr="000C3C49">
        <w:rPr>
          <w:sz w:val="18"/>
          <w:szCs w:val="18"/>
        </w:rPr>
        <w:t xml:space="preserve"> Uznesením č. </w:t>
      </w:r>
      <w:r>
        <w:rPr>
          <w:sz w:val="18"/>
          <w:szCs w:val="18"/>
        </w:rPr>
        <w:t>712/2023</w:t>
      </w:r>
      <w:r w:rsidRPr="000C3C49">
        <w:rPr>
          <w:sz w:val="18"/>
          <w:szCs w:val="18"/>
        </w:rPr>
        <w:t xml:space="preserve">; </w:t>
      </w:r>
      <w:r w:rsidRPr="00503A27">
        <w:rPr>
          <w:rStyle w:val="Hypertextovprepojenie"/>
          <w:sz w:val="18"/>
          <w:szCs w:val="18"/>
        </w:rPr>
        <w:t>https://rokovania.gov.sk/RVL/Material/29105/1</w:t>
      </w:r>
    </w:p>
  </w:footnote>
  <w:footnote w:id="6">
    <w:p w14:paraId="68FF6448" w14:textId="77777777" w:rsidR="007A7529" w:rsidRPr="000C3C49" w:rsidRDefault="007A7529" w:rsidP="009A05C7">
      <w:pPr>
        <w:pStyle w:val="Textpoznmkypodiarou"/>
        <w:jc w:val="left"/>
        <w:rPr>
          <w:sz w:val="18"/>
          <w:szCs w:val="18"/>
        </w:rPr>
      </w:pPr>
      <w:r w:rsidRPr="000C3C49">
        <w:rPr>
          <w:rStyle w:val="Odkaznapoznmkupodiarou"/>
          <w:sz w:val="18"/>
          <w:szCs w:val="18"/>
        </w:rPr>
        <w:footnoteRef/>
      </w:r>
      <w:r w:rsidRPr="000C3C49">
        <w:rPr>
          <w:sz w:val="18"/>
          <w:szCs w:val="18"/>
        </w:rPr>
        <w:t xml:space="preserve"> Uzne</w:t>
      </w:r>
      <w:r>
        <w:rPr>
          <w:sz w:val="18"/>
          <w:szCs w:val="18"/>
        </w:rPr>
        <w:t>sením č. 80/2023</w:t>
      </w:r>
      <w:r w:rsidRPr="000C3C49">
        <w:rPr>
          <w:sz w:val="18"/>
          <w:szCs w:val="18"/>
        </w:rPr>
        <w:t xml:space="preserve">; </w:t>
      </w:r>
      <w:r w:rsidRPr="001058AE">
        <w:rPr>
          <w:rStyle w:val="Hypertextovprepojenie"/>
          <w:sz w:val="18"/>
          <w:szCs w:val="18"/>
        </w:rPr>
        <w:t>https://www.nrsr.sk/web/Default.aspx?sid=schodze/uznesenie&amp;MasterID=14725</w:t>
      </w:r>
    </w:p>
  </w:footnote>
  <w:footnote w:id="7">
    <w:p w14:paraId="28B7020A" w14:textId="77777777" w:rsidR="007A7529" w:rsidRPr="002C226C" w:rsidRDefault="007A7529" w:rsidP="009A05C7">
      <w:pPr>
        <w:pStyle w:val="Textpoznmkypodiarou"/>
        <w:rPr>
          <w:sz w:val="18"/>
          <w:szCs w:val="18"/>
          <w:highlight w:val="yellow"/>
        </w:rPr>
      </w:pPr>
      <w:r w:rsidRPr="00414B34">
        <w:rPr>
          <w:rStyle w:val="Odkaznapoznmkupodiarou"/>
          <w:rFonts w:eastAsiaTheme="majorEastAsia"/>
          <w:sz w:val="18"/>
          <w:szCs w:val="18"/>
        </w:rPr>
        <w:footnoteRef/>
      </w:r>
      <w:r w:rsidRPr="00414B34">
        <w:rPr>
          <w:sz w:val="18"/>
          <w:szCs w:val="18"/>
        </w:rPr>
        <w:t xml:space="preserve"> Výnos DPFO z podnikania za rok 2024 je len odhad, pretože daňové priznania za rok 2024 sa podávajú v roku 2025 a</w:t>
      </w:r>
      <w:r>
        <w:rPr>
          <w:sz w:val="18"/>
          <w:szCs w:val="18"/>
        </w:rPr>
        <w:t> </w:t>
      </w:r>
      <w:r w:rsidRPr="00414B34">
        <w:rPr>
          <w:sz w:val="18"/>
          <w:szCs w:val="18"/>
        </w:rPr>
        <w:t>skutočný výnos dane bude známy až na začiatku roka 202</w:t>
      </w:r>
      <w:r>
        <w:rPr>
          <w:sz w:val="18"/>
          <w:szCs w:val="18"/>
        </w:rPr>
        <w:t>6</w:t>
      </w:r>
      <w:r w:rsidRPr="00414B34">
        <w:rPr>
          <w:sz w:val="18"/>
          <w:szCs w:val="18"/>
        </w:rPr>
        <w:t>.</w:t>
      </w:r>
    </w:p>
  </w:footnote>
  <w:footnote w:id="8">
    <w:p w14:paraId="0FD5F1FB" w14:textId="77777777" w:rsidR="007A7529" w:rsidRPr="00A92127" w:rsidRDefault="007A7529" w:rsidP="009A05C7">
      <w:pPr>
        <w:pStyle w:val="Textpoznmkypodiarou"/>
        <w:rPr>
          <w:color w:val="FF0000"/>
          <w:sz w:val="18"/>
          <w:szCs w:val="18"/>
        </w:rPr>
      </w:pPr>
      <w:r w:rsidRPr="00A92127">
        <w:rPr>
          <w:rStyle w:val="Odkaznapoznmkupodiarou"/>
          <w:rFonts w:eastAsiaTheme="majorEastAsia"/>
          <w:sz w:val="18"/>
          <w:szCs w:val="18"/>
        </w:rPr>
        <w:footnoteRef/>
      </w:r>
      <w:r w:rsidRPr="00A92127">
        <w:rPr>
          <w:sz w:val="18"/>
          <w:szCs w:val="18"/>
        </w:rPr>
        <w:t xml:space="preserve"> Výnos DPPO za rok 2024 je len odhad, pretože daňové priznania za rok 2024 sa podávajú v roku 2025 a skutočný výnos dane bude známy až na začiatku roka 2026.</w:t>
      </w:r>
    </w:p>
  </w:footnote>
  <w:footnote w:id="9">
    <w:p w14:paraId="1DB0F471" w14:textId="77777777" w:rsidR="007A7529" w:rsidRPr="00BD49B1" w:rsidRDefault="007A7529" w:rsidP="009A05C7">
      <w:pPr>
        <w:pStyle w:val="Textpoznmkypodiarou"/>
        <w:rPr>
          <w:color w:val="FF0000"/>
        </w:rPr>
      </w:pPr>
      <w:r w:rsidRPr="00963545">
        <w:rPr>
          <w:rStyle w:val="Odkaznapoznmkupodiarou"/>
          <w:rFonts w:eastAsiaTheme="majorEastAsia"/>
          <w:sz w:val="18"/>
          <w:szCs w:val="18"/>
        </w:rPr>
        <w:footnoteRef/>
      </w:r>
      <w:r w:rsidRPr="00963545">
        <w:rPr>
          <w:sz w:val="18"/>
          <w:szCs w:val="18"/>
        </w:rPr>
        <w:t xml:space="preserve"> Výnos DPH za rok 2024 je zatiaľ predbežný odhad. Skutočnosť bude známa v apríli 2025. Čísla do ŠZÚ však boli uzavreté už v marci 2025.</w:t>
      </w:r>
    </w:p>
  </w:footnote>
  <w:footnote w:id="10">
    <w:p w14:paraId="289E46C1" w14:textId="77777777" w:rsidR="007A7529" w:rsidRDefault="007A7529" w:rsidP="009A05C7">
      <w:pPr>
        <w:pStyle w:val="Textpoznmkypodiarou"/>
      </w:pPr>
      <w:r w:rsidRPr="005F3748">
        <w:rPr>
          <w:rStyle w:val="Odkaznapoznmkupodiarou"/>
          <w:rFonts w:eastAsiaTheme="majorEastAsia"/>
          <w:sz w:val="18"/>
          <w:szCs w:val="18"/>
        </w:rPr>
        <w:footnoteRef/>
      </w:r>
      <w:r w:rsidRPr="005F3748">
        <w:rPr>
          <w:rStyle w:val="Odkaznapoznmkupodiarou"/>
          <w:rFonts w:eastAsiaTheme="majorEastAsia"/>
          <w:sz w:val="18"/>
          <w:szCs w:val="18"/>
        </w:rPr>
        <w:t xml:space="preserve"> </w:t>
      </w:r>
      <w:r w:rsidRPr="005F3748">
        <w:rPr>
          <w:sz w:val="18"/>
          <w:szCs w:val="18"/>
        </w:rPr>
        <w:t>Napr. predaj nehnuteľností</w:t>
      </w:r>
      <w:r>
        <w:rPr>
          <w:sz w:val="18"/>
          <w:szCs w:val="18"/>
        </w:rPr>
        <w:t xml:space="preserve"> alebo iných tovarov s vysokou hodnotou</w:t>
      </w:r>
      <w:r w:rsidRPr="005F3748">
        <w:rPr>
          <w:sz w:val="18"/>
          <w:szCs w:val="18"/>
        </w:rPr>
        <w:t>.</w:t>
      </w:r>
    </w:p>
  </w:footnote>
  <w:footnote w:id="11">
    <w:p w14:paraId="4B47D894" w14:textId="7151D3FB" w:rsidR="007A7529" w:rsidRPr="00A643E2" w:rsidRDefault="007A7529">
      <w:pPr>
        <w:pStyle w:val="Textpoznmkypodiarou"/>
        <w:rPr>
          <w:sz w:val="18"/>
          <w:szCs w:val="18"/>
        </w:rPr>
      </w:pPr>
      <w:r>
        <w:rPr>
          <w:rStyle w:val="Odkaznapoznmkupodiarou"/>
        </w:rPr>
        <w:footnoteRef/>
      </w:r>
      <w:r>
        <w:t xml:space="preserve"> </w:t>
      </w:r>
      <w:r w:rsidRPr="00A643E2">
        <w:rPr>
          <w:sz w:val="18"/>
          <w:szCs w:val="18"/>
        </w:rPr>
        <w:t>Ide o dividendy štátneho rozpočtu a MH Manažment, a s.</w:t>
      </w:r>
    </w:p>
  </w:footnote>
  <w:footnote w:id="12">
    <w:p w14:paraId="77C0DAB0" w14:textId="1A55DB9F" w:rsidR="007A7529" w:rsidRDefault="007A7529">
      <w:pPr>
        <w:pStyle w:val="Textpoznmkypodiarou"/>
      </w:pPr>
      <w:r w:rsidRPr="00A643E2">
        <w:rPr>
          <w:rStyle w:val="Odkaznapoznmkupodiarou"/>
          <w:sz w:val="18"/>
          <w:szCs w:val="18"/>
        </w:rPr>
        <w:footnoteRef/>
      </w:r>
      <w:r w:rsidRPr="00A643E2">
        <w:rPr>
          <w:sz w:val="18"/>
          <w:szCs w:val="18"/>
        </w:rPr>
        <w:t xml:space="preserve"> Časť sumy vo výške 10 000 tis. eur. bola darovaná Vodohospodárskemu podniku, š. p.</w:t>
      </w:r>
    </w:p>
  </w:footnote>
  <w:footnote w:id="13">
    <w:p w14:paraId="5B0D1A53" w14:textId="26B2143E" w:rsidR="007A7529" w:rsidRDefault="007A7529" w:rsidP="009A05C7">
      <w:pPr>
        <w:pStyle w:val="Textpoznmkypodiarou"/>
      </w:pPr>
      <w:r>
        <w:rPr>
          <w:rStyle w:val="Odkaznapoznmkupodiarou"/>
        </w:rPr>
        <w:footnoteRef/>
      </w:r>
      <w:r>
        <w:t xml:space="preserve"> </w:t>
      </w:r>
      <w:r w:rsidRPr="00A16F54">
        <w:rPr>
          <w:sz w:val="18"/>
          <w:szCs w:val="18"/>
        </w:rPr>
        <w:t>Iniciatíva SAFE - podporu zraniteľných domácností prostredníctvom kompenzácie nákladov na energie</w:t>
      </w:r>
      <w:r>
        <w:rPr>
          <w:sz w:val="18"/>
          <w:szCs w:val="18"/>
        </w:rPr>
        <w:t>.</w:t>
      </w:r>
    </w:p>
  </w:footnote>
  <w:footnote w:id="14">
    <w:p w14:paraId="20B7D58B" w14:textId="77777777" w:rsidR="007A7529" w:rsidRPr="00290910" w:rsidRDefault="007A7529" w:rsidP="009A05C7">
      <w:pPr>
        <w:pStyle w:val="Textpoznmkypodiarou"/>
        <w:rPr>
          <w:sz w:val="18"/>
          <w:szCs w:val="18"/>
        </w:rPr>
      </w:pPr>
      <w:r w:rsidRPr="00290910">
        <w:rPr>
          <w:rStyle w:val="Odkaznapoznmkupodiarou"/>
          <w:sz w:val="18"/>
          <w:szCs w:val="18"/>
        </w:rPr>
        <w:footnoteRef/>
      </w:r>
      <w:r w:rsidRPr="00290910">
        <w:rPr>
          <w:sz w:val="18"/>
          <w:szCs w:val="18"/>
        </w:rPr>
        <w:t xml:space="preserve"> Systémová korekcia vzniká v dôsledku opakujúceho sa nedostatku zisteného v rámci viacerých projektov, je dôsledkom závažného nedostatku účinného fungovania systémov riadenia a kontroly, a to vrátane nestanovenia vhodných postupov.</w:t>
      </w:r>
    </w:p>
  </w:footnote>
  <w:footnote w:id="15">
    <w:p w14:paraId="478804D8" w14:textId="77777777" w:rsidR="007A7529" w:rsidRDefault="007A7529" w:rsidP="0080713B">
      <w:pPr>
        <w:pStyle w:val="Textpoznmkypodiarou"/>
      </w:pPr>
      <w:r w:rsidRPr="00290910">
        <w:rPr>
          <w:rStyle w:val="Odkaznapoznmkupodiarou"/>
          <w:sz w:val="18"/>
          <w:szCs w:val="18"/>
        </w:rPr>
        <w:footnoteRef/>
      </w:r>
      <w:r w:rsidRPr="00290910">
        <w:rPr>
          <w:sz w:val="18"/>
          <w:szCs w:val="18"/>
        </w:rPr>
        <w:t xml:space="preserve"> Individuálna nezrovnalosť je zistený nedostatok (jednorazová chyba), ktorý sa viaže k jednej operácii, resp. k jednému projektu a je nezávislý od iných chýb alebo nedostatkov v systéme riadenia a kontroly.</w:t>
      </w:r>
    </w:p>
  </w:footnote>
  <w:footnote w:id="16">
    <w:p w14:paraId="482EBA05" w14:textId="38F147AA" w:rsidR="007A7529" w:rsidRDefault="007A7529" w:rsidP="009A05C7">
      <w:pPr>
        <w:pStyle w:val="Textpoznmkypodiarou"/>
      </w:pPr>
      <w:r>
        <w:rPr>
          <w:rStyle w:val="Odkaznapoznmkupodiarou"/>
        </w:rPr>
        <w:footnoteRef/>
      </w:r>
      <w:r>
        <w:t xml:space="preserve"> </w:t>
      </w:r>
      <w:r w:rsidRPr="002B6C92">
        <w:rPr>
          <w:sz w:val="18"/>
          <w:szCs w:val="18"/>
        </w:rPr>
        <w:t>Podľa</w:t>
      </w:r>
      <w:r>
        <w:t xml:space="preserve"> </w:t>
      </w:r>
      <w:r>
        <w:rPr>
          <w:sz w:val="18"/>
          <w:szCs w:val="18"/>
        </w:rPr>
        <w:t>schváleného N</w:t>
      </w:r>
      <w:r w:rsidRPr="00D0101A">
        <w:rPr>
          <w:sz w:val="18"/>
          <w:szCs w:val="18"/>
        </w:rPr>
        <w:t>ávrh</w:t>
      </w:r>
      <w:r>
        <w:rPr>
          <w:sz w:val="18"/>
          <w:szCs w:val="18"/>
        </w:rPr>
        <w:t>u</w:t>
      </w:r>
      <w:r w:rsidRPr="00D0101A">
        <w:rPr>
          <w:sz w:val="18"/>
          <w:szCs w:val="18"/>
        </w:rPr>
        <w:t xml:space="preserve"> finančnej stabilizácie zdravotníckych zariadení</w:t>
      </w:r>
      <w:r>
        <w:rPr>
          <w:sz w:val="18"/>
          <w:szCs w:val="18"/>
        </w:rPr>
        <w:t>, z</w:t>
      </w:r>
      <w:r w:rsidRPr="00D0101A">
        <w:rPr>
          <w:sz w:val="18"/>
          <w:szCs w:val="18"/>
        </w:rPr>
        <w:t xml:space="preserve"> 2. decembra 2020</w:t>
      </w:r>
      <w:r>
        <w:rPr>
          <w:sz w:val="18"/>
          <w:szCs w:val="18"/>
        </w:rPr>
        <w:t xml:space="preserve"> (uznesenie vlády SR č. </w:t>
      </w:r>
      <w:r w:rsidRPr="00D0101A">
        <w:rPr>
          <w:sz w:val="18"/>
          <w:szCs w:val="18"/>
        </w:rPr>
        <w:t>757/2020</w:t>
      </w:r>
      <w:r>
        <w:rPr>
          <w:sz w:val="18"/>
          <w:szCs w:val="18"/>
        </w:rPr>
        <w:t>)</w:t>
      </w:r>
      <w:r w:rsidRPr="00D0101A">
        <w:rPr>
          <w:sz w:val="18"/>
          <w:szCs w:val="18"/>
        </w:rPr>
        <w:t>.</w:t>
      </w:r>
    </w:p>
  </w:footnote>
  <w:footnote w:id="17">
    <w:p w14:paraId="208B2369" w14:textId="04129FC7" w:rsidR="007A7529" w:rsidRDefault="007A7529" w:rsidP="00517F4B">
      <w:pPr>
        <w:spacing w:after="0" w:line="240" w:lineRule="auto"/>
      </w:pPr>
      <w:r>
        <w:rPr>
          <w:rStyle w:val="Odkaznapoznmkupodiarou"/>
        </w:rPr>
        <w:footnoteRef/>
      </w:r>
      <w:r>
        <w:t xml:space="preserve"> </w:t>
      </w:r>
      <w:r w:rsidRPr="00282713">
        <w:rPr>
          <w:sz w:val="18"/>
          <w:szCs w:val="18"/>
        </w:rPr>
        <w:t>Samotné odpustenie pohľadávok z penále na poistnom voči zdravotníckym zariadeniam sa negatívne prejavilo na</w:t>
      </w:r>
      <w:r>
        <w:rPr>
          <w:sz w:val="18"/>
          <w:szCs w:val="18"/>
        </w:rPr>
        <w:t> </w:t>
      </w:r>
      <w:r w:rsidRPr="00282713">
        <w:rPr>
          <w:sz w:val="18"/>
          <w:szCs w:val="18"/>
        </w:rPr>
        <w:t>h</w:t>
      </w:r>
      <w:r>
        <w:rPr>
          <w:sz w:val="18"/>
          <w:szCs w:val="18"/>
        </w:rPr>
        <w:t>ospodárení spoločnosti Debitum, </w:t>
      </w:r>
      <w:r w:rsidRPr="00282713">
        <w:rPr>
          <w:sz w:val="18"/>
          <w:szCs w:val="18"/>
        </w:rPr>
        <w:t>a.</w:t>
      </w:r>
      <w:r>
        <w:rPr>
          <w:sz w:val="18"/>
          <w:szCs w:val="18"/>
        </w:rPr>
        <w:t> </w:t>
      </w:r>
      <w:r w:rsidRPr="00282713">
        <w:rPr>
          <w:sz w:val="18"/>
          <w:szCs w:val="18"/>
        </w:rPr>
        <w:t>s., vo výške 93 010 tis. eur (penále za rok 2023 aj 2024), ktorá ich koncom roka 2024 zdravotníckym zariadeniam odpustila. Celkový výsledok oddlžovania v rámci verejnej správy predstavoval negatívny vplyv vo výške 362 tis. eur (oddlženie pohľadávok na poistnom a penále Sociálnej poisťovne voči zdravotníckym zariadeniam mimo sektora verejnej správy</w:t>
      </w:r>
      <w:r>
        <w:rPr>
          <w:sz w:val="18"/>
          <w:szCs w:val="18"/>
        </w:rPr>
        <w:t>)</w:t>
      </w:r>
      <w:r w:rsidRPr="00282713">
        <w:rPr>
          <w:sz w:val="18"/>
          <w:szCs w:val="18"/>
        </w:rPr>
        <w:t>.</w:t>
      </w:r>
    </w:p>
  </w:footnote>
  <w:footnote w:id="18">
    <w:p w14:paraId="43A32CB4" w14:textId="77777777" w:rsidR="007A7529" w:rsidRPr="00D0101A" w:rsidRDefault="007A7529" w:rsidP="009A05C7">
      <w:pPr>
        <w:pStyle w:val="Textpoznmkypodiarou"/>
        <w:rPr>
          <w:sz w:val="18"/>
          <w:szCs w:val="18"/>
        </w:rPr>
      </w:pPr>
      <w:r w:rsidRPr="00BE1B82">
        <w:rPr>
          <w:rStyle w:val="Odkaznapoznmkupodiarou"/>
        </w:rPr>
        <w:footnoteRef/>
      </w:r>
      <w:r w:rsidRPr="00BE1B82">
        <w:t xml:space="preserve"> </w:t>
      </w:r>
      <w:r w:rsidRPr="00D0101A">
        <w:rPr>
          <w:sz w:val="18"/>
          <w:szCs w:val="18"/>
        </w:rPr>
        <w:t>Bližší popis je uvedený v úvode kapitoly 2.2 v časti o daňových a odvodových príjmoch: „Výnos sociálnych a zdravotných odvodov“.</w:t>
      </w:r>
    </w:p>
  </w:footnote>
  <w:footnote w:id="19">
    <w:p w14:paraId="65F6DBE4" w14:textId="77777777" w:rsidR="007A7529" w:rsidRPr="00D0101A" w:rsidRDefault="007A7529" w:rsidP="009A05C7">
      <w:pPr>
        <w:pStyle w:val="Textpoznmkypodiarou"/>
        <w:rPr>
          <w:sz w:val="18"/>
          <w:szCs w:val="18"/>
        </w:rPr>
      </w:pPr>
      <w:r w:rsidRPr="00D0101A">
        <w:rPr>
          <w:rStyle w:val="Odkaznapoznmkupodiarou"/>
          <w:sz w:val="18"/>
          <w:szCs w:val="18"/>
        </w:rPr>
        <w:footnoteRef/>
      </w:r>
      <w:r w:rsidRPr="00D0101A">
        <w:rPr>
          <w:sz w:val="18"/>
          <w:szCs w:val="18"/>
        </w:rPr>
        <w:t xml:space="preserve"> </w:t>
      </w:r>
      <w:r w:rsidRPr="00D0101A">
        <w:rPr>
          <w:rFonts w:cs="Times New Roman"/>
          <w:sz w:val="18"/>
          <w:szCs w:val="18"/>
        </w:rPr>
        <w:t>Starobný dôchodok vypláca Sociálna poisťovňa vopred v pravidelných mesačných termínoch v zmysle zákona č. 461/2003 Z. z. o Sociálnom poistení v znení neskorších predpisov. V tomto prípade vplyv časovo posunutého výdavku sa týka dôchodkových dávok, ktoré Sociálna poisťovňa vypláca v decembri bežného roka, na ktoré vznikol nárok v mesiaci január nasledujúceho roka (t. j. výplatný termín pripadá na sviatok resp. víkend).</w:t>
      </w:r>
      <w:r w:rsidRPr="00D0101A">
        <w:rPr>
          <w:sz w:val="18"/>
          <w:szCs w:val="18"/>
        </w:rPr>
        <w:t>V súlade s metodikou ESA 2010 sa dôchodkové dávky časovo rozlišujú do obdobia, s ktorým vecne súvisia.</w:t>
      </w:r>
    </w:p>
  </w:footnote>
  <w:footnote w:id="20">
    <w:p w14:paraId="4A5EA640" w14:textId="77777777" w:rsidR="007A7529" w:rsidRPr="00BE1B82" w:rsidRDefault="007A7529" w:rsidP="009A05C7">
      <w:pPr>
        <w:pStyle w:val="Textpoznmkypodiarou"/>
      </w:pPr>
      <w:r w:rsidRPr="00D0101A">
        <w:rPr>
          <w:rStyle w:val="Odkaznapoznmkupodiarou"/>
          <w:sz w:val="18"/>
          <w:szCs w:val="18"/>
        </w:rPr>
        <w:footnoteRef/>
      </w:r>
      <w:r w:rsidRPr="00D0101A">
        <w:rPr>
          <w:sz w:val="18"/>
          <w:szCs w:val="18"/>
        </w:rPr>
        <w:t xml:space="preserve"> Od 1.1.2022 sa v zmysle zákona č. 215/2021 Z. z. o podpore v čase skrátenej práce a o zmene a doplnení niektorých zákonov začala poskytovať podpora, ktorá zabezpečuje pokrytie čiastočných nákladov zamestnávateľa na náhradu mzdy zamestnanca, ak došlo k obmedzeniu činnosti zamestnávateľa vplyvom vonkajšieho faktora. Vyplácanie tejto podpory sa realizuje prostredníctvom Ministerstva práce, sociálnych vecí a rodiny SR.</w:t>
      </w:r>
    </w:p>
  </w:footnote>
  <w:footnote w:id="21">
    <w:p w14:paraId="296D979C" w14:textId="485BB8FC" w:rsidR="007A7529" w:rsidRDefault="007A7529" w:rsidP="00D601E2">
      <w:pPr>
        <w:keepNext/>
        <w:spacing w:before="120" w:line="240" w:lineRule="auto"/>
      </w:pPr>
      <w:r>
        <w:rPr>
          <w:rStyle w:val="Odkaznapoznmkupodiarou"/>
        </w:rPr>
        <w:footnoteRef/>
      </w:r>
      <w:r>
        <w:t xml:space="preserve"> </w:t>
      </w:r>
      <w:r w:rsidRPr="00F42A66">
        <w:rPr>
          <w:sz w:val="18"/>
          <w:szCs w:val="18"/>
          <w:lang w:eastAsia="cs-CZ"/>
        </w:rPr>
        <w:t>Prípadné rozdiely v tabuľkách v súčtoch a medzisúčtoch môžu byť spôsobené zaokrúhľovaním.</w:t>
      </w:r>
    </w:p>
  </w:footnote>
  <w:footnote w:id="22">
    <w:p w14:paraId="2C1CB8B9" w14:textId="77777777" w:rsidR="007A7529" w:rsidRPr="00691349" w:rsidRDefault="007A7529" w:rsidP="009A05C7">
      <w:pPr>
        <w:pStyle w:val="Textpoznmkypodiarou"/>
        <w:rPr>
          <w:sz w:val="18"/>
          <w:szCs w:val="18"/>
        </w:rPr>
      </w:pPr>
      <w:r w:rsidRPr="00691349">
        <w:rPr>
          <w:rStyle w:val="Odkaznapoznmkupodiarou"/>
          <w:sz w:val="18"/>
          <w:szCs w:val="18"/>
        </w:rPr>
        <w:footnoteRef/>
      </w:r>
      <w:r w:rsidRPr="00691349">
        <w:rPr>
          <w:sz w:val="18"/>
          <w:szCs w:val="18"/>
        </w:rPr>
        <w:t xml:space="preserve"> Okrem týchto vzťahov sa pri výpočte maastr</w:t>
      </w:r>
      <w:r>
        <w:rPr>
          <w:sz w:val="18"/>
          <w:szCs w:val="18"/>
        </w:rPr>
        <w:t>ichtského dlhu v rámci zložky „</w:t>
      </w:r>
      <w:r w:rsidRPr="00691349">
        <w:rPr>
          <w:sz w:val="18"/>
          <w:szCs w:val="18"/>
        </w:rPr>
        <w:t>štátny dlh“ abstrahuje od záväzkov Ministerstva financií SR voči Štátnej pokladnici z tzv. refinančného systému (</w:t>
      </w:r>
      <w:r>
        <w:rPr>
          <w:sz w:val="18"/>
          <w:szCs w:val="18"/>
        </w:rPr>
        <w:t>17 527 680</w:t>
      </w:r>
      <w:r w:rsidRPr="00691349">
        <w:rPr>
          <w:sz w:val="18"/>
          <w:szCs w:val="18"/>
        </w:rPr>
        <w:t> tis. eur) a od záväzkov z vkladov subjektov verejnej správy v Štátnej pokladnici (9</w:t>
      </w:r>
      <w:r>
        <w:rPr>
          <w:sz w:val="18"/>
          <w:szCs w:val="18"/>
        </w:rPr>
        <w:t> 862 073 </w:t>
      </w:r>
      <w:r w:rsidRPr="00691349">
        <w:rPr>
          <w:sz w:val="18"/>
          <w:szCs w:val="18"/>
        </w:rPr>
        <w:t>tis. eur).</w:t>
      </w:r>
    </w:p>
  </w:footnote>
  <w:footnote w:id="23">
    <w:p w14:paraId="64E75205" w14:textId="77777777" w:rsidR="007A7529" w:rsidRDefault="007A7529" w:rsidP="009A05C7">
      <w:pPr>
        <w:pStyle w:val="Textpoznmkypodiarou"/>
      </w:pPr>
      <w:r>
        <w:rPr>
          <w:rStyle w:val="Odkaznapoznmkupodiarou"/>
        </w:rPr>
        <w:footnoteRef/>
      </w:r>
      <w:r>
        <w:t xml:space="preserve"> </w:t>
      </w:r>
      <w:r w:rsidRPr="000B6BAD">
        <w:rPr>
          <w:sz w:val="18"/>
          <w:szCs w:val="18"/>
        </w:rPr>
        <w:t>Bankovými úvermi disponujú zdravotnícke zariadenia, ktoré sú obchodnými spoločnosťami.</w:t>
      </w:r>
      <w:r>
        <w:t xml:space="preserve"> </w:t>
      </w:r>
    </w:p>
  </w:footnote>
  <w:footnote w:id="24">
    <w:p w14:paraId="51CF7EF5" w14:textId="1CE5FFE9" w:rsidR="007A7529" w:rsidRPr="003B03E0" w:rsidRDefault="007A7529" w:rsidP="004D69BF">
      <w:pPr>
        <w:pStyle w:val="Textpoznmkypodiarou"/>
        <w:rPr>
          <w:sz w:val="18"/>
          <w:szCs w:val="18"/>
        </w:rPr>
      </w:pPr>
      <w:r>
        <w:rPr>
          <w:rStyle w:val="Odkaznapoznmkupodiarou"/>
        </w:rPr>
        <w:footnoteRef/>
      </w:r>
      <w:r>
        <w:t xml:space="preserve"> </w:t>
      </w:r>
      <w:r w:rsidRPr="003B03E0">
        <w:rPr>
          <w:sz w:val="18"/>
          <w:szCs w:val="18"/>
        </w:rPr>
        <w:t>Podľa Opatrenia MF SR č. MF/017353/2017-352</w:t>
      </w:r>
      <w:r w:rsidRPr="003B03E0">
        <w:rPr>
          <w:rFonts w:ascii="Source Sans Pro" w:hAnsi="Source Sans Pro"/>
          <w:color w:val="000000"/>
          <w:sz w:val="18"/>
          <w:szCs w:val="18"/>
          <w:shd w:val="clear" w:color="auto" w:fill="FFFFFF"/>
        </w:rPr>
        <w:t xml:space="preserve"> </w:t>
      </w:r>
      <w:r w:rsidRPr="003B03E0">
        <w:rPr>
          <w:sz w:val="18"/>
          <w:szCs w:val="18"/>
        </w:rPr>
        <w:t>ktorým sa ustanovuje usporiadanie, obsahové vymedzenie, spôsob, termín a miesto predkladania informácií z účtovníctva a údajov potrebných na účely hodnotenia plnenia rozpočtu verejnej správy</w:t>
      </w:r>
    </w:p>
  </w:footnote>
  <w:footnote w:id="25">
    <w:p w14:paraId="204654D2" w14:textId="77777777" w:rsidR="007A7529" w:rsidRPr="003B03E0" w:rsidRDefault="007A7529" w:rsidP="004D69BF">
      <w:pPr>
        <w:pStyle w:val="Textpoznmkypodiarou"/>
        <w:rPr>
          <w:sz w:val="18"/>
          <w:szCs w:val="18"/>
        </w:rPr>
      </w:pPr>
      <w:r w:rsidRPr="003B03E0">
        <w:rPr>
          <w:rStyle w:val="Odkaznapoznmkupodiarou"/>
          <w:sz w:val="18"/>
          <w:szCs w:val="18"/>
        </w:rPr>
        <w:footnoteRef/>
      </w:r>
      <w:r w:rsidRPr="003B03E0">
        <w:rPr>
          <w:sz w:val="18"/>
          <w:szCs w:val="18"/>
        </w:rPr>
        <w:t xml:space="preserve"> Prípadné číselné rozdiely medzi tabuľkovou prílohou a údajmi v textovej časti záverečného účtu sú spôsobené automatickým zaokrúhľovaním.</w:t>
      </w:r>
    </w:p>
  </w:footnote>
  <w:footnote w:id="26">
    <w:p w14:paraId="4530D1A2" w14:textId="53854788" w:rsidR="007A7529" w:rsidRDefault="007A7529" w:rsidP="004D69BF">
      <w:pPr>
        <w:pStyle w:val="Textpoznmkypodiarou"/>
      </w:pPr>
      <w:r w:rsidRPr="003B03E0">
        <w:rPr>
          <w:rStyle w:val="Odkaznapoznmkupodiarou"/>
          <w:sz w:val="18"/>
          <w:szCs w:val="18"/>
        </w:rPr>
        <w:footnoteRef/>
      </w:r>
      <w:r w:rsidRPr="003B03E0">
        <w:rPr>
          <w:sz w:val="18"/>
          <w:szCs w:val="18"/>
        </w:rPr>
        <w:t xml:space="preserve"> Zostavené podľa Smernice MF SR č. MF/006047/2025-31 na vypracovanie záverečných účtov kapitol štátneho rozpočtu a štátnych fondov za rok 2024</w:t>
      </w:r>
    </w:p>
  </w:footnote>
  <w:footnote w:id="27">
    <w:p w14:paraId="7CE7096B" w14:textId="77777777" w:rsidR="007A7529" w:rsidRDefault="007A7529" w:rsidP="004D69BF">
      <w:pPr>
        <w:pStyle w:val="Textpoznmkypodiarou"/>
      </w:pPr>
      <w:r>
        <w:rPr>
          <w:rStyle w:val="Odkaznapoznmkupodiarou"/>
        </w:rPr>
        <w:footnoteRef/>
      </w:r>
      <w:r>
        <w:t xml:space="preserve"> </w:t>
      </w:r>
      <w:r w:rsidRPr="00A7279C">
        <w:rPr>
          <w:sz w:val="18"/>
          <w:szCs w:val="18"/>
        </w:rPr>
        <w:t>Na danom účte je vykázaná suma -37 tis. eur.</w:t>
      </w:r>
    </w:p>
  </w:footnote>
  <w:footnote w:id="28">
    <w:p w14:paraId="46613858" w14:textId="77777777" w:rsidR="007A7529" w:rsidRPr="007A263E" w:rsidRDefault="007A7529" w:rsidP="004D69BF">
      <w:pPr>
        <w:pStyle w:val="Textpoznmkypodiarou"/>
      </w:pPr>
      <w:r>
        <w:rPr>
          <w:rStyle w:val="Odkaznapoznmkupodiarou"/>
        </w:rPr>
        <w:footnoteRef/>
      </w:r>
      <w:r>
        <w:t xml:space="preserve"> </w:t>
      </w:r>
      <w:r w:rsidRPr="0060140C">
        <w:rPr>
          <w:sz w:val="18"/>
          <w:szCs w:val="18"/>
        </w:rPr>
        <w:t>P</w:t>
      </w:r>
      <w:r w:rsidRPr="0060140C">
        <w:rPr>
          <w:rFonts w:cs="Times New Roman"/>
          <w:sz w:val="18"/>
          <w:szCs w:val="18"/>
        </w:rPr>
        <w:t>odľa nariadenia Rady EÚ 2022/1854 o núdzovom zásahu s cieľom riešiť vysoké ceny energie, ktorým sa členské štáty zaviazali prijať dve nové príjmové opatrenia, a to solidárny príspevok z nadzisku a zastropovanie príjmov z výroby a predaja elektrickej energie.</w:t>
      </w:r>
    </w:p>
  </w:footnote>
  <w:footnote w:id="29">
    <w:p w14:paraId="1ABB6628" w14:textId="7C5AB28F" w:rsidR="007A7529" w:rsidRDefault="007A7529" w:rsidP="004D69BF">
      <w:pPr>
        <w:pStyle w:val="Textpoznmkypodiarou"/>
      </w:pPr>
      <w:r>
        <w:rPr>
          <w:rStyle w:val="Odkaznapoznmkupodiarou"/>
        </w:rPr>
        <w:footnoteRef/>
      </w:r>
      <w:r w:rsidRPr="00716332">
        <w:rPr>
          <w:sz w:val="18"/>
          <w:szCs w:val="18"/>
        </w:rPr>
        <w:t>Napríklad:</w:t>
      </w:r>
      <w:r w:rsidRPr="00D96CB7">
        <w:rPr>
          <w:sz w:val="18"/>
          <w:szCs w:val="18"/>
        </w:rPr>
        <w:t>https://www.mpsvr.sk/sk/uvodna-stranka/plan-obnovy-odolnosti/vyzva-predkladanie-ziadosti-prostriedky-mechanizmu-ii/</w:t>
      </w:r>
    </w:p>
  </w:footnote>
  <w:footnote w:id="30">
    <w:p w14:paraId="224ACC5F" w14:textId="09C67CA6" w:rsidR="007A7529" w:rsidRDefault="007A7529" w:rsidP="004D69BF">
      <w:pPr>
        <w:pStyle w:val="Textpoznmkypodiarou"/>
      </w:pPr>
      <w:r>
        <w:rPr>
          <w:rStyle w:val="Odkaznapoznmkupodiarou"/>
        </w:rPr>
        <w:footnoteRef/>
      </w:r>
      <w:r w:rsidRPr="0009391A">
        <w:rPr>
          <w:sz w:val="18"/>
          <w:szCs w:val="18"/>
        </w:rPr>
        <w:t>Pre rok 2024 sa už netvorila rezerva na výdavky spojené s vojnovým konfliktom na Ukrajine a prípadné výdavky v tejto oblasti sú súčasťou výdavkov jednotlivých kapitol štátneho rozpočtu.</w:t>
      </w:r>
    </w:p>
  </w:footnote>
  <w:footnote w:id="31">
    <w:p w14:paraId="2A8F2910" w14:textId="205949AF" w:rsidR="007A7529" w:rsidRPr="008172CD" w:rsidRDefault="007A7529" w:rsidP="004D69BF">
      <w:pPr>
        <w:pStyle w:val="Textpoznmkypodiarou"/>
        <w:rPr>
          <w:sz w:val="18"/>
          <w:szCs w:val="18"/>
        </w:rPr>
      </w:pPr>
      <w:r w:rsidRPr="008172CD">
        <w:rPr>
          <w:rStyle w:val="Odkaznapoznmkupodiarou"/>
          <w:sz w:val="18"/>
          <w:szCs w:val="18"/>
        </w:rPr>
        <w:footnoteRef/>
      </w:r>
      <w:r w:rsidRPr="008172CD">
        <w:rPr>
          <w:sz w:val="18"/>
          <w:szCs w:val="18"/>
        </w:rPr>
        <w:t xml:space="preserve"> Štátne finančné pasíva, ktorými sú najmä záväzky z vydaných štátnych dlhopisov a pokladničných poukážok, záväzky z prijatých vládnych úverov sú bližšie hodnotené v Súhrnnej účtovnej závierke, keďže ide o stavovú veličinu. Výdavkové finančné operácie na splátky istín a rozpočtové výdavky na úhradu úrokov z týchto záväzkov sú predmetom hotovostného plnenie štátneho rozpočtu opisovaného v tomto Štátnom záverečnom účte.</w:t>
      </w:r>
    </w:p>
  </w:footnote>
  <w:footnote w:id="32">
    <w:p w14:paraId="51270867" w14:textId="1906D376" w:rsidR="007A7529" w:rsidRPr="008172CD" w:rsidRDefault="007A7529" w:rsidP="004D69BF">
      <w:pPr>
        <w:pStyle w:val="Textpoznmkypodiarou"/>
        <w:rPr>
          <w:sz w:val="18"/>
          <w:szCs w:val="18"/>
        </w:rPr>
      </w:pPr>
      <w:r w:rsidRPr="008172CD">
        <w:rPr>
          <w:rStyle w:val="Odkaznapoznmkupodiarou"/>
          <w:rFonts w:eastAsiaTheme="majorEastAsia"/>
          <w:sz w:val="18"/>
          <w:szCs w:val="18"/>
        </w:rPr>
        <w:footnoteRef/>
      </w:r>
      <w:r w:rsidRPr="008172CD">
        <w:rPr>
          <w:sz w:val="18"/>
          <w:szCs w:val="18"/>
        </w:rPr>
        <w:t xml:space="preserve"> § 13 zákona č. 523/2004 Z. z. o rozpočtových pravidlách verejnej správy a o zmene a doplnení niektorých zákonov v z.</w:t>
      </w:r>
      <w:r>
        <w:rPr>
          <w:sz w:val="18"/>
          <w:szCs w:val="18"/>
        </w:rPr>
        <w:t> </w:t>
      </w:r>
      <w:r w:rsidRPr="008172CD">
        <w:rPr>
          <w:sz w:val="18"/>
          <w:szCs w:val="18"/>
        </w:rPr>
        <w:t>n.</w:t>
      </w:r>
      <w:r>
        <w:rPr>
          <w:sz w:val="18"/>
          <w:szCs w:val="18"/>
        </w:rPr>
        <w:t> </w:t>
      </w:r>
      <w:r w:rsidRPr="008172CD">
        <w:rPr>
          <w:sz w:val="18"/>
          <w:szCs w:val="18"/>
        </w:rPr>
        <w:t>p.</w:t>
      </w:r>
    </w:p>
  </w:footnote>
  <w:footnote w:id="33">
    <w:p w14:paraId="617A3D18" w14:textId="618E5EF6" w:rsidR="007A7529" w:rsidRPr="00750A86" w:rsidRDefault="007A7529" w:rsidP="004D69BF">
      <w:pPr>
        <w:pStyle w:val="Textpoznmkypodiarou"/>
      </w:pPr>
      <w:r w:rsidRPr="00750A86">
        <w:rPr>
          <w:rStyle w:val="Odkaznapoznmkupodiarou"/>
          <w:sz w:val="18"/>
          <w:szCs w:val="18"/>
        </w:rPr>
        <w:footnoteRef/>
      </w:r>
      <w:r>
        <w:t xml:space="preserve"> </w:t>
      </w:r>
      <w:hyperlink r:id="rId3" w:history="1">
        <w:r w:rsidRPr="00DE582D">
          <w:rPr>
            <w:rStyle w:val="Hypertextovprepojenie"/>
            <w:sz w:val="18"/>
            <w:szCs w:val="18"/>
          </w:rPr>
          <w:t>Európsky rozvojový fond</w:t>
        </w:r>
      </w:hyperlink>
      <w:r w:rsidRPr="00DE582D">
        <w:rPr>
          <w:sz w:val="18"/>
          <w:szCs w:val="18"/>
        </w:rPr>
        <w:t xml:space="preserve"> podporuje opatrenia v rozvojových krajinách a územiach na podporu hospodárskeho, sociálneho a</w:t>
      </w:r>
      <w:r>
        <w:rPr>
          <w:sz w:val="18"/>
          <w:szCs w:val="18"/>
        </w:rPr>
        <w:t> </w:t>
      </w:r>
      <w:r w:rsidRPr="00DE582D">
        <w:rPr>
          <w:sz w:val="18"/>
          <w:szCs w:val="18"/>
        </w:rPr>
        <w:t>ľudského rozvoja, ako aj na regionálnu podporu.</w:t>
      </w:r>
    </w:p>
  </w:footnote>
  <w:footnote w:id="34">
    <w:p w14:paraId="2986AE37" w14:textId="77777777" w:rsidR="007A7529" w:rsidRPr="009364D0" w:rsidRDefault="007A7529" w:rsidP="004D69BF">
      <w:pPr>
        <w:pStyle w:val="Textpoznmkypodiarou"/>
        <w:rPr>
          <w:sz w:val="18"/>
          <w:szCs w:val="18"/>
          <w:lang w:eastAsia="sk-SK"/>
        </w:rPr>
      </w:pPr>
      <w:r w:rsidRPr="009364D0">
        <w:rPr>
          <w:sz w:val="18"/>
          <w:szCs w:val="18"/>
          <w:vertAlign w:val="superscript"/>
          <w:lang w:eastAsia="sk-SK"/>
        </w:rPr>
        <w:footnoteRef/>
      </w:r>
      <w:r w:rsidRPr="009364D0">
        <w:rPr>
          <w:sz w:val="18"/>
          <w:szCs w:val="18"/>
          <w:lang w:eastAsia="sk-SK"/>
        </w:rPr>
        <w:t xml:space="preserve"> Skutočnosť na úrovni vybraných jednorazových titulov predstavuje reálne čerpanie </w:t>
      </w:r>
      <w:r>
        <w:rPr>
          <w:sz w:val="18"/>
          <w:szCs w:val="18"/>
          <w:lang w:eastAsia="sk-SK"/>
        </w:rPr>
        <w:t>na základe predložených žiadostí o platbu prijímateľom</w:t>
      </w:r>
      <w:r w:rsidRPr="009364D0">
        <w:rPr>
          <w:sz w:val="18"/>
          <w:szCs w:val="18"/>
          <w:lang w:eastAsia="sk-SK"/>
        </w:rPr>
        <w:t>. Skutočnosť v rámci týchto výdavkových skupín uvedená v časti 3.4.</w:t>
      </w:r>
      <w:r>
        <w:rPr>
          <w:sz w:val="18"/>
          <w:szCs w:val="18"/>
          <w:lang w:eastAsia="sk-SK"/>
        </w:rPr>
        <w:t xml:space="preserve">3 </w:t>
      </w:r>
      <w:r w:rsidRPr="009364D0">
        <w:rPr>
          <w:sz w:val="18"/>
          <w:szCs w:val="18"/>
          <w:lang w:eastAsia="sk-SK"/>
        </w:rPr>
        <w:t>Zhrnutie čerpania záväzkov programových období po vstupe SR do Európskej únie predstavuje čerpanie na úrovni</w:t>
      </w:r>
      <w:r>
        <w:rPr>
          <w:sz w:val="18"/>
          <w:szCs w:val="18"/>
          <w:lang w:eastAsia="sk-SK"/>
        </w:rPr>
        <w:t xml:space="preserve"> výdavkov v súhrnných žiadostiach o platbu, schválených certifikačným/platobným orgánom</w:t>
      </w:r>
      <w:r w:rsidRPr="009364D0">
        <w:rPr>
          <w:sz w:val="18"/>
          <w:szCs w:val="18"/>
          <w:lang w:eastAsia="sk-SK"/>
        </w:rPr>
        <w:t>.</w:t>
      </w:r>
    </w:p>
  </w:footnote>
  <w:footnote w:id="35">
    <w:p w14:paraId="2ED64E6C" w14:textId="77777777" w:rsidR="007A7529" w:rsidRPr="009364D0" w:rsidRDefault="007A7529" w:rsidP="004D69BF">
      <w:pPr>
        <w:pStyle w:val="Textpoznmkypodiarou"/>
        <w:rPr>
          <w:sz w:val="18"/>
          <w:szCs w:val="18"/>
        </w:rPr>
      </w:pPr>
      <w:r w:rsidRPr="00F3544F">
        <w:rPr>
          <w:sz w:val="18"/>
          <w:szCs w:val="18"/>
          <w:vertAlign w:val="superscript"/>
          <w:lang w:eastAsia="sk-SK"/>
        </w:rPr>
        <w:footnoteRef/>
      </w:r>
      <w:r w:rsidRPr="00F3544F">
        <w:rPr>
          <w:sz w:val="18"/>
          <w:szCs w:val="18"/>
          <w:lang w:eastAsia="sk-SK"/>
        </w:rPr>
        <w:t xml:space="preserve"> Skutočnosť na úrovni vybraných jednorazových titulov predstavuje reálne čerpanie</w:t>
      </w:r>
      <w:r w:rsidRPr="00DE5D26">
        <w:rPr>
          <w:sz w:val="18"/>
          <w:szCs w:val="18"/>
          <w:lang w:eastAsia="sk-SK"/>
        </w:rPr>
        <w:t xml:space="preserve"> </w:t>
      </w:r>
      <w:r>
        <w:rPr>
          <w:sz w:val="18"/>
          <w:szCs w:val="18"/>
          <w:lang w:eastAsia="sk-SK"/>
        </w:rPr>
        <w:t>na základe predložených žiadostí o platbu prijímateľom</w:t>
      </w:r>
      <w:r w:rsidRPr="00F3544F">
        <w:rPr>
          <w:sz w:val="18"/>
          <w:szCs w:val="18"/>
          <w:lang w:eastAsia="sk-SK"/>
        </w:rPr>
        <w:t>. Skutočnosť v rámci týchto výdavkových skupín uvedená v časti 3.4.</w:t>
      </w:r>
      <w:r>
        <w:rPr>
          <w:sz w:val="18"/>
          <w:szCs w:val="18"/>
          <w:lang w:eastAsia="sk-SK"/>
        </w:rPr>
        <w:t>3</w:t>
      </w:r>
      <w:r w:rsidRPr="00F3544F">
        <w:rPr>
          <w:sz w:val="18"/>
          <w:szCs w:val="18"/>
          <w:lang w:eastAsia="sk-SK"/>
        </w:rPr>
        <w:t xml:space="preserve"> Zhrnutie čerpania záväzkov programových období po vstupe SR do Európskej únie predstavuje čerpanie na úrovni </w:t>
      </w:r>
      <w:r>
        <w:rPr>
          <w:sz w:val="18"/>
          <w:szCs w:val="18"/>
          <w:lang w:eastAsia="sk-SK"/>
        </w:rPr>
        <w:t>výdavkov v súhrnných žiadostiach o platbu, schválených certifikačným/platobným orgánom</w:t>
      </w:r>
      <w:r w:rsidRPr="009364D0">
        <w:rPr>
          <w:sz w:val="18"/>
          <w:szCs w:val="18"/>
          <w:lang w:eastAsia="sk-SK"/>
        </w:rPr>
        <w:t>.</w:t>
      </w:r>
    </w:p>
  </w:footnote>
  <w:footnote w:id="36">
    <w:p w14:paraId="6E8B41EC" w14:textId="77777777" w:rsidR="007A7529" w:rsidRPr="00E96C74" w:rsidRDefault="007A7529" w:rsidP="004D69BF">
      <w:pPr>
        <w:pStyle w:val="Textpoznmkypodiarou"/>
        <w:rPr>
          <w:sz w:val="18"/>
          <w:szCs w:val="18"/>
        </w:rPr>
      </w:pPr>
      <w:r w:rsidRPr="00E96C74">
        <w:rPr>
          <w:rStyle w:val="Odkaznapoznmkupodiarou"/>
          <w:sz w:val="18"/>
          <w:szCs w:val="18"/>
        </w:rPr>
        <w:footnoteRef/>
      </w:r>
      <w:r w:rsidRPr="00E96C74">
        <w:rPr>
          <w:sz w:val="18"/>
          <w:szCs w:val="18"/>
        </w:rPr>
        <w:t xml:space="preserve"> Údaje len za fondy ERDF, ESF, ESF+, KF</w:t>
      </w:r>
      <w:r>
        <w:rPr>
          <w:sz w:val="18"/>
          <w:szCs w:val="18"/>
        </w:rPr>
        <w:t>,</w:t>
      </w:r>
      <w:r w:rsidRPr="00E96C74">
        <w:rPr>
          <w:sz w:val="18"/>
          <w:szCs w:val="18"/>
        </w:rPr>
        <w:t xml:space="preserve"> FST, ENRAF</w:t>
      </w:r>
      <w:r>
        <w:rPr>
          <w:sz w:val="18"/>
          <w:szCs w:val="18"/>
        </w:rPr>
        <w:t>.</w:t>
      </w:r>
    </w:p>
  </w:footnote>
  <w:footnote w:id="37">
    <w:p w14:paraId="6F6CFFE1" w14:textId="77777777" w:rsidR="007A7529" w:rsidRPr="00A86496" w:rsidRDefault="007A7529" w:rsidP="004D69BF">
      <w:pPr>
        <w:pStyle w:val="Textpoznmkypodiarou"/>
      </w:pPr>
      <w:r w:rsidRPr="00A86496">
        <w:rPr>
          <w:rStyle w:val="Odkaznapoznmkupodiarou"/>
          <w:sz w:val="18"/>
          <w:szCs w:val="18"/>
        </w:rPr>
        <w:footnoteRef/>
      </w:r>
      <w:r w:rsidRPr="00A86496">
        <w:rPr>
          <w:sz w:val="18"/>
          <w:szCs w:val="18"/>
        </w:rPr>
        <w:t xml:space="preserve"> </w:t>
      </w:r>
      <w:r w:rsidRPr="00EF0D90">
        <w:rPr>
          <w:sz w:val="18"/>
          <w:szCs w:val="18"/>
        </w:rPr>
        <w:t>V zmysle pravidla n+3 je potrebné deklarovať na EK do 31. decembra tretieho rozpočtového roku  nasledujúceho po roku prijatia rozpočtového záväzku za operačný program (čl. 136 nariadenia EP a Rady EÚ č. 1303/2013).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1171"/>
    <w:multiLevelType w:val="hybridMultilevel"/>
    <w:tmpl w:val="8AE854D6"/>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0B933281"/>
    <w:multiLevelType w:val="hybridMultilevel"/>
    <w:tmpl w:val="28362946"/>
    <w:lvl w:ilvl="0" w:tplc="D60E5870">
      <w:start w:val="66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9F20D54"/>
    <w:multiLevelType w:val="hybridMultilevel"/>
    <w:tmpl w:val="5E36A84E"/>
    <w:lvl w:ilvl="0" w:tplc="A4283DBA">
      <w:start w:val="666"/>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CAC3A1E"/>
    <w:multiLevelType w:val="multilevel"/>
    <w:tmpl w:val="70780D0A"/>
    <w:lvl w:ilvl="0">
      <w:start w:val="1"/>
      <w:numFmt w:val="decimal"/>
      <w:pStyle w:val="Nadpis1"/>
      <w:lvlText w:val="%1"/>
      <w:lvlJc w:val="left"/>
      <w:pPr>
        <w:ind w:left="3977" w:hanging="432"/>
      </w:pPr>
    </w:lvl>
    <w:lvl w:ilvl="1">
      <w:start w:val="1"/>
      <w:numFmt w:val="decimal"/>
      <w:pStyle w:val="Nadpis2"/>
      <w:lvlText w:val="%1.%2"/>
      <w:lvlJc w:val="left"/>
      <w:pPr>
        <w:ind w:left="5396" w:hanging="576"/>
      </w:pPr>
    </w:lvl>
    <w:lvl w:ilvl="2">
      <w:start w:val="1"/>
      <w:numFmt w:val="decimal"/>
      <w:pStyle w:val="Nadpis3"/>
      <w:lvlText w:val="%1.%2.%3"/>
      <w:lvlJc w:val="left"/>
      <w:pPr>
        <w:ind w:left="2562" w:hanging="720"/>
      </w:pPr>
    </w:lvl>
    <w:lvl w:ilvl="3">
      <w:start w:val="1"/>
      <w:numFmt w:val="decimal"/>
      <w:pStyle w:val="Nadpis4"/>
      <w:lvlText w:val="%1.%2.%3.%4"/>
      <w:lvlJc w:val="left"/>
      <w:pPr>
        <w:ind w:left="864" w:hanging="864"/>
      </w:pPr>
      <w:rPr>
        <w:rFonts w:ascii="Times New Roman" w:hAnsi="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15:restartNumberingAfterBreak="0">
    <w:nsid w:val="1D811F48"/>
    <w:multiLevelType w:val="hybridMultilevel"/>
    <w:tmpl w:val="AA98145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12D6907"/>
    <w:multiLevelType w:val="hybridMultilevel"/>
    <w:tmpl w:val="E4B6CE32"/>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226B0D58"/>
    <w:multiLevelType w:val="hybridMultilevel"/>
    <w:tmpl w:val="60CCC6C8"/>
    <w:lvl w:ilvl="0" w:tplc="BCD0F0D2">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22705E7E"/>
    <w:multiLevelType w:val="hybridMultilevel"/>
    <w:tmpl w:val="01EAB926"/>
    <w:lvl w:ilvl="0" w:tplc="041B0005">
      <w:start w:val="1"/>
      <w:numFmt w:val="bullet"/>
      <w:lvlText w:val=""/>
      <w:lvlJc w:val="left"/>
      <w:pPr>
        <w:ind w:left="360" w:hanging="360"/>
      </w:pPr>
      <w:rPr>
        <w:rFonts w:ascii="Wingdings" w:hAnsi="Wingdings" w:hint="default"/>
      </w:rPr>
    </w:lvl>
    <w:lvl w:ilvl="1" w:tplc="041B0005">
      <w:start w:val="1"/>
      <w:numFmt w:val="bullet"/>
      <w:lvlText w:val=""/>
      <w:lvlJc w:val="left"/>
      <w:pPr>
        <w:ind w:left="1080" w:hanging="360"/>
      </w:pPr>
      <w:rPr>
        <w:rFonts w:ascii="Wingdings" w:hAnsi="Wingdings"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56A0C11"/>
    <w:multiLevelType w:val="hybridMultilevel"/>
    <w:tmpl w:val="233611F0"/>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26791B76"/>
    <w:multiLevelType w:val="hybridMultilevel"/>
    <w:tmpl w:val="3EA486D6"/>
    <w:lvl w:ilvl="0" w:tplc="041B0001">
      <w:start w:val="666"/>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E4A080B"/>
    <w:multiLevelType w:val="hybridMultilevel"/>
    <w:tmpl w:val="92FC3B00"/>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2FD52A2D"/>
    <w:multiLevelType w:val="multilevel"/>
    <w:tmpl w:val="0D3280E6"/>
    <w:styleLink w:val="tl1"/>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0382081"/>
    <w:multiLevelType w:val="hybridMultilevel"/>
    <w:tmpl w:val="7DA0E8FA"/>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3074125A"/>
    <w:multiLevelType w:val="hybridMultilevel"/>
    <w:tmpl w:val="7EF639DE"/>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32E35931"/>
    <w:multiLevelType w:val="hybridMultilevel"/>
    <w:tmpl w:val="4FCA771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6436D2F"/>
    <w:multiLevelType w:val="hybridMultilevel"/>
    <w:tmpl w:val="136C6D7E"/>
    <w:lvl w:ilvl="0" w:tplc="A976943A">
      <w:start w:val="666"/>
      <w:numFmt w:val="bullet"/>
      <w:lvlText w:val=""/>
      <w:lvlJc w:val="left"/>
      <w:pPr>
        <w:ind w:left="720" w:hanging="360"/>
      </w:pPr>
      <w:rPr>
        <w:rFonts w:ascii="Symbol" w:eastAsiaTheme="minorHAnsi"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9966AD6"/>
    <w:multiLevelType w:val="multilevel"/>
    <w:tmpl w:val="B776CC5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E70846"/>
    <w:multiLevelType w:val="hybridMultilevel"/>
    <w:tmpl w:val="227665D8"/>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3E1E4BBE"/>
    <w:multiLevelType w:val="hybridMultilevel"/>
    <w:tmpl w:val="21CE4998"/>
    <w:lvl w:ilvl="0" w:tplc="FFFFFFFF">
      <w:start w:val="1"/>
      <w:numFmt w:val="bullet"/>
      <w:lvlText w:val=""/>
      <w:lvlJc w:val="left"/>
      <w:pPr>
        <w:ind w:left="1287" w:hanging="360"/>
      </w:pPr>
      <w:rPr>
        <w:rFonts w:ascii="Symbol" w:hAnsi="Symbol" w:hint="default"/>
      </w:rPr>
    </w:lvl>
    <w:lvl w:ilvl="1" w:tplc="041B0005">
      <w:start w:val="1"/>
      <w:numFmt w:val="bullet"/>
      <w:lvlText w:val=""/>
      <w:lvlJc w:val="left"/>
      <w:pPr>
        <w:ind w:left="1353" w:hanging="360"/>
      </w:pPr>
      <w:rPr>
        <w:rFonts w:ascii="Wingdings" w:hAnsi="Wingdings" w:hint="default"/>
      </w:rPr>
    </w:lvl>
    <w:lvl w:ilvl="2" w:tplc="041B0005">
      <w:start w:val="1"/>
      <w:numFmt w:val="bullet"/>
      <w:lvlText w:val=""/>
      <w:lvlJc w:val="left"/>
      <w:pPr>
        <w:ind w:left="2727" w:hanging="360"/>
      </w:pPr>
      <w:rPr>
        <w:rFonts w:ascii="Wingdings" w:hAnsi="Wingdings" w:hint="default"/>
      </w:rPr>
    </w:lvl>
    <w:lvl w:ilvl="3" w:tplc="AB0C57A0">
      <w:start w:val="12"/>
      <w:numFmt w:val="bullet"/>
      <w:lvlText w:val="-"/>
      <w:lvlJc w:val="left"/>
      <w:pPr>
        <w:ind w:left="3447" w:hanging="360"/>
      </w:pPr>
      <w:rPr>
        <w:rFonts w:ascii="Times New Roman" w:eastAsia="Times New Roman" w:hAnsi="Times New Roman"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3EA46160"/>
    <w:multiLevelType w:val="hybridMultilevel"/>
    <w:tmpl w:val="A894B8EC"/>
    <w:lvl w:ilvl="0" w:tplc="A36E3E12">
      <w:start w:val="3"/>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231167E"/>
    <w:multiLevelType w:val="hybridMultilevel"/>
    <w:tmpl w:val="12523884"/>
    <w:lvl w:ilvl="0" w:tplc="1AE66FC4">
      <w:numFmt w:val="bullet"/>
      <w:lvlText w:val="-"/>
      <w:lvlJc w:val="left"/>
      <w:pPr>
        <w:ind w:left="720" w:hanging="360"/>
      </w:pPr>
      <w:rPr>
        <w:rFonts w:ascii="Times New Roman" w:eastAsia="Times New Roman" w:hAnsi="Times New Roman" w:cs="Times New Roman"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1" w15:restartNumberingAfterBreak="0">
    <w:nsid w:val="471B0E57"/>
    <w:multiLevelType w:val="hybridMultilevel"/>
    <w:tmpl w:val="B7D0208E"/>
    <w:lvl w:ilvl="0" w:tplc="A36E3E12">
      <w:start w:val="3"/>
      <w:numFmt w:val="bullet"/>
      <w:lvlText w:val="-"/>
      <w:lvlJc w:val="left"/>
      <w:pPr>
        <w:ind w:left="784" w:hanging="360"/>
      </w:pPr>
      <w:rPr>
        <w:rFonts w:ascii="Arial Narrow" w:eastAsia="Times New Roman" w:hAnsi="Arial Narrow" w:hint="default"/>
      </w:rPr>
    </w:lvl>
    <w:lvl w:ilvl="1" w:tplc="041B0003" w:tentative="1">
      <w:start w:val="1"/>
      <w:numFmt w:val="bullet"/>
      <w:lvlText w:val="o"/>
      <w:lvlJc w:val="left"/>
      <w:pPr>
        <w:ind w:left="1504" w:hanging="360"/>
      </w:pPr>
      <w:rPr>
        <w:rFonts w:ascii="Courier New" w:hAnsi="Courier New" w:cs="Courier New" w:hint="default"/>
      </w:rPr>
    </w:lvl>
    <w:lvl w:ilvl="2" w:tplc="041B0005" w:tentative="1">
      <w:start w:val="1"/>
      <w:numFmt w:val="bullet"/>
      <w:lvlText w:val=""/>
      <w:lvlJc w:val="left"/>
      <w:pPr>
        <w:ind w:left="2224" w:hanging="360"/>
      </w:pPr>
      <w:rPr>
        <w:rFonts w:ascii="Wingdings" w:hAnsi="Wingdings" w:hint="default"/>
      </w:rPr>
    </w:lvl>
    <w:lvl w:ilvl="3" w:tplc="041B0001" w:tentative="1">
      <w:start w:val="1"/>
      <w:numFmt w:val="bullet"/>
      <w:lvlText w:val=""/>
      <w:lvlJc w:val="left"/>
      <w:pPr>
        <w:ind w:left="2944" w:hanging="360"/>
      </w:pPr>
      <w:rPr>
        <w:rFonts w:ascii="Symbol" w:hAnsi="Symbol" w:hint="default"/>
      </w:rPr>
    </w:lvl>
    <w:lvl w:ilvl="4" w:tplc="041B0003" w:tentative="1">
      <w:start w:val="1"/>
      <w:numFmt w:val="bullet"/>
      <w:lvlText w:val="o"/>
      <w:lvlJc w:val="left"/>
      <w:pPr>
        <w:ind w:left="3664" w:hanging="360"/>
      </w:pPr>
      <w:rPr>
        <w:rFonts w:ascii="Courier New" w:hAnsi="Courier New" w:cs="Courier New" w:hint="default"/>
      </w:rPr>
    </w:lvl>
    <w:lvl w:ilvl="5" w:tplc="041B0005" w:tentative="1">
      <w:start w:val="1"/>
      <w:numFmt w:val="bullet"/>
      <w:lvlText w:val=""/>
      <w:lvlJc w:val="left"/>
      <w:pPr>
        <w:ind w:left="4384" w:hanging="360"/>
      </w:pPr>
      <w:rPr>
        <w:rFonts w:ascii="Wingdings" w:hAnsi="Wingdings" w:hint="default"/>
      </w:rPr>
    </w:lvl>
    <w:lvl w:ilvl="6" w:tplc="041B0001" w:tentative="1">
      <w:start w:val="1"/>
      <w:numFmt w:val="bullet"/>
      <w:lvlText w:val=""/>
      <w:lvlJc w:val="left"/>
      <w:pPr>
        <w:ind w:left="5104" w:hanging="360"/>
      </w:pPr>
      <w:rPr>
        <w:rFonts w:ascii="Symbol" w:hAnsi="Symbol" w:hint="default"/>
      </w:rPr>
    </w:lvl>
    <w:lvl w:ilvl="7" w:tplc="041B0003" w:tentative="1">
      <w:start w:val="1"/>
      <w:numFmt w:val="bullet"/>
      <w:lvlText w:val="o"/>
      <w:lvlJc w:val="left"/>
      <w:pPr>
        <w:ind w:left="5824" w:hanging="360"/>
      </w:pPr>
      <w:rPr>
        <w:rFonts w:ascii="Courier New" w:hAnsi="Courier New" w:cs="Courier New" w:hint="default"/>
      </w:rPr>
    </w:lvl>
    <w:lvl w:ilvl="8" w:tplc="041B0005" w:tentative="1">
      <w:start w:val="1"/>
      <w:numFmt w:val="bullet"/>
      <w:lvlText w:val=""/>
      <w:lvlJc w:val="left"/>
      <w:pPr>
        <w:ind w:left="6544" w:hanging="360"/>
      </w:pPr>
      <w:rPr>
        <w:rFonts w:ascii="Wingdings" w:hAnsi="Wingdings" w:hint="default"/>
      </w:rPr>
    </w:lvl>
  </w:abstractNum>
  <w:abstractNum w:abstractNumId="22" w15:restartNumberingAfterBreak="0">
    <w:nsid w:val="513472A1"/>
    <w:multiLevelType w:val="hybridMultilevel"/>
    <w:tmpl w:val="DB8C3044"/>
    <w:lvl w:ilvl="0" w:tplc="041B0005">
      <w:start w:val="1"/>
      <w:numFmt w:val="bullet"/>
      <w:lvlText w:val=""/>
      <w:lvlJc w:val="left"/>
      <w:pPr>
        <w:ind w:left="1778" w:hanging="360"/>
      </w:pPr>
      <w:rPr>
        <w:rFonts w:ascii="Wingdings" w:hAnsi="Wingding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3" w15:restartNumberingAfterBreak="0">
    <w:nsid w:val="537A2CB3"/>
    <w:multiLevelType w:val="hybridMultilevel"/>
    <w:tmpl w:val="094E47D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54F75476"/>
    <w:multiLevelType w:val="hybridMultilevel"/>
    <w:tmpl w:val="D79C2276"/>
    <w:lvl w:ilvl="0" w:tplc="9B14F260">
      <w:numFmt w:val="bullet"/>
      <w:lvlText w:val="–"/>
      <w:lvlJc w:val="left"/>
      <w:pPr>
        <w:ind w:left="720" w:hanging="360"/>
      </w:pPr>
      <w:rPr>
        <w:rFonts w:ascii="Arial Narrow" w:eastAsiaTheme="minorHAnsi" w:hAnsi="Arial Narrow"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65826BB"/>
    <w:multiLevelType w:val="hybridMultilevel"/>
    <w:tmpl w:val="E3FE22E6"/>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6" w15:restartNumberingAfterBreak="0">
    <w:nsid w:val="5DE97EDD"/>
    <w:multiLevelType w:val="hybridMultilevel"/>
    <w:tmpl w:val="364435EE"/>
    <w:lvl w:ilvl="0" w:tplc="810ACC24">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5E041085"/>
    <w:multiLevelType w:val="multilevel"/>
    <w:tmpl w:val="227C4886"/>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69715723"/>
    <w:multiLevelType w:val="hybridMultilevel"/>
    <w:tmpl w:val="400A112A"/>
    <w:lvl w:ilvl="0" w:tplc="041B0005">
      <w:start w:val="1"/>
      <w:numFmt w:val="bullet"/>
      <w:lvlText w:val=""/>
      <w:lvlJc w:val="left"/>
      <w:pPr>
        <w:ind w:left="360" w:hanging="360"/>
      </w:pPr>
      <w:rPr>
        <w:rFonts w:ascii="Wingdings" w:hAnsi="Wingdings" w:hint="default"/>
      </w:rPr>
    </w:lvl>
    <w:lvl w:ilvl="1" w:tplc="041B0005">
      <w:start w:val="1"/>
      <w:numFmt w:val="bullet"/>
      <w:lvlText w:val=""/>
      <w:lvlJc w:val="left"/>
      <w:pPr>
        <w:ind w:left="1080" w:hanging="360"/>
      </w:pPr>
      <w:rPr>
        <w:rFonts w:ascii="Wingdings" w:hAnsi="Wingdings" w:hint="default"/>
      </w:rPr>
    </w:lvl>
    <w:lvl w:ilvl="2" w:tplc="E8CC9C7E">
      <w:start w:val="2"/>
      <w:numFmt w:val="bullet"/>
      <w:lvlText w:val=""/>
      <w:lvlJc w:val="left"/>
      <w:pPr>
        <w:ind w:left="1800" w:hanging="360"/>
      </w:pPr>
      <w:rPr>
        <w:rFonts w:ascii="Symbol" w:eastAsia="Times New Roman" w:hAnsi="Symbol" w:cs="Times New Roman" w:hint="default"/>
        <w:sz w:val="18"/>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6AF16A02"/>
    <w:multiLevelType w:val="hybridMultilevel"/>
    <w:tmpl w:val="542A60AE"/>
    <w:lvl w:ilvl="0" w:tplc="E6C22E94">
      <w:start w:val="666"/>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D4E14EF"/>
    <w:multiLevelType w:val="hybridMultilevel"/>
    <w:tmpl w:val="3376C70A"/>
    <w:lvl w:ilvl="0" w:tplc="ED6A8106">
      <w:start w:val="24"/>
      <w:numFmt w:val="bullet"/>
      <w:lvlText w:val="-"/>
      <w:lvlJc w:val="left"/>
      <w:pPr>
        <w:ind w:left="720" w:hanging="360"/>
      </w:pPr>
      <w:rPr>
        <w:rFonts w:ascii="Times New Roman" w:eastAsiaTheme="minorHAnsi" w:hAnsi="Times New Roman" w:cs="Times New Roman"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E22678B"/>
    <w:multiLevelType w:val="hybridMultilevel"/>
    <w:tmpl w:val="39D2BF1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1AD4663"/>
    <w:multiLevelType w:val="hybridMultilevel"/>
    <w:tmpl w:val="8176076E"/>
    <w:lvl w:ilvl="0" w:tplc="51E63CC6">
      <w:numFmt w:val="bullet"/>
      <w:lvlText w:val="-"/>
      <w:lvlJc w:val="left"/>
      <w:pPr>
        <w:ind w:left="928" w:hanging="360"/>
      </w:pPr>
      <w:rPr>
        <w:rFonts w:ascii="Arial Narrow" w:eastAsiaTheme="minorHAnsi" w:hAnsi="Arial Narrow" w:cs="Times New Roman" w:hint="default"/>
        <w:color w:val="auto"/>
      </w:rPr>
    </w:lvl>
    <w:lvl w:ilvl="1" w:tplc="041B0003" w:tentative="1">
      <w:start w:val="1"/>
      <w:numFmt w:val="bullet"/>
      <w:lvlText w:val="o"/>
      <w:lvlJc w:val="left"/>
      <w:pPr>
        <w:ind w:left="1845" w:hanging="360"/>
      </w:pPr>
      <w:rPr>
        <w:rFonts w:ascii="Courier New" w:hAnsi="Courier New" w:cs="Courier New" w:hint="default"/>
      </w:rPr>
    </w:lvl>
    <w:lvl w:ilvl="2" w:tplc="041B0005" w:tentative="1">
      <w:start w:val="1"/>
      <w:numFmt w:val="bullet"/>
      <w:lvlText w:val=""/>
      <w:lvlJc w:val="left"/>
      <w:pPr>
        <w:ind w:left="2565" w:hanging="360"/>
      </w:pPr>
      <w:rPr>
        <w:rFonts w:ascii="Wingdings" w:hAnsi="Wingdings" w:hint="default"/>
      </w:rPr>
    </w:lvl>
    <w:lvl w:ilvl="3" w:tplc="041B0001" w:tentative="1">
      <w:start w:val="1"/>
      <w:numFmt w:val="bullet"/>
      <w:lvlText w:val=""/>
      <w:lvlJc w:val="left"/>
      <w:pPr>
        <w:ind w:left="3285" w:hanging="360"/>
      </w:pPr>
      <w:rPr>
        <w:rFonts w:ascii="Symbol" w:hAnsi="Symbol" w:hint="default"/>
      </w:rPr>
    </w:lvl>
    <w:lvl w:ilvl="4" w:tplc="041B0003" w:tentative="1">
      <w:start w:val="1"/>
      <w:numFmt w:val="bullet"/>
      <w:lvlText w:val="o"/>
      <w:lvlJc w:val="left"/>
      <w:pPr>
        <w:ind w:left="4005" w:hanging="360"/>
      </w:pPr>
      <w:rPr>
        <w:rFonts w:ascii="Courier New" w:hAnsi="Courier New" w:cs="Courier New" w:hint="default"/>
      </w:rPr>
    </w:lvl>
    <w:lvl w:ilvl="5" w:tplc="041B0005" w:tentative="1">
      <w:start w:val="1"/>
      <w:numFmt w:val="bullet"/>
      <w:lvlText w:val=""/>
      <w:lvlJc w:val="left"/>
      <w:pPr>
        <w:ind w:left="4725" w:hanging="360"/>
      </w:pPr>
      <w:rPr>
        <w:rFonts w:ascii="Wingdings" w:hAnsi="Wingdings" w:hint="default"/>
      </w:rPr>
    </w:lvl>
    <w:lvl w:ilvl="6" w:tplc="041B0001" w:tentative="1">
      <w:start w:val="1"/>
      <w:numFmt w:val="bullet"/>
      <w:lvlText w:val=""/>
      <w:lvlJc w:val="left"/>
      <w:pPr>
        <w:ind w:left="5445" w:hanging="360"/>
      </w:pPr>
      <w:rPr>
        <w:rFonts w:ascii="Symbol" w:hAnsi="Symbol" w:hint="default"/>
      </w:rPr>
    </w:lvl>
    <w:lvl w:ilvl="7" w:tplc="041B0003" w:tentative="1">
      <w:start w:val="1"/>
      <w:numFmt w:val="bullet"/>
      <w:lvlText w:val="o"/>
      <w:lvlJc w:val="left"/>
      <w:pPr>
        <w:ind w:left="6165" w:hanging="360"/>
      </w:pPr>
      <w:rPr>
        <w:rFonts w:ascii="Courier New" w:hAnsi="Courier New" w:cs="Courier New" w:hint="default"/>
      </w:rPr>
    </w:lvl>
    <w:lvl w:ilvl="8" w:tplc="041B0005" w:tentative="1">
      <w:start w:val="1"/>
      <w:numFmt w:val="bullet"/>
      <w:lvlText w:val=""/>
      <w:lvlJc w:val="left"/>
      <w:pPr>
        <w:ind w:left="6885" w:hanging="360"/>
      </w:pPr>
      <w:rPr>
        <w:rFonts w:ascii="Wingdings" w:hAnsi="Wingdings" w:hint="default"/>
      </w:rPr>
    </w:lvl>
  </w:abstractNum>
  <w:abstractNum w:abstractNumId="33" w15:restartNumberingAfterBreak="0">
    <w:nsid w:val="74A47639"/>
    <w:multiLevelType w:val="hybridMultilevel"/>
    <w:tmpl w:val="0BFE94DC"/>
    <w:lvl w:ilvl="0" w:tplc="617C48F4">
      <w:start w:val="1"/>
      <w:numFmt w:val="decimal"/>
      <w:lvlText w:val="%1)"/>
      <w:lvlJc w:val="left"/>
      <w:pPr>
        <w:ind w:left="720" w:hanging="360"/>
      </w:pPr>
      <w:rPr>
        <w:rFonts w:hint="default"/>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5E059C6"/>
    <w:multiLevelType w:val="hybridMultilevel"/>
    <w:tmpl w:val="7252160A"/>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5" w15:restartNumberingAfterBreak="0">
    <w:nsid w:val="785775C6"/>
    <w:multiLevelType w:val="hybridMultilevel"/>
    <w:tmpl w:val="D8F82C0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192108256">
    <w:abstractNumId w:val="3"/>
  </w:num>
  <w:num w:numId="2" w16cid:durableId="1155148702">
    <w:abstractNumId w:val="31"/>
  </w:num>
  <w:num w:numId="3" w16cid:durableId="1033649819">
    <w:abstractNumId w:val="30"/>
  </w:num>
  <w:num w:numId="4" w16cid:durableId="1341741623">
    <w:abstractNumId w:val="26"/>
  </w:num>
  <w:num w:numId="5" w16cid:durableId="11154387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72793303">
    <w:abstractNumId w:val="16"/>
  </w:num>
  <w:num w:numId="7" w16cid:durableId="681737698">
    <w:abstractNumId w:val="6"/>
  </w:num>
  <w:num w:numId="8" w16cid:durableId="1362439702">
    <w:abstractNumId w:val="23"/>
  </w:num>
  <w:num w:numId="9" w16cid:durableId="1339313681">
    <w:abstractNumId w:val="19"/>
  </w:num>
  <w:num w:numId="10" w16cid:durableId="1066882704">
    <w:abstractNumId w:val="25"/>
  </w:num>
  <w:num w:numId="11" w16cid:durableId="2080470171">
    <w:abstractNumId w:val="18"/>
  </w:num>
  <w:num w:numId="12" w16cid:durableId="770511714">
    <w:abstractNumId w:val="4"/>
  </w:num>
  <w:num w:numId="13" w16cid:durableId="205024122">
    <w:abstractNumId w:val="35"/>
  </w:num>
  <w:num w:numId="14" w16cid:durableId="753361263">
    <w:abstractNumId w:val="5"/>
  </w:num>
  <w:num w:numId="15" w16cid:durableId="145169389">
    <w:abstractNumId w:val="20"/>
  </w:num>
  <w:num w:numId="16" w16cid:durableId="456022566">
    <w:abstractNumId w:val="7"/>
  </w:num>
  <w:num w:numId="17" w16cid:durableId="1275408198">
    <w:abstractNumId w:val="28"/>
  </w:num>
  <w:num w:numId="18" w16cid:durableId="1317759947">
    <w:abstractNumId w:val="0"/>
  </w:num>
  <w:num w:numId="19" w16cid:durableId="816993411">
    <w:abstractNumId w:val="34"/>
  </w:num>
  <w:num w:numId="20" w16cid:durableId="1640112883">
    <w:abstractNumId w:val="12"/>
  </w:num>
  <w:num w:numId="21" w16cid:durableId="850220544">
    <w:abstractNumId w:val="8"/>
  </w:num>
  <w:num w:numId="22" w16cid:durableId="1389379046">
    <w:abstractNumId w:val="22"/>
  </w:num>
  <w:num w:numId="23" w16cid:durableId="1149051845">
    <w:abstractNumId w:val="13"/>
  </w:num>
  <w:num w:numId="24" w16cid:durableId="1076586335">
    <w:abstractNumId w:val="17"/>
  </w:num>
  <w:num w:numId="25" w16cid:durableId="758212872">
    <w:abstractNumId w:val="10"/>
  </w:num>
  <w:num w:numId="26" w16cid:durableId="1537890718">
    <w:abstractNumId w:val="33"/>
  </w:num>
  <w:num w:numId="27" w16cid:durableId="980502780">
    <w:abstractNumId w:val="24"/>
  </w:num>
  <w:num w:numId="28" w16cid:durableId="428696105">
    <w:abstractNumId w:val="9"/>
  </w:num>
  <w:num w:numId="29" w16cid:durableId="556205188">
    <w:abstractNumId w:val="1"/>
  </w:num>
  <w:num w:numId="30" w16cid:durableId="277685720">
    <w:abstractNumId w:val="2"/>
  </w:num>
  <w:num w:numId="31" w16cid:durableId="1790971125">
    <w:abstractNumId w:val="15"/>
  </w:num>
  <w:num w:numId="32" w16cid:durableId="1860583932">
    <w:abstractNumId w:val="29"/>
  </w:num>
  <w:num w:numId="33" w16cid:durableId="1123619571">
    <w:abstractNumId w:val="11"/>
  </w:num>
  <w:num w:numId="34" w16cid:durableId="299652077">
    <w:abstractNumId w:val="27"/>
  </w:num>
  <w:num w:numId="35" w16cid:durableId="96952793">
    <w:abstractNumId w:val="21"/>
  </w:num>
  <w:num w:numId="36" w16cid:durableId="456800993">
    <w:abstractNumId w:val="32"/>
  </w:num>
  <w:num w:numId="37" w16cid:durableId="632373366">
    <w:abstractNumId w:val="14"/>
  </w:num>
  <w:num w:numId="38" w16cid:durableId="209473800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mirrorMargins/>
  <w:proofState w:spelling="clean" w:grammar="clean"/>
  <w:defaultTabStop w:val="510"/>
  <w:hyphenationZone w:val="425"/>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EB4"/>
    <w:rsid w:val="00000201"/>
    <w:rsid w:val="000009AA"/>
    <w:rsid w:val="00000ACF"/>
    <w:rsid w:val="00001E09"/>
    <w:rsid w:val="00002B52"/>
    <w:rsid w:val="00002C07"/>
    <w:rsid w:val="00003185"/>
    <w:rsid w:val="00004436"/>
    <w:rsid w:val="0000559C"/>
    <w:rsid w:val="00005A9B"/>
    <w:rsid w:val="00005FDB"/>
    <w:rsid w:val="00006045"/>
    <w:rsid w:val="00006284"/>
    <w:rsid w:val="00006D04"/>
    <w:rsid w:val="00006F2B"/>
    <w:rsid w:val="00006FC6"/>
    <w:rsid w:val="00007899"/>
    <w:rsid w:val="00007C06"/>
    <w:rsid w:val="000106B9"/>
    <w:rsid w:val="00010C37"/>
    <w:rsid w:val="00010CE2"/>
    <w:rsid w:val="00010D90"/>
    <w:rsid w:val="00010F86"/>
    <w:rsid w:val="00011ABC"/>
    <w:rsid w:val="000127B7"/>
    <w:rsid w:val="0001332C"/>
    <w:rsid w:val="00014C76"/>
    <w:rsid w:val="00014F97"/>
    <w:rsid w:val="000156A6"/>
    <w:rsid w:val="00015756"/>
    <w:rsid w:val="000160CA"/>
    <w:rsid w:val="000172A6"/>
    <w:rsid w:val="00020396"/>
    <w:rsid w:val="000203FA"/>
    <w:rsid w:val="00020746"/>
    <w:rsid w:val="00021DF5"/>
    <w:rsid w:val="00021EB3"/>
    <w:rsid w:val="00022082"/>
    <w:rsid w:val="0002242F"/>
    <w:rsid w:val="000227C0"/>
    <w:rsid w:val="00022D01"/>
    <w:rsid w:val="000235AD"/>
    <w:rsid w:val="0002384D"/>
    <w:rsid w:val="000240DA"/>
    <w:rsid w:val="000247A8"/>
    <w:rsid w:val="00024990"/>
    <w:rsid w:val="00024D82"/>
    <w:rsid w:val="00025612"/>
    <w:rsid w:val="000265AB"/>
    <w:rsid w:val="00026608"/>
    <w:rsid w:val="00026FB5"/>
    <w:rsid w:val="00027720"/>
    <w:rsid w:val="00027919"/>
    <w:rsid w:val="00030868"/>
    <w:rsid w:val="000313E4"/>
    <w:rsid w:val="000316FB"/>
    <w:rsid w:val="00032212"/>
    <w:rsid w:val="00032FD2"/>
    <w:rsid w:val="000337EE"/>
    <w:rsid w:val="00033AD0"/>
    <w:rsid w:val="000347AD"/>
    <w:rsid w:val="0003538A"/>
    <w:rsid w:val="00035949"/>
    <w:rsid w:val="0003620E"/>
    <w:rsid w:val="000379CA"/>
    <w:rsid w:val="00040457"/>
    <w:rsid w:val="00040B78"/>
    <w:rsid w:val="0004106B"/>
    <w:rsid w:val="00042458"/>
    <w:rsid w:val="00043311"/>
    <w:rsid w:val="00043553"/>
    <w:rsid w:val="0004373C"/>
    <w:rsid w:val="00044031"/>
    <w:rsid w:val="00044C54"/>
    <w:rsid w:val="00044F35"/>
    <w:rsid w:val="0004536B"/>
    <w:rsid w:val="00045828"/>
    <w:rsid w:val="0004591C"/>
    <w:rsid w:val="00045BE3"/>
    <w:rsid w:val="00046082"/>
    <w:rsid w:val="000461C0"/>
    <w:rsid w:val="0004633C"/>
    <w:rsid w:val="00046382"/>
    <w:rsid w:val="00047619"/>
    <w:rsid w:val="000477CA"/>
    <w:rsid w:val="00047A6B"/>
    <w:rsid w:val="00047D17"/>
    <w:rsid w:val="00047F86"/>
    <w:rsid w:val="00050148"/>
    <w:rsid w:val="000503CE"/>
    <w:rsid w:val="00051013"/>
    <w:rsid w:val="00051AED"/>
    <w:rsid w:val="00051DD2"/>
    <w:rsid w:val="0005259F"/>
    <w:rsid w:val="00052A6C"/>
    <w:rsid w:val="000535E8"/>
    <w:rsid w:val="00053AFE"/>
    <w:rsid w:val="00053BA4"/>
    <w:rsid w:val="00053C7A"/>
    <w:rsid w:val="00054518"/>
    <w:rsid w:val="000550BC"/>
    <w:rsid w:val="00056CD8"/>
    <w:rsid w:val="00057121"/>
    <w:rsid w:val="00057A9F"/>
    <w:rsid w:val="00057E5C"/>
    <w:rsid w:val="0006055A"/>
    <w:rsid w:val="00060EF5"/>
    <w:rsid w:val="00062135"/>
    <w:rsid w:val="00062A3B"/>
    <w:rsid w:val="00063234"/>
    <w:rsid w:val="000633AA"/>
    <w:rsid w:val="00063595"/>
    <w:rsid w:val="00063B08"/>
    <w:rsid w:val="00063F2E"/>
    <w:rsid w:val="000643AF"/>
    <w:rsid w:val="0006463F"/>
    <w:rsid w:val="00064795"/>
    <w:rsid w:val="00064D2C"/>
    <w:rsid w:val="00064D49"/>
    <w:rsid w:val="00064E22"/>
    <w:rsid w:val="00065E4A"/>
    <w:rsid w:val="000665E4"/>
    <w:rsid w:val="00066627"/>
    <w:rsid w:val="0006664D"/>
    <w:rsid w:val="00067698"/>
    <w:rsid w:val="00070082"/>
    <w:rsid w:val="000702C3"/>
    <w:rsid w:val="0007053F"/>
    <w:rsid w:val="000705FB"/>
    <w:rsid w:val="00070A80"/>
    <w:rsid w:val="00071652"/>
    <w:rsid w:val="0007167C"/>
    <w:rsid w:val="00071D40"/>
    <w:rsid w:val="00072BE7"/>
    <w:rsid w:val="00072CDB"/>
    <w:rsid w:val="0007321A"/>
    <w:rsid w:val="000736E0"/>
    <w:rsid w:val="00073B7D"/>
    <w:rsid w:val="00073BD6"/>
    <w:rsid w:val="00074282"/>
    <w:rsid w:val="00074436"/>
    <w:rsid w:val="000746D4"/>
    <w:rsid w:val="000747B5"/>
    <w:rsid w:val="000747E2"/>
    <w:rsid w:val="00074811"/>
    <w:rsid w:val="000748F9"/>
    <w:rsid w:val="000754AC"/>
    <w:rsid w:val="00076144"/>
    <w:rsid w:val="0007679C"/>
    <w:rsid w:val="00076C23"/>
    <w:rsid w:val="000779E1"/>
    <w:rsid w:val="00077B7B"/>
    <w:rsid w:val="00077D54"/>
    <w:rsid w:val="00077E09"/>
    <w:rsid w:val="00077E5D"/>
    <w:rsid w:val="000801AF"/>
    <w:rsid w:val="000812C5"/>
    <w:rsid w:val="00081A92"/>
    <w:rsid w:val="000821CD"/>
    <w:rsid w:val="000821EE"/>
    <w:rsid w:val="0008303C"/>
    <w:rsid w:val="00083C0D"/>
    <w:rsid w:val="00083DC3"/>
    <w:rsid w:val="00083F62"/>
    <w:rsid w:val="000840E0"/>
    <w:rsid w:val="00084D1A"/>
    <w:rsid w:val="0008539A"/>
    <w:rsid w:val="0008566D"/>
    <w:rsid w:val="000858FD"/>
    <w:rsid w:val="000866C2"/>
    <w:rsid w:val="0008687F"/>
    <w:rsid w:val="00087077"/>
    <w:rsid w:val="000870CD"/>
    <w:rsid w:val="00087221"/>
    <w:rsid w:val="000909A0"/>
    <w:rsid w:val="00090D49"/>
    <w:rsid w:val="000911E5"/>
    <w:rsid w:val="00091942"/>
    <w:rsid w:val="00091E03"/>
    <w:rsid w:val="000920F8"/>
    <w:rsid w:val="0009362B"/>
    <w:rsid w:val="000936F1"/>
    <w:rsid w:val="00093D4B"/>
    <w:rsid w:val="00094048"/>
    <w:rsid w:val="00094327"/>
    <w:rsid w:val="00094785"/>
    <w:rsid w:val="00094BBE"/>
    <w:rsid w:val="000956A5"/>
    <w:rsid w:val="000961B7"/>
    <w:rsid w:val="00096A96"/>
    <w:rsid w:val="00097736"/>
    <w:rsid w:val="00097D1A"/>
    <w:rsid w:val="00097F73"/>
    <w:rsid w:val="000A019E"/>
    <w:rsid w:val="000A02AC"/>
    <w:rsid w:val="000A082F"/>
    <w:rsid w:val="000A08FC"/>
    <w:rsid w:val="000A2B3E"/>
    <w:rsid w:val="000A2B5E"/>
    <w:rsid w:val="000A2BD1"/>
    <w:rsid w:val="000A2CD1"/>
    <w:rsid w:val="000A37A5"/>
    <w:rsid w:val="000A3929"/>
    <w:rsid w:val="000A3C84"/>
    <w:rsid w:val="000A3E55"/>
    <w:rsid w:val="000A3EDD"/>
    <w:rsid w:val="000A3FA3"/>
    <w:rsid w:val="000A43B3"/>
    <w:rsid w:val="000A4AFB"/>
    <w:rsid w:val="000A5247"/>
    <w:rsid w:val="000A52F4"/>
    <w:rsid w:val="000A6683"/>
    <w:rsid w:val="000A69B1"/>
    <w:rsid w:val="000B07EE"/>
    <w:rsid w:val="000B11F9"/>
    <w:rsid w:val="000B224E"/>
    <w:rsid w:val="000B2434"/>
    <w:rsid w:val="000B322D"/>
    <w:rsid w:val="000B3D9D"/>
    <w:rsid w:val="000B3DC0"/>
    <w:rsid w:val="000B3FA7"/>
    <w:rsid w:val="000B476C"/>
    <w:rsid w:val="000B47A7"/>
    <w:rsid w:val="000B4A89"/>
    <w:rsid w:val="000B4DCC"/>
    <w:rsid w:val="000B5435"/>
    <w:rsid w:val="000B5651"/>
    <w:rsid w:val="000B61F4"/>
    <w:rsid w:val="000B69FA"/>
    <w:rsid w:val="000B6BAD"/>
    <w:rsid w:val="000B6FD6"/>
    <w:rsid w:val="000B75C0"/>
    <w:rsid w:val="000B7718"/>
    <w:rsid w:val="000B78C4"/>
    <w:rsid w:val="000B790D"/>
    <w:rsid w:val="000C03E3"/>
    <w:rsid w:val="000C0B4D"/>
    <w:rsid w:val="000C12A5"/>
    <w:rsid w:val="000C16D1"/>
    <w:rsid w:val="000C19A7"/>
    <w:rsid w:val="000C2381"/>
    <w:rsid w:val="000C2605"/>
    <w:rsid w:val="000C2D17"/>
    <w:rsid w:val="000C3131"/>
    <w:rsid w:val="000C3C49"/>
    <w:rsid w:val="000C483D"/>
    <w:rsid w:val="000C4CC0"/>
    <w:rsid w:val="000C4F18"/>
    <w:rsid w:val="000C4F76"/>
    <w:rsid w:val="000C5B4E"/>
    <w:rsid w:val="000C5FD2"/>
    <w:rsid w:val="000C6109"/>
    <w:rsid w:val="000C6F8E"/>
    <w:rsid w:val="000C71F6"/>
    <w:rsid w:val="000C74CA"/>
    <w:rsid w:val="000C7E91"/>
    <w:rsid w:val="000D0294"/>
    <w:rsid w:val="000D02B0"/>
    <w:rsid w:val="000D0C1A"/>
    <w:rsid w:val="000D0C9C"/>
    <w:rsid w:val="000D1669"/>
    <w:rsid w:val="000D18AA"/>
    <w:rsid w:val="000D1FAF"/>
    <w:rsid w:val="000D1FBA"/>
    <w:rsid w:val="000D2302"/>
    <w:rsid w:val="000D35AE"/>
    <w:rsid w:val="000D3F48"/>
    <w:rsid w:val="000D42C0"/>
    <w:rsid w:val="000D4942"/>
    <w:rsid w:val="000D557B"/>
    <w:rsid w:val="000D5C00"/>
    <w:rsid w:val="000D5CED"/>
    <w:rsid w:val="000D5D8D"/>
    <w:rsid w:val="000D5DA5"/>
    <w:rsid w:val="000D60E6"/>
    <w:rsid w:val="000D6114"/>
    <w:rsid w:val="000D7202"/>
    <w:rsid w:val="000D731D"/>
    <w:rsid w:val="000D7B65"/>
    <w:rsid w:val="000E0B50"/>
    <w:rsid w:val="000E0E99"/>
    <w:rsid w:val="000E1594"/>
    <w:rsid w:val="000E18B3"/>
    <w:rsid w:val="000E25A5"/>
    <w:rsid w:val="000E2643"/>
    <w:rsid w:val="000E4B91"/>
    <w:rsid w:val="000E4EE1"/>
    <w:rsid w:val="000E539A"/>
    <w:rsid w:val="000E5D88"/>
    <w:rsid w:val="000E67F6"/>
    <w:rsid w:val="000E6900"/>
    <w:rsid w:val="000F02FD"/>
    <w:rsid w:val="000F07B6"/>
    <w:rsid w:val="000F0D26"/>
    <w:rsid w:val="000F157D"/>
    <w:rsid w:val="000F21D2"/>
    <w:rsid w:val="000F2C29"/>
    <w:rsid w:val="000F375D"/>
    <w:rsid w:val="000F3834"/>
    <w:rsid w:val="000F4980"/>
    <w:rsid w:val="000F4E7E"/>
    <w:rsid w:val="000F5B64"/>
    <w:rsid w:val="000F607C"/>
    <w:rsid w:val="000F60F9"/>
    <w:rsid w:val="000F6518"/>
    <w:rsid w:val="000F72B5"/>
    <w:rsid w:val="000F7410"/>
    <w:rsid w:val="000F751F"/>
    <w:rsid w:val="000F7527"/>
    <w:rsid w:val="000F7646"/>
    <w:rsid w:val="000F7935"/>
    <w:rsid w:val="000F7ABA"/>
    <w:rsid w:val="000F7DD7"/>
    <w:rsid w:val="0010031C"/>
    <w:rsid w:val="001006BF"/>
    <w:rsid w:val="001008C1"/>
    <w:rsid w:val="0010096F"/>
    <w:rsid w:val="0010106D"/>
    <w:rsid w:val="00101B88"/>
    <w:rsid w:val="0010218E"/>
    <w:rsid w:val="001027C7"/>
    <w:rsid w:val="00102BBA"/>
    <w:rsid w:val="00102D5B"/>
    <w:rsid w:val="001033F9"/>
    <w:rsid w:val="0010383D"/>
    <w:rsid w:val="00103E6B"/>
    <w:rsid w:val="001048BE"/>
    <w:rsid w:val="00104953"/>
    <w:rsid w:val="001049B6"/>
    <w:rsid w:val="00104B0B"/>
    <w:rsid w:val="0010515D"/>
    <w:rsid w:val="001051D8"/>
    <w:rsid w:val="0010567A"/>
    <w:rsid w:val="00105B67"/>
    <w:rsid w:val="00105BF8"/>
    <w:rsid w:val="00106883"/>
    <w:rsid w:val="00106F8B"/>
    <w:rsid w:val="0011029C"/>
    <w:rsid w:val="001103E0"/>
    <w:rsid w:val="00110CA4"/>
    <w:rsid w:val="0011109D"/>
    <w:rsid w:val="00111CC0"/>
    <w:rsid w:val="00111D91"/>
    <w:rsid w:val="00111E27"/>
    <w:rsid w:val="00112134"/>
    <w:rsid w:val="001121AE"/>
    <w:rsid w:val="00112357"/>
    <w:rsid w:val="001126E7"/>
    <w:rsid w:val="00112E7C"/>
    <w:rsid w:val="00112ECB"/>
    <w:rsid w:val="00113AFD"/>
    <w:rsid w:val="00114152"/>
    <w:rsid w:val="00114612"/>
    <w:rsid w:val="001146F6"/>
    <w:rsid w:val="00114A29"/>
    <w:rsid w:val="00115076"/>
    <w:rsid w:val="001153B0"/>
    <w:rsid w:val="0011636A"/>
    <w:rsid w:val="00116BCD"/>
    <w:rsid w:val="00116EA0"/>
    <w:rsid w:val="001179AC"/>
    <w:rsid w:val="001200B1"/>
    <w:rsid w:val="0012020C"/>
    <w:rsid w:val="001205D5"/>
    <w:rsid w:val="001205FE"/>
    <w:rsid w:val="00120749"/>
    <w:rsid w:val="001207C9"/>
    <w:rsid w:val="0012087C"/>
    <w:rsid w:val="00120E01"/>
    <w:rsid w:val="00122D00"/>
    <w:rsid w:val="00122D65"/>
    <w:rsid w:val="00124A80"/>
    <w:rsid w:val="00124CD8"/>
    <w:rsid w:val="0012566C"/>
    <w:rsid w:val="0012574B"/>
    <w:rsid w:val="00125DC5"/>
    <w:rsid w:val="00125FE0"/>
    <w:rsid w:val="001273F0"/>
    <w:rsid w:val="00127484"/>
    <w:rsid w:val="00127C08"/>
    <w:rsid w:val="00127DA4"/>
    <w:rsid w:val="00127ED5"/>
    <w:rsid w:val="00127F66"/>
    <w:rsid w:val="0013027B"/>
    <w:rsid w:val="00130426"/>
    <w:rsid w:val="00130DE8"/>
    <w:rsid w:val="001311E9"/>
    <w:rsid w:val="00131246"/>
    <w:rsid w:val="0013146B"/>
    <w:rsid w:val="0013260D"/>
    <w:rsid w:val="00133B51"/>
    <w:rsid w:val="00133DEA"/>
    <w:rsid w:val="00134383"/>
    <w:rsid w:val="00134CE1"/>
    <w:rsid w:val="00135126"/>
    <w:rsid w:val="001359C3"/>
    <w:rsid w:val="00135AFC"/>
    <w:rsid w:val="00135D9E"/>
    <w:rsid w:val="00136364"/>
    <w:rsid w:val="00136895"/>
    <w:rsid w:val="00136C54"/>
    <w:rsid w:val="001376BA"/>
    <w:rsid w:val="001402E1"/>
    <w:rsid w:val="00140B5A"/>
    <w:rsid w:val="00141083"/>
    <w:rsid w:val="00141A5D"/>
    <w:rsid w:val="001432A2"/>
    <w:rsid w:val="001436B3"/>
    <w:rsid w:val="00143C91"/>
    <w:rsid w:val="00143CA3"/>
    <w:rsid w:val="001440B7"/>
    <w:rsid w:val="00144775"/>
    <w:rsid w:val="001453ED"/>
    <w:rsid w:val="00145663"/>
    <w:rsid w:val="00146229"/>
    <w:rsid w:val="00147FE6"/>
    <w:rsid w:val="00150B92"/>
    <w:rsid w:val="00150F61"/>
    <w:rsid w:val="0015169B"/>
    <w:rsid w:val="00151971"/>
    <w:rsid w:val="00151F12"/>
    <w:rsid w:val="0015273A"/>
    <w:rsid w:val="001527AB"/>
    <w:rsid w:val="00153857"/>
    <w:rsid w:val="00153978"/>
    <w:rsid w:val="00153D59"/>
    <w:rsid w:val="001547BC"/>
    <w:rsid w:val="00154AB2"/>
    <w:rsid w:val="0015633C"/>
    <w:rsid w:val="00156341"/>
    <w:rsid w:val="00156FC4"/>
    <w:rsid w:val="00161134"/>
    <w:rsid w:val="001613EE"/>
    <w:rsid w:val="00161914"/>
    <w:rsid w:val="0016220A"/>
    <w:rsid w:val="00162608"/>
    <w:rsid w:val="00162CED"/>
    <w:rsid w:val="00164536"/>
    <w:rsid w:val="00164F67"/>
    <w:rsid w:val="00164FE8"/>
    <w:rsid w:val="00165021"/>
    <w:rsid w:val="0016515E"/>
    <w:rsid w:val="00165360"/>
    <w:rsid w:val="001656EA"/>
    <w:rsid w:val="00165E7D"/>
    <w:rsid w:val="00165F88"/>
    <w:rsid w:val="00166452"/>
    <w:rsid w:val="001665F3"/>
    <w:rsid w:val="00166B38"/>
    <w:rsid w:val="00167C7A"/>
    <w:rsid w:val="001706CF"/>
    <w:rsid w:val="0017186F"/>
    <w:rsid w:val="00171ABF"/>
    <w:rsid w:val="00171F34"/>
    <w:rsid w:val="00171F51"/>
    <w:rsid w:val="001726E9"/>
    <w:rsid w:val="0017281B"/>
    <w:rsid w:val="00172AA1"/>
    <w:rsid w:val="00172CA7"/>
    <w:rsid w:val="001737A0"/>
    <w:rsid w:val="0017407C"/>
    <w:rsid w:val="001742D7"/>
    <w:rsid w:val="001747AE"/>
    <w:rsid w:val="00174AE6"/>
    <w:rsid w:val="00174B01"/>
    <w:rsid w:val="001757A1"/>
    <w:rsid w:val="00176102"/>
    <w:rsid w:val="00176518"/>
    <w:rsid w:val="00176C4A"/>
    <w:rsid w:val="00177948"/>
    <w:rsid w:val="001802D9"/>
    <w:rsid w:val="00180436"/>
    <w:rsid w:val="001811C6"/>
    <w:rsid w:val="00181464"/>
    <w:rsid w:val="00181EAF"/>
    <w:rsid w:val="001827AB"/>
    <w:rsid w:val="00184143"/>
    <w:rsid w:val="00184BAC"/>
    <w:rsid w:val="00184D2D"/>
    <w:rsid w:val="00185548"/>
    <w:rsid w:val="001859BD"/>
    <w:rsid w:val="0018600F"/>
    <w:rsid w:val="00186138"/>
    <w:rsid w:val="00186A4D"/>
    <w:rsid w:val="001871C8"/>
    <w:rsid w:val="00187814"/>
    <w:rsid w:val="00187F9D"/>
    <w:rsid w:val="001903EC"/>
    <w:rsid w:val="001908BA"/>
    <w:rsid w:val="0019171E"/>
    <w:rsid w:val="00191791"/>
    <w:rsid w:val="00191E3C"/>
    <w:rsid w:val="00192236"/>
    <w:rsid w:val="00192270"/>
    <w:rsid w:val="00192B3E"/>
    <w:rsid w:val="001931A3"/>
    <w:rsid w:val="00193358"/>
    <w:rsid w:val="0019388B"/>
    <w:rsid w:val="00194FA4"/>
    <w:rsid w:val="00195857"/>
    <w:rsid w:val="00195AB8"/>
    <w:rsid w:val="00195FE3"/>
    <w:rsid w:val="0019620A"/>
    <w:rsid w:val="0019687C"/>
    <w:rsid w:val="00197430"/>
    <w:rsid w:val="0019788F"/>
    <w:rsid w:val="001A0195"/>
    <w:rsid w:val="001A0EE8"/>
    <w:rsid w:val="001A0FD5"/>
    <w:rsid w:val="001A14AF"/>
    <w:rsid w:val="001A1586"/>
    <w:rsid w:val="001A1993"/>
    <w:rsid w:val="001A1F07"/>
    <w:rsid w:val="001A269C"/>
    <w:rsid w:val="001A2911"/>
    <w:rsid w:val="001A2E80"/>
    <w:rsid w:val="001A333C"/>
    <w:rsid w:val="001A38B4"/>
    <w:rsid w:val="001A3E40"/>
    <w:rsid w:val="001A4B6D"/>
    <w:rsid w:val="001A4F1B"/>
    <w:rsid w:val="001A55BE"/>
    <w:rsid w:val="001A56BA"/>
    <w:rsid w:val="001A5BBF"/>
    <w:rsid w:val="001A66EA"/>
    <w:rsid w:val="001A797B"/>
    <w:rsid w:val="001B072E"/>
    <w:rsid w:val="001B1225"/>
    <w:rsid w:val="001B13C6"/>
    <w:rsid w:val="001B148C"/>
    <w:rsid w:val="001B1630"/>
    <w:rsid w:val="001B1812"/>
    <w:rsid w:val="001B1B8E"/>
    <w:rsid w:val="001B1FCB"/>
    <w:rsid w:val="001B282A"/>
    <w:rsid w:val="001B29DD"/>
    <w:rsid w:val="001B2D89"/>
    <w:rsid w:val="001B2E8F"/>
    <w:rsid w:val="001B34E6"/>
    <w:rsid w:val="001B382F"/>
    <w:rsid w:val="001B38AF"/>
    <w:rsid w:val="001B399E"/>
    <w:rsid w:val="001B4083"/>
    <w:rsid w:val="001B4BBA"/>
    <w:rsid w:val="001B4FF7"/>
    <w:rsid w:val="001B549A"/>
    <w:rsid w:val="001B60C2"/>
    <w:rsid w:val="001B62B2"/>
    <w:rsid w:val="001B67FC"/>
    <w:rsid w:val="001B774D"/>
    <w:rsid w:val="001B7A1A"/>
    <w:rsid w:val="001C0A69"/>
    <w:rsid w:val="001C0BCD"/>
    <w:rsid w:val="001C116E"/>
    <w:rsid w:val="001C119A"/>
    <w:rsid w:val="001C1318"/>
    <w:rsid w:val="001C159F"/>
    <w:rsid w:val="001C1BFB"/>
    <w:rsid w:val="001C2606"/>
    <w:rsid w:val="001C2A0B"/>
    <w:rsid w:val="001C2E29"/>
    <w:rsid w:val="001C3737"/>
    <w:rsid w:val="001C37AC"/>
    <w:rsid w:val="001C3AA5"/>
    <w:rsid w:val="001C4761"/>
    <w:rsid w:val="001C47F8"/>
    <w:rsid w:val="001C4CA7"/>
    <w:rsid w:val="001C4DF1"/>
    <w:rsid w:val="001C4E82"/>
    <w:rsid w:val="001C5135"/>
    <w:rsid w:val="001C531B"/>
    <w:rsid w:val="001C5FA3"/>
    <w:rsid w:val="001C6D9A"/>
    <w:rsid w:val="001C6F9E"/>
    <w:rsid w:val="001C798E"/>
    <w:rsid w:val="001D0256"/>
    <w:rsid w:val="001D0537"/>
    <w:rsid w:val="001D0A5F"/>
    <w:rsid w:val="001D0B23"/>
    <w:rsid w:val="001D0D92"/>
    <w:rsid w:val="001D18C1"/>
    <w:rsid w:val="001D2108"/>
    <w:rsid w:val="001D2C2C"/>
    <w:rsid w:val="001D310E"/>
    <w:rsid w:val="001D31B8"/>
    <w:rsid w:val="001D4463"/>
    <w:rsid w:val="001D580F"/>
    <w:rsid w:val="001D59C7"/>
    <w:rsid w:val="001D5D4E"/>
    <w:rsid w:val="001D5F54"/>
    <w:rsid w:val="001D6597"/>
    <w:rsid w:val="001D79DF"/>
    <w:rsid w:val="001E076F"/>
    <w:rsid w:val="001E0969"/>
    <w:rsid w:val="001E0C46"/>
    <w:rsid w:val="001E195E"/>
    <w:rsid w:val="001E1E5F"/>
    <w:rsid w:val="001E1EAA"/>
    <w:rsid w:val="001E2155"/>
    <w:rsid w:val="001E2922"/>
    <w:rsid w:val="001E345C"/>
    <w:rsid w:val="001E3D1D"/>
    <w:rsid w:val="001E3F7B"/>
    <w:rsid w:val="001E4438"/>
    <w:rsid w:val="001E493B"/>
    <w:rsid w:val="001E5172"/>
    <w:rsid w:val="001E6B52"/>
    <w:rsid w:val="001E7237"/>
    <w:rsid w:val="001E76AC"/>
    <w:rsid w:val="001E7D83"/>
    <w:rsid w:val="001F0570"/>
    <w:rsid w:val="001F121E"/>
    <w:rsid w:val="001F131C"/>
    <w:rsid w:val="001F1E66"/>
    <w:rsid w:val="001F20A6"/>
    <w:rsid w:val="001F21CC"/>
    <w:rsid w:val="001F2757"/>
    <w:rsid w:val="001F3027"/>
    <w:rsid w:val="001F4330"/>
    <w:rsid w:val="001F4382"/>
    <w:rsid w:val="001F469D"/>
    <w:rsid w:val="001F4CEA"/>
    <w:rsid w:val="001F4D7C"/>
    <w:rsid w:val="001F4FC8"/>
    <w:rsid w:val="001F55C8"/>
    <w:rsid w:val="001F5877"/>
    <w:rsid w:val="001F588C"/>
    <w:rsid w:val="001F6F5A"/>
    <w:rsid w:val="001F723D"/>
    <w:rsid w:val="001F7763"/>
    <w:rsid w:val="001F78A4"/>
    <w:rsid w:val="001F7AF8"/>
    <w:rsid w:val="00200355"/>
    <w:rsid w:val="00200377"/>
    <w:rsid w:val="002003C0"/>
    <w:rsid w:val="00200966"/>
    <w:rsid w:val="00201C3D"/>
    <w:rsid w:val="00201CFC"/>
    <w:rsid w:val="00202B2E"/>
    <w:rsid w:val="002031C9"/>
    <w:rsid w:val="00203665"/>
    <w:rsid w:val="00203AA3"/>
    <w:rsid w:val="00204601"/>
    <w:rsid w:val="002046BA"/>
    <w:rsid w:val="00204F56"/>
    <w:rsid w:val="002059E7"/>
    <w:rsid w:val="00205FD1"/>
    <w:rsid w:val="00207550"/>
    <w:rsid w:val="0020774D"/>
    <w:rsid w:val="00207768"/>
    <w:rsid w:val="00207875"/>
    <w:rsid w:val="00207B7D"/>
    <w:rsid w:val="00210671"/>
    <w:rsid w:val="00210FD1"/>
    <w:rsid w:val="00211789"/>
    <w:rsid w:val="00211BE4"/>
    <w:rsid w:val="00211E85"/>
    <w:rsid w:val="00212A07"/>
    <w:rsid w:val="00213151"/>
    <w:rsid w:val="00213267"/>
    <w:rsid w:val="0021355F"/>
    <w:rsid w:val="002136EE"/>
    <w:rsid w:val="0021385B"/>
    <w:rsid w:val="002142EB"/>
    <w:rsid w:val="0021453B"/>
    <w:rsid w:val="00214802"/>
    <w:rsid w:val="002152E9"/>
    <w:rsid w:val="00215466"/>
    <w:rsid w:val="002163D6"/>
    <w:rsid w:val="0021648B"/>
    <w:rsid w:val="002166EB"/>
    <w:rsid w:val="002168AC"/>
    <w:rsid w:val="00216B52"/>
    <w:rsid w:val="00216D4C"/>
    <w:rsid w:val="002172C3"/>
    <w:rsid w:val="00220406"/>
    <w:rsid w:val="00220E6A"/>
    <w:rsid w:val="00220F9B"/>
    <w:rsid w:val="0022202B"/>
    <w:rsid w:val="0022384F"/>
    <w:rsid w:val="00223D6E"/>
    <w:rsid w:val="00223DE6"/>
    <w:rsid w:val="002253FA"/>
    <w:rsid w:val="002272DE"/>
    <w:rsid w:val="002276B3"/>
    <w:rsid w:val="0022797E"/>
    <w:rsid w:val="00227A22"/>
    <w:rsid w:val="00230EC4"/>
    <w:rsid w:val="00230FD6"/>
    <w:rsid w:val="0023176D"/>
    <w:rsid w:val="00231D4D"/>
    <w:rsid w:val="002321A0"/>
    <w:rsid w:val="00233CD5"/>
    <w:rsid w:val="002347A1"/>
    <w:rsid w:val="00234C09"/>
    <w:rsid w:val="0023509E"/>
    <w:rsid w:val="00235228"/>
    <w:rsid w:val="0023537F"/>
    <w:rsid w:val="002358F0"/>
    <w:rsid w:val="00235FDB"/>
    <w:rsid w:val="002363AD"/>
    <w:rsid w:val="00237058"/>
    <w:rsid w:val="002379D7"/>
    <w:rsid w:val="002405B6"/>
    <w:rsid w:val="00240940"/>
    <w:rsid w:val="002409A9"/>
    <w:rsid w:val="0024131C"/>
    <w:rsid w:val="00241ED1"/>
    <w:rsid w:val="002424FD"/>
    <w:rsid w:val="00242BE6"/>
    <w:rsid w:val="0024394A"/>
    <w:rsid w:val="00244138"/>
    <w:rsid w:val="00244D68"/>
    <w:rsid w:val="00245F8C"/>
    <w:rsid w:val="00246CF3"/>
    <w:rsid w:val="00246E8A"/>
    <w:rsid w:val="00247E9C"/>
    <w:rsid w:val="00250806"/>
    <w:rsid w:val="00250BFC"/>
    <w:rsid w:val="00251C51"/>
    <w:rsid w:val="00251DF4"/>
    <w:rsid w:val="002536EA"/>
    <w:rsid w:val="00253847"/>
    <w:rsid w:val="00253925"/>
    <w:rsid w:val="00253EDE"/>
    <w:rsid w:val="00254F4F"/>
    <w:rsid w:val="002571B2"/>
    <w:rsid w:val="0025765E"/>
    <w:rsid w:val="002600B5"/>
    <w:rsid w:val="002604CC"/>
    <w:rsid w:val="00260B27"/>
    <w:rsid w:val="00260F81"/>
    <w:rsid w:val="00261D8C"/>
    <w:rsid w:val="00263348"/>
    <w:rsid w:val="002633C2"/>
    <w:rsid w:val="0026368A"/>
    <w:rsid w:val="002653E3"/>
    <w:rsid w:val="00266F0E"/>
    <w:rsid w:val="0026737F"/>
    <w:rsid w:val="00270836"/>
    <w:rsid w:val="00270F34"/>
    <w:rsid w:val="00271111"/>
    <w:rsid w:val="00272FD4"/>
    <w:rsid w:val="0027346F"/>
    <w:rsid w:val="002734DC"/>
    <w:rsid w:val="002739FA"/>
    <w:rsid w:val="00273B98"/>
    <w:rsid w:val="00274483"/>
    <w:rsid w:val="00274C54"/>
    <w:rsid w:val="0027509D"/>
    <w:rsid w:val="00275367"/>
    <w:rsid w:val="00275CDA"/>
    <w:rsid w:val="002762F6"/>
    <w:rsid w:val="00276A01"/>
    <w:rsid w:val="00276DC3"/>
    <w:rsid w:val="00276E75"/>
    <w:rsid w:val="002770D5"/>
    <w:rsid w:val="00277355"/>
    <w:rsid w:val="00280521"/>
    <w:rsid w:val="00280735"/>
    <w:rsid w:val="00281281"/>
    <w:rsid w:val="00281D43"/>
    <w:rsid w:val="00282713"/>
    <w:rsid w:val="0028379F"/>
    <w:rsid w:val="0028448B"/>
    <w:rsid w:val="0028456F"/>
    <w:rsid w:val="00284665"/>
    <w:rsid w:val="00284EB4"/>
    <w:rsid w:val="00285018"/>
    <w:rsid w:val="00285695"/>
    <w:rsid w:val="00285C26"/>
    <w:rsid w:val="00285FC4"/>
    <w:rsid w:val="002861C2"/>
    <w:rsid w:val="00286D65"/>
    <w:rsid w:val="00286FED"/>
    <w:rsid w:val="002874DF"/>
    <w:rsid w:val="002900DE"/>
    <w:rsid w:val="002908BE"/>
    <w:rsid w:val="00290B39"/>
    <w:rsid w:val="002910FA"/>
    <w:rsid w:val="00291B58"/>
    <w:rsid w:val="00291B8E"/>
    <w:rsid w:val="00291BCA"/>
    <w:rsid w:val="002923BD"/>
    <w:rsid w:val="00292A98"/>
    <w:rsid w:val="0029337E"/>
    <w:rsid w:val="0029368D"/>
    <w:rsid w:val="00293850"/>
    <w:rsid w:val="00294DB4"/>
    <w:rsid w:val="00294E64"/>
    <w:rsid w:val="00294F97"/>
    <w:rsid w:val="002956F1"/>
    <w:rsid w:val="00295A10"/>
    <w:rsid w:val="00295BBC"/>
    <w:rsid w:val="00295BE5"/>
    <w:rsid w:val="00296228"/>
    <w:rsid w:val="00296337"/>
    <w:rsid w:val="0029681C"/>
    <w:rsid w:val="0029688C"/>
    <w:rsid w:val="002975AB"/>
    <w:rsid w:val="002A0DA6"/>
    <w:rsid w:val="002A21EC"/>
    <w:rsid w:val="002A2A77"/>
    <w:rsid w:val="002A2EAF"/>
    <w:rsid w:val="002A3869"/>
    <w:rsid w:val="002A3E52"/>
    <w:rsid w:val="002A4082"/>
    <w:rsid w:val="002A4114"/>
    <w:rsid w:val="002A42D2"/>
    <w:rsid w:val="002A452D"/>
    <w:rsid w:val="002A49B4"/>
    <w:rsid w:val="002A4A8A"/>
    <w:rsid w:val="002A4BE9"/>
    <w:rsid w:val="002A4D0B"/>
    <w:rsid w:val="002A4ECC"/>
    <w:rsid w:val="002A4F8F"/>
    <w:rsid w:val="002A5B11"/>
    <w:rsid w:val="002A67CB"/>
    <w:rsid w:val="002A6E4B"/>
    <w:rsid w:val="002A79FA"/>
    <w:rsid w:val="002A7B86"/>
    <w:rsid w:val="002A7C98"/>
    <w:rsid w:val="002A7F5E"/>
    <w:rsid w:val="002B058C"/>
    <w:rsid w:val="002B100E"/>
    <w:rsid w:val="002B1164"/>
    <w:rsid w:val="002B1F0F"/>
    <w:rsid w:val="002B2B4E"/>
    <w:rsid w:val="002B427F"/>
    <w:rsid w:val="002B42D8"/>
    <w:rsid w:val="002B49D7"/>
    <w:rsid w:val="002B4CA3"/>
    <w:rsid w:val="002B4F8D"/>
    <w:rsid w:val="002B6078"/>
    <w:rsid w:val="002B68D0"/>
    <w:rsid w:val="002B6C92"/>
    <w:rsid w:val="002B6E3F"/>
    <w:rsid w:val="002B7295"/>
    <w:rsid w:val="002B7939"/>
    <w:rsid w:val="002C02FB"/>
    <w:rsid w:val="002C09C6"/>
    <w:rsid w:val="002C0D06"/>
    <w:rsid w:val="002C37B2"/>
    <w:rsid w:val="002C39DC"/>
    <w:rsid w:val="002C439E"/>
    <w:rsid w:val="002C51C0"/>
    <w:rsid w:val="002C534E"/>
    <w:rsid w:val="002C5374"/>
    <w:rsid w:val="002C610D"/>
    <w:rsid w:val="002C6402"/>
    <w:rsid w:val="002C6D0B"/>
    <w:rsid w:val="002C705A"/>
    <w:rsid w:val="002C758A"/>
    <w:rsid w:val="002C7D85"/>
    <w:rsid w:val="002D0CEA"/>
    <w:rsid w:val="002D0D67"/>
    <w:rsid w:val="002D224F"/>
    <w:rsid w:val="002D2470"/>
    <w:rsid w:val="002D319E"/>
    <w:rsid w:val="002D374A"/>
    <w:rsid w:val="002D4A5D"/>
    <w:rsid w:val="002D4BD7"/>
    <w:rsid w:val="002D4ED5"/>
    <w:rsid w:val="002D5411"/>
    <w:rsid w:val="002D5C58"/>
    <w:rsid w:val="002D6655"/>
    <w:rsid w:val="002D67BA"/>
    <w:rsid w:val="002D69DE"/>
    <w:rsid w:val="002D69FC"/>
    <w:rsid w:val="002D6BA3"/>
    <w:rsid w:val="002D7346"/>
    <w:rsid w:val="002D7D9A"/>
    <w:rsid w:val="002E0DFC"/>
    <w:rsid w:val="002E0E9B"/>
    <w:rsid w:val="002E1517"/>
    <w:rsid w:val="002E157D"/>
    <w:rsid w:val="002E1BC0"/>
    <w:rsid w:val="002E2A66"/>
    <w:rsid w:val="002E30AA"/>
    <w:rsid w:val="002E30D8"/>
    <w:rsid w:val="002E36BC"/>
    <w:rsid w:val="002E36EA"/>
    <w:rsid w:val="002E395C"/>
    <w:rsid w:val="002E52D0"/>
    <w:rsid w:val="002E52D5"/>
    <w:rsid w:val="002E53AE"/>
    <w:rsid w:val="002E53BB"/>
    <w:rsid w:val="002E591A"/>
    <w:rsid w:val="002E5BB3"/>
    <w:rsid w:val="002E5CAD"/>
    <w:rsid w:val="002E6471"/>
    <w:rsid w:val="002E71B5"/>
    <w:rsid w:val="002E733A"/>
    <w:rsid w:val="002E7C17"/>
    <w:rsid w:val="002F1461"/>
    <w:rsid w:val="002F16EC"/>
    <w:rsid w:val="002F202C"/>
    <w:rsid w:val="002F2778"/>
    <w:rsid w:val="002F2AF9"/>
    <w:rsid w:val="002F2F6E"/>
    <w:rsid w:val="002F39C7"/>
    <w:rsid w:val="002F4E72"/>
    <w:rsid w:val="002F511E"/>
    <w:rsid w:val="002F5193"/>
    <w:rsid w:val="002F569F"/>
    <w:rsid w:val="002F5855"/>
    <w:rsid w:val="002F5BB0"/>
    <w:rsid w:val="002F62F8"/>
    <w:rsid w:val="002F6388"/>
    <w:rsid w:val="002F7294"/>
    <w:rsid w:val="002F7836"/>
    <w:rsid w:val="002F7A83"/>
    <w:rsid w:val="002F7C29"/>
    <w:rsid w:val="00300B7E"/>
    <w:rsid w:val="0030124F"/>
    <w:rsid w:val="00301321"/>
    <w:rsid w:val="00301993"/>
    <w:rsid w:val="00301E73"/>
    <w:rsid w:val="00302560"/>
    <w:rsid w:val="003027F4"/>
    <w:rsid w:val="00303726"/>
    <w:rsid w:val="00303898"/>
    <w:rsid w:val="00303AB6"/>
    <w:rsid w:val="00304439"/>
    <w:rsid w:val="003044C3"/>
    <w:rsid w:val="003056F8"/>
    <w:rsid w:val="003059F5"/>
    <w:rsid w:val="00305F01"/>
    <w:rsid w:val="00305F9B"/>
    <w:rsid w:val="00305FC5"/>
    <w:rsid w:val="003061C7"/>
    <w:rsid w:val="00306552"/>
    <w:rsid w:val="003066E2"/>
    <w:rsid w:val="00306A2A"/>
    <w:rsid w:val="00307207"/>
    <w:rsid w:val="00307871"/>
    <w:rsid w:val="00307928"/>
    <w:rsid w:val="003079A6"/>
    <w:rsid w:val="00307A8E"/>
    <w:rsid w:val="00307CE1"/>
    <w:rsid w:val="00310BB9"/>
    <w:rsid w:val="003117C8"/>
    <w:rsid w:val="0031192A"/>
    <w:rsid w:val="0031292B"/>
    <w:rsid w:val="0031296D"/>
    <w:rsid w:val="00312C1B"/>
    <w:rsid w:val="00312CA1"/>
    <w:rsid w:val="00313284"/>
    <w:rsid w:val="003137DC"/>
    <w:rsid w:val="00313879"/>
    <w:rsid w:val="00313A05"/>
    <w:rsid w:val="00314C53"/>
    <w:rsid w:val="003153FB"/>
    <w:rsid w:val="00315928"/>
    <w:rsid w:val="00315992"/>
    <w:rsid w:val="0031658D"/>
    <w:rsid w:val="00316720"/>
    <w:rsid w:val="00316A22"/>
    <w:rsid w:val="003171D1"/>
    <w:rsid w:val="00317CDC"/>
    <w:rsid w:val="00317D5C"/>
    <w:rsid w:val="003203CF"/>
    <w:rsid w:val="0032061A"/>
    <w:rsid w:val="00320825"/>
    <w:rsid w:val="0032150D"/>
    <w:rsid w:val="00322BEC"/>
    <w:rsid w:val="003234A0"/>
    <w:rsid w:val="00323964"/>
    <w:rsid w:val="00325073"/>
    <w:rsid w:val="003259FA"/>
    <w:rsid w:val="00325C33"/>
    <w:rsid w:val="003260AC"/>
    <w:rsid w:val="003262F1"/>
    <w:rsid w:val="00326435"/>
    <w:rsid w:val="00326B2A"/>
    <w:rsid w:val="00326DC3"/>
    <w:rsid w:val="00326E42"/>
    <w:rsid w:val="0032707C"/>
    <w:rsid w:val="0032743B"/>
    <w:rsid w:val="00327600"/>
    <w:rsid w:val="00330490"/>
    <w:rsid w:val="00330ABD"/>
    <w:rsid w:val="00331568"/>
    <w:rsid w:val="0033164B"/>
    <w:rsid w:val="00333E1D"/>
    <w:rsid w:val="00335449"/>
    <w:rsid w:val="003354F2"/>
    <w:rsid w:val="003360E1"/>
    <w:rsid w:val="0033628E"/>
    <w:rsid w:val="0033680F"/>
    <w:rsid w:val="00336881"/>
    <w:rsid w:val="00336B7F"/>
    <w:rsid w:val="0033744D"/>
    <w:rsid w:val="00337847"/>
    <w:rsid w:val="00340046"/>
    <w:rsid w:val="0034124E"/>
    <w:rsid w:val="003421E9"/>
    <w:rsid w:val="003432FB"/>
    <w:rsid w:val="00344297"/>
    <w:rsid w:val="0034481B"/>
    <w:rsid w:val="003459D0"/>
    <w:rsid w:val="00345AD8"/>
    <w:rsid w:val="00346A92"/>
    <w:rsid w:val="00347085"/>
    <w:rsid w:val="0034738C"/>
    <w:rsid w:val="00347802"/>
    <w:rsid w:val="003506AF"/>
    <w:rsid w:val="00350745"/>
    <w:rsid w:val="00350D0A"/>
    <w:rsid w:val="00350D73"/>
    <w:rsid w:val="00351175"/>
    <w:rsid w:val="0035143E"/>
    <w:rsid w:val="00351659"/>
    <w:rsid w:val="00351CAB"/>
    <w:rsid w:val="0035297E"/>
    <w:rsid w:val="00352FE0"/>
    <w:rsid w:val="00353072"/>
    <w:rsid w:val="0035337C"/>
    <w:rsid w:val="00353C53"/>
    <w:rsid w:val="00353F0C"/>
    <w:rsid w:val="00354633"/>
    <w:rsid w:val="00354C9D"/>
    <w:rsid w:val="003555C9"/>
    <w:rsid w:val="0035565B"/>
    <w:rsid w:val="003559E4"/>
    <w:rsid w:val="003566E5"/>
    <w:rsid w:val="00361085"/>
    <w:rsid w:val="00361651"/>
    <w:rsid w:val="00362185"/>
    <w:rsid w:val="00362208"/>
    <w:rsid w:val="003632AE"/>
    <w:rsid w:val="0036331A"/>
    <w:rsid w:val="003633EA"/>
    <w:rsid w:val="003635C6"/>
    <w:rsid w:val="00363F60"/>
    <w:rsid w:val="00364160"/>
    <w:rsid w:val="003641D1"/>
    <w:rsid w:val="00364857"/>
    <w:rsid w:val="003655FE"/>
    <w:rsid w:val="00365D11"/>
    <w:rsid w:val="0036644E"/>
    <w:rsid w:val="0036650F"/>
    <w:rsid w:val="0036697B"/>
    <w:rsid w:val="00367871"/>
    <w:rsid w:val="00367D9D"/>
    <w:rsid w:val="00370208"/>
    <w:rsid w:val="00370401"/>
    <w:rsid w:val="0037056C"/>
    <w:rsid w:val="00370CC4"/>
    <w:rsid w:val="00371115"/>
    <w:rsid w:val="003720FA"/>
    <w:rsid w:val="003721C9"/>
    <w:rsid w:val="00372C28"/>
    <w:rsid w:val="00372D66"/>
    <w:rsid w:val="00373A75"/>
    <w:rsid w:val="0037415F"/>
    <w:rsid w:val="003741D3"/>
    <w:rsid w:val="003754BC"/>
    <w:rsid w:val="00377378"/>
    <w:rsid w:val="00377642"/>
    <w:rsid w:val="00377F60"/>
    <w:rsid w:val="003801EF"/>
    <w:rsid w:val="00380877"/>
    <w:rsid w:val="0038139D"/>
    <w:rsid w:val="00381469"/>
    <w:rsid w:val="00381820"/>
    <w:rsid w:val="00381A82"/>
    <w:rsid w:val="00382A08"/>
    <w:rsid w:val="00382D98"/>
    <w:rsid w:val="0038330D"/>
    <w:rsid w:val="00383F10"/>
    <w:rsid w:val="003843F0"/>
    <w:rsid w:val="00384A61"/>
    <w:rsid w:val="00384CEF"/>
    <w:rsid w:val="003853C7"/>
    <w:rsid w:val="003855B7"/>
    <w:rsid w:val="003856FA"/>
    <w:rsid w:val="003857BB"/>
    <w:rsid w:val="00385988"/>
    <w:rsid w:val="003859C1"/>
    <w:rsid w:val="00385DE7"/>
    <w:rsid w:val="00386824"/>
    <w:rsid w:val="003879D1"/>
    <w:rsid w:val="00387B36"/>
    <w:rsid w:val="00387BCC"/>
    <w:rsid w:val="00387CAF"/>
    <w:rsid w:val="00390238"/>
    <w:rsid w:val="003913E4"/>
    <w:rsid w:val="00391C90"/>
    <w:rsid w:val="0039249B"/>
    <w:rsid w:val="00393506"/>
    <w:rsid w:val="00393C0B"/>
    <w:rsid w:val="00393CCA"/>
    <w:rsid w:val="0039563D"/>
    <w:rsid w:val="003963B0"/>
    <w:rsid w:val="00396442"/>
    <w:rsid w:val="00397392"/>
    <w:rsid w:val="00397B80"/>
    <w:rsid w:val="00397CD2"/>
    <w:rsid w:val="003A0393"/>
    <w:rsid w:val="003A03FC"/>
    <w:rsid w:val="003A0432"/>
    <w:rsid w:val="003A0696"/>
    <w:rsid w:val="003A0A95"/>
    <w:rsid w:val="003A0C92"/>
    <w:rsid w:val="003A1173"/>
    <w:rsid w:val="003A146D"/>
    <w:rsid w:val="003A16A8"/>
    <w:rsid w:val="003A21ED"/>
    <w:rsid w:val="003A2A5E"/>
    <w:rsid w:val="003A2ABC"/>
    <w:rsid w:val="003A2EBD"/>
    <w:rsid w:val="003A30E2"/>
    <w:rsid w:val="003A3BAB"/>
    <w:rsid w:val="003A3C32"/>
    <w:rsid w:val="003A3F12"/>
    <w:rsid w:val="003A430A"/>
    <w:rsid w:val="003A4748"/>
    <w:rsid w:val="003A4D09"/>
    <w:rsid w:val="003A5900"/>
    <w:rsid w:val="003A599A"/>
    <w:rsid w:val="003A61EF"/>
    <w:rsid w:val="003A648A"/>
    <w:rsid w:val="003A6566"/>
    <w:rsid w:val="003A686F"/>
    <w:rsid w:val="003A6C49"/>
    <w:rsid w:val="003A70DE"/>
    <w:rsid w:val="003A70DF"/>
    <w:rsid w:val="003B03E0"/>
    <w:rsid w:val="003B076C"/>
    <w:rsid w:val="003B1124"/>
    <w:rsid w:val="003B15E8"/>
    <w:rsid w:val="003B1754"/>
    <w:rsid w:val="003B1965"/>
    <w:rsid w:val="003B1987"/>
    <w:rsid w:val="003B1D36"/>
    <w:rsid w:val="003B24C4"/>
    <w:rsid w:val="003B266A"/>
    <w:rsid w:val="003B307E"/>
    <w:rsid w:val="003B3096"/>
    <w:rsid w:val="003B3B17"/>
    <w:rsid w:val="003B3FA1"/>
    <w:rsid w:val="003B450C"/>
    <w:rsid w:val="003B45BD"/>
    <w:rsid w:val="003B4DC9"/>
    <w:rsid w:val="003B57EC"/>
    <w:rsid w:val="003B6649"/>
    <w:rsid w:val="003B68F5"/>
    <w:rsid w:val="003B69D0"/>
    <w:rsid w:val="003B7AF0"/>
    <w:rsid w:val="003B7DD8"/>
    <w:rsid w:val="003B7DEF"/>
    <w:rsid w:val="003C0AC0"/>
    <w:rsid w:val="003C22B1"/>
    <w:rsid w:val="003C2C8A"/>
    <w:rsid w:val="003C3ABB"/>
    <w:rsid w:val="003C3B9B"/>
    <w:rsid w:val="003C3EA4"/>
    <w:rsid w:val="003C400C"/>
    <w:rsid w:val="003C440C"/>
    <w:rsid w:val="003C45AF"/>
    <w:rsid w:val="003C5315"/>
    <w:rsid w:val="003C541C"/>
    <w:rsid w:val="003C5ABA"/>
    <w:rsid w:val="003C5ADA"/>
    <w:rsid w:val="003C5B4D"/>
    <w:rsid w:val="003C5D1E"/>
    <w:rsid w:val="003C6680"/>
    <w:rsid w:val="003C717B"/>
    <w:rsid w:val="003C71D3"/>
    <w:rsid w:val="003C77D5"/>
    <w:rsid w:val="003D0D1E"/>
    <w:rsid w:val="003D16A9"/>
    <w:rsid w:val="003D1DD3"/>
    <w:rsid w:val="003D27B0"/>
    <w:rsid w:val="003D2CB8"/>
    <w:rsid w:val="003D3382"/>
    <w:rsid w:val="003D35D5"/>
    <w:rsid w:val="003D4172"/>
    <w:rsid w:val="003D5851"/>
    <w:rsid w:val="003D591D"/>
    <w:rsid w:val="003D5A59"/>
    <w:rsid w:val="003D74E7"/>
    <w:rsid w:val="003D7991"/>
    <w:rsid w:val="003E01D2"/>
    <w:rsid w:val="003E0AE6"/>
    <w:rsid w:val="003E10EA"/>
    <w:rsid w:val="003E13E4"/>
    <w:rsid w:val="003E1502"/>
    <w:rsid w:val="003E19FA"/>
    <w:rsid w:val="003E1F41"/>
    <w:rsid w:val="003E1F86"/>
    <w:rsid w:val="003E206C"/>
    <w:rsid w:val="003E2409"/>
    <w:rsid w:val="003E2C66"/>
    <w:rsid w:val="003E32F3"/>
    <w:rsid w:val="003E33B1"/>
    <w:rsid w:val="003E361B"/>
    <w:rsid w:val="003E3E21"/>
    <w:rsid w:val="003E3E82"/>
    <w:rsid w:val="003E428F"/>
    <w:rsid w:val="003E4840"/>
    <w:rsid w:val="003E5627"/>
    <w:rsid w:val="003E57B9"/>
    <w:rsid w:val="003E5812"/>
    <w:rsid w:val="003E594E"/>
    <w:rsid w:val="003E5ACD"/>
    <w:rsid w:val="003E5DF8"/>
    <w:rsid w:val="003E6AA8"/>
    <w:rsid w:val="003E6C13"/>
    <w:rsid w:val="003E7903"/>
    <w:rsid w:val="003E7AC3"/>
    <w:rsid w:val="003F03C7"/>
    <w:rsid w:val="003F0490"/>
    <w:rsid w:val="003F0535"/>
    <w:rsid w:val="003F0717"/>
    <w:rsid w:val="003F0DD9"/>
    <w:rsid w:val="003F0E10"/>
    <w:rsid w:val="003F12C5"/>
    <w:rsid w:val="003F1357"/>
    <w:rsid w:val="003F16BB"/>
    <w:rsid w:val="003F1DE2"/>
    <w:rsid w:val="003F1E84"/>
    <w:rsid w:val="003F2524"/>
    <w:rsid w:val="003F25F2"/>
    <w:rsid w:val="003F27EA"/>
    <w:rsid w:val="003F3165"/>
    <w:rsid w:val="003F3205"/>
    <w:rsid w:val="003F328C"/>
    <w:rsid w:val="003F3567"/>
    <w:rsid w:val="003F3730"/>
    <w:rsid w:val="003F468D"/>
    <w:rsid w:val="003F4BCE"/>
    <w:rsid w:val="003F4E07"/>
    <w:rsid w:val="003F5846"/>
    <w:rsid w:val="003F5C26"/>
    <w:rsid w:val="003F5C9A"/>
    <w:rsid w:val="003F605E"/>
    <w:rsid w:val="003F6330"/>
    <w:rsid w:val="003F64BA"/>
    <w:rsid w:val="003F6FD3"/>
    <w:rsid w:val="003F7794"/>
    <w:rsid w:val="00400055"/>
    <w:rsid w:val="0040034C"/>
    <w:rsid w:val="004004A4"/>
    <w:rsid w:val="004007E2"/>
    <w:rsid w:val="00400A6C"/>
    <w:rsid w:val="00401151"/>
    <w:rsid w:val="00401E8A"/>
    <w:rsid w:val="00402275"/>
    <w:rsid w:val="00402471"/>
    <w:rsid w:val="00403199"/>
    <w:rsid w:val="00403301"/>
    <w:rsid w:val="0040343C"/>
    <w:rsid w:val="004034FE"/>
    <w:rsid w:val="00403B2D"/>
    <w:rsid w:val="004044D7"/>
    <w:rsid w:val="00406DDB"/>
    <w:rsid w:val="00406EBD"/>
    <w:rsid w:val="0040746C"/>
    <w:rsid w:val="0040791D"/>
    <w:rsid w:val="0041022D"/>
    <w:rsid w:val="004107A8"/>
    <w:rsid w:val="004108FA"/>
    <w:rsid w:val="004110A9"/>
    <w:rsid w:val="0041115C"/>
    <w:rsid w:val="00411EBB"/>
    <w:rsid w:val="00411F2A"/>
    <w:rsid w:val="004121C1"/>
    <w:rsid w:val="00412666"/>
    <w:rsid w:val="00412B53"/>
    <w:rsid w:val="00412EB1"/>
    <w:rsid w:val="00412FEB"/>
    <w:rsid w:val="004135D5"/>
    <w:rsid w:val="00414CFB"/>
    <w:rsid w:val="00415038"/>
    <w:rsid w:val="00415451"/>
    <w:rsid w:val="00415605"/>
    <w:rsid w:val="00415AB8"/>
    <w:rsid w:val="00416834"/>
    <w:rsid w:val="004168DE"/>
    <w:rsid w:val="00416AA7"/>
    <w:rsid w:val="0041776E"/>
    <w:rsid w:val="004179BC"/>
    <w:rsid w:val="0042118D"/>
    <w:rsid w:val="004212F3"/>
    <w:rsid w:val="00421837"/>
    <w:rsid w:val="004218B4"/>
    <w:rsid w:val="00422C0A"/>
    <w:rsid w:val="004230A5"/>
    <w:rsid w:val="00423379"/>
    <w:rsid w:val="00423874"/>
    <w:rsid w:val="004239B2"/>
    <w:rsid w:val="00423FCA"/>
    <w:rsid w:val="004240C3"/>
    <w:rsid w:val="00424B19"/>
    <w:rsid w:val="00424C27"/>
    <w:rsid w:val="0042505D"/>
    <w:rsid w:val="00425191"/>
    <w:rsid w:val="0042587D"/>
    <w:rsid w:val="00425C58"/>
    <w:rsid w:val="0042635A"/>
    <w:rsid w:val="004265B0"/>
    <w:rsid w:val="00426B17"/>
    <w:rsid w:val="00427D0F"/>
    <w:rsid w:val="0043016E"/>
    <w:rsid w:val="00430A99"/>
    <w:rsid w:val="00430EAD"/>
    <w:rsid w:val="0043153C"/>
    <w:rsid w:val="00431549"/>
    <w:rsid w:val="00432491"/>
    <w:rsid w:val="00432979"/>
    <w:rsid w:val="00432C31"/>
    <w:rsid w:val="00432E24"/>
    <w:rsid w:val="0043380F"/>
    <w:rsid w:val="0043399E"/>
    <w:rsid w:val="00433CB1"/>
    <w:rsid w:val="004344F0"/>
    <w:rsid w:val="004347B6"/>
    <w:rsid w:val="00434F30"/>
    <w:rsid w:val="004354AF"/>
    <w:rsid w:val="0043572E"/>
    <w:rsid w:val="00436461"/>
    <w:rsid w:val="00436E70"/>
    <w:rsid w:val="00436F7E"/>
    <w:rsid w:val="00437773"/>
    <w:rsid w:val="00437B91"/>
    <w:rsid w:val="00437F0A"/>
    <w:rsid w:val="0044026B"/>
    <w:rsid w:val="00442609"/>
    <w:rsid w:val="004428D1"/>
    <w:rsid w:val="00442FF3"/>
    <w:rsid w:val="004437B3"/>
    <w:rsid w:val="00443DF7"/>
    <w:rsid w:val="004441F8"/>
    <w:rsid w:val="00444209"/>
    <w:rsid w:val="00444436"/>
    <w:rsid w:val="00444F86"/>
    <w:rsid w:val="00444F89"/>
    <w:rsid w:val="004457A4"/>
    <w:rsid w:val="004466D9"/>
    <w:rsid w:val="00446775"/>
    <w:rsid w:val="00446D0C"/>
    <w:rsid w:val="0044744A"/>
    <w:rsid w:val="0044781D"/>
    <w:rsid w:val="004505D4"/>
    <w:rsid w:val="00450ECA"/>
    <w:rsid w:val="004520E6"/>
    <w:rsid w:val="0045297A"/>
    <w:rsid w:val="00453217"/>
    <w:rsid w:val="0045368E"/>
    <w:rsid w:val="0045434A"/>
    <w:rsid w:val="004546C1"/>
    <w:rsid w:val="00455BDF"/>
    <w:rsid w:val="004567F7"/>
    <w:rsid w:val="00456B40"/>
    <w:rsid w:val="0045778F"/>
    <w:rsid w:val="00460216"/>
    <w:rsid w:val="0046030A"/>
    <w:rsid w:val="004603BE"/>
    <w:rsid w:val="004604CA"/>
    <w:rsid w:val="0046086B"/>
    <w:rsid w:val="00460AE0"/>
    <w:rsid w:val="00460FC4"/>
    <w:rsid w:val="0046114C"/>
    <w:rsid w:val="00462067"/>
    <w:rsid w:val="00462703"/>
    <w:rsid w:val="00462D1E"/>
    <w:rsid w:val="00463C67"/>
    <w:rsid w:val="00465D8E"/>
    <w:rsid w:val="004668B8"/>
    <w:rsid w:val="004668F5"/>
    <w:rsid w:val="0047038C"/>
    <w:rsid w:val="004706F8"/>
    <w:rsid w:val="00470D91"/>
    <w:rsid w:val="00470E91"/>
    <w:rsid w:val="004710E7"/>
    <w:rsid w:val="00471D81"/>
    <w:rsid w:val="00471D97"/>
    <w:rsid w:val="00471EB4"/>
    <w:rsid w:val="00471EDD"/>
    <w:rsid w:val="00472152"/>
    <w:rsid w:val="004728A5"/>
    <w:rsid w:val="00473490"/>
    <w:rsid w:val="00473662"/>
    <w:rsid w:val="00473BC0"/>
    <w:rsid w:val="0047458C"/>
    <w:rsid w:val="004758FB"/>
    <w:rsid w:val="004759D4"/>
    <w:rsid w:val="00475DF3"/>
    <w:rsid w:val="00476126"/>
    <w:rsid w:val="0047684A"/>
    <w:rsid w:val="00477377"/>
    <w:rsid w:val="0048038C"/>
    <w:rsid w:val="004805E9"/>
    <w:rsid w:val="00480A4B"/>
    <w:rsid w:val="00480B55"/>
    <w:rsid w:val="00481AFA"/>
    <w:rsid w:val="004820B5"/>
    <w:rsid w:val="00483B69"/>
    <w:rsid w:val="00483BC9"/>
    <w:rsid w:val="0048413F"/>
    <w:rsid w:val="00484192"/>
    <w:rsid w:val="00484382"/>
    <w:rsid w:val="0048578C"/>
    <w:rsid w:val="004901E5"/>
    <w:rsid w:val="0049177B"/>
    <w:rsid w:val="004928DB"/>
    <w:rsid w:val="00492E8C"/>
    <w:rsid w:val="00492F18"/>
    <w:rsid w:val="0049359B"/>
    <w:rsid w:val="00493C51"/>
    <w:rsid w:val="00494227"/>
    <w:rsid w:val="00494C63"/>
    <w:rsid w:val="00494FAB"/>
    <w:rsid w:val="00495572"/>
    <w:rsid w:val="004967E3"/>
    <w:rsid w:val="00496BB1"/>
    <w:rsid w:val="004970AD"/>
    <w:rsid w:val="00497587"/>
    <w:rsid w:val="00497930"/>
    <w:rsid w:val="00497A3C"/>
    <w:rsid w:val="00497D9E"/>
    <w:rsid w:val="004A00A6"/>
    <w:rsid w:val="004A0D87"/>
    <w:rsid w:val="004A1839"/>
    <w:rsid w:val="004A24CE"/>
    <w:rsid w:val="004A29BC"/>
    <w:rsid w:val="004A2C04"/>
    <w:rsid w:val="004A2F63"/>
    <w:rsid w:val="004A32EE"/>
    <w:rsid w:val="004A3B31"/>
    <w:rsid w:val="004A3C53"/>
    <w:rsid w:val="004A4621"/>
    <w:rsid w:val="004A47FF"/>
    <w:rsid w:val="004A5585"/>
    <w:rsid w:val="004A5951"/>
    <w:rsid w:val="004A5D5F"/>
    <w:rsid w:val="004A6E2F"/>
    <w:rsid w:val="004A71C4"/>
    <w:rsid w:val="004A7EE5"/>
    <w:rsid w:val="004B0C23"/>
    <w:rsid w:val="004B0FC9"/>
    <w:rsid w:val="004B12FB"/>
    <w:rsid w:val="004B21D2"/>
    <w:rsid w:val="004B2662"/>
    <w:rsid w:val="004B2AB6"/>
    <w:rsid w:val="004B33ED"/>
    <w:rsid w:val="004B4082"/>
    <w:rsid w:val="004B4573"/>
    <w:rsid w:val="004B479C"/>
    <w:rsid w:val="004B49B1"/>
    <w:rsid w:val="004B4F61"/>
    <w:rsid w:val="004B5478"/>
    <w:rsid w:val="004B56F7"/>
    <w:rsid w:val="004B5D5E"/>
    <w:rsid w:val="004B6124"/>
    <w:rsid w:val="004B63E7"/>
    <w:rsid w:val="004B6995"/>
    <w:rsid w:val="004B7FC9"/>
    <w:rsid w:val="004C03DD"/>
    <w:rsid w:val="004C043F"/>
    <w:rsid w:val="004C05A3"/>
    <w:rsid w:val="004C05E1"/>
    <w:rsid w:val="004C15B6"/>
    <w:rsid w:val="004C1B2A"/>
    <w:rsid w:val="004C20D6"/>
    <w:rsid w:val="004C214D"/>
    <w:rsid w:val="004C247B"/>
    <w:rsid w:val="004C2D7E"/>
    <w:rsid w:val="004C3312"/>
    <w:rsid w:val="004C3436"/>
    <w:rsid w:val="004C36D8"/>
    <w:rsid w:val="004C3906"/>
    <w:rsid w:val="004C3989"/>
    <w:rsid w:val="004C3C10"/>
    <w:rsid w:val="004C4298"/>
    <w:rsid w:val="004C4DE0"/>
    <w:rsid w:val="004C5923"/>
    <w:rsid w:val="004C5C54"/>
    <w:rsid w:val="004C6700"/>
    <w:rsid w:val="004C6852"/>
    <w:rsid w:val="004C765D"/>
    <w:rsid w:val="004C796B"/>
    <w:rsid w:val="004C7B10"/>
    <w:rsid w:val="004C7D74"/>
    <w:rsid w:val="004D00A1"/>
    <w:rsid w:val="004D216F"/>
    <w:rsid w:val="004D24AB"/>
    <w:rsid w:val="004D2DE1"/>
    <w:rsid w:val="004D37B5"/>
    <w:rsid w:val="004D3FB1"/>
    <w:rsid w:val="004D4D11"/>
    <w:rsid w:val="004D5206"/>
    <w:rsid w:val="004D5FE3"/>
    <w:rsid w:val="004D66A6"/>
    <w:rsid w:val="004D69BF"/>
    <w:rsid w:val="004D69FB"/>
    <w:rsid w:val="004D6EE7"/>
    <w:rsid w:val="004D6FBC"/>
    <w:rsid w:val="004D7008"/>
    <w:rsid w:val="004D751D"/>
    <w:rsid w:val="004D7824"/>
    <w:rsid w:val="004D7C1A"/>
    <w:rsid w:val="004E03FC"/>
    <w:rsid w:val="004E0C1A"/>
    <w:rsid w:val="004E0FD1"/>
    <w:rsid w:val="004E1751"/>
    <w:rsid w:val="004E1DB3"/>
    <w:rsid w:val="004E1DED"/>
    <w:rsid w:val="004E20CE"/>
    <w:rsid w:val="004E279E"/>
    <w:rsid w:val="004E38F6"/>
    <w:rsid w:val="004E3AEC"/>
    <w:rsid w:val="004E3B7F"/>
    <w:rsid w:val="004E3D66"/>
    <w:rsid w:val="004E64D3"/>
    <w:rsid w:val="004E668B"/>
    <w:rsid w:val="004E6F37"/>
    <w:rsid w:val="004E7160"/>
    <w:rsid w:val="004E72F7"/>
    <w:rsid w:val="004E774D"/>
    <w:rsid w:val="004E7773"/>
    <w:rsid w:val="004E77D1"/>
    <w:rsid w:val="004E78B7"/>
    <w:rsid w:val="004F0026"/>
    <w:rsid w:val="004F1EFC"/>
    <w:rsid w:val="004F23A6"/>
    <w:rsid w:val="004F3825"/>
    <w:rsid w:val="004F3BEB"/>
    <w:rsid w:val="004F3CBA"/>
    <w:rsid w:val="004F51B5"/>
    <w:rsid w:val="004F52DB"/>
    <w:rsid w:val="004F6392"/>
    <w:rsid w:val="004F6C3B"/>
    <w:rsid w:val="004F6EA0"/>
    <w:rsid w:val="004F6F5B"/>
    <w:rsid w:val="004F7095"/>
    <w:rsid w:val="004F7FA9"/>
    <w:rsid w:val="0050153F"/>
    <w:rsid w:val="00501E92"/>
    <w:rsid w:val="00502387"/>
    <w:rsid w:val="00502FDD"/>
    <w:rsid w:val="005036E3"/>
    <w:rsid w:val="00503F12"/>
    <w:rsid w:val="00503FC8"/>
    <w:rsid w:val="0050402E"/>
    <w:rsid w:val="005042CC"/>
    <w:rsid w:val="00504303"/>
    <w:rsid w:val="00504963"/>
    <w:rsid w:val="005050C0"/>
    <w:rsid w:val="005053E6"/>
    <w:rsid w:val="00505B7C"/>
    <w:rsid w:val="0050652C"/>
    <w:rsid w:val="00506EA0"/>
    <w:rsid w:val="00507DFC"/>
    <w:rsid w:val="00510AEE"/>
    <w:rsid w:val="00510AF9"/>
    <w:rsid w:val="005115FB"/>
    <w:rsid w:val="00512097"/>
    <w:rsid w:val="00512108"/>
    <w:rsid w:val="00512257"/>
    <w:rsid w:val="005128F7"/>
    <w:rsid w:val="00512AD6"/>
    <w:rsid w:val="00512C7A"/>
    <w:rsid w:val="00512DAF"/>
    <w:rsid w:val="005133ED"/>
    <w:rsid w:val="005133F0"/>
    <w:rsid w:val="00513A78"/>
    <w:rsid w:val="00513B89"/>
    <w:rsid w:val="0051484D"/>
    <w:rsid w:val="00514D92"/>
    <w:rsid w:val="00514FC6"/>
    <w:rsid w:val="005159A9"/>
    <w:rsid w:val="0051636E"/>
    <w:rsid w:val="005169D0"/>
    <w:rsid w:val="00516BF4"/>
    <w:rsid w:val="00517E1F"/>
    <w:rsid w:val="00517F4B"/>
    <w:rsid w:val="005209F3"/>
    <w:rsid w:val="00520A6F"/>
    <w:rsid w:val="0052116B"/>
    <w:rsid w:val="0052153F"/>
    <w:rsid w:val="00521D7D"/>
    <w:rsid w:val="00523353"/>
    <w:rsid w:val="00523A23"/>
    <w:rsid w:val="00524067"/>
    <w:rsid w:val="00524216"/>
    <w:rsid w:val="0052495C"/>
    <w:rsid w:val="00524DFB"/>
    <w:rsid w:val="00525148"/>
    <w:rsid w:val="005259F5"/>
    <w:rsid w:val="00525BB6"/>
    <w:rsid w:val="00526359"/>
    <w:rsid w:val="0052779E"/>
    <w:rsid w:val="005277CB"/>
    <w:rsid w:val="00530112"/>
    <w:rsid w:val="005301DF"/>
    <w:rsid w:val="00531E10"/>
    <w:rsid w:val="00532A8E"/>
    <w:rsid w:val="00533A68"/>
    <w:rsid w:val="00533E51"/>
    <w:rsid w:val="00533EDE"/>
    <w:rsid w:val="005347D5"/>
    <w:rsid w:val="00534CE2"/>
    <w:rsid w:val="005355F5"/>
    <w:rsid w:val="0053563F"/>
    <w:rsid w:val="00536426"/>
    <w:rsid w:val="00536B4C"/>
    <w:rsid w:val="00536C98"/>
    <w:rsid w:val="005371DF"/>
    <w:rsid w:val="00537521"/>
    <w:rsid w:val="0053755D"/>
    <w:rsid w:val="005376D3"/>
    <w:rsid w:val="00537EC3"/>
    <w:rsid w:val="005410E9"/>
    <w:rsid w:val="00541EE1"/>
    <w:rsid w:val="0054276F"/>
    <w:rsid w:val="00542A45"/>
    <w:rsid w:val="00543339"/>
    <w:rsid w:val="005433B4"/>
    <w:rsid w:val="00543627"/>
    <w:rsid w:val="005436C5"/>
    <w:rsid w:val="0054373F"/>
    <w:rsid w:val="005437C2"/>
    <w:rsid w:val="00543E28"/>
    <w:rsid w:val="00544916"/>
    <w:rsid w:val="00544A74"/>
    <w:rsid w:val="00544FF1"/>
    <w:rsid w:val="00545013"/>
    <w:rsid w:val="00545BC2"/>
    <w:rsid w:val="005469A6"/>
    <w:rsid w:val="00547A79"/>
    <w:rsid w:val="00547C43"/>
    <w:rsid w:val="00550176"/>
    <w:rsid w:val="00550504"/>
    <w:rsid w:val="00550549"/>
    <w:rsid w:val="00550751"/>
    <w:rsid w:val="00550BF4"/>
    <w:rsid w:val="00551D9A"/>
    <w:rsid w:val="0055280A"/>
    <w:rsid w:val="0055396F"/>
    <w:rsid w:val="00553F33"/>
    <w:rsid w:val="00554654"/>
    <w:rsid w:val="0055649B"/>
    <w:rsid w:val="005566FB"/>
    <w:rsid w:val="0055698B"/>
    <w:rsid w:val="00556CF0"/>
    <w:rsid w:val="00557059"/>
    <w:rsid w:val="005575CD"/>
    <w:rsid w:val="005578D6"/>
    <w:rsid w:val="00557A9B"/>
    <w:rsid w:val="00557DEA"/>
    <w:rsid w:val="00560E84"/>
    <w:rsid w:val="00561113"/>
    <w:rsid w:val="005613CD"/>
    <w:rsid w:val="005614B1"/>
    <w:rsid w:val="00562DF6"/>
    <w:rsid w:val="00562E58"/>
    <w:rsid w:val="00563683"/>
    <w:rsid w:val="00563B26"/>
    <w:rsid w:val="00563E40"/>
    <w:rsid w:val="00563EDD"/>
    <w:rsid w:val="00564010"/>
    <w:rsid w:val="005641E0"/>
    <w:rsid w:val="00564260"/>
    <w:rsid w:val="005645AB"/>
    <w:rsid w:val="00565590"/>
    <w:rsid w:val="00565D3B"/>
    <w:rsid w:val="0056688F"/>
    <w:rsid w:val="00566D5A"/>
    <w:rsid w:val="00566F24"/>
    <w:rsid w:val="00566F5A"/>
    <w:rsid w:val="005671F2"/>
    <w:rsid w:val="005673B1"/>
    <w:rsid w:val="00567FAC"/>
    <w:rsid w:val="0057041F"/>
    <w:rsid w:val="00570CA9"/>
    <w:rsid w:val="005717A4"/>
    <w:rsid w:val="00571BA7"/>
    <w:rsid w:val="00572A64"/>
    <w:rsid w:val="00572F67"/>
    <w:rsid w:val="00574126"/>
    <w:rsid w:val="005763CE"/>
    <w:rsid w:val="00576533"/>
    <w:rsid w:val="00576C2A"/>
    <w:rsid w:val="00576D8E"/>
    <w:rsid w:val="00577050"/>
    <w:rsid w:val="00577A5E"/>
    <w:rsid w:val="00577EB1"/>
    <w:rsid w:val="0058017A"/>
    <w:rsid w:val="0058106B"/>
    <w:rsid w:val="005812D5"/>
    <w:rsid w:val="0058172C"/>
    <w:rsid w:val="00581791"/>
    <w:rsid w:val="00581F68"/>
    <w:rsid w:val="00582169"/>
    <w:rsid w:val="0058288E"/>
    <w:rsid w:val="00582C51"/>
    <w:rsid w:val="00583DF0"/>
    <w:rsid w:val="00583E05"/>
    <w:rsid w:val="00584096"/>
    <w:rsid w:val="00584FC8"/>
    <w:rsid w:val="00585AAF"/>
    <w:rsid w:val="00585DEF"/>
    <w:rsid w:val="005861B1"/>
    <w:rsid w:val="0058648F"/>
    <w:rsid w:val="00587214"/>
    <w:rsid w:val="0059070B"/>
    <w:rsid w:val="00590F0E"/>
    <w:rsid w:val="00591A3A"/>
    <w:rsid w:val="00592635"/>
    <w:rsid w:val="0059281A"/>
    <w:rsid w:val="00592C72"/>
    <w:rsid w:val="00592DD4"/>
    <w:rsid w:val="005933A8"/>
    <w:rsid w:val="00593BFD"/>
    <w:rsid w:val="005943F0"/>
    <w:rsid w:val="00596D3D"/>
    <w:rsid w:val="00597493"/>
    <w:rsid w:val="005A00C0"/>
    <w:rsid w:val="005A029E"/>
    <w:rsid w:val="005A0A7B"/>
    <w:rsid w:val="005A0EB2"/>
    <w:rsid w:val="005A1223"/>
    <w:rsid w:val="005A14B8"/>
    <w:rsid w:val="005A17A9"/>
    <w:rsid w:val="005A24A6"/>
    <w:rsid w:val="005A2F64"/>
    <w:rsid w:val="005A3D5C"/>
    <w:rsid w:val="005A42CE"/>
    <w:rsid w:val="005A4506"/>
    <w:rsid w:val="005A48EE"/>
    <w:rsid w:val="005A4D7A"/>
    <w:rsid w:val="005A4F98"/>
    <w:rsid w:val="005A5BE5"/>
    <w:rsid w:val="005A6812"/>
    <w:rsid w:val="005A7D71"/>
    <w:rsid w:val="005A7E6E"/>
    <w:rsid w:val="005B135C"/>
    <w:rsid w:val="005B14E9"/>
    <w:rsid w:val="005B185B"/>
    <w:rsid w:val="005B1A70"/>
    <w:rsid w:val="005B1EDC"/>
    <w:rsid w:val="005B22E6"/>
    <w:rsid w:val="005B3803"/>
    <w:rsid w:val="005B3A04"/>
    <w:rsid w:val="005B4281"/>
    <w:rsid w:val="005B47EF"/>
    <w:rsid w:val="005B5415"/>
    <w:rsid w:val="005B6BBA"/>
    <w:rsid w:val="005B6D17"/>
    <w:rsid w:val="005B7877"/>
    <w:rsid w:val="005B7B74"/>
    <w:rsid w:val="005C01E4"/>
    <w:rsid w:val="005C0285"/>
    <w:rsid w:val="005C1277"/>
    <w:rsid w:val="005C1D11"/>
    <w:rsid w:val="005C1E62"/>
    <w:rsid w:val="005C251B"/>
    <w:rsid w:val="005C3A16"/>
    <w:rsid w:val="005C4AEB"/>
    <w:rsid w:val="005C4E71"/>
    <w:rsid w:val="005C58EE"/>
    <w:rsid w:val="005C65B3"/>
    <w:rsid w:val="005C6EFC"/>
    <w:rsid w:val="005D1899"/>
    <w:rsid w:val="005D2C1D"/>
    <w:rsid w:val="005D392B"/>
    <w:rsid w:val="005D4B04"/>
    <w:rsid w:val="005D4E21"/>
    <w:rsid w:val="005D50E0"/>
    <w:rsid w:val="005D545B"/>
    <w:rsid w:val="005D5A2D"/>
    <w:rsid w:val="005D72CA"/>
    <w:rsid w:val="005D7382"/>
    <w:rsid w:val="005D7A85"/>
    <w:rsid w:val="005E01D1"/>
    <w:rsid w:val="005E0D3F"/>
    <w:rsid w:val="005E0EE9"/>
    <w:rsid w:val="005E1134"/>
    <w:rsid w:val="005E257E"/>
    <w:rsid w:val="005E31EB"/>
    <w:rsid w:val="005E3558"/>
    <w:rsid w:val="005E427F"/>
    <w:rsid w:val="005E484B"/>
    <w:rsid w:val="005E4981"/>
    <w:rsid w:val="005E557B"/>
    <w:rsid w:val="005F16E5"/>
    <w:rsid w:val="005F1B11"/>
    <w:rsid w:val="005F211B"/>
    <w:rsid w:val="005F254D"/>
    <w:rsid w:val="005F3F35"/>
    <w:rsid w:val="005F414B"/>
    <w:rsid w:val="005F43DB"/>
    <w:rsid w:val="005F4C16"/>
    <w:rsid w:val="005F4CCE"/>
    <w:rsid w:val="005F4E83"/>
    <w:rsid w:val="005F5391"/>
    <w:rsid w:val="005F57DD"/>
    <w:rsid w:val="005F5A53"/>
    <w:rsid w:val="005F5B88"/>
    <w:rsid w:val="005F5D7E"/>
    <w:rsid w:val="005F6015"/>
    <w:rsid w:val="005F6042"/>
    <w:rsid w:val="005F60D7"/>
    <w:rsid w:val="005F6E5F"/>
    <w:rsid w:val="005F7A33"/>
    <w:rsid w:val="006002CE"/>
    <w:rsid w:val="0060044C"/>
    <w:rsid w:val="00601245"/>
    <w:rsid w:val="0060172E"/>
    <w:rsid w:val="00602738"/>
    <w:rsid w:val="00602BB9"/>
    <w:rsid w:val="00602D67"/>
    <w:rsid w:val="006031B2"/>
    <w:rsid w:val="00603353"/>
    <w:rsid w:val="00603CF3"/>
    <w:rsid w:val="00604735"/>
    <w:rsid w:val="00604E69"/>
    <w:rsid w:val="00604EDD"/>
    <w:rsid w:val="00605987"/>
    <w:rsid w:val="00605DD4"/>
    <w:rsid w:val="0060602C"/>
    <w:rsid w:val="00606726"/>
    <w:rsid w:val="00606E0F"/>
    <w:rsid w:val="006070B3"/>
    <w:rsid w:val="0060719A"/>
    <w:rsid w:val="006071C9"/>
    <w:rsid w:val="00607CED"/>
    <w:rsid w:val="0061035B"/>
    <w:rsid w:val="00610499"/>
    <w:rsid w:val="0061083E"/>
    <w:rsid w:val="00610C61"/>
    <w:rsid w:val="0061183B"/>
    <w:rsid w:val="00612131"/>
    <w:rsid w:val="00612838"/>
    <w:rsid w:val="00612952"/>
    <w:rsid w:val="00613E7F"/>
    <w:rsid w:val="00614307"/>
    <w:rsid w:val="00614751"/>
    <w:rsid w:val="00614F69"/>
    <w:rsid w:val="006150D1"/>
    <w:rsid w:val="006151CA"/>
    <w:rsid w:val="00615D66"/>
    <w:rsid w:val="0061694F"/>
    <w:rsid w:val="00616B20"/>
    <w:rsid w:val="00616D55"/>
    <w:rsid w:val="00617B38"/>
    <w:rsid w:val="00620255"/>
    <w:rsid w:val="0062145E"/>
    <w:rsid w:val="00621823"/>
    <w:rsid w:val="0062185B"/>
    <w:rsid w:val="0062195B"/>
    <w:rsid w:val="00622807"/>
    <w:rsid w:val="0062297D"/>
    <w:rsid w:val="00622D4E"/>
    <w:rsid w:val="00622D90"/>
    <w:rsid w:val="00622F2E"/>
    <w:rsid w:val="00623E6E"/>
    <w:rsid w:val="00624389"/>
    <w:rsid w:val="006243D7"/>
    <w:rsid w:val="00624699"/>
    <w:rsid w:val="006247CA"/>
    <w:rsid w:val="00624A0B"/>
    <w:rsid w:val="0062515C"/>
    <w:rsid w:val="00626B5B"/>
    <w:rsid w:val="00626C28"/>
    <w:rsid w:val="00626E4F"/>
    <w:rsid w:val="0062736B"/>
    <w:rsid w:val="00630581"/>
    <w:rsid w:val="006306FB"/>
    <w:rsid w:val="00630921"/>
    <w:rsid w:val="00631B26"/>
    <w:rsid w:val="00631ECE"/>
    <w:rsid w:val="00631F1A"/>
    <w:rsid w:val="00631F33"/>
    <w:rsid w:val="006327EF"/>
    <w:rsid w:val="00632F5D"/>
    <w:rsid w:val="006332AD"/>
    <w:rsid w:val="006335E0"/>
    <w:rsid w:val="0063411B"/>
    <w:rsid w:val="006349F7"/>
    <w:rsid w:val="0063503B"/>
    <w:rsid w:val="00635342"/>
    <w:rsid w:val="00635B62"/>
    <w:rsid w:val="00635CBE"/>
    <w:rsid w:val="00635DB0"/>
    <w:rsid w:val="00635F10"/>
    <w:rsid w:val="006364AA"/>
    <w:rsid w:val="00636E18"/>
    <w:rsid w:val="00637142"/>
    <w:rsid w:val="00640A02"/>
    <w:rsid w:val="00640C66"/>
    <w:rsid w:val="00641675"/>
    <w:rsid w:val="0064229B"/>
    <w:rsid w:val="006423E5"/>
    <w:rsid w:val="0064267F"/>
    <w:rsid w:val="00642A8F"/>
    <w:rsid w:val="00642B82"/>
    <w:rsid w:val="00643048"/>
    <w:rsid w:val="0064368D"/>
    <w:rsid w:val="00643D58"/>
    <w:rsid w:val="00644E56"/>
    <w:rsid w:val="00644FFF"/>
    <w:rsid w:val="00645132"/>
    <w:rsid w:val="00645CAE"/>
    <w:rsid w:val="00645D80"/>
    <w:rsid w:val="00645E8D"/>
    <w:rsid w:val="00645F04"/>
    <w:rsid w:val="00646061"/>
    <w:rsid w:val="00647F68"/>
    <w:rsid w:val="00650014"/>
    <w:rsid w:val="00650043"/>
    <w:rsid w:val="00650DA9"/>
    <w:rsid w:val="0065101E"/>
    <w:rsid w:val="006516C3"/>
    <w:rsid w:val="00651A6C"/>
    <w:rsid w:val="00651BB9"/>
    <w:rsid w:val="00651CE7"/>
    <w:rsid w:val="00651E56"/>
    <w:rsid w:val="00652A6A"/>
    <w:rsid w:val="00652CF3"/>
    <w:rsid w:val="006534F2"/>
    <w:rsid w:val="00653CDF"/>
    <w:rsid w:val="0065403D"/>
    <w:rsid w:val="00654EBD"/>
    <w:rsid w:val="006552A0"/>
    <w:rsid w:val="00657468"/>
    <w:rsid w:val="00657D4F"/>
    <w:rsid w:val="00660773"/>
    <w:rsid w:val="00661127"/>
    <w:rsid w:val="006614E6"/>
    <w:rsid w:val="006616A2"/>
    <w:rsid w:val="0066223C"/>
    <w:rsid w:val="00662B40"/>
    <w:rsid w:val="00663576"/>
    <w:rsid w:val="00663918"/>
    <w:rsid w:val="006639E0"/>
    <w:rsid w:val="00664B74"/>
    <w:rsid w:val="00665894"/>
    <w:rsid w:val="00665CC5"/>
    <w:rsid w:val="00666F4D"/>
    <w:rsid w:val="0066704D"/>
    <w:rsid w:val="00667419"/>
    <w:rsid w:val="00670486"/>
    <w:rsid w:val="006704DE"/>
    <w:rsid w:val="0067071E"/>
    <w:rsid w:val="0067164F"/>
    <w:rsid w:val="00671A62"/>
    <w:rsid w:val="00671F51"/>
    <w:rsid w:val="00672245"/>
    <w:rsid w:val="00672440"/>
    <w:rsid w:val="0067254A"/>
    <w:rsid w:val="006733E7"/>
    <w:rsid w:val="00673E40"/>
    <w:rsid w:val="00673FB2"/>
    <w:rsid w:val="006744E3"/>
    <w:rsid w:val="006746AB"/>
    <w:rsid w:val="00675BBD"/>
    <w:rsid w:val="00675C6B"/>
    <w:rsid w:val="0067601F"/>
    <w:rsid w:val="0067699D"/>
    <w:rsid w:val="00676CEF"/>
    <w:rsid w:val="006777E3"/>
    <w:rsid w:val="00677A44"/>
    <w:rsid w:val="00677C03"/>
    <w:rsid w:val="00680064"/>
    <w:rsid w:val="006809DA"/>
    <w:rsid w:val="00680A79"/>
    <w:rsid w:val="006819C8"/>
    <w:rsid w:val="00681CB9"/>
    <w:rsid w:val="00681D17"/>
    <w:rsid w:val="00681EE0"/>
    <w:rsid w:val="00681FC0"/>
    <w:rsid w:val="006822D1"/>
    <w:rsid w:val="00682BB9"/>
    <w:rsid w:val="00682E40"/>
    <w:rsid w:val="00682F90"/>
    <w:rsid w:val="00683A61"/>
    <w:rsid w:val="00683D6E"/>
    <w:rsid w:val="00684916"/>
    <w:rsid w:val="0068494F"/>
    <w:rsid w:val="0068505B"/>
    <w:rsid w:val="0068552D"/>
    <w:rsid w:val="00685F68"/>
    <w:rsid w:val="0068671B"/>
    <w:rsid w:val="006871CE"/>
    <w:rsid w:val="006875C3"/>
    <w:rsid w:val="00690B9D"/>
    <w:rsid w:val="00690EF0"/>
    <w:rsid w:val="00691349"/>
    <w:rsid w:val="006913C3"/>
    <w:rsid w:val="006913FB"/>
    <w:rsid w:val="006927F4"/>
    <w:rsid w:val="006928CA"/>
    <w:rsid w:val="006933D7"/>
    <w:rsid w:val="006936FF"/>
    <w:rsid w:val="006937A0"/>
    <w:rsid w:val="00694130"/>
    <w:rsid w:val="006943E3"/>
    <w:rsid w:val="00694471"/>
    <w:rsid w:val="00694760"/>
    <w:rsid w:val="006949F5"/>
    <w:rsid w:val="00695D7C"/>
    <w:rsid w:val="00696186"/>
    <w:rsid w:val="006964C8"/>
    <w:rsid w:val="006967E9"/>
    <w:rsid w:val="006968EA"/>
    <w:rsid w:val="00697006"/>
    <w:rsid w:val="00697268"/>
    <w:rsid w:val="00697A44"/>
    <w:rsid w:val="006A0B96"/>
    <w:rsid w:val="006A0CAD"/>
    <w:rsid w:val="006A1EE3"/>
    <w:rsid w:val="006A3891"/>
    <w:rsid w:val="006A4053"/>
    <w:rsid w:val="006A45BA"/>
    <w:rsid w:val="006A54A5"/>
    <w:rsid w:val="006A570E"/>
    <w:rsid w:val="006A58D2"/>
    <w:rsid w:val="006A7004"/>
    <w:rsid w:val="006A729A"/>
    <w:rsid w:val="006A75AB"/>
    <w:rsid w:val="006A75BA"/>
    <w:rsid w:val="006B037D"/>
    <w:rsid w:val="006B10B9"/>
    <w:rsid w:val="006B2361"/>
    <w:rsid w:val="006B23F4"/>
    <w:rsid w:val="006B2E4F"/>
    <w:rsid w:val="006B3187"/>
    <w:rsid w:val="006B3718"/>
    <w:rsid w:val="006B3D51"/>
    <w:rsid w:val="006B4135"/>
    <w:rsid w:val="006B48C3"/>
    <w:rsid w:val="006B4BF0"/>
    <w:rsid w:val="006B4C8A"/>
    <w:rsid w:val="006B54FE"/>
    <w:rsid w:val="006B617A"/>
    <w:rsid w:val="006B625E"/>
    <w:rsid w:val="006B76F1"/>
    <w:rsid w:val="006B77B8"/>
    <w:rsid w:val="006B783D"/>
    <w:rsid w:val="006B78BB"/>
    <w:rsid w:val="006C0026"/>
    <w:rsid w:val="006C0304"/>
    <w:rsid w:val="006C0351"/>
    <w:rsid w:val="006C0380"/>
    <w:rsid w:val="006C0D20"/>
    <w:rsid w:val="006C0ED5"/>
    <w:rsid w:val="006C12DA"/>
    <w:rsid w:val="006C1451"/>
    <w:rsid w:val="006C2586"/>
    <w:rsid w:val="006C28DF"/>
    <w:rsid w:val="006C3825"/>
    <w:rsid w:val="006C394C"/>
    <w:rsid w:val="006C39C7"/>
    <w:rsid w:val="006C4401"/>
    <w:rsid w:val="006C496C"/>
    <w:rsid w:val="006C50E7"/>
    <w:rsid w:val="006C7170"/>
    <w:rsid w:val="006C76D4"/>
    <w:rsid w:val="006C7EB3"/>
    <w:rsid w:val="006D0009"/>
    <w:rsid w:val="006D0844"/>
    <w:rsid w:val="006D0C70"/>
    <w:rsid w:val="006D12D2"/>
    <w:rsid w:val="006D1BCA"/>
    <w:rsid w:val="006D1CF4"/>
    <w:rsid w:val="006D2114"/>
    <w:rsid w:val="006D253B"/>
    <w:rsid w:val="006D2695"/>
    <w:rsid w:val="006D31E7"/>
    <w:rsid w:val="006D3318"/>
    <w:rsid w:val="006D3331"/>
    <w:rsid w:val="006D341D"/>
    <w:rsid w:val="006D3644"/>
    <w:rsid w:val="006D37EA"/>
    <w:rsid w:val="006D3AAD"/>
    <w:rsid w:val="006D424B"/>
    <w:rsid w:val="006D4677"/>
    <w:rsid w:val="006D499E"/>
    <w:rsid w:val="006D59A7"/>
    <w:rsid w:val="006D5C28"/>
    <w:rsid w:val="006D66ED"/>
    <w:rsid w:val="006D6BBF"/>
    <w:rsid w:val="006D734D"/>
    <w:rsid w:val="006D748A"/>
    <w:rsid w:val="006D77EF"/>
    <w:rsid w:val="006D7A3B"/>
    <w:rsid w:val="006D7F43"/>
    <w:rsid w:val="006E00BA"/>
    <w:rsid w:val="006E095B"/>
    <w:rsid w:val="006E0B6D"/>
    <w:rsid w:val="006E1848"/>
    <w:rsid w:val="006E204D"/>
    <w:rsid w:val="006E2A38"/>
    <w:rsid w:val="006E2AB3"/>
    <w:rsid w:val="006E2D31"/>
    <w:rsid w:val="006E4112"/>
    <w:rsid w:val="006E4692"/>
    <w:rsid w:val="006E4F88"/>
    <w:rsid w:val="006E5382"/>
    <w:rsid w:val="006E5635"/>
    <w:rsid w:val="006E5787"/>
    <w:rsid w:val="006E6317"/>
    <w:rsid w:val="006E653F"/>
    <w:rsid w:val="006E67F8"/>
    <w:rsid w:val="006E6879"/>
    <w:rsid w:val="006E68E8"/>
    <w:rsid w:val="006E69E5"/>
    <w:rsid w:val="006E6CD9"/>
    <w:rsid w:val="006E6F7D"/>
    <w:rsid w:val="006E7698"/>
    <w:rsid w:val="006E7C24"/>
    <w:rsid w:val="006E7E3B"/>
    <w:rsid w:val="006F0C60"/>
    <w:rsid w:val="006F14F4"/>
    <w:rsid w:val="006F1B72"/>
    <w:rsid w:val="006F2191"/>
    <w:rsid w:val="006F231B"/>
    <w:rsid w:val="006F2822"/>
    <w:rsid w:val="006F2B27"/>
    <w:rsid w:val="006F44BE"/>
    <w:rsid w:val="006F4875"/>
    <w:rsid w:val="006F4C37"/>
    <w:rsid w:val="006F4F54"/>
    <w:rsid w:val="006F5CF7"/>
    <w:rsid w:val="006F5E8E"/>
    <w:rsid w:val="006F6649"/>
    <w:rsid w:val="006F6A11"/>
    <w:rsid w:val="006F6DE5"/>
    <w:rsid w:val="00700207"/>
    <w:rsid w:val="00700390"/>
    <w:rsid w:val="00700DE0"/>
    <w:rsid w:val="0070158D"/>
    <w:rsid w:val="007019D5"/>
    <w:rsid w:val="00701AC0"/>
    <w:rsid w:val="00701B52"/>
    <w:rsid w:val="00702083"/>
    <w:rsid w:val="00702372"/>
    <w:rsid w:val="0070263C"/>
    <w:rsid w:val="00702DCE"/>
    <w:rsid w:val="00702DF7"/>
    <w:rsid w:val="00703C11"/>
    <w:rsid w:val="00703CF8"/>
    <w:rsid w:val="00703D42"/>
    <w:rsid w:val="0070481D"/>
    <w:rsid w:val="00704E6C"/>
    <w:rsid w:val="00705013"/>
    <w:rsid w:val="007050A5"/>
    <w:rsid w:val="0070573A"/>
    <w:rsid w:val="00705751"/>
    <w:rsid w:val="007059D3"/>
    <w:rsid w:val="00705B33"/>
    <w:rsid w:val="00705E16"/>
    <w:rsid w:val="0070660B"/>
    <w:rsid w:val="00706725"/>
    <w:rsid w:val="00706A90"/>
    <w:rsid w:val="007071ED"/>
    <w:rsid w:val="00707336"/>
    <w:rsid w:val="00707343"/>
    <w:rsid w:val="00707BC4"/>
    <w:rsid w:val="007104C7"/>
    <w:rsid w:val="00710E4C"/>
    <w:rsid w:val="0071136C"/>
    <w:rsid w:val="00711530"/>
    <w:rsid w:val="00711A88"/>
    <w:rsid w:val="00711A8C"/>
    <w:rsid w:val="00711B8C"/>
    <w:rsid w:val="00711F20"/>
    <w:rsid w:val="0071244C"/>
    <w:rsid w:val="00712803"/>
    <w:rsid w:val="00712D17"/>
    <w:rsid w:val="0071379D"/>
    <w:rsid w:val="00714545"/>
    <w:rsid w:val="007146C6"/>
    <w:rsid w:val="00714E98"/>
    <w:rsid w:val="00715186"/>
    <w:rsid w:val="00715A6A"/>
    <w:rsid w:val="00716CF7"/>
    <w:rsid w:val="00716F38"/>
    <w:rsid w:val="0071716D"/>
    <w:rsid w:val="0072044C"/>
    <w:rsid w:val="0072189B"/>
    <w:rsid w:val="00722048"/>
    <w:rsid w:val="00722558"/>
    <w:rsid w:val="007228CC"/>
    <w:rsid w:val="00722AAD"/>
    <w:rsid w:val="007232E9"/>
    <w:rsid w:val="00723C0C"/>
    <w:rsid w:val="00723D77"/>
    <w:rsid w:val="00724095"/>
    <w:rsid w:val="007246CA"/>
    <w:rsid w:val="0072489E"/>
    <w:rsid w:val="007248F0"/>
    <w:rsid w:val="0072513C"/>
    <w:rsid w:val="00725AC6"/>
    <w:rsid w:val="00725FC2"/>
    <w:rsid w:val="00727D27"/>
    <w:rsid w:val="00730382"/>
    <w:rsid w:val="007340D7"/>
    <w:rsid w:val="0073476F"/>
    <w:rsid w:val="007363D7"/>
    <w:rsid w:val="00736463"/>
    <w:rsid w:val="00736668"/>
    <w:rsid w:val="007367AB"/>
    <w:rsid w:val="007367CC"/>
    <w:rsid w:val="00736CEA"/>
    <w:rsid w:val="00737156"/>
    <w:rsid w:val="00737580"/>
    <w:rsid w:val="00737D94"/>
    <w:rsid w:val="007403E9"/>
    <w:rsid w:val="00740C74"/>
    <w:rsid w:val="007417EB"/>
    <w:rsid w:val="00741CF5"/>
    <w:rsid w:val="00742D2D"/>
    <w:rsid w:val="00743099"/>
    <w:rsid w:val="007432B2"/>
    <w:rsid w:val="00743316"/>
    <w:rsid w:val="007436E5"/>
    <w:rsid w:val="00745CCE"/>
    <w:rsid w:val="00746949"/>
    <w:rsid w:val="00747939"/>
    <w:rsid w:val="0074793F"/>
    <w:rsid w:val="007504F3"/>
    <w:rsid w:val="00750B9E"/>
    <w:rsid w:val="007521F4"/>
    <w:rsid w:val="0075264E"/>
    <w:rsid w:val="0075282C"/>
    <w:rsid w:val="00752862"/>
    <w:rsid w:val="00752D9F"/>
    <w:rsid w:val="00752EB6"/>
    <w:rsid w:val="00753813"/>
    <w:rsid w:val="00753DB7"/>
    <w:rsid w:val="00754596"/>
    <w:rsid w:val="007548F2"/>
    <w:rsid w:val="00754948"/>
    <w:rsid w:val="00755E65"/>
    <w:rsid w:val="00755F94"/>
    <w:rsid w:val="0075634A"/>
    <w:rsid w:val="0075657F"/>
    <w:rsid w:val="00756AF4"/>
    <w:rsid w:val="00757547"/>
    <w:rsid w:val="0076026A"/>
    <w:rsid w:val="00760283"/>
    <w:rsid w:val="00762324"/>
    <w:rsid w:val="0076268D"/>
    <w:rsid w:val="007639FE"/>
    <w:rsid w:val="00763A0B"/>
    <w:rsid w:val="00763D06"/>
    <w:rsid w:val="007640FA"/>
    <w:rsid w:val="00764998"/>
    <w:rsid w:val="00765190"/>
    <w:rsid w:val="00765E62"/>
    <w:rsid w:val="0076625D"/>
    <w:rsid w:val="00766879"/>
    <w:rsid w:val="00766E41"/>
    <w:rsid w:val="00767661"/>
    <w:rsid w:val="00767F2D"/>
    <w:rsid w:val="00770D06"/>
    <w:rsid w:val="007710DA"/>
    <w:rsid w:val="0077221F"/>
    <w:rsid w:val="007724D7"/>
    <w:rsid w:val="00772677"/>
    <w:rsid w:val="007730E7"/>
    <w:rsid w:val="007733FC"/>
    <w:rsid w:val="00773F64"/>
    <w:rsid w:val="0077470F"/>
    <w:rsid w:val="00775596"/>
    <w:rsid w:val="00775872"/>
    <w:rsid w:val="007764E9"/>
    <w:rsid w:val="00776B01"/>
    <w:rsid w:val="00776CB9"/>
    <w:rsid w:val="007776FE"/>
    <w:rsid w:val="00777BF6"/>
    <w:rsid w:val="00780083"/>
    <w:rsid w:val="0078040B"/>
    <w:rsid w:val="00780543"/>
    <w:rsid w:val="007807BC"/>
    <w:rsid w:val="0078085C"/>
    <w:rsid w:val="00780CA6"/>
    <w:rsid w:val="00781025"/>
    <w:rsid w:val="00781447"/>
    <w:rsid w:val="0078224A"/>
    <w:rsid w:val="0078225F"/>
    <w:rsid w:val="00782989"/>
    <w:rsid w:val="007850DA"/>
    <w:rsid w:val="007859D3"/>
    <w:rsid w:val="00785C38"/>
    <w:rsid w:val="00786FC2"/>
    <w:rsid w:val="007871F0"/>
    <w:rsid w:val="00787919"/>
    <w:rsid w:val="00787E7F"/>
    <w:rsid w:val="00790178"/>
    <w:rsid w:val="0079025D"/>
    <w:rsid w:val="00790612"/>
    <w:rsid w:val="00791849"/>
    <w:rsid w:val="007918CD"/>
    <w:rsid w:val="00791BB7"/>
    <w:rsid w:val="00791BC9"/>
    <w:rsid w:val="00791C06"/>
    <w:rsid w:val="00791FCC"/>
    <w:rsid w:val="00792687"/>
    <w:rsid w:val="0079276B"/>
    <w:rsid w:val="00792BAC"/>
    <w:rsid w:val="00792DC3"/>
    <w:rsid w:val="00793D48"/>
    <w:rsid w:val="00793D92"/>
    <w:rsid w:val="00794339"/>
    <w:rsid w:val="007945E8"/>
    <w:rsid w:val="007946CB"/>
    <w:rsid w:val="0079471B"/>
    <w:rsid w:val="0079518C"/>
    <w:rsid w:val="007957E8"/>
    <w:rsid w:val="00795AAA"/>
    <w:rsid w:val="00795CF7"/>
    <w:rsid w:val="00795D97"/>
    <w:rsid w:val="00795E45"/>
    <w:rsid w:val="00796085"/>
    <w:rsid w:val="007961A0"/>
    <w:rsid w:val="00796335"/>
    <w:rsid w:val="00796B6C"/>
    <w:rsid w:val="007977C9"/>
    <w:rsid w:val="007A0434"/>
    <w:rsid w:val="007A083F"/>
    <w:rsid w:val="007A1405"/>
    <w:rsid w:val="007A2DF8"/>
    <w:rsid w:val="007A3048"/>
    <w:rsid w:val="007A37F7"/>
    <w:rsid w:val="007A3B66"/>
    <w:rsid w:val="007A426F"/>
    <w:rsid w:val="007A49DD"/>
    <w:rsid w:val="007A4C35"/>
    <w:rsid w:val="007A4DCA"/>
    <w:rsid w:val="007A5A77"/>
    <w:rsid w:val="007A5DB1"/>
    <w:rsid w:val="007A6812"/>
    <w:rsid w:val="007A6ECE"/>
    <w:rsid w:val="007A71EE"/>
    <w:rsid w:val="007A7401"/>
    <w:rsid w:val="007A7529"/>
    <w:rsid w:val="007A7713"/>
    <w:rsid w:val="007A778D"/>
    <w:rsid w:val="007A7F4C"/>
    <w:rsid w:val="007B03D6"/>
    <w:rsid w:val="007B047B"/>
    <w:rsid w:val="007B1477"/>
    <w:rsid w:val="007B1D9C"/>
    <w:rsid w:val="007B273C"/>
    <w:rsid w:val="007B2C2E"/>
    <w:rsid w:val="007B3789"/>
    <w:rsid w:val="007B38F3"/>
    <w:rsid w:val="007B3F20"/>
    <w:rsid w:val="007B440D"/>
    <w:rsid w:val="007B49CB"/>
    <w:rsid w:val="007B651D"/>
    <w:rsid w:val="007B654A"/>
    <w:rsid w:val="007B7135"/>
    <w:rsid w:val="007B76A2"/>
    <w:rsid w:val="007B7D36"/>
    <w:rsid w:val="007B7F5E"/>
    <w:rsid w:val="007C0760"/>
    <w:rsid w:val="007C0A7A"/>
    <w:rsid w:val="007C1B5E"/>
    <w:rsid w:val="007C1CDF"/>
    <w:rsid w:val="007C2DF8"/>
    <w:rsid w:val="007C36E8"/>
    <w:rsid w:val="007C3FD6"/>
    <w:rsid w:val="007C4622"/>
    <w:rsid w:val="007C490B"/>
    <w:rsid w:val="007C4C67"/>
    <w:rsid w:val="007C54A2"/>
    <w:rsid w:val="007C5651"/>
    <w:rsid w:val="007C56F9"/>
    <w:rsid w:val="007C5767"/>
    <w:rsid w:val="007C5FE8"/>
    <w:rsid w:val="007C6B3E"/>
    <w:rsid w:val="007C7FB1"/>
    <w:rsid w:val="007C7FB5"/>
    <w:rsid w:val="007D0832"/>
    <w:rsid w:val="007D0A81"/>
    <w:rsid w:val="007D12A6"/>
    <w:rsid w:val="007D17DD"/>
    <w:rsid w:val="007D1D53"/>
    <w:rsid w:val="007D2888"/>
    <w:rsid w:val="007D57AB"/>
    <w:rsid w:val="007D5989"/>
    <w:rsid w:val="007D65C4"/>
    <w:rsid w:val="007D6731"/>
    <w:rsid w:val="007D6E87"/>
    <w:rsid w:val="007D769F"/>
    <w:rsid w:val="007D7833"/>
    <w:rsid w:val="007D7EF7"/>
    <w:rsid w:val="007E0108"/>
    <w:rsid w:val="007E1679"/>
    <w:rsid w:val="007E199A"/>
    <w:rsid w:val="007E22C9"/>
    <w:rsid w:val="007E3653"/>
    <w:rsid w:val="007E3FEA"/>
    <w:rsid w:val="007E48CF"/>
    <w:rsid w:val="007E4B29"/>
    <w:rsid w:val="007E4E10"/>
    <w:rsid w:val="007E5507"/>
    <w:rsid w:val="007E5EA0"/>
    <w:rsid w:val="007E64DC"/>
    <w:rsid w:val="007E662D"/>
    <w:rsid w:val="007E7471"/>
    <w:rsid w:val="007F069B"/>
    <w:rsid w:val="007F0880"/>
    <w:rsid w:val="007F093C"/>
    <w:rsid w:val="007F0D38"/>
    <w:rsid w:val="007F1ABE"/>
    <w:rsid w:val="007F2028"/>
    <w:rsid w:val="007F394D"/>
    <w:rsid w:val="007F42B1"/>
    <w:rsid w:val="007F4B05"/>
    <w:rsid w:val="007F4CDB"/>
    <w:rsid w:val="007F4FB0"/>
    <w:rsid w:val="007F55D6"/>
    <w:rsid w:val="007F5BE3"/>
    <w:rsid w:val="007F664D"/>
    <w:rsid w:val="007F699F"/>
    <w:rsid w:val="007F6FCC"/>
    <w:rsid w:val="007F70E9"/>
    <w:rsid w:val="007F723B"/>
    <w:rsid w:val="007F7853"/>
    <w:rsid w:val="007F7C21"/>
    <w:rsid w:val="0080073E"/>
    <w:rsid w:val="008013A0"/>
    <w:rsid w:val="00801FE5"/>
    <w:rsid w:val="0080284F"/>
    <w:rsid w:val="00802B15"/>
    <w:rsid w:val="00804119"/>
    <w:rsid w:val="00804474"/>
    <w:rsid w:val="008056FF"/>
    <w:rsid w:val="00806114"/>
    <w:rsid w:val="0080699E"/>
    <w:rsid w:val="00807128"/>
    <w:rsid w:val="0080713B"/>
    <w:rsid w:val="00807D70"/>
    <w:rsid w:val="00807DA3"/>
    <w:rsid w:val="00810484"/>
    <w:rsid w:val="00810578"/>
    <w:rsid w:val="00811A31"/>
    <w:rsid w:val="0081225F"/>
    <w:rsid w:val="0081302C"/>
    <w:rsid w:val="00813772"/>
    <w:rsid w:val="00813EDC"/>
    <w:rsid w:val="00814346"/>
    <w:rsid w:val="008143CC"/>
    <w:rsid w:val="0081444E"/>
    <w:rsid w:val="00814529"/>
    <w:rsid w:val="00814B7F"/>
    <w:rsid w:val="00814F8C"/>
    <w:rsid w:val="0081502F"/>
    <w:rsid w:val="00816F72"/>
    <w:rsid w:val="00816FEF"/>
    <w:rsid w:val="008172CD"/>
    <w:rsid w:val="008172DD"/>
    <w:rsid w:val="008203D5"/>
    <w:rsid w:val="0082069F"/>
    <w:rsid w:val="008216E2"/>
    <w:rsid w:val="00821A33"/>
    <w:rsid w:val="00821C82"/>
    <w:rsid w:val="00821E10"/>
    <w:rsid w:val="00822ACE"/>
    <w:rsid w:val="00823135"/>
    <w:rsid w:val="00824768"/>
    <w:rsid w:val="00824C04"/>
    <w:rsid w:val="00824CF4"/>
    <w:rsid w:val="00825080"/>
    <w:rsid w:val="00825348"/>
    <w:rsid w:val="008254BE"/>
    <w:rsid w:val="00825D98"/>
    <w:rsid w:val="00826C39"/>
    <w:rsid w:val="00827B49"/>
    <w:rsid w:val="00827D73"/>
    <w:rsid w:val="00827DC6"/>
    <w:rsid w:val="00830255"/>
    <w:rsid w:val="008317E9"/>
    <w:rsid w:val="008317F7"/>
    <w:rsid w:val="00831D1A"/>
    <w:rsid w:val="0083210E"/>
    <w:rsid w:val="00832EA1"/>
    <w:rsid w:val="00833763"/>
    <w:rsid w:val="0083391C"/>
    <w:rsid w:val="00833971"/>
    <w:rsid w:val="0083406F"/>
    <w:rsid w:val="00834371"/>
    <w:rsid w:val="008346C0"/>
    <w:rsid w:val="00834E51"/>
    <w:rsid w:val="00835DA4"/>
    <w:rsid w:val="00836EB5"/>
    <w:rsid w:val="008376A4"/>
    <w:rsid w:val="00837EB9"/>
    <w:rsid w:val="0084035B"/>
    <w:rsid w:val="008407FD"/>
    <w:rsid w:val="00842366"/>
    <w:rsid w:val="0084256F"/>
    <w:rsid w:val="008429C7"/>
    <w:rsid w:val="00842F2E"/>
    <w:rsid w:val="0084300E"/>
    <w:rsid w:val="008430C6"/>
    <w:rsid w:val="008430D3"/>
    <w:rsid w:val="008438A5"/>
    <w:rsid w:val="00843E2C"/>
    <w:rsid w:val="008447E2"/>
    <w:rsid w:val="0084639A"/>
    <w:rsid w:val="00846579"/>
    <w:rsid w:val="0084726C"/>
    <w:rsid w:val="008472BD"/>
    <w:rsid w:val="00847487"/>
    <w:rsid w:val="00847856"/>
    <w:rsid w:val="00847952"/>
    <w:rsid w:val="008479E9"/>
    <w:rsid w:val="00847B6D"/>
    <w:rsid w:val="00847E13"/>
    <w:rsid w:val="00847E1E"/>
    <w:rsid w:val="00850506"/>
    <w:rsid w:val="008506D5"/>
    <w:rsid w:val="00850A2C"/>
    <w:rsid w:val="00850E03"/>
    <w:rsid w:val="00850FAC"/>
    <w:rsid w:val="00850FFD"/>
    <w:rsid w:val="00851405"/>
    <w:rsid w:val="00851B15"/>
    <w:rsid w:val="00851F7C"/>
    <w:rsid w:val="0085227A"/>
    <w:rsid w:val="008526D4"/>
    <w:rsid w:val="00852815"/>
    <w:rsid w:val="00852C51"/>
    <w:rsid w:val="00852DC6"/>
    <w:rsid w:val="008535D7"/>
    <w:rsid w:val="00854248"/>
    <w:rsid w:val="00854B34"/>
    <w:rsid w:val="008557A1"/>
    <w:rsid w:val="00857C22"/>
    <w:rsid w:val="00860048"/>
    <w:rsid w:val="00860168"/>
    <w:rsid w:val="008602B0"/>
    <w:rsid w:val="0086070E"/>
    <w:rsid w:val="00860772"/>
    <w:rsid w:val="00860D3E"/>
    <w:rsid w:val="00861AB8"/>
    <w:rsid w:val="00862982"/>
    <w:rsid w:val="0086373B"/>
    <w:rsid w:val="00863D3D"/>
    <w:rsid w:val="008644B4"/>
    <w:rsid w:val="0086493C"/>
    <w:rsid w:val="00864E24"/>
    <w:rsid w:val="00865994"/>
    <w:rsid w:val="00865E34"/>
    <w:rsid w:val="008662A3"/>
    <w:rsid w:val="0086660B"/>
    <w:rsid w:val="00866701"/>
    <w:rsid w:val="00867564"/>
    <w:rsid w:val="0086767F"/>
    <w:rsid w:val="00867CCC"/>
    <w:rsid w:val="00870046"/>
    <w:rsid w:val="0087029A"/>
    <w:rsid w:val="00870500"/>
    <w:rsid w:val="00870505"/>
    <w:rsid w:val="00870A07"/>
    <w:rsid w:val="00870B05"/>
    <w:rsid w:val="00870B33"/>
    <w:rsid w:val="0087122F"/>
    <w:rsid w:val="008720AB"/>
    <w:rsid w:val="00872D79"/>
    <w:rsid w:val="00872F0C"/>
    <w:rsid w:val="0087339D"/>
    <w:rsid w:val="0087380D"/>
    <w:rsid w:val="00873ED9"/>
    <w:rsid w:val="00873FAD"/>
    <w:rsid w:val="0087468A"/>
    <w:rsid w:val="00874CB5"/>
    <w:rsid w:val="008757D1"/>
    <w:rsid w:val="00875F2B"/>
    <w:rsid w:val="00876587"/>
    <w:rsid w:val="008769E0"/>
    <w:rsid w:val="0087703A"/>
    <w:rsid w:val="008771DE"/>
    <w:rsid w:val="008771F8"/>
    <w:rsid w:val="008772BC"/>
    <w:rsid w:val="0088066E"/>
    <w:rsid w:val="00880BA0"/>
    <w:rsid w:val="00880E72"/>
    <w:rsid w:val="00880F52"/>
    <w:rsid w:val="0088147E"/>
    <w:rsid w:val="00881642"/>
    <w:rsid w:val="00881BBC"/>
    <w:rsid w:val="00881BDB"/>
    <w:rsid w:val="00882557"/>
    <w:rsid w:val="00882FA3"/>
    <w:rsid w:val="008834CD"/>
    <w:rsid w:val="00883866"/>
    <w:rsid w:val="00883D61"/>
    <w:rsid w:val="0088439E"/>
    <w:rsid w:val="0088441B"/>
    <w:rsid w:val="0088597C"/>
    <w:rsid w:val="00886B41"/>
    <w:rsid w:val="00887302"/>
    <w:rsid w:val="0088737D"/>
    <w:rsid w:val="008875FD"/>
    <w:rsid w:val="00887DCB"/>
    <w:rsid w:val="008901EE"/>
    <w:rsid w:val="008907AE"/>
    <w:rsid w:val="008909AC"/>
    <w:rsid w:val="00890D13"/>
    <w:rsid w:val="00890D7C"/>
    <w:rsid w:val="00891210"/>
    <w:rsid w:val="00892AAA"/>
    <w:rsid w:val="00892C68"/>
    <w:rsid w:val="00892FC5"/>
    <w:rsid w:val="00893D44"/>
    <w:rsid w:val="008945E6"/>
    <w:rsid w:val="00894CE3"/>
    <w:rsid w:val="00895A93"/>
    <w:rsid w:val="0089687F"/>
    <w:rsid w:val="008978E7"/>
    <w:rsid w:val="00897E25"/>
    <w:rsid w:val="008A0537"/>
    <w:rsid w:val="008A1376"/>
    <w:rsid w:val="008A1A53"/>
    <w:rsid w:val="008A22A4"/>
    <w:rsid w:val="008A2922"/>
    <w:rsid w:val="008A29D7"/>
    <w:rsid w:val="008A3610"/>
    <w:rsid w:val="008A585A"/>
    <w:rsid w:val="008A5D2A"/>
    <w:rsid w:val="008A5DB4"/>
    <w:rsid w:val="008A5DD4"/>
    <w:rsid w:val="008A62B6"/>
    <w:rsid w:val="008A6314"/>
    <w:rsid w:val="008A6C23"/>
    <w:rsid w:val="008A6D8F"/>
    <w:rsid w:val="008A6DF2"/>
    <w:rsid w:val="008B0541"/>
    <w:rsid w:val="008B1513"/>
    <w:rsid w:val="008B1B98"/>
    <w:rsid w:val="008B1F81"/>
    <w:rsid w:val="008B1FB2"/>
    <w:rsid w:val="008B21BB"/>
    <w:rsid w:val="008B234A"/>
    <w:rsid w:val="008B237B"/>
    <w:rsid w:val="008B2D48"/>
    <w:rsid w:val="008B3212"/>
    <w:rsid w:val="008B3B5F"/>
    <w:rsid w:val="008B3C3A"/>
    <w:rsid w:val="008B3F75"/>
    <w:rsid w:val="008B59FF"/>
    <w:rsid w:val="008B6A12"/>
    <w:rsid w:val="008B7190"/>
    <w:rsid w:val="008B73F6"/>
    <w:rsid w:val="008B77D5"/>
    <w:rsid w:val="008B7993"/>
    <w:rsid w:val="008B7B85"/>
    <w:rsid w:val="008B7F70"/>
    <w:rsid w:val="008C040F"/>
    <w:rsid w:val="008C063C"/>
    <w:rsid w:val="008C0B60"/>
    <w:rsid w:val="008C105D"/>
    <w:rsid w:val="008C14DE"/>
    <w:rsid w:val="008C2638"/>
    <w:rsid w:val="008C3CA3"/>
    <w:rsid w:val="008C454A"/>
    <w:rsid w:val="008C4679"/>
    <w:rsid w:val="008C4E73"/>
    <w:rsid w:val="008C500E"/>
    <w:rsid w:val="008C525A"/>
    <w:rsid w:val="008C55DF"/>
    <w:rsid w:val="008C57B7"/>
    <w:rsid w:val="008C5966"/>
    <w:rsid w:val="008C6022"/>
    <w:rsid w:val="008C70AA"/>
    <w:rsid w:val="008C75DA"/>
    <w:rsid w:val="008C7D00"/>
    <w:rsid w:val="008D0228"/>
    <w:rsid w:val="008D18AA"/>
    <w:rsid w:val="008D1BAA"/>
    <w:rsid w:val="008D1FFD"/>
    <w:rsid w:val="008D2A70"/>
    <w:rsid w:val="008D2EB0"/>
    <w:rsid w:val="008D3444"/>
    <w:rsid w:val="008D3F21"/>
    <w:rsid w:val="008D43E0"/>
    <w:rsid w:val="008D4660"/>
    <w:rsid w:val="008D46B4"/>
    <w:rsid w:val="008D4732"/>
    <w:rsid w:val="008D4C2B"/>
    <w:rsid w:val="008D5C33"/>
    <w:rsid w:val="008D5E90"/>
    <w:rsid w:val="008D5E94"/>
    <w:rsid w:val="008D7367"/>
    <w:rsid w:val="008D75E2"/>
    <w:rsid w:val="008D79D4"/>
    <w:rsid w:val="008E083F"/>
    <w:rsid w:val="008E0DFD"/>
    <w:rsid w:val="008E0EF3"/>
    <w:rsid w:val="008E112F"/>
    <w:rsid w:val="008E169C"/>
    <w:rsid w:val="008E196E"/>
    <w:rsid w:val="008E1B82"/>
    <w:rsid w:val="008E1EF3"/>
    <w:rsid w:val="008E1F10"/>
    <w:rsid w:val="008E202B"/>
    <w:rsid w:val="008E2137"/>
    <w:rsid w:val="008E21DC"/>
    <w:rsid w:val="008E272D"/>
    <w:rsid w:val="008E27C6"/>
    <w:rsid w:val="008E2E44"/>
    <w:rsid w:val="008E3B15"/>
    <w:rsid w:val="008E3BFA"/>
    <w:rsid w:val="008E4025"/>
    <w:rsid w:val="008E439E"/>
    <w:rsid w:val="008E457F"/>
    <w:rsid w:val="008E4CC7"/>
    <w:rsid w:val="008E5816"/>
    <w:rsid w:val="008E5E05"/>
    <w:rsid w:val="008E6066"/>
    <w:rsid w:val="008E6555"/>
    <w:rsid w:val="008E65AC"/>
    <w:rsid w:val="008E6BBC"/>
    <w:rsid w:val="008E6BE7"/>
    <w:rsid w:val="008E6D5E"/>
    <w:rsid w:val="008E7992"/>
    <w:rsid w:val="008E7D36"/>
    <w:rsid w:val="008E7DDA"/>
    <w:rsid w:val="008F02EC"/>
    <w:rsid w:val="008F06AB"/>
    <w:rsid w:val="008F07C8"/>
    <w:rsid w:val="008F0C64"/>
    <w:rsid w:val="008F10B4"/>
    <w:rsid w:val="008F10FA"/>
    <w:rsid w:val="008F17AE"/>
    <w:rsid w:val="008F219F"/>
    <w:rsid w:val="008F23E5"/>
    <w:rsid w:val="008F38B0"/>
    <w:rsid w:val="008F3998"/>
    <w:rsid w:val="008F3B5D"/>
    <w:rsid w:val="008F43B6"/>
    <w:rsid w:val="008F4860"/>
    <w:rsid w:val="008F513A"/>
    <w:rsid w:val="008F6C40"/>
    <w:rsid w:val="008F6C5E"/>
    <w:rsid w:val="008F75C2"/>
    <w:rsid w:val="00900249"/>
    <w:rsid w:val="009002C7"/>
    <w:rsid w:val="0090081E"/>
    <w:rsid w:val="00901E7F"/>
    <w:rsid w:val="00903AF4"/>
    <w:rsid w:val="00903E84"/>
    <w:rsid w:val="0090449A"/>
    <w:rsid w:val="009044E0"/>
    <w:rsid w:val="00904A6C"/>
    <w:rsid w:val="009051A6"/>
    <w:rsid w:val="009059AF"/>
    <w:rsid w:val="00906D79"/>
    <w:rsid w:val="0090778A"/>
    <w:rsid w:val="0091035E"/>
    <w:rsid w:val="009104D1"/>
    <w:rsid w:val="00910E61"/>
    <w:rsid w:val="009115E6"/>
    <w:rsid w:val="00911698"/>
    <w:rsid w:val="009117B0"/>
    <w:rsid w:val="0091184A"/>
    <w:rsid w:val="00911EB7"/>
    <w:rsid w:val="00911F47"/>
    <w:rsid w:val="00911FBE"/>
    <w:rsid w:val="00912E50"/>
    <w:rsid w:val="00913495"/>
    <w:rsid w:val="0091356D"/>
    <w:rsid w:val="00914618"/>
    <w:rsid w:val="0091494E"/>
    <w:rsid w:val="00914D4D"/>
    <w:rsid w:val="00916D7C"/>
    <w:rsid w:val="00917CC2"/>
    <w:rsid w:val="00920F21"/>
    <w:rsid w:val="009216AF"/>
    <w:rsid w:val="00921942"/>
    <w:rsid w:val="0092254B"/>
    <w:rsid w:val="00922722"/>
    <w:rsid w:val="00922C86"/>
    <w:rsid w:val="00922F60"/>
    <w:rsid w:val="0092407C"/>
    <w:rsid w:val="009243E9"/>
    <w:rsid w:val="0092442E"/>
    <w:rsid w:val="00924465"/>
    <w:rsid w:val="0092508E"/>
    <w:rsid w:val="0092521A"/>
    <w:rsid w:val="009256E8"/>
    <w:rsid w:val="00925C91"/>
    <w:rsid w:val="0092655D"/>
    <w:rsid w:val="0092674A"/>
    <w:rsid w:val="00926F06"/>
    <w:rsid w:val="00927407"/>
    <w:rsid w:val="00927B94"/>
    <w:rsid w:val="0093129E"/>
    <w:rsid w:val="00931F7D"/>
    <w:rsid w:val="00931FAA"/>
    <w:rsid w:val="009320F1"/>
    <w:rsid w:val="00932C82"/>
    <w:rsid w:val="00932E37"/>
    <w:rsid w:val="00933769"/>
    <w:rsid w:val="00933B07"/>
    <w:rsid w:val="00933FEA"/>
    <w:rsid w:val="00934430"/>
    <w:rsid w:val="00934EB1"/>
    <w:rsid w:val="00935231"/>
    <w:rsid w:val="00935B24"/>
    <w:rsid w:val="00935CD2"/>
    <w:rsid w:val="00936A96"/>
    <w:rsid w:val="0094078E"/>
    <w:rsid w:val="00940C6B"/>
    <w:rsid w:val="00940FA4"/>
    <w:rsid w:val="009423E6"/>
    <w:rsid w:val="0094273F"/>
    <w:rsid w:val="00942955"/>
    <w:rsid w:val="00942D75"/>
    <w:rsid w:val="00943A84"/>
    <w:rsid w:val="00943D69"/>
    <w:rsid w:val="00944014"/>
    <w:rsid w:val="00944382"/>
    <w:rsid w:val="00945410"/>
    <w:rsid w:val="0094547D"/>
    <w:rsid w:val="00945827"/>
    <w:rsid w:val="00945D72"/>
    <w:rsid w:val="00950739"/>
    <w:rsid w:val="0095178A"/>
    <w:rsid w:val="00952306"/>
    <w:rsid w:val="00952B05"/>
    <w:rsid w:val="00954115"/>
    <w:rsid w:val="009546E1"/>
    <w:rsid w:val="00954D2B"/>
    <w:rsid w:val="00954EA5"/>
    <w:rsid w:val="00955229"/>
    <w:rsid w:val="009557B9"/>
    <w:rsid w:val="009558AC"/>
    <w:rsid w:val="00955C2F"/>
    <w:rsid w:val="00956BDB"/>
    <w:rsid w:val="00956C56"/>
    <w:rsid w:val="00956FEF"/>
    <w:rsid w:val="0095754A"/>
    <w:rsid w:val="00957B2D"/>
    <w:rsid w:val="00957C24"/>
    <w:rsid w:val="0096027C"/>
    <w:rsid w:val="00960A87"/>
    <w:rsid w:val="00961CC4"/>
    <w:rsid w:val="00962B7A"/>
    <w:rsid w:val="009635A8"/>
    <w:rsid w:val="00963754"/>
    <w:rsid w:val="0096376B"/>
    <w:rsid w:val="00963B72"/>
    <w:rsid w:val="00963E0F"/>
    <w:rsid w:val="009641BC"/>
    <w:rsid w:val="00966462"/>
    <w:rsid w:val="0096715B"/>
    <w:rsid w:val="00967BF4"/>
    <w:rsid w:val="00967E14"/>
    <w:rsid w:val="0097056E"/>
    <w:rsid w:val="00970AB4"/>
    <w:rsid w:val="00970AF9"/>
    <w:rsid w:val="00971AC3"/>
    <w:rsid w:val="00971BE2"/>
    <w:rsid w:val="00971C63"/>
    <w:rsid w:val="00971CC6"/>
    <w:rsid w:val="00972505"/>
    <w:rsid w:val="00972545"/>
    <w:rsid w:val="009726A1"/>
    <w:rsid w:val="00972B6D"/>
    <w:rsid w:val="0097504E"/>
    <w:rsid w:val="00975959"/>
    <w:rsid w:val="00975B99"/>
    <w:rsid w:val="00976AAC"/>
    <w:rsid w:val="00981019"/>
    <w:rsid w:val="0098126A"/>
    <w:rsid w:val="009815F8"/>
    <w:rsid w:val="009819F0"/>
    <w:rsid w:val="00981A90"/>
    <w:rsid w:val="009837C7"/>
    <w:rsid w:val="00984187"/>
    <w:rsid w:val="0098453F"/>
    <w:rsid w:val="00984575"/>
    <w:rsid w:val="00984A30"/>
    <w:rsid w:val="0098515B"/>
    <w:rsid w:val="009851E0"/>
    <w:rsid w:val="009864FF"/>
    <w:rsid w:val="00986FD8"/>
    <w:rsid w:val="00987204"/>
    <w:rsid w:val="009873C3"/>
    <w:rsid w:val="00990121"/>
    <w:rsid w:val="009904D9"/>
    <w:rsid w:val="00991D99"/>
    <w:rsid w:val="0099295D"/>
    <w:rsid w:val="00992F00"/>
    <w:rsid w:val="00992FF2"/>
    <w:rsid w:val="00994374"/>
    <w:rsid w:val="00994F35"/>
    <w:rsid w:val="00995C6D"/>
    <w:rsid w:val="00995FFF"/>
    <w:rsid w:val="009960C4"/>
    <w:rsid w:val="00996C44"/>
    <w:rsid w:val="00996D2F"/>
    <w:rsid w:val="009973C7"/>
    <w:rsid w:val="009A05C7"/>
    <w:rsid w:val="009A0768"/>
    <w:rsid w:val="009A0BA4"/>
    <w:rsid w:val="009A0CAF"/>
    <w:rsid w:val="009A0F27"/>
    <w:rsid w:val="009A1540"/>
    <w:rsid w:val="009A368E"/>
    <w:rsid w:val="009A3806"/>
    <w:rsid w:val="009A3A58"/>
    <w:rsid w:val="009A4D30"/>
    <w:rsid w:val="009A4FA9"/>
    <w:rsid w:val="009A5723"/>
    <w:rsid w:val="009A5903"/>
    <w:rsid w:val="009A5E72"/>
    <w:rsid w:val="009A6EBE"/>
    <w:rsid w:val="009A78D3"/>
    <w:rsid w:val="009A7EAC"/>
    <w:rsid w:val="009B05B3"/>
    <w:rsid w:val="009B0F0B"/>
    <w:rsid w:val="009B204F"/>
    <w:rsid w:val="009B2C0E"/>
    <w:rsid w:val="009B2EC0"/>
    <w:rsid w:val="009B3D56"/>
    <w:rsid w:val="009B47B3"/>
    <w:rsid w:val="009B48B5"/>
    <w:rsid w:val="009B50A9"/>
    <w:rsid w:val="009B5822"/>
    <w:rsid w:val="009B5C46"/>
    <w:rsid w:val="009B6D33"/>
    <w:rsid w:val="009B7C60"/>
    <w:rsid w:val="009C0447"/>
    <w:rsid w:val="009C0D1E"/>
    <w:rsid w:val="009C238D"/>
    <w:rsid w:val="009C250D"/>
    <w:rsid w:val="009C2CF5"/>
    <w:rsid w:val="009C351B"/>
    <w:rsid w:val="009C3647"/>
    <w:rsid w:val="009C3B2A"/>
    <w:rsid w:val="009C3D39"/>
    <w:rsid w:val="009C424C"/>
    <w:rsid w:val="009C4320"/>
    <w:rsid w:val="009C63C5"/>
    <w:rsid w:val="009C66DE"/>
    <w:rsid w:val="009C67C9"/>
    <w:rsid w:val="009C6BF0"/>
    <w:rsid w:val="009C6FE8"/>
    <w:rsid w:val="009C703E"/>
    <w:rsid w:val="009C79A9"/>
    <w:rsid w:val="009C7AF8"/>
    <w:rsid w:val="009D0294"/>
    <w:rsid w:val="009D046C"/>
    <w:rsid w:val="009D0894"/>
    <w:rsid w:val="009D0E19"/>
    <w:rsid w:val="009D1848"/>
    <w:rsid w:val="009D2CFC"/>
    <w:rsid w:val="009D3C19"/>
    <w:rsid w:val="009D462F"/>
    <w:rsid w:val="009D4666"/>
    <w:rsid w:val="009D48BA"/>
    <w:rsid w:val="009D4E9C"/>
    <w:rsid w:val="009D5B22"/>
    <w:rsid w:val="009D6B23"/>
    <w:rsid w:val="009D70DD"/>
    <w:rsid w:val="009D79F5"/>
    <w:rsid w:val="009E1846"/>
    <w:rsid w:val="009E1E93"/>
    <w:rsid w:val="009E2B08"/>
    <w:rsid w:val="009E2E54"/>
    <w:rsid w:val="009E3231"/>
    <w:rsid w:val="009E3910"/>
    <w:rsid w:val="009E3EEF"/>
    <w:rsid w:val="009E404B"/>
    <w:rsid w:val="009E4259"/>
    <w:rsid w:val="009E4A01"/>
    <w:rsid w:val="009E4C72"/>
    <w:rsid w:val="009E537C"/>
    <w:rsid w:val="009E6B93"/>
    <w:rsid w:val="009E6D34"/>
    <w:rsid w:val="009E7884"/>
    <w:rsid w:val="009F02DA"/>
    <w:rsid w:val="009F0E95"/>
    <w:rsid w:val="009F1299"/>
    <w:rsid w:val="009F186B"/>
    <w:rsid w:val="009F1C9B"/>
    <w:rsid w:val="009F25E6"/>
    <w:rsid w:val="009F32AB"/>
    <w:rsid w:val="009F3474"/>
    <w:rsid w:val="009F3963"/>
    <w:rsid w:val="009F4124"/>
    <w:rsid w:val="009F4CD0"/>
    <w:rsid w:val="009F566E"/>
    <w:rsid w:val="009F6272"/>
    <w:rsid w:val="009F7FF6"/>
    <w:rsid w:val="00A001B6"/>
    <w:rsid w:val="00A00362"/>
    <w:rsid w:val="00A00FDD"/>
    <w:rsid w:val="00A0115B"/>
    <w:rsid w:val="00A01D63"/>
    <w:rsid w:val="00A02135"/>
    <w:rsid w:val="00A02569"/>
    <w:rsid w:val="00A048AA"/>
    <w:rsid w:val="00A04B0C"/>
    <w:rsid w:val="00A06265"/>
    <w:rsid w:val="00A0658E"/>
    <w:rsid w:val="00A07359"/>
    <w:rsid w:val="00A105FD"/>
    <w:rsid w:val="00A1063B"/>
    <w:rsid w:val="00A10B2A"/>
    <w:rsid w:val="00A1147F"/>
    <w:rsid w:val="00A11A80"/>
    <w:rsid w:val="00A11D21"/>
    <w:rsid w:val="00A11D93"/>
    <w:rsid w:val="00A1378B"/>
    <w:rsid w:val="00A13B27"/>
    <w:rsid w:val="00A13BB5"/>
    <w:rsid w:val="00A13DC4"/>
    <w:rsid w:val="00A13DCF"/>
    <w:rsid w:val="00A13E42"/>
    <w:rsid w:val="00A13FC3"/>
    <w:rsid w:val="00A13FDC"/>
    <w:rsid w:val="00A14E4C"/>
    <w:rsid w:val="00A1593F"/>
    <w:rsid w:val="00A15EC2"/>
    <w:rsid w:val="00A162C1"/>
    <w:rsid w:val="00A1636E"/>
    <w:rsid w:val="00A1647A"/>
    <w:rsid w:val="00A164E5"/>
    <w:rsid w:val="00A17C2A"/>
    <w:rsid w:val="00A208E5"/>
    <w:rsid w:val="00A20EDF"/>
    <w:rsid w:val="00A21287"/>
    <w:rsid w:val="00A21294"/>
    <w:rsid w:val="00A21D6C"/>
    <w:rsid w:val="00A22275"/>
    <w:rsid w:val="00A22355"/>
    <w:rsid w:val="00A226A7"/>
    <w:rsid w:val="00A2318B"/>
    <w:rsid w:val="00A236F5"/>
    <w:rsid w:val="00A23A00"/>
    <w:rsid w:val="00A23BE9"/>
    <w:rsid w:val="00A23D3A"/>
    <w:rsid w:val="00A247EB"/>
    <w:rsid w:val="00A2483A"/>
    <w:rsid w:val="00A2490F"/>
    <w:rsid w:val="00A24BD4"/>
    <w:rsid w:val="00A252D7"/>
    <w:rsid w:val="00A263D7"/>
    <w:rsid w:val="00A265D6"/>
    <w:rsid w:val="00A2662C"/>
    <w:rsid w:val="00A268F0"/>
    <w:rsid w:val="00A26915"/>
    <w:rsid w:val="00A26BCA"/>
    <w:rsid w:val="00A303F6"/>
    <w:rsid w:val="00A30E61"/>
    <w:rsid w:val="00A30F13"/>
    <w:rsid w:val="00A3126D"/>
    <w:rsid w:val="00A313BD"/>
    <w:rsid w:val="00A31782"/>
    <w:rsid w:val="00A328FB"/>
    <w:rsid w:val="00A32910"/>
    <w:rsid w:val="00A32E02"/>
    <w:rsid w:val="00A34256"/>
    <w:rsid w:val="00A34259"/>
    <w:rsid w:val="00A34E1A"/>
    <w:rsid w:val="00A34FE2"/>
    <w:rsid w:val="00A357E5"/>
    <w:rsid w:val="00A35B5E"/>
    <w:rsid w:val="00A35EE1"/>
    <w:rsid w:val="00A36542"/>
    <w:rsid w:val="00A3774E"/>
    <w:rsid w:val="00A41CC0"/>
    <w:rsid w:val="00A428FA"/>
    <w:rsid w:val="00A42AD5"/>
    <w:rsid w:val="00A43638"/>
    <w:rsid w:val="00A43BEA"/>
    <w:rsid w:val="00A4418A"/>
    <w:rsid w:val="00A44746"/>
    <w:rsid w:val="00A447A8"/>
    <w:rsid w:val="00A44C19"/>
    <w:rsid w:val="00A4509F"/>
    <w:rsid w:val="00A454C4"/>
    <w:rsid w:val="00A45C24"/>
    <w:rsid w:val="00A45CBD"/>
    <w:rsid w:val="00A464E2"/>
    <w:rsid w:val="00A47930"/>
    <w:rsid w:val="00A50103"/>
    <w:rsid w:val="00A50582"/>
    <w:rsid w:val="00A50A25"/>
    <w:rsid w:val="00A510D7"/>
    <w:rsid w:val="00A55088"/>
    <w:rsid w:val="00A55096"/>
    <w:rsid w:val="00A555B3"/>
    <w:rsid w:val="00A55687"/>
    <w:rsid w:val="00A5583F"/>
    <w:rsid w:val="00A55A39"/>
    <w:rsid w:val="00A56E80"/>
    <w:rsid w:val="00A57736"/>
    <w:rsid w:val="00A577E3"/>
    <w:rsid w:val="00A57E96"/>
    <w:rsid w:val="00A57EE4"/>
    <w:rsid w:val="00A61343"/>
    <w:rsid w:val="00A61C4D"/>
    <w:rsid w:val="00A62355"/>
    <w:rsid w:val="00A62E0F"/>
    <w:rsid w:val="00A640D5"/>
    <w:rsid w:val="00A64224"/>
    <w:rsid w:val="00A642D7"/>
    <w:rsid w:val="00A643E2"/>
    <w:rsid w:val="00A651C1"/>
    <w:rsid w:val="00A656BB"/>
    <w:rsid w:val="00A65AF1"/>
    <w:rsid w:val="00A65B08"/>
    <w:rsid w:val="00A669DB"/>
    <w:rsid w:val="00A67914"/>
    <w:rsid w:val="00A71CC7"/>
    <w:rsid w:val="00A71FEE"/>
    <w:rsid w:val="00A7238A"/>
    <w:rsid w:val="00A7279C"/>
    <w:rsid w:val="00A73023"/>
    <w:rsid w:val="00A73D61"/>
    <w:rsid w:val="00A7421E"/>
    <w:rsid w:val="00A74FD5"/>
    <w:rsid w:val="00A75AFE"/>
    <w:rsid w:val="00A75F5F"/>
    <w:rsid w:val="00A772D4"/>
    <w:rsid w:val="00A77698"/>
    <w:rsid w:val="00A77A4A"/>
    <w:rsid w:val="00A77F29"/>
    <w:rsid w:val="00A80AAF"/>
    <w:rsid w:val="00A8128C"/>
    <w:rsid w:val="00A81A8E"/>
    <w:rsid w:val="00A81C2B"/>
    <w:rsid w:val="00A83282"/>
    <w:rsid w:val="00A83DC7"/>
    <w:rsid w:val="00A83FD8"/>
    <w:rsid w:val="00A83FEC"/>
    <w:rsid w:val="00A8438E"/>
    <w:rsid w:val="00A84A20"/>
    <w:rsid w:val="00A84F7A"/>
    <w:rsid w:val="00A852FE"/>
    <w:rsid w:val="00A86470"/>
    <w:rsid w:val="00A869E6"/>
    <w:rsid w:val="00A87036"/>
    <w:rsid w:val="00A872F0"/>
    <w:rsid w:val="00A87509"/>
    <w:rsid w:val="00A878F4"/>
    <w:rsid w:val="00A87E55"/>
    <w:rsid w:val="00A87F55"/>
    <w:rsid w:val="00A90367"/>
    <w:rsid w:val="00A903E4"/>
    <w:rsid w:val="00A91356"/>
    <w:rsid w:val="00A91B3E"/>
    <w:rsid w:val="00A920EA"/>
    <w:rsid w:val="00A92E0A"/>
    <w:rsid w:val="00A92EDA"/>
    <w:rsid w:val="00A931E7"/>
    <w:rsid w:val="00A93C97"/>
    <w:rsid w:val="00A9663D"/>
    <w:rsid w:val="00A96E0F"/>
    <w:rsid w:val="00A970E1"/>
    <w:rsid w:val="00A974C2"/>
    <w:rsid w:val="00AA0772"/>
    <w:rsid w:val="00AA08D4"/>
    <w:rsid w:val="00AA0B6D"/>
    <w:rsid w:val="00AA0DBC"/>
    <w:rsid w:val="00AA0E56"/>
    <w:rsid w:val="00AA0ED4"/>
    <w:rsid w:val="00AA0F74"/>
    <w:rsid w:val="00AA1189"/>
    <w:rsid w:val="00AA1476"/>
    <w:rsid w:val="00AA1AA2"/>
    <w:rsid w:val="00AA1EB9"/>
    <w:rsid w:val="00AA2486"/>
    <w:rsid w:val="00AA3241"/>
    <w:rsid w:val="00AA32B4"/>
    <w:rsid w:val="00AA43DB"/>
    <w:rsid w:val="00AA45D3"/>
    <w:rsid w:val="00AA476E"/>
    <w:rsid w:val="00AA4DCF"/>
    <w:rsid w:val="00AA5B6D"/>
    <w:rsid w:val="00AA5F68"/>
    <w:rsid w:val="00AA652C"/>
    <w:rsid w:val="00AA6832"/>
    <w:rsid w:val="00AA6E49"/>
    <w:rsid w:val="00AA7E19"/>
    <w:rsid w:val="00AB0350"/>
    <w:rsid w:val="00AB035A"/>
    <w:rsid w:val="00AB0898"/>
    <w:rsid w:val="00AB0C4A"/>
    <w:rsid w:val="00AB0EFE"/>
    <w:rsid w:val="00AB10A9"/>
    <w:rsid w:val="00AB1731"/>
    <w:rsid w:val="00AB176E"/>
    <w:rsid w:val="00AB21D9"/>
    <w:rsid w:val="00AB2491"/>
    <w:rsid w:val="00AB2D5B"/>
    <w:rsid w:val="00AB2F9D"/>
    <w:rsid w:val="00AB3F63"/>
    <w:rsid w:val="00AB41C5"/>
    <w:rsid w:val="00AB488C"/>
    <w:rsid w:val="00AB5467"/>
    <w:rsid w:val="00AB5D32"/>
    <w:rsid w:val="00AB6419"/>
    <w:rsid w:val="00AB7C7E"/>
    <w:rsid w:val="00AC0420"/>
    <w:rsid w:val="00AC0510"/>
    <w:rsid w:val="00AC1638"/>
    <w:rsid w:val="00AC174C"/>
    <w:rsid w:val="00AC1CF5"/>
    <w:rsid w:val="00AC293D"/>
    <w:rsid w:val="00AC2B5B"/>
    <w:rsid w:val="00AC465E"/>
    <w:rsid w:val="00AC4A47"/>
    <w:rsid w:val="00AC665A"/>
    <w:rsid w:val="00AC68A6"/>
    <w:rsid w:val="00AC7DD3"/>
    <w:rsid w:val="00AD00C9"/>
    <w:rsid w:val="00AD04AA"/>
    <w:rsid w:val="00AD09B5"/>
    <w:rsid w:val="00AD09F0"/>
    <w:rsid w:val="00AD18A4"/>
    <w:rsid w:val="00AD2C5F"/>
    <w:rsid w:val="00AD4A64"/>
    <w:rsid w:val="00AD5035"/>
    <w:rsid w:val="00AD5A41"/>
    <w:rsid w:val="00AD6CF6"/>
    <w:rsid w:val="00AD75B8"/>
    <w:rsid w:val="00AD7B6E"/>
    <w:rsid w:val="00AE0294"/>
    <w:rsid w:val="00AE02C9"/>
    <w:rsid w:val="00AE097F"/>
    <w:rsid w:val="00AE1F8C"/>
    <w:rsid w:val="00AE2893"/>
    <w:rsid w:val="00AE3137"/>
    <w:rsid w:val="00AE34EE"/>
    <w:rsid w:val="00AE3D2B"/>
    <w:rsid w:val="00AE4A27"/>
    <w:rsid w:val="00AE5047"/>
    <w:rsid w:val="00AE5247"/>
    <w:rsid w:val="00AE6122"/>
    <w:rsid w:val="00AE7364"/>
    <w:rsid w:val="00AF065B"/>
    <w:rsid w:val="00AF14ED"/>
    <w:rsid w:val="00AF181B"/>
    <w:rsid w:val="00AF18DB"/>
    <w:rsid w:val="00AF3083"/>
    <w:rsid w:val="00AF3FEB"/>
    <w:rsid w:val="00AF4582"/>
    <w:rsid w:val="00AF4BE6"/>
    <w:rsid w:val="00AF4D15"/>
    <w:rsid w:val="00AF53F9"/>
    <w:rsid w:val="00AF5529"/>
    <w:rsid w:val="00AF58B9"/>
    <w:rsid w:val="00AF58F9"/>
    <w:rsid w:val="00AF598C"/>
    <w:rsid w:val="00AF5A4B"/>
    <w:rsid w:val="00AF5C05"/>
    <w:rsid w:val="00AF603C"/>
    <w:rsid w:val="00AF64A8"/>
    <w:rsid w:val="00AF6706"/>
    <w:rsid w:val="00AF67C8"/>
    <w:rsid w:val="00AF6DFE"/>
    <w:rsid w:val="00AF7377"/>
    <w:rsid w:val="00AF7C97"/>
    <w:rsid w:val="00AF7DF0"/>
    <w:rsid w:val="00AF7F63"/>
    <w:rsid w:val="00B00B95"/>
    <w:rsid w:val="00B00CBE"/>
    <w:rsid w:val="00B00EE0"/>
    <w:rsid w:val="00B012D6"/>
    <w:rsid w:val="00B02097"/>
    <w:rsid w:val="00B020F5"/>
    <w:rsid w:val="00B0288A"/>
    <w:rsid w:val="00B0344E"/>
    <w:rsid w:val="00B0398F"/>
    <w:rsid w:val="00B03A73"/>
    <w:rsid w:val="00B0429F"/>
    <w:rsid w:val="00B050BC"/>
    <w:rsid w:val="00B0596A"/>
    <w:rsid w:val="00B05A82"/>
    <w:rsid w:val="00B05BA8"/>
    <w:rsid w:val="00B05F80"/>
    <w:rsid w:val="00B06430"/>
    <w:rsid w:val="00B06485"/>
    <w:rsid w:val="00B06AE8"/>
    <w:rsid w:val="00B06F71"/>
    <w:rsid w:val="00B07C92"/>
    <w:rsid w:val="00B10BCC"/>
    <w:rsid w:val="00B1180A"/>
    <w:rsid w:val="00B119A9"/>
    <w:rsid w:val="00B11E87"/>
    <w:rsid w:val="00B1277D"/>
    <w:rsid w:val="00B127F1"/>
    <w:rsid w:val="00B1398A"/>
    <w:rsid w:val="00B13BEC"/>
    <w:rsid w:val="00B1417D"/>
    <w:rsid w:val="00B1440A"/>
    <w:rsid w:val="00B1662E"/>
    <w:rsid w:val="00B170DE"/>
    <w:rsid w:val="00B1749D"/>
    <w:rsid w:val="00B17CEF"/>
    <w:rsid w:val="00B17F0D"/>
    <w:rsid w:val="00B2103D"/>
    <w:rsid w:val="00B2111F"/>
    <w:rsid w:val="00B21E4B"/>
    <w:rsid w:val="00B21EE1"/>
    <w:rsid w:val="00B21FF0"/>
    <w:rsid w:val="00B2244B"/>
    <w:rsid w:val="00B22B22"/>
    <w:rsid w:val="00B237AD"/>
    <w:rsid w:val="00B23C47"/>
    <w:rsid w:val="00B2402D"/>
    <w:rsid w:val="00B25023"/>
    <w:rsid w:val="00B25831"/>
    <w:rsid w:val="00B25DF7"/>
    <w:rsid w:val="00B26412"/>
    <w:rsid w:val="00B26446"/>
    <w:rsid w:val="00B2708A"/>
    <w:rsid w:val="00B27986"/>
    <w:rsid w:val="00B27B57"/>
    <w:rsid w:val="00B27E03"/>
    <w:rsid w:val="00B31223"/>
    <w:rsid w:val="00B313B6"/>
    <w:rsid w:val="00B319C9"/>
    <w:rsid w:val="00B32509"/>
    <w:rsid w:val="00B330A9"/>
    <w:rsid w:val="00B3489C"/>
    <w:rsid w:val="00B36DAC"/>
    <w:rsid w:val="00B36E22"/>
    <w:rsid w:val="00B36EB3"/>
    <w:rsid w:val="00B3763F"/>
    <w:rsid w:val="00B3776A"/>
    <w:rsid w:val="00B37F43"/>
    <w:rsid w:val="00B40B75"/>
    <w:rsid w:val="00B40C1B"/>
    <w:rsid w:val="00B412B1"/>
    <w:rsid w:val="00B41352"/>
    <w:rsid w:val="00B41EFC"/>
    <w:rsid w:val="00B420DC"/>
    <w:rsid w:val="00B42188"/>
    <w:rsid w:val="00B42742"/>
    <w:rsid w:val="00B42968"/>
    <w:rsid w:val="00B430BB"/>
    <w:rsid w:val="00B44585"/>
    <w:rsid w:val="00B44B76"/>
    <w:rsid w:val="00B44DE2"/>
    <w:rsid w:val="00B44FC0"/>
    <w:rsid w:val="00B465D8"/>
    <w:rsid w:val="00B4679B"/>
    <w:rsid w:val="00B47276"/>
    <w:rsid w:val="00B476AF"/>
    <w:rsid w:val="00B501C3"/>
    <w:rsid w:val="00B50B4C"/>
    <w:rsid w:val="00B518A1"/>
    <w:rsid w:val="00B52E1B"/>
    <w:rsid w:val="00B531B8"/>
    <w:rsid w:val="00B53338"/>
    <w:rsid w:val="00B53FFF"/>
    <w:rsid w:val="00B56006"/>
    <w:rsid w:val="00B5642D"/>
    <w:rsid w:val="00B5689D"/>
    <w:rsid w:val="00B56A1D"/>
    <w:rsid w:val="00B56A72"/>
    <w:rsid w:val="00B56DEB"/>
    <w:rsid w:val="00B5714D"/>
    <w:rsid w:val="00B573FA"/>
    <w:rsid w:val="00B600C1"/>
    <w:rsid w:val="00B60B60"/>
    <w:rsid w:val="00B60E36"/>
    <w:rsid w:val="00B60EAD"/>
    <w:rsid w:val="00B61487"/>
    <w:rsid w:val="00B61ADD"/>
    <w:rsid w:val="00B61C4B"/>
    <w:rsid w:val="00B62071"/>
    <w:rsid w:val="00B622D1"/>
    <w:rsid w:val="00B626CE"/>
    <w:rsid w:val="00B62DB5"/>
    <w:rsid w:val="00B62F98"/>
    <w:rsid w:val="00B63021"/>
    <w:rsid w:val="00B6304C"/>
    <w:rsid w:val="00B632D5"/>
    <w:rsid w:val="00B63B26"/>
    <w:rsid w:val="00B65E87"/>
    <w:rsid w:val="00B70436"/>
    <w:rsid w:val="00B71526"/>
    <w:rsid w:val="00B71CA3"/>
    <w:rsid w:val="00B71F88"/>
    <w:rsid w:val="00B72C90"/>
    <w:rsid w:val="00B72E5F"/>
    <w:rsid w:val="00B733F4"/>
    <w:rsid w:val="00B73402"/>
    <w:rsid w:val="00B73898"/>
    <w:rsid w:val="00B7397E"/>
    <w:rsid w:val="00B7577D"/>
    <w:rsid w:val="00B75AEE"/>
    <w:rsid w:val="00B7671D"/>
    <w:rsid w:val="00B768D9"/>
    <w:rsid w:val="00B76DAE"/>
    <w:rsid w:val="00B7729C"/>
    <w:rsid w:val="00B77625"/>
    <w:rsid w:val="00B7765C"/>
    <w:rsid w:val="00B7767F"/>
    <w:rsid w:val="00B77A90"/>
    <w:rsid w:val="00B77CDE"/>
    <w:rsid w:val="00B77CE8"/>
    <w:rsid w:val="00B8022D"/>
    <w:rsid w:val="00B81041"/>
    <w:rsid w:val="00B810F7"/>
    <w:rsid w:val="00B8145B"/>
    <w:rsid w:val="00B81485"/>
    <w:rsid w:val="00B81657"/>
    <w:rsid w:val="00B818E0"/>
    <w:rsid w:val="00B81AD7"/>
    <w:rsid w:val="00B8262F"/>
    <w:rsid w:val="00B8297D"/>
    <w:rsid w:val="00B831FA"/>
    <w:rsid w:val="00B84957"/>
    <w:rsid w:val="00B850E1"/>
    <w:rsid w:val="00B8577B"/>
    <w:rsid w:val="00B85910"/>
    <w:rsid w:val="00B85D60"/>
    <w:rsid w:val="00B86748"/>
    <w:rsid w:val="00B86965"/>
    <w:rsid w:val="00B86AD5"/>
    <w:rsid w:val="00B871AC"/>
    <w:rsid w:val="00B871F3"/>
    <w:rsid w:val="00B874DC"/>
    <w:rsid w:val="00B87DB8"/>
    <w:rsid w:val="00B900B3"/>
    <w:rsid w:val="00B9052A"/>
    <w:rsid w:val="00B905B3"/>
    <w:rsid w:val="00B905CE"/>
    <w:rsid w:val="00B90AE1"/>
    <w:rsid w:val="00B90B86"/>
    <w:rsid w:val="00B910B0"/>
    <w:rsid w:val="00B911F8"/>
    <w:rsid w:val="00B912F9"/>
    <w:rsid w:val="00B9138A"/>
    <w:rsid w:val="00B91C5C"/>
    <w:rsid w:val="00B91D78"/>
    <w:rsid w:val="00B920B4"/>
    <w:rsid w:val="00B92F77"/>
    <w:rsid w:val="00B92FF9"/>
    <w:rsid w:val="00B933CE"/>
    <w:rsid w:val="00B938AC"/>
    <w:rsid w:val="00B93A5F"/>
    <w:rsid w:val="00B94D28"/>
    <w:rsid w:val="00B950A2"/>
    <w:rsid w:val="00B9572C"/>
    <w:rsid w:val="00B96228"/>
    <w:rsid w:val="00B96905"/>
    <w:rsid w:val="00B96C29"/>
    <w:rsid w:val="00B972B6"/>
    <w:rsid w:val="00B972D0"/>
    <w:rsid w:val="00B9740C"/>
    <w:rsid w:val="00BA01F3"/>
    <w:rsid w:val="00BA0ED1"/>
    <w:rsid w:val="00BA12C0"/>
    <w:rsid w:val="00BA1795"/>
    <w:rsid w:val="00BA3301"/>
    <w:rsid w:val="00BA38E1"/>
    <w:rsid w:val="00BA3DAB"/>
    <w:rsid w:val="00BA40BC"/>
    <w:rsid w:val="00BA40FB"/>
    <w:rsid w:val="00BA4619"/>
    <w:rsid w:val="00BA4D8B"/>
    <w:rsid w:val="00BA5125"/>
    <w:rsid w:val="00BA5DD8"/>
    <w:rsid w:val="00BA628C"/>
    <w:rsid w:val="00BA6397"/>
    <w:rsid w:val="00BA7D90"/>
    <w:rsid w:val="00BA7F25"/>
    <w:rsid w:val="00BB0860"/>
    <w:rsid w:val="00BB09F8"/>
    <w:rsid w:val="00BB0CC8"/>
    <w:rsid w:val="00BB12ED"/>
    <w:rsid w:val="00BB1727"/>
    <w:rsid w:val="00BB180C"/>
    <w:rsid w:val="00BB1B8F"/>
    <w:rsid w:val="00BB1D4F"/>
    <w:rsid w:val="00BB234F"/>
    <w:rsid w:val="00BB23C3"/>
    <w:rsid w:val="00BB26F9"/>
    <w:rsid w:val="00BB2AB4"/>
    <w:rsid w:val="00BB3555"/>
    <w:rsid w:val="00BB3707"/>
    <w:rsid w:val="00BB3915"/>
    <w:rsid w:val="00BB3BED"/>
    <w:rsid w:val="00BB4267"/>
    <w:rsid w:val="00BB4B5E"/>
    <w:rsid w:val="00BB4DD7"/>
    <w:rsid w:val="00BB4F23"/>
    <w:rsid w:val="00BB5109"/>
    <w:rsid w:val="00BB5166"/>
    <w:rsid w:val="00BB6048"/>
    <w:rsid w:val="00BB6208"/>
    <w:rsid w:val="00BB6715"/>
    <w:rsid w:val="00BB69CA"/>
    <w:rsid w:val="00BB6D87"/>
    <w:rsid w:val="00BB72CA"/>
    <w:rsid w:val="00BB7E4F"/>
    <w:rsid w:val="00BC2708"/>
    <w:rsid w:val="00BC3049"/>
    <w:rsid w:val="00BC36DF"/>
    <w:rsid w:val="00BC3B84"/>
    <w:rsid w:val="00BC4157"/>
    <w:rsid w:val="00BC45B8"/>
    <w:rsid w:val="00BC5A35"/>
    <w:rsid w:val="00BC626F"/>
    <w:rsid w:val="00BC71DB"/>
    <w:rsid w:val="00BC7851"/>
    <w:rsid w:val="00BC7993"/>
    <w:rsid w:val="00BD0032"/>
    <w:rsid w:val="00BD02D9"/>
    <w:rsid w:val="00BD2284"/>
    <w:rsid w:val="00BD240E"/>
    <w:rsid w:val="00BD29FE"/>
    <w:rsid w:val="00BD3BE9"/>
    <w:rsid w:val="00BD4088"/>
    <w:rsid w:val="00BD413B"/>
    <w:rsid w:val="00BD6B92"/>
    <w:rsid w:val="00BD751C"/>
    <w:rsid w:val="00BD79E7"/>
    <w:rsid w:val="00BD7AC2"/>
    <w:rsid w:val="00BD7F77"/>
    <w:rsid w:val="00BE095B"/>
    <w:rsid w:val="00BE0E94"/>
    <w:rsid w:val="00BE0F79"/>
    <w:rsid w:val="00BE191B"/>
    <w:rsid w:val="00BE1B82"/>
    <w:rsid w:val="00BE1EEE"/>
    <w:rsid w:val="00BE2156"/>
    <w:rsid w:val="00BE2165"/>
    <w:rsid w:val="00BE2173"/>
    <w:rsid w:val="00BE272D"/>
    <w:rsid w:val="00BE40A0"/>
    <w:rsid w:val="00BE44CB"/>
    <w:rsid w:val="00BE4B94"/>
    <w:rsid w:val="00BE4C33"/>
    <w:rsid w:val="00BE4C99"/>
    <w:rsid w:val="00BE5055"/>
    <w:rsid w:val="00BE55AD"/>
    <w:rsid w:val="00BE56E0"/>
    <w:rsid w:val="00BE618B"/>
    <w:rsid w:val="00BE63AE"/>
    <w:rsid w:val="00BE65B1"/>
    <w:rsid w:val="00BE6F66"/>
    <w:rsid w:val="00BE71E6"/>
    <w:rsid w:val="00BE75DF"/>
    <w:rsid w:val="00BF0355"/>
    <w:rsid w:val="00BF0EB7"/>
    <w:rsid w:val="00BF1387"/>
    <w:rsid w:val="00BF1990"/>
    <w:rsid w:val="00BF2B01"/>
    <w:rsid w:val="00BF2E37"/>
    <w:rsid w:val="00BF4235"/>
    <w:rsid w:val="00BF476F"/>
    <w:rsid w:val="00BF4866"/>
    <w:rsid w:val="00BF49A8"/>
    <w:rsid w:val="00BF4B27"/>
    <w:rsid w:val="00BF5D19"/>
    <w:rsid w:val="00BF620D"/>
    <w:rsid w:val="00BF67ED"/>
    <w:rsid w:val="00BF6FCF"/>
    <w:rsid w:val="00BF744F"/>
    <w:rsid w:val="00BF751E"/>
    <w:rsid w:val="00BF7976"/>
    <w:rsid w:val="00BF7D4A"/>
    <w:rsid w:val="00C00478"/>
    <w:rsid w:val="00C0056F"/>
    <w:rsid w:val="00C006CB"/>
    <w:rsid w:val="00C009A2"/>
    <w:rsid w:val="00C00D3A"/>
    <w:rsid w:val="00C00E65"/>
    <w:rsid w:val="00C0149A"/>
    <w:rsid w:val="00C0162E"/>
    <w:rsid w:val="00C01921"/>
    <w:rsid w:val="00C01F52"/>
    <w:rsid w:val="00C0235C"/>
    <w:rsid w:val="00C024B4"/>
    <w:rsid w:val="00C0259E"/>
    <w:rsid w:val="00C03A90"/>
    <w:rsid w:val="00C05148"/>
    <w:rsid w:val="00C06501"/>
    <w:rsid w:val="00C0741C"/>
    <w:rsid w:val="00C0771E"/>
    <w:rsid w:val="00C0783D"/>
    <w:rsid w:val="00C07E13"/>
    <w:rsid w:val="00C11A19"/>
    <w:rsid w:val="00C11AC8"/>
    <w:rsid w:val="00C11BF6"/>
    <w:rsid w:val="00C120AF"/>
    <w:rsid w:val="00C12647"/>
    <w:rsid w:val="00C12E3A"/>
    <w:rsid w:val="00C1329E"/>
    <w:rsid w:val="00C14555"/>
    <w:rsid w:val="00C148B1"/>
    <w:rsid w:val="00C154E4"/>
    <w:rsid w:val="00C158A4"/>
    <w:rsid w:val="00C15DD8"/>
    <w:rsid w:val="00C16766"/>
    <w:rsid w:val="00C1685C"/>
    <w:rsid w:val="00C173C5"/>
    <w:rsid w:val="00C22128"/>
    <w:rsid w:val="00C22C0E"/>
    <w:rsid w:val="00C22C38"/>
    <w:rsid w:val="00C2345E"/>
    <w:rsid w:val="00C23982"/>
    <w:rsid w:val="00C23BDA"/>
    <w:rsid w:val="00C24120"/>
    <w:rsid w:val="00C2434C"/>
    <w:rsid w:val="00C24614"/>
    <w:rsid w:val="00C24665"/>
    <w:rsid w:val="00C24825"/>
    <w:rsid w:val="00C253F8"/>
    <w:rsid w:val="00C254DF"/>
    <w:rsid w:val="00C26A07"/>
    <w:rsid w:val="00C26DDF"/>
    <w:rsid w:val="00C27205"/>
    <w:rsid w:val="00C304A4"/>
    <w:rsid w:val="00C30641"/>
    <w:rsid w:val="00C3071E"/>
    <w:rsid w:val="00C30981"/>
    <w:rsid w:val="00C31056"/>
    <w:rsid w:val="00C31F3B"/>
    <w:rsid w:val="00C32052"/>
    <w:rsid w:val="00C32417"/>
    <w:rsid w:val="00C33790"/>
    <w:rsid w:val="00C34351"/>
    <w:rsid w:val="00C34E95"/>
    <w:rsid w:val="00C350CE"/>
    <w:rsid w:val="00C35517"/>
    <w:rsid w:val="00C35AA3"/>
    <w:rsid w:val="00C36507"/>
    <w:rsid w:val="00C370DF"/>
    <w:rsid w:val="00C37509"/>
    <w:rsid w:val="00C37597"/>
    <w:rsid w:val="00C37707"/>
    <w:rsid w:val="00C37B3A"/>
    <w:rsid w:val="00C4074D"/>
    <w:rsid w:val="00C40E08"/>
    <w:rsid w:val="00C414C0"/>
    <w:rsid w:val="00C41BC9"/>
    <w:rsid w:val="00C41F61"/>
    <w:rsid w:val="00C420F3"/>
    <w:rsid w:val="00C427F9"/>
    <w:rsid w:val="00C428DA"/>
    <w:rsid w:val="00C42FE9"/>
    <w:rsid w:val="00C439C3"/>
    <w:rsid w:val="00C43EFB"/>
    <w:rsid w:val="00C441D4"/>
    <w:rsid w:val="00C442E3"/>
    <w:rsid w:val="00C45DED"/>
    <w:rsid w:val="00C464CF"/>
    <w:rsid w:val="00C46D89"/>
    <w:rsid w:val="00C4733A"/>
    <w:rsid w:val="00C50050"/>
    <w:rsid w:val="00C5091D"/>
    <w:rsid w:val="00C509D3"/>
    <w:rsid w:val="00C50A41"/>
    <w:rsid w:val="00C518CB"/>
    <w:rsid w:val="00C51AE3"/>
    <w:rsid w:val="00C52DA0"/>
    <w:rsid w:val="00C53138"/>
    <w:rsid w:val="00C53668"/>
    <w:rsid w:val="00C53E67"/>
    <w:rsid w:val="00C54C4D"/>
    <w:rsid w:val="00C56599"/>
    <w:rsid w:val="00C565F3"/>
    <w:rsid w:val="00C566E3"/>
    <w:rsid w:val="00C56741"/>
    <w:rsid w:val="00C568F0"/>
    <w:rsid w:val="00C56CC4"/>
    <w:rsid w:val="00C57293"/>
    <w:rsid w:val="00C574C1"/>
    <w:rsid w:val="00C57FB2"/>
    <w:rsid w:val="00C604BE"/>
    <w:rsid w:val="00C60C49"/>
    <w:rsid w:val="00C6204D"/>
    <w:rsid w:val="00C620FF"/>
    <w:rsid w:val="00C62E98"/>
    <w:rsid w:val="00C62EDE"/>
    <w:rsid w:val="00C63A86"/>
    <w:rsid w:val="00C64CBA"/>
    <w:rsid w:val="00C64D79"/>
    <w:rsid w:val="00C651BD"/>
    <w:rsid w:val="00C65CD4"/>
    <w:rsid w:val="00C65E25"/>
    <w:rsid w:val="00C663FA"/>
    <w:rsid w:val="00C67377"/>
    <w:rsid w:val="00C675C9"/>
    <w:rsid w:val="00C704A7"/>
    <w:rsid w:val="00C70D4E"/>
    <w:rsid w:val="00C718C5"/>
    <w:rsid w:val="00C71C3F"/>
    <w:rsid w:val="00C71EBE"/>
    <w:rsid w:val="00C72B71"/>
    <w:rsid w:val="00C7303B"/>
    <w:rsid w:val="00C7327F"/>
    <w:rsid w:val="00C74456"/>
    <w:rsid w:val="00C7509B"/>
    <w:rsid w:val="00C75173"/>
    <w:rsid w:val="00C75512"/>
    <w:rsid w:val="00C75B27"/>
    <w:rsid w:val="00C75C3F"/>
    <w:rsid w:val="00C767BF"/>
    <w:rsid w:val="00C7747E"/>
    <w:rsid w:val="00C80201"/>
    <w:rsid w:val="00C80446"/>
    <w:rsid w:val="00C80A84"/>
    <w:rsid w:val="00C80DC7"/>
    <w:rsid w:val="00C8173C"/>
    <w:rsid w:val="00C83274"/>
    <w:rsid w:val="00C840B4"/>
    <w:rsid w:val="00C84627"/>
    <w:rsid w:val="00C84850"/>
    <w:rsid w:val="00C8500A"/>
    <w:rsid w:val="00C85020"/>
    <w:rsid w:val="00C85F06"/>
    <w:rsid w:val="00C86013"/>
    <w:rsid w:val="00C86420"/>
    <w:rsid w:val="00C86460"/>
    <w:rsid w:val="00C87100"/>
    <w:rsid w:val="00C87B43"/>
    <w:rsid w:val="00C87E37"/>
    <w:rsid w:val="00C91667"/>
    <w:rsid w:val="00C91C7D"/>
    <w:rsid w:val="00C922BD"/>
    <w:rsid w:val="00C923B7"/>
    <w:rsid w:val="00C92682"/>
    <w:rsid w:val="00C935CE"/>
    <w:rsid w:val="00C9381A"/>
    <w:rsid w:val="00C94046"/>
    <w:rsid w:val="00C94250"/>
    <w:rsid w:val="00C945B5"/>
    <w:rsid w:val="00C945BC"/>
    <w:rsid w:val="00C94D88"/>
    <w:rsid w:val="00C94DF7"/>
    <w:rsid w:val="00C96127"/>
    <w:rsid w:val="00C96910"/>
    <w:rsid w:val="00C97AF7"/>
    <w:rsid w:val="00C97D41"/>
    <w:rsid w:val="00CA0323"/>
    <w:rsid w:val="00CA0809"/>
    <w:rsid w:val="00CA0835"/>
    <w:rsid w:val="00CA106E"/>
    <w:rsid w:val="00CA1B5D"/>
    <w:rsid w:val="00CA279A"/>
    <w:rsid w:val="00CA27C6"/>
    <w:rsid w:val="00CA2D13"/>
    <w:rsid w:val="00CA3ABE"/>
    <w:rsid w:val="00CA3D7D"/>
    <w:rsid w:val="00CA4B91"/>
    <w:rsid w:val="00CA4BE5"/>
    <w:rsid w:val="00CA553F"/>
    <w:rsid w:val="00CA5634"/>
    <w:rsid w:val="00CA5851"/>
    <w:rsid w:val="00CA5E2F"/>
    <w:rsid w:val="00CA6CE3"/>
    <w:rsid w:val="00CA77E8"/>
    <w:rsid w:val="00CA7B8B"/>
    <w:rsid w:val="00CA7DCB"/>
    <w:rsid w:val="00CB2432"/>
    <w:rsid w:val="00CB3C45"/>
    <w:rsid w:val="00CB43A9"/>
    <w:rsid w:val="00CB4AD6"/>
    <w:rsid w:val="00CB4F6C"/>
    <w:rsid w:val="00CB57C2"/>
    <w:rsid w:val="00CB5AE5"/>
    <w:rsid w:val="00CB6968"/>
    <w:rsid w:val="00CB7BF2"/>
    <w:rsid w:val="00CC0072"/>
    <w:rsid w:val="00CC0F34"/>
    <w:rsid w:val="00CC1476"/>
    <w:rsid w:val="00CC1964"/>
    <w:rsid w:val="00CC1E89"/>
    <w:rsid w:val="00CC1F8B"/>
    <w:rsid w:val="00CC2327"/>
    <w:rsid w:val="00CC2AE1"/>
    <w:rsid w:val="00CC3205"/>
    <w:rsid w:val="00CC3880"/>
    <w:rsid w:val="00CC4077"/>
    <w:rsid w:val="00CC444F"/>
    <w:rsid w:val="00CC554F"/>
    <w:rsid w:val="00CC5633"/>
    <w:rsid w:val="00CC5ED2"/>
    <w:rsid w:val="00CC62B4"/>
    <w:rsid w:val="00CC6374"/>
    <w:rsid w:val="00CC6645"/>
    <w:rsid w:val="00CC68FA"/>
    <w:rsid w:val="00CC6CB7"/>
    <w:rsid w:val="00CC6D25"/>
    <w:rsid w:val="00CD077D"/>
    <w:rsid w:val="00CD07BA"/>
    <w:rsid w:val="00CD134F"/>
    <w:rsid w:val="00CD1433"/>
    <w:rsid w:val="00CD1E8D"/>
    <w:rsid w:val="00CD260F"/>
    <w:rsid w:val="00CD3619"/>
    <w:rsid w:val="00CD4148"/>
    <w:rsid w:val="00CD42EC"/>
    <w:rsid w:val="00CD5FC1"/>
    <w:rsid w:val="00CD663F"/>
    <w:rsid w:val="00CE03D0"/>
    <w:rsid w:val="00CE1795"/>
    <w:rsid w:val="00CE18B4"/>
    <w:rsid w:val="00CE18D3"/>
    <w:rsid w:val="00CE1E98"/>
    <w:rsid w:val="00CE31C1"/>
    <w:rsid w:val="00CE362A"/>
    <w:rsid w:val="00CE4290"/>
    <w:rsid w:val="00CE446E"/>
    <w:rsid w:val="00CE4ED5"/>
    <w:rsid w:val="00CE5F98"/>
    <w:rsid w:val="00CE6178"/>
    <w:rsid w:val="00CE623C"/>
    <w:rsid w:val="00CE6BD5"/>
    <w:rsid w:val="00CE6D28"/>
    <w:rsid w:val="00CE73C2"/>
    <w:rsid w:val="00CE7CC6"/>
    <w:rsid w:val="00CE7E53"/>
    <w:rsid w:val="00CF0415"/>
    <w:rsid w:val="00CF0B68"/>
    <w:rsid w:val="00CF214D"/>
    <w:rsid w:val="00CF2884"/>
    <w:rsid w:val="00CF37CE"/>
    <w:rsid w:val="00CF419B"/>
    <w:rsid w:val="00CF41A4"/>
    <w:rsid w:val="00CF4AE9"/>
    <w:rsid w:val="00CF5584"/>
    <w:rsid w:val="00CF5BE2"/>
    <w:rsid w:val="00CF61F3"/>
    <w:rsid w:val="00CF64DA"/>
    <w:rsid w:val="00CF6502"/>
    <w:rsid w:val="00CF709A"/>
    <w:rsid w:val="00D0015E"/>
    <w:rsid w:val="00D003A5"/>
    <w:rsid w:val="00D0053A"/>
    <w:rsid w:val="00D0091C"/>
    <w:rsid w:val="00D00F1A"/>
    <w:rsid w:val="00D0101A"/>
    <w:rsid w:val="00D016AD"/>
    <w:rsid w:val="00D0395E"/>
    <w:rsid w:val="00D04835"/>
    <w:rsid w:val="00D04A2A"/>
    <w:rsid w:val="00D04C2C"/>
    <w:rsid w:val="00D05093"/>
    <w:rsid w:val="00D059F9"/>
    <w:rsid w:val="00D05FC0"/>
    <w:rsid w:val="00D075A6"/>
    <w:rsid w:val="00D07B24"/>
    <w:rsid w:val="00D07E14"/>
    <w:rsid w:val="00D1154D"/>
    <w:rsid w:val="00D11F55"/>
    <w:rsid w:val="00D12013"/>
    <w:rsid w:val="00D120D9"/>
    <w:rsid w:val="00D127B8"/>
    <w:rsid w:val="00D12ECB"/>
    <w:rsid w:val="00D130FA"/>
    <w:rsid w:val="00D13751"/>
    <w:rsid w:val="00D13819"/>
    <w:rsid w:val="00D13A4A"/>
    <w:rsid w:val="00D142B9"/>
    <w:rsid w:val="00D146DB"/>
    <w:rsid w:val="00D14ECD"/>
    <w:rsid w:val="00D166E3"/>
    <w:rsid w:val="00D16A60"/>
    <w:rsid w:val="00D1782A"/>
    <w:rsid w:val="00D2014E"/>
    <w:rsid w:val="00D20476"/>
    <w:rsid w:val="00D20819"/>
    <w:rsid w:val="00D21587"/>
    <w:rsid w:val="00D2172A"/>
    <w:rsid w:val="00D2263A"/>
    <w:rsid w:val="00D2271A"/>
    <w:rsid w:val="00D23641"/>
    <w:rsid w:val="00D2391D"/>
    <w:rsid w:val="00D24024"/>
    <w:rsid w:val="00D253A4"/>
    <w:rsid w:val="00D2560E"/>
    <w:rsid w:val="00D259E2"/>
    <w:rsid w:val="00D25FEA"/>
    <w:rsid w:val="00D261D6"/>
    <w:rsid w:val="00D263E3"/>
    <w:rsid w:val="00D265F5"/>
    <w:rsid w:val="00D26F54"/>
    <w:rsid w:val="00D30D7D"/>
    <w:rsid w:val="00D31146"/>
    <w:rsid w:val="00D314BB"/>
    <w:rsid w:val="00D317C8"/>
    <w:rsid w:val="00D31B91"/>
    <w:rsid w:val="00D322F5"/>
    <w:rsid w:val="00D335CA"/>
    <w:rsid w:val="00D34BA8"/>
    <w:rsid w:val="00D351AB"/>
    <w:rsid w:val="00D351E1"/>
    <w:rsid w:val="00D35435"/>
    <w:rsid w:val="00D35BBE"/>
    <w:rsid w:val="00D36579"/>
    <w:rsid w:val="00D36F61"/>
    <w:rsid w:val="00D37962"/>
    <w:rsid w:val="00D40CDE"/>
    <w:rsid w:val="00D41AD0"/>
    <w:rsid w:val="00D41B32"/>
    <w:rsid w:val="00D41D6C"/>
    <w:rsid w:val="00D41F35"/>
    <w:rsid w:val="00D42F2A"/>
    <w:rsid w:val="00D43B14"/>
    <w:rsid w:val="00D45A9A"/>
    <w:rsid w:val="00D45E1B"/>
    <w:rsid w:val="00D45EDB"/>
    <w:rsid w:val="00D4620A"/>
    <w:rsid w:val="00D46E50"/>
    <w:rsid w:val="00D46EC6"/>
    <w:rsid w:val="00D472E9"/>
    <w:rsid w:val="00D50A8D"/>
    <w:rsid w:val="00D50C11"/>
    <w:rsid w:val="00D50C99"/>
    <w:rsid w:val="00D5121D"/>
    <w:rsid w:val="00D51D56"/>
    <w:rsid w:val="00D5241C"/>
    <w:rsid w:val="00D52C62"/>
    <w:rsid w:val="00D52F29"/>
    <w:rsid w:val="00D535B1"/>
    <w:rsid w:val="00D54F91"/>
    <w:rsid w:val="00D55611"/>
    <w:rsid w:val="00D55B12"/>
    <w:rsid w:val="00D56D11"/>
    <w:rsid w:val="00D570C8"/>
    <w:rsid w:val="00D572CA"/>
    <w:rsid w:val="00D575C2"/>
    <w:rsid w:val="00D57D15"/>
    <w:rsid w:val="00D57FF9"/>
    <w:rsid w:val="00D601E2"/>
    <w:rsid w:val="00D60B38"/>
    <w:rsid w:val="00D60E74"/>
    <w:rsid w:val="00D612F7"/>
    <w:rsid w:val="00D618AD"/>
    <w:rsid w:val="00D61F13"/>
    <w:rsid w:val="00D627BA"/>
    <w:rsid w:val="00D63B64"/>
    <w:rsid w:val="00D63BA2"/>
    <w:rsid w:val="00D643CE"/>
    <w:rsid w:val="00D64792"/>
    <w:rsid w:val="00D6565A"/>
    <w:rsid w:val="00D65994"/>
    <w:rsid w:val="00D65BED"/>
    <w:rsid w:val="00D65C1F"/>
    <w:rsid w:val="00D6622C"/>
    <w:rsid w:val="00D66269"/>
    <w:rsid w:val="00D66760"/>
    <w:rsid w:val="00D676D0"/>
    <w:rsid w:val="00D679B5"/>
    <w:rsid w:val="00D70C96"/>
    <w:rsid w:val="00D715AF"/>
    <w:rsid w:val="00D715E7"/>
    <w:rsid w:val="00D719DE"/>
    <w:rsid w:val="00D71C66"/>
    <w:rsid w:val="00D72D2B"/>
    <w:rsid w:val="00D74311"/>
    <w:rsid w:val="00D7452C"/>
    <w:rsid w:val="00D74893"/>
    <w:rsid w:val="00D74A23"/>
    <w:rsid w:val="00D74F11"/>
    <w:rsid w:val="00D761CB"/>
    <w:rsid w:val="00D76A78"/>
    <w:rsid w:val="00D779A1"/>
    <w:rsid w:val="00D8124D"/>
    <w:rsid w:val="00D8132F"/>
    <w:rsid w:val="00D81A11"/>
    <w:rsid w:val="00D8284F"/>
    <w:rsid w:val="00D828E6"/>
    <w:rsid w:val="00D82CA2"/>
    <w:rsid w:val="00D82CA8"/>
    <w:rsid w:val="00D82E5B"/>
    <w:rsid w:val="00D83632"/>
    <w:rsid w:val="00D83E0F"/>
    <w:rsid w:val="00D842DA"/>
    <w:rsid w:val="00D84794"/>
    <w:rsid w:val="00D84981"/>
    <w:rsid w:val="00D85083"/>
    <w:rsid w:val="00D8553A"/>
    <w:rsid w:val="00D8576F"/>
    <w:rsid w:val="00D8751E"/>
    <w:rsid w:val="00D904A9"/>
    <w:rsid w:val="00D90A90"/>
    <w:rsid w:val="00D9182B"/>
    <w:rsid w:val="00D922C9"/>
    <w:rsid w:val="00D92F90"/>
    <w:rsid w:val="00D9317C"/>
    <w:rsid w:val="00D935EF"/>
    <w:rsid w:val="00D9398A"/>
    <w:rsid w:val="00D93C66"/>
    <w:rsid w:val="00D93D55"/>
    <w:rsid w:val="00D93D5F"/>
    <w:rsid w:val="00D9466F"/>
    <w:rsid w:val="00D9506A"/>
    <w:rsid w:val="00D953FE"/>
    <w:rsid w:val="00D957AD"/>
    <w:rsid w:val="00D95EE9"/>
    <w:rsid w:val="00D96E6C"/>
    <w:rsid w:val="00D97429"/>
    <w:rsid w:val="00D97CA6"/>
    <w:rsid w:val="00DA1BC7"/>
    <w:rsid w:val="00DA209F"/>
    <w:rsid w:val="00DA251F"/>
    <w:rsid w:val="00DA25FA"/>
    <w:rsid w:val="00DA28BE"/>
    <w:rsid w:val="00DA2A65"/>
    <w:rsid w:val="00DA486C"/>
    <w:rsid w:val="00DA52C9"/>
    <w:rsid w:val="00DA562D"/>
    <w:rsid w:val="00DA6082"/>
    <w:rsid w:val="00DA6790"/>
    <w:rsid w:val="00DA69C1"/>
    <w:rsid w:val="00DA7E33"/>
    <w:rsid w:val="00DA7EA3"/>
    <w:rsid w:val="00DB005E"/>
    <w:rsid w:val="00DB0759"/>
    <w:rsid w:val="00DB08A8"/>
    <w:rsid w:val="00DB08D4"/>
    <w:rsid w:val="00DB2343"/>
    <w:rsid w:val="00DB2499"/>
    <w:rsid w:val="00DB2BA0"/>
    <w:rsid w:val="00DB3511"/>
    <w:rsid w:val="00DB4BD3"/>
    <w:rsid w:val="00DB4C1F"/>
    <w:rsid w:val="00DB4D6A"/>
    <w:rsid w:val="00DB5113"/>
    <w:rsid w:val="00DB5223"/>
    <w:rsid w:val="00DB5323"/>
    <w:rsid w:val="00DB5CB6"/>
    <w:rsid w:val="00DB6376"/>
    <w:rsid w:val="00DB674E"/>
    <w:rsid w:val="00DB7048"/>
    <w:rsid w:val="00DB720E"/>
    <w:rsid w:val="00DB726B"/>
    <w:rsid w:val="00DC03E6"/>
    <w:rsid w:val="00DC0589"/>
    <w:rsid w:val="00DC0BD2"/>
    <w:rsid w:val="00DC1969"/>
    <w:rsid w:val="00DC1A1A"/>
    <w:rsid w:val="00DC21D4"/>
    <w:rsid w:val="00DC2482"/>
    <w:rsid w:val="00DC26E1"/>
    <w:rsid w:val="00DC2846"/>
    <w:rsid w:val="00DC2F84"/>
    <w:rsid w:val="00DC3B76"/>
    <w:rsid w:val="00DC3CAA"/>
    <w:rsid w:val="00DC3EBD"/>
    <w:rsid w:val="00DC418D"/>
    <w:rsid w:val="00DC45D0"/>
    <w:rsid w:val="00DC4760"/>
    <w:rsid w:val="00DC4EEE"/>
    <w:rsid w:val="00DC4FC8"/>
    <w:rsid w:val="00DC5529"/>
    <w:rsid w:val="00DC5EDB"/>
    <w:rsid w:val="00DC663C"/>
    <w:rsid w:val="00DC6B0D"/>
    <w:rsid w:val="00DC6D03"/>
    <w:rsid w:val="00DC6E50"/>
    <w:rsid w:val="00DC79F8"/>
    <w:rsid w:val="00DC7CDE"/>
    <w:rsid w:val="00DD0108"/>
    <w:rsid w:val="00DD022A"/>
    <w:rsid w:val="00DD088F"/>
    <w:rsid w:val="00DD0CBF"/>
    <w:rsid w:val="00DD0F08"/>
    <w:rsid w:val="00DD13A1"/>
    <w:rsid w:val="00DD15A3"/>
    <w:rsid w:val="00DD1AA1"/>
    <w:rsid w:val="00DD21F8"/>
    <w:rsid w:val="00DD2218"/>
    <w:rsid w:val="00DD3074"/>
    <w:rsid w:val="00DD32E3"/>
    <w:rsid w:val="00DD3348"/>
    <w:rsid w:val="00DD36B6"/>
    <w:rsid w:val="00DD400F"/>
    <w:rsid w:val="00DD4150"/>
    <w:rsid w:val="00DD5D4A"/>
    <w:rsid w:val="00DD7034"/>
    <w:rsid w:val="00DD7A66"/>
    <w:rsid w:val="00DE0207"/>
    <w:rsid w:val="00DE0719"/>
    <w:rsid w:val="00DE14CE"/>
    <w:rsid w:val="00DE17D3"/>
    <w:rsid w:val="00DE1DF0"/>
    <w:rsid w:val="00DE203D"/>
    <w:rsid w:val="00DE260D"/>
    <w:rsid w:val="00DE2A01"/>
    <w:rsid w:val="00DE31EF"/>
    <w:rsid w:val="00DE34E3"/>
    <w:rsid w:val="00DE4B01"/>
    <w:rsid w:val="00DE4F24"/>
    <w:rsid w:val="00DE6802"/>
    <w:rsid w:val="00DE765D"/>
    <w:rsid w:val="00DF1AD2"/>
    <w:rsid w:val="00DF1C0F"/>
    <w:rsid w:val="00DF2444"/>
    <w:rsid w:val="00DF249B"/>
    <w:rsid w:val="00DF2AC9"/>
    <w:rsid w:val="00DF2C01"/>
    <w:rsid w:val="00DF2CA6"/>
    <w:rsid w:val="00DF30C6"/>
    <w:rsid w:val="00DF3219"/>
    <w:rsid w:val="00DF3416"/>
    <w:rsid w:val="00DF3562"/>
    <w:rsid w:val="00DF3AB5"/>
    <w:rsid w:val="00DF3FAB"/>
    <w:rsid w:val="00DF406F"/>
    <w:rsid w:val="00DF52A4"/>
    <w:rsid w:val="00DF58B0"/>
    <w:rsid w:val="00DF5AE8"/>
    <w:rsid w:val="00DF61A8"/>
    <w:rsid w:val="00DF637E"/>
    <w:rsid w:val="00DF6828"/>
    <w:rsid w:val="00DF7798"/>
    <w:rsid w:val="00DF7916"/>
    <w:rsid w:val="00DF7D6D"/>
    <w:rsid w:val="00DF7FE5"/>
    <w:rsid w:val="00E00C05"/>
    <w:rsid w:val="00E00F3E"/>
    <w:rsid w:val="00E01203"/>
    <w:rsid w:val="00E01630"/>
    <w:rsid w:val="00E01755"/>
    <w:rsid w:val="00E01859"/>
    <w:rsid w:val="00E0194A"/>
    <w:rsid w:val="00E01F1C"/>
    <w:rsid w:val="00E0303F"/>
    <w:rsid w:val="00E042D6"/>
    <w:rsid w:val="00E0490B"/>
    <w:rsid w:val="00E049D5"/>
    <w:rsid w:val="00E05268"/>
    <w:rsid w:val="00E05A6E"/>
    <w:rsid w:val="00E05FE9"/>
    <w:rsid w:val="00E06401"/>
    <w:rsid w:val="00E104B3"/>
    <w:rsid w:val="00E1218F"/>
    <w:rsid w:val="00E12228"/>
    <w:rsid w:val="00E122F8"/>
    <w:rsid w:val="00E12309"/>
    <w:rsid w:val="00E1262F"/>
    <w:rsid w:val="00E12EA6"/>
    <w:rsid w:val="00E13934"/>
    <w:rsid w:val="00E14C34"/>
    <w:rsid w:val="00E15228"/>
    <w:rsid w:val="00E15263"/>
    <w:rsid w:val="00E1552F"/>
    <w:rsid w:val="00E155D1"/>
    <w:rsid w:val="00E161CC"/>
    <w:rsid w:val="00E16E64"/>
    <w:rsid w:val="00E16EAF"/>
    <w:rsid w:val="00E176A1"/>
    <w:rsid w:val="00E1796E"/>
    <w:rsid w:val="00E20111"/>
    <w:rsid w:val="00E20480"/>
    <w:rsid w:val="00E20B84"/>
    <w:rsid w:val="00E2122B"/>
    <w:rsid w:val="00E21498"/>
    <w:rsid w:val="00E22584"/>
    <w:rsid w:val="00E226B4"/>
    <w:rsid w:val="00E23024"/>
    <w:rsid w:val="00E235A0"/>
    <w:rsid w:val="00E23B5F"/>
    <w:rsid w:val="00E23F29"/>
    <w:rsid w:val="00E24084"/>
    <w:rsid w:val="00E245DD"/>
    <w:rsid w:val="00E24BCF"/>
    <w:rsid w:val="00E25157"/>
    <w:rsid w:val="00E25337"/>
    <w:rsid w:val="00E258FF"/>
    <w:rsid w:val="00E25D99"/>
    <w:rsid w:val="00E25DA3"/>
    <w:rsid w:val="00E2630C"/>
    <w:rsid w:val="00E27F93"/>
    <w:rsid w:val="00E30577"/>
    <w:rsid w:val="00E30907"/>
    <w:rsid w:val="00E30E17"/>
    <w:rsid w:val="00E317C3"/>
    <w:rsid w:val="00E32B29"/>
    <w:rsid w:val="00E33214"/>
    <w:rsid w:val="00E333D1"/>
    <w:rsid w:val="00E335A4"/>
    <w:rsid w:val="00E33868"/>
    <w:rsid w:val="00E33F17"/>
    <w:rsid w:val="00E35D7C"/>
    <w:rsid w:val="00E35F80"/>
    <w:rsid w:val="00E3655B"/>
    <w:rsid w:val="00E36730"/>
    <w:rsid w:val="00E369C8"/>
    <w:rsid w:val="00E377E5"/>
    <w:rsid w:val="00E401DD"/>
    <w:rsid w:val="00E4065A"/>
    <w:rsid w:val="00E4097C"/>
    <w:rsid w:val="00E41BA4"/>
    <w:rsid w:val="00E41CEC"/>
    <w:rsid w:val="00E41D09"/>
    <w:rsid w:val="00E42893"/>
    <w:rsid w:val="00E42AD5"/>
    <w:rsid w:val="00E4372C"/>
    <w:rsid w:val="00E43BB2"/>
    <w:rsid w:val="00E43D52"/>
    <w:rsid w:val="00E443FB"/>
    <w:rsid w:val="00E446F6"/>
    <w:rsid w:val="00E44943"/>
    <w:rsid w:val="00E44C5B"/>
    <w:rsid w:val="00E457D3"/>
    <w:rsid w:val="00E46A5C"/>
    <w:rsid w:val="00E46E64"/>
    <w:rsid w:val="00E47978"/>
    <w:rsid w:val="00E47D38"/>
    <w:rsid w:val="00E5051B"/>
    <w:rsid w:val="00E5093C"/>
    <w:rsid w:val="00E50B32"/>
    <w:rsid w:val="00E52890"/>
    <w:rsid w:val="00E53736"/>
    <w:rsid w:val="00E53B12"/>
    <w:rsid w:val="00E545A8"/>
    <w:rsid w:val="00E54925"/>
    <w:rsid w:val="00E556E6"/>
    <w:rsid w:val="00E55D38"/>
    <w:rsid w:val="00E5644D"/>
    <w:rsid w:val="00E575C6"/>
    <w:rsid w:val="00E57BA8"/>
    <w:rsid w:val="00E62410"/>
    <w:rsid w:val="00E627BB"/>
    <w:rsid w:val="00E62ABF"/>
    <w:rsid w:val="00E6344C"/>
    <w:rsid w:val="00E635A9"/>
    <w:rsid w:val="00E63664"/>
    <w:rsid w:val="00E640BC"/>
    <w:rsid w:val="00E647A3"/>
    <w:rsid w:val="00E64CF3"/>
    <w:rsid w:val="00E64EDC"/>
    <w:rsid w:val="00E653E5"/>
    <w:rsid w:val="00E656B0"/>
    <w:rsid w:val="00E65CED"/>
    <w:rsid w:val="00E65D14"/>
    <w:rsid w:val="00E66ADE"/>
    <w:rsid w:val="00E66FB4"/>
    <w:rsid w:val="00E67726"/>
    <w:rsid w:val="00E67BD0"/>
    <w:rsid w:val="00E7041D"/>
    <w:rsid w:val="00E71234"/>
    <w:rsid w:val="00E71244"/>
    <w:rsid w:val="00E718D2"/>
    <w:rsid w:val="00E71DEF"/>
    <w:rsid w:val="00E71F3B"/>
    <w:rsid w:val="00E71F7C"/>
    <w:rsid w:val="00E71F8F"/>
    <w:rsid w:val="00E72683"/>
    <w:rsid w:val="00E727EF"/>
    <w:rsid w:val="00E72F8B"/>
    <w:rsid w:val="00E73114"/>
    <w:rsid w:val="00E73897"/>
    <w:rsid w:val="00E73DA2"/>
    <w:rsid w:val="00E7453B"/>
    <w:rsid w:val="00E7456D"/>
    <w:rsid w:val="00E75F11"/>
    <w:rsid w:val="00E76212"/>
    <w:rsid w:val="00E7627F"/>
    <w:rsid w:val="00E7738F"/>
    <w:rsid w:val="00E77B31"/>
    <w:rsid w:val="00E77CDD"/>
    <w:rsid w:val="00E77F59"/>
    <w:rsid w:val="00E8012D"/>
    <w:rsid w:val="00E8050E"/>
    <w:rsid w:val="00E80718"/>
    <w:rsid w:val="00E813CC"/>
    <w:rsid w:val="00E81553"/>
    <w:rsid w:val="00E81DFC"/>
    <w:rsid w:val="00E828EB"/>
    <w:rsid w:val="00E829EA"/>
    <w:rsid w:val="00E82D89"/>
    <w:rsid w:val="00E8327D"/>
    <w:rsid w:val="00E832E2"/>
    <w:rsid w:val="00E8362B"/>
    <w:rsid w:val="00E8464F"/>
    <w:rsid w:val="00E8481D"/>
    <w:rsid w:val="00E85BE7"/>
    <w:rsid w:val="00E85D3F"/>
    <w:rsid w:val="00E85E31"/>
    <w:rsid w:val="00E85F91"/>
    <w:rsid w:val="00E8651C"/>
    <w:rsid w:val="00E86559"/>
    <w:rsid w:val="00E8699D"/>
    <w:rsid w:val="00E86CF0"/>
    <w:rsid w:val="00E87117"/>
    <w:rsid w:val="00E87AA5"/>
    <w:rsid w:val="00E87CB0"/>
    <w:rsid w:val="00E905A0"/>
    <w:rsid w:val="00E90A4D"/>
    <w:rsid w:val="00E90F1F"/>
    <w:rsid w:val="00E90F7C"/>
    <w:rsid w:val="00E91994"/>
    <w:rsid w:val="00E91A24"/>
    <w:rsid w:val="00E91E7B"/>
    <w:rsid w:val="00E91EE6"/>
    <w:rsid w:val="00E92051"/>
    <w:rsid w:val="00E929F6"/>
    <w:rsid w:val="00E9349A"/>
    <w:rsid w:val="00E936AB"/>
    <w:rsid w:val="00E9399B"/>
    <w:rsid w:val="00E939EA"/>
    <w:rsid w:val="00E94054"/>
    <w:rsid w:val="00E9456D"/>
    <w:rsid w:val="00E949AC"/>
    <w:rsid w:val="00E94F0E"/>
    <w:rsid w:val="00E95469"/>
    <w:rsid w:val="00E95D61"/>
    <w:rsid w:val="00E96173"/>
    <w:rsid w:val="00E96286"/>
    <w:rsid w:val="00E963CB"/>
    <w:rsid w:val="00E9647D"/>
    <w:rsid w:val="00E96903"/>
    <w:rsid w:val="00E96EA5"/>
    <w:rsid w:val="00E97642"/>
    <w:rsid w:val="00E97BE7"/>
    <w:rsid w:val="00EA0787"/>
    <w:rsid w:val="00EA08EF"/>
    <w:rsid w:val="00EA1333"/>
    <w:rsid w:val="00EA177A"/>
    <w:rsid w:val="00EA2261"/>
    <w:rsid w:val="00EA25DE"/>
    <w:rsid w:val="00EA2CD5"/>
    <w:rsid w:val="00EA3540"/>
    <w:rsid w:val="00EA4C6C"/>
    <w:rsid w:val="00EA4EA9"/>
    <w:rsid w:val="00EA4EC2"/>
    <w:rsid w:val="00EA4FC9"/>
    <w:rsid w:val="00EA55FF"/>
    <w:rsid w:val="00EA5675"/>
    <w:rsid w:val="00EA5901"/>
    <w:rsid w:val="00EA66A4"/>
    <w:rsid w:val="00EA6F16"/>
    <w:rsid w:val="00EA75EF"/>
    <w:rsid w:val="00EA7851"/>
    <w:rsid w:val="00EB2641"/>
    <w:rsid w:val="00EB3920"/>
    <w:rsid w:val="00EB4AB7"/>
    <w:rsid w:val="00EB4DCD"/>
    <w:rsid w:val="00EB5625"/>
    <w:rsid w:val="00EB5F1E"/>
    <w:rsid w:val="00EB6D86"/>
    <w:rsid w:val="00EB71E9"/>
    <w:rsid w:val="00EC0088"/>
    <w:rsid w:val="00EC13E4"/>
    <w:rsid w:val="00EC15C6"/>
    <w:rsid w:val="00EC1909"/>
    <w:rsid w:val="00EC2583"/>
    <w:rsid w:val="00EC2842"/>
    <w:rsid w:val="00EC2B04"/>
    <w:rsid w:val="00EC3088"/>
    <w:rsid w:val="00EC358D"/>
    <w:rsid w:val="00EC45AA"/>
    <w:rsid w:val="00EC4841"/>
    <w:rsid w:val="00EC5594"/>
    <w:rsid w:val="00EC586F"/>
    <w:rsid w:val="00EC5F2E"/>
    <w:rsid w:val="00EC623B"/>
    <w:rsid w:val="00EC63CB"/>
    <w:rsid w:val="00EC65AD"/>
    <w:rsid w:val="00EC6EF8"/>
    <w:rsid w:val="00EC7566"/>
    <w:rsid w:val="00ED0E78"/>
    <w:rsid w:val="00ED0F55"/>
    <w:rsid w:val="00ED10AA"/>
    <w:rsid w:val="00ED135D"/>
    <w:rsid w:val="00ED1E29"/>
    <w:rsid w:val="00ED2943"/>
    <w:rsid w:val="00ED35DC"/>
    <w:rsid w:val="00ED398E"/>
    <w:rsid w:val="00ED3DB1"/>
    <w:rsid w:val="00ED4D98"/>
    <w:rsid w:val="00ED568D"/>
    <w:rsid w:val="00ED5FB3"/>
    <w:rsid w:val="00ED676A"/>
    <w:rsid w:val="00ED7A6E"/>
    <w:rsid w:val="00EE0233"/>
    <w:rsid w:val="00EE19AB"/>
    <w:rsid w:val="00EE2535"/>
    <w:rsid w:val="00EE2A63"/>
    <w:rsid w:val="00EE2C76"/>
    <w:rsid w:val="00EE2ED8"/>
    <w:rsid w:val="00EE41D4"/>
    <w:rsid w:val="00EE41EF"/>
    <w:rsid w:val="00EE41F9"/>
    <w:rsid w:val="00EE5A2F"/>
    <w:rsid w:val="00EE5C5E"/>
    <w:rsid w:val="00EE5D6B"/>
    <w:rsid w:val="00EE615D"/>
    <w:rsid w:val="00EE6CF6"/>
    <w:rsid w:val="00EE6E61"/>
    <w:rsid w:val="00EE70B2"/>
    <w:rsid w:val="00EE7216"/>
    <w:rsid w:val="00EF013C"/>
    <w:rsid w:val="00EF01AD"/>
    <w:rsid w:val="00EF0971"/>
    <w:rsid w:val="00EF0B8E"/>
    <w:rsid w:val="00EF14FA"/>
    <w:rsid w:val="00EF18BD"/>
    <w:rsid w:val="00EF1CE1"/>
    <w:rsid w:val="00EF1D89"/>
    <w:rsid w:val="00EF26E7"/>
    <w:rsid w:val="00EF2F88"/>
    <w:rsid w:val="00EF2FA7"/>
    <w:rsid w:val="00EF372B"/>
    <w:rsid w:val="00EF378D"/>
    <w:rsid w:val="00EF411A"/>
    <w:rsid w:val="00EF45AE"/>
    <w:rsid w:val="00EF469D"/>
    <w:rsid w:val="00EF4E43"/>
    <w:rsid w:val="00EF4EC3"/>
    <w:rsid w:val="00EF52C3"/>
    <w:rsid w:val="00EF531F"/>
    <w:rsid w:val="00EF60B1"/>
    <w:rsid w:val="00EF6122"/>
    <w:rsid w:val="00EF7FD0"/>
    <w:rsid w:val="00F001CF"/>
    <w:rsid w:val="00F00311"/>
    <w:rsid w:val="00F011A1"/>
    <w:rsid w:val="00F01243"/>
    <w:rsid w:val="00F01300"/>
    <w:rsid w:val="00F013EE"/>
    <w:rsid w:val="00F01693"/>
    <w:rsid w:val="00F02221"/>
    <w:rsid w:val="00F031B1"/>
    <w:rsid w:val="00F038DB"/>
    <w:rsid w:val="00F04466"/>
    <w:rsid w:val="00F045C8"/>
    <w:rsid w:val="00F050FA"/>
    <w:rsid w:val="00F057AA"/>
    <w:rsid w:val="00F05830"/>
    <w:rsid w:val="00F05C85"/>
    <w:rsid w:val="00F0639F"/>
    <w:rsid w:val="00F064C8"/>
    <w:rsid w:val="00F0707E"/>
    <w:rsid w:val="00F07523"/>
    <w:rsid w:val="00F07624"/>
    <w:rsid w:val="00F07C0E"/>
    <w:rsid w:val="00F07DDF"/>
    <w:rsid w:val="00F10825"/>
    <w:rsid w:val="00F108F7"/>
    <w:rsid w:val="00F10B3E"/>
    <w:rsid w:val="00F11052"/>
    <w:rsid w:val="00F113DA"/>
    <w:rsid w:val="00F11BD2"/>
    <w:rsid w:val="00F12D4A"/>
    <w:rsid w:val="00F138A0"/>
    <w:rsid w:val="00F13F63"/>
    <w:rsid w:val="00F14247"/>
    <w:rsid w:val="00F149D2"/>
    <w:rsid w:val="00F153FB"/>
    <w:rsid w:val="00F15657"/>
    <w:rsid w:val="00F165E6"/>
    <w:rsid w:val="00F16AE0"/>
    <w:rsid w:val="00F16CAD"/>
    <w:rsid w:val="00F16F20"/>
    <w:rsid w:val="00F1734F"/>
    <w:rsid w:val="00F177E1"/>
    <w:rsid w:val="00F17E79"/>
    <w:rsid w:val="00F200D7"/>
    <w:rsid w:val="00F20525"/>
    <w:rsid w:val="00F20685"/>
    <w:rsid w:val="00F20854"/>
    <w:rsid w:val="00F2159C"/>
    <w:rsid w:val="00F21EBF"/>
    <w:rsid w:val="00F224DE"/>
    <w:rsid w:val="00F228DB"/>
    <w:rsid w:val="00F22E19"/>
    <w:rsid w:val="00F23903"/>
    <w:rsid w:val="00F244F1"/>
    <w:rsid w:val="00F24D8C"/>
    <w:rsid w:val="00F251A1"/>
    <w:rsid w:val="00F2526F"/>
    <w:rsid w:val="00F25438"/>
    <w:rsid w:val="00F25D04"/>
    <w:rsid w:val="00F25F9F"/>
    <w:rsid w:val="00F260DA"/>
    <w:rsid w:val="00F263D1"/>
    <w:rsid w:val="00F264C2"/>
    <w:rsid w:val="00F269B7"/>
    <w:rsid w:val="00F30250"/>
    <w:rsid w:val="00F30CD1"/>
    <w:rsid w:val="00F314B0"/>
    <w:rsid w:val="00F32215"/>
    <w:rsid w:val="00F32C92"/>
    <w:rsid w:val="00F347CA"/>
    <w:rsid w:val="00F35FD2"/>
    <w:rsid w:val="00F3637B"/>
    <w:rsid w:val="00F3718D"/>
    <w:rsid w:val="00F37B0F"/>
    <w:rsid w:val="00F37F1B"/>
    <w:rsid w:val="00F409EF"/>
    <w:rsid w:val="00F4119C"/>
    <w:rsid w:val="00F41CD6"/>
    <w:rsid w:val="00F4291D"/>
    <w:rsid w:val="00F42A66"/>
    <w:rsid w:val="00F44196"/>
    <w:rsid w:val="00F44AE2"/>
    <w:rsid w:val="00F44E65"/>
    <w:rsid w:val="00F45B6E"/>
    <w:rsid w:val="00F45C50"/>
    <w:rsid w:val="00F46AE3"/>
    <w:rsid w:val="00F47711"/>
    <w:rsid w:val="00F47A62"/>
    <w:rsid w:val="00F508CB"/>
    <w:rsid w:val="00F51200"/>
    <w:rsid w:val="00F5156C"/>
    <w:rsid w:val="00F516D7"/>
    <w:rsid w:val="00F51AD0"/>
    <w:rsid w:val="00F528EF"/>
    <w:rsid w:val="00F52A6B"/>
    <w:rsid w:val="00F52A91"/>
    <w:rsid w:val="00F536FC"/>
    <w:rsid w:val="00F5374A"/>
    <w:rsid w:val="00F53AB4"/>
    <w:rsid w:val="00F53DFF"/>
    <w:rsid w:val="00F542A1"/>
    <w:rsid w:val="00F551A0"/>
    <w:rsid w:val="00F554C5"/>
    <w:rsid w:val="00F55A67"/>
    <w:rsid w:val="00F55BF5"/>
    <w:rsid w:val="00F5689C"/>
    <w:rsid w:val="00F569A0"/>
    <w:rsid w:val="00F56B8D"/>
    <w:rsid w:val="00F56C03"/>
    <w:rsid w:val="00F57C05"/>
    <w:rsid w:val="00F57C75"/>
    <w:rsid w:val="00F6056C"/>
    <w:rsid w:val="00F60902"/>
    <w:rsid w:val="00F60B87"/>
    <w:rsid w:val="00F6147C"/>
    <w:rsid w:val="00F61685"/>
    <w:rsid w:val="00F61999"/>
    <w:rsid w:val="00F61AED"/>
    <w:rsid w:val="00F61D9C"/>
    <w:rsid w:val="00F6202C"/>
    <w:rsid w:val="00F6250D"/>
    <w:rsid w:val="00F638B4"/>
    <w:rsid w:val="00F63B1F"/>
    <w:rsid w:val="00F63BD6"/>
    <w:rsid w:val="00F63F1C"/>
    <w:rsid w:val="00F646BE"/>
    <w:rsid w:val="00F647BE"/>
    <w:rsid w:val="00F648FB"/>
    <w:rsid w:val="00F64E5B"/>
    <w:rsid w:val="00F66103"/>
    <w:rsid w:val="00F66E39"/>
    <w:rsid w:val="00F67656"/>
    <w:rsid w:val="00F678B7"/>
    <w:rsid w:val="00F7014B"/>
    <w:rsid w:val="00F70BA8"/>
    <w:rsid w:val="00F70CF4"/>
    <w:rsid w:val="00F7158C"/>
    <w:rsid w:val="00F71D21"/>
    <w:rsid w:val="00F72725"/>
    <w:rsid w:val="00F728B1"/>
    <w:rsid w:val="00F72D98"/>
    <w:rsid w:val="00F73214"/>
    <w:rsid w:val="00F73AF0"/>
    <w:rsid w:val="00F73FAF"/>
    <w:rsid w:val="00F74C63"/>
    <w:rsid w:val="00F75126"/>
    <w:rsid w:val="00F75E6F"/>
    <w:rsid w:val="00F76676"/>
    <w:rsid w:val="00F76EE4"/>
    <w:rsid w:val="00F77214"/>
    <w:rsid w:val="00F7753E"/>
    <w:rsid w:val="00F77758"/>
    <w:rsid w:val="00F77FBE"/>
    <w:rsid w:val="00F805C2"/>
    <w:rsid w:val="00F8104D"/>
    <w:rsid w:val="00F81B26"/>
    <w:rsid w:val="00F81D8D"/>
    <w:rsid w:val="00F82871"/>
    <w:rsid w:val="00F82A99"/>
    <w:rsid w:val="00F8362A"/>
    <w:rsid w:val="00F8377D"/>
    <w:rsid w:val="00F83BC3"/>
    <w:rsid w:val="00F83E95"/>
    <w:rsid w:val="00F847A3"/>
    <w:rsid w:val="00F84AAF"/>
    <w:rsid w:val="00F84B85"/>
    <w:rsid w:val="00F8692C"/>
    <w:rsid w:val="00F86FC0"/>
    <w:rsid w:val="00F879F4"/>
    <w:rsid w:val="00F87C6C"/>
    <w:rsid w:val="00F87CEC"/>
    <w:rsid w:val="00F9041E"/>
    <w:rsid w:val="00F904F8"/>
    <w:rsid w:val="00F90C51"/>
    <w:rsid w:val="00F90C56"/>
    <w:rsid w:val="00F91121"/>
    <w:rsid w:val="00F9138B"/>
    <w:rsid w:val="00F917D3"/>
    <w:rsid w:val="00F9228D"/>
    <w:rsid w:val="00F92294"/>
    <w:rsid w:val="00F93367"/>
    <w:rsid w:val="00F93545"/>
    <w:rsid w:val="00F93905"/>
    <w:rsid w:val="00F93DBE"/>
    <w:rsid w:val="00F94C23"/>
    <w:rsid w:val="00F94C4D"/>
    <w:rsid w:val="00F95476"/>
    <w:rsid w:val="00F955A2"/>
    <w:rsid w:val="00F95C1C"/>
    <w:rsid w:val="00F95C2E"/>
    <w:rsid w:val="00F95EB1"/>
    <w:rsid w:val="00F960F6"/>
    <w:rsid w:val="00F961C2"/>
    <w:rsid w:val="00F96615"/>
    <w:rsid w:val="00F96B84"/>
    <w:rsid w:val="00F96E9F"/>
    <w:rsid w:val="00F9760B"/>
    <w:rsid w:val="00F97C6B"/>
    <w:rsid w:val="00F97D5F"/>
    <w:rsid w:val="00FA01A0"/>
    <w:rsid w:val="00FA0757"/>
    <w:rsid w:val="00FA0777"/>
    <w:rsid w:val="00FA1207"/>
    <w:rsid w:val="00FA147C"/>
    <w:rsid w:val="00FA1A9C"/>
    <w:rsid w:val="00FA1DA9"/>
    <w:rsid w:val="00FA2655"/>
    <w:rsid w:val="00FA3029"/>
    <w:rsid w:val="00FA367A"/>
    <w:rsid w:val="00FA40C1"/>
    <w:rsid w:val="00FA433C"/>
    <w:rsid w:val="00FA4349"/>
    <w:rsid w:val="00FA4AB0"/>
    <w:rsid w:val="00FA4D00"/>
    <w:rsid w:val="00FA5033"/>
    <w:rsid w:val="00FA5A1C"/>
    <w:rsid w:val="00FA6037"/>
    <w:rsid w:val="00FA6251"/>
    <w:rsid w:val="00FA6340"/>
    <w:rsid w:val="00FA677F"/>
    <w:rsid w:val="00FA6ECC"/>
    <w:rsid w:val="00FA739E"/>
    <w:rsid w:val="00FB1705"/>
    <w:rsid w:val="00FB245C"/>
    <w:rsid w:val="00FB2539"/>
    <w:rsid w:val="00FB2B46"/>
    <w:rsid w:val="00FB2D24"/>
    <w:rsid w:val="00FB3272"/>
    <w:rsid w:val="00FB329C"/>
    <w:rsid w:val="00FB3580"/>
    <w:rsid w:val="00FB3886"/>
    <w:rsid w:val="00FB3BCC"/>
    <w:rsid w:val="00FB4470"/>
    <w:rsid w:val="00FB5374"/>
    <w:rsid w:val="00FB55C2"/>
    <w:rsid w:val="00FB5694"/>
    <w:rsid w:val="00FB5CA6"/>
    <w:rsid w:val="00FB6032"/>
    <w:rsid w:val="00FB6FE9"/>
    <w:rsid w:val="00FB7394"/>
    <w:rsid w:val="00FC07F3"/>
    <w:rsid w:val="00FC0C5E"/>
    <w:rsid w:val="00FC0E33"/>
    <w:rsid w:val="00FC14C6"/>
    <w:rsid w:val="00FC34D1"/>
    <w:rsid w:val="00FC37F8"/>
    <w:rsid w:val="00FC3877"/>
    <w:rsid w:val="00FC4BC7"/>
    <w:rsid w:val="00FC6CF0"/>
    <w:rsid w:val="00FC73AC"/>
    <w:rsid w:val="00FC7EAC"/>
    <w:rsid w:val="00FD053A"/>
    <w:rsid w:val="00FD06FB"/>
    <w:rsid w:val="00FD14C0"/>
    <w:rsid w:val="00FD16F6"/>
    <w:rsid w:val="00FD1BDD"/>
    <w:rsid w:val="00FD1EBD"/>
    <w:rsid w:val="00FD219C"/>
    <w:rsid w:val="00FD2544"/>
    <w:rsid w:val="00FD2D36"/>
    <w:rsid w:val="00FD2F49"/>
    <w:rsid w:val="00FD3CA3"/>
    <w:rsid w:val="00FD3E40"/>
    <w:rsid w:val="00FD412A"/>
    <w:rsid w:val="00FD41C1"/>
    <w:rsid w:val="00FD499D"/>
    <w:rsid w:val="00FD5593"/>
    <w:rsid w:val="00FD65E7"/>
    <w:rsid w:val="00FD6BDC"/>
    <w:rsid w:val="00FE0833"/>
    <w:rsid w:val="00FE0A2F"/>
    <w:rsid w:val="00FE1AC6"/>
    <w:rsid w:val="00FE205C"/>
    <w:rsid w:val="00FE302E"/>
    <w:rsid w:val="00FE31D9"/>
    <w:rsid w:val="00FE4021"/>
    <w:rsid w:val="00FE4470"/>
    <w:rsid w:val="00FE5D1D"/>
    <w:rsid w:val="00FE65D7"/>
    <w:rsid w:val="00FE69FA"/>
    <w:rsid w:val="00FF0031"/>
    <w:rsid w:val="00FF0041"/>
    <w:rsid w:val="00FF197E"/>
    <w:rsid w:val="00FF1A40"/>
    <w:rsid w:val="00FF1D2A"/>
    <w:rsid w:val="00FF2688"/>
    <w:rsid w:val="00FF325A"/>
    <w:rsid w:val="00FF326D"/>
    <w:rsid w:val="00FF36A7"/>
    <w:rsid w:val="00FF3E17"/>
    <w:rsid w:val="00FF475B"/>
    <w:rsid w:val="00FF53B4"/>
    <w:rsid w:val="00FF5F2E"/>
    <w:rsid w:val="00FF65F3"/>
    <w:rsid w:val="00FF67E2"/>
    <w:rsid w:val="00FF6E28"/>
    <w:rsid w:val="00FF6E50"/>
    <w:rsid w:val="00FF6EC8"/>
    <w:rsid w:val="00FF6F83"/>
    <w:rsid w:val="00FF72B2"/>
    <w:rsid w:val="00FF73D1"/>
    <w:rsid w:val="00FF7451"/>
    <w:rsid w:val="00FF75DA"/>
    <w:rsid w:val="00FF7E4D"/>
    <w:rsid w:val="00FF7F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33A2647"/>
  <w15:chartTrackingRefBased/>
  <w15:docId w15:val="{805AD8B1-5288-49A9-A1DD-26C13BB41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41EF"/>
    <w:pPr>
      <w:spacing w:after="120" w:line="336" w:lineRule="auto"/>
      <w:jc w:val="both"/>
    </w:pPr>
    <w:rPr>
      <w:rFonts w:ascii="Times New Roman" w:hAnsi="Times New Roman"/>
    </w:rPr>
  </w:style>
  <w:style w:type="paragraph" w:styleId="Nadpis1">
    <w:name w:val="heading 1"/>
    <w:basedOn w:val="Normlny"/>
    <w:next w:val="Normlny"/>
    <w:link w:val="Nadpis1Char"/>
    <w:uiPriority w:val="9"/>
    <w:qFormat/>
    <w:rsid w:val="00ED135D"/>
    <w:pPr>
      <w:keepNext/>
      <w:numPr>
        <w:numId w:val="1"/>
      </w:numPr>
      <w:spacing w:before="120"/>
      <w:ind w:left="4402"/>
      <w:jc w:val="center"/>
      <w:outlineLvl w:val="0"/>
    </w:pPr>
    <w:rPr>
      <w:rFonts w:eastAsiaTheme="majorEastAsia" w:cstheme="majorBidi"/>
      <w:b/>
      <w:sz w:val="26"/>
      <w:szCs w:val="32"/>
    </w:rPr>
  </w:style>
  <w:style w:type="paragraph" w:styleId="Nadpis2">
    <w:name w:val="heading 2"/>
    <w:basedOn w:val="Normlny"/>
    <w:next w:val="Normlny"/>
    <w:link w:val="Nadpis2Char"/>
    <w:uiPriority w:val="9"/>
    <w:unhideWhenUsed/>
    <w:qFormat/>
    <w:rsid w:val="00005A9B"/>
    <w:pPr>
      <w:keepNext/>
      <w:numPr>
        <w:ilvl w:val="1"/>
        <w:numId w:val="1"/>
      </w:numPr>
      <w:spacing w:before="120"/>
      <w:jc w:val="center"/>
      <w:outlineLvl w:val="1"/>
    </w:pPr>
    <w:rPr>
      <w:rFonts w:eastAsiaTheme="majorEastAsia" w:cstheme="majorBidi"/>
      <w:b/>
      <w:sz w:val="24"/>
      <w:szCs w:val="26"/>
    </w:rPr>
  </w:style>
  <w:style w:type="paragraph" w:styleId="Nadpis3">
    <w:name w:val="heading 3"/>
    <w:basedOn w:val="Normlny"/>
    <w:next w:val="Normlny"/>
    <w:link w:val="Nadpis3Char"/>
    <w:uiPriority w:val="9"/>
    <w:unhideWhenUsed/>
    <w:qFormat/>
    <w:rsid w:val="00642B82"/>
    <w:pPr>
      <w:keepNext/>
      <w:keepLines/>
      <w:numPr>
        <w:ilvl w:val="2"/>
        <w:numId w:val="1"/>
      </w:numPr>
      <w:spacing w:before="120" w:line="240" w:lineRule="auto"/>
      <w:ind w:left="0" w:firstLine="0"/>
      <w:jc w:val="center"/>
      <w:outlineLvl w:val="2"/>
    </w:pPr>
    <w:rPr>
      <w:rFonts w:eastAsiaTheme="majorEastAsia" w:cstheme="majorBidi"/>
      <w:b/>
      <w:sz w:val="24"/>
      <w:szCs w:val="24"/>
    </w:rPr>
  </w:style>
  <w:style w:type="paragraph" w:styleId="Nadpis4">
    <w:name w:val="heading 4"/>
    <w:basedOn w:val="Normlny"/>
    <w:next w:val="Normlny"/>
    <w:link w:val="Nadpis4Char"/>
    <w:uiPriority w:val="9"/>
    <w:unhideWhenUsed/>
    <w:qFormat/>
    <w:rsid w:val="005F43DB"/>
    <w:pPr>
      <w:keepNext/>
      <w:keepLines/>
      <w:numPr>
        <w:ilvl w:val="3"/>
        <w:numId w:val="1"/>
      </w:numPr>
      <w:spacing w:before="120"/>
      <w:ind w:left="0" w:firstLine="0"/>
      <w:jc w:val="center"/>
      <w:outlineLvl w:val="3"/>
    </w:pPr>
    <w:rPr>
      <w:rFonts w:eastAsiaTheme="majorEastAsia" w:cstheme="majorBidi"/>
      <w:b/>
      <w:iCs/>
      <w:sz w:val="24"/>
    </w:rPr>
  </w:style>
  <w:style w:type="paragraph" w:styleId="Nadpis5">
    <w:name w:val="heading 5"/>
    <w:basedOn w:val="Normlny"/>
    <w:next w:val="Normlny"/>
    <w:link w:val="Nadpis5Char"/>
    <w:uiPriority w:val="9"/>
    <w:unhideWhenUsed/>
    <w:qFormat/>
    <w:rsid w:val="009C63C5"/>
    <w:pPr>
      <w:keepNext/>
      <w:keepLines/>
      <w:numPr>
        <w:ilvl w:val="4"/>
        <w:numId w:val="1"/>
      </w:numPr>
      <w:spacing w:before="40" w:after="0"/>
      <w:outlineLvl w:val="4"/>
    </w:pPr>
    <w:rPr>
      <w:rFonts w:eastAsiaTheme="majorEastAsia" w:cstheme="majorBidi"/>
      <w:b/>
    </w:rPr>
  </w:style>
  <w:style w:type="paragraph" w:styleId="Nadpis6">
    <w:name w:val="heading 6"/>
    <w:basedOn w:val="Normlny"/>
    <w:next w:val="Normlny"/>
    <w:link w:val="Nadpis6Char"/>
    <w:uiPriority w:val="9"/>
    <w:semiHidden/>
    <w:unhideWhenUsed/>
    <w:qFormat/>
    <w:rsid w:val="005F5B88"/>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semiHidden/>
    <w:unhideWhenUsed/>
    <w:qFormat/>
    <w:rsid w:val="005F5B88"/>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semiHidden/>
    <w:unhideWhenUsed/>
    <w:qFormat/>
    <w:rsid w:val="005F5B8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5F5B8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D135D"/>
    <w:rPr>
      <w:rFonts w:ascii="Times New Roman" w:eastAsiaTheme="majorEastAsia" w:hAnsi="Times New Roman" w:cstheme="majorBidi"/>
      <w:b/>
      <w:sz w:val="26"/>
      <w:szCs w:val="32"/>
    </w:rPr>
  </w:style>
  <w:style w:type="character" w:customStyle="1" w:styleId="Nadpis2Char">
    <w:name w:val="Nadpis 2 Char"/>
    <w:basedOn w:val="Predvolenpsmoodseku"/>
    <w:link w:val="Nadpis2"/>
    <w:uiPriority w:val="9"/>
    <w:rsid w:val="00005A9B"/>
    <w:rPr>
      <w:rFonts w:ascii="Times New Roman" w:eastAsiaTheme="majorEastAsia" w:hAnsi="Times New Roman" w:cstheme="majorBidi"/>
      <w:b/>
      <w:sz w:val="24"/>
      <w:szCs w:val="26"/>
    </w:rPr>
  </w:style>
  <w:style w:type="character" w:customStyle="1" w:styleId="Nadpis3Char">
    <w:name w:val="Nadpis 3 Char"/>
    <w:basedOn w:val="Predvolenpsmoodseku"/>
    <w:link w:val="Nadpis3"/>
    <w:uiPriority w:val="9"/>
    <w:rsid w:val="00642B82"/>
    <w:rPr>
      <w:rFonts w:ascii="Times New Roman" w:eastAsiaTheme="majorEastAsia" w:hAnsi="Times New Roman" w:cstheme="majorBidi"/>
      <w:b/>
      <w:sz w:val="24"/>
      <w:szCs w:val="24"/>
    </w:rPr>
  </w:style>
  <w:style w:type="character" w:customStyle="1" w:styleId="Nadpis4Char">
    <w:name w:val="Nadpis 4 Char"/>
    <w:basedOn w:val="Predvolenpsmoodseku"/>
    <w:link w:val="Nadpis4"/>
    <w:uiPriority w:val="9"/>
    <w:rsid w:val="005F43DB"/>
    <w:rPr>
      <w:rFonts w:ascii="Times New Roman" w:eastAsiaTheme="majorEastAsia" w:hAnsi="Times New Roman" w:cstheme="majorBidi"/>
      <w:b/>
      <w:iCs/>
      <w:sz w:val="24"/>
    </w:rPr>
  </w:style>
  <w:style w:type="character" w:customStyle="1" w:styleId="Nadpis5Char">
    <w:name w:val="Nadpis 5 Char"/>
    <w:basedOn w:val="Predvolenpsmoodseku"/>
    <w:link w:val="Nadpis5"/>
    <w:uiPriority w:val="9"/>
    <w:rsid w:val="009C63C5"/>
    <w:rPr>
      <w:rFonts w:ascii="Times New Roman" w:eastAsiaTheme="majorEastAsia" w:hAnsi="Times New Roman" w:cstheme="majorBidi"/>
      <w:b/>
    </w:rPr>
  </w:style>
  <w:style w:type="character" w:customStyle="1" w:styleId="Nadpis6Char">
    <w:name w:val="Nadpis 6 Char"/>
    <w:basedOn w:val="Predvolenpsmoodseku"/>
    <w:link w:val="Nadpis6"/>
    <w:uiPriority w:val="9"/>
    <w:semiHidden/>
    <w:rsid w:val="005F5B88"/>
    <w:rPr>
      <w:rFonts w:asciiTheme="majorHAnsi" w:eastAsiaTheme="majorEastAsia" w:hAnsiTheme="majorHAnsi" w:cstheme="majorBidi"/>
      <w:color w:val="1F4D78" w:themeColor="accent1" w:themeShade="7F"/>
    </w:rPr>
  </w:style>
  <w:style w:type="character" w:customStyle="1" w:styleId="Nadpis7Char">
    <w:name w:val="Nadpis 7 Char"/>
    <w:basedOn w:val="Predvolenpsmoodseku"/>
    <w:link w:val="Nadpis7"/>
    <w:uiPriority w:val="9"/>
    <w:semiHidden/>
    <w:rsid w:val="005F5B88"/>
    <w:rPr>
      <w:rFonts w:asciiTheme="majorHAnsi" w:eastAsiaTheme="majorEastAsia" w:hAnsiTheme="majorHAnsi" w:cstheme="majorBidi"/>
      <w:i/>
      <w:iCs/>
      <w:color w:val="1F4D78" w:themeColor="accent1" w:themeShade="7F"/>
    </w:rPr>
  </w:style>
  <w:style w:type="character" w:customStyle="1" w:styleId="Nadpis8Char">
    <w:name w:val="Nadpis 8 Char"/>
    <w:basedOn w:val="Predvolenpsmoodseku"/>
    <w:link w:val="Nadpis8"/>
    <w:uiPriority w:val="9"/>
    <w:semiHidden/>
    <w:rsid w:val="005F5B88"/>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5F5B88"/>
    <w:rPr>
      <w:rFonts w:asciiTheme="majorHAnsi" w:eastAsiaTheme="majorEastAsia" w:hAnsiTheme="majorHAnsi" w:cstheme="majorBidi"/>
      <w:i/>
      <w:iCs/>
      <w:color w:val="272727" w:themeColor="text1" w:themeTint="D8"/>
      <w:sz w:val="21"/>
      <w:szCs w:val="21"/>
    </w:rPr>
  </w:style>
  <w:style w:type="paragraph" w:styleId="Hlavika">
    <w:name w:val="header"/>
    <w:aliases w:val="Hlavička Char Char Char"/>
    <w:basedOn w:val="Normlny"/>
    <w:link w:val="HlavikaChar"/>
    <w:uiPriority w:val="99"/>
    <w:unhideWhenUsed/>
    <w:qFormat/>
    <w:rsid w:val="00881BDB"/>
    <w:pPr>
      <w:tabs>
        <w:tab w:val="center" w:pos="4536"/>
        <w:tab w:val="right" w:pos="9072"/>
      </w:tabs>
      <w:spacing w:after="0" w:line="240" w:lineRule="auto"/>
    </w:pPr>
  </w:style>
  <w:style w:type="character" w:customStyle="1" w:styleId="HlavikaChar">
    <w:name w:val="Hlavička Char"/>
    <w:aliases w:val="Hlavička Char Char Char Char"/>
    <w:basedOn w:val="Predvolenpsmoodseku"/>
    <w:link w:val="Hlavika"/>
    <w:uiPriority w:val="99"/>
    <w:rsid w:val="00881BDB"/>
    <w:rPr>
      <w:rFonts w:ascii="Times New Roman" w:hAnsi="Times New Roman"/>
    </w:rPr>
  </w:style>
  <w:style w:type="paragraph" w:styleId="Pta">
    <w:name w:val="footer"/>
    <w:basedOn w:val="Normlny"/>
    <w:link w:val="PtaChar"/>
    <w:unhideWhenUsed/>
    <w:rsid w:val="00881BDB"/>
    <w:pPr>
      <w:tabs>
        <w:tab w:val="center" w:pos="4536"/>
        <w:tab w:val="right" w:pos="9072"/>
      </w:tabs>
      <w:spacing w:after="0" w:line="240" w:lineRule="auto"/>
    </w:pPr>
  </w:style>
  <w:style w:type="character" w:customStyle="1" w:styleId="PtaChar">
    <w:name w:val="Päta Char"/>
    <w:basedOn w:val="Predvolenpsmoodseku"/>
    <w:link w:val="Pta"/>
    <w:rsid w:val="00881BDB"/>
    <w:rPr>
      <w:rFonts w:ascii="Times New Roman" w:hAnsi="Times New Roman"/>
    </w:rPr>
  </w:style>
  <w:style w:type="paragraph" w:styleId="Obsah1">
    <w:name w:val="toc 1"/>
    <w:basedOn w:val="Normlny"/>
    <w:next w:val="Normlny"/>
    <w:autoRedefine/>
    <w:uiPriority w:val="39"/>
    <w:unhideWhenUsed/>
    <w:rsid w:val="009D1848"/>
    <w:pPr>
      <w:tabs>
        <w:tab w:val="left" w:pos="332"/>
        <w:tab w:val="right" w:pos="8493"/>
      </w:tabs>
      <w:spacing w:before="120" w:line="274" w:lineRule="auto"/>
      <w:jc w:val="left"/>
    </w:pPr>
    <w:rPr>
      <w:b/>
      <w:bCs/>
      <w:noProof/>
      <w:sz w:val="20"/>
    </w:rPr>
  </w:style>
  <w:style w:type="paragraph" w:styleId="Obsah2">
    <w:name w:val="toc 2"/>
    <w:basedOn w:val="Normlny"/>
    <w:next w:val="Normlny"/>
    <w:autoRedefine/>
    <w:uiPriority w:val="39"/>
    <w:unhideWhenUsed/>
    <w:rsid w:val="00C464CF"/>
    <w:pPr>
      <w:tabs>
        <w:tab w:val="left" w:pos="502"/>
        <w:tab w:val="right" w:pos="8493"/>
      </w:tabs>
      <w:spacing w:after="0" w:line="240" w:lineRule="auto"/>
      <w:jc w:val="left"/>
    </w:pPr>
    <w:rPr>
      <w:b/>
      <w:bCs/>
      <w:noProof/>
      <w:sz w:val="20"/>
    </w:rPr>
  </w:style>
  <w:style w:type="paragraph" w:styleId="Obsah3">
    <w:name w:val="toc 3"/>
    <w:basedOn w:val="Normlny"/>
    <w:next w:val="Normlny"/>
    <w:autoRedefine/>
    <w:uiPriority w:val="39"/>
    <w:unhideWhenUsed/>
    <w:rsid w:val="003B69D0"/>
    <w:pPr>
      <w:tabs>
        <w:tab w:val="left" w:pos="666"/>
        <w:tab w:val="right" w:pos="8493"/>
      </w:tabs>
      <w:spacing w:after="0" w:line="274" w:lineRule="auto"/>
      <w:jc w:val="left"/>
    </w:pPr>
    <w:rPr>
      <w:rFonts w:cs="Times New Roman"/>
      <w:noProof/>
    </w:rPr>
  </w:style>
  <w:style w:type="character" w:styleId="Hypertextovprepojenie">
    <w:name w:val="Hyperlink"/>
    <w:basedOn w:val="Predvolenpsmoodseku"/>
    <w:uiPriority w:val="99"/>
    <w:unhideWhenUsed/>
    <w:rsid w:val="0021355F"/>
    <w:rPr>
      <w:color w:val="0563C1" w:themeColor="hyperlink"/>
      <w:u w:val="single"/>
    </w:rPr>
  </w:style>
  <w:style w:type="paragraph" w:styleId="Obsah4">
    <w:name w:val="toc 4"/>
    <w:basedOn w:val="Normlny"/>
    <w:next w:val="Normlny"/>
    <w:autoRedefine/>
    <w:uiPriority w:val="39"/>
    <w:unhideWhenUsed/>
    <w:rsid w:val="007F2028"/>
    <w:pPr>
      <w:tabs>
        <w:tab w:val="left" w:pos="833"/>
      </w:tabs>
      <w:spacing w:after="0" w:line="240" w:lineRule="auto"/>
      <w:jc w:val="left"/>
    </w:pPr>
    <w:rPr>
      <w:rFonts w:asciiTheme="minorHAnsi" w:hAnsiTheme="minorHAnsi"/>
    </w:rPr>
  </w:style>
  <w:style w:type="paragraph" w:styleId="Obsah5">
    <w:name w:val="toc 5"/>
    <w:basedOn w:val="Normlny"/>
    <w:next w:val="Normlny"/>
    <w:autoRedefine/>
    <w:uiPriority w:val="39"/>
    <w:unhideWhenUsed/>
    <w:rsid w:val="007D65C4"/>
    <w:pPr>
      <w:spacing w:after="0"/>
      <w:jc w:val="left"/>
    </w:pPr>
    <w:rPr>
      <w:rFonts w:asciiTheme="minorHAnsi" w:hAnsiTheme="minorHAnsi"/>
    </w:rPr>
  </w:style>
  <w:style w:type="paragraph" w:styleId="Obsah6">
    <w:name w:val="toc 6"/>
    <w:basedOn w:val="Normlny"/>
    <w:next w:val="Normlny"/>
    <w:autoRedefine/>
    <w:uiPriority w:val="39"/>
    <w:unhideWhenUsed/>
    <w:rsid w:val="007D65C4"/>
    <w:pPr>
      <w:spacing w:after="0"/>
      <w:jc w:val="left"/>
    </w:pPr>
    <w:rPr>
      <w:rFonts w:asciiTheme="minorHAnsi" w:hAnsiTheme="minorHAnsi"/>
    </w:rPr>
  </w:style>
  <w:style w:type="paragraph" w:styleId="Obsah7">
    <w:name w:val="toc 7"/>
    <w:basedOn w:val="Normlny"/>
    <w:next w:val="Normlny"/>
    <w:autoRedefine/>
    <w:uiPriority w:val="39"/>
    <w:unhideWhenUsed/>
    <w:rsid w:val="007D65C4"/>
    <w:pPr>
      <w:spacing w:after="0"/>
      <w:jc w:val="left"/>
    </w:pPr>
    <w:rPr>
      <w:rFonts w:asciiTheme="minorHAnsi" w:hAnsiTheme="minorHAnsi"/>
    </w:rPr>
  </w:style>
  <w:style w:type="paragraph" w:styleId="Obsah8">
    <w:name w:val="toc 8"/>
    <w:basedOn w:val="Normlny"/>
    <w:next w:val="Normlny"/>
    <w:autoRedefine/>
    <w:uiPriority w:val="39"/>
    <w:unhideWhenUsed/>
    <w:rsid w:val="007D65C4"/>
    <w:pPr>
      <w:spacing w:after="0"/>
      <w:jc w:val="left"/>
    </w:pPr>
    <w:rPr>
      <w:rFonts w:asciiTheme="minorHAnsi" w:hAnsiTheme="minorHAnsi"/>
    </w:rPr>
  </w:style>
  <w:style w:type="paragraph" w:styleId="Obsah9">
    <w:name w:val="toc 9"/>
    <w:basedOn w:val="Normlny"/>
    <w:next w:val="Normlny"/>
    <w:autoRedefine/>
    <w:uiPriority w:val="39"/>
    <w:unhideWhenUsed/>
    <w:rsid w:val="007D65C4"/>
    <w:pPr>
      <w:spacing w:after="0"/>
      <w:jc w:val="left"/>
    </w:pPr>
    <w:rPr>
      <w:rFonts w:asciiTheme="minorHAnsi" w:hAnsiTheme="minorHAnsi"/>
    </w:rPr>
  </w:style>
  <w:style w:type="character" w:customStyle="1" w:styleId="st1">
    <w:name w:val="st1"/>
    <w:basedOn w:val="Predvolenpsmoodseku"/>
    <w:rsid w:val="00743099"/>
  </w:style>
  <w:style w:type="character" w:customStyle="1" w:styleId="awspan1">
    <w:name w:val="awspan1"/>
    <w:basedOn w:val="Predvolenpsmoodseku"/>
    <w:rsid w:val="00743099"/>
    <w:rPr>
      <w:color w:val="000000"/>
      <w:sz w:val="24"/>
      <w:szCs w:val="24"/>
    </w:rPr>
  </w:style>
  <w:style w:type="paragraph" w:styleId="Odsekzoznamu">
    <w:name w:val="List Paragraph"/>
    <w:aliases w:val="body,Odsek zoznamu2,Dot pt,No Spacing1,List Paragraph Char Char Char,Indicator Text,Numbered Para 1,List Paragraph à moi,Odsek zoznamu4,LISTA,Listaszerű bekezdés2,Listaszerű bekezdés3,Listaszerű bekezdés1,Colorful List Accent 1,3,Odsek,LIS"/>
    <w:basedOn w:val="Normlny"/>
    <w:link w:val="OdsekzoznamuChar"/>
    <w:uiPriority w:val="34"/>
    <w:qFormat/>
    <w:rsid w:val="00530112"/>
    <w:pPr>
      <w:spacing w:after="0" w:line="240" w:lineRule="auto"/>
      <w:ind w:left="720"/>
      <w:contextualSpacing/>
      <w:jc w:val="left"/>
    </w:pPr>
    <w:rPr>
      <w:rFonts w:ascii="Calibri" w:hAnsi="Calibri" w:cs="Times New Roman"/>
    </w:rPr>
  </w:style>
  <w:style w:type="paragraph" w:styleId="Textpoznmkypodiarou">
    <w:name w:val="footnote text"/>
    <w:aliases w:val="Footnote Text Char2,Footnote Text Char1 Char,Footnote Text Char2 Char Char,Footnote Text Char1 Char Char Char,Footnote Text Char2 Char Char Char Char,Footnote Text Char Char1 Char Char Char Char,Footnote Text Char1,f,Plonk"/>
    <w:basedOn w:val="Normlny"/>
    <w:link w:val="TextpoznmkypodiarouChar"/>
    <w:uiPriority w:val="99"/>
    <w:unhideWhenUsed/>
    <w:qFormat/>
    <w:rsid w:val="00237058"/>
    <w:pPr>
      <w:spacing w:after="0" w:line="240" w:lineRule="auto"/>
    </w:pPr>
    <w:rPr>
      <w:sz w:val="20"/>
      <w:szCs w:val="20"/>
    </w:rPr>
  </w:style>
  <w:style w:type="character" w:customStyle="1" w:styleId="TextpoznmkypodiarouChar">
    <w:name w:val="Text poznámky pod čiarou Char"/>
    <w:aliases w:val="Footnote Text Char2 Char,Footnote Text Char1 Char Char,Footnote Text Char2 Char Char Char,Footnote Text Char1 Char Char Char Char,Footnote Text Char2 Char Char Char Char Char,Footnote Text Char1 Char1,f Char,Plonk Char"/>
    <w:basedOn w:val="Predvolenpsmoodseku"/>
    <w:link w:val="Textpoznmkypodiarou"/>
    <w:uiPriority w:val="99"/>
    <w:qFormat/>
    <w:rsid w:val="00237058"/>
    <w:rPr>
      <w:rFonts w:ascii="Times New Roman" w:hAnsi="Times New Roman"/>
      <w:sz w:val="20"/>
      <w:szCs w:val="20"/>
    </w:rPr>
  </w:style>
  <w:style w:type="character" w:styleId="Odkaznapoznmkupodiarou">
    <w:name w:val="footnote reference"/>
    <w:aliases w:val="16 Point,Superscript 6 Point,Footnote Reference Number,Footnote Reference_LVL6,Footnote Reference_LVL61,Footnote Reference_LVL62,Footnote Reference_LVL63,Footnote Reference_LVL64,Footnote call,BVI fnr,SUPERS,Footnote symbol"/>
    <w:basedOn w:val="Predvolenpsmoodseku"/>
    <w:link w:val="Char2"/>
    <w:uiPriority w:val="99"/>
    <w:unhideWhenUsed/>
    <w:qFormat/>
    <w:rsid w:val="00237058"/>
    <w:rPr>
      <w:vertAlign w:val="superscript"/>
    </w:rPr>
  </w:style>
  <w:style w:type="paragraph" w:customStyle="1" w:styleId="Char2">
    <w:name w:val="Char2"/>
    <w:basedOn w:val="Normlny"/>
    <w:link w:val="Odkaznapoznmkupodiarou"/>
    <w:uiPriority w:val="99"/>
    <w:rsid w:val="00415AB8"/>
    <w:pPr>
      <w:spacing w:after="0" w:line="240" w:lineRule="exact"/>
      <w:jc w:val="left"/>
    </w:pPr>
    <w:rPr>
      <w:rFonts w:asciiTheme="minorHAnsi" w:hAnsiTheme="minorHAnsi"/>
      <w:vertAlign w:val="superscript"/>
    </w:rPr>
  </w:style>
  <w:style w:type="paragraph" w:customStyle="1" w:styleId="Zkladntext1">
    <w:name w:val="Základný text1"/>
    <w:rsid w:val="00F057AA"/>
    <w:pPr>
      <w:spacing w:after="0" w:line="240" w:lineRule="auto"/>
    </w:pPr>
    <w:rPr>
      <w:rFonts w:ascii="Dutch801 SWC" w:eastAsia="Times New Roman" w:hAnsi="Dutch801 SWC" w:cs="Times New Roman"/>
      <w:color w:val="000000"/>
      <w:sz w:val="24"/>
      <w:szCs w:val="20"/>
      <w:lang w:val="en-US" w:eastAsia="sk-SK"/>
    </w:rPr>
  </w:style>
  <w:style w:type="character" w:styleId="Odkaznakomentr">
    <w:name w:val="annotation reference"/>
    <w:basedOn w:val="Predvolenpsmoodseku"/>
    <w:uiPriority w:val="99"/>
    <w:semiHidden/>
    <w:unhideWhenUsed/>
    <w:rsid w:val="005717A4"/>
    <w:rPr>
      <w:sz w:val="16"/>
      <w:szCs w:val="16"/>
    </w:rPr>
  </w:style>
  <w:style w:type="paragraph" w:styleId="Textkomentra">
    <w:name w:val="annotation text"/>
    <w:basedOn w:val="Normlny"/>
    <w:link w:val="TextkomentraChar"/>
    <w:uiPriority w:val="99"/>
    <w:unhideWhenUsed/>
    <w:rsid w:val="005717A4"/>
    <w:pPr>
      <w:spacing w:line="240" w:lineRule="auto"/>
    </w:pPr>
    <w:rPr>
      <w:rFonts w:eastAsia="Times New Roman" w:cs="Times New Roman"/>
      <w:sz w:val="20"/>
      <w:szCs w:val="20"/>
    </w:rPr>
  </w:style>
  <w:style w:type="character" w:customStyle="1" w:styleId="TextkomentraChar">
    <w:name w:val="Text komentára Char"/>
    <w:basedOn w:val="Predvolenpsmoodseku"/>
    <w:link w:val="Textkomentra"/>
    <w:uiPriority w:val="99"/>
    <w:rsid w:val="005717A4"/>
    <w:rPr>
      <w:rFonts w:ascii="Times New Roman" w:eastAsia="Times New Roman" w:hAnsi="Times New Roman" w:cs="Times New Roman"/>
      <w:sz w:val="20"/>
      <w:szCs w:val="20"/>
    </w:rPr>
  </w:style>
  <w:style w:type="paragraph" w:styleId="Textbubliny">
    <w:name w:val="Balloon Text"/>
    <w:basedOn w:val="Normlny"/>
    <w:link w:val="TextbublinyChar"/>
    <w:uiPriority w:val="99"/>
    <w:unhideWhenUsed/>
    <w:rsid w:val="0045434A"/>
    <w:pPr>
      <w:spacing w:after="0" w:line="240" w:lineRule="auto"/>
    </w:pPr>
    <w:rPr>
      <w:rFonts w:ascii="Segoe UI" w:hAnsi="Segoe UI"/>
      <w:sz w:val="18"/>
      <w:szCs w:val="18"/>
    </w:rPr>
  </w:style>
  <w:style w:type="character" w:customStyle="1" w:styleId="TextbublinyChar">
    <w:name w:val="Text bubliny Char"/>
    <w:basedOn w:val="Predvolenpsmoodseku"/>
    <w:link w:val="Textbubliny"/>
    <w:uiPriority w:val="99"/>
    <w:rsid w:val="0045434A"/>
    <w:rPr>
      <w:rFonts w:ascii="Segoe UI" w:hAnsi="Segoe UI"/>
      <w:sz w:val="18"/>
      <w:szCs w:val="18"/>
    </w:rPr>
  </w:style>
  <w:style w:type="paragraph" w:customStyle="1" w:styleId="Zkladntext">
    <w:name w:val="Základní text"/>
    <w:rsid w:val="00ED135D"/>
    <w:pPr>
      <w:widowControl w:val="0"/>
      <w:spacing w:after="0" w:line="240" w:lineRule="auto"/>
    </w:pPr>
    <w:rPr>
      <w:rFonts w:ascii="Times New Roman" w:eastAsia="Times New Roman" w:hAnsi="Times New Roman" w:cs="Times New Roman"/>
      <w:color w:val="000000"/>
      <w:sz w:val="26"/>
      <w:szCs w:val="20"/>
      <w:lang w:eastAsia="sk-SK"/>
    </w:rPr>
  </w:style>
  <w:style w:type="paragraph" w:styleId="Zkladntext0">
    <w:name w:val="Body Text"/>
    <w:basedOn w:val="Normlny"/>
    <w:link w:val="ZkladntextChar"/>
    <w:rsid w:val="005F6E5F"/>
    <w:pPr>
      <w:spacing w:after="0" w:line="240" w:lineRule="auto"/>
    </w:pPr>
    <w:rPr>
      <w:rFonts w:eastAsia="Times New Roman" w:cs="Times New Roman"/>
      <w:sz w:val="24"/>
      <w:szCs w:val="20"/>
      <w:lang w:eastAsia="sk-SK"/>
    </w:rPr>
  </w:style>
  <w:style w:type="character" w:customStyle="1" w:styleId="ZkladntextChar">
    <w:name w:val="Základný text Char"/>
    <w:basedOn w:val="Predvolenpsmoodseku"/>
    <w:link w:val="Zkladntext0"/>
    <w:rsid w:val="005F6E5F"/>
    <w:rPr>
      <w:rFonts w:ascii="Times New Roman" w:eastAsia="Times New Roman" w:hAnsi="Times New Roman" w:cs="Times New Roman"/>
      <w:sz w:val="24"/>
      <w:szCs w:val="20"/>
      <w:lang w:eastAsia="sk-SK"/>
    </w:rPr>
  </w:style>
  <w:style w:type="paragraph" w:styleId="Revzia">
    <w:name w:val="Revision"/>
    <w:hidden/>
    <w:uiPriority w:val="99"/>
    <w:semiHidden/>
    <w:rsid w:val="00F61D9C"/>
    <w:pPr>
      <w:spacing w:after="0" w:line="240" w:lineRule="auto"/>
    </w:pPr>
    <w:rPr>
      <w:rFonts w:ascii="Times New Roman" w:hAnsi="Times New Roman"/>
    </w:rPr>
  </w:style>
  <w:style w:type="character" w:customStyle="1" w:styleId="ZarkazkladnhotextuChar">
    <w:name w:val="Zarážka základného textu Char"/>
    <w:basedOn w:val="Predvolenpsmoodseku"/>
    <w:link w:val="Zarkazkladnhotextu"/>
    <w:uiPriority w:val="99"/>
    <w:rsid w:val="008F75C2"/>
    <w:rPr>
      <w:rFonts w:ascii="Times New Roman" w:hAnsi="Times New Roman" w:cs="Times New Roman"/>
      <w:sz w:val="24"/>
      <w:szCs w:val="24"/>
      <w:lang w:eastAsia="sk-SK"/>
    </w:rPr>
  </w:style>
  <w:style w:type="paragraph" w:styleId="Zarkazkladnhotextu">
    <w:name w:val="Body Text Indent"/>
    <w:basedOn w:val="Normlny"/>
    <w:link w:val="ZarkazkladnhotextuChar"/>
    <w:uiPriority w:val="99"/>
    <w:unhideWhenUsed/>
    <w:rsid w:val="008F75C2"/>
    <w:pPr>
      <w:spacing w:after="0" w:line="240" w:lineRule="auto"/>
      <w:ind w:firstLine="708"/>
      <w:jc w:val="left"/>
    </w:pPr>
    <w:rPr>
      <w:rFonts w:cs="Times New Roman"/>
      <w:sz w:val="24"/>
      <w:szCs w:val="24"/>
      <w:lang w:eastAsia="sk-SK"/>
    </w:rPr>
  </w:style>
  <w:style w:type="paragraph" w:styleId="Bezriadkovania">
    <w:name w:val="No Spacing"/>
    <w:uiPriority w:val="1"/>
    <w:qFormat/>
    <w:rsid w:val="00872F0C"/>
    <w:pPr>
      <w:spacing w:after="0" w:line="240" w:lineRule="auto"/>
      <w:jc w:val="both"/>
    </w:pPr>
    <w:rPr>
      <w:rFonts w:ascii="Times New Roman" w:eastAsia="Times New Roman" w:hAnsi="Times New Roman" w:cs="Times New Roman"/>
      <w:szCs w:val="36"/>
    </w:rPr>
  </w:style>
  <w:style w:type="paragraph" w:customStyle="1" w:styleId="textCharCharCharChar">
    <w:name w:val="text Char Char Char Char"/>
    <w:basedOn w:val="Normlny"/>
    <w:link w:val="textCharCharCharCharChar"/>
    <w:rsid w:val="00872F0C"/>
    <w:pPr>
      <w:spacing w:line="240" w:lineRule="auto"/>
      <w:ind w:firstLine="510"/>
    </w:pPr>
    <w:rPr>
      <w:rFonts w:eastAsia="Batang" w:cs="Times New Roman"/>
      <w:color w:val="000000"/>
      <w:szCs w:val="24"/>
      <w:lang w:eastAsia="sk-SK"/>
    </w:rPr>
  </w:style>
  <w:style w:type="character" w:customStyle="1" w:styleId="textCharCharCharCharChar">
    <w:name w:val="text Char Char Char Char Char"/>
    <w:link w:val="textCharCharCharChar"/>
    <w:rsid w:val="00872F0C"/>
    <w:rPr>
      <w:rFonts w:ascii="Times New Roman" w:eastAsia="Batang" w:hAnsi="Times New Roman" w:cs="Times New Roman"/>
      <w:color w:val="000000"/>
      <w:szCs w:val="24"/>
      <w:lang w:eastAsia="sk-SK"/>
    </w:rPr>
  </w:style>
  <w:style w:type="character" w:styleId="Vrazn">
    <w:name w:val="Strong"/>
    <w:basedOn w:val="Predvolenpsmoodseku"/>
    <w:uiPriority w:val="22"/>
    <w:qFormat/>
    <w:rsid w:val="00872F0C"/>
    <w:rPr>
      <w:b/>
      <w:bCs/>
    </w:rPr>
  </w:style>
  <w:style w:type="paragraph" w:customStyle="1" w:styleId="default">
    <w:name w:val="default"/>
    <w:basedOn w:val="Normlny"/>
    <w:rsid w:val="00614751"/>
    <w:pPr>
      <w:autoSpaceDE w:val="0"/>
      <w:autoSpaceDN w:val="0"/>
      <w:spacing w:after="0" w:line="240" w:lineRule="auto"/>
      <w:jc w:val="left"/>
    </w:pPr>
    <w:rPr>
      <w:rFonts w:eastAsia="Times New Roman" w:cs="Times New Roman"/>
      <w:color w:val="000000"/>
      <w:sz w:val="24"/>
      <w:szCs w:val="24"/>
      <w:lang w:eastAsia="sk-SK"/>
    </w:rPr>
  </w:style>
  <w:style w:type="character" w:styleId="PouitHypertextovPrepojenie">
    <w:name w:val="FollowedHyperlink"/>
    <w:basedOn w:val="Predvolenpsmoodseku"/>
    <w:uiPriority w:val="99"/>
    <w:semiHidden/>
    <w:unhideWhenUsed/>
    <w:rsid w:val="00614751"/>
    <w:rPr>
      <w:color w:val="954F72" w:themeColor="followedHyperlink"/>
      <w:u w:val="single"/>
    </w:rPr>
  </w:style>
  <w:style w:type="paragraph" w:styleId="Predmetkomentra">
    <w:name w:val="annotation subject"/>
    <w:basedOn w:val="Textkomentra"/>
    <w:next w:val="Textkomentra"/>
    <w:link w:val="PredmetkomentraChar"/>
    <w:uiPriority w:val="99"/>
    <w:semiHidden/>
    <w:unhideWhenUsed/>
    <w:rsid w:val="00E5051B"/>
    <w:rPr>
      <w:rFonts w:eastAsiaTheme="minorHAnsi" w:cstheme="minorBidi"/>
      <w:b/>
      <w:bCs/>
    </w:rPr>
  </w:style>
  <w:style w:type="character" w:customStyle="1" w:styleId="PredmetkomentraChar">
    <w:name w:val="Predmet komentára Char"/>
    <w:basedOn w:val="TextkomentraChar"/>
    <w:link w:val="Predmetkomentra"/>
    <w:uiPriority w:val="99"/>
    <w:semiHidden/>
    <w:rsid w:val="00E5051B"/>
    <w:rPr>
      <w:rFonts w:ascii="Times New Roman" w:eastAsia="Times New Roman" w:hAnsi="Times New Roman" w:cs="Times New Roman"/>
      <w:b/>
      <w:bCs/>
      <w:sz w:val="20"/>
      <w:szCs w:val="20"/>
    </w:rPr>
  </w:style>
  <w:style w:type="character" w:customStyle="1" w:styleId="h1a2">
    <w:name w:val="h1a2"/>
    <w:basedOn w:val="Predvolenpsmoodseku"/>
    <w:rsid w:val="00BD02D9"/>
    <w:rPr>
      <w:vanish w:val="0"/>
      <w:webHidden w:val="0"/>
      <w:sz w:val="24"/>
      <w:szCs w:val="24"/>
      <w:specVanish w:val="0"/>
    </w:rPr>
  </w:style>
  <w:style w:type="paragraph" w:styleId="Hlavikaobsahu">
    <w:name w:val="TOC Heading"/>
    <w:basedOn w:val="Nadpis1"/>
    <w:next w:val="Normlny"/>
    <w:uiPriority w:val="39"/>
    <w:unhideWhenUsed/>
    <w:qFormat/>
    <w:rsid w:val="00BB3915"/>
    <w:pPr>
      <w:keepLines/>
      <w:numPr>
        <w:numId w:val="0"/>
      </w:numPr>
      <w:spacing w:before="240" w:after="0" w:line="259" w:lineRule="auto"/>
      <w:jc w:val="left"/>
      <w:outlineLvl w:val="9"/>
    </w:pPr>
    <w:rPr>
      <w:rFonts w:asciiTheme="majorHAnsi" w:hAnsiTheme="majorHAnsi"/>
      <w:b w:val="0"/>
      <w:color w:val="2E74B5" w:themeColor="accent1" w:themeShade="BF"/>
      <w:sz w:val="32"/>
      <w:lang w:eastAsia="sk-SK"/>
    </w:rPr>
  </w:style>
  <w:style w:type="paragraph" w:styleId="Normlnywebov">
    <w:name w:val="Normal (Web)"/>
    <w:basedOn w:val="Normlny"/>
    <w:uiPriority w:val="99"/>
    <w:unhideWhenUsed/>
    <w:rsid w:val="00CE1795"/>
    <w:pPr>
      <w:spacing w:before="100" w:beforeAutospacing="1" w:after="100" w:afterAutospacing="1" w:line="240" w:lineRule="auto"/>
      <w:jc w:val="left"/>
    </w:pPr>
    <w:rPr>
      <w:rFonts w:cs="Times New Roman"/>
      <w:sz w:val="24"/>
      <w:szCs w:val="24"/>
      <w:lang w:eastAsia="sk-SK"/>
    </w:rPr>
  </w:style>
  <w:style w:type="paragraph" w:styleId="Textvysvetlivky">
    <w:name w:val="endnote text"/>
    <w:basedOn w:val="Normlny"/>
    <w:link w:val="TextvysvetlivkyChar"/>
    <w:uiPriority w:val="99"/>
    <w:semiHidden/>
    <w:unhideWhenUsed/>
    <w:rsid w:val="00537EC3"/>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537EC3"/>
    <w:rPr>
      <w:rFonts w:ascii="Times New Roman" w:hAnsi="Times New Roman"/>
      <w:sz w:val="20"/>
      <w:szCs w:val="20"/>
    </w:rPr>
  </w:style>
  <w:style w:type="character" w:styleId="Odkaznavysvetlivku">
    <w:name w:val="endnote reference"/>
    <w:basedOn w:val="Predvolenpsmoodseku"/>
    <w:uiPriority w:val="99"/>
    <w:semiHidden/>
    <w:unhideWhenUsed/>
    <w:rsid w:val="00537EC3"/>
    <w:rPr>
      <w:vertAlign w:val="superscript"/>
    </w:rPr>
  </w:style>
  <w:style w:type="character" w:customStyle="1" w:styleId="ZarkazkladnhotextuChar1">
    <w:name w:val="Zarážka základného textu Char1"/>
    <w:basedOn w:val="Predvolenpsmoodseku"/>
    <w:uiPriority w:val="99"/>
    <w:semiHidden/>
    <w:rsid w:val="0078085C"/>
    <w:rPr>
      <w:rFonts w:ascii="Times New Roman" w:hAnsi="Times New Roman"/>
    </w:rPr>
  </w:style>
  <w:style w:type="paragraph" w:styleId="Obyajntext">
    <w:name w:val="Plain Text"/>
    <w:basedOn w:val="Normlny"/>
    <w:link w:val="ObyajntextChar"/>
    <w:uiPriority w:val="99"/>
    <w:unhideWhenUsed/>
    <w:rsid w:val="0078085C"/>
    <w:pPr>
      <w:spacing w:after="0" w:line="240" w:lineRule="auto"/>
      <w:jc w:val="left"/>
    </w:pPr>
    <w:rPr>
      <w:rFonts w:ascii="Arial Narrow" w:hAnsi="Arial Narrow"/>
    </w:rPr>
  </w:style>
  <w:style w:type="character" w:customStyle="1" w:styleId="ObyajntextChar">
    <w:name w:val="Obyčajný text Char"/>
    <w:basedOn w:val="Predvolenpsmoodseku"/>
    <w:link w:val="Obyajntext"/>
    <w:uiPriority w:val="99"/>
    <w:rsid w:val="0078085C"/>
    <w:rPr>
      <w:rFonts w:ascii="Arial Narrow" w:hAnsi="Arial Narrow"/>
    </w:rPr>
  </w:style>
  <w:style w:type="paragraph" w:customStyle="1" w:styleId="b-typo-p">
    <w:name w:val="b-typo-p"/>
    <w:basedOn w:val="Normlny"/>
    <w:rsid w:val="0078085C"/>
    <w:pPr>
      <w:spacing w:before="100" w:beforeAutospacing="1" w:after="100" w:afterAutospacing="1" w:line="240" w:lineRule="auto"/>
      <w:jc w:val="left"/>
    </w:pPr>
    <w:rPr>
      <w:rFonts w:eastAsia="Times New Roman" w:cs="Times New Roman"/>
      <w:sz w:val="24"/>
      <w:szCs w:val="24"/>
      <w:lang w:eastAsia="sk-SK"/>
    </w:rPr>
  </w:style>
  <w:style w:type="numbering" w:customStyle="1" w:styleId="Bezzoznamu1">
    <w:name w:val="Bez zoznamu1"/>
    <w:next w:val="Bezzoznamu"/>
    <w:uiPriority w:val="99"/>
    <w:semiHidden/>
    <w:unhideWhenUsed/>
    <w:rsid w:val="00867564"/>
  </w:style>
  <w:style w:type="paragraph" w:customStyle="1" w:styleId="xxmsonormal">
    <w:name w:val="xxmsonormal"/>
    <w:basedOn w:val="Normlny"/>
    <w:uiPriority w:val="99"/>
    <w:rsid w:val="00867564"/>
    <w:pPr>
      <w:spacing w:after="0" w:line="240" w:lineRule="auto"/>
      <w:jc w:val="left"/>
    </w:pPr>
    <w:rPr>
      <w:rFonts w:cs="Times New Roman"/>
      <w:sz w:val="24"/>
      <w:szCs w:val="24"/>
      <w:lang w:eastAsia="sk-SK"/>
    </w:rPr>
  </w:style>
  <w:style w:type="paragraph" w:customStyle="1" w:styleId="xmsonormal">
    <w:name w:val="x_msonormal"/>
    <w:basedOn w:val="Normlny"/>
    <w:rsid w:val="00867564"/>
    <w:pPr>
      <w:spacing w:before="100" w:beforeAutospacing="1" w:after="100" w:afterAutospacing="1" w:line="240" w:lineRule="auto"/>
      <w:jc w:val="left"/>
    </w:pPr>
    <w:rPr>
      <w:rFonts w:eastAsia="Times New Roman" w:cs="Times New Roman"/>
      <w:sz w:val="24"/>
      <w:szCs w:val="24"/>
      <w:lang w:eastAsia="sk-SK"/>
    </w:rPr>
  </w:style>
  <w:style w:type="character" w:customStyle="1" w:styleId="acopre1">
    <w:name w:val="acopre1"/>
    <w:basedOn w:val="Predvolenpsmoodseku"/>
    <w:rsid w:val="00005FDB"/>
  </w:style>
  <w:style w:type="paragraph" w:customStyle="1" w:styleId="Default0">
    <w:name w:val="Default"/>
    <w:rsid w:val="00CB3C45"/>
    <w:pPr>
      <w:autoSpaceDE w:val="0"/>
      <w:autoSpaceDN w:val="0"/>
      <w:adjustRightInd w:val="0"/>
      <w:spacing w:after="0" w:line="240" w:lineRule="auto"/>
    </w:pPr>
    <w:rPr>
      <w:rFonts w:ascii="EUAlbertina" w:hAnsi="EUAlbertina" w:cs="EUAlbertina"/>
      <w:color w:val="000000"/>
      <w:sz w:val="24"/>
      <w:szCs w:val="24"/>
    </w:rPr>
  </w:style>
  <w:style w:type="paragraph" w:customStyle="1" w:styleId="CM1">
    <w:name w:val="CM1"/>
    <w:basedOn w:val="Default0"/>
    <w:next w:val="Default0"/>
    <w:uiPriority w:val="99"/>
    <w:rsid w:val="00CB3C45"/>
    <w:rPr>
      <w:rFonts w:cstheme="minorBidi"/>
      <w:color w:val="auto"/>
    </w:rPr>
  </w:style>
  <w:style w:type="paragraph" w:customStyle="1" w:styleId="CM3">
    <w:name w:val="CM3"/>
    <w:basedOn w:val="Default0"/>
    <w:next w:val="Default0"/>
    <w:uiPriority w:val="99"/>
    <w:rsid w:val="00CB3C45"/>
    <w:rPr>
      <w:rFonts w:cstheme="minorBidi"/>
      <w:color w:val="auto"/>
    </w:rPr>
  </w:style>
  <w:style w:type="paragraph" w:customStyle="1" w:styleId="CM4">
    <w:name w:val="CM4"/>
    <w:basedOn w:val="Default0"/>
    <w:next w:val="Default0"/>
    <w:uiPriority w:val="99"/>
    <w:rsid w:val="00CB3C45"/>
    <w:rPr>
      <w:rFonts w:cstheme="minorBidi"/>
      <w:color w:val="auto"/>
    </w:rPr>
  </w:style>
  <w:style w:type="numbering" w:customStyle="1" w:styleId="Bezzoznamu2">
    <w:name w:val="Bez zoznamu2"/>
    <w:next w:val="Bezzoznamu"/>
    <w:uiPriority w:val="99"/>
    <w:semiHidden/>
    <w:unhideWhenUsed/>
    <w:rsid w:val="00D97CA6"/>
  </w:style>
  <w:style w:type="numbering" w:customStyle="1" w:styleId="Bezzoznamu11">
    <w:name w:val="Bez zoznamu11"/>
    <w:next w:val="Bezzoznamu"/>
    <w:uiPriority w:val="99"/>
    <w:semiHidden/>
    <w:unhideWhenUsed/>
    <w:rsid w:val="00D97CA6"/>
  </w:style>
  <w:style w:type="numbering" w:customStyle="1" w:styleId="Bezzoznamu111">
    <w:name w:val="Bez zoznamu111"/>
    <w:next w:val="Bezzoznamu"/>
    <w:uiPriority w:val="99"/>
    <w:semiHidden/>
    <w:unhideWhenUsed/>
    <w:rsid w:val="00D97CA6"/>
  </w:style>
  <w:style w:type="paragraph" w:customStyle="1" w:styleId="yiv9055684040xmsonormal">
    <w:name w:val="yiv9055684040xmsonormal"/>
    <w:basedOn w:val="Normlny"/>
    <w:rsid w:val="00D97CA6"/>
    <w:pPr>
      <w:spacing w:before="100" w:beforeAutospacing="1" w:after="100" w:afterAutospacing="1" w:line="240" w:lineRule="auto"/>
      <w:jc w:val="left"/>
    </w:pPr>
    <w:rPr>
      <w:rFonts w:eastAsia="Times New Roman" w:cs="Times New Roman"/>
      <w:sz w:val="24"/>
      <w:szCs w:val="24"/>
      <w:lang w:eastAsia="sk-SK"/>
    </w:rPr>
  </w:style>
  <w:style w:type="numbering" w:customStyle="1" w:styleId="Bezzoznamu3">
    <w:name w:val="Bez zoznamu3"/>
    <w:next w:val="Bezzoznamu"/>
    <w:uiPriority w:val="99"/>
    <w:semiHidden/>
    <w:unhideWhenUsed/>
    <w:rsid w:val="0095178A"/>
  </w:style>
  <w:style w:type="numbering" w:customStyle="1" w:styleId="Bezzoznamu12">
    <w:name w:val="Bez zoznamu12"/>
    <w:next w:val="Bezzoznamu"/>
    <w:uiPriority w:val="99"/>
    <w:semiHidden/>
    <w:unhideWhenUsed/>
    <w:rsid w:val="0095178A"/>
  </w:style>
  <w:style w:type="paragraph" w:customStyle="1" w:styleId="Graf">
    <w:name w:val="Graf"/>
    <w:autoRedefine/>
    <w:qFormat/>
    <w:rsid w:val="003234A0"/>
    <w:pPr>
      <w:spacing w:after="0" w:line="240" w:lineRule="auto"/>
      <w:jc w:val="both"/>
    </w:pPr>
    <w:rPr>
      <w:rFonts w:ascii="Times New Roman" w:eastAsia="Arial Narrow" w:hAnsi="Times New Roman" w:cs="Times New Roman"/>
      <w:b/>
      <w:bCs/>
      <w:noProof/>
      <w:color w:val="5B9BD5" w:themeColor="accent1"/>
      <w:sz w:val="20"/>
      <w:szCs w:val="36"/>
      <w:lang w:eastAsia="sk-SK"/>
    </w:rPr>
  </w:style>
  <w:style w:type="paragraph" w:customStyle="1" w:styleId="font5">
    <w:name w:val="font5"/>
    <w:basedOn w:val="Normlny"/>
    <w:rsid w:val="00E76212"/>
    <w:pPr>
      <w:spacing w:before="100" w:beforeAutospacing="1" w:after="100" w:afterAutospacing="1" w:line="240" w:lineRule="auto"/>
      <w:jc w:val="left"/>
    </w:pPr>
    <w:rPr>
      <w:rFonts w:eastAsia="Times New Roman" w:cs="Times New Roman"/>
      <w:color w:val="000000"/>
      <w:sz w:val="16"/>
      <w:szCs w:val="16"/>
      <w:lang w:eastAsia="sk-SK"/>
    </w:rPr>
  </w:style>
  <w:style w:type="paragraph" w:customStyle="1" w:styleId="font6">
    <w:name w:val="font6"/>
    <w:basedOn w:val="Normlny"/>
    <w:rsid w:val="00E76212"/>
    <w:pPr>
      <w:spacing w:before="100" w:beforeAutospacing="1" w:after="100" w:afterAutospacing="1" w:line="240" w:lineRule="auto"/>
      <w:jc w:val="left"/>
    </w:pPr>
    <w:rPr>
      <w:rFonts w:eastAsia="Times New Roman" w:cs="Times New Roman"/>
      <w:sz w:val="16"/>
      <w:szCs w:val="16"/>
      <w:lang w:eastAsia="sk-SK"/>
    </w:rPr>
  </w:style>
  <w:style w:type="paragraph" w:customStyle="1" w:styleId="xl65">
    <w:name w:val="xl65"/>
    <w:basedOn w:val="Normlny"/>
    <w:rsid w:val="00E76212"/>
    <w:pPr>
      <w:spacing w:before="100" w:beforeAutospacing="1" w:after="100" w:afterAutospacing="1" w:line="240" w:lineRule="auto"/>
      <w:jc w:val="left"/>
    </w:pPr>
    <w:rPr>
      <w:rFonts w:eastAsia="Times New Roman" w:cs="Times New Roman"/>
      <w:sz w:val="16"/>
      <w:szCs w:val="16"/>
      <w:lang w:eastAsia="sk-SK"/>
    </w:rPr>
  </w:style>
  <w:style w:type="paragraph" w:customStyle="1" w:styleId="xl66">
    <w:name w:val="xl66"/>
    <w:basedOn w:val="Normlny"/>
    <w:rsid w:val="00E76212"/>
    <w:pPr>
      <w:spacing w:before="100" w:beforeAutospacing="1" w:after="100" w:afterAutospacing="1" w:line="240" w:lineRule="auto"/>
      <w:jc w:val="right"/>
      <w:textAlignment w:val="center"/>
    </w:pPr>
    <w:rPr>
      <w:rFonts w:eastAsia="Times New Roman" w:cs="Times New Roman"/>
      <w:i/>
      <w:iCs/>
      <w:sz w:val="16"/>
      <w:szCs w:val="16"/>
      <w:lang w:eastAsia="sk-SK"/>
    </w:rPr>
  </w:style>
  <w:style w:type="paragraph" w:customStyle="1" w:styleId="xl67">
    <w:name w:val="xl67"/>
    <w:basedOn w:val="Normlny"/>
    <w:rsid w:val="00E76212"/>
    <w:pPr>
      <w:pBdr>
        <w:bottom w:val="single" w:sz="4" w:space="0" w:color="auto"/>
      </w:pBdr>
      <w:spacing w:before="100" w:beforeAutospacing="1" w:after="100" w:afterAutospacing="1" w:line="240" w:lineRule="auto"/>
      <w:jc w:val="left"/>
      <w:textAlignment w:val="center"/>
    </w:pPr>
    <w:rPr>
      <w:rFonts w:eastAsia="Times New Roman" w:cs="Times New Roman"/>
      <w:b/>
      <w:bCs/>
      <w:color w:val="000000"/>
      <w:sz w:val="16"/>
      <w:szCs w:val="16"/>
      <w:lang w:eastAsia="sk-SK"/>
    </w:rPr>
  </w:style>
  <w:style w:type="paragraph" w:customStyle="1" w:styleId="xl68">
    <w:name w:val="xl68"/>
    <w:basedOn w:val="Normlny"/>
    <w:rsid w:val="00E76212"/>
    <w:pPr>
      <w:spacing w:before="100" w:beforeAutospacing="1" w:after="100" w:afterAutospacing="1" w:line="240" w:lineRule="auto"/>
      <w:jc w:val="left"/>
      <w:textAlignment w:val="center"/>
    </w:pPr>
    <w:rPr>
      <w:rFonts w:eastAsia="Times New Roman" w:cs="Times New Roman"/>
      <w:sz w:val="16"/>
      <w:szCs w:val="16"/>
      <w:lang w:eastAsia="sk-SK"/>
    </w:rPr>
  </w:style>
  <w:style w:type="paragraph" w:customStyle="1" w:styleId="xl69">
    <w:name w:val="xl69"/>
    <w:basedOn w:val="Normlny"/>
    <w:rsid w:val="00E76212"/>
    <w:pPr>
      <w:pBdr>
        <w:top w:val="single" w:sz="4" w:space="0" w:color="auto"/>
      </w:pBdr>
      <w:spacing w:before="100" w:beforeAutospacing="1" w:after="100" w:afterAutospacing="1" w:line="240" w:lineRule="auto"/>
      <w:jc w:val="left"/>
      <w:textAlignment w:val="center"/>
    </w:pPr>
    <w:rPr>
      <w:rFonts w:eastAsia="Times New Roman" w:cs="Times New Roman"/>
      <w:b/>
      <w:bCs/>
      <w:sz w:val="16"/>
      <w:szCs w:val="16"/>
      <w:lang w:eastAsia="sk-SK"/>
    </w:rPr>
  </w:style>
  <w:style w:type="paragraph" w:customStyle="1" w:styleId="xl70">
    <w:name w:val="xl70"/>
    <w:basedOn w:val="Normlny"/>
    <w:rsid w:val="00E76212"/>
    <w:pPr>
      <w:pBdr>
        <w:top w:val="single" w:sz="4" w:space="0" w:color="auto"/>
      </w:pBdr>
      <w:spacing w:before="100" w:beforeAutospacing="1" w:after="100" w:afterAutospacing="1" w:line="240" w:lineRule="auto"/>
      <w:jc w:val="center"/>
      <w:textAlignment w:val="center"/>
    </w:pPr>
    <w:rPr>
      <w:rFonts w:eastAsia="Times New Roman" w:cs="Times New Roman"/>
      <w:b/>
      <w:bCs/>
      <w:sz w:val="16"/>
      <w:szCs w:val="16"/>
      <w:lang w:eastAsia="sk-SK"/>
    </w:rPr>
  </w:style>
  <w:style w:type="paragraph" w:customStyle="1" w:styleId="xl71">
    <w:name w:val="xl71"/>
    <w:basedOn w:val="Normlny"/>
    <w:rsid w:val="00E76212"/>
    <w:pPr>
      <w:spacing w:before="100" w:beforeAutospacing="1" w:after="100" w:afterAutospacing="1" w:line="240" w:lineRule="auto"/>
      <w:jc w:val="left"/>
      <w:textAlignment w:val="center"/>
    </w:pPr>
    <w:rPr>
      <w:rFonts w:eastAsia="Times New Roman" w:cs="Times New Roman"/>
      <w:sz w:val="16"/>
      <w:szCs w:val="16"/>
      <w:lang w:eastAsia="sk-SK"/>
    </w:rPr>
  </w:style>
  <w:style w:type="paragraph" w:customStyle="1" w:styleId="xl72">
    <w:name w:val="xl72"/>
    <w:basedOn w:val="Normlny"/>
    <w:rsid w:val="00E76212"/>
    <w:pPr>
      <w:spacing w:before="100" w:beforeAutospacing="1" w:after="100" w:afterAutospacing="1" w:line="240" w:lineRule="auto"/>
      <w:jc w:val="left"/>
      <w:textAlignment w:val="center"/>
    </w:pPr>
    <w:rPr>
      <w:rFonts w:eastAsia="Times New Roman" w:cs="Times New Roman"/>
      <w:sz w:val="16"/>
      <w:szCs w:val="16"/>
      <w:lang w:eastAsia="sk-SK"/>
    </w:rPr>
  </w:style>
  <w:style w:type="paragraph" w:customStyle="1" w:styleId="xl73">
    <w:name w:val="xl73"/>
    <w:basedOn w:val="Normlny"/>
    <w:rsid w:val="00E76212"/>
    <w:pPr>
      <w:spacing w:before="100" w:beforeAutospacing="1" w:after="100" w:afterAutospacing="1" w:line="240" w:lineRule="auto"/>
      <w:jc w:val="left"/>
      <w:textAlignment w:val="center"/>
    </w:pPr>
    <w:rPr>
      <w:rFonts w:eastAsia="Times New Roman" w:cs="Times New Roman"/>
      <w:sz w:val="16"/>
      <w:szCs w:val="16"/>
      <w:lang w:eastAsia="sk-SK"/>
    </w:rPr>
  </w:style>
  <w:style w:type="paragraph" w:customStyle="1" w:styleId="xl74">
    <w:name w:val="xl74"/>
    <w:basedOn w:val="Normlny"/>
    <w:rsid w:val="00E76212"/>
    <w:pPr>
      <w:spacing w:before="100" w:beforeAutospacing="1" w:after="100" w:afterAutospacing="1" w:line="240" w:lineRule="auto"/>
      <w:jc w:val="left"/>
      <w:textAlignment w:val="center"/>
    </w:pPr>
    <w:rPr>
      <w:rFonts w:eastAsia="Times New Roman" w:cs="Times New Roman"/>
      <w:sz w:val="16"/>
      <w:szCs w:val="16"/>
      <w:lang w:eastAsia="sk-SK"/>
    </w:rPr>
  </w:style>
  <w:style w:type="paragraph" w:customStyle="1" w:styleId="xl75">
    <w:name w:val="xl75"/>
    <w:basedOn w:val="Normlny"/>
    <w:rsid w:val="00E76212"/>
    <w:pPr>
      <w:pBdr>
        <w:bottom w:val="single" w:sz="4" w:space="0" w:color="auto"/>
      </w:pBdr>
      <w:spacing w:before="100" w:beforeAutospacing="1" w:after="100" w:afterAutospacing="1" w:line="240" w:lineRule="auto"/>
      <w:jc w:val="left"/>
      <w:textAlignment w:val="center"/>
    </w:pPr>
    <w:rPr>
      <w:rFonts w:eastAsia="Times New Roman" w:cs="Times New Roman"/>
      <w:b/>
      <w:bCs/>
      <w:color w:val="000000"/>
      <w:sz w:val="16"/>
      <w:szCs w:val="16"/>
      <w:lang w:eastAsia="sk-SK"/>
    </w:rPr>
  </w:style>
  <w:style w:type="paragraph" w:customStyle="1" w:styleId="xl76">
    <w:name w:val="xl76"/>
    <w:basedOn w:val="Normlny"/>
    <w:rsid w:val="00E76212"/>
    <w:pPr>
      <w:spacing w:before="100" w:beforeAutospacing="1" w:after="100" w:afterAutospacing="1" w:line="240" w:lineRule="auto"/>
      <w:jc w:val="right"/>
      <w:textAlignment w:val="center"/>
    </w:pPr>
    <w:rPr>
      <w:rFonts w:eastAsia="Times New Roman" w:cs="Times New Roman"/>
      <w:sz w:val="16"/>
      <w:szCs w:val="16"/>
      <w:lang w:eastAsia="sk-SK"/>
    </w:rPr>
  </w:style>
  <w:style w:type="character" w:styleId="Zvraznenie">
    <w:name w:val="Emphasis"/>
    <w:basedOn w:val="Predvolenpsmoodseku"/>
    <w:uiPriority w:val="20"/>
    <w:qFormat/>
    <w:rsid w:val="00E76212"/>
    <w:rPr>
      <w:i/>
      <w:iCs/>
    </w:rPr>
  </w:style>
  <w:style w:type="paragraph" w:customStyle="1" w:styleId="Nadpis11">
    <w:name w:val="Nadpis 11"/>
    <w:basedOn w:val="Normlny"/>
    <w:next w:val="Normlny"/>
    <w:uiPriority w:val="9"/>
    <w:qFormat/>
    <w:rsid w:val="00B768D9"/>
    <w:pPr>
      <w:keepNext/>
      <w:spacing w:before="120"/>
      <w:ind w:left="4402" w:hanging="432"/>
      <w:jc w:val="center"/>
      <w:outlineLvl w:val="0"/>
    </w:pPr>
    <w:rPr>
      <w:rFonts w:eastAsia="Times New Roman" w:cs="Times New Roman"/>
      <w:b/>
      <w:sz w:val="26"/>
      <w:szCs w:val="32"/>
    </w:rPr>
  </w:style>
  <w:style w:type="paragraph" w:customStyle="1" w:styleId="Nadpis21">
    <w:name w:val="Nadpis 21"/>
    <w:basedOn w:val="Normlny"/>
    <w:next w:val="Normlny"/>
    <w:uiPriority w:val="9"/>
    <w:unhideWhenUsed/>
    <w:qFormat/>
    <w:rsid w:val="00B768D9"/>
    <w:pPr>
      <w:keepNext/>
      <w:spacing w:before="120"/>
      <w:ind w:left="578" w:hanging="578"/>
      <w:jc w:val="center"/>
      <w:outlineLvl w:val="1"/>
    </w:pPr>
    <w:rPr>
      <w:rFonts w:eastAsia="Times New Roman" w:cs="Times New Roman"/>
      <w:b/>
      <w:sz w:val="24"/>
      <w:szCs w:val="26"/>
    </w:rPr>
  </w:style>
  <w:style w:type="paragraph" w:customStyle="1" w:styleId="Nadpis31">
    <w:name w:val="Nadpis 31"/>
    <w:basedOn w:val="Normlny"/>
    <w:next w:val="Normlny"/>
    <w:uiPriority w:val="9"/>
    <w:unhideWhenUsed/>
    <w:qFormat/>
    <w:rsid w:val="00B768D9"/>
    <w:pPr>
      <w:keepNext/>
      <w:keepLines/>
      <w:spacing w:before="120" w:line="240" w:lineRule="auto"/>
      <w:jc w:val="center"/>
      <w:outlineLvl w:val="2"/>
    </w:pPr>
    <w:rPr>
      <w:rFonts w:eastAsia="Times New Roman" w:cs="Times New Roman"/>
      <w:b/>
      <w:sz w:val="24"/>
      <w:szCs w:val="24"/>
    </w:rPr>
  </w:style>
  <w:style w:type="paragraph" w:customStyle="1" w:styleId="Nadpis41">
    <w:name w:val="Nadpis 41"/>
    <w:basedOn w:val="Normlny"/>
    <w:next w:val="Normlny"/>
    <w:uiPriority w:val="9"/>
    <w:unhideWhenUsed/>
    <w:qFormat/>
    <w:rsid w:val="00B768D9"/>
    <w:pPr>
      <w:keepNext/>
      <w:keepLines/>
      <w:spacing w:before="120"/>
      <w:ind w:left="862" w:hanging="862"/>
      <w:jc w:val="center"/>
      <w:outlineLvl w:val="3"/>
    </w:pPr>
    <w:rPr>
      <w:rFonts w:eastAsia="Times New Roman" w:cs="Times New Roman"/>
      <w:b/>
      <w:iCs/>
    </w:rPr>
  </w:style>
  <w:style w:type="paragraph" w:customStyle="1" w:styleId="Nadpis51">
    <w:name w:val="Nadpis 51"/>
    <w:basedOn w:val="Normlny"/>
    <w:next w:val="Normlny"/>
    <w:uiPriority w:val="9"/>
    <w:unhideWhenUsed/>
    <w:qFormat/>
    <w:rsid w:val="00B768D9"/>
    <w:pPr>
      <w:keepNext/>
      <w:keepLines/>
      <w:spacing w:before="40" w:after="0"/>
      <w:ind w:left="1008" w:hanging="1008"/>
      <w:outlineLvl w:val="4"/>
    </w:pPr>
    <w:rPr>
      <w:rFonts w:eastAsia="Times New Roman" w:cs="Times New Roman"/>
      <w:b/>
    </w:rPr>
  </w:style>
  <w:style w:type="paragraph" w:customStyle="1" w:styleId="Nadpis61">
    <w:name w:val="Nadpis 61"/>
    <w:basedOn w:val="Normlny"/>
    <w:next w:val="Normlny"/>
    <w:uiPriority w:val="9"/>
    <w:semiHidden/>
    <w:unhideWhenUsed/>
    <w:qFormat/>
    <w:rsid w:val="00B768D9"/>
    <w:pPr>
      <w:keepNext/>
      <w:keepLines/>
      <w:spacing w:before="40" w:after="0"/>
      <w:ind w:left="1152" w:hanging="1152"/>
      <w:outlineLvl w:val="5"/>
    </w:pPr>
    <w:rPr>
      <w:rFonts w:ascii="Calibri Light" w:eastAsia="Times New Roman" w:hAnsi="Calibri Light" w:cs="Times New Roman"/>
      <w:color w:val="1F4D78"/>
    </w:rPr>
  </w:style>
  <w:style w:type="paragraph" w:customStyle="1" w:styleId="Nadpis71">
    <w:name w:val="Nadpis 71"/>
    <w:basedOn w:val="Normlny"/>
    <w:next w:val="Normlny"/>
    <w:uiPriority w:val="9"/>
    <w:semiHidden/>
    <w:unhideWhenUsed/>
    <w:qFormat/>
    <w:rsid w:val="00B768D9"/>
    <w:pPr>
      <w:keepNext/>
      <w:keepLines/>
      <w:spacing w:before="40" w:after="0"/>
      <w:ind w:left="1296" w:hanging="1296"/>
      <w:outlineLvl w:val="6"/>
    </w:pPr>
    <w:rPr>
      <w:rFonts w:ascii="Calibri Light" w:eastAsia="Times New Roman" w:hAnsi="Calibri Light" w:cs="Times New Roman"/>
      <w:i/>
      <w:iCs/>
      <w:color w:val="1F4D78"/>
    </w:rPr>
  </w:style>
  <w:style w:type="paragraph" w:customStyle="1" w:styleId="Nadpis81">
    <w:name w:val="Nadpis 81"/>
    <w:basedOn w:val="Normlny"/>
    <w:next w:val="Normlny"/>
    <w:uiPriority w:val="9"/>
    <w:semiHidden/>
    <w:unhideWhenUsed/>
    <w:qFormat/>
    <w:rsid w:val="00B768D9"/>
    <w:pPr>
      <w:keepNext/>
      <w:keepLines/>
      <w:spacing w:before="40" w:after="0"/>
      <w:ind w:left="1440" w:hanging="1440"/>
      <w:outlineLvl w:val="7"/>
    </w:pPr>
    <w:rPr>
      <w:rFonts w:ascii="Calibri Light" w:eastAsia="Times New Roman" w:hAnsi="Calibri Light" w:cs="Times New Roman"/>
      <w:color w:val="272727"/>
      <w:sz w:val="21"/>
      <w:szCs w:val="21"/>
    </w:rPr>
  </w:style>
  <w:style w:type="paragraph" w:customStyle="1" w:styleId="Nadpis91">
    <w:name w:val="Nadpis 91"/>
    <w:basedOn w:val="Normlny"/>
    <w:next w:val="Normlny"/>
    <w:uiPriority w:val="9"/>
    <w:semiHidden/>
    <w:unhideWhenUsed/>
    <w:qFormat/>
    <w:rsid w:val="00B768D9"/>
    <w:pPr>
      <w:keepNext/>
      <w:keepLines/>
      <w:spacing w:before="40" w:after="0"/>
      <w:ind w:left="1584" w:hanging="1584"/>
      <w:outlineLvl w:val="8"/>
    </w:pPr>
    <w:rPr>
      <w:rFonts w:ascii="Calibri Light" w:eastAsia="Times New Roman" w:hAnsi="Calibri Light" w:cs="Times New Roman"/>
      <w:i/>
      <w:iCs/>
      <w:color w:val="272727"/>
      <w:sz w:val="21"/>
      <w:szCs w:val="21"/>
    </w:rPr>
  </w:style>
  <w:style w:type="character" w:customStyle="1" w:styleId="Hypertextovprepojenie1">
    <w:name w:val="Hypertextové prepojenie1"/>
    <w:basedOn w:val="Predvolenpsmoodseku"/>
    <w:uiPriority w:val="99"/>
    <w:unhideWhenUsed/>
    <w:rsid w:val="00B768D9"/>
    <w:rPr>
      <w:color w:val="0563C1"/>
      <w:u w:val="single"/>
    </w:rPr>
  </w:style>
  <w:style w:type="paragraph" w:customStyle="1" w:styleId="Obsah41">
    <w:name w:val="Obsah 41"/>
    <w:basedOn w:val="Normlny"/>
    <w:next w:val="Normlny"/>
    <w:autoRedefine/>
    <w:uiPriority w:val="39"/>
    <w:unhideWhenUsed/>
    <w:rsid w:val="00B768D9"/>
    <w:pPr>
      <w:tabs>
        <w:tab w:val="left" w:pos="833"/>
      </w:tabs>
      <w:spacing w:after="0" w:line="240" w:lineRule="auto"/>
      <w:jc w:val="left"/>
    </w:pPr>
    <w:rPr>
      <w:rFonts w:asciiTheme="minorHAnsi" w:hAnsiTheme="minorHAnsi"/>
    </w:rPr>
  </w:style>
  <w:style w:type="paragraph" w:customStyle="1" w:styleId="Obsah51">
    <w:name w:val="Obsah 51"/>
    <w:basedOn w:val="Normlny"/>
    <w:next w:val="Normlny"/>
    <w:autoRedefine/>
    <w:uiPriority w:val="39"/>
    <w:unhideWhenUsed/>
    <w:rsid w:val="00B768D9"/>
    <w:pPr>
      <w:spacing w:after="0"/>
      <w:jc w:val="left"/>
    </w:pPr>
    <w:rPr>
      <w:rFonts w:asciiTheme="minorHAnsi" w:hAnsiTheme="minorHAnsi"/>
    </w:rPr>
  </w:style>
  <w:style w:type="paragraph" w:customStyle="1" w:styleId="Obsah61">
    <w:name w:val="Obsah 61"/>
    <w:basedOn w:val="Normlny"/>
    <w:next w:val="Normlny"/>
    <w:autoRedefine/>
    <w:uiPriority w:val="39"/>
    <w:unhideWhenUsed/>
    <w:rsid w:val="00B768D9"/>
    <w:pPr>
      <w:spacing w:after="0"/>
      <w:jc w:val="left"/>
    </w:pPr>
    <w:rPr>
      <w:rFonts w:asciiTheme="minorHAnsi" w:hAnsiTheme="minorHAnsi"/>
    </w:rPr>
  </w:style>
  <w:style w:type="paragraph" w:customStyle="1" w:styleId="Obsah71">
    <w:name w:val="Obsah 71"/>
    <w:basedOn w:val="Normlny"/>
    <w:next w:val="Normlny"/>
    <w:autoRedefine/>
    <w:uiPriority w:val="39"/>
    <w:unhideWhenUsed/>
    <w:rsid w:val="00B768D9"/>
    <w:pPr>
      <w:spacing w:after="0"/>
      <w:jc w:val="left"/>
    </w:pPr>
    <w:rPr>
      <w:rFonts w:asciiTheme="minorHAnsi" w:hAnsiTheme="minorHAnsi"/>
    </w:rPr>
  </w:style>
  <w:style w:type="paragraph" w:customStyle="1" w:styleId="Obsah81">
    <w:name w:val="Obsah 81"/>
    <w:basedOn w:val="Normlny"/>
    <w:next w:val="Normlny"/>
    <w:autoRedefine/>
    <w:uiPriority w:val="39"/>
    <w:unhideWhenUsed/>
    <w:rsid w:val="00B768D9"/>
    <w:pPr>
      <w:spacing w:after="0"/>
      <w:jc w:val="left"/>
    </w:pPr>
    <w:rPr>
      <w:rFonts w:asciiTheme="minorHAnsi" w:hAnsiTheme="minorHAnsi"/>
    </w:rPr>
  </w:style>
  <w:style w:type="paragraph" w:customStyle="1" w:styleId="Obsah91">
    <w:name w:val="Obsah 91"/>
    <w:basedOn w:val="Normlny"/>
    <w:next w:val="Normlny"/>
    <w:autoRedefine/>
    <w:uiPriority w:val="39"/>
    <w:unhideWhenUsed/>
    <w:rsid w:val="00B768D9"/>
    <w:pPr>
      <w:spacing w:after="0"/>
      <w:jc w:val="left"/>
    </w:pPr>
    <w:rPr>
      <w:rFonts w:asciiTheme="minorHAnsi" w:hAnsiTheme="minorHAnsi"/>
    </w:rPr>
  </w:style>
  <w:style w:type="character" w:customStyle="1" w:styleId="PouitHypertextovPrepojenie1">
    <w:name w:val="PoužitéHypertextovéPrepojenie1"/>
    <w:basedOn w:val="Predvolenpsmoodseku"/>
    <w:uiPriority w:val="99"/>
    <w:semiHidden/>
    <w:unhideWhenUsed/>
    <w:rsid w:val="00B768D9"/>
    <w:rPr>
      <w:color w:val="954F72"/>
      <w:u w:val="single"/>
    </w:rPr>
  </w:style>
  <w:style w:type="paragraph" w:customStyle="1" w:styleId="Predmetkomentra1">
    <w:name w:val="Predmet komentára1"/>
    <w:basedOn w:val="Textkomentra"/>
    <w:next w:val="Textkomentra"/>
    <w:uiPriority w:val="99"/>
    <w:semiHidden/>
    <w:unhideWhenUsed/>
    <w:rsid w:val="00B768D9"/>
    <w:rPr>
      <w:rFonts w:eastAsia="Calibri"/>
      <w:b/>
      <w:bCs/>
    </w:rPr>
  </w:style>
  <w:style w:type="paragraph" w:customStyle="1" w:styleId="Hlavikaobsahu1">
    <w:name w:val="Hlavička obsahu1"/>
    <w:basedOn w:val="Nadpis1"/>
    <w:next w:val="Normlny"/>
    <w:uiPriority w:val="39"/>
    <w:unhideWhenUsed/>
    <w:qFormat/>
    <w:rsid w:val="00B768D9"/>
    <w:pPr>
      <w:keepLines/>
      <w:numPr>
        <w:numId w:val="0"/>
      </w:numPr>
      <w:spacing w:before="240" w:after="0" w:line="259" w:lineRule="auto"/>
      <w:jc w:val="left"/>
    </w:pPr>
    <w:rPr>
      <w:rFonts w:eastAsia="Times New Roman" w:cs="Times New Roman"/>
    </w:rPr>
  </w:style>
  <w:style w:type="numbering" w:customStyle="1" w:styleId="Bezzoznamu1111">
    <w:name w:val="Bez zoznamu1111"/>
    <w:next w:val="Bezzoznamu"/>
    <w:uiPriority w:val="99"/>
    <w:semiHidden/>
    <w:unhideWhenUsed/>
    <w:rsid w:val="00B768D9"/>
  </w:style>
  <w:style w:type="character" w:customStyle="1" w:styleId="Nadpis1Char1">
    <w:name w:val="Nadpis 1 Char1"/>
    <w:basedOn w:val="Predvolenpsmoodseku"/>
    <w:uiPriority w:val="9"/>
    <w:rsid w:val="00B768D9"/>
    <w:rPr>
      <w:rFonts w:asciiTheme="majorHAnsi" w:eastAsiaTheme="majorEastAsia" w:hAnsiTheme="majorHAnsi" w:cstheme="majorBidi"/>
      <w:color w:val="2E74B5" w:themeColor="accent1" w:themeShade="BF"/>
      <w:sz w:val="32"/>
      <w:szCs w:val="32"/>
    </w:rPr>
  </w:style>
  <w:style w:type="character" w:customStyle="1" w:styleId="Nadpis2Char1">
    <w:name w:val="Nadpis 2 Char1"/>
    <w:basedOn w:val="Predvolenpsmoodseku"/>
    <w:uiPriority w:val="9"/>
    <w:semiHidden/>
    <w:rsid w:val="00B768D9"/>
    <w:rPr>
      <w:rFonts w:asciiTheme="majorHAnsi" w:eastAsiaTheme="majorEastAsia" w:hAnsiTheme="majorHAnsi" w:cstheme="majorBidi"/>
      <w:color w:val="2E74B5" w:themeColor="accent1" w:themeShade="BF"/>
      <w:sz w:val="26"/>
      <w:szCs w:val="26"/>
    </w:rPr>
  </w:style>
  <w:style w:type="character" w:customStyle="1" w:styleId="Nadpis3Char1">
    <w:name w:val="Nadpis 3 Char1"/>
    <w:basedOn w:val="Predvolenpsmoodseku"/>
    <w:uiPriority w:val="9"/>
    <w:semiHidden/>
    <w:rsid w:val="00B768D9"/>
    <w:rPr>
      <w:rFonts w:asciiTheme="majorHAnsi" w:eastAsiaTheme="majorEastAsia" w:hAnsiTheme="majorHAnsi" w:cstheme="majorBidi"/>
      <w:color w:val="1F4D78" w:themeColor="accent1" w:themeShade="7F"/>
      <w:sz w:val="24"/>
      <w:szCs w:val="24"/>
    </w:rPr>
  </w:style>
  <w:style w:type="character" w:customStyle="1" w:styleId="Nadpis4Char1">
    <w:name w:val="Nadpis 4 Char1"/>
    <w:basedOn w:val="Predvolenpsmoodseku"/>
    <w:uiPriority w:val="9"/>
    <w:semiHidden/>
    <w:rsid w:val="00B768D9"/>
    <w:rPr>
      <w:rFonts w:asciiTheme="majorHAnsi" w:eastAsiaTheme="majorEastAsia" w:hAnsiTheme="majorHAnsi" w:cstheme="majorBidi"/>
      <w:i/>
      <w:iCs/>
      <w:color w:val="2E74B5" w:themeColor="accent1" w:themeShade="BF"/>
    </w:rPr>
  </w:style>
  <w:style w:type="character" w:customStyle="1" w:styleId="Nadpis5Char1">
    <w:name w:val="Nadpis 5 Char1"/>
    <w:basedOn w:val="Predvolenpsmoodseku"/>
    <w:uiPriority w:val="9"/>
    <w:semiHidden/>
    <w:rsid w:val="00B768D9"/>
    <w:rPr>
      <w:rFonts w:asciiTheme="majorHAnsi" w:eastAsiaTheme="majorEastAsia" w:hAnsiTheme="majorHAnsi" w:cstheme="majorBidi"/>
      <w:color w:val="2E74B5" w:themeColor="accent1" w:themeShade="BF"/>
    </w:rPr>
  </w:style>
  <w:style w:type="character" w:customStyle="1" w:styleId="Nadpis6Char1">
    <w:name w:val="Nadpis 6 Char1"/>
    <w:basedOn w:val="Predvolenpsmoodseku"/>
    <w:uiPriority w:val="9"/>
    <w:semiHidden/>
    <w:rsid w:val="00B768D9"/>
    <w:rPr>
      <w:rFonts w:asciiTheme="majorHAnsi" w:eastAsiaTheme="majorEastAsia" w:hAnsiTheme="majorHAnsi" w:cstheme="majorBidi"/>
      <w:color w:val="1F4D78" w:themeColor="accent1" w:themeShade="7F"/>
    </w:rPr>
  </w:style>
  <w:style w:type="character" w:customStyle="1" w:styleId="Nadpis7Char1">
    <w:name w:val="Nadpis 7 Char1"/>
    <w:basedOn w:val="Predvolenpsmoodseku"/>
    <w:uiPriority w:val="9"/>
    <w:semiHidden/>
    <w:rsid w:val="00B768D9"/>
    <w:rPr>
      <w:rFonts w:asciiTheme="majorHAnsi" w:eastAsiaTheme="majorEastAsia" w:hAnsiTheme="majorHAnsi" w:cstheme="majorBidi"/>
      <w:i/>
      <w:iCs/>
      <w:color w:val="1F4D78" w:themeColor="accent1" w:themeShade="7F"/>
    </w:rPr>
  </w:style>
  <w:style w:type="character" w:customStyle="1" w:styleId="Nadpis8Char1">
    <w:name w:val="Nadpis 8 Char1"/>
    <w:basedOn w:val="Predvolenpsmoodseku"/>
    <w:uiPriority w:val="9"/>
    <w:semiHidden/>
    <w:rsid w:val="00B768D9"/>
    <w:rPr>
      <w:rFonts w:asciiTheme="majorHAnsi" w:eastAsiaTheme="majorEastAsia" w:hAnsiTheme="majorHAnsi" w:cstheme="majorBidi"/>
      <w:color w:val="272727" w:themeColor="text1" w:themeTint="D8"/>
      <w:sz w:val="21"/>
      <w:szCs w:val="21"/>
    </w:rPr>
  </w:style>
  <w:style w:type="character" w:customStyle="1" w:styleId="Nadpis9Char1">
    <w:name w:val="Nadpis 9 Char1"/>
    <w:basedOn w:val="Predvolenpsmoodseku"/>
    <w:uiPriority w:val="9"/>
    <w:semiHidden/>
    <w:rsid w:val="00B768D9"/>
    <w:rPr>
      <w:rFonts w:asciiTheme="majorHAnsi" w:eastAsiaTheme="majorEastAsia" w:hAnsiTheme="majorHAnsi" w:cstheme="majorBidi"/>
      <w:i/>
      <w:iCs/>
      <w:color w:val="272727" w:themeColor="text1" w:themeTint="D8"/>
      <w:sz w:val="21"/>
      <w:szCs w:val="21"/>
    </w:rPr>
  </w:style>
  <w:style w:type="character" w:customStyle="1" w:styleId="PredmetkomentraChar1">
    <w:name w:val="Predmet komentára Char1"/>
    <w:basedOn w:val="TextkomentraChar"/>
    <w:uiPriority w:val="99"/>
    <w:semiHidden/>
    <w:rsid w:val="00B768D9"/>
    <w:rPr>
      <w:rFonts w:ascii="Times New Roman" w:eastAsia="Times New Roman" w:hAnsi="Times New Roman" w:cs="Times New Roman"/>
      <w:b/>
      <w:bCs/>
      <w:sz w:val="20"/>
      <w:szCs w:val="20"/>
    </w:rPr>
  </w:style>
  <w:style w:type="paragraph" w:customStyle="1" w:styleId="TimesRoman">
    <w:name w:val="Times Roman"/>
    <w:basedOn w:val="Normlny"/>
    <w:rsid w:val="00B768D9"/>
    <w:pPr>
      <w:spacing w:after="0" w:line="240" w:lineRule="auto"/>
    </w:pPr>
    <w:rPr>
      <w:rFonts w:ascii="Arial" w:eastAsia="Batang" w:hAnsi="Arial" w:cs="Times New Roman"/>
      <w:szCs w:val="20"/>
    </w:rPr>
  </w:style>
  <w:style w:type="paragraph" w:customStyle="1" w:styleId="v1msonormal">
    <w:name w:val="v1msonormal"/>
    <w:basedOn w:val="Normlny"/>
    <w:rsid w:val="004C6700"/>
    <w:pPr>
      <w:spacing w:before="100" w:beforeAutospacing="1" w:after="100" w:afterAutospacing="1" w:line="240" w:lineRule="auto"/>
      <w:jc w:val="left"/>
    </w:pPr>
    <w:rPr>
      <w:rFonts w:eastAsia="Times New Roman" w:cs="Times New Roman"/>
      <w:sz w:val="24"/>
      <w:szCs w:val="24"/>
      <w:lang w:eastAsia="sk-SK"/>
    </w:rPr>
  </w:style>
  <w:style w:type="character" w:customStyle="1" w:styleId="OdsekzoznamuChar">
    <w:name w:val="Odsek zoznamu Char"/>
    <w:aliases w:val="body Char,Odsek zoznamu2 Char,Dot pt Char,No Spacing1 Char,List Paragraph Char Char Char Char,Indicator Text Char,Numbered Para 1 Char,List Paragraph à moi Char,Odsek zoznamu4 Char,LISTA Char,Listaszerű bekezdés2 Char,3 Char,LIS Char"/>
    <w:basedOn w:val="Predvolenpsmoodseku"/>
    <w:link w:val="Odsekzoznamu"/>
    <w:uiPriority w:val="34"/>
    <w:locked/>
    <w:rsid w:val="0086767F"/>
    <w:rPr>
      <w:rFonts w:ascii="Calibri" w:hAnsi="Calibri" w:cs="Times New Roman"/>
    </w:rPr>
  </w:style>
  <w:style w:type="paragraph" w:styleId="Popis">
    <w:name w:val="caption"/>
    <w:basedOn w:val="Normlny"/>
    <w:next w:val="Normlny"/>
    <w:uiPriority w:val="35"/>
    <w:unhideWhenUsed/>
    <w:qFormat/>
    <w:rsid w:val="00A3126D"/>
    <w:pPr>
      <w:spacing w:after="200" w:line="240" w:lineRule="auto"/>
    </w:pPr>
    <w:rPr>
      <w:i/>
      <w:iCs/>
      <w:color w:val="44546A" w:themeColor="text2"/>
      <w:sz w:val="18"/>
      <w:szCs w:val="18"/>
    </w:rPr>
  </w:style>
  <w:style w:type="table" w:styleId="Mriekatabukysvetl">
    <w:name w:val="Grid Table Light"/>
    <w:basedOn w:val="Normlnatabuka"/>
    <w:uiPriority w:val="40"/>
    <w:rsid w:val="00BA5DD8"/>
    <w:pPr>
      <w:spacing w:after="0" w:line="240" w:lineRule="auto"/>
    </w:pPr>
    <w:rPr>
      <w:rFonts w:ascii="Arial Narrow" w:eastAsia="Calibri" w:hAnsi="Arial Narrow" w:cs="Times New Roman"/>
      <w:sz w:val="20"/>
      <w:szCs w:val="20"/>
      <w:lang w:eastAsia="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1">
    <w:name w:val="1"/>
    <w:basedOn w:val="Normlny"/>
    <w:rsid w:val="004D69BF"/>
    <w:pPr>
      <w:spacing w:after="160" w:line="240" w:lineRule="exact"/>
      <w:jc w:val="left"/>
    </w:pPr>
    <w:rPr>
      <w:rFonts w:ascii="Tahoma" w:eastAsia="Times New Roman" w:hAnsi="Tahoma" w:cs="Tahoma"/>
      <w:sz w:val="20"/>
      <w:szCs w:val="20"/>
    </w:rPr>
  </w:style>
  <w:style w:type="character" w:styleId="slostrany">
    <w:name w:val="page number"/>
    <w:basedOn w:val="Predvolenpsmoodseku"/>
    <w:rsid w:val="004D69BF"/>
  </w:style>
  <w:style w:type="paragraph" w:customStyle="1" w:styleId="Zakladnmtext">
    <w:name w:val="Z&lt;/a&gt;kladn&lt;/m&gt; text"/>
    <w:rsid w:val="004D69BF"/>
    <w:pPr>
      <w:spacing w:after="0" w:line="240" w:lineRule="auto"/>
    </w:pPr>
    <w:rPr>
      <w:rFonts w:ascii="Times New Roman" w:eastAsia="Times New Roman" w:hAnsi="Times New Roman" w:cs="Times New Roman"/>
      <w:color w:val="000000"/>
      <w:sz w:val="24"/>
      <w:szCs w:val="20"/>
      <w:lang w:val="en-US" w:eastAsia="sk-SK"/>
    </w:rPr>
  </w:style>
  <w:style w:type="table" w:styleId="Mriekatabuky">
    <w:name w:val="Table Grid"/>
    <w:basedOn w:val="Normlnatabuka"/>
    <w:uiPriority w:val="59"/>
    <w:rsid w:val="004D69BF"/>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4D69BF"/>
    <w:pPr>
      <w:spacing w:line="480" w:lineRule="auto"/>
      <w:jc w:val="left"/>
    </w:pPr>
    <w:rPr>
      <w:rFonts w:eastAsia="Times New Roman" w:cs="Times New Roman"/>
      <w:sz w:val="24"/>
      <w:szCs w:val="20"/>
      <w:lang w:val="x-none" w:eastAsia="x-none"/>
    </w:rPr>
  </w:style>
  <w:style w:type="character" w:customStyle="1" w:styleId="Zkladntext2Char">
    <w:name w:val="Základný text 2 Char"/>
    <w:basedOn w:val="Predvolenpsmoodseku"/>
    <w:link w:val="Zkladntext2"/>
    <w:uiPriority w:val="99"/>
    <w:rsid w:val="004D69BF"/>
    <w:rPr>
      <w:rFonts w:ascii="Times New Roman" w:eastAsia="Times New Roman" w:hAnsi="Times New Roman" w:cs="Times New Roman"/>
      <w:sz w:val="24"/>
      <w:szCs w:val="20"/>
      <w:lang w:val="x-none" w:eastAsia="x-none"/>
    </w:rPr>
  </w:style>
  <w:style w:type="paragraph" w:customStyle="1" w:styleId="HALVNEPISMOVS">
    <w:name w:val="HALVNEPISMO_VS"/>
    <w:basedOn w:val="Normlny"/>
    <w:rsid w:val="004D69BF"/>
    <w:pPr>
      <w:spacing w:line="240" w:lineRule="auto"/>
    </w:pPr>
    <w:rPr>
      <w:rFonts w:ascii="Arial Narrow" w:eastAsia="Calibri" w:hAnsi="Arial Narrow" w:cs="Times New Roman"/>
      <w:color w:val="000000"/>
      <w:lang w:eastAsia="sk-SK"/>
    </w:rPr>
  </w:style>
  <w:style w:type="paragraph" w:customStyle="1" w:styleId="HLAVNYVS">
    <w:name w:val="HLAVNY_VS"/>
    <w:basedOn w:val="Normlny"/>
    <w:rsid w:val="004D69BF"/>
    <w:pPr>
      <w:spacing w:after="0" w:line="240" w:lineRule="auto"/>
      <w:jc w:val="left"/>
    </w:pPr>
    <w:rPr>
      <w:rFonts w:ascii="Arial Narrow" w:eastAsia="Calibri" w:hAnsi="Arial Narrow" w:cs="Times New Roman"/>
      <w:b/>
      <w:bCs/>
      <w:caps/>
      <w:color w:val="000080"/>
      <w:lang w:eastAsia="sk-SK"/>
    </w:rPr>
  </w:style>
  <w:style w:type="numbering" w:customStyle="1" w:styleId="tl1">
    <w:name w:val="Štýl1"/>
    <w:uiPriority w:val="99"/>
    <w:rsid w:val="004D69BF"/>
    <w:pPr>
      <w:numPr>
        <w:numId w:val="33"/>
      </w:numPr>
    </w:pPr>
  </w:style>
  <w:style w:type="table" w:styleId="Tabukasmriekou4zvraznenie1">
    <w:name w:val="Grid Table 4 Accent 1"/>
    <w:basedOn w:val="Normlnatabuka"/>
    <w:uiPriority w:val="49"/>
    <w:rsid w:val="004D69B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Nevyrieenzmienka1">
    <w:name w:val="Nevyriešená zmienka1"/>
    <w:basedOn w:val="Predvolenpsmoodseku"/>
    <w:uiPriority w:val="99"/>
    <w:semiHidden/>
    <w:unhideWhenUsed/>
    <w:rsid w:val="004D69BF"/>
    <w:rPr>
      <w:color w:val="605E5C"/>
      <w:shd w:val="clear" w:color="auto" w:fill="E1DFDD"/>
    </w:rPr>
  </w:style>
  <w:style w:type="paragraph" w:styleId="Zoznamobrzkov">
    <w:name w:val="table of figures"/>
    <w:basedOn w:val="Normlny"/>
    <w:next w:val="Normlny"/>
    <w:uiPriority w:val="99"/>
    <w:unhideWhenUsed/>
    <w:rsid w:val="002C7D85"/>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2998">
      <w:bodyDiv w:val="1"/>
      <w:marLeft w:val="0"/>
      <w:marRight w:val="0"/>
      <w:marTop w:val="0"/>
      <w:marBottom w:val="0"/>
      <w:divBdr>
        <w:top w:val="none" w:sz="0" w:space="0" w:color="auto"/>
        <w:left w:val="none" w:sz="0" w:space="0" w:color="auto"/>
        <w:bottom w:val="none" w:sz="0" w:space="0" w:color="auto"/>
        <w:right w:val="none" w:sz="0" w:space="0" w:color="auto"/>
      </w:divBdr>
    </w:div>
    <w:div w:id="69085660">
      <w:bodyDiv w:val="1"/>
      <w:marLeft w:val="0"/>
      <w:marRight w:val="0"/>
      <w:marTop w:val="0"/>
      <w:marBottom w:val="0"/>
      <w:divBdr>
        <w:top w:val="none" w:sz="0" w:space="0" w:color="auto"/>
        <w:left w:val="none" w:sz="0" w:space="0" w:color="auto"/>
        <w:bottom w:val="none" w:sz="0" w:space="0" w:color="auto"/>
        <w:right w:val="none" w:sz="0" w:space="0" w:color="auto"/>
      </w:divBdr>
    </w:div>
    <w:div w:id="83458516">
      <w:bodyDiv w:val="1"/>
      <w:marLeft w:val="0"/>
      <w:marRight w:val="0"/>
      <w:marTop w:val="0"/>
      <w:marBottom w:val="0"/>
      <w:divBdr>
        <w:top w:val="none" w:sz="0" w:space="0" w:color="auto"/>
        <w:left w:val="none" w:sz="0" w:space="0" w:color="auto"/>
        <w:bottom w:val="none" w:sz="0" w:space="0" w:color="auto"/>
        <w:right w:val="none" w:sz="0" w:space="0" w:color="auto"/>
      </w:divBdr>
    </w:div>
    <w:div w:id="103547509">
      <w:bodyDiv w:val="1"/>
      <w:marLeft w:val="0"/>
      <w:marRight w:val="0"/>
      <w:marTop w:val="0"/>
      <w:marBottom w:val="0"/>
      <w:divBdr>
        <w:top w:val="none" w:sz="0" w:space="0" w:color="auto"/>
        <w:left w:val="none" w:sz="0" w:space="0" w:color="auto"/>
        <w:bottom w:val="none" w:sz="0" w:space="0" w:color="auto"/>
        <w:right w:val="none" w:sz="0" w:space="0" w:color="auto"/>
      </w:divBdr>
      <w:divsChild>
        <w:div w:id="562831429">
          <w:marLeft w:val="0"/>
          <w:marRight w:val="0"/>
          <w:marTop w:val="0"/>
          <w:marBottom w:val="0"/>
          <w:divBdr>
            <w:top w:val="none" w:sz="0" w:space="0" w:color="auto"/>
            <w:left w:val="none" w:sz="0" w:space="0" w:color="auto"/>
            <w:bottom w:val="none" w:sz="0" w:space="0" w:color="auto"/>
            <w:right w:val="none" w:sz="0" w:space="0" w:color="auto"/>
          </w:divBdr>
          <w:divsChild>
            <w:div w:id="88487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96349">
      <w:bodyDiv w:val="1"/>
      <w:marLeft w:val="0"/>
      <w:marRight w:val="0"/>
      <w:marTop w:val="0"/>
      <w:marBottom w:val="0"/>
      <w:divBdr>
        <w:top w:val="none" w:sz="0" w:space="0" w:color="auto"/>
        <w:left w:val="none" w:sz="0" w:space="0" w:color="auto"/>
        <w:bottom w:val="none" w:sz="0" w:space="0" w:color="auto"/>
        <w:right w:val="none" w:sz="0" w:space="0" w:color="auto"/>
      </w:divBdr>
    </w:div>
    <w:div w:id="120421357">
      <w:bodyDiv w:val="1"/>
      <w:marLeft w:val="0"/>
      <w:marRight w:val="0"/>
      <w:marTop w:val="0"/>
      <w:marBottom w:val="0"/>
      <w:divBdr>
        <w:top w:val="none" w:sz="0" w:space="0" w:color="auto"/>
        <w:left w:val="none" w:sz="0" w:space="0" w:color="auto"/>
        <w:bottom w:val="none" w:sz="0" w:space="0" w:color="auto"/>
        <w:right w:val="none" w:sz="0" w:space="0" w:color="auto"/>
      </w:divBdr>
    </w:div>
    <w:div w:id="130249624">
      <w:bodyDiv w:val="1"/>
      <w:marLeft w:val="0"/>
      <w:marRight w:val="0"/>
      <w:marTop w:val="0"/>
      <w:marBottom w:val="0"/>
      <w:divBdr>
        <w:top w:val="none" w:sz="0" w:space="0" w:color="auto"/>
        <w:left w:val="none" w:sz="0" w:space="0" w:color="auto"/>
        <w:bottom w:val="none" w:sz="0" w:space="0" w:color="auto"/>
        <w:right w:val="none" w:sz="0" w:space="0" w:color="auto"/>
      </w:divBdr>
    </w:div>
    <w:div w:id="151485999">
      <w:bodyDiv w:val="1"/>
      <w:marLeft w:val="0"/>
      <w:marRight w:val="0"/>
      <w:marTop w:val="0"/>
      <w:marBottom w:val="0"/>
      <w:divBdr>
        <w:top w:val="none" w:sz="0" w:space="0" w:color="auto"/>
        <w:left w:val="none" w:sz="0" w:space="0" w:color="auto"/>
        <w:bottom w:val="none" w:sz="0" w:space="0" w:color="auto"/>
        <w:right w:val="none" w:sz="0" w:space="0" w:color="auto"/>
      </w:divBdr>
    </w:div>
    <w:div w:id="153838167">
      <w:bodyDiv w:val="1"/>
      <w:marLeft w:val="0"/>
      <w:marRight w:val="0"/>
      <w:marTop w:val="0"/>
      <w:marBottom w:val="0"/>
      <w:divBdr>
        <w:top w:val="none" w:sz="0" w:space="0" w:color="auto"/>
        <w:left w:val="none" w:sz="0" w:space="0" w:color="auto"/>
        <w:bottom w:val="none" w:sz="0" w:space="0" w:color="auto"/>
        <w:right w:val="none" w:sz="0" w:space="0" w:color="auto"/>
      </w:divBdr>
    </w:div>
    <w:div w:id="184489671">
      <w:bodyDiv w:val="1"/>
      <w:marLeft w:val="0"/>
      <w:marRight w:val="0"/>
      <w:marTop w:val="0"/>
      <w:marBottom w:val="0"/>
      <w:divBdr>
        <w:top w:val="none" w:sz="0" w:space="0" w:color="auto"/>
        <w:left w:val="none" w:sz="0" w:space="0" w:color="auto"/>
        <w:bottom w:val="none" w:sz="0" w:space="0" w:color="auto"/>
        <w:right w:val="none" w:sz="0" w:space="0" w:color="auto"/>
      </w:divBdr>
    </w:div>
    <w:div w:id="208884657">
      <w:bodyDiv w:val="1"/>
      <w:marLeft w:val="0"/>
      <w:marRight w:val="0"/>
      <w:marTop w:val="0"/>
      <w:marBottom w:val="0"/>
      <w:divBdr>
        <w:top w:val="none" w:sz="0" w:space="0" w:color="auto"/>
        <w:left w:val="none" w:sz="0" w:space="0" w:color="auto"/>
        <w:bottom w:val="none" w:sz="0" w:space="0" w:color="auto"/>
        <w:right w:val="none" w:sz="0" w:space="0" w:color="auto"/>
      </w:divBdr>
    </w:div>
    <w:div w:id="221866251">
      <w:bodyDiv w:val="1"/>
      <w:marLeft w:val="0"/>
      <w:marRight w:val="0"/>
      <w:marTop w:val="0"/>
      <w:marBottom w:val="0"/>
      <w:divBdr>
        <w:top w:val="none" w:sz="0" w:space="0" w:color="auto"/>
        <w:left w:val="none" w:sz="0" w:space="0" w:color="auto"/>
        <w:bottom w:val="none" w:sz="0" w:space="0" w:color="auto"/>
        <w:right w:val="none" w:sz="0" w:space="0" w:color="auto"/>
      </w:divBdr>
    </w:div>
    <w:div w:id="232737814">
      <w:bodyDiv w:val="1"/>
      <w:marLeft w:val="0"/>
      <w:marRight w:val="0"/>
      <w:marTop w:val="0"/>
      <w:marBottom w:val="0"/>
      <w:divBdr>
        <w:top w:val="none" w:sz="0" w:space="0" w:color="auto"/>
        <w:left w:val="none" w:sz="0" w:space="0" w:color="auto"/>
        <w:bottom w:val="none" w:sz="0" w:space="0" w:color="auto"/>
        <w:right w:val="none" w:sz="0" w:space="0" w:color="auto"/>
      </w:divBdr>
    </w:div>
    <w:div w:id="236214534">
      <w:bodyDiv w:val="1"/>
      <w:marLeft w:val="0"/>
      <w:marRight w:val="0"/>
      <w:marTop w:val="0"/>
      <w:marBottom w:val="0"/>
      <w:divBdr>
        <w:top w:val="none" w:sz="0" w:space="0" w:color="auto"/>
        <w:left w:val="none" w:sz="0" w:space="0" w:color="auto"/>
        <w:bottom w:val="none" w:sz="0" w:space="0" w:color="auto"/>
        <w:right w:val="none" w:sz="0" w:space="0" w:color="auto"/>
      </w:divBdr>
    </w:div>
    <w:div w:id="246546583">
      <w:bodyDiv w:val="1"/>
      <w:marLeft w:val="0"/>
      <w:marRight w:val="0"/>
      <w:marTop w:val="0"/>
      <w:marBottom w:val="0"/>
      <w:divBdr>
        <w:top w:val="none" w:sz="0" w:space="0" w:color="auto"/>
        <w:left w:val="none" w:sz="0" w:space="0" w:color="auto"/>
        <w:bottom w:val="none" w:sz="0" w:space="0" w:color="auto"/>
        <w:right w:val="none" w:sz="0" w:space="0" w:color="auto"/>
      </w:divBdr>
    </w:div>
    <w:div w:id="251817761">
      <w:bodyDiv w:val="1"/>
      <w:marLeft w:val="0"/>
      <w:marRight w:val="0"/>
      <w:marTop w:val="0"/>
      <w:marBottom w:val="0"/>
      <w:divBdr>
        <w:top w:val="none" w:sz="0" w:space="0" w:color="auto"/>
        <w:left w:val="none" w:sz="0" w:space="0" w:color="auto"/>
        <w:bottom w:val="none" w:sz="0" w:space="0" w:color="auto"/>
        <w:right w:val="none" w:sz="0" w:space="0" w:color="auto"/>
      </w:divBdr>
    </w:div>
    <w:div w:id="265887666">
      <w:bodyDiv w:val="1"/>
      <w:marLeft w:val="0"/>
      <w:marRight w:val="0"/>
      <w:marTop w:val="0"/>
      <w:marBottom w:val="0"/>
      <w:divBdr>
        <w:top w:val="none" w:sz="0" w:space="0" w:color="auto"/>
        <w:left w:val="none" w:sz="0" w:space="0" w:color="auto"/>
        <w:bottom w:val="none" w:sz="0" w:space="0" w:color="auto"/>
        <w:right w:val="none" w:sz="0" w:space="0" w:color="auto"/>
      </w:divBdr>
    </w:div>
    <w:div w:id="271595381">
      <w:bodyDiv w:val="1"/>
      <w:marLeft w:val="0"/>
      <w:marRight w:val="0"/>
      <w:marTop w:val="0"/>
      <w:marBottom w:val="0"/>
      <w:divBdr>
        <w:top w:val="none" w:sz="0" w:space="0" w:color="auto"/>
        <w:left w:val="none" w:sz="0" w:space="0" w:color="auto"/>
        <w:bottom w:val="none" w:sz="0" w:space="0" w:color="auto"/>
        <w:right w:val="none" w:sz="0" w:space="0" w:color="auto"/>
      </w:divBdr>
    </w:div>
    <w:div w:id="273292507">
      <w:bodyDiv w:val="1"/>
      <w:marLeft w:val="0"/>
      <w:marRight w:val="0"/>
      <w:marTop w:val="0"/>
      <w:marBottom w:val="0"/>
      <w:divBdr>
        <w:top w:val="none" w:sz="0" w:space="0" w:color="auto"/>
        <w:left w:val="none" w:sz="0" w:space="0" w:color="auto"/>
        <w:bottom w:val="none" w:sz="0" w:space="0" w:color="auto"/>
        <w:right w:val="none" w:sz="0" w:space="0" w:color="auto"/>
      </w:divBdr>
    </w:div>
    <w:div w:id="278338214">
      <w:bodyDiv w:val="1"/>
      <w:marLeft w:val="0"/>
      <w:marRight w:val="0"/>
      <w:marTop w:val="0"/>
      <w:marBottom w:val="0"/>
      <w:divBdr>
        <w:top w:val="none" w:sz="0" w:space="0" w:color="auto"/>
        <w:left w:val="none" w:sz="0" w:space="0" w:color="auto"/>
        <w:bottom w:val="none" w:sz="0" w:space="0" w:color="auto"/>
        <w:right w:val="none" w:sz="0" w:space="0" w:color="auto"/>
      </w:divBdr>
    </w:div>
    <w:div w:id="282075293">
      <w:bodyDiv w:val="1"/>
      <w:marLeft w:val="0"/>
      <w:marRight w:val="0"/>
      <w:marTop w:val="0"/>
      <w:marBottom w:val="0"/>
      <w:divBdr>
        <w:top w:val="none" w:sz="0" w:space="0" w:color="auto"/>
        <w:left w:val="none" w:sz="0" w:space="0" w:color="auto"/>
        <w:bottom w:val="none" w:sz="0" w:space="0" w:color="auto"/>
        <w:right w:val="none" w:sz="0" w:space="0" w:color="auto"/>
      </w:divBdr>
    </w:div>
    <w:div w:id="305822928">
      <w:bodyDiv w:val="1"/>
      <w:marLeft w:val="0"/>
      <w:marRight w:val="0"/>
      <w:marTop w:val="0"/>
      <w:marBottom w:val="0"/>
      <w:divBdr>
        <w:top w:val="none" w:sz="0" w:space="0" w:color="auto"/>
        <w:left w:val="none" w:sz="0" w:space="0" w:color="auto"/>
        <w:bottom w:val="none" w:sz="0" w:space="0" w:color="auto"/>
        <w:right w:val="none" w:sz="0" w:space="0" w:color="auto"/>
      </w:divBdr>
    </w:div>
    <w:div w:id="325207847">
      <w:bodyDiv w:val="1"/>
      <w:marLeft w:val="0"/>
      <w:marRight w:val="0"/>
      <w:marTop w:val="0"/>
      <w:marBottom w:val="0"/>
      <w:divBdr>
        <w:top w:val="none" w:sz="0" w:space="0" w:color="auto"/>
        <w:left w:val="none" w:sz="0" w:space="0" w:color="auto"/>
        <w:bottom w:val="none" w:sz="0" w:space="0" w:color="auto"/>
        <w:right w:val="none" w:sz="0" w:space="0" w:color="auto"/>
      </w:divBdr>
    </w:div>
    <w:div w:id="365251082">
      <w:bodyDiv w:val="1"/>
      <w:marLeft w:val="0"/>
      <w:marRight w:val="0"/>
      <w:marTop w:val="0"/>
      <w:marBottom w:val="0"/>
      <w:divBdr>
        <w:top w:val="none" w:sz="0" w:space="0" w:color="auto"/>
        <w:left w:val="none" w:sz="0" w:space="0" w:color="auto"/>
        <w:bottom w:val="none" w:sz="0" w:space="0" w:color="auto"/>
        <w:right w:val="none" w:sz="0" w:space="0" w:color="auto"/>
      </w:divBdr>
    </w:div>
    <w:div w:id="366878275">
      <w:bodyDiv w:val="1"/>
      <w:marLeft w:val="0"/>
      <w:marRight w:val="0"/>
      <w:marTop w:val="0"/>
      <w:marBottom w:val="0"/>
      <w:divBdr>
        <w:top w:val="none" w:sz="0" w:space="0" w:color="auto"/>
        <w:left w:val="none" w:sz="0" w:space="0" w:color="auto"/>
        <w:bottom w:val="none" w:sz="0" w:space="0" w:color="auto"/>
        <w:right w:val="none" w:sz="0" w:space="0" w:color="auto"/>
      </w:divBdr>
    </w:div>
    <w:div w:id="398406455">
      <w:bodyDiv w:val="1"/>
      <w:marLeft w:val="0"/>
      <w:marRight w:val="0"/>
      <w:marTop w:val="0"/>
      <w:marBottom w:val="0"/>
      <w:divBdr>
        <w:top w:val="none" w:sz="0" w:space="0" w:color="auto"/>
        <w:left w:val="none" w:sz="0" w:space="0" w:color="auto"/>
        <w:bottom w:val="none" w:sz="0" w:space="0" w:color="auto"/>
        <w:right w:val="none" w:sz="0" w:space="0" w:color="auto"/>
      </w:divBdr>
    </w:div>
    <w:div w:id="404649424">
      <w:bodyDiv w:val="1"/>
      <w:marLeft w:val="0"/>
      <w:marRight w:val="0"/>
      <w:marTop w:val="0"/>
      <w:marBottom w:val="0"/>
      <w:divBdr>
        <w:top w:val="none" w:sz="0" w:space="0" w:color="auto"/>
        <w:left w:val="none" w:sz="0" w:space="0" w:color="auto"/>
        <w:bottom w:val="none" w:sz="0" w:space="0" w:color="auto"/>
        <w:right w:val="none" w:sz="0" w:space="0" w:color="auto"/>
      </w:divBdr>
    </w:div>
    <w:div w:id="419183605">
      <w:bodyDiv w:val="1"/>
      <w:marLeft w:val="0"/>
      <w:marRight w:val="0"/>
      <w:marTop w:val="0"/>
      <w:marBottom w:val="0"/>
      <w:divBdr>
        <w:top w:val="none" w:sz="0" w:space="0" w:color="auto"/>
        <w:left w:val="none" w:sz="0" w:space="0" w:color="auto"/>
        <w:bottom w:val="none" w:sz="0" w:space="0" w:color="auto"/>
        <w:right w:val="none" w:sz="0" w:space="0" w:color="auto"/>
      </w:divBdr>
    </w:div>
    <w:div w:id="420488193">
      <w:bodyDiv w:val="1"/>
      <w:marLeft w:val="0"/>
      <w:marRight w:val="0"/>
      <w:marTop w:val="0"/>
      <w:marBottom w:val="0"/>
      <w:divBdr>
        <w:top w:val="none" w:sz="0" w:space="0" w:color="auto"/>
        <w:left w:val="none" w:sz="0" w:space="0" w:color="auto"/>
        <w:bottom w:val="none" w:sz="0" w:space="0" w:color="auto"/>
        <w:right w:val="none" w:sz="0" w:space="0" w:color="auto"/>
      </w:divBdr>
    </w:div>
    <w:div w:id="431168882">
      <w:bodyDiv w:val="1"/>
      <w:marLeft w:val="0"/>
      <w:marRight w:val="0"/>
      <w:marTop w:val="0"/>
      <w:marBottom w:val="0"/>
      <w:divBdr>
        <w:top w:val="none" w:sz="0" w:space="0" w:color="auto"/>
        <w:left w:val="none" w:sz="0" w:space="0" w:color="auto"/>
        <w:bottom w:val="none" w:sz="0" w:space="0" w:color="auto"/>
        <w:right w:val="none" w:sz="0" w:space="0" w:color="auto"/>
      </w:divBdr>
    </w:div>
    <w:div w:id="451360976">
      <w:bodyDiv w:val="1"/>
      <w:marLeft w:val="0"/>
      <w:marRight w:val="0"/>
      <w:marTop w:val="0"/>
      <w:marBottom w:val="0"/>
      <w:divBdr>
        <w:top w:val="none" w:sz="0" w:space="0" w:color="auto"/>
        <w:left w:val="none" w:sz="0" w:space="0" w:color="auto"/>
        <w:bottom w:val="none" w:sz="0" w:space="0" w:color="auto"/>
        <w:right w:val="none" w:sz="0" w:space="0" w:color="auto"/>
      </w:divBdr>
    </w:div>
    <w:div w:id="475218865">
      <w:bodyDiv w:val="1"/>
      <w:marLeft w:val="0"/>
      <w:marRight w:val="0"/>
      <w:marTop w:val="0"/>
      <w:marBottom w:val="0"/>
      <w:divBdr>
        <w:top w:val="none" w:sz="0" w:space="0" w:color="auto"/>
        <w:left w:val="none" w:sz="0" w:space="0" w:color="auto"/>
        <w:bottom w:val="none" w:sz="0" w:space="0" w:color="auto"/>
        <w:right w:val="none" w:sz="0" w:space="0" w:color="auto"/>
      </w:divBdr>
    </w:div>
    <w:div w:id="504630687">
      <w:bodyDiv w:val="1"/>
      <w:marLeft w:val="0"/>
      <w:marRight w:val="0"/>
      <w:marTop w:val="0"/>
      <w:marBottom w:val="0"/>
      <w:divBdr>
        <w:top w:val="none" w:sz="0" w:space="0" w:color="auto"/>
        <w:left w:val="none" w:sz="0" w:space="0" w:color="auto"/>
        <w:bottom w:val="none" w:sz="0" w:space="0" w:color="auto"/>
        <w:right w:val="none" w:sz="0" w:space="0" w:color="auto"/>
      </w:divBdr>
    </w:div>
    <w:div w:id="551313390">
      <w:bodyDiv w:val="1"/>
      <w:marLeft w:val="0"/>
      <w:marRight w:val="0"/>
      <w:marTop w:val="0"/>
      <w:marBottom w:val="0"/>
      <w:divBdr>
        <w:top w:val="none" w:sz="0" w:space="0" w:color="auto"/>
        <w:left w:val="none" w:sz="0" w:space="0" w:color="auto"/>
        <w:bottom w:val="none" w:sz="0" w:space="0" w:color="auto"/>
        <w:right w:val="none" w:sz="0" w:space="0" w:color="auto"/>
      </w:divBdr>
    </w:div>
    <w:div w:id="573976301">
      <w:bodyDiv w:val="1"/>
      <w:marLeft w:val="0"/>
      <w:marRight w:val="0"/>
      <w:marTop w:val="0"/>
      <w:marBottom w:val="0"/>
      <w:divBdr>
        <w:top w:val="none" w:sz="0" w:space="0" w:color="auto"/>
        <w:left w:val="none" w:sz="0" w:space="0" w:color="auto"/>
        <w:bottom w:val="none" w:sz="0" w:space="0" w:color="auto"/>
        <w:right w:val="none" w:sz="0" w:space="0" w:color="auto"/>
      </w:divBdr>
    </w:div>
    <w:div w:id="602960080">
      <w:bodyDiv w:val="1"/>
      <w:marLeft w:val="0"/>
      <w:marRight w:val="0"/>
      <w:marTop w:val="0"/>
      <w:marBottom w:val="0"/>
      <w:divBdr>
        <w:top w:val="none" w:sz="0" w:space="0" w:color="auto"/>
        <w:left w:val="none" w:sz="0" w:space="0" w:color="auto"/>
        <w:bottom w:val="none" w:sz="0" w:space="0" w:color="auto"/>
        <w:right w:val="none" w:sz="0" w:space="0" w:color="auto"/>
      </w:divBdr>
    </w:div>
    <w:div w:id="607812558">
      <w:bodyDiv w:val="1"/>
      <w:marLeft w:val="0"/>
      <w:marRight w:val="0"/>
      <w:marTop w:val="0"/>
      <w:marBottom w:val="0"/>
      <w:divBdr>
        <w:top w:val="none" w:sz="0" w:space="0" w:color="auto"/>
        <w:left w:val="none" w:sz="0" w:space="0" w:color="auto"/>
        <w:bottom w:val="none" w:sz="0" w:space="0" w:color="auto"/>
        <w:right w:val="none" w:sz="0" w:space="0" w:color="auto"/>
      </w:divBdr>
    </w:div>
    <w:div w:id="607978284">
      <w:bodyDiv w:val="1"/>
      <w:marLeft w:val="0"/>
      <w:marRight w:val="0"/>
      <w:marTop w:val="0"/>
      <w:marBottom w:val="0"/>
      <w:divBdr>
        <w:top w:val="none" w:sz="0" w:space="0" w:color="auto"/>
        <w:left w:val="none" w:sz="0" w:space="0" w:color="auto"/>
        <w:bottom w:val="none" w:sz="0" w:space="0" w:color="auto"/>
        <w:right w:val="none" w:sz="0" w:space="0" w:color="auto"/>
      </w:divBdr>
    </w:div>
    <w:div w:id="609095785">
      <w:bodyDiv w:val="1"/>
      <w:marLeft w:val="0"/>
      <w:marRight w:val="0"/>
      <w:marTop w:val="0"/>
      <w:marBottom w:val="0"/>
      <w:divBdr>
        <w:top w:val="none" w:sz="0" w:space="0" w:color="auto"/>
        <w:left w:val="none" w:sz="0" w:space="0" w:color="auto"/>
        <w:bottom w:val="none" w:sz="0" w:space="0" w:color="auto"/>
        <w:right w:val="none" w:sz="0" w:space="0" w:color="auto"/>
      </w:divBdr>
    </w:div>
    <w:div w:id="616566911">
      <w:bodyDiv w:val="1"/>
      <w:marLeft w:val="0"/>
      <w:marRight w:val="0"/>
      <w:marTop w:val="0"/>
      <w:marBottom w:val="0"/>
      <w:divBdr>
        <w:top w:val="none" w:sz="0" w:space="0" w:color="auto"/>
        <w:left w:val="none" w:sz="0" w:space="0" w:color="auto"/>
        <w:bottom w:val="none" w:sz="0" w:space="0" w:color="auto"/>
        <w:right w:val="none" w:sz="0" w:space="0" w:color="auto"/>
      </w:divBdr>
    </w:div>
    <w:div w:id="617680901">
      <w:bodyDiv w:val="1"/>
      <w:marLeft w:val="0"/>
      <w:marRight w:val="0"/>
      <w:marTop w:val="0"/>
      <w:marBottom w:val="0"/>
      <w:divBdr>
        <w:top w:val="none" w:sz="0" w:space="0" w:color="auto"/>
        <w:left w:val="none" w:sz="0" w:space="0" w:color="auto"/>
        <w:bottom w:val="none" w:sz="0" w:space="0" w:color="auto"/>
        <w:right w:val="none" w:sz="0" w:space="0" w:color="auto"/>
      </w:divBdr>
    </w:div>
    <w:div w:id="621500285">
      <w:bodyDiv w:val="1"/>
      <w:marLeft w:val="0"/>
      <w:marRight w:val="0"/>
      <w:marTop w:val="0"/>
      <w:marBottom w:val="0"/>
      <w:divBdr>
        <w:top w:val="none" w:sz="0" w:space="0" w:color="auto"/>
        <w:left w:val="none" w:sz="0" w:space="0" w:color="auto"/>
        <w:bottom w:val="none" w:sz="0" w:space="0" w:color="auto"/>
        <w:right w:val="none" w:sz="0" w:space="0" w:color="auto"/>
      </w:divBdr>
    </w:div>
    <w:div w:id="624778205">
      <w:bodyDiv w:val="1"/>
      <w:marLeft w:val="0"/>
      <w:marRight w:val="0"/>
      <w:marTop w:val="0"/>
      <w:marBottom w:val="0"/>
      <w:divBdr>
        <w:top w:val="none" w:sz="0" w:space="0" w:color="auto"/>
        <w:left w:val="none" w:sz="0" w:space="0" w:color="auto"/>
        <w:bottom w:val="none" w:sz="0" w:space="0" w:color="auto"/>
        <w:right w:val="none" w:sz="0" w:space="0" w:color="auto"/>
      </w:divBdr>
    </w:div>
    <w:div w:id="624821723">
      <w:bodyDiv w:val="1"/>
      <w:marLeft w:val="0"/>
      <w:marRight w:val="0"/>
      <w:marTop w:val="0"/>
      <w:marBottom w:val="0"/>
      <w:divBdr>
        <w:top w:val="none" w:sz="0" w:space="0" w:color="auto"/>
        <w:left w:val="none" w:sz="0" w:space="0" w:color="auto"/>
        <w:bottom w:val="none" w:sz="0" w:space="0" w:color="auto"/>
        <w:right w:val="none" w:sz="0" w:space="0" w:color="auto"/>
      </w:divBdr>
    </w:div>
    <w:div w:id="636495612">
      <w:bodyDiv w:val="1"/>
      <w:marLeft w:val="0"/>
      <w:marRight w:val="0"/>
      <w:marTop w:val="0"/>
      <w:marBottom w:val="0"/>
      <w:divBdr>
        <w:top w:val="none" w:sz="0" w:space="0" w:color="auto"/>
        <w:left w:val="none" w:sz="0" w:space="0" w:color="auto"/>
        <w:bottom w:val="none" w:sz="0" w:space="0" w:color="auto"/>
        <w:right w:val="none" w:sz="0" w:space="0" w:color="auto"/>
      </w:divBdr>
    </w:div>
    <w:div w:id="640769414">
      <w:bodyDiv w:val="1"/>
      <w:marLeft w:val="0"/>
      <w:marRight w:val="0"/>
      <w:marTop w:val="0"/>
      <w:marBottom w:val="0"/>
      <w:divBdr>
        <w:top w:val="none" w:sz="0" w:space="0" w:color="auto"/>
        <w:left w:val="none" w:sz="0" w:space="0" w:color="auto"/>
        <w:bottom w:val="none" w:sz="0" w:space="0" w:color="auto"/>
        <w:right w:val="none" w:sz="0" w:space="0" w:color="auto"/>
      </w:divBdr>
    </w:div>
    <w:div w:id="672996393">
      <w:bodyDiv w:val="1"/>
      <w:marLeft w:val="0"/>
      <w:marRight w:val="0"/>
      <w:marTop w:val="0"/>
      <w:marBottom w:val="0"/>
      <w:divBdr>
        <w:top w:val="none" w:sz="0" w:space="0" w:color="auto"/>
        <w:left w:val="none" w:sz="0" w:space="0" w:color="auto"/>
        <w:bottom w:val="none" w:sz="0" w:space="0" w:color="auto"/>
        <w:right w:val="none" w:sz="0" w:space="0" w:color="auto"/>
      </w:divBdr>
    </w:div>
    <w:div w:id="712000132">
      <w:bodyDiv w:val="1"/>
      <w:marLeft w:val="0"/>
      <w:marRight w:val="0"/>
      <w:marTop w:val="0"/>
      <w:marBottom w:val="0"/>
      <w:divBdr>
        <w:top w:val="none" w:sz="0" w:space="0" w:color="auto"/>
        <w:left w:val="none" w:sz="0" w:space="0" w:color="auto"/>
        <w:bottom w:val="none" w:sz="0" w:space="0" w:color="auto"/>
        <w:right w:val="none" w:sz="0" w:space="0" w:color="auto"/>
      </w:divBdr>
    </w:div>
    <w:div w:id="723214508">
      <w:bodyDiv w:val="1"/>
      <w:marLeft w:val="0"/>
      <w:marRight w:val="0"/>
      <w:marTop w:val="0"/>
      <w:marBottom w:val="0"/>
      <w:divBdr>
        <w:top w:val="none" w:sz="0" w:space="0" w:color="auto"/>
        <w:left w:val="none" w:sz="0" w:space="0" w:color="auto"/>
        <w:bottom w:val="none" w:sz="0" w:space="0" w:color="auto"/>
        <w:right w:val="none" w:sz="0" w:space="0" w:color="auto"/>
      </w:divBdr>
    </w:div>
    <w:div w:id="745540572">
      <w:bodyDiv w:val="1"/>
      <w:marLeft w:val="0"/>
      <w:marRight w:val="0"/>
      <w:marTop w:val="0"/>
      <w:marBottom w:val="0"/>
      <w:divBdr>
        <w:top w:val="none" w:sz="0" w:space="0" w:color="auto"/>
        <w:left w:val="none" w:sz="0" w:space="0" w:color="auto"/>
        <w:bottom w:val="none" w:sz="0" w:space="0" w:color="auto"/>
        <w:right w:val="none" w:sz="0" w:space="0" w:color="auto"/>
      </w:divBdr>
    </w:div>
    <w:div w:id="752703514">
      <w:bodyDiv w:val="1"/>
      <w:marLeft w:val="0"/>
      <w:marRight w:val="0"/>
      <w:marTop w:val="0"/>
      <w:marBottom w:val="0"/>
      <w:divBdr>
        <w:top w:val="none" w:sz="0" w:space="0" w:color="auto"/>
        <w:left w:val="none" w:sz="0" w:space="0" w:color="auto"/>
        <w:bottom w:val="none" w:sz="0" w:space="0" w:color="auto"/>
        <w:right w:val="none" w:sz="0" w:space="0" w:color="auto"/>
      </w:divBdr>
    </w:div>
    <w:div w:id="756560704">
      <w:bodyDiv w:val="1"/>
      <w:marLeft w:val="0"/>
      <w:marRight w:val="0"/>
      <w:marTop w:val="0"/>
      <w:marBottom w:val="0"/>
      <w:divBdr>
        <w:top w:val="none" w:sz="0" w:space="0" w:color="auto"/>
        <w:left w:val="none" w:sz="0" w:space="0" w:color="auto"/>
        <w:bottom w:val="none" w:sz="0" w:space="0" w:color="auto"/>
        <w:right w:val="none" w:sz="0" w:space="0" w:color="auto"/>
      </w:divBdr>
    </w:div>
    <w:div w:id="757218805">
      <w:bodyDiv w:val="1"/>
      <w:marLeft w:val="0"/>
      <w:marRight w:val="0"/>
      <w:marTop w:val="0"/>
      <w:marBottom w:val="0"/>
      <w:divBdr>
        <w:top w:val="none" w:sz="0" w:space="0" w:color="auto"/>
        <w:left w:val="none" w:sz="0" w:space="0" w:color="auto"/>
        <w:bottom w:val="none" w:sz="0" w:space="0" w:color="auto"/>
        <w:right w:val="none" w:sz="0" w:space="0" w:color="auto"/>
      </w:divBdr>
    </w:div>
    <w:div w:id="759526628">
      <w:bodyDiv w:val="1"/>
      <w:marLeft w:val="0"/>
      <w:marRight w:val="0"/>
      <w:marTop w:val="0"/>
      <w:marBottom w:val="0"/>
      <w:divBdr>
        <w:top w:val="none" w:sz="0" w:space="0" w:color="auto"/>
        <w:left w:val="none" w:sz="0" w:space="0" w:color="auto"/>
        <w:bottom w:val="none" w:sz="0" w:space="0" w:color="auto"/>
        <w:right w:val="none" w:sz="0" w:space="0" w:color="auto"/>
      </w:divBdr>
    </w:div>
    <w:div w:id="792289765">
      <w:bodyDiv w:val="1"/>
      <w:marLeft w:val="0"/>
      <w:marRight w:val="0"/>
      <w:marTop w:val="0"/>
      <w:marBottom w:val="0"/>
      <w:divBdr>
        <w:top w:val="none" w:sz="0" w:space="0" w:color="auto"/>
        <w:left w:val="none" w:sz="0" w:space="0" w:color="auto"/>
        <w:bottom w:val="none" w:sz="0" w:space="0" w:color="auto"/>
        <w:right w:val="none" w:sz="0" w:space="0" w:color="auto"/>
      </w:divBdr>
    </w:div>
    <w:div w:id="817459742">
      <w:bodyDiv w:val="1"/>
      <w:marLeft w:val="0"/>
      <w:marRight w:val="0"/>
      <w:marTop w:val="0"/>
      <w:marBottom w:val="0"/>
      <w:divBdr>
        <w:top w:val="none" w:sz="0" w:space="0" w:color="auto"/>
        <w:left w:val="none" w:sz="0" w:space="0" w:color="auto"/>
        <w:bottom w:val="none" w:sz="0" w:space="0" w:color="auto"/>
        <w:right w:val="none" w:sz="0" w:space="0" w:color="auto"/>
      </w:divBdr>
    </w:div>
    <w:div w:id="826168291">
      <w:bodyDiv w:val="1"/>
      <w:marLeft w:val="0"/>
      <w:marRight w:val="0"/>
      <w:marTop w:val="0"/>
      <w:marBottom w:val="0"/>
      <w:divBdr>
        <w:top w:val="none" w:sz="0" w:space="0" w:color="auto"/>
        <w:left w:val="none" w:sz="0" w:space="0" w:color="auto"/>
        <w:bottom w:val="none" w:sz="0" w:space="0" w:color="auto"/>
        <w:right w:val="none" w:sz="0" w:space="0" w:color="auto"/>
      </w:divBdr>
    </w:div>
    <w:div w:id="828054206">
      <w:bodyDiv w:val="1"/>
      <w:marLeft w:val="0"/>
      <w:marRight w:val="0"/>
      <w:marTop w:val="0"/>
      <w:marBottom w:val="0"/>
      <w:divBdr>
        <w:top w:val="none" w:sz="0" w:space="0" w:color="auto"/>
        <w:left w:val="none" w:sz="0" w:space="0" w:color="auto"/>
        <w:bottom w:val="none" w:sz="0" w:space="0" w:color="auto"/>
        <w:right w:val="none" w:sz="0" w:space="0" w:color="auto"/>
      </w:divBdr>
    </w:div>
    <w:div w:id="842276737">
      <w:bodyDiv w:val="1"/>
      <w:marLeft w:val="0"/>
      <w:marRight w:val="0"/>
      <w:marTop w:val="0"/>
      <w:marBottom w:val="0"/>
      <w:divBdr>
        <w:top w:val="none" w:sz="0" w:space="0" w:color="auto"/>
        <w:left w:val="none" w:sz="0" w:space="0" w:color="auto"/>
        <w:bottom w:val="none" w:sz="0" w:space="0" w:color="auto"/>
        <w:right w:val="none" w:sz="0" w:space="0" w:color="auto"/>
      </w:divBdr>
    </w:div>
    <w:div w:id="843937752">
      <w:bodyDiv w:val="1"/>
      <w:marLeft w:val="0"/>
      <w:marRight w:val="0"/>
      <w:marTop w:val="0"/>
      <w:marBottom w:val="0"/>
      <w:divBdr>
        <w:top w:val="none" w:sz="0" w:space="0" w:color="auto"/>
        <w:left w:val="none" w:sz="0" w:space="0" w:color="auto"/>
        <w:bottom w:val="none" w:sz="0" w:space="0" w:color="auto"/>
        <w:right w:val="none" w:sz="0" w:space="0" w:color="auto"/>
      </w:divBdr>
    </w:div>
    <w:div w:id="845873639">
      <w:bodyDiv w:val="1"/>
      <w:marLeft w:val="0"/>
      <w:marRight w:val="0"/>
      <w:marTop w:val="0"/>
      <w:marBottom w:val="0"/>
      <w:divBdr>
        <w:top w:val="none" w:sz="0" w:space="0" w:color="auto"/>
        <w:left w:val="none" w:sz="0" w:space="0" w:color="auto"/>
        <w:bottom w:val="none" w:sz="0" w:space="0" w:color="auto"/>
        <w:right w:val="none" w:sz="0" w:space="0" w:color="auto"/>
      </w:divBdr>
    </w:div>
    <w:div w:id="850340764">
      <w:bodyDiv w:val="1"/>
      <w:marLeft w:val="0"/>
      <w:marRight w:val="0"/>
      <w:marTop w:val="0"/>
      <w:marBottom w:val="0"/>
      <w:divBdr>
        <w:top w:val="none" w:sz="0" w:space="0" w:color="auto"/>
        <w:left w:val="none" w:sz="0" w:space="0" w:color="auto"/>
        <w:bottom w:val="none" w:sz="0" w:space="0" w:color="auto"/>
        <w:right w:val="none" w:sz="0" w:space="0" w:color="auto"/>
      </w:divBdr>
    </w:div>
    <w:div w:id="856188635">
      <w:bodyDiv w:val="1"/>
      <w:marLeft w:val="0"/>
      <w:marRight w:val="0"/>
      <w:marTop w:val="0"/>
      <w:marBottom w:val="0"/>
      <w:divBdr>
        <w:top w:val="none" w:sz="0" w:space="0" w:color="auto"/>
        <w:left w:val="none" w:sz="0" w:space="0" w:color="auto"/>
        <w:bottom w:val="none" w:sz="0" w:space="0" w:color="auto"/>
        <w:right w:val="none" w:sz="0" w:space="0" w:color="auto"/>
      </w:divBdr>
    </w:div>
    <w:div w:id="899827942">
      <w:bodyDiv w:val="1"/>
      <w:marLeft w:val="0"/>
      <w:marRight w:val="0"/>
      <w:marTop w:val="0"/>
      <w:marBottom w:val="0"/>
      <w:divBdr>
        <w:top w:val="none" w:sz="0" w:space="0" w:color="auto"/>
        <w:left w:val="none" w:sz="0" w:space="0" w:color="auto"/>
        <w:bottom w:val="none" w:sz="0" w:space="0" w:color="auto"/>
        <w:right w:val="none" w:sz="0" w:space="0" w:color="auto"/>
      </w:divBdr>
    </w:div>
    <w:div w:id="901015369">
      <w:bodyDiv w:val="1"/>
      <w:marLeft w:val="0"/>
      <w:marRight w:val="0"/>
      <w:marTop w:val="0"/>
      <w:marBottom w:val="0"/>
      <w:divBdr>
        <w:top w:val="none" w:sz="0" w:space="0" w:color="auto"/>
        <w:left w:val="none" w:sz="0" w:space="0" w:color="auto"/>
        <w:bottom w:val="none" w:sz="0" w:space="0" w:color="auto"/>
        <w:right w:val="none" w:sz="0" w:space="0" w:color="auto"/>
      </w:divBdr>
    </w:div>
    <w:div w:id="924342122">
      <w:bodyDiv w:val="1"/>
      <w:marLeft w:val="0"/>
      <w:marRight w:val="0"/>
      <w:marTop w:val="0"/>
      <w:marBottom w:val="0"/>
      <w:divBdr>
        <w:top w:val="none" w:sz="0" w:space="0" w:color="auto"/>
        <w:left w:val="none" w:sz="0" w:space="0" w:color="auto"/>
        <w:bottom w:val="none" w:sz="0" w:space="0" w:color="auto"/>
        <w:right w:val="none" w:sz="0" w:space="0" w:color="auto"/>
      </w:divBdr>
    </w:div>
    <w:div w:id="930705010">
      <w:bodyDiv w:val="1"/>
      <w:marLeft w:val="0"/>
      <w:marRight w:val="0"/>
      <w:marTop w:val="0"/>
      <w:marBottom w:val="0"/>
      <w:divBdr>
        <w:top w:val="none" w:sz="0" w:space="0" w:color="auto"/>
        <w:left w:val="none" w:sz="0" w:space="0" w:color="auto"/>
        <w:bottom w:val="none" w:sz="0" w:space="0" w:color="auto"/>
        <w:right w:val="none" w:sz="0" w:space="0" w:color="auto"/>
      </w:divBdr>
    </w:div>
    <w:div w:id="941111308">
      <w:bodyDiv w:val="1"/>
      <w:marLeft w:val="0"/>
      <w:marRight w:val="0"/>
      <w:marTop w:val="0"/>
      <w:marBottom w:val="0"/>
      <w:divBdr>
        <w:top w:val="none" w:sz="0" w:space="0" w:color="auto"/>
        <w:left w:val="none" w:sz="0" w:space="0" w:color="auto"/>
        <w:bottom w:val="none" w:sz="0" w:space="0" w:color="auto"/>
        <w:right w:val="none" w:sz="0" w:space="0" w:color="auto"/>
      </w:divBdr>
    </w:div>
    <w:div w:id="959804158">
      <w:bodyDiv w:val="1"/>
      <w:marLeft w:val="0"/>
      <w:marRight w:val="0"/>
      <w:marTop w:val="0"/>
      <w:marBottom w:val="0"/>
      <w:divBdr>
        <w:top w:val="none" w:sz="0" w:space="0" w:color="auto"/>
        <w:left w:val="none" w:sz="0" w:space="0" w:color="auto"/>
        <w:bottom w:val="none" w:sz="0" w:space="0" w:color="auto"/>
        <w:right w:val="none" w:sz="0" w:space="0" w:color="auto"/>
      </w:divBdr>
    </w:div>
    <w:div w:id="962687723">
      <w:bodyDiv w:val="1"/>
      <w:marLeft w:val="0"/>
      <w:marRight w:val="0"/>
      <w:marTop w:val="0"/>
      <w:marBottom w:val="0"/>
      <w:divBdr>
        <w:top w:val="none" w:sz="0" w:space="0" w:color="auto"/>
        <w:left w:val="none" w:sz="0" w:space="0" w:color="auto"/>
        <w:bottom w:val="none" w:sz="0" w:space="0" w:color="auto"/>
        <w:right w:val="none" w:sz="0" w:space="0" w:color="auto"/>
      </w:divBdr>
    </w:div>
    <w:div w:id="975842262">
      <w:bodyDiv w:val="1"/>
      <w:marLeft w:val="0"/>
      <w:marRight w:val="0"/>
      <w:marTop w:val="0"/>
      <w:marBottom w:val="0"/>
      <w:divBdr>
        <w:top w:val="none" w:sz="0" w:space="0" w:color="auto"/>
        <w:left w:val="none" w:sz="0" w:space="0" w:color="auto"/>
        <w:bottom w:val="none" w:sz="0" w:space="0" w:color="auto"/>
        <w:right w:val="none" w:sz="0" w:space="0" w:color="auto"/>
      </w:divBdr>
    </w:div>
    <w:div w:id="977958545">
      <w:bodyDiv w:val="1"/>
      <w:marLeft w:val="0"/>
      <w:marRight w:val="0"/>
      <w:marTop w:val="0"/>
      <w:marBottom w:val="0"/>
      <w:divBdr>
        <w:top w:val="none" w:sz="0" w:space="0" w:color="auto"/>
        <w:left w:val="none" w:sz="0" w:space="0" w:color="auto"/>
        <w:bottom w:val="none" w:sz="0" w:space="0" w:color="auto"/>
        <w:right w:val="none" w:sz="0" w:space="0" w:color="auto"/>
      </w:divBdr>
    </w:div>
    <w:div w:id="991255998">
      <w:bodyDiv w:val="1"/>
      <w:marLeft w:val="0"/>
      <w:marRight w:val="0"/>
      <w:marTop w:val="0"/>
      <w:marBottom w:val="0"/>
      <w:divBdr>
        <w:top w:val="none" w:sz="0" w:space="0" w:color="auto"/>
        <w:left w:val="none" w:sz="0" w:space="0" w:color="auto"/>
        <w:bottom w:val="none" w:sz="0" w:space="0" w:color="auto"/>
        <w:right w:val="none" w:sz="0" w:space="0" w:color="auto"/>
      </w:divBdr>
    </w:div>
    <w:div w:id="997919673">
      <w:bodyDiv w:val="1"/>
      <w:marLeft w:val="0"/>
      <w:marRight w:val="0"/>
      <w:marTop w:val="0"/>
      <w:marBottom w:val="0"/>
      <w:divBdr>
        <w:top w:val="none" w:sz="0" w:space="0" w:color="auto"/>
        <w:left w:val="none" w:sz="0" w:space="0" w:color="auto"/>
        <w:bottom w:val="none" w:sz="0" w:space="0" w:color="auto"/>
        <w:right w:val="none" w:sz="0" w:space="0" w:color="auto"/>
      </w:divBdr>
    </w:div>
    <w:div w:id="999192318">
      <w:bodyDiv w:val="1"/>
      <w:marLeft w:val="0"/>
      <w:marRight w:val="0"/>
      <w:marTop w:val="0"/>
      <w:marBottom w:val="0"/>
      <w:divBdr>
        <w:top w:val="none" w:sz="0" w:space="0" w:color="auto"/>
        <w:left w:val="none" w:sz="0" w:space="0" w:color="auto"/>
        <w:bottom w:val="none" w:sz="0" w:space="0" w:color="auto"/>
        <w:right w:val="none" w:sz="0" w:space="0" w:color="auto"/>
      </w:divBdr>
    </w:div>
    <w:div w:id="1012219505">
      <w:bodyDiv w:val="1"/>
      <w:marLeft w:val="0"/>
      <w:marRight w:val="0"/>
      <w:marTop w:val="0"/>
      <w:marBottom w:val="0"/>
      <w:divBdr>
        <w:top w:val="none" w:sz="0" w:space="0" w:color="auto"/>
        <w:left w:val="none" w:sz="0" w:space="0" w:color="auto"/>
        <w:bottom w:val="none" w:sz="0" w:space="0" w:color="auto"/>
        <w:right w:val="none" w:sz="0" w:space="0" w:color="auto"/>
      </w:divBdr>
    </w:div>
    <w:div w:id="1018970716">
      <w:bodyDiv w:val="1"/>
      <w:marLeft w:val="0"/>
      <w:marRight w:val="0"/>
      <w:marTop w:val="0"/>
      <w:marBottom w:val="0"/>
      <w:divBdr>
        <w:top w:val="none" w:sz="0" w:space="0" w:color="auto"/>
        <w:left w:val="none" w:sz="0" w:space="0" w:color="auto"/>
        <w:bottom w:val="none" w:sz="0" w:space="0" w:color="auto"/>
        <w:right w:val="none" w:sz="0" w:space="0" w:color="auto"/>
      </w:divBdr>
    </w:div>
    <w:div w:id="1019815154">
      <w:bodyDiv w:val="1"/>
      <w:marLeft w:val="0"/>
      <w:marRight w:val="0"/>
      <w:marTop w:val="0"/>
      <w:marBottom w:val="0"/>
      <w:divBdr>
        <w:top w:val="none" w:sz="0" w:space="0" w:color="auto"/>
        <w:left w:val="none" w:sz="0" w:space="0" w:color="auto"/>
        <w:bottom w:val="none" w:sz="0" w:space="0" w:color="auto"/>
        <w:right w:val="none" w:sz="0" w:space="0" w:color="auto"/>
      </w:divBdr>
    </w:div>
    <w:div w:id="1020546613">
      <w:bodyDiv w:val="1"/>
      <w:marLeft w:val="0"/>
      <w:marRight w:val="0"/>
      <w:marTop w:val="0"/>
      <w:marBottom w:val="0"/>
      <w:divBdr>
        <w:top w:val="none" w:sz="0" w:space="0" w:color="auto"/>
        <w:left w:val="none" w:sz="0" w:space="0" w:color="auto"/>
        <w:bottom w:val="none" w:sz="0" w:space="0" w:color="auto"/>
        <w:right w:val="none" w:sz="0" w:space="0" w:color="auto"/>
      </w:divBdr>
    </w:div>
    <w:div w:id="1042561455">
      <w:bodyDiv w:val="1"/>
      <w:marLeft w:val="0"/>
      <w:marRight w:val="0"/>
      <w:marTop w:val="0"/>
      <w:marBottom w:val="0"/>
      <w:divBdr>
        <w:top w:val="none" w:sz="0" w:space="0" w:color="auto"/>
        <w:left w:val="none" w:sz="0" w:space="0" w:color="auto"/>
        <w:bottom w:val="none" w:sz="0" w:space="0" w:color="auto"/>
        <w:right w:val="none" w:sz="0" w:space="0" w:color="auto"/>
      </w:divBdr>
    </w:div>
    <w:div w:id="1047603760">
      <w:bodyDiv w:val="1"/>
      <w:marLeft w:val="0"/>
      <w:marRight w:val="0"/>
      <w:marTop w:val="0"/>
      <w:marBottom w:val="0"/>
      <w:divBdr>
        <w:top w:val="none" w:sz="0" w:space="0" w:color="auto"/>
        <w:left w:val="none" w:sz="0" w:space="0" w:color="auto"/>
        <w:bottom w:val="none" w:sz="0" w:space="0" w:color="auto"/>
        <w:right w:val="none" w:sz="0" w:space="0" w:color="auto"/>
      </w:divBdr>
    </w:div>
    <w:div w:id="1064793063">
      <w:bodyDiv w:val="1"/>
      <w:marLeft w:val="0"/>
      <w:marRight w:val="0"/>
      <w:marTop w:val="0"/>
      <w:marBottom w:val="0"/>
      <w:divBdr>
        <w:top w:val="none" w:sz="0" w:space="0" w:color="auto"/>
        <w:left w:val="none" w:sz="0" w:space="0" w:color="auto"/>
        <w:bottom w:val="none" w:sz="0" w:space="0" w:color="auto"/>
        <w:right w:val="none" w:sz="0" w:space="0" w:color="auto"/>
      </w:divBdr>
    </w:div>
    <w:div w:id="1094402443">
      <w:bodyDiv w:val="1"/>
      <w:marLeft w:val="0"/>
      <w:marRight w:val="0"/>
      <w:marTop w:val="0"/>
      <w:marBottom w:val="0"/>
      <w:divBdr>
        <w:top w:val="none" w:sz="0" w:space="0" w:color="auto"/>
        <w:left w:val="none" w:sz="0" w:space="0" w:color="auto"/>
        <w:bottom w:val="none" w:sz="0" w:space="0" w:color="auto"/>
        <w:right w:val="none" w:sz="0" w:space="0" w:color="auto"/>
      </w:divBdr>
    </w:div>
    <w:div w:id="1100636161">
      <w:bodyDiv w:val="1"/>
      <w:marLeft w:val="0"/>
      <w:marRight w:val="0"/>
      <w:marTop w:val="0"/>
      <w:marBottom w:val="0"/>
      <w:divBdr>
        <w:top w:val="none" w:sz="0" w:space="0" w:color="auto"/>
        <w:left w:val="none" w:sz="0" w:space="0" w:color="auto"/>
        <w:bottom w:val="none" w:sz="0" w:space="0" w:color="auto"/>
        <w:right w:val="none" w:sz="0" w:space="0" w:color="auto"/>
      </w:divBdr>
    </w:div>
    <w:div w:id="1116681944">
      <w:bodyDiv w:val="1"/>
      <w:marLeft w:val="0"/>
      <w:marRight w:val="0"/>
      <w:marTop w:val="0"/>
      <w:marBottom w:val="0"/>
      <w:divBdr>
        <w:top w:val="none" w:sz="0" w:space="0" w:color="auto"/>
        <w:left w:val="none" w:sz="0" w:space="0" w:color="auto"/>
        <w:bottom w:val="none" w:sz="0" w:space="0" w:color="auto"/>
        <w:right w:val="none" w:sz="0" w:space="0" w:color="auto"/>
      </w:divBdr>
    </w:div>
    <w:div w:id="1122964428">
      <w:bodyDiv w:val="1"/>
      <w:marLeft w:val="0"/>
      <w:marRight w:val="0"/>
      <w:marTop w:val="0"/>
      <w:marBottom w:val="0"/>
      <w:divBdr>
        <w:top w:val="none" w:sz="0" w:space="0" w:color="auto"/>
        <w:left w:val="none" w:sz="0" w:space="0" w:color="auto"/>
        <w:bottom w:val="none" w:sz="0" w:space="0" w:color="auto"/>
        <w:right w:val="none" w:sz="0" w:space="0" w:color="auto"/>
      </w:divBdr>
    </w:div>
    <w:div w:id="1137844169">
      <w:bodyDiv w:val="1"/>
      <w:marLeft w:val="0"/>
      <w:marRight w:val="0"/>
      <w:marTop w:val="0"/>
      <w:marBottom w:val="0"/>
      <w:divBdr>
        <w:top w:val="none" w:sz="0" w:space="0" w:color="auto"/>
        <w:left w:val="none" w:sz="0" w:space="0" w:color="auto"/>
        <w:bottom w:val="none" w:sz="0" w:space="0" w:color="auto"/>
        <w:right w:val="none" w:sz="0" w:space="0" w:color="auto"/>
      </w:divBdr>
    </w:div>
    <w:div w:id="1145706450">
      <w:bodyDiv w:val="1"/>
      <w:marLeft w:val="0"/>
      <w:marRight w:val="0"/>
      <w:marTop w:val="0"/>
      <w:marBottom w:val="0"/>
      <w:divBdr>
        <w:top w:val="none" w:sz="0" w:space="0" w:color="auto"/>
        <w:left w:val="none" w:sz="0" w:space="0" w:color="auto"/>
        <w:bottom w:val="none" w:sz="0" w:space="0" w:color="auto"/>
        <w:right w:val="none" w:sz="0" w:space="0" w:color="auto"/>
      </w:divBdr>
    </w:div>
    <w:div w:id="1155531707">
      <w:bodyDiv w:val="1"/>
      <w:marLeft w:val="0"/>
      <w:marRight w:val="0"/>
      <w:marTop w:val="0"/>
      <w:marBottom w:val="0"/>
      <w:divBdr>
        <w:top w:val="none" w:sz="0" w:space="0" w:color="auto"/>
        <w:left w:val="none" w:sz="0" w:space="0" w:color="auto"/>
        <w:bottom w:val="none" w:sz="0" w:space="0" w:color="auto"/>
        <w:right w:val="none" w:sz="0" w:space="0" w:color="auto"/>
      </w:divBdr>
    </w:div>
    <w:div w:id="1197236042">
      <w:bodyDiv w:val="1"/>
      <w:marLeft w:val="0"/>
      <w:marRight w:val="0"/>
      <w:marTop w:val="0"/>
      <w:marBottom w:val="0"/>
      <w:divBdr>
        <w:top w:val="none" w:sz="0" w:space="0" w:color="auto"/>
        <w:left w:val="none" w:sz="0" w:space="0" w:color="auto"/>
        <w:bottom w:val="none" w:sz="0" w:space="0" w:color="auto"/>
        <w:right w:val="none" w:sz="0" w:space="0" w:color="auto"/>
      </w:divBdr>
    </w:div>
    <w:div w:id="1248272175">
      <w:bodyDiv w:val="1"/>
      <w:marLeft w:val="0"/>
      <w:marRight w:val="0"/>
      <w:marTop w:val="0"/>
      <w:marBottom w:val="0"/>
      <w:divBdr>
        <w:top w:val="none" w:sz="0" w:space="0" w:color="auto"/>
        <w:left w:val="none" w:sz="0" w:space="0" w:color="auto"/>
        <w:bottom w:val="none" w:sz="0" w:space="0" w:color="auto"/>
        <w:right w:val="none" w:sz="0" w:space="0" w:color="auto"/>
      </w:divBdr>
    </w:div>
    <w:div w:id="1256472208">
      <w:bodyDiv w:val="1"/>
      <w:marLeft w:val="0"/>
      <w:marRight w:val="0"/>
      <w:marTop w:val="0"/>
      <w:marBottom w:val="0"/>
      <w:divBdr>
        <w:top w:val="none" w:sz="0" w:space="0" w:color="auto"/>
        <w:left w:val="none" w:sz="0" w:space="0" w:color="auto"/>
        <w:bottom w:val="none" w:sz="0" w:space="0" w:color="auto"/>
        <w:right w:val="none" w:sz="0" w:space="0" w:color="auto"/>
      </w:divBdr>
    </w:div>
    <w:div w:id="1268805720">
      <w:bodyDiv w:val="1"/>
      <w:marLeft w:val="0"/>
      <w:marRight w:val="0"/>
      <w:marTop w:val="0"/>
      <w:marBottom w:val="0"/>
      <w:divBdr>
        <w:top w:val="none" w:sz="0" w:space="0" w:color="auto"/>
        <w:left w:val="none" w:sz="0" w:space="0" w:color="auto"/>
        <w:bottom w:val="none" w:sz="0" w:space="0" w:color="auto"/>
        <w:right w:val="none" w:sz="0" w:space="0" w:color="auto"/>
      </w:divBdr>
    </w:div>
    <w:div w:id="1278416898">
      <w:bodyDiv w:val="1"/>
      <w:marLeft w:val="0"/>
      <w:marRight w:val="0"/>
      <w:marTop w:val="0"/>
      <w:marBottom w:val="0"/>
      <w:divBdr>
        <w:top w:val="none" w:sz="0" w:space="0" w:color="auto"/>
        <w:left w:val="none" w:sz="0" w:space="0" w:color="auto"/>
        <w:bottom w:val="none" w:sz="0" w:space="0" w:color="auto"/>
        <w:right w:val="none" w:sz="0" w:space="0" w:color="auto"/>
      </w:divBdr>
    </w:div>
    <w:div w:id="1283154203">
      <w:bodyDiv w:val="1"/>
      <w:marLeft w:val="0"/>
      <w:marRight w:val="0"/>
      <w:marTop w:val="0"/>
      <w:marBottom w:val="0"/>
      <w:divBdr>
        <w:top w:val="none" w:sz="0" w:space="0" w:color="auto"/>
        <w:left w:val="none" w:sz="0" w:space="0" w:color="auto"/>
        <w:bottom w:val="none" w:sz="0" w:space="0" w:color="auto"/>
        <w:right w:val="none" w:sz="0" w:space="0" w:color="auto"/>
      </w:divBdr>
    </w:div>
    <w:div w:id="1306934857">
      <w:bodyDiv w:val="1"/>
      <w:marLeft w:val="0"/>
      <w:marRight w:val="0"/>
      <w:marTop w:val="0"/>
      <w:marBottom w:val="0"/>
      <w:divBdr>
        <w:top w:val="none" w:sz="0" w:space="0" w:color="auto"/>
        <w:left w:val="none" w:sz="0" w:space="0" w:color="auto"/>
        <w:bottom w:val="none" w:sz="0" w:space="0" w:color="auto"/>
        <w:right w:val="none" w:sz="0" w:space="0" w:color="auto"/>
      </w:divBdr>
    </w:div>
    <w:div w:id="1370226883">
      <w:bodyDiv w:val="1"/>
      <w:marLeft w:val="0"/>
      <w:marRight w:val="0"/>
      <w:marTop w:val="0"/>
      <w:marBottom w:val="0"/>
      <w:divBdr>
        <w:top w:val="none" w:sz="0" w:space="0" w:color="auto"/>
        <w:left w:val="none" w:sz="0" w:space="0" w:color="auto"/>
        <w:bottom w:val="none" w:sz="0" w:space="0" w:color="auto"/>
        <w:right w:val="none" w:sz="0" w:space="0" w:color="auto"/>
      </w:divBdr>
    </w:div>
    <w:div w:id="1372652125">
      <w:bodyDiv w:val="1"/>
      <w:marLeft w:val="0"/>
      <w:marRight w:val="0"/>
      <w:marTop w:val="0"/>
      <w:marBottom w:val="0"/>
      <w:divBdr>
        <w:top w:val="none" w:sz="0" w:space="0" w:color="auto"/>
        <w:left w:val="none" w:sz="0" w:space="0" w:color="auto"/>
        <w:bottom w:val="none" w:sz="0" w:space="0" w:color="auto"/>
        <w:right w:val="none" w:sz="0" w:space="0" w:color="auto"/>
      </w:divBdr>
    </w:div>
    <w:div w:id="1379476605">
      <w:bodyDiv w:val="1"/>
      <w:marLeft w:val="0"/>
      <w:marRight w:val="0"/>
      <w:marTop w:val="0"/>
      <w:marBottom w:val="0"/>
      <w:divBdr>
        <w:top w:val="none" w:sz="0" w:space="0" w:color="auto"/>
        <w:left w:val="none" w:sz="0" w:space="0" w:color="auto"/>
        <w:bottom w:val="none" w:sz="0" w:space="0" w:color="auto"/>
        <w:right w:val="none" w:sz="0" w:space="0" w:color="auto"/>
      </w:divBdr>
    </w:div>
    <w:div w:id="1380780124">
      <w:bodyDiv w:val="1"/>
      <w:marLeft w:val="0"/>
      <w:marRight w:val="0"/>
      <w:marTop w:val="0"/>
      <w:marBottom w:val="0"/>
      <w:divBdr>
        <w:top w:val="none" w:sz="0" w:space="0" w:color="auto"/>
        <w:left w:val="none" w:sz="0" w:space="0" w:color="auto"/>
        <w:bottom w:val="none" w:sz="0" w:space="0" w:color="auto"/>
        <w:right w:val="none" w:sz="0" w:space="0" w:color="auto"/>
      </w:divBdr>
    </w:div>
    <w:div w:id="1384645267">
      <w:bodyDiv w:val="1"/>
      <w:marLeft w:val="0"/>
      <w:marRight w:val="0"/>
      <w:marTop w:val="0"/>
      <w:marBottom w:val="0"/>
      <w:divBdr>
        <w:top w:val="none" w:sz="0" w:space="0" w:color="auto"/>
        <w:left w:val="none" w:sz="0" w:space="0" w:color="auto"/>
        <w:bottom w:val="none" w:sz="0" w:space="0" w:color="auto"/>
        <w:right w:val="none" w:sz="0" w:space="0" w:color="auto"/>
      </w:divBdr>
    </w:div>
    <w:div w:id="1391272341">
      <w:bodyDiv w:val="1"/>
      <w:marLeft w:val="0"/>
      <w:marRight w:val="0"/>
      <w:marTop w:val="0"/>
      <w:marBottom w:val="0"/>
      <w:divBdr>
        <w:top w:val="none" w:sz="0" w:space="0" w:color="auto"/>
        <w:left w:val="none" w:sz="0" w:space="0" w:color="auto"/>
        <w:bottom w:val="none" w:sz="0" w:space="0" w:color="auto"/>
        <w:right w:val="none" w:sz="0" w:space="0" w:color="auto"/>
      </w:divBdr>
    </w:div>
    <w:div w:id="1391877694">
      <w:bodyDiv w:val="1"/>
      <w:marLeft w:val="0"/>
      <w:marRight w:val="0"/>
      <w:marTop w:val="0"/>
      <w:marBottom w:val="0"/>
      <w:divBdr>
        <w:top w:val="none" w:sz="0" w:space="0" w:color="auto"/>
        <w:left w:val="none" w:sz="0" w:space="0" w:color="auto"/>
        <w:bottom w:val="none" w:sz="0" w:space="0" w:color="auto"/>
        <w:right w:val="none" w:sz="0" w:space="0" w:color="auto"/>
      </w:divBdr>
    </w:div>
    <w:div w:id="1395817534">
      <w:bodyDiv w:val="1"/>
      <w:marLeft w:val="0"/>
      <w:marRight w:val="0"/>
      <w:marTop w:val="0"/>
      <w:marBottom w:val="0"/>
      <w:divBdr>
        <w:top w:val="none" w:sz="0" w:space="0" w:color="auto"/>
        <w:left w:val="none" w:sz="0" w:space="0" w:color="auto"/>
        <w:bottom w:val="none" w:sz="0" w:space="0" w:color="auto"/>
        <w:right w:val="none" w:sz="0" w:space="0" w:color="auto"/>
      </w:divBdr>
    </w:div>
    <w:div w:id="1415738975">
      <w:bodyDiv w:val="1"/>
      <w:marLeft w:val="0"/>
      <w:marRight w:val="0"/>
      <w:marTop w:val="0"/>
      <w:marBottom w:val="0"/>
      <w:divBdr>
        <w:top w:val="none" w:sz="0" w:space="0" w:color="auto"/>
        <w:left w:val="none" w:sz="0" w:space="0" w:color="auto"/>
        <w:bottom w:val="none" w:sz="0" w:space="0" w:color="auto"/>
        <w:right w:val="none" w:sz="0" w:space="0" w:color="auto"/>
      </w:divBdr>
    </w:div>
    <w:div w:id="1427848696">
      <w:bodyDiv w:val="1"/>
      <w:marLeft w:val="0"/>
      <w:marRight w:val="0"/>
      <w:marTop w:val="0"/>
      <w:marBottom w:val="0"/>
      <w:divBdr>
        <w:top w:val="none" w:sz="0" w:space="0" w:color="auto"/>
        <w:left w:val="none" w:sz="0" w:space="0" w:color="auto"/>
        <w:bottom w:val="none" w:sz="0" w:space="0" w:color="auto"/>
        <w:right w:val="none" w:sz="0" w:space="0" w:color="auto"/>
      </w:divBdr>
    </w:div>
    <w:div w:id="1447385127">
      <w:bodyDiv w:val="1"/>
      <w:marLeft w:val="0"/>
      <w:marRight w:val="0"/>
      <w:marTop w:val="0"/>
      <w:marBottom w:val="0"/>
      <w:divBdr>
        <w:top w:val="none" w:sz="0" w:space="0" w:color="auto"/>
        <w:left w:val="none" w:sz="0" w:space="0" w:color="auto"/>
        <w:bottom w:val="none" w:sz="0" w:space="0" w:color="auto"/>
        <w:right w:val="none" w:sz="0" w:space="0" w:color="auto"/>
      </w:divBdr>
    </w:div>
    <w:div w:id="1462530602">
      <w:bodyDiv w:val="1"/>
      <w:marLeft w:val="0"/>
      <w:marRight w:val="0"/>
      <w:marTop w:val="0"/>
      <w:marBottom w:val="0"/>
      <w:divBdr>
        <w:top w:val="none" w:sz="0" w:space="0" w:color="auto"/>
        <w:left w:val="none" w:sz="0" w:space="0" w:color="auto"/>
        <w:bottom w:val="none" w:sz="0" w:space="0" w:color="auto"/>
        <w:right w:val="none" w:sz="0" w:space="0" w:color="auto"/>
      </w:divBdr>
    </w:div>
    <w:div w:id="1474912008">
      <w:bodyDiv w:val="1"/>
      <w:marLeft w:val="0"/>
      <w:marRight w:val="0"/>
      <w:marTop w:val="0"/>
      <w:marBottom w:val="0"/>
      <w:divBdr>
        <w:top w:val="none" w:sz="0" w:space="0" w:color="auto"/>
        <w:left w:val="none" w:sz="0" w:space="0" w:color="auto"/>
        <w:bottom w:val="none" w:sz="0" w:space="0" w:color="auto"/>
        <w:right w:val="none" w:sz="0" w:space="0" w:color="auto"/>
      </w:divBdr>
    </w:div>
    <w:div w:id="1475836303">
      <w:bodyDiv w:val="1"/>
      <w:marLeft w:val="0"/>
      <w:marRight w:val="0"/>
      <w:marTop w:val="0"/>
      <w:marBottom w:val="0"/>
      <w:divBdr>
        <w:top w:val="none" w:sz="0" w:space="0" w:color="auto"/>
        <w:left w:val="none" w:sz="0" w:space="0" w:color="auto"/>
        <w:bottom w:val="none" w:sz="0" w:space="0" w:color="auto"/>
        <w:right w:val="none" w:sz="0" w:space="0" w:color="auto"/>
      </w:divBdr>
    </w:div>
    <w:div w:id="1478260026">
      <w:bodyDiv w:val="1"/>
      <w:marLeft w:val="0"/>
      <w:marRight w:val="0"/>
      <w:marTop w:val="0"/>
      <w:marBottom w:val="0"/>
      <w:divBdr>
        <w:top w:val="none" w:sz="0" w:space="0" w:color="auto"/>
        <w:left w:val="none" w:sz="0" w:space="0" w:color="auto"/>
        <w:bottom w:val="none" w:sz="0" w:space="0" w:color="auto"/>
        <w:right w:val="none" w:sz="0" w:space="0" w:color="auto"/>
      </w:divBdr>
    </w:div>
    <w:div w:id="1481535099">
      <w:bodyDiv w:val="1"/>
      <w:marLeft w:val="0"/>
      <w:marRight w:val="0"/>
      <w:marTop w:val="0"/>
      <w:marBottom w:val="0"/>
      <w:divBdr>
        <w:top w:val="none" w:sz="0" w:space="0" w:color="auto"/>
        <w:left w:val="none" w:sz="0" w:space="0" w:color="auto"/>
        <w:bottom w:val="none" w:sz="0" w:space="0" w:color="auto"/>
        <w:right w:val="none" w:sz="0" w:space="0" w:color="auto"/>
      </w:divBdr>
    </w:div>
    <w:div w:id="1483767388">
      <w:bodyDiv w:val="1"/>
      <w:marLeft w:val="0"/>
      <w:marRight w:val="0"/>
      <w:marTop w:val="0"/>
      <w:marBottom w:val="0"/>
      <w:divBdr>
        <w:top w:val="none" w:sz="0" w:space="0" w:color="auto"/>
        <w:left w:val="none" w:sz="0" w:space="0" w:color="auto"/>
        <w:bottom w:val="none" w:sz="0" w:space="0" w:color="auto"/>
        <w:right w:val="none" w:sz="0" w:space="0" w:color="auto"/>
      </w:divBdr>
    </w:div>
    <w:div w:id="1512135342">
      <w:bodyDiv w:val="1"/>
      <w:marLeft w:val="0"/>
      <w:marRight w:val="0"/>
      <w:marTop w:val="0"/>
      <w:marBottom w:val="0"/>
      <w:divBdr>
        <w:top w:val="none" w:sz="0" w:space="0" w:color="auto"/>
        <w:left w:val="none" w:sz="0" w:space="0" w:color="auto"/>
        <w:bottom w:val="none" w:sz="0" w:space="0" w:color="auto"/>
        <w:right w:val="none" w:sz="0" w:space="0" w:color="auto"/>
      </w:divBdr>
    </w:div>
    <w:div w:id="1513716708">
      <w:bodyDiv w:val="1"/>
      <w:marLeft w:val="0"/>
      <w:marRight w:val="0"/>
      <w:marTop w:val="0"/>
      <w:marBottom w:val="0"/>
      <w:divBdr>
        <w:top w:val="none" w:sz="0" w:space="0" w:color="auto"/>
        <w:left w:val="none" w:sz="0" w:space="0" w:color="auto"/>
        <w:bottom w:val="none" w:sz="0" w:space="0" w:color="auto"/>
        <w:right w:val="none" w:sz="0" w:space="0" w:color="auto"/>
      </w:divBdr>
    </w:div>
    <w:div w:id="1514219220">
      <w:bodyDiv w:val="1"/>
      <w:marLeft w:val="0"/>
      <w:marRight w:val="0"/>
      <w:marTop w:val="0"/>
      <w:marBottom w:val="0"/>
      <w:divBdr>
        <w:top w:val="none" w:sz="0" w:space="0" w:color="auto"/>
        <w:left w:val="none" w:sz="0" w:space="0" w:color="auto"/>
        <w:bottom w:val="none" w:sz="0" w:space="0" w:color="auto"/>
        <w:right w:val="none" w:sz="0" w:space="0" w:color="auto"/>
      </w:divBdr>
    </w:div>
    <w:div w:id="1514420396">
      <w:bodyDiv w:val="1"/>
      <w:marLeft w:val="0"/>
      <w:marRight w:val="0"/>
      <w:marTop w:val="0"/>
      <w:marBottom w:val="0"/>
      <w:divBdr>
        <w:top w:val="none" w:sz="0" w:space="0" w:color="auto"/>
        <w:left w:val="none" w:sz="0" w:space="0" w:color="auto"/>
        <w:bottom w:val="none" w:sz="0" w:space="0" w:color="auto"/>
        <w:right w:val="none" w:sz="0" w:space="0" w:color="auto"/>
      </w:divBdr>
    </w:div>
    <w:div w:id="1525434988">
      <w:bodyDiv w:val="1"/>
      <w:marLeft w:val="0"/>
      <w:marRight w:val="0"/>
      <w:marTop w:val="0"/>
      <w:marBottom w:val="0"/>
      <w:divBdr>
        <w:top w:val="none" w:sz="0" w:space="0" w:color="auto"/>
        <w:left w:val="none" w:sz="0" w:space="0" w:color="auto"/>
        <w:bottom w:val="none" w:sz="0" w:space="0" w:color="auto"/>
        <w:right w:val="none" w:sz="0" w:space="0" w:color="auto"/>
      </w:divBdr>
    </w:div>
    <w:div w:id="1572036786">
      <w:bodyDiv w:val="1"/>
      <w:marLeft w:val="0"/>
      <w:marRight w:val="0"/>
      <w:marTop w:val="0"/>
      <w:marBottom w:val="0"/>
      <w:divBdr>
        <w:top w:val="none" w:sz="0" w:space="0" w:color="auto"/>
        <w:left w:val="none" w:sz="0" w:space="0" w:color="auto"/>
        <w:bottom w:val="none" w:sz="0" w:space="0" w:color="auto"/>
        <w:right w:val="none" w:sz="0" w:space="0" w:color="auto"/>
      </w:divBdr>
    </w:div>
    <w:div w:id="1598057521">
      <w:bodyDiv w:val="1"/>
      <w:marLeft w:val="0"/>
      <w:marRight w:val="0"/>
      <w:marTop w:val="0"/>
      <w:marBottom w:val="0"/>
      <w:divBdr>
        <w:top w:val="none" w:sz="0" w:space="0" w:color="auto"/>
        <w:left w:val="none" w:sz="0" w:space="0" w:color="auto"/>
        <w:bottom w:val="none" w:sz="0" w:space="0" w:color="auto"/>
        <w:right w:val="none" w:sz="0" w:space="0" w:color="auto"/>
      </w:divBdr>
    </w:div>
    <w:div w:id="1623226231">
      <w:bodyDiv w:val="1"/>
      <w:marLeft w:val="0"/>
      <w:marRight w:val="0"/>
      <w:marTop w:val="0"/>
      <w:marBottom w:val="0"/>
      <w:divBdr>
        <w:top w:val="none" w:sz="0" w:space="0" w:color="auto"/>
        <w:left w:val="none" w:sz="0" w:space="0" w:color="auto"/>
        <w:bottom w:val="none" w:sz="0" w:space="0" w:color="auto"/>
        <w:right w:val="none" w:sz="0" w:space="0" w:color="auto"/>
      </w:divBdr>
    </w:div>
    <w:div w:id="1624655750">
      <w:bodyDiv w:val="1"/>
      <w:marLeft w:val="0"/>
      <w:marRight w:val="0"/>
      <w:marTop w:val="0"/>
      <w:marBottom w:val="0"/>
      <w:divBdr>
        <w:top w:val="none" w:sz="0" w:space="0" w:color="auto"/>
        <w:left w:val="none" w:sz="0" w:space="0" w:color="auto"/>
        <w:bottom w:val="none" w:sz="0" w:space="0" w:color="auto"/>
        <w:right w:val="none" w:sz="0" w:space="0" w:color="auto"/>
      </w:divBdr>
    </w:div>
    <w:div w:id="1647398196">
      <w:bodyDiv w:val="1"/>
      <w:marLeft w:val="0"/>
      <w:marRight w:val="0"/>
      <w:marTop w:val="0"/>
      <w:marBottom w:val="0"/>
      <w:divBdr>
        <w:top w:val="none" w:sz="0" w:space="0" w:color="auto"/>
        <w:left w:val="none" w:sz="0" w:space="0" w:color="auto"/>
        <w:bottom w:val="none" w:sz="0" w:space="0" w:color="auto"/>
        <w:right w:val="none" w:sz="0" w:space="0" w:color="auto"/>
      </w:divBdr>
    </w:div>
    <w:div w:id="1660426790">
      <w:bodyDiv w:val="1"/>
      <w:marLeft w:val="0"/>
      <w:marRight w:val="0"/>
      <w:marTop w:val="0"/>
      <w:marBottom w:val="0"/>
      <w:divBdr>
        <w:top w:val="none" w:sz="0" w:space="0" w:color="auto"/>
        <w:left w:val="none" w:sz="0" w:space="0" w:color="auto"/>
        <w:bottom w:val="none" w:sz="0" w:space="0" w:color="auto"/>
        <w:right w:val="none" w:sz="0" w:space="0" w:color="auto"/>
      </w:divBdr>
    </w:div>
    <w:div w:id="1688479060">
      <w:bodyDiv w:val="1"/>
      <w:marLeft w:val="0"/>
      <w:marRight w:val="0"/>
      <w:marTop w:val="0"/>
      <w:marBottom w:val="0"/>
      <w:divBdr>
        <w:top w:val="none" w:sz="0" w:space="0" w:color="auto"/>
        <w:left w:val="none" w:sz="0" w:space="0" w:color="auto"/>
        <w:bottom w:val="none" w:sz="0" w:space="0" w:color="auto"/>
        <w:right w:val="none" w:sz="0" w:space="0" w:color="auto"/>
      </w:divBdr>
    </w:div>
    <w:div w:id="1701710505">
      <w:bodyDiv w:val="1"/>
      <w:marLeft w:val="0"/>
      <w:marRight w:val="0"/>
      <w:marTop w:val="0"/>
      <w:marBottom w:val="0"/>
      <w:divBdr>
        <w:top w:val="none" w:sz="0" w:space="0" w:color="auto"/>
        <w:left w:val="none" w:sz="0" w:space="0" w:color="auto"/>
        <w:bottom w:val="none" w:sz="0" w:space="0" w:color="auto"/>
        <w:right w:val="none" w:sz="0" w:space="0" w:color="auto"/>
      </w:divBdr>
      <w:divsChild>
        <w:div w:id="1977250787">
          <w:marLeft w:val="0"/>
          <w:marRight w:val="0"/>
          <w:marTop w:val="0"/>
          <w:marBottom w:val="0"/>
          <w:divBdr>
            <w:top w:val="none" w:sz="0" w:space="0" w:color="auto"/>
            <w:left w:val="none" w:sz="0" w:space="0" w:color="auto"/>
            <w:bottom w:val="none" w:sz="0" w:space="0" w:color="auto"/>
            <w:right w:val="none" w:sz="0" w:space="0" w:color="auto"/>
          </w:divBdr>
          <w:divsChild>
            <w:div w:id="1293634798">
              <w:marLeft w:val="0"/>
              <w:marRight w:val="0"/>
              <w:marTop w:val="0"/>
              <w:marBottom w:val="0"/>
              <w:divBdr>
                <w:top w:val="none" w:sz="0" w:space="0" w:color="auto"/>
                <w:left w:val="none" w:sz="0" w:space="0" w:color="auto"/>
                <w:bottom w:val="none" w:sz="0" w:space="0" w:color="auto"/>
                <w:right w:val="none" w:sz="0" w:space="0" w:color="auto"/>
              </w:divBdr>
              <w:divsChild>
                <w:div w:id="1392540232">
                  <w:marLeft w:val="-225"/>
                  <w:marRight w:val="-225"/>
                  <w:marTop w:val="0"/>
                  <w:marBottom w:val="0"/>
                  <w:divBdr>
                    <w:top w:val="none" w:sz="0" w:space="0" w:color="auto"/>
                    <w:left w:val="none" w:sz="0" w:space="0" w:color="auto"/>
                    <w:bottom w:val="none" w:sz="0" w:space="0" w:color="auto"/>
                    <w:right w:val="none" w:sz="0" w:space="0" w:color="auto"/>
                  </w:divBdr>
                  <w:divsChild>
                    <w:div w:id="89551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508258">
      <w:bodyDiv w:val="1"/>
      <w:marLeft w:val="0"/>
      <w:marRight w:val="0"/>
      <w:marTop w:val="0"/>
      <w:marBottom w:val="0"/>
      <w:divBdr>
        <w:top w:val="none" w:sz="0" w:space="0" w:color="auto"/>
        <w:left w:val="none" w:sz="0" w:space="0" w:color="auto"/>
        <w:bottom w:val="none" w:sz="0" w:space="0" w:color="auto"/>
        <w:right w:val="none" w:sz="0" w:space="0" w:color="auto"/>
      </w:divBdr>
    </w:div>
    <w:div w:id="1715350226">
      <w:bodyDiv w:val="1"/>
      <w:marLeft w:val="0"/>
      <w:marRight w:val="0"/>
      <w:marTop w:val="0"/>
      <w:marBottom w:val="0"/>
      <w:divBdr>
        <w:top w:val="none" w:sz="0" w:space="0" w:color="auto"/>
        <w:left w:val="none" w:sz="0" w:space="0" w:color="auto"/>
        <w:bottom w:val="none" w:sz="0" w:space="0" w:color="auto"/>
        <w:right w:val="none" w:sz="0" w:space="0" w:color="auto"/>
      </w:divBdr>
    </w:div>
    <w:div w:id="1729264926">
      <w:bodyDiv w:val="1"/>
      <w:marLeft w:val="0"/>
      <w:marRight w:val="0"/>
      <w:marTop w:val="0"/>
      <w:marBottom w:val="0"/>
      <w:divBdr>
        <w:top w:val="none" w:sz="0" w:space="0" w:color="auto"/>
        <w:left w:val="none" w:sz="0" w:space="0" w:color="auto"/>
        <w:bottom w:val="none" w:sz="0" w:space="0" w:color="auto"/>
        <w:right w:val="none" w:sz="0" w:space="0" w:color="auto"/>
      </w:divBdr>
    </w:div>
    <w:div w:id="1730377035">
      <w:bodyDiv w:val="1"/>
      <w:marLeft w:val="0"/>
      <w:marRight w:val="0"/>
      <w:marTop w:val="0"/>
      <w:marBottom w:val="0"/>
      <w:divBdr>
        <w:top w:val="none" w:sz="0" w:space="0" w:color="auto"/>
        <w:left w:val="none" w:sz="0" w:space="0" w:color="auto"/>
        <w:bottom w:val="none" w:sz="0" w:space="0" w:color="auto"/>
        <w:right w:val="none" w:sz="0" w:space="0" w:color="auto"/>
      </w:divBdr>
    </w:div>
    <w:div w:id="1740907326">
      <w:bodyDiv w:val="1"/>
      <w:marLeft w:val="0"/>
      <w:marRight w:val="0"/>
      <w:marTop w:val="0"/>
      <w:marBottom w:val="0"/>
      <w:divBdr>
        <w:top w:val="none" w:sz="0" w:space="0" w:color="auto"/>
        <w:left w:val="none" w:sz="0" w:space="0" w:color="auto"/>
        <w:bottom w:val="none" w:sz="0" w:space="0" w:color="auto"/>
        <w:right w:val="none" w:sz="0" w:space="0" w:color="auto"/>
      </w:divBdr>
    </w:div>
    <w:div w:id="1744253208">
      <w:bodyDiv w:val="1"/>
      <w:marLeft w:val="0"/>
      <w:marRight w:val="0"/>
      <w:marTop w:val="0"/>
      <w:marBottom w:val="0"/>
      <w:divBdr>
        <w:top w:val="none" w:sz="0" w:space="0" w:color="auto"/>
        <w:left w:val="none" w:sz="0" w:space="0" w:color="auto"/>
        <w:bottom w:val="none" w:sz="0" w:space="0" w:color="auto"/>
        <w:right w:val="none" w:sz="0" w:space="0" w:color="auto"/>
      </w:divBdr>
    </w:div>
    <w:div w:id="1765178271">
      <w:bodyDiv w:val="1"/>
      <w:marLeft w:val="0"/>
      <w:marRight w:val="0"/>
      <w:marTop w:val="0"/>
      <w:marBottom w:val="0"/>
      <w:divBdr>
        <w:top w:val="none" w:sz="0" w:space="0" w:color="auto"/>
        <w:left w:val="none" w:sz="0" w:space="0" w:color="auto"/>
        <w:bottom w:val="none" w:sz="0" w:space="0" w:color="auto"/>
        <w:right w:val="none" w:sz="0" w:space="0" w:color="auto"/>
      </w:divBdr>
    </w:div>
    <w:div w:id="1781873342">
      <w:bodyDiv w:val="1"/>
      <w:marLeft w:val="0"/>
      <w:marRight w:val="0"/>
      <w:marTop w:val="0"/>
      <w:marBottom w:val="0"/>
      <w:divBdr>
        <w:top w:val="none" w:sz="0" w:space="0" w:color="auto"/>
        <w:left w:val="none" w:sz="0" w:space="0" w:color="auto"/>
        <w:bottom w:val="none" w:sz="0" w:space="0" w:color="auto"/>
        <w:right w:val="none" w:sz="0" w:space="0" w:color="auto"/>
      </w:divBdr>
    </w:div>
    <w:div w:id="1782914552">
      <w:bodyDiv w:val="1"/>
      <w:marLeft w:val="0"/>
      <w:marRight w:val="0"/>
      <w:marTop w:val="0"/>
      <w:marBottom w:val="0"/>
      <w:divBdr>
        <w:top w:val="none" w:sz="0" w:space="0" w:color="auto"/>
        <w:left w:val="none" w:sz="0" w:space="0" w:color="auto"/>
        <w:bottom w:val="none" w:sz="0" w:space="0" w:color="auto"/>
        <w:right w:val="none" w:sz="0" w:space="0" w:color="auto"/>
      </w:divBdr>
    </w:div>
    <w:div w:id="1793748143">
      <w:bodyDiv w:val="1"/>
      <w:marLeft w:val="0"/>
      <w:marRight w:val="0"/>
      <w:marTop w:val="0"/>
      <w:marBottom w:val="0"/>
      <w:divBdr>
        <w:top w:val="none" w:sz="0" w:space="0" w:color="auto"/>
        <w:left w:val="none" w:sz="0" w:space="0" w:color="auto"/>
        <w:bottom w:val="none" w:sz="0" w:space="0" w:color="auto"/>
        <w:right w:val="none" w:sz="0" w:space="0" w:color="auto"/>
      </w:divBdr>
    </w:div>
    <w:div w:id="1800568308">
      <w:bodyDiv w:val="1"/>
      <w:marLeft w:val="0"/>
      <w:marRight w:val="0"/>
      <w:marTop w:val="0"/>
      <w:marBottom w:val="0"/>
      <w:divBdr>
        <w:top w:val="none" w:sz="0" w:space="0" w:color="auto"/>
        <w:left w:val="none" w:sz="0" w:space="0" w:color="auto"/>
        <w:bottom w:val="none" w:sz="0" w:space="0" w:color="auto"/>
        <w:right w:val="none" w:sz="0" w:space="0" w:color="auto"/>
      </w:divBdr>
    </w:div>
    <w:div w:id="1812401138">
      <w:bodyDiv w:val="1"/>
      <w:marLeft w:val="0"/>
      <w:marRight w:val="0"/>
      <w:marTop w:val="0"/>
      <w:marBottom w:val="0"/>
      <w:divBdr>
        <w:top w:val="none" w:sz="0" w:space="0" w:color="auto"/>
        <w:left w:val="none" w:sz="0" w:space="0" w:color="auto"/>
        <w:bottom w:val="none" w:sz="0" w:space="0" w:color="auto"/>
        <w:right w:val="none" w:sz="0" w:space="0" w:color="auto"/>
      </w:divBdr>
    </w:div>
    <w:div w:id="1816602327">
      <w:bodyDiv w:val="1"/>
      <w:marLeft w:val="0"/>
      <w:marRight w:val="0"/>
      <w:marTop w:val="0"/>
      <w:marBottom w:val="0"/>
      <w:divBdr>
        <w:top w:val="none" w:sz="0" w:space="0" w:color="auto"/>
        <w:left w:val="none" w:sz="0" w:space="0" w:color="auto"/>
        <w:bottom w:val="none" w:sz="0" w:space="0" w:color="auto"/>
        <w:right w:val="none" w:sz="0" w:space="0" w:color="auto"/>
      </w:divBdr>
    </w:div>
    <w:div w:id="1830435626">
      <w:bodyDiv w:val="1"/>
      <w:marLeft w:val="0"/>
      <w:marRight w:val="0"/>
      <w:marTop w:val="0"/>
      <w:marBottom w:val="0"/>
      <w:divBdr>
        <w:top w:val="none" w:sz="0" w:space="0" w:color="auto"/>
        <w:left w:val="none" w:sz="0" w:space="0" w:color="auto"/>
        <w:bottom w:val="none" w:sz="0" w:space="0" w:color="auto"/>
        <w:right w:val="none" w:sz="0" w:space="0" w:color="auto"/>
      </w:divBdr>
    </w:div>
    <w:div w:id="1837111244">
      <w:bodyDiv w:val="1"/>
      <w:marLeft w:val="0"/>
      <w:marRight w:val="0"/>
      <w:marTop w:val="0"/>
      <w:marBottom w:val="0"/>
      <w:divBdr>
        <w:top w:val="none" w:sz="0" w:space="0" w:color="auto"/>
        <w:left w:val="none" w:sz="0" w:space="0" w:color="auto"/>
        <w:bottom w:val="none" w:sz="0" w:space="0" w:color="auto"/>
        <w:right w:val="none" w:sz="0" w:space="0" w:color="auto"/>
      </w:divBdr>
    </w:div>
    <w:div w:id="1846935603">
      <w:bodyDiv w:val="1"/>
      <w:marLeft w:val="0"/>
      <w:marRight w:val="0"/>
      <w:marTop w:val="0"/>
      <w:marBottom w:val="0"/>
      <w:divBdr>
        <w:top w:val="none" w:sz="0" w:space="0" w:color="auto"/>
        <w:left w:val="none" w:sz="0" w:space="0" w:color="auto"/>
        <w:bottom w:val="none" w:sz="0" w:space="0" w:color="auto"/>
        <w:right w:val="none" w:sz="0" w:space="0" w:color="auto"/>
      </w:divBdr>
    </w:div>
    <w:div w:id="1853912980">
      <w:bodyDiv w:val="1"/>
      <w:marLeft w:val="0"/>
      <w:marRight w:val="0"/>
      <w:marTop w:val="0"/>
      <w:marBottom w:val="0"/>
      <w:divBdr>
        <w:top w:val="none" w:sz="0" w:space="0" w:color="auto"/>
        <w:left w:val="none" w:sz="0" w:space="0" w:color="auto"/>
        <w:bottom w:val="none" w:sz="0" w:space="0" w:color="auto"/>
        <w:right w:val="none" w:sz="0" w:space="0" w:color="auto"/>
      </w:divBdr>
    </w:div>
    <w:div w:id="1881211947">
      <w:bodyDiv w:val="1"/>
      <w:marLeft w:val="0"/>
      <w:marRight w:val="0"/>
      <w:marTop w:val="0"/>
      <w:marBottom w:val="0"/>
      <w:divBdr>
        <w:top w:val="none" w:sz="0" w:space="0" w:color="auto"/>
        <w:left w:val="none" w:sz="0" w:space="0" w:color="auto"/>
        <w:bottom w:val="none" w:sz="0" w:space="0" w:color="auto"/>
        <w:right w:val="none" w:sz="0" w:space="0" w:color="auto"/>
      </w:divBdr>
    </w:div>
    <w:div w:id="1911382337">
      <w:bodyDiv w:val="1"/>
      <w:marLeft w:val="0"/>
      <w:marRight w:val="0"/>
      <w:marTop w:val="0"/>
      <w:marBottom w:val="0"/>
      <w:divBdr>
        <w:top w:val="none" w:sz="0" w:space="0" w:color="auto"/>
        <w:left w:val="none" w:sz="0" w:space="0" w:color="auto"/>
        <w:bottom w:val="none" w:sz="0" w:space="0" w:color="auto"/>
        <w:right w:val="none" w:sz="0" w:space="0" w:color="auto"/>
      </w:divBdr>
    </w:div>
    <w:div w:id="1916426554">
      <w:bodyDiv w:val="1"/>
      <w:marLeft w:val="0"/>
      <w:marRight w:val="0"/>
      <w:marTop w:val="0"/>
      <w:marBottom w:val="0"/>
      <w:divBdr>
        <w:top w:val="none" w:sz="0" w:space="0" w:color="auto"/>
        <w:left w:val="none" w:sz="0" w:space="0" w:color="auto"/>
        <w:bottom w:val="none" w:sz="0" w:space="0" w:color="auto"/>
        <w:right w:val="none" w:sz="0" w:space="0" w:color="auto"/>
      </w:divBdr>
    </w:div>
    <w:div w:id="1918859250">
      <w:bodyDiv w:val="1"/>
      <w:marLeft w:val="0"/>
      <w:marRight w:val="0"/>
      <w:marTop w:val="0"/>
      <w:marBottom w:val="0"/>
      <w:divBdr>
        <w:top w:val="none" w:sz="0" w:space="0" w:color="auto"/>
        <w:left w:val="none" w:sz="0" w:space="0" w:color="auto"/>
        <w:bottom w:val="none" w:sz="0" w:space="0" w:color="auto"/>
        <w:right w:val="none" w:sz="0" w:space="0" w:color="auto"/>
      </w:divBdr>
    </w:div>
    <w:div w:id="1927153433">
      <w:bodyDiv w:val="1"/>
      <w:marLeft w:val="0"/>
      <w:marRight w:val="0"/>
      <w:marTop w:val="0"/>
      <w:marBottom w:val="0"/>
      <w:divBdr>
        <w:top w:val="none" w:sz="0" w:space="0" w:color="auto"/>
        <w:left w:val="none" w:sz="0" w:space="0" w:color="auto"/>
        <w:bottom w:val="none" w:sz="0" w:space="0" w:color="auto"/>
        <w:right w:val="none" w:sz="0" w:space="0" w:color="auto"/>
      </w:divBdr>
    </w:div>
    <w:div w:id="1945573048">
      <w:bodyDiv w:val="1"/>
      <w:marLeft w:val="0"/>
      <w:marRight w:val="0"/>
      <w:marTop w:val="0"/>
      <w:marBottom w:val="0"/>
      <w:divBdr>
        <w:top w:val="none" w:sz="0" w:space="0" w:color="auto"/>
        <w:left w:val="none" w:sz="0" w:space="0" w:color="auto"/>
        <w:bottom w:val="none" w:sz="0" w:space="0" w:color="auto"/>
        <w:right w:val="none" w:sz="0" w:space="0" w:color="auto"/>
      </w:divBdr>
    </w:div>
    <w:div w:id="1950777076">
      <w:bodyDiv w:val="1"/>
      <w:marLeft w:val="0"/>
      <w:marRight w:val="0"/>
      <w:marTop w:val="0"/>
      <w:marBottom w:val="0"/>
      <w:divBdr>
        <w:top w:val="none" w:sz="0" w:space="0" w:color="auto"/>
        <w:left w:val="none" w:sz="0" w:space="0" w:color="auto"/>
        <w:bottom w:val="none" w:sz="0" w:space="0" w:color="auto"/>
        <w:right w:val="none" w:sz="0" w:space="0" w:color="auto"/>
      </w:divBdr>
    </w:div>
    <w:div w:id="1952779478">
      <w:bodyDiv w:val="1"/>
      <w:marLeft w:val="0"/>
      <w:marRight w:val="0"/>
      <w:marTop w:val="0"/>
      <w:marBottom w:val="0"/>
      <w:divBdr>
        <w:top w:val="none" w:sz="0" w:space="0" w:color="auto"/>
        <w:left w:val="none" w:sz="0" w:space="0" w:color="auto"/>
        <w:bottom w:val="none" w:sz="0" w:space="0" w:color="auto"/>
        <w:right w:val="none" w:sz="0" w:space="0" w:color="auto"/>
      </w:divBdr>
    </w:div>
    <w:div w:id="1959605522">
      <w:bodyDiv w:val="1"/>
      <w:marLeft w:val="0"/>
      <w:marRight w:val="0"/>
      <w:marTop w:val="0"/>
      <w:marBottom w:val="0"/>
      <w:divBdr>
        <w:top w:val="none" w:sz="0" w:space="0" w:color="auto"/>
        <w:left w:val="none" w:sz="0" w:space="0" w:color="auto"/>
        <w:bottom w:val="none" w:sz="0" w:space="0" w:color="auto"/>
        <w:right w:val="none" w:sz="0" w:space="0" w:color="auto"/>
      </w:divBdr>
    </w:div>
    <w:div w:id="1964770860">
      <w:bodyDiv w:val="1"/>
      <w:marLeft w:val="0"/>
      <w:marRight w:val="0"/>
      <w:marTop w:val="0"/>
      <w:marBottom w:val="0"/>
      <w:divBdr>
        <w:top w:val="none" w:sz="0" w:space="0" w:color="auto"/>
        <w:left w:val="none" w:sz="0" w:space="0" w:color="auto"/>
        <w:bottom w:val="none" w:sz="0" w:space="0" w:color="auto"/>
        <w:right w:val="none" w:sz="0" w:space="0" w:color="auto"/>
      </w:divBdr>
    </w:div>
    <w:div w:id="1970624127">
      <w:bodyDiv w:val="1"/>
      <w:marLeft w:val="0"/>
      <w:marRight w:val="0"/>
      <w:marTop w:val="0"/>
      <w:marBottom w:val="0"/>
      <w:divBdr>
        <w:top w:val="none" w:sz="0" w:space="0" w:color="auto"/>
        <w:left w:val="none" w:sz="0" w:space="0" w:color="auto"/>
        <w:bottom w:val="none" w:sz="0" w:space="0" w:color="auto"/>
        <w:right w:val="none" w:sz="0" w:space="0" w:color="auto"/>
      </w:divBdr>
    </w:div>
    <w:div w:id="1973318893">
      <w:bodyDiv w:val="1"/>
      <w:marLeft w:val="0"/>
      <w:marRight w:val="0"/>
      <w:marTop w:val="0"/>
      <w:marBottom w:val="0"/>
      <w:divBdr>
        <w:top w:val="none" w:sz="0" w:space="0" w:color="auto"/>
        <w:left w:val="none" w:sz="0" w:space="0" w:color="auto"/>
        <w:bottom w:val="none" w:sz="0" w:space="0" w:color="auto"/>
        <w:right w:val="none" w:sz="0" w:space="0" w:color="auto"/>
      </w:divBdr>
    </w:div>
    <w:div w:id="1979219006">
      <w:bodyDiv w:val="1"/>
      <w:marLeft w:val="0"/>
      <w:marRight w:val="0"/>
      <w:marTop w:val="0"/>
      <w:marBottom w:val="0"/>
      <w:divBdr>
        <w:top w:val="none" w:sz="0" w:space="0" w:color="auto"/>
        <w:left w:val="none" w:sz="0" w:space="0" w:color="auto"/>
        <w:bottom w:val="none" w:sz="0" w:space="0" w:color="auto"/>
        <w:right w:val="none" w:sz="0" w:space="0" w:color="auto"/>
      </w:divBdr>
    </w:div>
    <w:div w:id="2003846990">
      <w:bodyDiv w:val="1"/>
      <w:marLeft w:val="0"/>
      <w:marRight w:val="0"/>
      <w:marTop w:val="0"/>
      <w:marBottom w:val="0"/>
      <w:divBdr>
        <w:top w:val="none" w:sz="0" w:space="0" w:color="auto"/>
        <w:left w:val="none" w:sz="0" w:space="0" w:color="auto"/>
        <w:bottom w:val="none" w:sz="0" w:space="0" w:color="auto"/>
        <w:right w:val="none" w:sz="0" w:space="0" w:color="auto"/>
      </w:divBdr>
    </w:div>
    <w:div w:id="2017923084">
      <w:bodyDiv w:val="1"/>
      <w:marLeft w:val="0"/>
      <w:marRight w:val="0"/>
      <w:marTop w:val="0"/>
      <w:marBottom w:val="0"/>
      <w:divBdr>
        <w:top w:val="none" w:sz="0" w:space="0" w:color="auto"/>
        <w:left w:val="none" w:sz="0" w:space="0" w:color="auto"/>
        <w:bottom w:val="none" w:sz="0" w:space="0" w:color="auto"/>
        <w:right w:val="none" w:sz="0" w:space="0" w:color="auto"/>
      </w:divBdr>
    </w:div>
    <w:div w:id="2033455664">
      <w:bodyDiv w:val="1"/>
      <w:marLeft w:val="0"/>
      <w:marRight w:val="0"/>
      <w:marTop w:val="0"/>
      <w:marBottom w:val="0"/>
      <w:divBdr>
        <w:top w:val="none" w:sz="0" w:space="0" w:color="auto"/>
        <w:left w:val="none" w:sz="0" w:space="0" w:color="auto"/>
        <w:bottom w:val="none" w:sz="0" w:space="0" w:color="auto"/>
        <w:right w:val="none" w:sz="0" w:space="0" w:color="auto"/>
      </w:divBdr>
    </w:div>
    <w:div w:id="2046711438">
      <w:bodyDiv w:val="1"/>
      <w:marLeft w:val="0"/>
      <w:marRight w:val="0"/>
      <w:marTop w:val="0"/>
      <w:marBottom w:val="0"/>
      <w:divBdr>
        <w:top w:val="none" w:sz="0" w:space="0" w:color="auto"/>
        <w:left w:val="none" w:sz="0" w:space="0" w:color="auto"/>
        <w:bottom w:val="none" w:sz="0" w:space="0" w:color="auto"/>
        <w:right w:val="none" w:sz="0" w:space="0" w:color="auto"/>
      </w:divBdr>
    </w:div>
    <w:div w:id="2087798548">
      <w:bodyDiv w:val="1"/>
      <w:marLeft w:val="0"/>
      <w:marRight w:val="0"/>
      <w:marTop w:val="0"/>
      <w:marBottom w:val="0"/>
      <w:divBdr>
        <w:top w:val="none" w:sz="0" w:space="0" w:color="auto"/>
        <w:left w:val="none" w:sz="0" w:space="0" w:color="auto"/>
        <w:bottom w:val="none" w:sz="0" w:space="0" w:color="auto"/>
        <w:right w:val="none" w:sz="0" w:space="0" w:color="auto"/>
      </w:divBdr>
    </w:div>
    <w:div w:id="2117631807">
      <w:bodyDiv w:val="1"/>
      <w:marLeft w:val="0"/>
      <w:marRight w:val="0"/>
      <w:marTop w:val="0"/>
      <w:marBottom w:val="0"/>
      <w:divBdr>
        <w:top w:val="none" w:sz="0" w:space="0" w:color="auto"/>
        <w:left w:val="none" w:sz="0" w:space="0" w:color="auto"/>
        <w:bottom w:val="none" w:sz="0" w:space="0" w:color="auto"/>
        <w:right w:val="none" w:sz="0" w:space="0" w:color="auto"/>
      </w:divBdr>
    </w:div>
    <w:div w:id="2124764921">
      <w:bodyDiv w:val="1"/>
      <w:marLeft w:val="0"/>
      <w:marRight w:val="0"/>
      <w:marTop w:val="0"/>
      <w:marBottom w:val="0"/>
      <w:divBdr>
        <w:top w:val="none" w:sz="0" w:space="0" w:color="auto"/>
        <w:left w:val="none" w:sz="0" w:space="0" w:color="auto"/>
        <w:bottom w:val="none" w:sz="0" w:space="0" w:color="auto"/>
        <w:right w:val="none" w:sz="0" w:space="0" w:color="auto"/>
      </w:divBdr>
    </w:div>
    <w:div w:id="214376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4.xml"/><Relationship Id="rId18" Type="http://schemas.openxmlformats.org/officeDocument/2006/relationships/hyperlink" Target="https://www.aspi.sk/products/lawText/1/58751/1/ASPI%253A/718/2004%20Z.z."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s://www.aspi.sk/products/lawText/1/58751/1/ASPI%253A/95/2002%20Z.z." TargetMode="Externa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file:///C:\Users\jmurinova\AppData\Local\Microsoft\Windows\INetCache\Content.MSO\58515831.tmp" TargetMode="External"/><Relationship Id="rId10" Type="http://schemas.openxmlformats.org/officeDocument/2006/relationships/chart" Target="charts/chart1.xml"/><Relationship Id="rId19" Type="http://schemas.openxmlformats.org/officeDocument/2006/relationships/hyperlink" Target="https://eur-lex.europa.eu/legal-content/SK/TXT/?uri=celex%3A32022R2463"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5.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SK/legal-content/summary/european-development-fund-edf.html?fromSummary=11" TargetMode="External"/><Relationship Id="rId2" Type="http://schemas.openxmlformats.org/officeDocument/2006/relationships/hyperlink" Target="https://ec.europa.eu/eurostat/databrowser/view/gov_10dd_edpt1/default/table?lang=en&amp;category=gov.gov_gfs10.gov_10dd" TargetMode="External"/><Relationship Id="rId1" Type="http://schemas.openxmlformats.org/officeDocument/2006/relationships/hyperlink" Target="https://ec.europa.eu/eurostat/web/products-euro-indicators/w/2-22042025-ap"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VM-DFS.mf.mfsr.sk\FileShare\ADRESARE\IFP_NEW\3_MAKRO\3_7_Materialy\3_7_8_SZU\SZU%20za%202024\kap1_grafy.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VM-DFS.mf.mfsr.sk\FileShare\ADRESARE\IFP_NEW\3_MAKRO\3_7_Materialy\3_7_8_SZU\SZU%20za%202024\kap1_grafy.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file:///\\VM-DFS.mf.mfsr.sk\FileShare\ADRESARE\IFP_NEW\3_MAKRO\3_7_Materialy\3_7_8_SZU\SZU%20za%202024\kap1_grafy.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3" Type="http://schemas.openxmlformats.org/officeDocument/2006/relationships/oleObject" Target="file:///\\VM-DFS.mf.mfsr.sk\FileShare\ADRESARE\IFP_NEW\3_MAKRO\3_7_Materialy\3_7_8_SZU\SZU%20za%202024\kap1_grafy.xlsx" TargetMode="External"/><Relationship Id="rId2" Type="http://schemas.microsoft.com/office/2011/relationships/chartColorStyle" Target="colors1.xml"/><Relationship Id="rId1" Type="http://schemas.microsoft.com/office/2011/relationships/chartStyle" Target="style1.xml"/></Relationships>
</file>

<file path=word/charts/_rels/chart5.xml.rels><?xml version="1.0" encoding="UTF-8" standalone="yes"?>
<Relationships xmlns="http://schemas.openxmlformats.org/package/2006/relationships"><Relationship Id="rId2" Type="http://schemas.openxmlformats.org/officeDocument/2006/relationships/oleObject" Target="file:///\\VM-DFS.mf.mfsr.sk\FileShare\ADRESARE\IFP_NEW\3_MAKRO\3_7_Materialy\3_7_8_SZU\SZU%20za%202024\kap1_grafy.xlsx" TargetMode="External"/><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VM-DFS.mf.mfsr.sk\FileShare\ADRESARE\IFP_NEW\2_FISKAL\05_Dlh\01%20-%20Prognoza\2025\DLH_Model_2024_SZU%202024.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3"/>
          <c:order val="0"/>
          <c:tx>
            <c:strRef>
              <c:f>HDP!$A$5</c:f>
              <c:strCache>
                <c:ptCount val="1"/>
                <c:pt idx="0">
                  <c:v>štatistická diskrepancia</c:v>
                </c:pt>
              </c:strCache>
            </c:strRef>
          </c:tx>
          <c:spPr>
            <a:solidFill>
              <a:srgbClr val="7C7C7C"/>
            </a:solidFill>
          </c:spPr>
          <c:invertIfNegative val="0"/>
          <c:cat>
            <c:numRef>
              <c:f>HDP!$I$1:$Q$1</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HDP!$I$5:$P$5</c:f>
              <c:numCache>
                <c:formatCode>0.0</c:formatCode>
                <c:ptCount val="8"/>
                <c:pt idx="0">
                  <c:v>4.8557695788365551E-2</c:v>
                </c:pt>
                <c:pt idx="1">
                  <c:v>4.6363437422349871E-2</c:v>
                </c:pt>
                <c:pt idx="2">
                  <c:v>0.12503582207603514</c:v>
                </c:pt>
                <c:pt idx="3">
                  <c:v>-8.8969615197392771E-2</c:v>
                </c:pt>
                <c:pt idx="4">
                  <c:v>-1.3895318224874886E-2</c:v>
                </c:pt>
                <c:pt idx="5">
                  <c:v>1.4210854715202004E-14</c:v>
                </c:pt>
                <c:pt idx="6">
                  <c:v>-4.8471123431529817E-2</c:v>
                </c:pt>
                <c:pt idx="7">
                  <c:v>0.7555398794381798</c:v>
                </c:pt>
              </c:numCache>
            </c:numRef>
          </c:val>
          <c:extLst>
            <c:ext xmlns:c16="http://schemas.microsoft.com/office/drawing/2014/chart" uri="{C3380CC4-5D6E-409C-BE32-E72D297353CC}">
              <c16:uniqueId val="{00000000-F75B-4C04-9A98-D8907B15B42E}"/>
            </c:ext>
          </c:extLst>
        </c:ser>
        <c:ser>
          <c:idx val="1"/>
          <c:order val="2"/>
          <c:tx>
            <c:strRef>
              <c:f>HDP!$A$3</c:f>
              <c:strCache>
                <c:ptCount val="1"/>
                <c:pt idx="0">
                  <c:v>domáci dopyt</c:v>
                </c:pt>
              </c:strCache>
            </c:strRef>
          </c:tx>
          <c:spPr>
            <a:solidFill>
              <a:srgbClr val="2C9ADC"/>
            </a:solidFill>
          </c:spPr>
          <c:invertIfNegative val="0"/>
          <c:cat>
            <c:numRef>
              <c:f>HDP!$I$1:$Q$1</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HDP!$I$3:$Q$3</c:f>
              <c:numCache>
                <c:formatCode>0.0</c:formatCode>
                <c:ptCount val="9"/>
                <c:pt idx="0">
                  <c:v>1.6818313011576467</c:v>
                </c:pt>
                <c:pt idx="1">
                  <c:v>2.948245331608943</c:v>
                </c:pt>
                <c:pt idx="2">
                  <c:v>3.5383049137077482</c:v>
                </c:pt>
                <c:pt idx="3">
                  <c:v>3.2377357756332534</c:v>
                </c:pt>
                <c:pt idx="4">
                  <c:v>-3.9565632806724325</c:v>
                </c:pt>
                <c:pt idx="5">
                  <c:v>6.4097843839663282</c:v>
                </c:pt>
                <c:pt idx="6">
                  <c:v>1.6995235297794744</c:v>
                </c:pt>
                <c:pt idx="7">
                  <c:v>-4.9408252089651308</c:v>
                </c:pt>
                <c:pt idx="8">
                  <c:v>3.6567351549544944</c:v>
                </c:pt>
              </c:numCache>
            </c:numRef>
          </c:val>
          <c:extLst>
            <c:ext xmlns:c16="http://schemas.microsoft.com/office/drawing/2014/chart" uri="{C3380CC4-5D6E-409C-BE32-E72D297353CC}">
              <c16:uniqueId val="{00000001-F75B-4C04-9A98-D8907B15B42E}"/>
            </c:ext>
          </c:extLst>
        </c:ser>
        <c:ser>
          <c:idx val="2"/>
          <c:order val="3"/>
          <c:tx>
            <c:strRef>
              <c:f>HDP!$A$4</c:f>
              <c:strCache>
                <c:ptCount val="1"/>
                <c:pt idx="0">
                  <c:v>zahraničný dopyt</c:v>
                </c:pt>
              </c:strCache>
            </c:strRef>
          </c:tx>
          <c:spPr>
            <a:solidFill>
              <a:srgbClr val="555555"/>
            </a:solidFill>
          </c:spPr>
          <c:invertIfNegative val="0"/>
          <c:cat>
            <c:numRef>
              <c:f>HDP!$I$1:$Q$1</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HDP!$I$4:$Q$4</c:f>
              <c:numCache>
                <c:formatCode>0.0</c:formatCode>
                <c:ptCount val="9"/>
                <c:pt idx="0">
                  <c:v>0.21742941829955886</c:v>
                </c:pt>
                <c:pt idx="1">
                  <c:v>-0.11987549449432415</c:v>
                </c:pt>
                <c:pt idx="2">
                  <c:v>0.39877908318107258</c:v>
                </c:pt>
                <c:pt idx="3">
                  <c:v>-0.87286706024193028</c:v>
                </c:pt>
                <c:pt idx="4">
                  <c:v>1.38494618156521</c:v>
                </c:pt>
                <c:pt idx="5">
                  <c:v>-0.71019175104123544</c:v>
                </c:pt>
                <c:pt idx="6">
                  <c:v>-1.2136928977787682</c:v>
                </c:pt>
                <c:pt idx="7">
                  <c:v>6.3534344452227014</c:v>
                </c:pt>
                <c:pt idx="8">
                  <c:v>-1.6051470210322949</c:v>
                </c:pt>
              </c:numCache>
            </c:numRef>
          </c:val>
          <c:extLst>
            <c:ext xmlns:c16="http://schemas.microsoft.com/office/drawing/2014/chart" uri="{C3380CC4-5D6E-409C-BE32-E72D297353CC}">
              <c16:uniqueId val="{00000002-F75B-4C04-9A98-D8907B15B42E}"/>
            </c:ext>
          </c:extLst>
        </c:ser>
        <c:dLbls>
          <c:showLegendKey val="0"/>
          <c:showVal val="0"/>
          <c:showCatName val="0"/>
          <c:showSerName val="0"/>
          <c:showPercent val="0"/>
          <c:showBubbleSize val="0"/>
        </c:dLbls>
        <c:gapWidth val="150"/>
        <c:overlap val="100"/>
        <c:axId val="493704816"/>
        <c:axId val="493705208"/>
      </c:barChart>
      <c:lineChart>
        <c:grouping val="standard"/>
        <c:varyColors val="0"/>
        <c:ser>
          <c:idx val="0"/>
          <c:order val="1"/>
          <c:tx>
            <c:strRef>
              <c:f>HDP!$A$2</c:f>
              <c:strCache>
                <c:ptCount val="1"/>
                <c:pt idx="0">
                  <c:v>rast HDP</c:v>
                </c:pt>
              </c:strCache>
            </c:strRef>
          </c:tx>
          <c:spPr>
            <a:ln>
              <a:solidFill>
                <a:schemeClr val="tx1"/>
              </a:solidFill>
            </a:ln>
          </c:spPr>
          <c:marker>
            <c:symbol val="none"/>
          </c:marker>
          <c:dLbls>
            <c:dLbl>
              <c:idx val="3"/>
              <c:layout>
                <c:manualLayout>
                  <c:x val="-5.7103911191428942E-2"/>
                  <c:y val="-8.88280060882800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75B-4C04-9A98-D8907B15B42E}"/>
                </c:ext>
              </c:extLst>
            </c:dLbl>
            <c:dLbl>
              <c:idx val="4"/>
              <c:layout>
                <c:manualLayout>
                  <c:x val="3.6825479621758182E-3"/>
                  <c:y val="-2.75366843584139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75B-4C04-9A98-D8907B15B42E}"/>
                </c:ext>
              </c:extLst>
            </c:dLbl>
            <c:dLbl>
              <c:idx val="6"/>
              <c:layout>
                <c:manualLayout>
                  <c:x val="-4.8206340736063474E-2"/>
                  <c:y val="-0.1038617831216305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75B-4C04-9A98-D8907B15B42E}"/>
                </c:ext>
              </c:extLst>
            </c:dLbl>
            <c:dLbl>
              <c:idx val="7"/>
              <c:layout>
                <c:manualLayout>
                  <c:x val="-9.0239755114506961E-3"/>
                  <c:y val="-8.34326087009963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75B-4C04-9A98-D8907B15B42E}"/>
                </c:ext>
              </c:extLst>
            </c:dLbl>
            <c:dLbl>
              <c:idx val="8"/>
              <c:layout>
                <c:manualLayout>
                  <c:x val="-8.9848542303316899E-3"/>
                  <c:y val="-8.51121365058840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75B-4C04-9A98-D8907B15B42E}"/>
                </c:ext>
              </c:extLst>
            </c:dLbl>
            <c:numFmt formatCode="#,##0.0" sourceLinked="0"/>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a:noFill/>
                    </a:ln>
                  </c:spPr>
                </c15:leaderLines>
              </c:ext>
            </c:extLst>
          </c:dLbls>
          <c:cat>
            <c:numRef>
              <c:f>HDP!$I$1:$Q$1</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HDP!$I$2:$Q$2</c:f>
              <c:numCache>
                <c:formatCode>0.0</c:formatCode>
                <c:ptCount val="9"/>
                <c:pt idx="0">
                  <c:v>1.9478184152455711</c:v>
                </c:pt>
                <c:pt idx="1">
                  <c:v>2.8747332745369687</c:v>
                </c:pt>
                <c:pt idx="2">
                  <c:v>4.062119818964856</c:v>
                </c:pt>
                <c:pt idx="3">
                  <c:v>2.2758991001939304</c:v>
                </c:pt>
                <c:pt idx="4">
                  <c:v>-2.5855124173320974</c:v>
                </c:pt>
                <c:pt idx="5">
                  <c:v>5.699592632925107</c:v>
                </c:pt>
                <c:pt idx="6">
                  <c:v>0.43735950856917638</c:v>
                </c:pt>
                <c:pt idx="7">
                  <c:v>2.1681491156957504</c:v>
                </c:pt>
                <c:pt idx="8">
                  <c:v>2.0616777177357304</c:v>
                </c:pt>
              </c:numCache>
            </c:numRef>
          </c:val>
          <c:smooth val="0"/>
          <c:extLst>
            <c:ext xmlns:c16="http://schemas.microsoft.com/office/drawing/2014/chart" uri="{C3380CC4-5D6E-409C-BE32-E72D297353CC}">
              <c16:uniqueId val="{00000008-F75B-4C04-9A98-D8907B15B42E}"/>
            </c:ext>
          </c:extLst>
        </c:ser>
        <c:dLbls>
          <c:showLegendKey val="0"/>
          <c:showVal val="0"/>
          <c:showCatName val="0"/>
          <c:showSerName val="0"/>
          <c:showPercent val="0"/>
          <c:showBubbleSize val="0"/>
        </c:dLbls>
        <c:marker val="1"/>
        <c:smooth val="0"/>
        <c:axId val="493704816"/>
        <c:axId val="493705208"/>
      </c:lineChart>
      <c:catAx>
        <c:axId val="493704816"/>
        <c:scaling>
          <c:orientation val="minMax"/>
        </c:scaling>
        <c:delete val="0"/>
        <c:axPos val="b"/>
        <c:numFmt formatCode="General" sourceLinked="1"/>
        <c:majorTickMark val="out"/>
        <c:minorTickMark val="none"/>
        <c:tickLblPos val="low"/>
        <c:crossAx val="493705208"/>
        <c:crosses val="autoZero"/>
        <c:auto val="1"/>
        <c:lblAlgn val="ctr"/>
        <c:lblOffset val="100"/>
        <c:noMultiLvlLbl val="0"/>
      </c:catAx>
      <c:valAx>
        <c:axId val="493705208"/>
        <c:scaling>
          <c:orientation val="minMax"/>
        </c:scaling>
        <c:delete val="0"/>
        <c:axPos val="l"/>
        <c:majorGridlines>
          <c:spPr>
            <a:ln>
              <a:prstDash val="sysDash"/>
            </a:ln>
          </c:spPr>
        </c:majorGridlines>
        <c:numFmt formatCode="0.0" sourceLinked="0"/>
        <c:majorTickMark val="out"/>
        <c:minorTickMark val="none"/>
        <c:tickLblPos val="nextTo"/>
        <c:crossAx val="493704816"/>
        <c:crosses val="autoZero"/>
        <c:crossBetween val="between"/>
      </c:valAx>
    </c:plotArea>
    <c:legend>
      <c:legendPos val="r"/>
      <c:layout>
        <c:manualLayout>
          <c:xMode val="edge"/>
          <c:yMode val="edge"/>
          <c:x val="0.10613672201412827"/>
          <c:y val="0.60235159998939525"/>
          <c:w val="0.49317758054764643"/>
          <c:h val="0.25715050770168885"/>
        </c:manualLayout>
      </c:layout>
      <c:overlay val="1"/>
      <c:txPr>
        <a:bodyPr/>
        <a:lstStyle/>
        <a:p>
          <a:pPr>
            <a:defRPr sz="700"/>
          </a:pPr>
          <a:endParaRPr lang="sk-SK"/>
        </a:p>
      </c:txPr>
    </c:legend>
    <c:plotVisOnly val="1"/>
    <c:dispBlanksAs val="gap"/>
    <c:showDLblsOverMax val="0"/>
  </c:chart>
  <c:spPr>
    <a:ln>
      <a:noFill/>
    </a:ln>
  </c:spPr>
  <c:txPr>
    <a:bodyPr/>
    <a:lstStyle/>
    <a:p>
      <a:pPr>
        <a:defRPr sz="800">
          <a:latin typeface="Arial Narrow" panose="020B0606020202030204" pitchFamily="34" charset="0"/>
        </a:defRPr>
      </a:pPr>
      <a:endParaRPr lang="sk-SK"/>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874453193350831E-2"/>
          <c:y val="0.15146600897810292"/>
          <c:w val="0.89093095636884034"/>
          <c:h val="0.67930840328127295"/>
        </c:manualLayout>
      </c:layout>
      <c:barChart>
        <c:barDir val="col"/>
        <c:grouping val="stacked"/>
        <c:varyColors val="0"/>
        <c:ser>
          <c:idx val="8"/>
          <c:order val="1"/>
          <c:tx>
            <c:strRef>
              <c:f>trh_prace!$A$16</c:f>
              <c:strCache>
                <c:ptCount val="1"/>
                <c:pt idx="0">
                  <c:v>Poľnohospodárstvo</c:v>
                </c:pt>
              </c:strCache>
            </c:strRef>
          </c:tx>
          <c:invertIfNegative val="0"/>
          <c:cat>
            <c:strRef>
              <c:f>trh_prace!$J$15:$Q$15</c:f>
              <c:strCache>
                <c:ptCount val="8"/>
                <c:pt idx="0">
                  <c:v>2023Q1</c:v>
                </c:pt>
                <c:pt idx="1">
                  <c:v>2023Q2</c:v>
                </c:pt>
                <c:pt idx="2">
                  <c:v>2023Q3</c:v>
                </c:pt>
                <c:pt idx="3">
                  <c:v>2023Q4</c:v>
                </c:pt>
                <c:pt idx="4">
                  <c:v>2024Q1</c:v>
                </c:pt>
                <c:pt idx="5">
                  <c:v>2024Q2</c:v>
                </c:pt>
                <c:pt idx="6">
                  <c:v>2024Q3</c:v>
                </c:pt>
                <c:pt idx="7">
                  <c:v>2024Q4</c:v>
                </c:pt>
              </c:strCache>
            </c:strRef>
          </c:cat>
          <c:val>
            <c:numRef>
              <c:f>trh_prace!$J$16:$Q$16</c:f>
              <c:numCache>
                <c:formatCode>0.00</c:formatCode>
                <c:ptCount val="8"/>
                <c:pt idx="0">
                  <c:v>-6.5465789296323476E-2</c:v>
                </c:pt>
                <c:pt idx="1">
                  <c:v>-2.6296683289725536E-3</c:v>
                </c:pt>
                <c:pt idx="2">
                  <c:v>9.9006158922550075E-3</c:v>
                </c:pt>
                <c:pt idx="3">
                  <c:v>-4.1674441237804886E-2</c:v>
                </c:pt>
                <c:pt idx="4">
                  <c:v>7.7737186710513786E-2</c:v>
                </c:pt>
                <c:pt idx="5">
                  <c:v>-8.9420446048772625E-2</c:v>
                </c:pt>
                <c:pt idx="6">
                  <c:v>3.8269935550136495E-3</c:v>
                </c:pt>
                <c:pt idx="7">
                  <c:v>7.6107101203932055E-3</c:v>
                </c:pt>
              </c:numCache>
            </c:numRef>
          </c:val>
          <c:extLst>
            <c:ext xmlns:c16="http://schemas.microsoft.com/office/drawing/2014/chart" uri="{C3380CC4-5D6E-409C-BE32-E72D297353CC}">
              <c16:uniqueId val="{00000000-F82B-46F8-85ED-847B27C13EBF}"/>
            </c:ext>
          </c:extLst>
        </c:ser>
        <c:ser>
          <c:idx val="0"/>
          <c:order val="2"/>
          <c:tx>
            <c:strRef>
              <c:f>trh_prace!$A$17</c:f>
              <c:strCache>
                <c:ptCount val="1"/>
                <c:pt idx="0">
                  <c:v>Priemysel</c:v>
                </c:pt>
              </c:strCache>
            </c:strRef>
          </c:tx>
          <c:spPr>
            <a:solidFill>
              <a:srgbClr val="FFFFFF">
                <a:lumMod val="50000"/>
              </a:srgbClr>
            </a:solidFill>
          </c:spPr>
          <c:invertIfNegative val="0"/>
          <c:cat>
            <c:strRef>
              <c:f>trh_prace!$J$15:$Q$15</c:f>
              <c:strCache>
                <c:ptCount val="8"/>
                <c:pt idx="0">
                  <c:v>2023Q1</c:v>
                </c:pt>
                <c:pt idx="1">
                  <c:v>2023Q2</c:v>
                </c:pt>
                <c:pt idx="2">
                  <c:v>2023Q3</c:v>
                </c:pt>
                <c:pt idx="3">
                  <c:v>2023Q4</c:v>
                </c:pt>
                <c:pt idx="4">
                  <c:v>2024Q1</c:v>
                </c:pt>
                <c:pt idx="5">
                  <c:v>2024Q2</c:v>
                </c:pt>
                <c:pt idx="6">
                  <c:v>2024Q3</c:v>
                </c:pt>
                <c:pt idx="7">
                  <c:v>2024Q4</c:v>
                </c:pt>
              </c:strCache>
            </c:strRef>
          </c:cat>
          <c:val>
            <c:numRef>
              <c:f>trh_prace!$J$17:$Q$17</c:f>
              <c:numCache>
                <c:formatCode>0.00</c:formatCode>
                <c:ptCount val="8"/>
                <c:pt idx="0">
                  <c:v>-3.2876730343418661E-2</c:v>
                </c:pt>
                <c:pt idx="1">
                  <c:v>8.0451415439527135E-2</c:v>
                </c:pt>
                <c:pt idx="2">
                  <c:v>-0.15064547085850252</c:v>
                </c:pt>
                <c:pt idx="3">
                  <c:v>-8.5979221962019556E-2</c:v>
                </c:pt>
                <c:pt idx="4">
                  <c:v>-5.3426349662112217E-2</c:v>
                </c:pt>
                <c:pt idx="5">
                  <c:v>3.164487943466017E-2</c:v>
                </c:pt>
                <c:pt idx="6">
                  <c:v>-0.2574784803625898</c:v>
                </c:pt>
                <c:pt idx="7">
                  <c:v>2.2461879598565895E-2</c:v>
                </c:pt>
              </c:numCache>
            </c:numRef>
          </c:val>
          <c:extLst>
            <c:ext xmlns:c16="http://schemas.microsoft.com/office/drawing/2014/chart" uri="{C3380CC4-5D6E-409C-BE32-E72D297353CC}">
              <c16:uniqueId val="{00000001-F82B-46F8-85ED-847B27C13EBF}"/>
            </c:ext>
          </c:extLst>
        </c:ser>
        <c:ser>
          <c:idx val="1"/>
          <c:order val="3"/>
          <c:tx>
            <c:strRef>
              <c:f>trh_prace!$A$20</c:f>
              <c:strCache>
                <c:ptCount val="1"/>
                <c:pt idx="0">
                  <c:v>Stavebníctvo</c:v>
                </c:pt>
              </c:strCache>
            </c:strRef>
          </c:tx>
          <c:spPr>
            <a:solidFill>
              <a:srgbClr val="131D2B">
                <a:lumMod val="25000"/>
                <a:lumOff val="75000"/>
              </a:srgbClr>
            </a:solidFill>
          </c:spPr>
          <c:invertIfNegative val="0"/>
          <c:cat>
            <c:strRef>
              <c:f>trh_prace!$J$15:$Q$15</c:f>
              <c:strCache>
                <c:ptCount val="8"/>
                <c:pt idx="0">
                  <c:v>2023Q1</c:v>
                </c:pt>
                <c:pt idx="1">
                  <c:v>2023Q2</c:v>
                </c:pt>
                <c:pt idx="2">
                  <c:v>2023Q3</c:v>
                </c:pt>
                <c:pt idx="3">
                  <c:v>2023Q4</c:v>
                </c:pt>
                <c:pt idx="4">
                  <c:v>2024Q1</c:v>
                </c:pt>
                <c:pt idx="5">
                  <c:v>2024Q2</c:v>
                </c:pt>
                <c:pt idx="6">
                  <c:v>2024Q3</c:v>
                </c:pt>
                <c:pt idx="7">
                  <c:v>2024Q4</c:v>
                </c:pt>
              </c:strCache>
            </c:strRef>
          </c:cat>
          <c:val>
            <c:numRef>
              <c:f>trh_prace!$J$20:$Q$20</c:f>
              <c:numCache>
                <c:formatCode>0.00</c:formatCode>
                <c:ptCount val="8"/>
                <c:pt idx="0">
                  <c:v>6.2794554955918125E-2</c:v>
                </c:pt>
                <c:pt idx="1">
                  <c:v>-6.4509051195110667E-3</c:v>
                </c:pt>
                <c:pt idx="2">
                  <c:v>5.4966904829199997E-2</c:v>
                </c:pt>
                <c:pt idx="3">
                  <c:v>5.0428539841012428E-2</c:v>
                </c:pt>
                <c:pt idx="4">
                  <c:v>-2.4762558682746863E-2</c:v>
                </c:pt>
                <c:pt idx="5">
                  <c:v>2.1645262136058167E-2</c:v>
                </c:pt>
                <c:pt idx="6">
                  <c:v>7.2054470051923669E-2</c:v>
                </c:pt>
                <c:pt idx="7">
                  <c:v>-6.0885680963145648E-3</c:v>
                </c:pt>
              </c:numCache>
            </c:numRef>
          </c:val>
          <c:extLst>
            <c:ext xmlns:c16="http://schemas.microsoft.com/office/drawing/2014/chart" uri="{C3380CC4-5D6E-409C-BE32-E72D297353CC}">
              <c16:uniqueId val="{00000002-F82B-46F8-85ED-847B27C13EBF}"/>
            </c:ext>
          </c:extLst>
        </c:ser>
        <c:ser>
          <c:idx val="2"/>
          <c:order val="4"/>
          <c:tx>
            <c:strRef>
              <c:f>trh_prace!$A$19</c:f>
              <c:strCache>
                <c:ptCount val="1"/>
                <c:pt idx="0">
                  <c:v>Verejný sektor</c:v>
                </c:pt>
              </c:strCache>
            </c:strRef>
          </c:tx>
          <c:spPr>
            <a:solidFill>
              <a:srgbClr val="2E75B6"/>
            </a:solidFill>
          </c:spPr>
          <c:invertIfNegative val="0"/>
          <c:cat>
            <c:strRef>
              <c:f>trh_prace!$J$15:$Q$15</c:f>
              <c:strCache>
                <c:ptCount val="8"/>
                <c:pt idx="0">
                  <c:v>2023Q1</c:v>
                </c:pt>
                <c:pt idx="1">
                  <c:v>2023Q2</c:v>
                </c:pt>
                <c:pt idx="2">
                  <c:v>2023Q3</c:v>
                </c:pt>
                <c:pt idx="3">
                  <c:v>2023Q4</c:v>
                </c:pt>
                <c:pt idx="4">
                  <c:v>2024Q1</c:v>
                </c:pt>
                <c:pt idx="5">
                  <c:v>2024Q2</c:v>
                </c:pt>
                <c:pt idx="6">
                  <c:v>2024Q3</c:v>
                </c:pt>
                <c:pt idx="7">
                  <c:v>2024Q4</c:v>
                </c:pt>
              </c:strCache>
            </c:strRef>
          </c:cat>
          <c:val>
            <c:numRef>
              <c:f>trh_prace!$J$19:$Q$19</c:f>
              <c:numCache>
                <c:formatCode>0.00</c:formatCode>
                <c:ptCount val="8"/>
                <c:pt idx="0">
                  <c:v>-8.9794569750449166E-2</c:v>
                </c:pt>
                <c:pt idx="1">
                  <c:v>4.6923144245114672E-2</c:v>
                </c:pt>
                <c:pt idx="2">
                  <c:v>0.10919434457101165</c:v>
                </c:pt>
                <c:pt idx="3">
                  <c:v>-7.9321175137044807E-3</c:v>
                </c:pt>
                <c:pt idx="4">
                  <c:v>4.0121094250487037E-2</c:v>
                </c:pt>
                <c:pt idx="5">
                  <c:v>8.7445213002136132E-2</c:v>
                </c:pt>
                <c:pt idx="6">
                  <c:v>0.18287268127398559</c:v>
                </c:pt>
                <c:pt idx="7">
                  <c:v>7.2815983314032306E-3</c:v>
                </c:pt>
              </c:numCache>
            </c:numRef>
          </c:val>
          <c:extLst>
            <c:ext xmlns:c16="http://schemas.microsoft.com/office/drawing/2014/chart" uri="{C3380CC4-5D6E-409C-BE32-E72D297353CC}">
              <c16:uniqueId val="{00000003-F82B-46F8-85ED-847B27C13EBF}"/>
            </c:ext>
          </c:extLst>
        </c:ser>
        <c:ser>
          <c:idx val="3"/>
          <c:order val="5"/>
          <c:tx>
            <c:strRef>
              <c:f>trh_prace!$A$18</c:f>
              <c:strCache>
                <c:ptCount val="1"/>
                <c:pt idx="0">
                  <c:v>Služby</c:v>
                </c:pt>
              </c:strCache>
            </c:strRef>
          </c:tx>
          <c:spPr>
            <a:solidFill>
              <a:srgbClr val="00B0F0"/>
            </a:solidFill>
          </c:spPr>
          <c:invertIfNegative val="0"/>
          <c:cat>
            <c:strRef>
              <c:f>trh_prace!$J$15:$Q$15</c:f>
              <c:strCache>
                <c:ptCount val="8"/>
                <c:pt idx="0">
                  <c:v>2023Q1</c:v>
                </c:pt>
                <c:pt idx="1">
                  <c:v>2023Q2</c:v>
                </c:pt>
                <c:pt idx="2">
                  <c:v>2023Q3</c:v>
                </c:pt>
                <c:pt idx="3">
                  <c:v>2023Q4</c:v>
                </c:pt>
                <c:pt idx="4">
                  <c:v>2024Q1</c:v>
                </c:pt>
                <c:pt idx="5">
                  <c:v>2024Q2</c:v>
                </c:pt>
                <c:pt idx="6">
                  <c:v>2024Q3</c:v>
                </c:pt>
                <c:pt idx="7">
                  <c:v>2024Q4</c:v>
                </c:pt>
              </c:strCache>
            </c:strRef>
          </c:cat>
          <c:val>
            <c:numRef>
              <c:f>trh_prace!$J$18:$Q$18</c:f>
              <c:numCache>
                <c:formatCode>0.00</c:formatCode>
                <c:ptCount val="8"/>
                <c:pt idx="0">
                  <c:v>0.14321925655849671</c:v>
                </c:pt>
                <c:pt idx="1">
                  <c:v>-0.10083134498906428</c:v>
                </c:pt>
                <c:pt idx="2">
                  <c:v>-6.6387532289975487E-2</c:v>
                </c:pt>
                <c:pt idx="3">
                  <c:v>0.16661556684226925</c:v>
                </c:pt>
                <c:pt idx="4">
                  <c:v>-0.24643468433692192</c:v>
                </c:pt>
                <c:pt idx="5">
                  <c:v>-5.0779949573946347E-2</c:v>
                </c:pt>
                <c:pt idx="6">
                  <c:v>2.6665503480095106E-2</c:v>
                </c:pt>
                <c:pt idx="7">
                  <c:v>-5.6236976943662233E-2</c:v>
                </c:pt>
              </c:numCache>
            </c:numRef>
          </c:val>
          <c:extLst>
            <c:ext xmlns:c16="http://schemas.microsoft.com/office/drawing/2014/chart" uri="{C3380CC4-5D6E-409C-BE32-E72D297353CC}">
              <c16:uniqueId val="{00000004-F82B-46F8-85ED-847B27C13EBF}"/>
            </c:ext>
          </c:extLst>
        </c:ser>
        <c:dLbls>
          <c:showLegendKey val="0"/>
          <c:showVal val="0"/>
          <c:showCatName val="0"/>
          <c:showSerName val="0"/>
          <c:showPercent val="0"/>
          <c:showBubbleSize val="0"/>
        </c:dLbls>
        <c:gapWidth val="150"/>
        <c:overlap val="100"/>
        <c:axId val="493185248"/>
        <c:axId val="493185640"/>
      </c:barChart>
      <c:lineChart>
        <c:grouping val="standard"/>
        <c:varyColors val="0"/>
        <c:ser>
          <c:idx val="5"/>
          <c:order val="0"/>
          <c:tx>
            <c:strRef>
              <c:f>trh_prace!$A$21</c:f>
              <c:strCache>
                <c:ptCount val="1"/>
                <c:pt idx="0">
                  <c:v>Hospodárstvo spolu</c:v>
                </c:pt>
              </c:strCache>
            </c:strRef>
          </c:tx>
          <c:spPr>
            <a:ln>
              <a:solidFill>
                <a:srgbClr val="686767">
                  <a:lumMod val="50000"/>
                </a:srgbClr>
              </a:solidFill>
            </a:ln>
          </c:spPr>
          <c:marker>
            <c:symbol val="none"/>
          </c:marker>
          <c:cat>
            <c:strRef>
              <c:f>trh_prace!$J$15:$Q$15</c:f>
              <c:strCache>
                <c:ptCount val="8"/>
                <c:pt idx="0">
                  <c:v>2023Q1</c:v>
                </c:pt>
                <c:pt idx="1">
                  <c:v>2023Q2</c:v>
                </c:pt>
                <c:pt idx="2">
                  <c:v>2023Q3</c:v>
                </c:pt>
                <c:pt idx="3">
                  <c:v>2023Q4</c:v>
                </c:pt>
                <c:pt idx="4">
                  <c:v>2024Q1</c:v>
                </c:pt>
                <c:pt idx="5">
                  <c:v>2024Q2</c:v>
                </c:pt>
                <c:pt idx="6">
                  <c:v>2024Q3</c:v>
                </c:pt>
                <c:pt idx="7">
                  <c:v>2024Q4</c:v>
                </c:pt>
              </c:strCache>
            </c:strRef>
          </c:cat>
          <c:val>
            <c:numRef>
              <c:f>trh_prace!$J$21:$Q$21</c:f>
              <c:numCache>
                <c:formatCode>0.00</c:formatCode>
                <c:ptCount val="8"/>
                <c:pt idx="0">
                  <c:v>1.7876722124210431E-2</c:v>
                </c:pt>
                <c:pt idx="1">
                  <c:v>1.7462641247090183E-2</c:v>
                </c:pt>
                <c:pt idx="2">
                  <c:v>-4.2971137856029351E-2</c:v>
                </c:pt>
                <c:pt idx="3">
                  <c:v>8.1458325969774315E-2</c:v>
                </c:pt>
                <c:pt idx="4">
                  <c:v>-0.20676531172078016</c:v>
                </c:pt>
                <c:pt idx="5">
                  <c:v>5.349589501379981E-4</c:v>
                </c:pt>
                <c:pt idx="6">
                  <c:v>2.7941167998424277E-2</c:v>
                </c:pt>
                <c:pt idx="7">
                  <c:v>-2.4971356989611504E-2</c:v>
                </c:pt>
              </c:numCache>
            </c:numRef>
          </c:val>
          <c:smooth val="0"/>
          <c:extLst>
            <c:ext xmlns:c16="http://schemas.microsoft.com/office/drawing/2014/chart" uri="{C3380CC4-5D6E-409C-BE32-E72D297353CC}">
              <c16:uniqueId val="{00000005-F82B-46F8-85ED-847B27C13EBF}"/>
            </c:ext>
          </c:extLst>
        </c:ser>
        <c:dLbls>
          <c:showLegendKey val="0"/>
          <c:showVal val="0"/>
          <c:showCatName val="0"/>
          <c:showSerName val="0"/>
          <c:showPercent val="0"/>
          <c:showBubbleSize val="0"/>
        </c:dLbls>
        <c:marker val="1"/>
        <c:smooth val="0"/>
        <c:axId val="493185248"/>
        <c:axId val="493185640"/>
      </c:lineChart>
      <c:catAx>
        <c:axId val="493185248"/>
        <c:scaling>
          <c:orientation val="minMax"/>
        </c:scaling>
        <c:delete val="0"/>
        <c:axPos val="b"/>
        <c:numFmt formatCode="General" sourceLinked="1"/>
        <c:majorTickMark val="out"/>
        <c:minorTickMark val="none"/>
        <c:tickLblPos val="low"/>
        <c:txPr>
          <a:bodyPr rot="-5400000" vert="horz"/>
          <a:lstStyle/>
          <a:p>
            <a:pPr>
              <a:defRPr/>
            </a:pPr>
            <a:endParaRPr lang="sk-SK"/>
          </a:p>
        </c:txPr>
        <c:crossAx val="493185640"/>
        <c:crosses val="autoZero"/>
        <c:auto val="1"/>
        <c:lblAlgn val="ctr"/>
        <c:lblOffset val="100"/>
        <c:noMultiLvlLbl val="0"/>
      </c:catAx>
      <c:valAx>
        <c:axId val="493185640"/>
        <c:scaling>
          <c:orientation val="minMax"/>
        </c:scaling>
        <c:delete val="0"/>
        <c:axPos val="l"/>
        <c:majorGridlines>
          <c:spPr>
            <a:ln>
              <a:solidFill>
                <a:schemeClr val="bg1">
                  <a:lumMod val="75000"/>
                </a:schemeClr>
              </a:solidFill>
              <a:prstDash val="dash"/>
            </a:ln>
          </c:spPr>
        </c:majorGridlines>
        <c:numFmt formatCode="#,##0.0" sourceLinked="0"/>
        <c:majorTickMark val="out"/>
        <c:minorTickMark val="none"/>
        <c:tickLblPos val="nextTo"/>
        <c:crossAx val="493185248"/>
        <c:crosses val="autoZero"/>
        <c:crossBetween val="between"/>
      </c:valAx>
    </c:plotArea>
    <c:legend>
      <c:legendPos val="r"/>
      <c:layout>
        <c:manualLayout>
          <c:xMode val="edge"/>
          <c:yMode val="edge"/>
          <c:x val="4.3423572460608545E-2"/>
          <c:y val="9.1737913948875208E-3"/>
          <c:w val="0.92457658997836978"/>
          <c:h val="0.19618325405040765"/>
        </c:manualLayout>
      </c:layout>
      <c:overlay val="0"/>
    </c:legend>
    <c:plotVisOnly val="1"/>
    <c:dispBlanksAs val="gap"/>
    <c:showDLblsOverMax val="0"/>
  </c:chart>
  <c:spPr>
    <a:ln>
      <a:noFill/>
    </a:ln>
  </c:spPr>
  <c:txPr>
    <a:bodyPr/>
    <a:lstStyle/>
    <a:p>
      <a:pPr>
        <a:defRPr sz="800">
          <a:latin typeface="Arial Narrow" panose="020B0606020202030204" pitchFamily="34" charset="0"/>
        </a:defRPr>
      </a:pPr>
      <a:endParaRPr lang="sk-SK"/>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5515773876186696E-2"/>
          <c:y val="8.4437627114792468E-2"/>
          <c:w val="0.91819511922711794"/>
          <c:h val="0.72658193006773042"/>
        </c:manualLayout>
      </c:layout>
      <c:lineChart>
        <c:grouping val="standard"/>
        <c:varyColors val="0"/>
        <c:ser>
          <c:idx val="3"/>
          <c:order val="0"/>
          <c:tx>
            <c:strRef>
              <c:f>trh_prace!$A$9</c:f>
              <c:strCache>
                <c:ptCount val="1"/>
                <c:pt idx="0">
                  <c:v>Rast nominálnej mzdy (YoY)</c:v>
                </c:pt>
              </c:strCache>
            </c:strRef>
          </c:tx>
          <c:spPr>
            <a:ln w="19050">
              <a:solidFill>
                <a:srgbClr val="2C9ADC"/>
              </a:solidFill>
            </a:ln>
          </c:spPr>
          <c:marker>
            <c:symbol val="none"/>
          </c:marker>
          <c:cat>
            <c:strRef>
              <c:f>trh_prace!$C$7:$R$7</c:f>
              <c:strCache>
                <c:ptCount val="16"/>
                <c:pt idx="0">
                  <c:v>2021Q1</c:v>
                </c:pt>
                <c:pt idx="1">
                  <c:v>2021Q2</c:v>
                </c:pt>
                <c:pt idx="2">
                  <c:v>2021Q3</c:v>
                </c:pt>
                <c:pt idx="3">
                  <c:v>2021Q4</c:v>
                </c:pt>
                <c:pt idx="4">
                  <c:v>2022Q1</c:v>
                </c:pt>
                <c:pt idx="5">
                  <c:v>2022Q2</c:v>
                </c:pt>
                <c:pt idx="6">
                  <c:v>2022Q3</c:v>
                </c:pt>
                <c:pt idx="7">
                  <c:v>2022Q4</c:v>
                </c:pt>
                <c:pt idx="8">
                  <c:v>2023Q1</c:v>
                </c:pt>
                <c:pt idx="9">
                  <c:v>2023Q2</c:v>
                </c:pt>
                <c:pt idx="10">
                  <c:v>2023Q3</c:v>
                </c:pt>
                <c:pt idx="11">
                  <c:v>2023Q4</c:v>
                </c:pt>
                <c:pt idx="12">
                  <c:v>2024Q1</c:v>
                </c:pt>
                <c:pt idx="13">
                  <c:v>2024Q2</c:v>
                </c:pt>
                <c:pt idx="14">
                  <c:v>2024Q3</c:v>
                </c:pt>
                <c:pt idx="15">
                  <c:v>2024Q4</c:v>
                </c:pt>
              </c:strCache>
            </c:strRef>
          </c:cat>
          <c:val>
            <c:numRef>
              <c:f>trh_prace!$C$9:$R$9</c:f>
              <c:numCache>
                <c:formatCode>0.0</c:formatCode>
                <c:ptCount val="16"/>
                <c:pt idx="0">
                  <c:v>3.4990791896869267</c:v>
                </c:pt>
                <c:pt idx="1">
                  <c:v>10.477941176470583</c:v>
                </c:pt>
                <c:pt idx="2">
                  <c:v>6.4690026954177915</c:v>
                </c:pt>
                <c:pt idx="3">
                  <c:v>6.9076305220883594</c:v>
                </c:pt>
                <c:pt idx="4">
                  <c:v>7.8291814946619187</c:v>
                </c:pt>
                <c:pt idx="5">
                  <c:v>7.4043261231281132</c:v>
                </c:pt>
                <c:pt idx="6">
                  <c:v>9.3670886075949422</c:v>
                </c:pt>
                <c:pt idx="7">
                  <c:v>6.536438767843733</c:v>
                </c:pt>
                <c:pt idx="8">
                  <c:v>9.4884488448844895</c:v>
                </c:pt>
                <c:pt idx="9">
                  <c:v>9.9147947327653085</c:v>
                </c:pt>
                <c:pt idx="10">
                  <c:v>8.2561728395061706</c:v>
                </c:pt>
                <c:pt idx="11">
                  <c:v>10.648801128349783</c:v>
                </c:pt>
                <c:pt idx="12">
                  <c:v>9.042954031650341</c:v>
                </c:pt>
                <c:pt idx="13">
                  <c:v>7.1176885130373568</c:v>
                </c:pt>
                <c:pt idx="14">
                  <c:v>5.7733428367783279</c:v>
                </c:pt>
                <c:pt idx="15">
                  <c:v>4.716379859783304</c:v>
                </c:pt>
              </c:numCache>
            </c:numRef>
          </c:val>
          <c:smooth val="0"/>
          <c:extLst>
            <c:ext xmlns:c16="http://schemas.microsoft.com/office/drawing/2014/chart" uri="{C3380CC4-5D6E-409C-BE32-E72D297353CC}">
              <c16:uniqueId val="{00000000-3707-4BC5-9748-DDE68A99E099}"/>
            </c:ext>
          </c:extLst>
        </c:ser>
        <c:ser>
          <c:idx val="5"/>
          <c:order val="1"/>
          <c:tx>
            <c:strRef>
              <c:f>trh_prace!$A$8</c:f>
              <c:strCache>
                <c:ptCount val="1"/>
                <c:pt idx="0">
                  <c:v>Rast reálnej mzdy (YoY)</c:v>
                </c:pt>
              </c:strCache>
            </c:strRef>
          </c:tx>
          <c:spPr>
            <a:ln w="19050">
              <a:solidFill>
                <a:sysClr val="windowText" lastClr="000000"/>
              </a:solidFill>
            </a:ln>
          </c:spPr>
          <c:marker>
            <c:symbol val="none"/>
          </c:marker>
          <c:cat>
            <c:strRef>
              <c:f>trh_prace!$C$7:$R$7</c:f>
              <c:strCache>
                <c:ptCount val="16"/>
                <c:pt idx="0">
                  <c:v>2021Q1</c:v>
                </c:pt>
                <c:pt idx="1">
                  <c:v>2021Q2</c:v>
                </c:pt>
                <c:pt idx="2">
                  <c:v>2021Q3</c:v>
                </c:pt>
                <c:pt idx="3">
                  <c:v>2021Q4</c:v>
                </c:pt>
                <c:pt idx="4">
                  <c:v>2022Q1</c:v>
                </c:pt>
                <c:pt idx="5">
                  <c:v>2022Q2</c:v>
                </c:pt>
                <c:pt idx="6">
                  <c:v>2022Q3</c:v>
                </c:pt>
                <c:pt idx="7">
                  <c:v>2022Q4</c:v>
                </c:pt>
                <c:pt idx="8">
                  <c:v>2023Q1</c:v>
                </c:pt>
                <c:pt idx="9">
                  <c:v>2023Q2</c:v>
                </c:pt>
                <c:pt idx="10">
                  <c:v>2023Q3</c:v>
                </c:pt>
                <c:pt idx="11">
                  <c:v>2023Q4</c:v>
                </c:pt>
                <c:pt idx="12">
                  <c:v>2024Q1</c:v>
                </c:pt>
                <c:pt idx="13">
                  <c:v>2024Q2</c:v>
                </c:pt>
                <c:pt idx="14">
                  <c:v>2024Q3</c:v>
                </c:pt>
                <c:pt idx="15">
                  <c:v>2024Q4</c:v>
                </c:pt>
              </c:strCache>
            </c:strRef>
          </c:cat>
          <c:val>
            <c:numRef>
              <c:f>trh_prace!$C$8:$R$8</c:f>
              <c:numCache>
                <c:formatCode>0.00</c:formatCode>
                <c:ptCount val="16"/>
                <c:pt idx="0">
                  <c:v>2.4743358313731978</c:v>
                </c:pt>
                <c:pt idx="1">
                  <c:v>8.0645006616927759</c:v>
                </c:pt>
                <c:pt idx="2">
                  <c:v>2.4725723728756588</c:v>
                </c:pt>
                <c:pt idx="3">
                  <c:v>1.3342469403681223</c:v>
                </c:pt>
                <c:pt idx="4">
                  <c:v>-1.3155752031770107</c:v>
                </c:pt>
                <c:pt idx="5">
                  <c:v>-4.5577670706799855</c:v>
                </c:pt>
                <c:pt idx="6">
                  <c:v>-4.0078215849078891</c:v>
                </c:pt>
                <c:pt idx="7">
                  <c:v>-7.5472038462449653</c:v>
                </c:pt>
                <c:pt idx="8">
                  <c:v>-4.9029106732329293</c:v>
                </c:pt>
                <c:pt idx="9">
                  <c:v>-2.0076124224974845</c:v>
                </c:pt>
                <c:pt idx="10">
                  <c:v>-0.62162836030644764</c:v>
                </c:pt>
                <c:pt idx="11">
                  <c:v>3.9932341431858864</c:v>
                </c:pt>
                <c:pt idx="12" formatCode="0.0">
                  <c:v>5.6617771624518864</c:v>
                </c:pt>
                <c:pt idx="13" formatCode="0.0">
                  <c:v>4.8802433221645014</c:v>
                </c:pt>
                <c:pt idx="14" formatCode="0.0">
                  <c:v>3.0259832825763056</c:v>
                </c:pt>
                <c:pt idx="15" formatCode="0.0">
                  <c:v>1.6006272895698448</c:v>
                </c:pt>
              </c:numCache>
            </c:numRef>
          </c:val>
          <c:smooth val="0"/>
          <c:extLst>
            <c:ext xmlns:c16="http://schemas.microsoft.com/office/drawing/2014/chart" uri="{C3380CC4-5D6E-409C-BE32-E72D297353CC}">
              <c16:uniqueId val="{00000001-3707-4BC5-9748-DDE68A99E099}"/>
            </c:ext>
          </c:extLst>
        </c:ser>
        <c:dLbls>
          <c:showLegendKey val="0"/>
          <c:showVal val="0"/>
          <c:showCatName val="0"/>
          <c:showSerName val="0"/>
          <c:showPercent val="0"/>
          <c:showBubbleSize val="0"/>
        </c:dLbls>
        <c:smooth val="0"/>
        <c:axId val="491237056"/>
        <c:axId val="493184464"/>
      </c:lineChart>
      <c:catAx>
        <c:axId val="491237056"/>
        <c:scaling>
          <c:orientation val="minMax"/>
        </c:scaling>
        <c:delete val="0"/>
        <c:axPos val="b"/>
        <c:numFmt formatCode="General" sourceLinked="0"/>
        <c:majorTickMark val="out"/>
        <c:minorTickMark val="none"/>
        <c:tickLblPos val="low"/>
        <c:txPr>
          <a:bodyPr rot="-5400000" vert="horz"/>
          <a:lstStyle/>
          <a:p>
            <a:pPr>
              <a:defRPr/>
            </a:pPr>
            <a:endParaRPr lang="sk-SK"/>
          </a:p>
        </c:txPr>
        <c:crossAx val="493184464"/>
        <c:crosses val="autoZero"/>
        <c:auto val="1"/>
        <c:lblAlgn val="ctr"/>
        <c:lblOffset val="100"/>
        <c:noMultiLvlLbl val="0"/>
      </c:catAx>
      <c:valAx>
        <c:axId val="493184464"/>
        <c:scaling>
          <c:orientation val="minMax"/>
        </c:scaling>
        <c:delete val="0"/>
        <c:axPos val="l"/>
        <c:majorGridlines>
          <c:spPr>
            <a:ln>
              <a:solidFill>
                <a:schemeClr val="bg1">
                  <a:lumMod val="75000"/>
                </a:schemeClr>
              </a:solidFill>
              <a:prstDash val="sysDash"/>
            </a:ln>
          </c:spPr>
        </c:majorGridlines>
        <c:numFmt formatCode="#,##0.0" sourceLinked="0"/>
        <c:majorTickMark val="out"/>
        <c:minorTickMark val="none"/>
        <c:tickLblPos val="nextTo"/>
        <c:txPr>
          <a:bodyPr rot="0" vert="horz"/>
          <a:lstStyle/>
          <a:p>
            <a:pPr>
              <a:defRPr/>
            </a:pPr>
            <a:endParaRPr lang="sk-SK"/>
          </a:p>
        </c:txPr>
        <c:crossAx val="491237056"/>
        <c:crosses val="autoZero"/>
        <c:crossBetween val="between"/>
      </c:valAx>
    </c:plotArea>
    <c:legend>
      <c:legendPos val="l"/>
      <c:layout>
        <c:manualLayout>
          <c:xMode val="edge"/>
          <c:yMode val="edge"/>
          <c:x val="0.11629213483146066"/>
          <c:y val="7.4298465500801159E-2"/>
          <c:w val="0.84091598100799203"/>
          <c:h val="0.10888593471270637"/>
        </c:manualLayout>
      </c:layout>
      <c:overlay val="1"/>
    </c:legend>
    <c:plotVisOnly val="1"/>
    <c:dispBlanksAs val="gap"/>
    <c:showDLblsOverMax val="0"/>
  </c:chart>
  <c:spPr>
    <a:ln>
      <a:noFill/>
    </a:ln>
  </c:spPr>
  <c:txPr>
    <a:bodyPr/>
    <a:lstStyle/>
    <a:p>
      <a:pPr>
        <a:defRPr sz="800" b="0" i="0" u="none" strike="noStrike" baseline="0">
          <a:solidFill>
            <a:srgbClr val="000000"/>
          </a:solidFill>
          <a:latin typeface="Arial Narrow" panose="020B0606020202030204" pitchFamily="34" charset="0"/>
          <a:ea typeface="Calibri"/>
          <a:cs typeface="Calibri"/>
        </a:defRPr>
      </a:pPr>
      <a:endParaRPr lang="sk-SK"/>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inflacia!$A$3</c:f>
              <c:strCache>
                <c:ptCount val="1"/>
                <c:pt idx="0">
                  <c:v>CPI</c:v>
                </c:pt>
              </c:strCache>
            </c:strRef>
          </c:tx>
          <c:spPr>
            <a:ln w="28575" cap="rnd">
              <a:solidFill>
                <a:schemeClr val="tx1"/>
              </a:solidFill>
              <a:round/>
            </a:ln>
            <a:effectLst/>
          </c:spPr>
          <c:marker>
            <c:symbol val="none"/>
          </c:marker>
          <c:cat>
            <c:numRef>
              <c:f>inflacia!$N$2:$AK$2</c:f>
              <c:numCache>
                <c:formatCode>mmm\-yy</c:formatCode>
                <c:ptCount val="24"/>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numCache>
            </c:numRef>
          </c:cat>
          <c:val>
            <c:numRef>
              <c:f>inflacia!$N$3:$AK$3</c:f>
              <c:numCache>
                <c:formatCode>General</c:formatCode>
                <c:ptCount val="24"/>
                <c:pt idx="0">
                  <c:v>15.200000000000003</c:v>
                </c:pt>
                <c:pt idx="1">
                  <c:v>15.400000000000006</c:v>
                </c:pt>
                <c:pt idx="2">
                  <c:v>14.799999999999997</c:v>
                </c:pt>
                <c:pt idx="3">
                  <c:v>13.799999999999997</c:v>
                </c:pt>
                <c:pt idx="4">
                  <c:v>11.900000000000006</c:v>
                </c:pt>
                <c:pt idx="5" formatCode="0.0">
                  <c:v>10.799999999999997</c:v>
                </c:pt>
                <c:pt idx="6">
                  <c:v>9.7000000000000028</c:v>
                </c:pt>
                <c:pt idx="7">
                  <c:v>8.9000000000000057</c:v>
                </c:pt>
                <c:pt idx="8">
                  <c:v>8.2000000000000028</c:v>
                </c:pt>
                <c:pt idx="9">
                  <c:v>7.0999999999999943</c:v>
                </c:pt>
                <c:pt idx="10">
                  <c:v>6.2000000000000028</c:v>
                </c:pt>
                <c:pt idx="11">
                  <c:v>5.9000000000000057</c:v>
                </c:pt>
                <c:pt idx="12" formatCode="0.0">
                  <c:v>3.9000000000000057</c:v>
                </c:pt>
                <c:pt idx="13" formatCode="0.0">
                  <c:v>3.4000000000000057</c:v>
                </c:pt>
                <c:pt idx="14" formatCode="0.0">
                  <c:v>2.2999999999999972</c:v>
                </c:pt>
                <c:pt idx="15" formatCode="0.0">
                  <c:v>2.0999999999999943</c:v>
                </c:pt>
                <c:pt idx="16" formatCode="0.0">
                  <c:v>2.2000000000000028</c:v>
                </c:pt>
                <c:pt idx="17" formatCode="0.0">
                  <c:v>2.0999999999999943</c:v>
                </c:pt>
                <c:pt idx="18" formatCode="0.0">
                  <c:v>2.5999999999999943</c:v>
                </c:pt>
                <c:pt idx="19" formatCode="0.0">
                  <c:v>2.7999999999999972</c:v>
                </c:pt>
                <c:pt idx="20" formatCode="0.0">
                  <c:v>2.5999999999999943</c:v>
                </c:pt>
                <c:pt idx="21" formatCode="0.0">
                  <c:v>3.0999999999999943</c:v>
                </c:pt>
                <c:pt idx="22" formatCode="0.0">
                  <c:v>3.2000000000000028</c:v>
                </c:pt>
                <c:pt idx="23" formatCode="0.0">
                  <c:v>2.9000000000000057</c:v>
                </c:pt>
              </c:numCache>
            </c:numRef>
          </c:val>
          <c:smooth val="0"/>
          <c:extLst>
            <c:ext xmlns:c16="http://schemas.microsoft.com/office/drawing/2014/chart" uri="{C3380CC4-5D6E-409C-BE32-E72D297353CC}">
              <c16:uniqueId val="{00000000-30DE-4DC0-8599-237A69918FF0}"/>
            </c:ext>
          </c:extLst>
        </c:ser>
        <c:ser>
          <c:idx val="1"/>
          <c:order val="1"/>
          <c:tx>
            <c:strRef>
              <c:f>inflacia!$A$4</c:f>
              <c:strCache>
                <c:ptCount val="1"/>
                <c:pt idx="0">
                  <c:v>Potraviny</c:v>
                </c:pt>
              </c:strCache>
            </c:strRef>
          </c:tx>
          <c:spPr>
            <a:ln w="19050" cap="rnd">
              <a:solidFill>
                <a:srgbClr val="2EAAE1"/>
              </a:solidFill>
              <a:round/>
            </a:ln>
            <a:effectLst/>
          </c:spPr>
          <c:marker>
            <c:symbol val="none"/>
          </c:marker>
          <c:cat>
            <c:numRef>
              <c:f>inflacia!$N$2:$AK$2</c:f>
              <c:numCache>
                <c:formatCode>mmm\-yy</c:formatCode>
                <c:ptCount val="24"/>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numCache>
            </c:numRef>
          </c:cat>
          <c:val>
            <c:numRef>
              <c:f>inflacia!$N$4:$AK$4</c:f>
              <c:numCache>
                <c:formatCode>0.0</c:formatCode>
                <c:ptCount val="24"/>
                <c:pt idx="0">
                  <c:v>23.347722753592009</c:v>
                </c:pt>
                <c:pt idx="1">
                  <c:v>23.714207821979841</c:v>
                </c:pt>
                <c:pt idx="2">
                  <c:v>23.788684291818129</c:v>
                </c:pt>
                <c:pt idx="3">
                  <c:v>21.747707903759817</c:v>
                </c:pt>
                <c:pt idx="4">
                  <c:v>18.919059716791708</c:v>
                </c:pt>
                <c:pt idx="5">
                  <c:v>16.652144302417966</c:v>
                </c:pt>
                <c:pt idx="6">
                  <c:v>14.963303072940477</c:v>
                </c:pt>
                <c:pt idx="7">
                  <c:v>12.400960498400337</c:v>
                </c:pt>
                <c:pt idx="8">
                  <c:v>10.652808615301183</c:v>
                </c:pt>
                <c:pt idx="9">
                  <c:v>8.7555958315201678</c:v>
                </c:pt>
                <c:pt idx="10">
                  <c:v>7.5805471004836562</c:v>
                </c:pt>
                <c:pt idx="11">
                  <c:v>6.7075034883044253</c:v>
                </c:pt>
                <c:pt idx="12">
                  <c:v>5.4588415866221709</c:v>
                </c:pt>
                <c:pt idx="13">
                  <c:v>4.4501524561864301</c:v>
                </c:pt>
                <c:pt idx="14">
                  <c:v>1.8943291980135513</c:v>
                </c:pt>
                <c:pt idx="15">
                  <c:v>1.5494138424115675</c:v>
                </c:pt>
                <c:pt idx="16">
                  <c:v>1.8827163373314164</c:v>
                </c:pt>
                <c:pt idx="17">
                  <c:v>1.6560934309250968</c:v>
                </c:pt>
                <c:pt idx="18">
                  <c:v>2.1953692022893989</c:v>
                </c:pt>
                <c:pt idx="19">
                  <c:v>3.7154947665898987</c:v>
                </c:pt>
                <c:pt idx="20">
                  <c:v>3.7093242992013273</c:v>
                </c:pt>
                <c:pt idx="21">
                  <c:v>5.1760219266854648</c:v>
                </c:pt>
                <c:pt idx="22">
                  <c:v>4.904644143141951</c:v>
                </c:pt>
                <c:pt idx="23">
                  <c:v>2.7825342225800114</c:v>
                </c:pt>
              </c:numCache>
            </c:numRef>
          </c:val>
          <c:smooth val="0"/>
          <c:extLst>
            <c:ext xmlns:c16="http://schemas.microsoft.com/office/drawing/2014/chart" uri="{C3380CC4-5D6E-409C-BE32-E72D297353CC}">
              <c16:uniqueId val="{00000001-30DE-4DC0-8599-237A69918FF0}"/>
            </c:ext>
          </c:extLst>
        </c:ser>
        <c:ser>
          <c:idx val="2"/>
          <c:order val="2"/>
          <c:tx>
            <c:strRef>
              <c:f>inflacia!$A$5</c:f>
              <c:strCache>
                <c:ptCount val="1"/>
                <c:pt idx="0">
                  <c:v>Energie</c:v>
                </c:pt>
              </c:strCache>
            </c:strRef>
          </c:tx>
          <c:spPr>
            <a:ln w="19050" cap="rnd">
              <a:solidFill>
                <a:srgbClr val="1AA380"/>
              </a:solidFill>
              <a:round/>
            </a:ln>
            <a:effectLst/>
          </c:spPr>
          <c:marker>
            <c:symbol val="none"/>
          </c:marker>
          <c:cat>
            <c:numRef>
              <c:f>inflacia!$N$2:$AK$2</c:f>
              <c:numCache>
                <c:formatCode>mmm\-yy</c:formatCode>
                <c:ptCount val="24"/>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numCache>
            </c:numRef>
          </c:cat>
          <c:val>
            <c:numRef>
              <c:f>inflacia!$N$5:$AK$5</c:f>
              <c:numCache>
                <c:formatCode>0.0</c:formatCode>
                <c:ptCount val="24"/>
                <c:pt idx="0">
                  <c:v>14.533197967222662</c:v>
                </c:pt>
                <c:pt idx="1">
                  <c:v>14.419007341133707</c:v>
                </c:pt>
                <c:pt idx="2">
                  <c:v>13.737941821246011</c:v>
                </c:pt>
                <c:pt idx="3">
                  <c:v>13.283898141320876</c:v>
                </c:pt>
                <c:pt idx="4">
                  <c:v>12.832117889511039</c:v>
                </c:pt>
                <c:pt idx="5">
                  <c:v>12.156476465022962</c:v>
                </c:pt>
                <c:pt idx="6">
                  <c:v>11.597928275456113</c:v>
                </c:pt>
                <c:pt idx="7">
                  <c:v>10.600528717880024</c:v>
                </c:pt>
                <c:pt idx="8">
                  <c:v>10.05082430079311</c:v>
                </c:pt>
                <c:pt idx="9">
                  <c:v>8.9622899358001007</c:v>
                </c:pt>
                <c:pt idx="10">
                  <c:v>8.0966510882466025</c:v>
                </c:pt>
                <c:pt idx="11">
                  <c:v>7.5588568042254849</c:v>
                </c:pt>
                <c:pt idx="12">
                  <c:v>-1.197090835711478</c:v>
                </c:pt>
                <c:pt idx="13">
                  <c:v>-1.4929079290177185</c:v>
                </c:pt>
                <c:pt idx="14">
                  <c:v>-1.0996660445028255</c:v>
                </c:pt>
                <c:pt idx="15">
                  <c:v>-0.90146898246776175</c:v>
                </c:pt>
                <c:pt idx="16">
                  <c:v>-0.80227125372148578</c:v>
                </c:pt>
                <c:pt idx="17">
                  <c:v>-0.4038868009251928</c:v>
                </c:pt>
                <c:pt idx="18">
                  <c:v>-0.30419099191711041</c:v>
                </c:pt>
                <c:pt idx="19">
                  <c:v>-0.10439979150011425</c:v>
                </c:pt>
                <c:pt idx="20">
                  <c:v>-0.20419559590419567</c:v>
                </c:pt>
                <c:pt idx="21">
                  <c:v>-0.40358781249577191</c:v>
                </c:pt>
                <c:pt idx="22">
                  <c:v>-0.30389170419998379</c:v>
                </c:pt>
                <c:pt idx="23">
                  <c:v>-0.10449948760839334</c:v>
                </c:pt>
              </c:numCache>
            </c:numRef>
          </c:val>
          <c:smooth val="0"/>
          <c:extLst>
            <c:ext xmlns:c16="http://schemas.microsoft.com/office/drawing/2014/chart" uri="{C3380CC4-5D6E-409C-BE32-E72D297353CC}">
              <c16:uniqueId val="{00000002-30DE-4DC0-8599-237A69918FF0}"/>
            </c:ext>
          </c:extLst>
        </c:ser>
        <c:ser>
          <c:idx val="3"/>
          <c:order val="3"/>
          <c:tx>
            <c:strRef>
              <c:f>inflacia!$A$6</c:f>
              <c:strCache>
                <c:ptCount val="1"/>
                <c:pt idx="0">
                  <c:v>Poh. hmoty</c:v>
                </c:pt>
              </c:strCache>
            </c:strRef>
          </c:tx>
          <c:spPr>
            <a:ln w="19050" cap="rnd">
              <a:solidFill>
                <a:srgbClr val="F2CA6D"/>
              </a:solidFill>
              <a:round/>
            </a:ln>
            <a:effectLst/>
          </c:spPr>
          <c:marker>
            <c:symbol val="none"/>
          </c:marker>
          <c:cat>
            <c:numRef>
              <c:f>inflacia!$N$2:$AK$2</c:f>
              <c:numCache>
                <c:formatCode>mmm\-yy</c:formatCode>
                <c:ptCount val="24"/>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numCache>
            </c:numRef>
          </c:cat>
          <c:val>
            <c:numRef>
              <c:f>inflacia!$N$6:$AK$6</c:f>
              <c:numCache>
                <c:formatCode>0.0</c:formatCode>
                <c:ptCount val="24"/>
                <c:pt idx="0">
                  <c:v>5.4813882279751454</c:v>
                </c:pt>
                <c:pt idx="1">
                  <c:v>3.648700015519978</c:v>
                </c:pt>
                <c:pt idx="2">
                  <c:v>-7.1916227383968021</c:v>
                </c:pt>
                <c:pt idx="3">
                  <c:v>-9.0746912625452723</c:v>
                </c:pt>
                <c:pt idx="4">
                  <c:v>-15.252391664802943</c:v>
                </c:pt>
                <c:pt idx="5">
                  <c:v>-18.539668809309163</c:v>
                </c:pt>
                <c:pt idx="6">
                  <c:v>-16.224045181553493</c:v>
                </c:pt>
                <c:pt idx="7">
                  <c:v>-4.4722640593059424</c:v>
                </c:pt>
                <c:pt idx="8">
                  <c:v>-0.5410815103061708</c:v>
                </c:pt>
                <c:pt idx="9">
                  <c:v>-6.180003575215494</c:v>
                </c:pt>
                <c:pt idx="10">
                  <c:v>-7.4157279455520353</c:v>
                </c:pt>
                <c:pt idx="11">
                  <c:v>-1.4491859687098412</c:v>
                </c:pt>
                <c:pt idx="12">
                  <c:v>-0.36295455153127421</c:v>
                </c:pt>
                <c:pt idx="13">
                  <c:v>2.2796782845283019</c:v>
                </c:pt>
                <c:pt idx="14">
                  <c:v>5.1091365977273426</c:v>
                </c:pt>
                <c:pt idx="15">
                  <c:v>5.7310841515600544</c:v>
                </c:pt>
                <c:pt idx="16">
                  <c:v>5.1883167791187788</c:v>
                </c:pt>
                <c:pt idx="17">
                  <c:v>1.7717671199544753</c:v>
                </c:pt>
                <c:pt idx="18">
                  <c:v>1.3699042685430385</c:v>
                </c:pt>
                <c:pt idx="19">
                  <c:v>-8.2663774047015011</c:v>
                </c:pt>
                <c:pt idx="20">
                  <c:v>-13.342546243967035</c:v>
                </c:pt>
                <c:pt idx="21">
                  <c:v>-9.3913255545727736</c:v>
                </c:pt>
                <c:pt idx="22">
                  <c:v>-6.1353670272730483</c:v>
                </c:pt>
                <c:pt idx="23">
                  <c:v>-1.3343576163506583</c:v>
                </c:pt>
              </c:numCache>
            </c:numRef>
          </c:val>
          <c:smooth val="0"/>
          <c:extLst>
            <c:ext xmlns:c16="http://schemas.microsoft.com/office/drawing/2014/chart" uri="{C3380CC4-5D6E-409C-BE32-E72D297353CC}">
              <c16:uniqueId val="{00000003-30DE-4DC0-8599-237A69918FF0}"/>
            </c:ext>
          </c:extLst>
        </c:ser>
        <c:ser>
          <c:idx val="4"/>
          <c:order val="4"/>
          <c:tx>
            <c:strRef>
              <c:f>inflacia!$A$7</c:f>
              <c:strCache>
                <c:ptCount val="1"/>
                <c:pt idx="0">
                  <c:v>Tovary</c:v>
                </c:pt>
              </c:strCache>
            </c:strRef>
          </c:tx>
          <c:spPr>
            <a:ln w="19050" cap="rnd">
              <a:solidFill>
                <a:srgbClr val="E85477"/>
              </a:solidFill>
              <a:round/>
            </a:ln>
            <a:effectLst/>
          </c:spPr>
          <c:marker>
            <c:symbol val="none"/>
          </c:marker>
          <c:cat>
            <c:numRef>
              <c:f>inflacia!$N$2:$AK$2</c:f>
              <c:numCache>
                <c:formatCode>mmm\-yy</c:formatCode>
                <c:ptCount val="24"/>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numCache>
            </c:numRef>
          </c:cat>
          <c:val>
            <c:numRef>
              <c:f>inflacia!$N$7:$AK$7</c:f>
              <c:numCache>
                <c:formatCode>0.0</c:formatCode>
                <c:ptCount val="24"/>
                <c:pt idx="0">
                  <c:v>10.350215086898487</c:v>
                </c:pt>
                <c:pt idx="1">
                  <c:v>10.466822309203039</c:v>
                </c:pt>
                <c:pt idx="2">
                  <c:v>10.607181033736083</c:v>
                </c:pt>
                <c:pt idx="3">
                  <c:v>10.442981655964317</c:v>
                </c:pt>
                <c:pt idx="4">
                  <c:v>10.157258922922566</c:v>
                </c:pt>
                <c:pt idx="5">
                  <c:v>9.9058833241961963</c:v>
                </c:pt>
                <c:pt idx="6">
                  <c:v>9.2356973292813365</c:v>
                </c:pt>
                <c:pt idx="7">
                  <c:v>8.3058911159185556</c:v>
                </c:pt>
                <c:pt idx="8">
                  <c:v>7.4413945481430943</c:v>
                </c:pt>
                <c:pt idx="9">
                  <c:v>6.5572969145300419</c:v>
                </c:pt>
                <c:pt idx="10">
                  <c:v>6.0487127362853812</c:v>
                </c:pt>
                <c:pt idx="11">
                  <c:v>5.6114770556223306</c:v>
                </c:pt>
                <c:pt idx="12">
                  <c:v>4.8472136218150013</c:v>
                </c:pt>
                <c:pt idx="13">
                  <c:v>4.2827702455048495</c:v>
                </c:pt>
                <c:pt idx="14">
                  <c:v>3.4718782906667514</c:v>
                </c:pt>
                <c:pt idx="15">
                  <c:v>2.895525383169101</c:v>
                </c:pt>
                <c:pt idx="16">
                  <c:v>2.2250022144909138</c:v>
                </c:pt>
                <c:pt idx="17">
                  <c:v>2.0396755622080747</c:v>
                </c:pt>
                <c:pt idx="18">
                  <c:v>2.0571355967184672</c:v>
                </c:pt>
                <c:pt idx="19">
                  <c:v>2.0591762886481604</c:v>
                </c:pt>
                <c:pt idx="20">
                  <c:v>1.9012525405850624</c:v>
                </c:pt>
                <c:pt idx="21">
                  <c:v>1.9699806526514152</c:v>
                </c:pt>
                <c:pt idx="22">
                  <c:v>1.8087366844331996</c:v>
                </c:pt>
                <c:pt idx="23">
                  <c:v>2.3266071603732712</c:v>
                </c:pt>
              </c:numCache>
            </c:numRef>
          </c:val>
          <c:smooth val="0"/>
          <c:extLst>
            <c:ext xmlns:c16="http://schemas.microsoft.com/office/drawing/2014/chart" uri="{C3380CC4-5D6E-409C-BE32-E72D297353CC}">
              <c16:uniqueId val="{00000004-30DE-4DC0-8599-237A69918FF0}"/>
            </c:ext>
          </c:extLst>
        </c:ser>
        <c:ser>
          <c:idx val="5"/>
          <c:order val="5"/>
          <c:tx>
            <c:strRef>
              <c:f>inflacia!$A$8</c:f>
              <c:strCache>
                <c:ptCount val="1"/>
                <c:pt idx="0">
                  <c:v>Imp. nájomné</c:v>
                </c:pt>
              </c:strCache>
            </c:strRef>
          </c:tx>
          <c:spPr>
            <a:ln w="19050" cap="rnd">
              <a:solidFill>
                <a:srgbClr val="7D5207"/>
              </a:solidFill>
              <a:round/>
            </a:ln>
            <a:effectLst/>
          </c:spPr>
          <c:marker>
            <c:symbol val="none"/>
          </c:marker>
          <c:cat>
            <c:numRef>
              <c:f>inflacia!$N$2:$AK$2</c:f>
              <c:numCache>
                <c:formatCode>mmm\-yy</c:formatCode>
                <c:ptCount val="24"/>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numCache>
            </c:numRef>
          </c:cat>
          <c:val>
            <c:numRef>
              <c:f>inflacia!$N$8:$AK$8</c:f>
              <c:numCache>
                <c:formatCode>0.0</c:formatCode>
                <c:ptCount val="24"/>
                <c:pt idx="0">
                  <c:v>15.230113948409169</c:v>
                </c:pt>
                <c:pt idx="1">
                  <c:v>14.544900188557335</c:v>
                </c:pt>
                <c:pt idx="2">
                  <c:v>13.190674767608868</c:v>
                </c:pt>
                <c:pt idx="3">
                  <c:v>10.756466708090386</c:v>
                </c:pt>
                <c:pt idx="4">
                  <c:v>7.9497726199711423</c:v>
                </c:pt>
                <c:pt idx="5">
                  <c:v>5.9349929738223892</c:v>
                </c:pt>
                <c:pt idx="6">
                  <c:v>3.4424049038500755</c:v>
                </c:pt>
                <c:pt idx="7">
                  <c:v>1.8053342030967912</c:v>
                </c:pt>
                <c:pt idx="8">
                  <c:v>0.89725887323763232</c:v>
                </c:pt>
                <c:pt idx="9">
                  <c:v>0.59547245587003772</c:v>
                </c:pt>
                <c:pt idx="10">
                  <c:v>0.29518746346445823</c:v>
                </c:pt>
                <c:pt idx="11">
                  <c:v>-0.4026915745516817</c:v>
                </c:pt>
                <c:pt idx="12">
                  <c:v>-0.40269157455166749</c:v>
                </c:pt>
                <c:pt idx="13">
                  <c:v>-0.70058980513624647</c:v>
                </c:pt>
                <c:pt idx="14">
                  <c:v>-0.60158740215034356</c:v>
                </c:pt>
                <c:pt idx="15">
                  <c:v>-0.89948474260343403</c:v>
                </c:pt>
                <c:pt idx="16">
                  <c:v>-1.1967862883756339</c:v>
                </c:pt>
                <c:pt idx="17">
                  <c:v>-1.1967862883756339</c:v>
                </c:pt>
                <c:pt idx="18">
                  <c:v>-0.89918624707554784</c:v>
                </c:pt>
                <c:pt idx="19">
                  <c:v>-0.50079101590799269</c:v>
                </c:pt>
                <c:pt idx="20">
                  <c:v>-0.40129180692392197</c:v>
                </c:pt>
                <c:pt idx="21">
                  <c:v>-0.40129180692392197</c:v>
                </c:pt>
                <c:pt idx="22">
                  <c:v>-0.40129180692393618</c:v>
                </c:pt>
                <c:pt idx="23">
                  <c:v>-0.30159340032427906</c:v>
                </c:pt>
              </c:numCache>
            </c:numRef>
          </c:val>
          <c:smooth val="0"/>
          <c:extLst>
            <c:ext xmlns:c16="http://schemas.microsoft.com/office/drawing/2014/chart" uri="{C3380CC4-5D6E-409C-BE32-E72D297353CC}">
              <c16:uniqueId val="{00000005-30DE-4DC0-8599-237A69918FF0}"/>
            </c:ext>
          </c:extLst>
        </c:ser>
        <c:ser>
          <c:idx val="6"/>
          <c:order val="6"/>
          <c:tx>
            <c:strRef>
              <c:f>inflacia!$A$9</c:f>
              <c:strCache>
                <c:ptCount val="1"/>
                <c:pt idx="0">
                  <c:v>Služby</c:v>
                </c:pt>
              </c:strCache>
            </c:strRef>
          </c:tx>
          <c:spPr>
            <a:ln w="19050" cap="rnd">
              <a:solidFill>
                <a:srgbClr val="6535F2"/>
              </a:solidFill>
              <a:round/>
            </a:ln>
            <a:effectLst/>
          </c:spPr>
          <c:marker>
            <c:symbol val="none"/>
          </c:marker>
          <c:cat>
            <c:numRef>
              <c:f>inflacia!$N$2:$AK$2</c:f>
              <c:numCache>
                <c:formatCode>mmm\-yy</c:formatCode>
                <c:ptCount val="24"/>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numCache>
            </c:numRef>
          </c:cat>
          <c:val>
            <c:numRef>
              <c:f>inflacia!$N$9:$AK$9</c:f>
              <c:numCache>
                <c:formatCode>0.0</c:formatCode>
                <c:ptCount val="24"/>
                <c:pt idx="0">
                  <c:v>12.44982377944352</c:v>
                </c:pt>
                <c:pt idx="1">
                  <c:v>13.325923763601622</c:v>
                </c:pt>
                <c:pt idx="2">
                  <c:v>12.722378378418071</c:v>
                </c:pt>
                <c:pt idx="3">
                  <c:v>12.397352510646471</c:v>
                </c:pt>
                <c:pt idx="4">
                  <c:v>10.53557536610225</c:v>
                </c:pt>
                <c:pt idx="5">
                  <c:v>10.370132985939591</c:v>
                </c:pt>
                <c:pt idx="6">
                  <c:v>9.145161622088736</c:v>
                </c:pt>
                <c:pt idx="7">
                  <c:v>8.8718751231183717</c:v>
                </c:pt>
                <c:pt idx="8">
                  <c:v>8.8879414910738177</c:v>
                </c:pt>
                <c:pt idx="9">
                  <c:v>8.9841292853010799</c:v>
                </c:pt>
                <c:pt idx="10">
                  <c:v>8.1305344197565148</c:v>
                </c:pt>
                <c:pt idx="11">
                  <c:v>8.0080281191490883</c:v>
                </c:pt>
                <c:pt idx="12">
                  <c:v>5.9211072359542953</c:v>
                </c:pt>
                <c:pt idx="13">
                  <c:v>5.3087091647040126</c:v>
                </c:pt>
                <c:pt idx="14">
                  <c:v>4.309141160716095</c:v>
                </c:pt>
                <c:pt idx="15">
                  <c:v>4.2309405839152703</c:v>
                </c:pt>
                <c:pt idx="16">
                  <c:v>5.297615376168082</c:v>
                </c:pt>
                <c:pt idx="17">
                  <c:v>5.2853966677994606</c:v>
                </c:pt>
                <c:pt idx="18">
                  <c:v>6.7985628253040034</c:v>
                </c:pt>
                <c:pt idx="19">
                  <c:v>6.8316500938795173</c:v>
                </c:pt>
                <c:pt idx="20">
                  <c:v>6.7225849109108395</c:v>
                </c:pt>
                <c:pt idx="21">
                  <c:v>6.5431704115879796</c:v>
                </c:pt>
                <c:pt idx="22">
                  <c:v>6.850456569054046</c:v>
                </c:pt>
                <c:pt idx="23">
                  <c:v>6.8154558976473538</c:v>
                </c:pt>
              </c:numCache>
            </c:numRef>
          </c:val>
          <c:smooth val="0"/>
          <c:extLst>
            <c:ext xmlns:c16="http://schemas.microsoft.com/office/drawing/2014/chart" uri="{C3380CC4-5D6E-409C-BE32-E72D297353CC}">
              <c16:uniqueId val="{00000006-30DE-4DC0-8599-237A69918FF0}"/>
            </c:ext>
          </c:extLst>
        </c:ser>
        <c:dLbls>
          <c:showLegendKey val="0"/>
          <c:showVal val="0"/>
          <c:showCatName val="0"/>
          <c:showSerName val="0"/>
          <c:showPercent val="0"/>
          <c:showBubbleSize val="0"/>
        </c:dLbls>
        <c:smooth val="0"/>
        <c:axId val="983673584"/>
        <c:axId val="983672928"/>
      </c:lineChart>
      <c:dateAx>
        <c:axId val="983673584"/>
        <c:scaling>
          <c:orientation val="minMax"/>
        </c:scaling>
        <c:delete val="0"/>
        <c:axPos val="b"/>
        <c:numFmt formatCode="mmm\-yy"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Calibri Light" panose="020F0302020204030204" pitchFamily="34" charset="0"/>
              </a:defRPr>
            </a:pPr>
            <a:endParaRPr lang="sk-SK"/>
          </a:p>
        </c:txPr>
        <c:crossAx val="983672928"/>
        <c:crosses val="autoZero"/>
        <c:auto val="1"/>
        <c:lblOffset val="100"/>
        <c:baseTimeUnit val="months"/>
      </c:dateAx>
      <c:valAx>
        <c:axId val="983672928"/>
        <c:scaling>
          <c:orientation val="minMax"/>
        </c:scaling>
        <c:delete val="0"/>
        <c:axPos val="l"/>
        <c:majorGridlines>
          <c:spPr>
            <a:ln w="9525" cap="flat" cmpd="sng" algn="ctr">
              <a:solidFill>
                <a:schemeClr val="bg1">
                  <a:lumMod val="75000"/>
                </a:schemeClr>
              </a:solidFill>
              <a:prstDash val="dash"/>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Calibri Light" panose="020F0302020204030204" pitchFamily="34" charset="0"/>
              </a:defRPr>
            </a:pPr>
            <a:endParaRPr lang="sk-SK"/>
          </a:p>
        </c:txPr>
        <c:crossAx val="983673584"/>
        <c:crosses val="autoZero"/>
        <c:crossBetween val="between"/>
      </c:valAx>
      <c:spPr>
        <a:noFill/>
        <a:ln>
          <a:noFill/>
        </a:ln>
        <a:effectLst/>
      </c:spPr>
    </c:plotArea>
    <c:legend>
      <c:legendPos val="b"/>
      <c:layout>
        <c:manualLayout>
          <c:xMode val="edge"/>
          <c:yMode val="edge"/>
          <c:x val="0.10986727264986376"/>
          <c:y val="0.61649317389922842"/>
          <c:w val="0.83812241786487951"/>
          <c:h val="0.21516751205611048"/>
        </c:manualLayout>
      </c:layout>
      <c:overlay val="1"/>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Calibri Light" panose="020F0302020204030204"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1000">
          <a:latin typeface="Arial Narrow" panose="020B0606020202030204" pitchFamily="34" charset="0"/>
          <a:cs typeface="Calibri Light" panose="020F0302020204030204" pitchFamily="34" charset="0"/>
        </a:defRPr>
      </a:pPr>
      <a:endParaRPr lang="sk-SK"/>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3099679777191692E-2"/>
          <c:y val="8.5242482034935022E-2"/>
          <c:w val="0.89093095636884034"/>
          <c:h val="0.49142430590671576"/>
        </c:manualLayout>
      </c:layout>
      <c:barChart>
        <c:barDir val="col"/>
        <c:grouping val="stacked"/>
        <c:varyColors val="0"/>
        <c:ser>
          <c:idx val="5"/>
          <c:order val="0"/>
          <c:tx>
            <c:strRef>
              <c:f>'BÚ PB'!$A$3</c:f>
              <c:strCache>
                <c:ptCount val="1"/>
                <c:pt idx="0">
                  <c:v>Tovary</c:v>
                </c:pt>
              </c:strCache>
            </c:strRef>
          </c:tx>
          <c:spPr>
            <a:solidFill>
              <a:srgbClr val="2C9ADC"/>
            </a:solidFill>
          </c:spPr>
          <c:invertIfNegative val="0"/>
          <c:cat>
            <c:numRef>
              <c:f>'BÚ PB'!$J$1:$R$1</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'BÚ PB'!$J$3:$R$3</c:f>
              <c:numCache>
                <c:formatCode>0.0</c:formatCode>
                <c:ptCount val="9"/>
                <c:pt idx="0">
                  <c:v>1.3727999034569098</c:v>
                </c:pt>
                <c:pt idx="1">
                  <c:v>6.3559001605446669E-2</c:v>
                </c:pt>
                <c:pt idx="2">
                  <c:v>-0.2095801891756135</c:v>
                </c:pt>
                <c:pt idx="3">
                  <c:v>-1.5992630392131062</c:v>
                </c:pt>
                <c:pt idx="4">
                  <c:v>-0.25579437789836945</c:v>
                </c:pt>
                <c:pt idx="5">
                  <c:v>-1.4341489809729251</c:v>
                </c:pt>
                <c:pt idx="6">
                  <c:v>-6.5667165473990829</c:v>
                </c:pt>
                <c:pt idx="7">
                  <c:v>0.95782036692484451</c:v>
                </c:pt>
                <c:pt idx="8">
                  <c:v>-0.31266485794593207</c:v>
                </c:pt>
              </c:numCache>
            </c:numRef>
          </c:val>
          <c:extLst>
            <c:ext xmlns:c16="http://schemas.microsoft.com/office/drawing/2014/chart" uri="{C3380CC4-5D6E-409C-BE32-E72D297353CC}">
              <c16:uniqueId val="{00000000-53A7-4C75-94D8-9DC1ED9EE25F}"/>
            </c:ext>
          </c:extLst>
        </c:ser>
        <c:ser>
          <c:idx val="8"/>
          <c:order val="1"/>
          <c:tx>
            <c:strRef>
              <c:f>'BÚ PB'!$A$4</c:f>
              <c:strCache>
                <c:ptCount val="1"/>
                <c:pt idx="0">
                  <c:v>Služby</c:v>
                </c:pt>
              </c:strCache>
            </c:strRef>
          </c:tx>
          <c:spPr>
            <a:solidFill>
              <a:schemeClr val="tx2">
                <a:lumMod val="20000"/>
                <a:lumOff val="80000"/>
              </a:schemeClr>
            </a:solidFill>
            <a:ln>
              <a:noFill/>
            </a:ln>
          </c:spPr>
          <c:invertIfNegative val="0"/>
          <c:cat>
            <c:numRef>
              <c:f>'BÚ PB'!$J$1:$R$1</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'BÚ PB'!$J$4:$R$4</c:f>
              <c:numCache>
                <c:formatCode>0.0</c:formatCode>
                <c:ptCount val="9"/>
                <c:pt idx="0">
                  <c:v>0.52264723113875111</c:v>
                </c:pt>
                <c:pt idx="1">
                  <c:v>1.2265791237642543</c:v>
                </c:pt>
                <c:pt idx="2">
                  <c:v>1.2330762751746345</c:v>
                </c:pt>
                <c:pt idx="3">
                  <c:v>1.4626236040475904</c:v>
                </c:pt>
                <c:pt idx="4">
                  <c:v>1.2639998728843755</c:v>
                </c:pt>
                <c:pt idx="5">
                  <c:v>0.85643928924264456</c:v>
                </c:pt>
                <c:pt idx="6">
                  <c:v>0.55811463755122781</c:v>
                </c:pt>
                <c:pt idx="7">
                  <c:v>0.76583922174154051</c:v>
                </c:pt>
                <c:pt idx="8">
                  <c:v>0.35187804629838282</c:v>
                </c:pt>
              </c:numCache>
            </c:numRef>
          </c:val>
          <c:extLst>
            <c:ext xmlns:c16="http://schemas.microsoft.com/office/drawing/2014/chart" uri="{C3380CC4-5D6E-409C-BE32-E72D297353CC}">
              <c16:uniqueId val="{00000001-53A7-4C75-94D8-9DC1ED9EE25F}"/>
            </c:ext>
          </c:extLst>
        </c:ser>
        <c:ser>
          <c:idx val="0"/>
          <c:order val="2"/>
          <c:tx>
            <c:strRef>
              <c:f>'BÚ PB'!$A$5</c:f>
              <c:strCache>
                <c:ptCount val="1"/>
                <c:pt idx="0">
                  <c:v>Primárne výnosy</c:v>
                </c:pt>
              </c:strCache>
            </c:strRef>
          </c:tx>
          <c:invertIfNegative val="0"/>
          <c:cat>
            <c:numRef>
              <c:f>'BÚ PB'!$J$1:$R$1</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'BÚ PB'!$J$5:$R$5</c:f>
              <c:numCache>
                <c:formatCode>0.0</c:formatCode>
                <c:ptCount val="9"/>
                <c:pt idx="0">
                  <c:v>-2.4281487514321585</c:v>
                </c:pt>
                <c:pt idx="1">
                  <c:v>-1.8275844761689086</c:v>
                </c:pt>
                <c:pt idx="2">
                  <c:v>-1.3133749358198015</c:v>
                </c:pt>
                <c:pt idx="3">
                  <c:v>-2.2817437897149828</c:v>
                </c:pt>
                <c:pt idx="4">
                  <c:v>-0.72404447946187167</c:v>
                </c:pt>
                <c:pt idx="5">
                  <c:v>-3.214312017212642</c:v>
                </c:pt>
                <c:pt idx="6">
                  <c:v>-2.8653295714698639</c:v>
                </c:pt>
                <c:pt idx="7">
                  <c:v>-2.0452833296575128</c:v>
                </c:pt>
                <c:pt idx="8">
                  <c:v>-1.6281744330414201</c:v>
                </c:pt>
              </c:numCache>
            </c:numRef>
          </c:val>
          <c:extLst>
            <c:ext xmlns:c16="http://schemas.microsoft.com/office/drawing/2014/chart" uri="{C3380CC4-5D6E-409C-BE32-E72D297353CC}">
              <c16:uniqueId val="{00000002-53A7-4C75-94D8-9DC1ED9EE25F}"/>
            </c:ext>
          </c:extLst>
        </c:ser>
        <c:ser>
          <c:idx val="1"/>
          <c:order val="3"/>
          <c:tx>
            <c:strRef>
              <c:f>'BÚ PB'!$A$6</c:f>
              <c:strCache>
                <c:ptCount val="1"/>
                <c:pt idx="0">
                  <c:v>Sekundárne výnosy</c:v>
                </c:pt>
              </c:strCache>
            </c:strRef>
          </c:tx>
          <c:invertIfNegative val="0"/>
          <c:cat>
            <c:numRef>
              <c:f>'BÚ PB'!$J$1:$R$1</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'BÚ PB'!$J$6:$R$6</c:f>
              <c:numCache>
                <c:formatCode>0.0</c:formatCode>
                <c:ptCount val="9"/>
                <c:pt idx="0">
                  <c:v>-0.92181405581476217</c:v>
                </c:pt>
                <c:pt idx="1">
                  <c:v>-1.1971560517990973</c:v>
                </c:pt>
                <c:pt idx="2">
                  <c:v>-1.3430927056944324</c:v>
                </c:pt>
                <c:pt idx="3">
                  <c:v>-1.1085837023718239</c:v>
                </c:pt>
                <c:pt idx="4">
                  <c:v>-0.73898004253577676</c:v>
                </c:pt>
                <c:pt idx="5">
                  <c:v>-1.0382430779933305</c:v>
                </c:pt>
                <c:pt idx="6">
                  <c:v>-0.74434835134609745</c:v>
                </c:pt>
                <c:pt idx="7">
                  <c:v>-0.56446370455641881</c:v>
                </c:pt>
                <c:pt idx="8">
                  <c:v>-0.66993928682588266</c:v>
                </c:pt>
              </c:numCache>
            </c:numRef>
          </c:val>
          <c:extLst>
            <c:ext xmlns:c16="http://schemas.microsoft.com/office/drawing/2014/chart" uri="{C3380CC4-5D6E-409C-BE32-E72D297353CC}">
              <c16:uniqueId val="{00000003-53A7-4C75-94D8-9DC1ED9EE25F}"/>
            </c:ext>
          </c:extLst>
        </c:ser>
        <c:dLbls>
          <c:showLegendKey val="0"/>
          <c:showVal val="0"/>
          <c:showCatName val="0"/>
          <c:showSerName val="0"/>
          <c:showPercent val="0"/>
          <c:showBubbleSize val="0"/>
        </c:dLbls>
        <c:gapWidth val="150"/>
        <c:overlap val="100"/>
        <c:axId val="144225904"/>
        <c:axId val="144225512"/>
      </c:barChart>
      <c:lineChart>
        <c:grouping val="standard"/>
        <c:varyColors val="0"/>
        <c:ser>
          <c:idx val="3"/>
          <c:order val="4"/>
          <c:tx>
            <c:strRef>
              <c:f>'BÚ PB'!$A$2</c:f>
              <c:strCache>
                <c:ptCount val="1"/>
                <c:pt idx="0">
                  <c:v>BÚ PB</c:v>
                </c:pt>
              </c:strCache>
            </c:strRef>
          </c:tx>
          <c:spPr>
            <a:ln w="19050">
              <a:solidFill>
                <a:sysClr val="windowText" lastClr="000000"/>
              </a:solidFill>
            </a:ln>
          </c:spPr>
          <c:marker>
            <c:symbol val="none"/>
          </c:marker>
          <c:val>
            <c:numRef>
              <c:f>'BÚ PB'!$J$2:$R$2</c:f>
              <c:numCache>
                <c:formatCode>0.0</c:formatCode>
                <c:ptCount val="9"/>
                <c:pt idx="0">
                  <c:v>-1.4545156726512598</c:v>
                </c:pt>
                <c:pt idx="1">
                  <c:v>-1.7346024025983051</c:v>
                </c:pt>
                <c:pt idx="2">
                  <c:v>-1.6329715555152127</c:v>
                </c:pt>
                <c:pt idx="3">
                  <c:v>-3.5269669272523227</c:v>
                </c:pt>
                <c:pt idx="4">
                  <c:v>-0.45481902701164229</c:v>
                </c:pt>
                <c:pt idx="5">
                  <c:v>-4.8302647869362536</c:v>
                </c:pt>
                <c:pt idx="6">
                  <c:v>-9.6182798326638181</c:v>
                </c:pt>
                <c:pt idx="7">
                  <c:v>-0.8860874455475467</c:v>
                </c:pt>
                <c:pt idx="8">
                  <c:v>-2.76058047033903</c:v>
                </c:pt>
              </c:numCache>
            </c:numRef>
          </c:val>
          <c:smooth val="0"/>
          <c:extLst>
            <c:ext xmlns:c16="http://schemas.microsoft.com/office/drawing/2014/chart" uri="{C3380CC4-5D6E-409C-BE32-E72D297353CC}">
              <c16:uniqueId val="{00000004-53A7-4C75-94D8-9DC1ED9EE25F}"/>
            </c:ext>
          </c:extLst>
        </c:ser>
        <c:dLbls>
          <c:showLegendKey val="0"/>
          <c:showVal val="0"/>
          <c:showCatName val="0"/>
          <c:showSerName val="0"/>
          <c:showPercent val="0"/>
          <c:showBubbleSize val="0"/>
        </c:dLbls>
        <c:marker val="1"/>
        <c:smooth val="0"/>
        <c:axId val="144225904"/>
        <c:axId val="144225512"/>
      </c:lineChart>
      <c:catAx>
        <c:axId val="144225904"/>
        <c:scaling>
          <c:orientation val="minMax"/>
        </c:scaling>
        <c:delete val="0"/>
        <c:axPos val="b"/>
        <c:numFmt formatCode="General" sourceLinked="1"/>
        <c:majorTickMark val="out"/>
        <c:minorTickMark val="none"/>
        <c:tickLblPos val="low"/>
        <c:txPr>
          <a:bodyPr/>
          <a:lstStyle/>
          <a:p>
            <a:pPr>
              <a:defRPr sz="900"/>
            </a:pPr>
            <a:endParaRPr lang="sk-SK"/>
          </a:p>
        </c:txPr>
        <c:crossAx val="144225512"/>
        <c:crosses val="autoZero"/>
        <c:auto val="1"/>
        <c:lblAlgn val="ctr"/>
        <c:lblOffset val="100"/>
        <c:noMultiLvlLbl val="0"/>
      </c:catAx>
      <c:valAx>
        <c:axId val="144225512"/>
        <c:scaling>
          <c:orientation val="minMax"/>
          <c:max val="5"/>
          <c:min val="-10"/>
        </c:scaling>
        <c:delete val="0"/>
        <c:axPos val="l"/>
        <c:majorGridlines>
          <c:spPr>
            <a:ln>
              <a:solidFill>
                <a:schemeClr val="bg1">
                  <a:lumMod val="75000"/>
                </a:schemeClr>
              </a:solidFill>
              <a:prstDash val="dash"/>
            </a:ln>
          </c:spPr>
        </c:majorGridlines>
        <c:numFmt formatCode="0.0" sourceLinked="0"/>
        <c:majorTickMark val="out"/>
        <c:minorTickMark val="none"/>
        <c:tickLblPos val="nextTo"/>
        <c:txPr>
          <a:bodyPr/>
          <a:lstStyle/>
          <a:p>
            <a:pPr>
              <a:defRPr sz="900"/>
            </a:pPr>
            <a:endParaRPr lang="sk-SK"/>
          </a:p>
        </c:txPr>
        <c:crossAx val="144225904"/>
        <c:crosses val="autoZero"/>
        <c:crossBetween val="between"/>
      </c:valAx>
    </c:plotArea>
    <c:legend>
      <c:legendPos val="b"/>
      <c:layout>
        <c:manualLayout>
          <c:xMode val="edge"/>
          <c:yMode val="edge"/>
          <c:x val="5.7451772901010958E-2"/>
          <c:y val="0.75165595126297291"/>
          <c:w val="0.9104445974671419"/>
          <c:h val="0.2116468010306051"/>
        </c:manualLayout>
      </c:layout>
      <c:overlay val="0"/>
      <c:txPr>
        <a:bodyPr/>
        <a:lstStyle/>
        <a:p>
          <a:pPr>
            <a:defRPr sz="700"/>
          </a:pPr>
          <a:endParaRPr lang="sk-SK"/>
        </a:p>
      </c:txPr>
    </c:legend>
    <c:plotVisOnly val="1"/>
    <c:dispBlanksAs val="gap"/>
    <c:showDLblsOverMax val="0"/>
  </c:chart>
  <c:spPr>
    <a:ln>
      <a:noFill/>
    </a:ln>
  </c:spPr>
  <c:txPr>
    <a:bodyPr/>
    <a:lstStyle/>
    <a:p>
      <a:pPr>
        <a:defRPr>
          <a:latin typeface="Arial Narrow" pitchFamily="34" charset="0"/>
        </a:defRPr>
      </a:pPr>
      <a:endParaRPr lang="sk-SK"/>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6789210470312831"/>
          <c:y val="6.0606060606060608E-2"/>
          <c:w val="0.50057636376534009"/>
          <c:h val="0.87878787878787878"/>
        </c:manualLayout>
      </c:layout>
      <c:barChart>
        <c:barDir val="bar"/>
        <c:grouping val="stacked"/>
        <c:varyColors val="0"/>
        <c:ser>
          <c:idx val="0"/>
          <c:order val="0"/>
          <c:spPr>
            <a:solidFill>
              <a:schemeClr val="accent1"/>
            </a:solidFill>
            <a:ln>
              <a:noFill/>
            </a:ln>
            <a:effectLst/>
          </c:spPr>
          <c:invertIfNegative val="0"/>
          <c:cat>
            <c:strRef>
              <c:f>'vs. RVS'!$K$150:$K$155</c:f>
              <c:strCache>
                <c:ptCount val="6"/>
                <c:pt idx="0">
                  <c:v>Hrubý dlh (RVS 2024)</c:v>
                </c:pt>
                <c:pt idx="1">
                  <c:v>Hotovostný schodok ŠR</c:v>
                </c:pt>
                <c:pt idx="2">
                  <c:v>Využitie hotovosti v Štátnej pokladnici (-)</c:v>
                </c:pt>
                <c:pt idx="3">
                  <c:v>Vplyv zmeny nominálneho HDP</c:v>
                </c:pt>
                <c:pt idx="4">
                  <c:v>Ostatné vplyvy</c:v>
                </c:pt>
                <c:pt idx="5">
                  <c:v>Hrubý dlh (skutočnosť)</c:v>
                </c:pt>
              </c:strCache>
            </c:strRef>
          </c:cat>
          <c:val>
            <c:numRef>
              <c:f>'vs. RVS'!$N$150:$N$155</c:f>
              <c:numCache>
                <c:formatCode>0.0</c:formatCode>
                <c:ptCount val="6"/>
                <c:pt idx="1">
                  <c:v>0</c:v>
                </c:pt>
                <c:pt idx="2">
                  <c:v>0</c:v>
                </c:pt>
                <c:pt idx="3">
                  <c:v>0</c:v>
                </c:pt>
                <c:pt idx="4">
                  <c:v>0</c:v>
                </c:pt>
              </c:numCache>
            </c:numRef>
          </c:val>
          <c:extLst>
            <c:ext xmlns:c16="http://schemas.microsoft.com/office/drawing/2014/chart" uri="{C3380CC4-5D6E-409C-BE32-E72D297353CC}">
              <c16:uniqueId val="{00000000-8C9B-4A53-8AD5-0D03E5DA4C77}"/>
            </c:ext>
          </c:extLst>
        </c:ser>
        <c:ser>
          <c:idx val="1"/>
          <c:order val="1"/>
          <c:spPr>
            <a:noFill/>
            <a:ln>
              <a:noFill/>
            </a:ln>
            <a:effectLst/>
          </c:spPr>
          <c:invertIfNegative val="0"/>
          <c:cat>
            <c:strRef>
              <c:f>'vs. RVS'!$K$150:$K$155</c:f>
              <c:strCache>
                <c:ptCount val="6"/>
                <c:pt idx="0">
                  <c:v>Hrubý dlh (RVS 2024)</c:v>
                </c:pt>
                <c:pt idx="1">
                  <c:v>Hotovostný schodok ŠR</c:v>
                </c:pt>
                <c:pt idx="2">
                  <c:v>Využitie hotovosti v Štátnej pokladnici (-)</c:v>
                </c:pt>
                <c:pt idx="3">
                  <c:v>Vplyv zmeny nominálneho HDP</c:v>
                </c:pt>
                <c:pt idx="4">
                  <c:v>Ostatné vplyvy</c:v>
                </c:pt>
                <c:pt idx="5">
                  <c:v>Hrubý dlh (skutočnosť)</c:v>
                </c:pt>
              </c:strCache>
            </c:strRef>
          </c:cat>
          <c:val>
            <c:numRef>
              <c:f>'vs. RVS'!$O$150:$O$155</c:f>
              <c:numCache>
                <c:formatCode>0.0</c:formatCode>
                <c:ptCount val="6"/>
                <c:pt idx="1">
                  <c:v>57.257388284359862</c:v>
                </c:pt>
                <c:pt idx="2">
                  <c:v>57.257388284359862</c:v>
                </c:pt>
                <c:pt idx="3">
                  <c:v>58.964709501186725</c:v>
                </c:pt>
                <c:pt idx="4">
                  <c:v>59.120522661043395</c:v>
                </c:pt>
              </c:numCache>
            </c:numRef>
          </c:val>
          <c:extLst>
            <c:ext xmlns:c16="http://schemas.microsoft.com/office/drawing/2014/chart" uri="{C3380CC4-5D6E-409C-BE32-E72D297353CC}">
              <c16:uniqueId val="{00000001-8C9B-4A53-8AD5-0D03E5DA4C77}"/>
            </c:ext>
          </c:extLst>
        </c:ser>
        <c:ser>
          <c:idx val="2"/>
          <c:order val="2"/>
          <c:spPr>
            <a:solidFill>
              <a:srgbClr val="002060"/>
            </a:solidFill>
            <a:ln>
              <a:noFill/>
            </a:ln>
            <a:effectLst/>
          </c:spPr>
          <c:invertIfNegative val="0"/>
          <c:dPt>
            <c:idx val="0"/>
            <c:invertIfNegative val="0"/>
            <c:bubble3D val="0"/>
            <c:spPr>
              <a:solidFill>
                <a:schemeClr val="bg1">
                  <a:lumMod val="85000"/>
                </a:schemeClr>
              </a:solidFill>
              <a:ln>
                <a:noFill/>
              </a:ln>
              <a:effectLst/>
            </c:spPr>
            <c:extLst>
              <c:ext xmlns:c16="http://schemas.microsoft.com/office/drawing/2014/chart" uri="{C3380CC4-5D6E-409C-BE32-E72D297353CC}">
                <c16:uniqueId val="{00000003-8C9B-4A53-8AD5-0D03E5DA4C77}"/>
              </c:ext>
            </c:extLst>
          </c:dPt>
          <c:dPt>
            <c:idx val="1"/>
            <c:invertIfNegative val="0"/>
            <c:bubble3D val="0"/>
            <c:spPr>
              <a:solidFill>
                <a:srgbClr val="00B050"/>
              </a:solidFill>
              <a:ln>
                <a:noFill/>
              </a:ln>
              <a:effectLst/>
            </c:spPr>
            <c:extLst>
              <c:ext xmlns:c16="http://schemas.microsoft.com/office/drawing/2014/chart" uri="{C3380CC4-5D6E-409C-BE32-E72D297353CC}">
                <c16:uniqueId val="{00000005-8C9B-4A53-8AD5-0D03E5DA4C77}"/>
              </c:ext>
            </c:extLst>
          </c:dPt>
          <c:dPt>
            <c:idx val="2"/>
            <c:invertIfNegative val="0"/>
            <c:bubble3D val="0"/>
            <c:spPr>
              <a:solidFill>
                <a:srgbClr val="FF0000"/>
              </a:solidFill>
              <a:ln>
                <a:noFill/>
              </a:ln>
              <a:effectLst/>
            </c:spPr>
            <c:extLst>
              <c:ext xmlns:c16="http://schemas.microsoft.com/office/drawing/2014/chart" uri="{C3380CC4-5D6E-409C-BE32-E72D297353CC}">
                <c16:uniqueId val="{00000007-8C9B-4A53-8AD5-0D03E5DA4C77}"/>
              </c:ext>
            </c:extLst>
          </c:dPt>
          <c:dPt>
            <c:idx val="3"/>
            <c:invertIfNegative val="0"/>
            <c:bubble3D val="0"/>
            <c:spPr>
              <a:solidFill>
                <a:srgbClr val="FF0000"/>
              </a:solidFill>
              <a:ln>
                <a:noFill/>
              </a:ln>
              <a:effectLst/>
            </c:spPr>
            <c:extLst>
              <c:ext xmlns:c16="http://schemas.microsoft.com/office/drawing/2014/chart" uri="{C3380CC4-5D6E-409C-BE32-E72D297353CC}">
                <c16:uniqueId val="{00000009-8C9B-4A53-8AD5-0D03E5DA4C77}"/>
              </c:ext>
            </c:extLst>
          </c:dPt>
          <c:dPt>
            <c:idx val="4"/>
            <c:invertIfNegative val="0"/>
            <c:bubble3D val="0"/>
            <c:spPr>
              <a:solidFill>
                <a:srgbClr val="FF0000"/>
              </a:solidFill>
              <a:ln>
                <a:noFill/>
              </a:ln>
              <a:effectLst/>
            </c:spPr>
            <c:extLst>
              <c:ext xmlns:c16="http://schemas.microsoft.com/office/drawing/2014/chart" uri="{C3380CC4-5D6E-409C-BE32-E72D297353CC}">
                <c16:uniqueId val="{0000000B-8C9B-4A53-8AD5-0D03E5DA4C77}"/>
              </c:ext>
            </c:extLst>
          </c:dPt>
          <c:dLbls>
            <c:dLbl>
              <c:idx val="1"/>
              <c:layout>
                <c:manualLayout>
                  <c:x val="-7.4897146765340386E-2"/>
                  <c:y val="1.6887969433266831E-6"/>
                </c:manualLayout>
              </c:layout>
              <c:tx>
                <c:rich>
                  <a:bodyPr/>
                  <a:lstStyle/>
                  <a:p>
                    <a:r>
                      <a:rPr lang="en-US"/>
                      <a:t>-</a:t>
                    </a:r>
                    <a:fld id="{9A06F4D9-1428-44DD-8A0D-70510C3250B9}" type="VALUE">
                      <a:rPr lang="en-US"/>
                      <a:pPr/>
                      <a:t>[HODNOTA]</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8C9B-4A53-8AD5-0D03E5DA4C77}"/>
                </c:ext>
              </c:extLst>
            </c:dLbl>
            <c:dLbl>
              <c:idx val="2"/>
              <c:layout>
                <c:manualLayout>
                  <c:x val="0.10968521473791278"/>
                  <c:y val="2.1109961791460662E-6"/>
                </c:manualLayout>
              </c:layout>
              <c:tx>
                <c:rich>
                  <a:bodyPr/>
                  <a:lstStyle/>
                  <a:p>
                    <a:r>
                      <a:rPr lang="en-US"/>
                      <a:t>+</a:t>
                    </a:r>
                    <a:fld id="{7E80F33F-81E0-4ECE-860F-2080A363FFC5}" type="VALUE">
                      <a:rPr lang="en-US"/>
                      <a:pPr/>
                      <a:t>[HODNOTA]</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8C9B-4A53-8AD5-0D03E5DA4C77}"/>
                </c:ext>
              </c:extLst>
            </c:dLbl>
            <c:dLbl>
              <c:idx val="3"/>
              <c:layout>
                <c:manualLayout>
                  <c:x val="3.2020062080213081E-2"/>
                  <c:y val="1.6887969432775327E-6"/>
                </c:manualLayout>
              </c:layout>
              <c:tx>
                <c:rich>
                  <a:bodyPr/>
                  <a:lstStyle/>
                  <a:p>
                    <a:r>
                      <a:rPr lang="en-US"/>
                      <a:t>+</a:t>
                    </a:r>
                    <a:fld id="{80E1D12E-877B-4C6D-BBD9-AFD253E98414}" type="VALUE">
                      <a:rPr lang="en-US"/>
                      <a:pPr/>
                      <a:t>[HODNOTA]</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8C9B-4A53-8AD5-0D03E5DA4C77}"/>
                </c:ext>
              </c:extLst>
            </c:dLbl>
            <c:dLbl>
              <c:idx val="4"/>
              <c:layout>
                <c:manualLayout>
                  <c:x val="3.0068744190940497E-2"/>
                  <c:y val="1.6887969433758337E-6"/>
                </c:manualLayout>
              </c:layout>
              <c:tx>
                <c:rich>
                  <a:bodyPr/>
                  <a:lstStyle/>
                  <a:p>
                    <a:r>
                      <a:rPr lang="en-US"/>
                      <a:t>+</a:t>
                    </a:r>
                    <a:fld id="{D5686D33-0673-402D-A90B-8E43E6063221}" type="VALUE">
                      <a:rPr lang="en-US"/>
                      <a:pPr/>
                      <a:t>[HODNOTA]</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8C9B-4A53-8AD5-0D03E5DA4C77}"/>
                </c:ext>
              </c:extLst>
            </c:dLbl>
            <c:dLbl>
              <c:idx val="5"/>
              <c:spPr>
                <a:noFill/>
                <a:ln>
                  <a:noFill/>
                </a:ln>
                <a:effectLst/>
              </c:spPr>
              <c:txPr>
                <a:bodyPr rot="0" spcFirstLastPara="1" vertOverflow="ellipsis" vert="horz" wrap="square" anchor="ctr" anchorCtr="1"/>
                <a:lstStyle/>
                <a:p>
                  <a:pPr>
                    <a:defRPr sz="8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sk-SK"/>
                </a:p>
              </c:txPr>
              <c:showLegendKey val="0"/>
              <c:showVal val="1"/>
              <c:showCatName val="0"/>
              <c:showSerName val="0"/>
              <c:showPercent val="0"/>
              <c:showBubbleSize val="0"/>
              <c:extLst>
                <c:ext xmlns:c16="http://schemas.microsoft.com/office/drawing/2014/chart" uri="{C3380CC4-5D6E-409C-BE32-E72D297353CC}">
                  <c16:uniqueId val="{0000000C-8C9B-4A53-8AD5-0D03E5DA4C77}"/>
                </c:ext>
              </c:extLst>
            </c:dLbl>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'vs. RVS'!$K$150:$K$155</c:f>
              <c:strCache>
                <c:ptCount val="6"/>
                <c:pt idx="0">
                  <c:v>Hrubý dlh (RVS 2024)</c:v>
                </c:pt>
                <c:pt idx="1">
                  <c:v>Hotovostný schodok ŠR</c:v>
                </c:pt>
                <c:pt idx="2">
                  <c:v>Využitie hotovosti v Štátnej pokladnici (-)</c:v>
                </c:pt>
                <c:pt idx="3">
                  <c:v>Vplyv zmeny nominálneho HDP</c:v>
                </c:pt>
                <c:pt idx="4">
                  <c:v>Ostatné vplyvy</c:v>
                </c:pt>
                <c:pt idx="5">
                  <c:v>Hrubý dlh (skutočnosť)</c:v>
                </c:pt>
              </c:strCache>
            </c:strRef>
          </c:cat>
          <c:val>
            <c:numRef>
              <c:f>'vs. RVS'!$P$150:$P$155</c:f>
              <c:numCache>
                <c:formatCode>0.0</c:formatCode>
                <c:ptCount val="6"/>
                <c:pt idx="0">
                  <c:v>58.31336473257744</c:v>
                </c:pt>
                <c:pt idx="1">
                  <c:v>1.0559764482175749</c:v>
                </c:pt>
                <c:pt idx="2">
                  <c:v>1.7073212168268657</c:v>
                </c:pt>
                <c:pt idx="3">
                  <c:v>0.15581315985667032</c:v>
                </c:pt>
                <c:pt idx="4">
                  <c:v>0.15898266413408416</c:v>
                </c:pt>
                <c:pt idx="5">
                  <c:v>59.279505325177475</c:v>
                </c:pt>
              </c:numCache>
            </c:numRef>
          </c:val>
          <c:extLst>
            <c:ext xmlns:c16="http://schemas.microsoft.com/office/drawing/2014/chart" uri="{C3380CC4-5D6E-409C-BE32-E72D297353CC}">
              <c16:uniqueId val="{0000000D-8C9B-4A53-8AD5-0D03E5DA4C77}"/>
            </c:ext>
          </c:extLst>
        </c:ser>
        <c:dLbls>
          <c:showLegendKey val="0"/>
          <c:showVal val="0"/>
          <c:showCatName val="0"/>
          <c:showSerName val="0"/>
          <c:showPercent val="0"/>
          <c:showBubbleSize val="0"/>
        </c:dLbls>
        <c:gapWidth val="50"/>
        <c:overlap val="100"/>
        <c:axId val="1378622336"/>
        <c:axId val="1170408000"/>
      </c:barChart>
      <c:catAx>
        <c:axId val="1378622336"/>
        <c:scaling>
          <c:orientation val="maxMin"/>
        </c:scaling>
        <c:delete val="0"/>
        <c:axPos val="l"/>
        <c:numFmt formatCode="General" sourceLinked="1"/>
        <c:majorTickMark val="none"/>
        <c:minorTickMark val="none"/>
        <c:tickLblPos val="nextTo"/>
        <c:spPr>
          <a:noFill/>
          <a:ln w="3175" cap="flat" cmpd="sng" algn="ctr">
            <a:solidFill>
              <a:sysClr val="windowText" lastClr="000000"/>
            </a:solidFill>
            <a:round/>
          </a:ln>
          <a:effectLst/>
        </c:spPr>
        <c:txPr>
          <a:bodyPr rot="-60000000" spcFirstLastPara="1" vertOverflow="ellipsis" vert="horz" wrap="square" anchor="ctr" anchorCtr="1"/>
          <a:lstStyle/>
          <a:p>
            <a:pPr algn="just">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crossAx val="1170408000"/>
        <c:crosses val="autoZero"/>
        <c:auto val="1"/>
        <c:lblAlgn val="ctr"/>
        <c:lblOffset val="100"/>
        <c:noMultiLvlLbl val="0"/>
      </c:catAx>
      <c:valAx>
        <c:axId val="1170408000"/>
        <c:scaling>
          <c:orientation val="minMax"/>
          <c:max val="60"/>
          <c:min val="55"/>
        </c:scaling>
        <c:delete val="1"/>
        <c:axPos val="t"/>
        <c:numFmt formatCode="0.0" sourceLinked="1"/>
        <c:majorTickMark val="out"/>
        <c:minorTickMark val="none"/>
        <c:tickLblPos val="nextTo"/>
        <c:crossAx val="13786223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sk-SK"/>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Vlastné 2">
    <a:dk1>
      <a:sysClr val="windowText" lastClr="000000"/>
    </a:dk1>
    <a:lt1>
      <a:sysClr val="window" lastClr="FFFFFF"/>
    </a:lt1>
    <a:dk2>
      <a:srgbClr val="1F497D"/>
    </a:dk2>
    <a:lt2>
      <a:srgbClr val="EEECE1"/>
    </a:lt2>
    <a:accent1>
      <a:srgbClr val="2C9ADC"/>
    </a:accent1>
    <a:accent2>
      <a:srgbClr val="AAD3F2"/>
    </a:accent2>
    <a:accent3>
      <a:srgbClr val="B0D6AF"/>
    </a:accent3>
    <a:accent4>
      <a:srgbClr val="D3BEDE"/>
    </a:accent4>
    <a:accent5>
      <a:srgbClr val="D9D3AB"/>
    </a:accent5>
    <a:accent6>
      <a:srgbClr val="F9C9BA"/>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94853-A597-4C6A-9329-63F84CAE6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1563</TotalTime>
  <Pages>91</Pages>
  <Words>40769</Words>
  <Characters>232389</Characters>
  <Application>Microsoft Office Word</Application>
  <DocSecurity>0</DocSecurity>
  <Lines>1936</Lines>
  <Paragraphs>545</Paragraphs>
  <ScaleCrop>false</ScaleCrop>
  <HeadingPairs>
    <vt:vector size="2" baseType="variant">
      <vt:variant>
        <vt:lpstr>Názov</vt:lpstr>
      </vt:variant>
      <vt:variant>
        <vt:i4>1</vt:i4>
      </vt:variant>
    </vt:vector>
  </HeadingPairs>
  <TitlesOfParts>
    <vt:vector size="1" baseType="lpstr">
      <vt:lpstr/>
    </vt:vector>
  </TitlesOfParts>
  <Company>MF SR</Company>
  <LinksUpToDate>false</LinksUpToDate>
  <CharactersWithSpaces>272613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Suttova Jana</dc:creator>
  <cp:keywords/>
  <dc:description/>
  <cp:lastModifiedBy>Ivanek Peter</cp:lastModifiedBy>
  <cp:revision>344</cp:revision>
  <cp:lastPrinted>2025-04-29T06:56:00Z</cp:lastPrinted>
  <dcterms:created xsi:type="dcterms:W3CDTF">2025-04-11T07:45:00Z</dcterms:created>
  <dcterms:modified xsi:type="dcterms:W3CDTF">2025-04-29T06:57:00Z</dcterms:modified>
</cp:coreProperties>
</file>