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FB635"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13EDF576" w14:textId="77777777" w:rsidR="00054C41" w:rsidRPr="00895898" w:rsidRDefault="00054C41" w:rsidP="00054C41">
      <w:pPr>
        <w:jc w:val="both"/>
        <w:rPr>
          <w:rFonts w:ascii="Times New Roman" w:eastAsia="Calibri" w:hAnsi="Times New Roman" w:cs="Times New Roman"/>
          <w:b/>
          <w:sz w:val="24"/>
          <w:szCs w:val="24"/>
        </w:rPr>
      </w:pPr>
    </w:p>
    <w:p w14:paraId="2AEE5A0E" w14:textId="5C15BD7A" w:rsidR="00054C41" w:rsidRPr="00E21884" w:rsidRDefault="00054C41" w:rsidP="005C6FC3">
      <w:pPr>
        <w:jc w:val="both"/>
        <w:rPr>
          <w:rFonts w:ascii="Times New Roman" w:eastAsia="Times New Roman" w:hAnsi="Times New Roman" w:cs="Times New Roman"/>
          <w:sz w:val="20"/>
          <w:szCs w:val="20"/>
          <w:lang w:eastAsia="sk-SK"/>
        </w:rPr>
      </w:pPr>
      <w:r w:rsidRPr="001F1B43">
        <w:rPr>
          <w:rFonts w:ascii="Times New Roman" w:eastAsia="Calibri" w:hAnsi="Times New Roman" w:cs="Times New Roman"/>
          <w:b/>
          <w:sz w:val="24"/>
          <w:szCs w:val="24"/>
        </w:rPr>
        <w:t>Názov materiálu:</w:t>
      </w:r>
      <w:r w:rsidR="00E21884">
        <w:rPr>
          <w:rFonts w:ascii="Times New Roman" w:eastAsia="Calibri" w:hAnsi="Times New Roman" w:cs="Times New Roman"/>
          <w:b/>
          <w:sz w:val="24"/>
          <w:szCs w:val="24"/>
        </w:rPr>
        <w:t xml:space="preserve"> </w:t>
      </w:r>
      <w:r w:rsidR="0063098D" w:rsidRPr="0063098D">
        <w:rPr>
          <w:rFonts w:ascii="Times New Roman" w:hAnsi="Times New Roman" w:cs="Times New Roman"/>
        </w:rPr>
        <w:t xml:space="preserve">Vládny návrh </w:t>
      </w:r>
      <w:r w:rsidR="00E21884" w:rsidRPr="00690EF4">
        <w:rPr>
          <w:rFonts w:ascii="Times New Roman" w:hAnsi="Times New Roman" w:cs="Times New Roman"/>
        </w:rPr>
        <w:t xml:space="preserve">zákona, ktorým sa mení a dopĺňa zákon č. 461/2003 Z. z. o sociálnom poistení v znení neskorších predpisov </w:t>
      </w:r>
      <w:r w:rsidR="00E21884" w:rsidRPr="00690EF4">
        <w:rPr>
          <w:rFonts w:ascii="Times New Roman" w:eastAsia="SimSun" w:hAnsi="Times New Roman" w:cs="Times New Roman"/>
          <w:kern w:val="2"/>
          <w:lang w:eastAsia="hi-IN" w:bidi="hi-IN"/>
        </w:rPr>
        <w:t>a ktorým sa menia a dopĺňajú niektoré zákony.</w:t>
      </w:r>
    </w:p>
    <w:p w14:paraId="150188AE" w14:textId="77777777" w:rsidR="00E21884" w:rsidRDefault="00054C41" w:rsidP="00E21884">
      <w:pPr>
        <w:rPr>
          <w:rFonts w:ascii="Times New Roman" w:eastAsia="Times New Roman" w:hAnsi="Times New Roman" w:cs="Times New Roman"/>
          <w:sz w:val="20"/>
          <w:szCs w:val="20"/>
          <w:lang w:eastAsia="sk-SK"/>
        </w:rPr>
      </w:pPr>
      <w:r w:rsidRPr="001F1B43">
        <w:rPr>
          <w:rFonts w:ascii="Times New Roman" w:eastAsia="Calibri" w:hAnsi="Times New Roman" w:cs="Times New Roman"/>
          <w:b/>
          <w:sz w:val="24"/>
          <w:szCs w:val="24"/>
        </w:rPr>
        <w:t>Predkladateľ:</w:t>
      </w:r>
      <w:r w:rsidR="00E21884">
        <w:rPr>
          <w:rFonts w:ascii="Times New Roman" w:eastAsia="Calibri" w:hAnsi="Times New Roman" w:cs="Times New Roman"/>
          <w:b/>
          <w:sz w:val="24"/>
          <w:szCs w:val="24"/>
        </w:rPr>
        <w:t xml:space="preserve"> </w:t>
      </w:r>
      <w:r w:rsidR="00E21884">
        <w:rPr>
          <w:rFonts w:ascii="Times New Roman" w:eastAsia="Times New Roman" w:hAnsi="Times New Roman" w:cs="Times New Roman"/>
          <w:lang w:eastAsia="sk-SK"/>
        </w:rPr>
        <w:t>Ministerstvo práce, sociálnych vecí a rodiny S</w:t>
      </w:r>
      <w:r w:rsidR="00EB38B7">
        <w:rPr>
          <w:rFonts w:ascii="Times New Roman" w:eastAsia="Times New Roman" w:hAnsi="Times New Roman" w:cs="Times New Roman"/>
          <w:lang w:eastAsia="sk-SK"/>
        </w:rPr>
        <w:t>lovenskej republiky</w:t>
      </w:r>
      <w:r w:rsidR="002F3411">
        <w:rPr>
          <w:rFonts w:ascii="Times New Roman" w:eastAsia="Times New Roman" w:hAnsi="Times New Roman" w:cs="Times New Roman"/>
          <w:lang w:eastAsia="sk-SK"/>
        </w:rPr>
        <w:t xml:space="preserve"> (ďalej len „MPSVR SR“)</w:t>
      </w:r>
    </w:p>
    <w:p w14:paraId="76E53A86" w14:textId="77777777" w:rsidR="00361229" w:rsidRPr="00E21884" w:rsidRDefault="00361229" w:rsidP="00E21884">
      <w:pPr>
        <w:rPr>
          <w:rFonts w:ascii="Times New Roman" w:eastAsia="Times New Roman" w:hAnsi="Times New Roman" w:cs="Times New Roman"/>
          <w:sz w:val="20"/>
          <w:szCs w:val="20"/>
          <w:lang w:eastAsia="sk-SK"/>
        </w:rPr>
      </w:pPr>
    </w:p>
    <w:p w14:paraId="5303132D"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38037FC9"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794A2512" w14:textId="1DC64C7D"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tbl>
      <w:tblPr>
        <w:tblW w:w="8540" w:type="dxa"/>
        <w:jc w:val="center"/>
        <w:tblCellMar>
          <w:left w:w="70" w:type="dxa"/>
          <w:right w:w="70" w:type="dxa"/>
        </w:tblCellMar>
        <w:tblLook w:val="04A0" w:firstRow="1" w:lastRow="0" w:firstColumn="1" w:lastColumn="0" w:noHBand="0" w:noVBand="1"/>
      </w:tblPr>
      <w:tblGrid>
        <w:gridCol w:w="4660"/>
        <w:gridCol w:w="1940"/>
        <w:gridCol w:w="1940"/>
      </w:tblGrid>
      <w:tr w:rsidR="00A255A9" w:rsidRPr="00A255A9" w14:paraId="7908F349" w14:textId="77777777" w:rsidTr="005261F0">
        <w:trPr>
          <w:trHeight w:val="675"/>
          <w:jc w:val="center"/>
        </w:trPr>
        <w:tc>
          <w:tcPr>
            <w:tcW w:w="46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0525896" w14:textId="77777777" w:rsidR="00A255A9" w:rsidRPr="00A255A9" w:rsidRDefault="00A255A9" w:rsidP="00A255A9">
            <w:pPr>
              <w:spacing w:after="0" w:line="240" w:lineRule="auto"/>
              <w:jc w:val="center"/>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TYP NÁKLADOV</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621D515A"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Zvýšenie nákladov v € na PP</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19C6C1E3"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Zníženie nákladov v € na PP</w:t>
            </w:r>
          </w:p>
        </w:tc>
      </w:tr>
      <w:tr w:rsidR="00A255A9" w:rsidRPr="00A255A9" w14:paraId="179240F0" w14:textId="77777777" w:rsidTr="005261F0">
        <w:trPr>
          <w:trHeight w:val="810"/>
          <w:jc w:val="center"/>
        </w:trPr>
        <w:tc>
          <w:tcPr>
            <w:tcW w:w="4660" w:type="dxa"/>
            <w:tcBorders>
              <w:top w:val="nil"/>
              <w:left w:val="single" w:sz="8" w:space="0" w:color="auto"/>
              <w:bottom w:val="single" w:sz="4" w:space="0" w:color="auto"/>
              <w:right w:val="single" w:sz="4" w:space="0" w:color="auto"/>
            </w:tcBorders>
            <w:shd w:val="clear" w:color="auto" w:fill="auto"/>
            <w:vAlign w:val="center"/>
            <w:hideMark/>
          </w:tcPr>
          <w:p w14:paraId="676A1ED8"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proofErr w:type="spellStart"/>
            <w:r w:rsidRPr="00A255A9">
              <w:rPr>
                <w:rFonts w:ascii="Times New Roman" w:eastAsia="Times New Roman" w:hAnsi="Times New Roman" w:cs="Times New Roman"/>
                <w:b/>
                <w:bCs/>
                <w:i/>
                <w:iCs/>
                <w:color w:val="000000"/>
                <w:sz w:val="20"/>
                <w:szCs w:val="20"/>
                <w:lang w:eastAsia="sk-SK"/>
              </w:rPr>
              <w:t>A.Dane</w:t>
            </w:r>
            <w:proofErr w:type="spellEnd"/>
            <w:r w:rsidRPr="00A255A9">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A255A9">
              <w:rPr>
                <w:rFonts w:ascii="Times New Roman" w:eastAsia="Times New Roman" w:hAnsi="Times New Roman" w:cs="Times New Roman"/>
                <w:b/>
                <w:bCs/>
                <w:i/>
                <w:iCs/>
                <w:color w:val="000000"/>
                <w:sz w:val="20"/>
                <w:szCs w:val="20"/>
                <w:lang w:eastAsia="sk-SK"/>
              </w:rPr>
              <w:t>externality</w:t>
            </w:r>
            <w:proofErr w:type="spellEnd"/>
          </w:p>
        </w:tc>
        <w:tc>
          <w:tcPr>
            <w:tcW w:w="1940" w:type="dxa"/>
            <w:tcBorders>
              <w:top w:val="nil"/>
              <w:left w:val="nil"/>
              <w:bottom w:val="single" w:sz="4" w:space="0" w:color="auto"/>
              <w:right w:val="single" w:sz="4" w:space="0" w:color="auto"/>
            </w:tcBorders>
            <w:shd w:val="clear" w:color="000000" w:fill="FFC000"/>
            <w:vAlign w:val="center"/>
            <w:hideMark/>
          </w:tcPr>
          <w:p w14:paraId="6D2E30E3"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4" w:space="0" w:color="auto"/>
              <w:right w:val="single" w:sz="8" w:space="0" w:color="auto"/>
            </w:tcBorders>
            <w:shd w:val="clear" w:color="000000" w:fill="92D050"/>
            <w:vAlign w:val="center"/>
            <w:hideMark/>
          </w:tcPr>
          <w:p w14:paraId="20166E4D"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r>
      <w:tr w:rsidR="00A255A9" w:rsidRPr="00A255A9" w14:paraId="4A5B0301" w14:textId="77777777" w:rsidTr="005261F0">
        <w:trPr>
          <w:trHeight w:val="300"/>
          <w:jc w:val="center"/>
        </w:trPr>
        <w:tc>
          <w:tcPr>
            <w:tcW w:w="4660" w:type="dxa"/>
            <w:tcBorders>
              <w:top w:val="nil"/>
              <w:left w:val="single" w:sz="8" w:space="0" w:color="auto"/>
              <w:bottom w:val="single" w:sz="4" w:space="0" w:color="auto"/>
              <w:right w:val="single" w:sz="4" w:space="0" w:color="auto"/>
            </w:tcBorders>
            <w:shd w:val="clear" w:color="auto" w:fill="auto"/>
            <w:vAlign w:val="center"/>
            <w:hideMark/>
          </w:tcPr>
          <w:p w14:paraId="60D1FD2B"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B. Iné poplatky</w:t>
            </w:r>
          </w:p>
        </w:tc>
        <w:tc>
          <w:tcPr>
            <w:tcW w:w="1940" w:type="dxa"/>
            <w:tcBorders>
              <w:top w:val="nil"/>
              <w:left w:val="nil"/>
              <w:bottom w:val="single" w:sz="4" w:space="0" w:color="auto"/>
              <w:right w:val="single" w:sz="4" w:space="0" w:color="auto"/>
            </w:tcBorders>
            <w:shd w:val="clear" w:color="000000" w:fill="FFC000"/>
            <w:vAlign w:val="center"/>
            <w:hideMark/>
          </w:tcPr>
          <w:p w14:paraId="72EA4D7C"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112 823</w:t>
            </w:r>
          </w:p>
        </w:tc>
        <w:tc>
          <w:tcPr>
            <w:tcW w:w="1940" w:type="dxa"/>
            <w:tcBorders>
              <w:top w:val="nil"/>
              <w:left w:val="nil"/>
              <w:bottom w:val="single" w:sz="4" w:space="0" w:color="auto"/>
              <w:right w:val="single" w:sz="8" w:space="0" w:color="auto"/>
            </w:tcBorders>
            <w:shd w:val="clear" w:color="000000" w:fill="92D050"/>
            <w:vAlign w:val="center"/>
            <w:hideMark/>
          </w:tcPr>
          <w:p w14:paraId="21AB7959"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1 500</w:t>
            </w:r>
          </w:p>
        </w:tc>
      </w:tr>
      <w:tr w:rsidR="00A255A9" w:rsidRPr="00A255A9" w14:paraId="0DB2BB5C" w14:textId="77777777" w:rsidTr="005261F0">
        <w:trPr>
          <w:trHeight w:val="300"/>
          <w:jc w:val="center"/>
        </w:trPr>
        <w:tc>
          <w:tcPr>
            <w:tcW w:w="4660" w:type="dxa"/>
            <w:tcBorders>
              <w:top w:val="nil"/>
              <w:left w:val="single" w:sz="8" w:space="0" w:color="auto"/>
              <w:bottom w:val="single" w:sz="4" w:space="0" w:color="auto"/>
              <w:right w:val="single" w:sz="4" w:space="0" w:color="auto"/>
            </w:tcBorders>
            <w:shd w:val="clear" w:color="auto" w:fill="auto"/>
            <w:vAlign w:val="center"/>
            <w:hideMark/>
          </w:tcPr>
          <w:p w14:paraId="208F15A2"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C. Sankcie a pokuty</w:t>
            </w:r>
          </w:p>
        </w:tc>
        <w:tc>
          <w:tcPr>
            <w:tcW w:w="1940" w:type="dxa"/>
            <w:tcBorders>
              <w:top w:val="nil"/>
              <w:left w:val="nil"/>
              <w:bottom w:val="single" w:sz="4" w:space="0" w:color="auto"/>
              <w:right w:val="single" w:sz="4" w:space="0" w:color="auto"/>
            </w:tcBorders>
            <w:shd w:val="clear" w:color="000000" w:fill="FFC000"/>
            <w:vAlign w:val="center"/>
            <w:hideMark/>
          </w:tcPr>
          <w:p w14:paraId="2C3D9A48"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c>
          <w:tcPr>
            <w:tcW w:w="1940" w:type="dxa"/>
            <w:tcBorders>
              <w:top w:val="nil"/>
              <w:left w:val="nil"/>
              <w:bottom w:val="single" w:sz="4" w:space="0" w:color="auto"/>
              <w:right w:val="single" w:sz="8" w:space="0" w:color="auto"/>
            </w:tcBorders>
            <w:shd w:val="clear" w:color="000000" w:fill="92D050"/>
            <w:vAlign w:val="center"/>
            <w:hideMark/>
          </w:tcPr>
          <w:p w14:paraId="525478FF"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r>
      <w:tr w:rsidR="00A255A9" w:rsidRPr="00A255A9" w14:paraId="738CF149" w14:textId="77777777" w:rsidTr="005261F0">
        <w:trPr>
          <w:trHeight w:val="300"/>
          <w:jc w:val="center"/>
        </w:trPr>
        <w:tc>
          <w:tcPr>
            <w:tcW w:w="4660" w:type="dxa"/>
            <w:tcBorders>
              <w:top w:val="nil"/>
              <w:left w:val="single" w:sz="8" w:space="0" w:color="auto"/>
              <w:bottom w:val="single" w:sz="4" w:space="0" w:color="auto"/>
              <w:right w:val="single" w:sz="4" w:space="0" w:color="auto"/>
            </w:tcBorders>
            <w:shd w:val="clear" w:color="auto" w:fill="auto"/>
            <w:vAlign w:val="center"/>
            <w:hideMark/>
          </w:tcPr>
          <w:p w14:paraId="1CCA8168"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D. Nepriame finančné náklady</w:t>
            </w:r>
          </w:p>
        </w:tc>
        <w:tc>
          <w:tcPr>
            <w:tcW w:w="1940" w:type="dxa"/>
            <w:tcBorders>
              <w:top w:val="nil"/>
              <w:left w:val="nil"/>
              <w:bottom w:val="single" w:sz="4" w:space="0" w:color="auto"/>
              <w:right w:val="single" w:sz="4" w:space="0" w:color="auto"/>
            </w:tcBorders>
            <w:shd w:val="clear" w:color="000000" w:fill="FFC000"/>
            <w:vAlign w:val="center"/>
            <w:hideMark/>
          </w:tcPr>
          <w:p w14:paraId="1FD3231D"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22 500</w:t>
            </w:r>
          </w:p>
        </w:tc>
        <w:tc>
          <w:tcPr>
            <w:tcW w:w="1940" w:type="dxa"/>
            <w:tcBorders>
              <w:top w:val="nil"/>
              <w:left w:val="nil"/>
              <w:bottom w:val="single" w:sz="4" w:space="0" w:color="auto"/>
              <w:right w:val="single" w:sz="8" w:space="0" w:color="auto"/>
            </w:tcBorders>
            <w:shd w:val="clear" w:color="000000" w:fill="92D050"/>
            <w:vAlign w:val="center"/>
            <w:hideMark/>
          </w:tcPr>
          <w:p w14:paraId="01F6C916"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31 500</w:t>
            </w:r>
          </w:p>
        </w:tc>
      </w:tr>
      <w:tr w:rsidR="00A255A9" w:rsidRPr="00A255A9" w14:paraId="4A215007" w14:textId="77777777" w:rsidTr="005261F0">
        <w:trPr>
          <w:trHeight w:val="300"/>
          <w:jc w:val="center"/>
        </w:trPr>
        <w:tc>
          <w:tcPr>
            <w:tcW w:w="4660" w:type="dxa"/>
            <w:tcBorders>
              <w:top w:val="nil"/>
              <w:left w:val="single" w:sz="8" w:space="0" w:color="auto"/>
              <w:bottom w:val="nil"/>
              <w:right w:val="single" w:sz="4" w:space="0" w:color="auto"/>
            </w:tcBorders>
            <w:shd w:val="clear" w:color="auto" w:fill="auto"/>
            <w:vAlign w:val="center"/>
            <w:hideMark/>
          </w:tcPr>
          <w:p w14:paraId="01116261"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E. Administratívne náklady</w:t>
            </w:r>
          </w:p>
        </w:tc>
        <w:tc>
          <w:tcPr>
            <w:tcW w:w="1940" w:type="dxa"/>
            <w:tcBorders>
              <w:top w:val="nil"/>
              <w:left w:val="nil"/>
              <w:bottom w:val="nil"/>
              <w:right w:val="single" w:sz="4" w:space="0" w:color="auto"/>
            </w:tcBorders>
            <w:shd w:val="clear" w:color="000000" w:fill="FFC000"/>
            <w:vAlign w:val="center"/>
            <w:hideMark/>
          </w:tcPr>
          <w:p w14:paraId="12F7DA2A"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2 113 403</w:t>
            </w:r>
          </w:p>
        </w:tc>
        <w:tc>
          <w:tcPr>
            <w:tcW w:w="1940" w:type="dxa"/>
            <w:tcBorders>
              <w:top w:val="nil"/>
              <w:left w:val="nil"/>
              <w:bottom w:val="nil"/>
              <w:right w:val="single" w:sz="8" w:space="0" w:color="auto"/>
            </w:tcBorders>
            <w:shd w:val="clear" w:color="000000" w:fill="92D050"/>
            <w:vAlign w:val="center"/>
            <w:hideMark/>
          </w:tcPr>
          <w:p w14:paraId="49793634"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2 363 684</w:t>
            </w:r>
          </w:p>
        </w:tc>
      </w:tr>
      <w:tr w:rsidR="00A255A9" w:rsidRPr="00A255A9" w14:paraId="1E636269" w14:textId="77777777" w:rsidTr="005261F0">
        <w:trPr>
          <w:trHeight w:val="300"/>
          <w:jc w:val="center"/>
        </w:trPr>
        <w:tc>
          <w:tcPr>
            <w:tcW w:w="46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080AAF"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Spolu = A+B+C+D+E</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7E8EDC39"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2 248 726</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49A37243"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2 396 684</w:t>
            </w:r>
          </w:p>
        </w:tc>
      </w:tr>
      <w:tr w:rsidR="00A255A9" w:rsidRPr="00A255A9" w14:paraId="0E3EC9E2" w14:textId="77777777" w:rsidTr="005261F0">
        <w:trPr>
          <w:trHeight w:val="300"/>
          <w:jc w:val="center"/>
        </w:trPr>
        <w:tc>
          <w:tcPr>
            <w:tcW w:w="4660" w:type="dxa"/>
            <w:tcBorders>
              <w:top w:val="nil"/>
              <w:left w:val="nil"/>
              <w:bottom w:val="nil"/>
              <w:right w:val="nil"/>
            </w:tcBorders>
            <w:shd w:val="clear" w:color="auto" w:fill="auto"/>
            <w:vAlign w:val="center"/>
            <w:hideMark/>
          </w:tcPr>
          <w:p w14:paraId="65C32976"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p>
        </w:tc>
        <w:tc>
          <w:tcPr>
            <w:tcW w:w="1940" w:type="dxa"/>
            <w:tcBorders>
              <w:top w:val="nil"/>
              <w:left w:val="nil"/>
              <w:bottom w:val="nil"/>
              <w:right w:val="nil"/>
            </w:tcBorders>
            <w:shd w:val="clear" w:color="auto" w:fill="auto"/>
            <w:vAlign w:val="center"/>
            <w:hideMark/>
          </w:tcPr>
          <w:p w14:paraId="0B1A9379"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shd w:val="clear" w:color="auto" w:fill="auto"/>
            <w:vAlign w:val="center"/>
            <w:hideMark/>
          </w:tcPr>
          <w:p w14:paraId="15984940"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r>
      <w:tr w:rsidR="00A255A9" w:rsidRPr="00A255A9" w14:paraId="466E1CC5" w14:textId="77777777" w:rsidTr="005261F0">
        <w:trPr>
          <w:trHeight w:val="600"/>
          <w:jc w:val="center"/>
        </w:trPr>
        <w:tc>
          <w:tcPr>
            <w:tcW w:w="46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9D3AE55"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Harmonizácia práva EÚ</w:t>
            </w:r>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68D3B470"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Zvýšenie nákladov v € na PP</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1CBE2A6B"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Zníženie nákladov v € na PP</w:t>
            </w:r>
          </w:p>
        </w:tc>
      </w:tr>
      <w:tr w:rsidR="00A255A9" w:rsidRPr="00A255A9" w14:paraId="342C542C" w14:textId="77777777" w:rsidTr="005261F0">
        <w:trPr>
          <w:trHeight w:val="990"/>
          <w:jc w:val="center"/>
        </w:trPr>
        <w:tc>
          <w:tcPr>
            <w:tcW w:w="4660" w:type="dxa"/>
            <w:tcBorders>
              <w:top w:val="nil"/>
              <w:left w:val="single" w:sz="8" w:space="0" w:color="auto"/>
              <w:bottom w:val="nil"/>
              <w:right w:val="single" w:sz="4" w:space="0" w:color="auto"/>
            </w:tcBorders>
            <w:shd w:val="clear" w:color="auto" w:fill="auto"/>
            <w:vAlign w:val="center"/>
            <w:hideMark/>
          </w:tcPr>
          <w:p w14:paraId="09527980"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lastRenderedPageBreak/>
              <w:t>F. Úplná harmonizácia práva EÚ</w:t>
            </w:r>
            <w:r w:rsidRPr="00A255A9">
              <w:rPr>
                <w:rFonts w:ascii="Times New Roman" w:eastAsia="Times New Roman" w:hAnsi="Times New Roman" w:cs="Times New Roman"/>
                <w:b/>
                <w:bCs/>
                <w:i/>
                <w:iCs/>
                <w:color w:val="000000"/>
                <w:sz w:val="20"/>
                <w:szCs w:val="20"/>
                <w:lang w:eastAsia="sk-SK"/>
              </w:rPr>
              <w:br/>
            </w:r>
            <w:r w:rsidRPr="00A255A9">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A255A9">
              <w:rPr>
                <w:rFonts w:ascii="Times New Roman" w:eastAsia="Times New Roman" w:hAnsi="Times New Roman" w:cs="Times New Roman"/>
                <w:i/>
                <w:iCs/>
                <w:color w:val="000000"/>
                <w:sz w:val="16"/>
                <w:szCs w:val="16"/>
                <w:lang w:eastAsia="sk-SK"/>
              </w:rPr>
              <w:t>externality</w:t>
            </w:r>
            <w:proofErr w:type="spellEnd"/>
            <w:r w:rsidRPr="00A255A9">
              <w:rPr>
                <w:rFonts w:ascii="Times New Roman" w:eastAsia="Times New Roman" w:hAnsi="Times New Roman" w:cs="Times New Roman"/>
                <w:i/>
                <w:iCs/>
                <w:color w:val="000000"/>
                <w:sz w:val="16"/>
                <w:szCs w:val="16"/>
                <w:lang w:eastAsia="sk-SK"/>
              </w:rPr>
              <w:t>)</w:t>
            </w:r>
          </w:p>
        </w:tc>
        <w:tc>
          <w:tcPr>
            <w:tcW w:w="1940" w:type="dxa"/>
            <w:tcBorders>
              <w:top w:val="nil"/>
              <w:left w:val="nil"/>
              <w:bottom w:val="nil"/>
              <w:right w:val="single" w:sz="4" w:space="0" w:color="auto"/>
            </w:tcBorders>
            <w:shd w:val="clear" w:color="000000" w:fill="FFC000"/>
            <w:vAlign w:val="center"/>
            <w:hideMark/>
          </w:tcPr>
          <w:p w14:paraId="3C0BE55D"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c>
          <w:tcPr>
            <w:tcW w:w="1940" w:type="dxa"/>
            <w:tcBorders>
              <w:top w:val="nil"/>
              <w:left w:val="nil"/>
              <w:bottom w:val="nil"/>
              <w:right w:val="single" w:sz="8" w:space="0" w:color="auto"/>
            </w:tcBorders>
            <w:shd w:val="clear" w:color="000000" w:fill="92D050"/>
            <w:vAlign w:val="center"/>
            <w:hideMark/>
          </w:tcPr>
          <w:p w14:paraId="2F6AEDAA"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r>
      <w:tr w:rsidR="00A255A9" w:rsidRPr="00A255A9" w14:paraId="5F184450" w14:textId="77777777" w:rsidTr="005261F0">
        <w:trPr>
          <w:trHeight w:val="270"/>
          <w:jc w:val="center"/>
        </w:trPr>
        <w:tc>
          <w:tcPr>
            <w:tcW w:w="46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3A5E56B" w14:textId="77777777" w:rsidR="00A255A9" w:rsidRPr="00A255A9" w:rsidRDefault="00A255A9" w:rsidP="00A255A9">
            <w:pPr>
              <w:spacing w:after="0" w:line="240" w:lineRule="auto"/>
              <w:rPr>
                <w:rFonts w:ascii="Times New Roman" w:eastAsia="Times New Roman" w:hAnsi="Times New Roman" w:cs="Times New Roman"/>
                <w:b/>
                <w:bCs/>
                <w:i/>
                <w:iCs/>
                <w:color w:val="000000"/>
                <w:sz w:val="20"/>
                <w:szCs w:val="20"/>
                <w:lang w:eastAsia="sk-SK"/>
              </w:rPr>
            </w:pPr>
            <w:r w:rsidRPr="00A255A9">
              <w:rPr>
                <w:rFonts w:ascii="Times New Roman" w:eastAsia="Times New Roman" w:hAnsi="Times New Roman" w:cs="Times New Roman"/>
                <w:b/>
                <w:bCs/>
                <w:i/>
                <w:iCs/>
                <w:color w:val="000000"/>
                <w:sz w:val="20"/>
                <w:szCs w:val="20"/>
                <w:lang w:eastAsia="sk-SK"/>
              </w:rPr>
              <w:t xml:space="preserve">G. </w:t>
            </w:r>
            <w:proofErr w:type="spellStart"/>
            <w:r w:rsidRPr="00A255A9">
              <w:rPr>
                <w:rFonts w:ascii="Times New Roman" w:eastAsia="Times New Roman" w:hAnsi="Times New Roman" w:cs="Times New Roman"/>
                <w:b/>
                <w:bCs/>
                <w:i/>
                <w:iCs/>
                <w:color w:val="000000"/>
                <w:sz w:val="20"/>
                <w:szCs w:val="20"/>
                <w:lang w:eastAsia="sk-SK"/>
              </w:rPr>
              <w:t>Goldplating</w:t>
            </w:r>
            <w:proofErr w:type="spellEnd"/>
          </w:p>
        </w:tc>
        <w:tc>
          <w:tcPr>
            <w:tcW w:w="1940" w:type="dxa"/>
            <w:tcBorders>
              <w:top w:val="single" w:sz="8" w:space="0" w:color="auto"/>
              <w:left w:val="nil"/>
              <w:bottom w:val="single" w:sz="8" w:space="0" w:color="auto"/>
              <w:right w:val="single" w:sz="4" w:space="0" w:color="auto"/>
            </w:tcBorders>
            <w:shd w:val="clear" w:color="000000" w:fill="FFC000"/>
            <w:vAlign w:val="center"/>
            <w:hideMark/>
          </w:tcPr>
          <w:p w14:paraId="2E5EEDA6" w14:textId="7D3349E0" w:rsidR="00A255A9" w:rsidRPr="00A255A9" w:rsidRDefault="00390BD2" w:rsidP="00A255A9">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0ACFC07D"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0</w:t>
            </w:r>
          </w:p>
        </w:tc>
      </w:tr>
      <w:tr w:rsidR="00A255A9" w:rsidRPr="00A255A9" w14:paraId="7B8086B4" w14:textId="77777777" w:rsidTr="005261F0">
        <w:trPr>
          <w:trHeight w:val="270"/>
          <w:jc w:val="center"/>
        </w:trPr>
        <w:tc>
          <w:tcPr>
            <w:tcW w:w="4660" w:type="dxa"/>
            <w:tcBorders>
              <w:top w:val="nil"/>
              <w:left w:val="nil"/>
              <w:bottom w:val="nil"/>
              <w:right w:val="nil"/>
            </w:tcBorders>
            <w:shd w:val="clear" w:color="auto" w:fill="auto"/>
            <w:noWrap/>
            <w:vAlign w:val="bottom"/>
            <w:hideMark/>
          </w:tcPr>
          <w:p w14:paraId="4101A726"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p>
        </w:tc>
        <w:tc>
          <w:tcPr>
            <w:tcW w:w="1940" w:type="dxa"/>
            <w:tcBorders>
              <w:top w:val="nil"/>
              <w:left w:val="nil"/>
              <w:bottom w:val="nil"/>
              <w:right w:val="nil"/>
            </w:tcBorders>
            <w:shd w:val="clear" w:color="auto" w:fill="auto"/>
            <w:vAlign w:val="center"/>
            <w:hideMark/>
          </w:tcPr>
          <w:p w14:paraId="777640D5"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shd w:val="clear" w:color="auto" w:fill="auto"/>
            <w:vAlign w:val="center"/>
            <w:hideMark/>
          </w:tcPr>
          <w:p w14:paraId="0EA21807"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r>
      <w:tr w:rsidR="00A255A9" w:rsidRPr="00A255A9" w14:paraId="0F5205E3" w14:textId="77777777" w:rsidTr="005261F0">
        <w:trPr>
          <w:trHeight w:val="270"/>
          <w:jc w:val="center"/>
        </w:trPr>
        <w:tc>
          <w:tcPr>
            <w:tcW w:w="4660" w:type="dxa"/>
            <w:tcBorders>
              <w:top w:val="nil"/>
              <w:left w:val="nil"/>
              <w:bottom w:val="nil"/>
              <w:right w:val="nil"/>
            </w:tcBorders>
            <w:shd w:val="clear" w:color="auto" w:fill="auto"/>
            <w:noWrap/>
            <w:vAlign w:val="bottom"/>
            <w:hideMark/>
          </w:tcPr>
          <w:p w14:paraId="0CBC9025"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shd w:val="clear" w:color="auto" w:fill="auto"/>
            <w:vAlign w:val="center"/>
            <w:hideMark/>
          </w:tcPr>
          <w:p w14:paraId="38F28C85"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c>
          <w:tcPr>
            <w:tcW w:w="1940" w:type="dxa"/>
            <w:tcBorders>
              <w:top w:val="nil"/>
              <w:left w:val="nil"/>
              <w:bottom w:val="nil"/>
              <w:right w:val="nil"/>
            </w:tcBorders>
            <w:shd w:val="clear" w:color="auto" w:fill="auto"/>
            <w:vAlign w:val="center"/>
            <w:hideMark/>
          </w:tcPr>
          <w:p w14:paraId="4C05A32E" w14:textId="77777777" w:rsidR="00A255A9" w:rsidRPr="00A255A9" w:rsidRDefault="00A255A9" w:rsidP="00A255A9">
            <w:pPr>
              <w:spacing w:after="0" w:line="240" w:lineRule="auto"/>
              <w:rPr>
                <w:rFonts w:ascii="Times New Roman" w:eastAsia="Times New Roman" w:hAnsi="Times New Roman" w:cs="Times New Roman"/>
                <w:sz w:val="20"/>
                <w:szCs w:val="20"/>
                <w:lang w:eastAsia="sk-SK"/>
              </w:rPr>
            </w:pPr>
          </w:p>
        </w:tc>
      </w:tr>
      <w:tr w:rsidR="00A255A9" w:rsidRPr="00A255A9" w14:paraId="7120E840" w14:textId="77777777" w:rsidTr="005261F0">
        <w:trPr>
          <w:trHeight w:val="330"/>
          <w:jc w:val="center"/>
        </w:trPr>
        <w:tc>
          <w:tcPr>
            <w:tcW w:w="46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8B897B3" w14:textId="77777777" w:rsidR="00A255A9" w:rsidRPr="00A255A9" w:rsidRDefault="00A255A9" w:rsidP="00A255A9">
            <w:pPr>
              <w:spacing w:after="0" w:line="240" w:lineRule="auto"/>
              <w:rPr>
                <w:rFonts w:ascii="Times New Roman" w:eastAsia="Times New Roman" w:hAnsi="Times New Roman" w:cs="Times New Roman"/>
                <w:i/>
                <w:iCs/>
                <w:color w:val="000000"/>
                <w:sz w:val="20"/>
                <w:szCs w:val="20"/>
                <w:lang w:eastAsia="sk-SK"/>
              </w:rPr>
            </w:pPr>
            <w:r w:rsidRPr="00A255A9">
              <w:rPr>
                <w:rFonts w:ascii="Times New Roman" w:eastAsia="Times New Roman" w:hAnsi="Times New Roman" w:cs="Times New Roman"/>
                <w:i/>
                <w:iCs/>
                <w:color w:val="000000"/>
                <w:sz w:val="20"/>
                <w:szCs w:val="20"/>
                <w:lang w:eastAsia="sk-SK"/>
              </w:rPr>
              <w:t>VÝPOČET PRAVIDLA 1in2out:</w:t>
            </w:r>
          </w:p>
        </w:tc>
        <w:tc>
          <w:tcPr>
            <w:tcW w:w="1940" w:type="dxa"/>
            <w:tcBorders>
              <w:top w:val="single" w:sz="8" w:space="0" w:color="auto"/>
              <w:left w:val="nil"/>
              <w:bottom w:val="single" w:sz="4" w:space="0" w:color="auto"/>
              <w:right w:val="single" w:sz="4" w:space="0" w:color="auto"/>
            </w:tcBorders>
            <w:shd w:val="clear" w:color="000000" w:fill="FFC000"/>
            <w:vAlign w:val="center"/>
            <w:hideMark/>
          </w:tcPr>
          <w:p w14:paraId="3CA09DBF"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IN</w:t>
            </w:r>
          </w:p>
        </w:tc>
        <w:tc>
          <w:tcPr>
            <w:tcW w:w="1940" w:type="dxa"/>
            <w:tcBorders>
              <w:top w:val="single" w:sz="8" w:space="0" w:color="auto"/>
              <w:left w:val="nil"/>
              <w:bottom w:val="single" w:sz="4" w:space="0" w:color="auto"/>
              <w:right w:val="single" w:sz="8" w:space="0" w:color="auto"/>
            </w:tcBorders>
            <w:shd w:val="clear" w:color="000000" w:fill="92D050"/>
            <w:vAlign w:val="center"/>
            <w:hideMark/>
          </w:tcPr>
          <w:p w14:paraId="78D07B8E"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OUT</w:t>
            </w:r>
          </w:p>
        </w:tc>
      </w:tr>
      <w:tr w:rsidR="00A255A9" w:rsidRPr="00A255A9" w14:paraId="5978941F" w14:textId="77777777" w:rsidTr="005261F0">
        <w:trPr>
          <w:trHeight w:val="345"/>
          <w:jc w:val="center"/>
        </w:trPr>
        <w:tc>
          <w:tcPr>
            <w:tcW w:w="4660" w:type="dxa"/>
            <w:tcBorders>
              <w:top w:val="nil"/>
              <w:left w:val="single" w:sz="8" w:space="0" w:color="auto"/>
              <w:bottom w:val="single" w:sz="8" w:space="0" w:color="auto"/>
              <w:right w:val="single" w:sz="4" w:space="0" w:color="auto"/>
            </w:tcBorders>
            <w:shd w:val="clear" w:color="auto" w:fill="auto"/>
            <w:vAlign w:val="center"/>
            <w:hideMark/>
          </w:tcPr>
          <w:p w14:paraId="167ACE39" w14:textId="77777777" w:rsidR="00A255A9" w:rsidRPr="00A255A9" w:rsidRDefault="00A255A9" w:rsidP="00A255A9">
            <w:pPr>
              <w:spacing w:after="0" w:line="240" w:lineRule="auto"/>
              <w:rPr>
                <w:rFonts w:ascii="Times New Roman" w:eastAsia="Times New Roman" w:hAnsi="Times New Roman" w:cs="Times New Roman"/>
                <w:i/>
                <w:iCs/>
                <w:color w:val="000000"/>
                <w:sz w:val="20"/>
                <w:szCs w:val="20"/>
                <w:lang w:eastAsia="sk-SK"/>
              </w:rPr>
            </w:pPr>
            <w:r w:rsidRPr="00A255A9">
              <w:rPr>
                <w:rFonts w:ascii="Times New Roman" w:eastAsia="Times New Roman" w:hAnsi="Times New Roman" w:cs="Times New Roman"/>
                <w:i/>
                <w:iCs/>
                <w:color w:val="000000"/>
                <w:sz w:val="20"/>
                <w:szCs w:val="20"/>
                <w:lang w:eastAsia="sk-SK"/>
              </w:rPr>
              <w:t>H</w:t>
            </w:r>
            <w:r w:rsidRPr="00A255A9">
              <w:rPr>
                <w:rFonts w:ascii="Times New Roman" w:eastAsia="Times New Roman" w:hAnsi="Times New Roman" w:cs="Times New Roman"/>
                <w:b/>
                <w:bCs/>
                <w:i/>
                <w:iCs/>
                <w:color w:val="000000"/>
                <w:sz w:val="20"/>
                <w:szCs w:val="20"/>
                <w:lang w:eastAsia="sk-SK"/>
              </w:rPr>
              <w:t>.</w:t>
            </w:r>
            <w:r w:rsidRPr="00A255A9">
              <w:rPr>
                <w:rFonts w:ascii="Times New Roman" w:eastAsia="Times New Roman" w:hAnsi="Times New Roman" w:cs="Times New Roman"/>
                <w:i/>
                <w:iCs/>
                <w:color w:val="000000"/>
                <w:sz w:val="20"/>
                <w:szCs w:val="20"/>
                <w:lang w:eastAsia="sk-SK"/>
              </w:rPr>
              <w:t xml:space="preserve"> Náklady okrem výnimiek = B+D+E-F</w:t>
            </w:r>
          </w:p>
        </w:tc>
        <w:tc>
          <w:tcPr>
            <w:tcW w:w="1940" w:type="dxa"/>
            <w:tcBorders>
              <w:top w:val="nil"/>
              <w:left w:val="nil"/>
              <w:bottom w:val="single" w:sz="8" w:space="0" w:color="auto"/>
              <w:right w:val="single" w:sz="4" w:space="0" w:color="auto"/>
            </w:tcBorders>
            <w:shd w:val="clear" w:color="000000" w:fill="FFC000"/>
            <w:vAlign w:val="center"/>
            <w:hideMark/>
          </w:tcPr>
          <w:p w14:paraId="004614A3"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2 248 726</w:t>
            </w:r>
          </w:p>
        </w:tc>
        <w:tc>
          <w:tcPr>
            <w:tcW w:w="1940" w:type="dxa"/>
            <w:tcBorders>
              <w:top w:val="nil"/>
              <w:left w:val="nil"/>
              <w:bottom w:val="single" w:sz="8" w:space="0" w:color="auto"/>
              <w:right w:val="single" w:sz="8" w:space="0" w:color="auto"/>
            </w:tcBorders>
            <w:shd w:val="clear" w:color="000000" w:fill="92D050"/>
            <w:vAlign w:val="center"/>
            <w:hideMark/>
          </w:tcPr>
          <w:p w14:paraId="1B925FF9" w14:textId="77777777" w:rsidR="00A255A9" w:rsidRPr="00A255A9" w:rsidRDefault="00A255A9" w:rsidP="00A255A9">
            <w:pPr>
              <w:spacing w:after="0" w:line="240" w:lineRule="auto"/>
              <w:jc w:val="center"/>
              <w:rPr>
                <w:rFonts w:ascii="Times New Roman" w:eastAsia="Times New Roman" w:hAnsi="Times New Roman" w:cs="Times New Roman"/>
                <w:b/>
                <w:bCs/>
                <w:color w:val="000000"/>
                <w:sz w:val="20"/>
                <w:szCs w:val="20"/>
                <w:lang w:eastAsia="sk-SK"/>
              </w:rPr>
            </w:pPr>
            <w:r w:rsidRPr="00A255A9">
              <w:rPr>
                <w:rFonts w:ascii="Times New Roman" w:eastAsia="Times New Roman" w:hAnsi="Times New Roman" w:cs="Times New Roman"/>
                <w:b/>
                <w:bCs/>
                <w:color w:val="000000"/>
                <w:sz w:val="20"/>
                <w:szCs w:val="20"/>
                <w:lang w:eastAsia="sk-SK"/>
              </w:rPr>
              <w:t>2 396 684</w:t>
            </w:r>
          </w:p>
        </w:tc>
      </w:tr>
    </w:tbl>
    <w:p w14:paraId="5B7114A0" w14:textId="7D8447B7" w:rsidR="00A255A9" w:rsidRDefault="00A255A9" w:rsidP="00054C41">
      <w:pPr>
        <w:jc w:val="both"/>
        <w:rPr>
          <w:rFonts w:ascii="Times New Roman" w:eastAsia="Calibri" w:hAnsi="Times New Roman" w:cs="Times New Roman"/>
          <w:i/>
          <w:sz w:val="24"/>
          <w:szCs w:val="24"/>
        </w:rPr>
      </w:pPr>
    </w:p>
    <w:p w14:paraId="743CE71E"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F7B5139" w14:textId="77777777" w:rsidR="00E65A24" w:rsidRDefault="00E65A24" w:rsidP="00E65A24">
      <w:pPr>
        <w:spacing w:after="0" w:line="240" w:lineRule="auto"/>
        <w:rPr>
          <w:rFonts w:ascii="Times New Roman" w:eastAsia="Times New Roman" w:hAnsi="Times New Roman" w:cs="Times New Roman"/>
          <w:b/>
          <w:bCs/>
          <w:color w:val="000000"/>
          <w:sz w:val="24"/>
          <w:szCs w:val="24"/>
          <w:lang w:eastAsia="sk-SK"/>
        </w:rPr>
      </w:pPr>
    </w:p>
    <w:p w14:paraId="18E7E422" w14:textId="6E32C5B7" w:rsidR="00E65A24" w:rsidRDefault="00E65A24" w:rsidP="001067AC">
      <w:pPr>
        <w:spacing w:after="0" w:line="240" w:lineRule="auto"/>
        <w:rPr>
          <w:rFonts w:ascii="Times New Roman" w:eastAsia="Times New Roman" w:hAnsi="Times New Roman" w:cs="Times New Roman"/>
          <w:b/>
          <w:bCs/>
          <w:color w:val="000000"/>
          <w:sz w:val="24"/>
          <w:szCs w:val="24"/>
          <w:lang w:eastAsia="sk-SK"/>
        </w:rPr>
      </w:pPr>
      <w:r w:rsidRPr="002C7EEB">
        <w:rPr>
          <w:rFonts w:ascii="Times New Roman" w:eastAsia="Times New Roman" w:hAnsi="Times New Roman" w:cs="Times New Roman"/>
          <w:b/>
          <w:bCs/>
          <w:color w:val="000000"/>
          <w:sz w:val="24"/>
          <w:szCs w:val="24"/>
          <w:lang w:eastAsia="sk-SK"/>
        </w:rPr>
        <w:t xml:space="preserve">Tabuľka č. 2: Výpočet vplyvov jednotlivých regulácií </w:t>
      </w:r>
    </w:p>
    <w:tbl>
      <w:tblPr>
        <w:tblW w:w="14029" w:type="dxa"/>
        <w:tblCellMar>
          <w:left w:w="70" w:type="dxa"/>
          <w:right w:w="70" w:type="dxa"/>
        </w:tblCellMar>
        <w:tblLook w:val="04A0" w:firstRow="1" w:lastRow="0" w:firstColumn="1" w:lastColumn="0" w:noHBand="0" w:noVBand="1"/>
      </w:tblPr>
      <w:tblGrid>
        <w:gridCol w:w="451"/>
        <w:gridCol w:w="1940"/>
        <w:gridCol w:w="1142"/>
        <w:gridCol w:w="1129"/>
        <w:gridCol w:w="1052"/>
        <w:gridCol w:w="987"/>
        <w:gridCol w:w="1415"/>
        <w:gridCol w:w="1188"/>
        <w:gridCol w:w="791"/>
        <w:gridCol w:w="1109"/>
        <w:gridCol w:w="848"/>
        <w:gridCol w:w="814"/>
        <w:gridCol w:w="1163"/>
      </w:tblGrid>
      <w:tr w:rsidR="00F84970" w:rsidRPr="007920B5" w14:paraId="19D3D799" w14:textId="77777777" w:rsidTr="00F84970">
        <w:trPr>
          <w:trHeight w:val="264"/>
        </w:trPr>
        <w:tc>
          <w:tcPr>
            <w:tcW w:w="4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DCE9594"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920B5">
              <w:rPr>
                <w:rFonts w:ascii="Times New Roman" w:eastAsia="Times New Roman" w:hAnsi="Times New Roman" w:cs="Times New Roman"/>
                <w:b/>
                <w:bCs/>
                <w:color w:val="000000"/>
                <w:sz w:val="20"/>
                <w:szCs w:val="20"/>
                <w:lang w:eastAsia="sk-SK"/>
              </w:rPr>
              <w:t>P.č</w:t>
            </w:r>
            <w:proofErr w:type="spellEnd"/>
            <w:r w:rsidRPr="007920B5">
              <w:rPr>
                <w:rFonts w:ascii="Times New Roman" w:eastAsia="Times New Roman" w:hAnsi="Times New Roman" w:cs="Times New Roman"/>
                <w:b/>
                <w:bCs/>
                <w:color w:val="000000"/>
                <w:sz w:val="20"/>
                <w:szCs w:val="20"/>
                <w:lang w:eastAsia="sk-SK"/>
              </w:rPr>
              <w:t>.</w:t>
            </w:r>
          </w:p>
        </w:tc>
        <w:tc>
          <w:tcPr>
            <w:tcW w:w="19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94D3232"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 xml:space="preserve">Zrozumiteľný a stručný opis regulácie </w:t>
            </w:r>
            <w:r w:rsidRPr="007920B5">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7920B5">
              <w:rPr>
                <w:rFonts w:ascii="Times New Roman" w:eastAsia="Times New Roman" w:hAnsi="Times New Roman" w:cs="Times New Roman"/>
                <w:b/>
                <w:bCs/>
                <w:color w:val="000000"/>
                <w:sz w:val="20"/>
                <w:szCs w:val="20"/>
                <w:lang w:eastAsia="sk-SK"/>
              </w:rPr>
              <w:t>su</w:t>
            </w:r>
            <w:proofErr w:type="spellEnd"/>
            <w:r w:rsidRPr="007920B5">
              <w:rPr>
                <w:rFonts w:ascii="Times New Roman" w:eastAsia="Times New Roman" w:hAnsi="Times New Roman" w:cs="Times New Roman"/>
                <w:b/>
                <w:bCs/>
                <w:color w:val="000000"/>
                <w:sz w:val="20"/>
                <w:szCs w:val="20"/>
                <w:lang w:eastAsia="sk-SK"/>
              </w:rPr>
              <w:t xml:space="preserve"> </w:t>
            </w:r>
            <w:proofErr w:type="spellStart"/>
            <w:r w:rsidRPr="007920B5">
              <w:rPr>
                <w:rFonts w:ascii="Times New Roman" w:eastAsia="Times New Roman" w:hAnsi="Times New Roman" w:cs="Times New Roman"/>
                <w:b/>
                <w:bCs/>
                <w:color w:val="000000"/>
                <w:sz w:val="20"/>
                <w:szCs w:val="20"/>
                <w:lang w:eastAsia="sk-SK"/>
              </w:rPr>
              <w:t>goldplatingom</w:t>
            </w:r>
            <w:proofErr w:type="spellEnd"/>
            <w:r w:rsidRPr="007920B5">
              <w:rPr>
                <w:rFonts w:ascii="Times New Roman" w:eastAsia="Times New Roman" w:hAnsi="Times New Roman" w:cs="Times New Roman"/>
                <w:b/>
                <w:bCs/>
                <w:color w:val="000000"/>
                <w:sz w:val="20"/>
                <w:szCs w:val="20"/>
                <w:lang w:eastAsia="sk-SK"/>
              </w:rPr>
              <w:t>)</w:t>
            </w:r>
          </w:p>
        </w:tc>
        <w:tc>
          <w:tcPr>
            <w:tcW w:w="114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18B836E"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Číslo normy</w:t>
            </w:r>
            <w:r w:rsidRPr="007920B5">
              <w:rPr>
                <w:rFonts w:ascii="Times New Roman" w:eastAsia="Times New Roman" w:hAnsi="Times New Roman" w:cs="Times New Roman"/>
                <w:b/>
                <w:bCs/>
                <w:color w:val="000000"/>
                <w:sz w:val="20"/>
                <w:szCs w:val="20"/>
                <w:lang w:eastAsia="sk-SK"/>
              </w:rPr>
              <w:br/>
            </w:r>
            <w:r w:rsidRPr="007920B5">
              <w:rPr>
                <w:rFonts w:ascii="Times New Roman" w:eastAsia="Times New Roman" w:hAnsi="Times New Roman" w:cs="Times New Roman"/>
                <w:color w:val="000000"/>
                <w:sz w:val="20"/>
                <w:szCs w:val="20"/>
                <w:lang w:eastAsia="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03DCF94"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Lokalizácia</w:t>
            </w:r>
            <w:r w:rsidRPr="007920B5">
              <w:rPr>
                <w:rFonts w:ascii="Times New Roman" w:eastAsia="Times New Roman" w:hAnsi="Times New Roman" w:cs="Times New Roman"/>
                <w:b/>
                <w:bCs/>
                <w:color w:val="000000"/>
                <w:sz w:val="20"/>
                <w:szCs w:val="20"/>
                <w:lang w:eastAsia="sk-SK"/>
              </w:rPr>
              <w:br/>
              <w:t>(§, ods., čl.,...)</w:t>
            </w:r>
          </w:p>
        </w:tc>
        <w:tc>
          <w:tcPr>
            <w:tcW w:w="10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E513895"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 xml:space="preserve">Pôvod regulácie: </w:t>
            </w:r>
            <w:r w:rsidRPr="007920B5">
              <w:rPr>
                <w:rFonts w:ascii="Times New Roman" w:eastAsia="Times New Roman" w:hAnsi="Times New Roman" w:cs="Times New Roman"/>
                <w:b/>
                <w:bCs/>
                <w:color w:val="000000"/>
                <w:sz w:val="20"/>
                <w:szCs w:val="20"/>
                <w:lang w:eastAsia="sk-SK"/>
              </w:rPr>
              <w:br/>
            </w:r>
            <w:r w:rsidRPr="007920B5">
              <w:rPr>
                <w:rFonts w:ascii="Times New Roman" w:eastAsia="Times New Roman" w:hAnsi="Times New Roman" w:cs="Times New Roman"/>
                <w:color w:val="000000"/>
                <w:sz w:val="20"/>
                <w:szCs w:val="20"/>
                <w:lang w:eastAsia="sk-SK"/>
              </w:rPr>
              <w:t xml:space="preserve">SK/EÚ úplná </w:t>
            </w:r>
            <w:proofErr w:type="spellStart"/>
            <w:r w:rsidRPr="007920B5">
              <w:rPr>
                <w:rFonts w:ascii="Times New Roman" w:eastAsia="Times New Roman" w:hAnsi="Times New Roman" w:cs="Times New Roman"/>
                <w:color w:val="000000"/>
                <w:sz w:val="20"/>
                <w:szCs w:val="20"/>
                <w:lang w:eastAsia="sk-SK"/>
              </w:rPr>
              <w:t>harm</w:t>
            </w:r>
            <w:proofErr w:type="spellEnd"/>
            <w:r w:rsidRPr="007920B5">
              <w:rPr>
                <w:rFonts w:ascii="Times New Roman" w:eastAsia="Times New Roman" w:hAnsi="Times New Roman" w:cs="Times New Roman"/>
                <w:color w:val="000000"/>
                <w:sz w:val="20"/>
                <w:szCs w:val="20"/>
                <w:lang w:eastAsia="sk-SK"/>
              </w:rPr>
              <w:t>./</w:t>
            </w:r>
            <w:r w:rsidRPr="007920B5">
              <w:rPr>
                <w:rFonts w:ascii="Times New Roman" w:eastAsia="Times New Roman" w:hAnsi="Times New Roman" w:cs="Times New Roman"/>
                <w:color w:val="000000"/>
                <w:sz w:val="20"/>
                <w:szCs w:val="20"/>
                <w:lang w:eastAsia="sk-SK"/>
              </w:rPr>
              <w:br/>
            </w:r>
            <w:proofErr w:type="spellStart"/>
            <w:r w:rsidRPr="007920B5">
              <w:rPr>
                <w:rFonts w:ascii="Times New Roman" w:eastAsia="Times New Roman" w:hAnsi="Times New Roman" w:cs="Times New Roman"/>
                <w:color w:val="000000"/>
                <w:sz w:val="20"/>
                <w:szCs w:val="20"/>
                <w:lang w:eastAsia="sk-SK"/>
              </w:rPr>
              <w:t>goldplating</w:t>
            </w:r>
            <w:proofErr w:type="spellEnd"/>
          </w:p>
        </w:tc>
        <w:tc>
          <w:tcPr>
            <w:tcW w:w="98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CF48CF0"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Účinnosť regulácie</w:t>
            </w:r>
          </w:p>
        </w:tc>
        <w:tc>
          <w:tcPr>
            <w:tcW w:w="141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CFA0BD"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 xml:space="preserve">Kategória </w:t>
            </w:r>
            <w:proofErr w:type="spellStart"/>
            <w:r w:rsidRPr="007920B5">
              <w:rPr>
                <w:rFonts w:ascii="Times New Roman" w:eastAsia="Times New Roman" w:hAnsi="Times New Roman" w:cs="Times New Roman"/>
                <w:b/>
                <w:bCs/>
                <w:color w:val="000000"/>
                <w:sz w:val="20"/>
                <w:szCs w:val="20"/>
                <w:lang w:eastAsia="sk-SK"/>
              </w:rPr>
              <w:t>dotk</w:t>
            </w:r>
            <w:proofErr w:type="spellEnd"/>
            <w:r w:rsidRPr="007920B5">
              <w:rPr>
                <w:rFonts w:ascii="Times New Roman" w:eastAsia="Times New Roman" w:hAnsi="Times New Roman" w:cs="Times New Roman"/>
                <w:b/>
                <w:bCs/>
                <w:color w:val="000000"/>
                <w:sz w:val="20"/>
                <w:szCs w:val="20"/>
                <w:lang w:eastAsia="sk-SK"/>
              </w:rPr>
              <w:t>. subjektov</w:t>
            </w:r>
          </w:p>
        </w:tc>
        <w:tc>
          <w:tcPr>
            <w:tcW w:w="118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4564C6D"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 xml:space="preserve">Počet </w:t>
            </w:r>
            <w:proofErr w:type="spellStart"/>
            <w:r w:rsidRPr="007920B5">
              <w:rPr>
                <w:rFonts w:ascii="Times New Roman" w:eastAsia="Times New Roman" w:hAnsi="Times New Roman" w:cs="Times New Roman"/>
                <w:b/>
                <w:bCs/>
                <w:color w:val="000000"/>
                <w:sz w:val="20"/>
                <w:szCs w:val="20"/>
                <w:lang w:eastAsia="sk-SK"/>
              </w:rPr>
              <w:t>dotk</w:t>
            </w:r>
            <w:proofErr w:type="spellEnd"/>
            <w:r w:rsidRPr="007920B5">
              <w:rPr>
                <w:rFonts w:ascii="Times New Roman" w:eastAsia="Times New Roman" w:hAnsi="Times New Roman" w:cs="Times New Roman"/>
                <w:b/>
                <w:bCs/>
                <w:color w:val="000000"/>
                <w:sz w:val="20"/>
                <w:szCs w:val="20"/>
                <w:lang w:eastAsia="sk-SK"/>
              </w:rPr>
              <w:t xml:space="preserve">. subjektov spolu </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DBEBC4E"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Vplyv na 1 podnik. v €</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4AB37C"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 xml:space="preserve">Vplyv na kategóriu </w:t>
            </w:r>
            <w:proofErr w:type="spellStart"/>
            <w:r w:rsidRPr="007920B5">
              <w:rPr>
                <w:rFonts w:ascii="Times New Roman" w:eastAsia="Times New Roman" w:hAnsi="Times New Roman" w:cs="Times New Roman"/>
                <w:b/>
                <w:bCs/>
                <w:color w:val="000000"/>
                <w:sz w:val="20"/>
                <w:szCs w:val="20"/>
                <w:lang w:eastAsia="sk-SK"/>
              </w:rPr>
              <w:t>dotk</w:t>
            </w:r>
            <w:proofErr w:type="spellEnd"/>
            <w:r w:rsidRPr="007920B5">
              <w:rPr>
                <w:rFonts w:ascii="Times New Roman" w:eastAsia="Times New Roman" w:hAnsi="Times New Roman" w:cs="Times New Roman"/>
                <w:b/>
                <w:bCs/>
                <w:color w:val="000000"/>
                <w:sz w:val="20"/>
                <w:szCs w:val="20"/>
                <w:lang w:eastAsia="sk-SK"/>
              </w:rPr>
              <w:t>. subjektov v €</w:t>
            </w:r>
          </w:p>
        </w:tc>
        <w:tc>
          <w:tcPr>
            <w:tcW w:w="84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1D469E7"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Druh vplyvu</w:t>
            </w:r>
            <w:r w:rsidRPr="007920B5">
              <w:rPr>
                <w:rFonts w:ascii="Times New Roman" w:eastAsia="Times New Roman" w:hAnsi="Times New Roman" w:cs="Times New Roman"/>
                <w:b/>
                <w:bCs/>
                <w:color w:val="000000"/>
                <w:sz w:val="20"/>
                <w:szCs w:val="20"/>
                <w:lang w:eastAsia="sk-SK"/>
              </w:rPr>
              <w:br/>
            </w:r>
            <w:r w:rsidRPr="007920B5">
              <w:rPr>
                <w:rFonts w:ascii="Times New Roman" w:eastAsia="Times New Roman" w:hAnsi="Times New Roman" w:cs="Times New Roman"/>
                <w:color w:val="000000"/>
                <w:sz w:val="20"/>
                <w:szCs w:val="20"/>
                <w:lang w:eastAsia="sk-SK"/>
              </w:rPr>
              <w:t xml:space="preserve">In (zvyšuje náklady) / </w:t>
            </w:r>
            <w:r w:rsidRPr="007920B5">
              <w:rPr>
                <w:rFonts w:ascii="Times New Roman" w:eastAsia="Times New Roman" w:hAnsi="Times New Roman" w:cs="Times New Roman"/>
                <w:color w:val="000000"/>
                <w:sz w:val="20"/>
                <w:szCs w:val="20"/>
                <w:lang w:eastAsia="sk-SK"/>
              </w:rPr>
              <w:br/>
            </w: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 / Nemení sa</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F6BD4"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r w:rsidRPr="007920B5">
              <w:rPr>
                <w:rFonts w:ascii="Times New Roman" w:eastAsia="Times New Roman" w:hAnsi="Times New Roman" w:cs="Times New Roman"/>
                <w:b/>
                <w:bCs/>
                <w:color w:val="000000"/>
                <w:sz w:val="20"/>
                <w:szCs w:val="20"/>
                <w:lang w:eastAsia="sk-SK"/>
              </w:rPr>
              <w:t xml:space="preserve">1in2out </w:t>
            </w:r>
            <w:r w:rsidRPr="007920B5">
              <w:rPr>
                <w:rFonts w:ascii="Times New Roman" w:eastAsia="Times New Roman" w:hAnsi="Times New Roman" w:cs="Times New Roman"/>
                <w:b/>
                <w:bCs/>
                <w:color w:val="000000"/>
                <w:sz w:val="20"/>
                <w:szCs w:val="20"/>
                <w:lang w:eastAsia="sk-SK"/>
              </w:rPr>
              <w:br/>
              <w:t>celkom</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8849A" w14:textId="77777777" w:rsidR="007920B5" w:rsidRPr="007920B5" w:rsidRDefault="007920B5" w:rsidP="007920B5">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920B5">
              <w:rPr>
                <w:rFonts w:ascii="Times New Roman" w:eastAsia="Times New Roman" w:hAnsi="Times New Roman" w:cs="Times New Roman"/>
                <w:b/>
                <w:bCs/>
                <w:color w:val="000000"/>
                <w:sz w:val="20"/>
                <w:szCs w:val="20"/>
                <w:lang w:eastAsia="sk-SK"/>
              </w:rPr>
              <w:t>Goldplating</w:t>
            </w:r>
            <w:proofErr w:type="spellEnd"/>
            <w:r w:rsidRPr="007920B5">
              <w:rPr>
                <w:rFonts w:ascii="Times New Roman" w:eastAsia="Times New Roman" w:hAnsi="Times New Roman" w:cs="Times New Roman"/>
                <w:b/>
                <w:bCs/>
                <w:color w:val="000000"/>
                <w:sz w:val="20"/>
                <w:szCs w:val="20"/>
                <w:lang w:eastAsia="sk-SK"/>
              </w:rPr>
              <w:t xml:space="preserve"> celkom</w:t>
            </w:r>
          </w:p>
        </w:tc>
      </w:tr>
      <w:tr w:rsidR="00F84970" w:rsidRPr="007920B5" w14:paraId="036C32FC" w14:textId="77777777" w:rsidTr="00F84970">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6F02BF4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5770F78F"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23D6110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6657F87B"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57E476B3"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2AAA011"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6CBB3B9"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1FBA8A50"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258EB30"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8437F42"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075D342"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13363B02"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2827FC3"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r>
      <w:tr w:rsidR="00F84970" w:rsidRPr="007920B5" w14:paraId="7FEF289D" w14:textId="77777777" w:rsidTr="00F84970">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68ECAA89"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5A57446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60E8F0B3"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6366DA78"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BD80675"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297CA0AE"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D2CF586"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30D3E601"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C2B836A"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C5D4530"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1340772"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40E856B"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5C212E04"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r>
      <w:tr w:rsidR="00F84970" w:rsidRPr="007920B5" w14:paraId="20BA5915" w14:textId="77777777" w:rsidTr="00F84970">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14F61516"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3F939ED2"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1D40B01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55B1097F"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03C6397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6698168C"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3A5E42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3E2EB091"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20388305"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3071036"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3105C6B4"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5A4AE1F"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59B8C715"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r>
      <w:tr w:rsidR="00F84970" w:rsidRPr="007920B5" w14:paraId="38F5791C" w14:textId="77777777" w:rsidTr="00F84970">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27F8360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783E45C5"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0807877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23E56FB3"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33FADCBA"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9F295FA"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A705976"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3324BBD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2346F4E2"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42D4A68"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88C5C7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BC4DFAF"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1AC5FFD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r>
      <w:tr w:rsidR="00F84970" w:rsidRPr="007920B5" w14:paraId="11893235" w14:textId="77777777" w:rsidTr="00F84970">
        <w:trPr>
          <w:trHeight w:val="450"/>
        </w:trPr>
        <w:tc>
          <w:tcPr>
            <w:tcW w:w="451" w:type="dxa"/>
            <w:vMerge/>
            <w:tcBorders>
              <w:top w:val="single" w:sz="4" w:space="0" w:color="auto"/>
              <w:left w:val="single" w:sz="4" w:space="0" w:color="auto"/>
              <w:bottom w:val="single" w:sz="4" w:space="0" w:color="auto"/>
              <w:right w:val="single" w:sz="4" w:space="0" w:color="auto"/>
            </w:tcBorders>
            <w:vAlign w:val="center"/>
            <w:hideMark/>
          </w:tcPr>
          <w:p w14:paraId="3C33E703"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2E322EA4"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14:paraId="5634072B"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2503E24D"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10D6A1C"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1AAC6840"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3281BF1"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14:paraId="14C4CB5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CB9737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18F722C"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71BE8F1"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4C408B1"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F8E4F67" w14:textId="77777777" w:rsidR="007920B5" w:rsidRPr="007920B5" w:rsidRDefault="007920B5" w:rsidP="007920B5">
            <w:pPr>
              <w:spacing w:after="0" w:line="240" w:lineRule="auto"/>
              <w:rPr>
                <w:rFonts w:ascii="Times New Roman" w:eastAsia="Times New Roman" w:hAnsi="Times New Roman" w:cs="Times New Roman"/>
                <w:b/>
                <w:bCs/>
                <w:color w:val="000000"/>
                <w:sz w:val="20"/>
                <w:szCs w:val="20"/>
                <w:lang w:eastAsia="sk-SK"/>
              </w:rPr>
            </w:pPr>
          </w:p>
        </w:tc>
      </w:tr>
      <w:tr w:rsidR="00F84970" w:rsidRPr="007920B5" w14:paraId="62B4451C" w14:textId="77777777" w:rsidTr="00F84970">
        <w:trPr>
          <w:trHeight w:val="1059"/>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757E49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w:t>
            </w:r>
          </w:p>
        </w:tc>
        <w:tc>
          <w:tcPr>
            <w:tcW w:w="1940" w:type="dxa"/>
            <w:tcBorders>
              <w:top w:val="nil"/>
              <w:left w:val="nil"/>
              <w:bottom w:val="single" w:sz="4" w:space="0" w:color="auto"/>
              <w:right w:val="single" w:sz="4" w:space="0" w:color="auto"/>
            </w:tcBorders>
            <w:shd w:val="clear" w:color="auto" w:fill="auto"/>
            <w:vAlign w:val="center"/>
            <w:hideMark/>
          </w:tcPr>
          <w:p w14:paraId="61EA07D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Ak súd zastaví konkurzné konanie z dôvodov nesúvisiacich s majetkovou situáciou dlžníka, zamestnávateľ bude povinný vrátiť len samotnú dávku </w:t>
            </w:r>
            <w:r w:rsidRPr="007920B5">
              <w:rPr>
                <w:rFonts w:ascii="Times New Roman" w:eastAsia="Times New Roman" w:hAnsi="Times New Roman" w:cs="Times New Roman"/>
                <w:color w:val="000000"/>
                <w:sz w:val="20"/>
                <w:szCs w:val="20"/>
                <w:lang w:eastAsia="sk-SK"/>
              </w:rPr>
              <w:lastRenderedPageBreak/>
              <w:t xml:space="preserve">garančného poistenia, bez úroku. </w:t>
            </w:r>
          </w:p>
        </w:tc>
        <w:tc>
          <w:tcPr>
            <w:tcW w:w="1142" w:type="dxa"/>
            <w:tcBorders>
              <w:top w:val="nil"/>
              <w:left w:val="nil"/>
              <w:bottom w:val="single" w:sz="4" w:space="0" w:color="auto"/>
              <w:right w:val="single" w:sz="4" w:space="0" w:color="auto"/>
            </w:tcBorders>
            <w:shd w:val="clear" w:color="auto" w:fill="auto"/>
            <w:vAlign w:val="center"/>
            <w:hideMark/>
          </w:tcPr>
          <w:p w14:paraId="6A3BB4C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0F92D87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234 ods. 4</w:t>
            </w:r>
          </w:p>
        </w:tc>
        <w:tc>
          <w:tcPr>
            <w:tcW w:w="1052" w:type="dxa"/>
            <w:tcBorders>
              <w:top w:val="nil"/>
              <w:left w:val="nil"/>
              <w:bottom w:val="single" w:sz="4" w:space="0" w:color="auto"/>
              <w:right w:val="single" w:sz="4" w:space="0" w:color="auto"/>
            </w:tcBorders>
            <w:shd w:val="clear" w:color="auto" w:fill="auto"/>
            <w:vAlign w:val="center"/>
            <w:hideMark/>
          </w:tcPr>
          <w:p w14:paraId="0F86FA1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4835FCC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5A30559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0B51154C"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 </w:t>
            </w:r>
          </w:p>
        </w:tc>
        <w:tc>
          <w:tcPr>
            <w:tcW w:w="791" w:type="dxa"/>
            <w:tcBorders>
              <w:top w:val="nil"/>
              <w:left w:val="nil"/>
              <w:bottom w:val="single" w:sz="4" w:space="0" w:color="auto"/>
              <w:right w:val="single" w:sz="4" w:space="0" w:color="auto"/>
            </w:tcBorders>
            <w:shd w:val="clear" w:color="000000" w:fill="FFFFFF"/>
            <w:vAlign w:val="center"/>
            <w:hideMark/>
          </w:tcPr>
          <w:p w14:paraId="40AAACF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750</w:t>
            </w:r>
          </w:p>
        </w:tc>
        <w:tc>
          <w:tcPr>
            <w:tcW w:w="1109" w:type="dxa"/>
            <w:tcBorders>
              <w:top w:val="nil"/>
              <w:left w:val="nil"/>
              <w:bottom w:val="single" w:sz="4" w:space="0" w:color="auto"/>
              <w:right w:val="single" w:sz="4" w:space="0" w:color="auto"/>
            </w:tcBorders>
            <w:shd w:val="clear" w:color="auto" w:fill="auto"/>
            <w:vAlign w:val="center"/>
            <w:hideMark/>
          </w:tcPr>
          <w:p w14:paraId="6EBB88C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1 500</w:t>
            </w:r>
          </w:p>
        </w:tc>
        <w:tc>
          <w:tcPr>
            <w:tcW w:w="848" w:type="dxa"/>
            <w:tcBorders>
              <w:top w:val="nil"/>
              <w:left w:val="nil"/>
              <w:bottom w:val="single" w:sz="4" w:space="0" w:color="auto"/>
              <w:right w:val="single" w:sz="4" w:space="0" w:color="auto"/>
            </w:tcBorders>
            <w:shd w:val="clear" w:color="auto" w:fill="auto"/>
            <w:vAlign w:val="center"/>
            <w:hideMark/>
          </w:tcPr>
          <w:p w14:paraId="2B7C1C5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5357A618"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1 500</w:t>
            </w:r>
          </w:p>
        </w:tc>
        <w:tc>
          <w:tcPr>
            <w:tcW w:w="1163" w:type="dxa"/>
            <w:tcBorders>
              <w:top w:val="nil"/>
              <w:left w:val="nil"/>
              <w:bottom w:val="single" w:sz="4" w:space="0" w:color="auto"/>
              <w:right w:val="single" w:sz="4" w:space="0" w:color="auto"/>
            </w:tcBorders>
            <w:shd w:val="clear" w:color="auto" w:fill="auto"/>
            <w:vAlign w:val="center"/>
            <w:hideMark/>
          </w:tcPr>
          <w:p w14:paraId="648BCFE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2EEDD5F1" w14:textId="77777777" w:rsidTr="00F84970">
        <w:trPr>
          <w:trHeight w:val="792"/>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8CC1BB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w:t>
            </w:r>
          </w:p>
        </w:tc>
        <w:tc>
          <w:tcPr>
            <w:tcW w:w="1940" w:type="dxa"/>
            <w:tcBorders>
              <w:top w:val="nil"/>
              <w:left w:val="nil"/>
              <w:bottom w:val="single" w:sz="4" w:space="0" w:color="auto"/>
              <w:right w:val="single" w:sz="4" w:space="0" w:color="auto"/>
            </w:tcBorders>
            <w:shd w:val="clear" w:color="auto" w:fill="auto"/>
            <w:vAlign w:val="center"/>
            <w:hideMark/>
          </w:tcPr>
          <w:p w14:paraId="0950EFF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Oznámenie čísla účtu Sociálnej poisťovni zamestnávateľmi za zamestnancov (§293 </w:t>
            </w:r>
            <w:proofErr w:type="spellStart"/>
            <w:r w:rsidRPr="007920B5">
              <w:rPr>
                <w:rFonts w:ascii="Times New Roman" w:eastAsia="Times New Roman" w:hAnsi="Times New Roman" w:cs="Times New Roman"/>
                <w:color w:val="000000"/>
                <w:sz w:val="20"/>
                <w:szCs w:val="20"/>
                <w:lang w:eastAsia="sk-SK"/>
              </w:rPr>
              <w:t>gka</w:t>
            </w:r>
            <w:proofErr w:type="spellEnd"/>
            <w:r w:rsidRPr="007920B5">
              <w:rPr>
                <w:rFonts w:ascii="Times New Roman" w:eastAsia="Times New Roman" w:hAnsi="Times New Roman" w:cs="Times New Roman"/>
                <w:color w:val="000000"/>
                <w:sz w:val="20"/>
                <w:szCs w:val="20"/>
                <w:lang w:eastAsia="sk-SK"/>
              </w:rPr>
              <w:t xml:space="preserve"> – prechodné ustanovenie – jednorazová akcia).</w:t>
            </w:r>
          </w:p>
        </w:tc>
        <w:tc>
          <w:tcPr>
            <w:tcW w:w="1142" w:type="dxa"/>
            <w:tcBorders>
              <w:top w:val="nil"/>
              <w:left w:val="nil"/>
              <w:bottom w:val="single" w:sz="4" w:space="0" w:color="auto"/>
              <w:right w:val="single" w:sz="4" w:space="0" w:color="auto"/>
            </w:tcBorders>
            <w:shd w:val="clear" w:color="auto" w:fill="auto"/>
            <w:vAlign w:val="center"/>
            <w:hideMark/>
          </w:tcPr>
          <w:p w14:paraId="0112831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3E3BD13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§293 </w:t>
            </w:r>
            <w:proofErr w:type="spellStart"/>
            <w:r w:rsidRPr="007920B5">
              <w:rPr>
                <w:rFonts w:ascii="Times New Roman" w:eastAsia="Times New Roman" w:hAnsi="Times New Roman" w:cs="Times New Roman"/>
                <w:color w:val="000000"/>
                <w:sz w:val="20"/>
                <w:szCs w:val="20"/>
                <w:lang w:eastAsia="sk-SK"/>
              </w:rPr>
              <w:t>gka</w:t>
            </w:r>
            <w:proofErr w:type="spellEnd"/>
            <w:r w:rsidRPr="007920B5">
              <w:rPr>
                <w:rFonts w:ascii="Times New Roman" w:eastAsia="Times New Roman" w:hAnsi="Times New Roman" w:cs="Times New Roman"/>
                <w:color w:val="000000"/>
                <w:sz w:val="20"/>
                <w:szCs w:val="20"/>
                <w:lang w:eastAsia="sk-SK"/>
              </w:rPr>
              <w:t>)</w:t>
            </w:r>
          </w:p>
        </w:tc>
        <w:tc>
          <w:tcPr>
            <w:tcW w:w="1052" w:type="dxa"/>
            <w:tcBorders>
              <w:top w:val="nil"/>
              <w:left w:val="nil"/>
              <w:bottom w:val="single" w:sz="4" w:space="0" w:color="auto"/>
              <w:right w:val="single" w:sz="4" w:space="0" w:color="auto"/>
            </w:tcBorders>
            <w:shd w:val="clear" w:color="auto" w:fill="auto"/>
            <w:vAlign w:val="center"/>
            <w:hideMark/>
          </w:tcPr>
          <w:p w14:paraId="17D5E5E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03E09ED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01.11.25</w:t>
            </w:r>
          </w:p>
        </w:tc>
        <w:tc>
          <w:tcPr>
            <w:tcW w:w="1415" w:type="dxa"/>
            <w:tcBorders>
              <w:top w:val="nil"/>
              <w:left w:val="nil"/>
              <w:bottom w:val="single" w:sz="4" w:space="0" w:color="auto"/>
              <w:right w:val="single" w:sz="4" w:space="0" w:color="auto"/>
            </w:tcBorders>
            <w:shd w:val="clear" w:color="auto" w:fill="auto"/>
            <w:vAlign w:val="center"/>
            <w:hideMark/>
          </w:tcPr>
          <w:p w14:paraId="5B3A572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682D493A"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1 800 000 </w:t>
            </w:r>
          </w:p>
        </w:tc>
        <w:tc>
          <w:tcPr>
            <w:tcW w:w="791" w:type="dxa"/>
            <w:tcBorders>
              <w:top w:val="nil"/>
              <w:left w:val="nil"/>
              <w:bottom w:val="single" w:sz="4" w:space="0" w:color="auto"/>
              <w:right w:val="single" w:sz="4" w:space="0" w:color="auto"/>
            </w:tcBorders>
            <w:shd w:val="clear" w:color="auto" w:fill="auto"/>
            <w:vAlign w:val="center"/>
            <w:hideMark/>
          </w:tcPr>
          <w:p w14:paraId="2C5F37C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w:t>
            </w:r>
          </w:p>
        </w:tc>
        <w:tc>
          <w:tcPr>
            <w:tcW w:w="1109" w:type="dxa"/>
            <w:tcBorders>
              <w:top w:val="nil"/>
              <w:left w:val="nil"/>
              <w:bottom w:val="single" w:sz="4" w:space="0" w:color="auto"/>
              <w:right w:val="single" w:sz="4" w:space="0" w:color="auto"/>
            </w:tcBorders>
            <w:shd w:val="clear" w:color="auto" w:fill="auto"/>
            <w:vAlign w:val="center"/>
            <w:hideMark/>
          </w:tcPr>
          <w:p w14:paraId="5BEB6A8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1 825 922</w:t>
            </w:r>
          </w:p>
        </w:tc>
        <w:tc>
          <w:tcPr>
            <w:tcW w:w="848" w:type="dxa"/>
            <w:tcBorders>
              <w:top w:val="nil"/>
              <w:left w:val="nil"/>
              <w:bottom w:val="single" w:sz="4" w:space="0" w:color="auto"/>
              <w:right w:val="single" w:sz="4" w:space="0" w:color="auto"/>
            </w:tcBorders>
            <w:shd w:val="clear" w:color="auto" w:fill="auto"/>
            <w:vAlign w:val="center"/>
            <w:hideMark/>
          </w:tcPr>
          <w:p w14:paraId="71621DA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5C183F05"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1 825 922</w:t>
            </w:r>
          </w:p>
        </w:tc>
        <w:tc>
          <w:tcPr>
            <w:tcW w:w="1163" w:type="dxa"/>
            <w:tcBorders>
              <w:top w:val="nil"/>
              <w:left w:val="nil"/>
              <w:bottom w:val="single" w:sz="4" w:space="0" w:color="auto"/>
              <w:right w:val="single" w:sz="4" w:space="0" w:color="auto"/>
            </w:tcBorders>
            <w:shd w:val="clear" w:color="auto" w:fill="auto"/>
            <w:vAlign w:val="center"/>
            <w:hideMark/>
          </w:tcPr>
          <w:p w14:paraId="29369B3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78FA107F" w14:textId="77777777" w:rsidTr="00F84970">
        <w:trPr>
          <w:trHeight w:val="792"/>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7535382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940" w:type="dxa"/>
            <w:tcBorders>
              <w:top w:val="nil"/>
              <w:left w:val="nil"/>
              <w:bottom w:val="single" w:sz="4" w:space="0" w:color="auto"/>
              <w:right w:val="single" w:sz="4" w:space="0" w:color="auto"/>
            </w:tcBorders>
            <w:shd w:val="clear" w:color="auto" w:fill="auto"/>
            <w:vAlign w:val="center"/>
            <w:hideMark/>
          </w:tcPr>
          <w:p w14:paraId="15B8BD9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Oznámenie čísla účtu Sociálnej poisťovni zamestnávateľmi za novoprijatých zamestnancov (§ 231 ods. 1 písm. c)  – priebežne).</w:t>
            </w:r>
          </w:p>
        </w:tc>
        <w:tc>
          <w:tcPr>
            <w:tcW w:w="1142" w:type="dxa"/>
            <w:tcBorders>
              <w:top w:val="nil"/>
              <w:left w:val="nil"/>
              <w:bottom w:val="single" w:sz="4" w:space="0" w:color="auto"/>
              <w:right w:val="single" w:sz="4" w:space="0" w:color="auto"/>
            </w:tcBorders>
            <w:shd w:val="clear" w:color="auto" w:fill="auto"/>
            <w:vAlign w:val="center"/>
            <w:hideMark/>
          </w:tcPr>
          <w:p w14:paraId="6B4EEA6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4D835E5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231 ods. 1 </w:t>
            </w:r>
            <w:proofErr w:type="spellStart"/>
            <w:r w:rsidRPr="007920B5">
              <w:rPr>
                <w:rFonts w:ascii="Times New Roman" w:eastAsia="Times New Roman" w:hAnsi="Times New Roman" w:cs="Times New Roman"/>
                <w:color w:val="000000"/>
                <w:sz w:val="20"/>
                <w:szCs w:val="20"/>
                <w:lang w:eastAsia="sk-SK"/>
              </w:rPr>
              <w:t>pism</w:t>
            </w:r>
            <w:proofErr w:type="spellEnd"/>
            <w:r w:rsidRPr="007920B5">
              <w:rPr>
                <w:rFonts w:ascii="Times New Roman" w:eastAsia="Times New Roman" w:hAnsi="Times New Roman" w:cs="Times New Roman"/>
                <w:color w:val="000000"/>
                <w:sz w:val="20"/>
                <w:szCs w:val="20"/>
                <w:lang w:eastAsia="sk-SK"/>
              </w:rPr>
              <w:t xml:space="preserve">. c) </w:t>
            </w:r>
          </w:p>
        </w:tc>
        <w:tc>
          <w:tcPr>
            <w:tcW w:w="1052" w:type="dxa"/>
            <w:tcBorders>
              <w:top w:val="nil"/>
              <w:left w:val="nil"/>
              <w:bottom w:val="single" w:sz="4" w:space="0" w:color="auto"/>
              <w:right w:val="single" w:sz="4" w:space="0" w:color="auto"/>
            </w:tcBorders>
            <w:shd w:val="clear" w:color="auto" w:fill="auto"/>
            <w:vAlign w:val="center"/>
            <w:hideMark/>
          </w:tcPr>
          <w:p w14:paraId="43C7F3D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68E1978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317FFB6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15DB7515"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270 000 </w:t>
            </w:r>
          </w:p>
        </w:tc>
        <w:tc>
          <w:tcPr>
            <w:tcW w:w="791" w:type="dxa"/>
            <w:tcBorders>
              <w:top w:val="nil"/>
              <w:left w:val="nil"/>
              <w:bottom w:val="single" w:sz="4" w:space="0" w:color="auto"/>
              <w:right w:val="single" w:sz="4" w:space="0" w:color="auto"/>
            </w:tcBorders>
            <w:shd w:val="clear" w:color="auto" w:fill="auto"/>
            <w:vAlign w:val="center"/>
            <w:hideMark/>
          </w:tcPr>
          <w:p w14:paraId="1F276CF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w:t>
            </w:r>
          </w:p>
        </w:tc>
        <w:tc>
          <w:tcPr>
            <w:tcW w:w="1109" w:type="dxa"/>
            <w:tcBorders>
              <w:top w:val="nil"/>
              <w:left w:val="nil"/>
              <w:bottom w:val="single" w:sz="4" w:space="0" w:color="auto"/>
              <w:right w:val="single" w:sz="4" w:space="0" w:color="auto"/>
            </w:tcBorders>
            <w:shd w:val="clear" w:color="auto" w:fill="auto"/>
            <w:vAlign w:val="center"/>
            <w:hideMark/>
          </w:tcPr>
          <w:p w14:paraId="468CEEE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273 888</w:t>
            </w:r>
          </w:p>
        </w:tc>
        <w:tc>
          <w:tcPr>
            <w:tcW w:w="848" w:type="dxa"/>
            <w:tcBorders>
              <w:top w:val="nil"/>
              <w:left w:val="nil"/>
              <w:bottom w:val="single" w:sz="4" w:space="0" w:color="auto"/>
              <w:right w:val="single" w:sz="4" w:space="0" w:color="auto"/>
            </w:tcBorders>
            <w:shd w:val="clear" w:color="auto" w:fill="auto"/>
            <w:vAlign w:val="center"/>
            <w:hideMark/>
          </w:tcPr>
          <w:p w14:paraId="27B5778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77B70939"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273 888</w:t>
            </w:r>
          </w:p>
        </w:tc>
        <w:tc>
          <w:tcPr>
            <w:tcW w:w="1163" w:type="dxa"/>
            <w:tcBorders>
              <w:top w:val="nil"/>
              <w:left w:val="nil"/>
              <w:bottom w:val="single" w:sz="4" w:space="0" w:color="auto"/>
              <w:right w:val="single" w:sz="4" w:space="0" w:color="auto"/>
            </w:tcBorders>
            <w:shd w:val="clear" w:color="auto" w:fill="auto"/>
            <w:vAlign w:val="center"/>
            <w:hideMark/>
          </w:tcPr>
          <w:p w14:paraId="43E9BCB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08A4B609" w14:textId="77777777" w:rsidTr="00F84970">
        <w:trPr>
          <w:trHeight w:val="99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C57CBA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w:t>
            </w:r>
          </w:p>
        </w:tc>
        <w:tc>
          <w:tcPr>
            <w:tcW w:w="1940" w:type="dxa"/>
            <w:tcBorders>
              <w:top w:val="nil"/>
              <w:left w:val="nil"/>
              <w:bottom w:val="single" w:sz="4" w:space="0" w:color="auto"/>
              <w:right w:val="single" w:sz="4" w:space="0" w:color="auto"/>
            </w:tcBorders>
            <w:shd w:val="clear" w:color="auto" w:fill="auto"/>
            <w:vAlign w:val="center"/>
            <w:hideMark/>
          </w:tcPr>
          <w:p w14:paraId="3F2D894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Zamestnávateľ už nebude povinný oznamovať Sociálnej poisťovni spôsob výplaty mzdy pri každom vzniku práceneschopnosti.</w:t>
            </w:r>
          </w:p>
        </w:tc>
        <w:tc>
          <w:tcPr>
            <w:tcW w:w="1142" w:type="dxa"/>
            <w:tcBorders>
              <w:top w:val="nil"/>
              <w:left w:val="nil"/>
              <w:bottom w:val="single" w:sz="4" w:space="0" w:color="auto"/>
              <w:right w:val="single" w:sz="4" w:space="0" w:color="auto"/>
            </w:tcBorders>
            <w:shd w:val="clear" w:color="auto" w:fill="auto"/>
            <w:vAlign w:val="center"/>
            <w:hideMark/>
          </w:tcPr>
          <w:p w14:paraId="50F87C6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67C94ED0" w14:textId="6806AADD"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231 ods. 1 písm. q); § 231 ods. 1 písm. c) </w:t>
            </w:r>
          </w:p>
        </w:tc>
        <w:tc>
          <w:tcPr>
            <w:tcW w:w="1052" w:type="dxa"/>
            <w:tcBorders>
              <w:top w:val="nil"/>
              <w:left w:val="nil"/>
              <w:bottom w:val="single" w:sz="4" w:space="0" w:color="auto"/>
              <w:right w:val="single" w:sz="4" w:space="0" w:color="auto"/>
            </w:tcBorders>
            <w:shd w:val="clear" w:color="auto" w:fill="auto"/>
            <w:vAlign w:val="center"/>
            <w:hideMark/>
          </w:tcPr>
          <w:p w14:paraId="30E161C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5170A51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697A847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1C381DD9"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596 000 </w:t>
            </w:r>
          </w:p>
        </w:tc>
        <w:tc>
          <w:tcPr>
            <w:tcW w:w="791" w:type="dxa"/>
            <w:tcBorders>
              <w:top w:val="nil"/>
              <w:left w:val="nil"/>
              <w:bottom w:val="single" w:sz="4" w:space="0" w:color="auto"/>
              <w:right w:val="single" w:sz="4" w:space="0" w:color="auto"/>
            </w:tcBorders>
            <w:shd w:val="clear" w:color="auto" w:fill="auto"/>
            <w:vAlign w:val="center"/>
            <w:hideMark/>
          </w:tcPr>
          <w:p w14:paraId="2FDDE12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w:t>
            </w:r>
          </w:p>
        </w:tc>
        <w:tc>
          <w:tcPr>
            <w:tcW w:w="1109" w:type="dxa"/>
            <w:tcBorders>
              <w:top w:val="nil"/>
              <w:left w:val="nil"/>
              <w:bottom w:val="single" w:sz="4" w:space="0" w:color="auto"/>
              <w:right w:val="single" w:sz="4" w:space="0" w:color="auto"/>
            </w:tcBorders>
            <w:shd w:val="clear" w:color="auto" w:fill="auto"/>
            <w:vAlign w:val="center"/>
            <w:hideMark/>
          </w:tcPr>
          <w:p w14:paraId="6E136E6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604 583</w:t>
            </w:r>
          </w:p>
        </w:tc>
        <w:tc>
          <w:tcPr>
            <w:tcW w:w="848" w:type="dxa"/>
            <w:tcBorders>
              <w:top w:val="nil"/>
              <w:left w:val="nil"/>
              <w:bottom w:val="single" w:sz="4" w:space="0" w:color="auto"/>
              <w:right w:val="single" w:sz="4" w:space="0" w:color="auto"/>
            </w:tcBorders>
            <w:shd w:val="clear" w:color="auto" w:fill="auto"/>
            <w:vAlign w:val="center"/>
            <w:hideMark/>
          </w:tcPr>
          <w:p w14:paraId="7A7F726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0655E079"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604 583</w:t>
            </w:r>
          </w:p>
        </w:tc>
        <w:tc>
          <w:tcPr>
            <w:tcW w:w="1163" w:type="dxa"/>
            <w:tcBorders>
              <w:top w:val="nil"/>
              <w:left w:val="nil"/>
              <w:bottom w:val="single" w:sz="4" w:space="0" w:color="auto"/>
              <w:right w:val="single" w:sz="4" w:space="0" w:color="auto"/>
            </w:tcBorders>
            <w:shd w:val="clear" w:color="auto" w:fill="auto"/>
            <w:vAlign w:val="center"/>
            <w:hideMark/>
          </w:tcPr>
          <w:p w14:paraId="279134D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4885363F" w14:textId="77777777" w:rsidTr="00F84970">
        <w:trPr>
          <w:trHeight w:val="105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1E824E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5</w:t>
            </w:r>
          </w:p>
        </w:tc>
        <w:tc>
          <w:tcPr>
            <w:tcW w:w="1940" w:type="dxa"/>
            <w:tcBorders>
              <w:top w:val="nil"/>
              <w:left w:val="nil"/>
              <w:bottom w:val="single" w:sz="4" w:space="0" w:color="auto"/>
              <w:right w:val="single" w:sz="4" w:space="0" w:color="auto"/>
            </w:tcBorders>
            <w:shd w:val="clear" w:color="auto" w:fill="auto"/>
            <w:vAlign w:val="center"/>
            <w:hideMark/>
          </w:tcPr>
          <w:p w14:paraId="31DC7D2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Vypustenie povinnosti zamestnávateľa oznamovať prerušenie poistenia z dôvodu dočasnej pracovnej neschopnosti (aj v prípade ak nie je zaznamenaná v systéme elektronického zdravotníctva).</w:t>
            </w:r>
          </w:p>
        </w:tc>
        <w:tc>
          <w:tcPr>
            <w:tcW w:w="1142" w:type="dxa"/>
            <w:tcBorders>
              <w:top w:val="nil"/>
              <w:left w:val="nil"/>
              <w:bottom w:val="single" w:sz="4" w:space="0" w:color="auto"/>
              <w:right w:val="single" w:sz="4" w:space="0" w:color="auto"/>
            </w:tcBorders>
            <w:shd w:val="clear" w:color="auto" w:fill="auto"/>
            <w:vAlign w:val="center"/>
            <w:hideMark/>
          </w:tcPr>
          <w:p w14:paraId="72B9DC5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5F47D98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231 ods. 1 písm. d)</w:t>
            </w:r>
          </w:p>
        </w:tc>
        <w:tc>
          <w:tcPr>
            <w:tcW w:w="1052" w:type="dxa"/>
            <w:tcBorders>
              <w:top w:val="nil"/>
              <w:left w:val="nil"/>
              <w:bottom w:val="single" w:sz="4" w:space="0" w:color="auto"/>
              <w:right w:val="single" w:sz="4" w:space="0" w:color="auto"/>
            </w:tcBorders>
            <w:shd w:val="clear" w:color="auto" w:fill="auto"/>
            <w:vAlign w:val="center"/>
            <w:hideMark/>
          </w:tcPr>
          <w:p w14:paraId="62706EF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0E5F28D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73AFACA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357E907A"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137 000 </w:t>
            </w:r>
          </w:p>
        </w:tc>
        <w:tc>
          <w:tcPr>
            <w:tcW w:w="791" w:type="dxa"/>
            <w:tcBorders>
              <w:top w:val="nil"/>
              <w:left w:val="nil"/>
              <w:bottom w:val="single" w:sz="4" w:space="0" w:color="auto"/>
              <w:right w:val="single" w:sz="4" w:space="0" w:color="auto"/>
            </w:tcBorders>
            <w:shd w:val="clear" w:color="auto" w:fill="auto"/>
            <w:vAlign w:val="center"/>
            <w:hideMark/>
          </w:tcPr>
          <w:p w14:paraId="5379790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109" w:type="dxa"/>
            <w:tcBorders>
              <w:top w:val="nil"/>
              <w:left w:val="nil"/>
              <w:bottom w:val="single" w:sz="4" w:space="0" w:color="auto"/>
              <w:right w:val="single" w:sz="4" w:space="0" w:color="auto"/>
            </w:tcBorders>
            <w:shd w:val="clear" w:color="auto" w:fill="auto"/>
            <w:vAlign w:val="center"/>
            <w:hideMark/>
          </w:tcPr>
          <w:p w14:paraId="7625D4A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416 919</w:t>
            </w:r>
          </w:p>
        </w:tc>
        <w:tc>
          <w:tcPr>
            <w:tcW w:w="848" w:type="dxa"/>
            <w:tcBorders>
              <w:top w:val="nil"/>
              <w:left w:val="nil"/>
              <w:bottom w:val="single" w:sz="4" w:space="0" w:color="auto"/>
              <w:right w:val="single" w:sz="4" w:space="0" w:color="auto"/>
            </w:tcBorders>
            <w:shd w:val="clear" w:color="auto" w:fill="auto"/>
            <w:vAlign w:val="center"/>
            <w:hideMark/>
          </w:tcPr>
          <w:p w14:paraId="245C820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0BF45122"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416 919</w:t>
            </w:r>
          </w:p>
        </w:tc>
        <w:tc>
          <w:tcPr>
            <w:tcW w:w="1163" w:type="dxa"/>
            <w:tcBorders>
              <w:top w:val="nil"/>
              <w:left w:val="nil"/>
              <w:bottom w:val="single" w:sz="4" w:space="0" w:color="auto"/>
              <w:right w:val="single" w:sz="4" w:space="0" w:color="auto"/>
            </w:tcBorders>
            <w:shd w:val="clear" w:color="auto" w:fill="auto"/>
            <w:vAlign w:val="center"/>
            <w:hideMark/>
          </w:tcPr>
          <w:p w14:paraId="36D946F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13DF987F" w14:textId="77777777" w:rsidTr="00F84970">
        <w:trPr>
          <w:trHeight w:val="105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97EDCA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6</w:t>
            </w:r>
          </w:p>
        </w:tc>
        <w:tc>
          <w:tcPr>
            <w:tcW w:w="1940" w:type="dxa"/>
            <w:tcBorders>
              <w:top w:val="nil"/>
              <w:left w:val="nil"/>
              <w:bottom w:val="single" w:sz="4" w:space="0" w:color="auto"/>
              <w:right w:val="single" w:sz="4" w:space="0" w:color="auto"/>
            </w:tcBorders>
            <w:shd w:val="clear" w:color="auto" w:fill="auto"/>
            <w:vAlign w:val="center"/>
            <w:hideMark/>
          </w:tcPr>
          <w:p w14:paraId="52E42E1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Vypustenie povinnosti SZČO oznamovať prerušenie poistenia z dôvodu dočasnej pracovnej neschopnosti (aj v prípade ak nie je zaznamenaná v systéme elektronického zdravotníctva).</w:t>
            </w:r>
          </w:p>
        </w:tc>
        <w:tc>
          <w:tcPr>
            <w:tcW w:w="1142" w:type="dxa"/>
            <w:tcBorders>
              <w:top w:val="nil"/>
              <w:left w:val="nil"/>
              <w:bottom w:val="single" w:sz="4" w:space="0" w:color="auto"/>
              <w:right w:val="single" w:sz="4" w:space="0" w:color="auto"/>
            </w:tcBorders>
            <w:shd w:val="clear" w:color="auto" w:fill="auto"/>
            <w:vAlign w:val="center"/>
            <w:hideMark/>
          </w:tcPr>
          <w:p w14:paraId="16C8008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11C8A69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228 ods. 2</w:t>
            </w:r>
          </w:p>
        </w:tc>
        <w:tc>
          <w:tcPr>
            <w:tcW w:w="1052" w:type="dxa"/>
            <w:tcBorders>
              <w:top w:val="nil"/>
              <w:left w:val="nil"/>
              <w:bottom w:val="single" w:sz="4" w:space="0" w:color="auto"/>
              <w:right w:val="single" w:sz="4" w:space="0" w:color="auto"/>
            </w:tcBorders>
            <w:shd w:val="clear" w:color="auto" w:fill="auto"/>
            <w:vAlign w:val="center"/>
            <w:hideMark/>
          </w:tcPr>
          <w:p w14:paraId="59ABB22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2ADDED4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1EE4098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2D4EEA0C"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26 600 </w:t>
            </w:r>
          </w:p>
        </w:tc>
        <w:tc>
          <w:tcPr>
            <w:tcW w:w="791" w:type="dxa"/>
            <w:tcBorders>
              <w:top w:val="nil"/>
              <w:left w:val="nil"/>
              <w:bottom w:val="single" w:sz="4" w:space="0" w:color="auto"/>
              <w:right w:val="single" w:sz="4" w:space="0" w:color="auto"/>
            </w:tcBorders>
            <w:shd w:val="clear" w:color="auto" w:fill="auto"/>
            <w:vAlign w:val="center"/>
            <w:hideMark/>
          </w:tcPr>
          <w:p w14:paraId="47758BF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109" w:type="dxa"/>
            <w:tcBorders>
              <w:top w:val="nil"/>
              <w:left w:val="nil"/>
              <w:bottom w:val="single" w:sz="4" w:space="0" w:color="auto"/>
              <w:right w:val="single" w:sz="4" w:space="0" w:color="auto"/>
            </w:tcBorders>
            <w:shd w:val="clear" w:color="auto" w:fill="auto"/>
            <w:vAlign w:val="center"/>
            <w:hideMark/>
          </w:tcPr>
          <w:p w14:paraId="0386CEF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80 949</w:t>
            </w:r>
          </w:p>
        </w:tc>
        <w:tc>
          <w:tcPr>
            <w:tcW w:w="848" w:type="dxa"/>
            <w:tcBorders>
              <w:top w:val="nil"/>
              <w:left w:val="nil"/>
              <w:bottom w:val="single" w:sz="4" w:space="0" w:color="auto"/>
              <w:right w:val="single" w:sz="4" w:space="0" w:color="auto"/>
            </w:tcBorders>
            <w:shd w:val="clear" w:color="auto" w:fill="auto"/>
            <w:vAlign w:val="center"/>
            <w:hideMark/>
          </w:tcPr>
          <w:p w14:paraId="65BE532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51884027"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80 949</w:t>
            </w:r>
          </w:p>
        </w:tc>
        <w:tc>
          <w:tcPr>
            <w:tcW w:w="1163" w:type="dxa"/>
            <w:tcBorders>
              <w:top w:val="nil"/>
              <w:left w:val="nil"/>
              <w:bottom w:val="single" w:sz="4" w:space="0" w:color="auto"/>
              <w:right w:val="single" w:sz="4" w:space="0" w:color="auto"/>
            </w:tcBorders>
            <w:shd w:val="clear" w:color="auto" w:fill="auto"/>
            <w:vAlign w:val="center"/>
            <w:hideMark/>
          </w:tcPr>
          <w:p w14:paraId="7311FB3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7B96ED66" w14:textId="77777777" w:rsidTr="00F84970">
        <w:trPr>
          <w:trHeight w:val="792"/>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3E9EB1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7</w:t>
            </w:r>
          </w:p>
        </w:tc>
        <w:tc>
          <w:tcPr>
            <w:tcW w:w="1940" w:type="dxa"/>
            <w:tcBorders>
              <w:top w:val="nil"/>
              <w:left w:val="nil"/>
              <w:bottom w:val="single" w:sz="4" w:space="0" w:color="auto"/>
              <w:right w:val="single" w:sz="4" w:space="0" w:color="auto"/>
            </w:tcBorders>
            <w:shd w:val="clear" w:color="auto" w:fill="auto"/>
            <w:vAlign w:val="center"/>
            <w:hideMark/>
          </w:tcPr>
          <w:p w14:paraId="3FEBEE7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Ustanovuje sa povinnosť zamestnávateľa oznamovať pracovný úraz a chorobu z povolania elektronicky, ktorá nahradí súčasný papierový proces.</w:t>
            </w:r>
          </w:p>
        </w:tc>
        <w:tc>
          <w:tcPr>
            <w:tcW w:w="1142" w:type="dxa"/>
            <w:tcBorders>
              <w:top w:val="nil"/>
              <w:left w:val="nil"/>
              <w:bottom w:val="single" w:sz="4" w:space="0" w:color="auto"/>
              <w:right w:val="single" w:sz="4" w:space="0" w:color="auto"/>
            </w:tcBorders>
            <w:shd w:val="clear" w:color="auto" w:fill="auto"/>
            <w:vAlign w:val="center"/>
            <w:hideMark/>
          </w:tcPr>
          <w:p w14:paraId="5927949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5E7CEE8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231 ods. 1 písm. i)</w:t>
            </w:r>
          </w:p>
        </w:tc>
        <w:tc>
          <w:tcPr>
            <w:tcW w:w="1052" w:type="dxa"/>
            <w:tcBorders>
              <w:top w:val="nil"/>
              <w:left w:val="nil"/>
              <w:bottom w:val="single" w:sz="4" w:space="0" w:color="auto"/>
              <w:right w:val="single" w:sz="4" w:space="0" w:color="auto"/>
            </w:tcBorders>
            <w:shd w:val="clear" w:color="auto" w:fill="auto"/>
            <w:vAlign w:val="center"/>
            <w:hideMark/>
          </w:tcPr>
          <w:p w14:paraId="79D874C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0005FE0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00EED0F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64D39B0D"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9 000 </w:t>
            </w:r>
          </w:p>
        </w:tc>
        <w:tc>
          <w:tcPr>
            <w:tcW w:w="791" w:type="dxa"/>
            <w:tcBorders>
              <w:top w:val="nil"/>
              <w:left w:val="nil"/>
              <w:bottom w:val="single" w:sz="4" w:space="0" w:color="auto"/>
              <w:right w:val="single" w:sz="4" w:space="0" w:color="auto"/>
            </w:tcBorders>
            <w:shd w:val="clear" w:color="auto" w:fill="auto"/>
            <w:vAlign w:val="center"/>
            <w:hideMark/>
          </w:tcPr>
          <w:p w14:paraId="24F02AD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109" w:type="dxa"/>
            <w:tcBorders>
              <w:top w:val="nil"/>
              <w:left w:val="nil"/>
              <w:bottom w:val="single" w:sz="4" w:space="0" w:color="auto"/>
              <w:right w:val="single" w:sz="4" w:space="0" w:color="auto"/>
            </w:tcBorders>
            <w:shd w:val="clear" w:color="auto" w:fill="auto"/>
            <w:vAlign w:val="center"/>
            <w:hideMark/>
          </w:tcPr>
          <w:p w14:paraId="2CA9471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27000</w:t>
            </w:r>
          </w:p>
        </w:tc>
        <w:tc>
          <w:tcPr>
            <w:tcW w:w="848" w:type="dxa"/>
            <w:tcBorders>
              <w:top w:val="nil"/>
              <w:left w:val="nil"/>
              <w:bottom w:val="single" w:sz="4" w:space="0" w:color="auto"/>
              <w:right w:val="single" w:sz="4" w:space="0" w:color="auto"/>
            </w:tcBorders>
            <w:shd w:val="clear" w:color="auto" w:fill="auto"/>
            <w:vAlign w:val="center"/>
            <w:hideMark/>
          </w:tcPr>
          <w:p w14:paraId="7518F8E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5A125F1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27000</w:t>
            </w:r>
          </w:p>
        </w:tc>
        <w:tc>
          <w:tcPr>
            <w:tcW w:w="1163" w:type="dxa"/>
            <w:tcBorders>
              <w:top w:val="nil"/>
              <w:left w:val="nil"/>
              <w:bottom w:val="single" w:sz="4" w:space="0" w:color="auto"/>
              <w:right w:val="single" w:sz="4" w:space="0" w:color="auto"/>
            </w:tcBorders>
            <w:shd w:val="clear" w:color="auto" w:fill="auto"/>
            <w:vAlign w:val="center"/>
            <w:hideMark/>
          </w:tcPr>
          <w:p w14:paraId="0DD6917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59349A88" w14:textId="77777777" w:rsidTr="00F84970">
        <w:trPr>
          <w:trHeight w:val="1152"/>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81E4F3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8</w:t>
            </w:r>
          </w:p>
        </w:tc>
        <w:tc>
          <w:tcPr>
            <w:tcW w:w="1940" w:type="dxa"/>
            <w:tcBorders>
              <w:top w:val="nil"/>
              <w:left w:val="nil"/>
              <w:bottom w:val="single" w:sz="4" w:space="0" w:color="auto"/>
              <w:right w:val="single" w:sz="4" w:space="0" w:color="auto"/>
            </w:tcBorders>
            <w:shd w:val="clear" w:color="auto" w:fill="auto"/>
            <w:vAlign w:val="center"/>
            <w:hideMark/>
          </w:tcPr>
          <w:p w14:paraId="6DD2309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Zavádza sa elektronizácia potvrdenia zamestnávateľa na účely nároku na dávku garančného poistenia, ktorá nahradí papierový proces.</w:t>
            </w:r>
          </w:p>
        </w:tc>
        <w:tc>
          <w:tcPr>
            <w:tcW w:w="1142" w:type="dxa"/>
            <w:tcBorders>
              <w:top w:val="nil"/>
              <w:left w:val="nil"/>
              <w:bottom w:val="single" w:sz="4" w:space="0" w:color="auto"/>
              <w:right w:val="single" w:sz="4" w:space="0" w:color="auto"/>
            </w:tcBorders>
            <w:shd w:val="clear" w:color="auto" w:fill="auto"/>
            <w:vAlign w:val="center"/>
            <w:hideMark/>
          </w:tcPr>
          <w:p w14:paraId="339E3C5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587D8D4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234 ods. 2 až 4</w:t>
            </w:r>
          </w:p>
        </w:tc>
        <w:tc>
          <w:tcPr>
            <w:tcW w:w="1052" w:type="dxa"/>
            <w:tcBorders>
              <w:top w:val="nil"/>
              <w:left w:val="nil"/>
              <w:bottom w:val="single" w:sz="4" w:space="0" w:color="auto"/>
              <w:right w:val="single" w:sz="4" w:space="0" w:color="auto"/>
            </w:tcBorders>
            <w:shd w:val="clear" w:color="auto" w:fill="auto"/>
            <w:vAlign w:val="center"/>
            <w:hideMark/>
          </w:tcPr>
          <w:p w14:paraId="63A1B50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4DABD93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54B9DC5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7947C881"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1 500 </w:t>
            </w:r>
          </w:p>
        </w:tc>
        <w:tc>
          <w:tcPr>
            <w:tcW w:w="791" w:type="dxa"/>
            <w:tcBorders>
              <w:top w:val="nil"/>
              <w:left w:val="nil"/>
              <w:bottom w:val="single" w:sz="4" w:space="0" w:color="auto"/>
              <w:right w:val="single" w:sz="4" w:space="0" w:color="auto"/>
            </w:tcBorders>
            <w:shd w:val="clear" w:color="auto" w:fill="auto"/>
            <w:vAlign w:val="center"/>
            <w:hideMark/>
          </w:tcPr>
          <w:p w14:paraId="51E3EC3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109" w:type="dxa"/>
            <w:tcBorders>
              <w:top w:val="nil"/>
              <w:left w:val="nil"/>
              <w:bottom w:val="single" w:sz="4" w:space="0" w:color="auto"/>
              <w:right w:val="single" w:sz="4" w:space="0" w:color="auto"/>
            </w:tcBorders>
            <w:shd w:val="clear" w:color="auto" w:fill="auto"/>
            <w:vAlign w:val="center"/>
            <w:hideMark/>
          </w:tcPr>
          <w:p w14:paraId="2FE9841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4 500</w:t>
            </w:r>
          </w:p>
        </w:tc>
        <w:tc>
          <w:tcPr>
            <w:tcW w:w="848" w:type="dxa"/>
            <w:tcBorders>
              <w:top w:val="nil"/>
              <w:left w:val="nil"/>
              <w:bottom w:val="single" w:sz="4" w:space="0" w:color="auto"/>
              <w:right w:val="single" w:sz="4" w:space="0" w:color="auto"/>
            </w:tcBorders>
            <w:shd w:val="clear" w:color="auto" w:fill="auto"/>
            <w:vAlign w:val="center"/>
            <w:hideMark/>
          </w:tcPr>
          <w:p w14:paraId="2C7D7A9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64D3CB17"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4 500</w:t>
            </w:r>
          </w:p>
        </w:tc>
        <w:tc>
          <w:tcPr>
            <w:tcW w:w="1163" w:type="dxa"/>
            <w:tcBorders>
              <w:top w:val="nil"/>
              <w:left w:val="nil"/>
              <w:bottom w:val="single" w:sz="4" w:space="0" w:color="auto"/>
              <w:right w:val="single" w:sz="4" w:space="0" w:color="auto"/>
            </w:tcBorders>
            <w:shd w:val="clear" w:color="auto" w:fill="auto"/>
            <w:vAlign w:val="center"/>
            <w:hideMark/>
          </w:tcPr>
          <w:p w14:paraId="2C2316F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1632F0B7" w14:textId="77777777" w:rsidTr="00F84970">
        <w:trPr>
          <w:trHeight w:val="939"/>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21931F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9</w:t>
            </w:r>
          </w:p>
        </w:tc>
        <w:tc>
          <w:tcPr>
            <w:tcW w:w="1940" w:type="dxa"/>
            <w:tcBorders>
              <w:top w:val="nil"/>
              <w:left w:val="nil"/>
              <w:bottom w:val="single" w:sz="4" w:space="0" w:color="auto"/>
              <w:right w:val="single" w:sz="4" w:space="0" w:color="auto"/>
            </w:tcBorders>
            <w:shd w:val="clear" w:color="auto" w:fill="auto"/>
            <w:vAlign w:val="center"/>
            <w:hideMark/>
          </w:tcPr>
          <w:p w14:paraId="2B9EB36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Zamestnávateľ už nebude musieť papierovo spracovávať a uchovávať údaj o potrebe starostlivosti/ošetrenia (Sociálna poisťovňa im umožní </w:t>
            </w:r>
            <w:r w:rsidRPr="007920B5">
              <w:rPr>
                <w:rFonts w:ascii="Times New Roman" w:eastAsia="Times New Roman" w:hAnsi="Times New Roman" w:cs="Times New Roman"/>
                <w:color w:val="000000"/>
                <w:sz w:val="20"/>
                <w:szCs w:val="20"/>
                <w:lang w:eastAsia="sk-SK"/>
              </w:rPr>
              <w:lastRenderedPageBreak/>
              <w:t>elektronický prístup k týmto údajom).</w:t>
            </w:r>
          </w:p>
        </w:tc>
        <w:tc>
          <w:tcPr>
            <w:tcW w:w="1142" w:type="dxa"/>
            <w:tcBorders>
              <w:top w:val="nil"/>
              <w:left w:val="nil"/>
              <w:bottom w:val="single" w:sz="4" w:space="0" w:color="auto"/>
              <w:right w:val="single" w:sz="4" w:space="0" w:color="auto"/>
            </w:tcBorders>
            <w:shd w:val="clear" w:color="auto" w:fill="auto"/>
            <w:vAlign w:val="center"/>
            <w:hideMark/>
          </w:tcPr>
          <w:p w14:paraId="0255A57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2AB9129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 226 ods. 1 písm. o) </w:t>
            </w:r>
          </w:p>
        </w:tc>
        <w:tc>
          <w:tcPr>
            <w:tcW w:w="1052" w:type="dxa"/>
            <w:tcBorders>
              <w:top w:val="nil"/>
              <w:left w:val="nil"/>
              <w:bottom w:val="single" w:sz="4" w:space="0" w:color="auto"/>
              <w:right w:val="single" w:sz="4" w:space="0" w:color="auto"/>
            </w:tcBorders>
            <w:shd w:val="clear" w:color="auto" w:fill="auto"/>
            <w:vAlign w:val="center"/>
            <w:hideMark/>
          </w:tcPr>
          <w:p w14:paraId="190B986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6CE1AA6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2854656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48C3DF3D"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208 000 </w:t>
            </w:r>
          </w:p>
        </w:tc>
        <w:tc>
          <w:tcPr>
            <w:tcW w:w="791" w:type="dxa"/>
            <w:tcBorders>
              <w:top w:val="nil"/>
              <w:left w:val="nil"/>
              <w:bottom w:val="single" w:sz="4" w:space="0" w:color="auto"/>
              <w:right w:val="single" w:sz="4" w:space="0" w:color="auto"/>
            </w:tcBorders>
            <w:shd w:val="clear" w:color="auto" w:fill="auto"/>
            <w:vAlign w:val="center"/>
            <w:hideMark/>
          </w:tcPr>
          <w:p w14:paraId="1D57FC6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109" w:type="dxa"/>
            <w:tcBorders>
              <w:top w:val="nil"/>
              <w:left w:val="nil"/>
              <w:bottom w:val="single" w:sz="4" w:space="0" w:color="auto"/>
              <w:right w:val="single" w:sz="4" w:space="0" w:color="auto"/>
            </w:tcBorders>
            <w:shd w:val="clear" w:color="auto" w:fill="auto"/>
            <w:vAlign w:val="center"/>
            <w:hideMark/>
          </w:tcPr>
          <w:p w14:paraId="537BD68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632 986</w:t>
            </w:r>
          </w:p>
        </w:tc>
        <w:tc>
          <w:tcPr>
            <w:tcW w:w="848" w:type="dxa"/>
            <w:tcBorders>
              <w:top w:val="nil"/>
              <w:left w:val="nil"/>
              <w:bottom w:val="single" w:sz="4" w:space="0" w:color="auto"/>
              <w:right w:val="single" w:sz="4" w:space="0" w:color="auto"/>
            </w:tcBorders>
            <w:shd w:val="clear" w:color="auto" w:fill="auto"/>
            <w:vAlign w:val="center"/>
            <w:hideMark/>
          </w:tcPr>
          <w:p w14:paraId="50E31A8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337E243C"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632 986</w:t>
            </w:r>
          </w:p>
        </w:tc>
        <w:tc>
          <w:tcPr>
            <w:tcW w:w="1163" w:type="dxa"/>
            <w:tcBorders>
              <w:top w:val="nil"/>
              <w:left w:val="nil"/>
              <w:bottom w:val="single" w:sz="4" w:space="0" w:color="auto"/>
              <w:right w:val="single" w:sz="4" w:space="0" w:color="auto"/>
            </w:tcBorders>
            <w:shd w:val="clear" w:color="auto" w:fill="auto"/>
            <w:vAlign w:val="center"/>
            <w:hideMark/>
          </w:tcPr>
          <w:p w14:paraId="0940CE3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1207AA95" w14:textId="77777777" w:rsidTr="00F84970">
        <w:trPr>
          <w:trHeight w:val="78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B4957D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10</w:t>
            </w:r>
          </w:p>
        </w:tc>
        <w:tc>
          <w:tcPr>
            <w:tcW w:w="1940" w:type="dxa"/>
            <w:tcBorders>
              <w:top w:val="nil"/>
              <w:left w:val="nil"/>
              <w:bottom w:val="single" w:sz="4" w:space="0" w:color="auto"/>
              <w:right w:val="single" w:sz="4" w:space="0" w:color="auto"/>
            </w:tcBorders>
            <w:shd w:val="clear" w:color="auto" w:fill="auto"/>
            <w:vAlign w:val="center"/>
            <w:hideMark/>
          </w:tcPr>
          <w:p w14:paraId="07BB0E1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Sociálna poisťovňa je povinná bez zbytočného odkladu informovať DSS o smrti sporiteľa, pričom DSS zaniká povinnosť informovať SP.</w:t>
            </w:r>
          </w:p>
        </w:tc>
        <w:tc>
          <w:tcPr>
            <w:tcW w:w="1142" w:type="dxa"/>
            <w:tcBorders>
              <w:top w:val="nil"/>
              <w:left w:val="nil"/>
              <w:bottom w:val="single" w:sz="4" w:space="0" w:color="auto"/>
              <w:right w:val="single" w:sz="4" w:space="0" w:color="auto"/>
            </w:tcBorders>
            <w:shd w:val="clear" w:color="auto" w:fill="auto"/>
            <w:vAlign w:val="center"/>
            <w:hideMark/>
          </w:tcPr>
          <w:p w14:paraId="2E18A3C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43/2004 z. z.</w:t>
            </w:r>
          </w:p>
        </w:tc>
        <w:tc>
          <w:tcPr>
            <w:tcW w:w="1129" w:type="dxa"/>
            <w:tcBorders>
              <w:top w:val="nil"/>
              <w:left w:val="nil"/>
              <w:bottom w:val="single" w:sz="4" w:space="0" w:color="auto"/>
              <w:right w:val="single" w:sz="4" w:space="0" w:color="auto"/>
            </w:tcBorders>
            <w:shd w:val="clear" w:color="auto" w:fill="auto"/>
            <w:vAlign w:val="center"/>
            <w:hideMark/>
          </w:tcPr>
          <w:p w14:paraId="024F18A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28a ods. 3</w:t>
            </w:r>
          </w:p>
        </w:tc>
        <w:tc>
          <w:tcPr>
            <w:tcW w:w="1052" w:type="dxa"/>
            <w:tcBorders>
              <w:top w:val="nil"/>
              <w:left w:val="nil"/>
              <w:bottom w:val="single" w:sz="4" w:space="0" w:color="auto"/>
              <w:right w:val="single" w:sz="4" w:space="0" w:color="auto"/>
            </w:tcBorders>
            <w:shd w:val="clear" w:color="auto" w:fill="auto"/>
            <w:vAlign w:val="center"/>
            <w:hideMark/>
          </w:tcPr>
          <w:p w14:paraId="2F727E7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566A580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01.01.28</w:t>
            </w:r>
          </w:p>
        </w:tc>
        <w:tc>
          <w:tcPr>
            <w:tcW w:w="1415" w:type="dxa"/>
            <w:tcBorders>
              <w:top w:val="nil"/>
              <w:left w:val="nil"/>
              <w:bottom w:val="single" w:sz="4" w:space="0" w:color="auto"/>
              <w:right w:val="single" w:sz="4" w:space="0" w:color="auto"/>
            </w:tcBorders>
            <w:shd w:val="clear" w:color="auto" w:fill="auto"/>
            <w:vAlign w:val="center"/>
            <w:hideMark/>
          </w:tcPr>
          <w:p w14:paraId="48BECE6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DSS</w:t>
            </w:r>
          </w:p>
        </w:tc>
        <w:tc>
          <w:tcPr>
            <w:tcW w:w="1188" w:type="dxa"/>
            <w:tcBorders>
              <w:top w:val="nil"/>
              <w:left w:val="nil"/>
              <w:bottom w:val="single" w:sz="4" w:space="0" w:color="auto"/>
              <w:right w:val="single" w:sz="4" w:space="0" w:color="auto"/>
            </w:tcBorders>
            <w:shd w:val="clear" w:color="auto" w:fill="auto"/>
            <w:vAlign w:val="center"/>
            <w:hideMark/>
          </w:tcPr>
          <w:p w14:paraId="5B00BCBA"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2 815 </w:t>
            </w:r>
          </w:p>
        </w:tc>
        <w:tc>
          <w:tcPr>
            <w:tcW w:w="791" w:type="dxa"/>
            <w:tcBorders>
              <w:top w:val="nil"/>
              <w:left w:val="nil"/>
              <w:bottom w:val="single" w:sz="4" w:space="0" w:color="auto"/>
              <w:right w:val="single" w:sz="4" w:space="0" w:color="auto"/>
            </w:tcBorders>
            <w:shd w:val="clear" w:color="auto" w:fill="auto"/>
            <w:vAlign w:val="center"/>
            <w:hideMark/>
          </w:tcPr>
          <w:p w14:paraId="465502B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w:t>
            </w:r>
          </w:p>
        </w:tc>
        <w:tc>
          <w:tcPr>
            <w:tcW w:w="1109" w:type="dxa"/>
            <w:tcBorders>
              <w:top w:val="nil"/>
              <w:left w:val="nil"/>
              <w:bottom w:val="single" w:sz="4" w:space="0" w:color="auto"/>
              <w:right w:val="single" w:sz="4" w:space="0" w:color="auto"/>
            </w:tcBorders>
            <w:shd w:val="clear" w:color="auto" w:fill="auto"/>
            <w:vAlign w:val="center"/>
            <w:hideMark/>
          </w:tcPr>
          <w:p w14:paraId="4655E37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5 711</w:t>
            </w:r>
          </w:p>
        </w:tc>
        <w:tc>
          <w:tcPr>
            <w:tcW w:w="848" w:type="dxa"/>
            <w:tcBorders>
              <w:top w:val="nil"/>
              <w:left w:val="nil"/>
              <w:bottom w:val="single" w:sz="4" w:space="0" w:color="auto"/>
              <w:right w:val="single" w:sz="4" w:space="0" w:color="auto"/>
            </w:tcBorders>
            <w:shd w:val="clear" w:color="auto" w:fill="auto"/>
            <w:vAlign w:val="center"/>
            <w:hideMark/>
          </w:tcPr>
          <w:p w14:paraId="68046D4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0CE0175B"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5 711</w:t>
            </w:r>
          </w:p>
        </w:tc>
        <w:tc>
          <w:tcPr>
            <w:tcW w:w="1163" w:type="dxa"/>
            <w:tcBorders>
              <w:top w:val="nil"/>
              <w:left w:val="nil"/>
              <w:bottom w:val="single" w:sz="4" w:space="0" w:color="auto"/>
              <w:right w:val="single" w:sz="4" w:space="0" w:color="auto"/>
            </w:tcBorders>
            <w:shd w:val="clear" w:color="auto" w:fill="auto"/>
            <w:vAlign w:val="center"/>
            <w:hideMark/>
          </w:tcPr>
          <w:p w14:paraId="0BECAF2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2E003732" w14:textId="77777777" w:rsidTr="00F84970">
        <w:trPr>
          <w:trHeight w:val="120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F868E9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11</w:t>
            </w:r>
          </w:p>
        </w:tc>
        <w:tc>
          <w:tcPr>
            <w:tcW w:w="1940" w:type="dxa"/>
            <w:tcBorders>
              <w:top w:val="nil"/>
              <w:left w:val="nil"/>
              <w:bottom w:val="single" w:sz="4" w:space="0" w:color="auto"/>
              <w:right w:val="single" w:sz="4" w:space="0" w:color="auto"/>
            </w:tcBorders>
            <w:shd w:val="clear" w:color="auto" w:fill="auto"/>
            <w:vAlign w:val="center"/>
            <w:hideMark/>
          </w:tcPr>
          <w:p w14:paraId="2819FBE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Zdieľanie elektronickej žiadosti o dôchodok medzi Sociálnou poisťovňou a DSS</w:t>
            </w:r>
          </w:p>
        </w:tc>
        <w:tc>
          <w:tcPr>
            <w:tcW w:w="1142" w:type="dxa"/>
            <w:tcBorders>
              <w:top w:val="nil"/>
              <w:left w:val="nil"/>
              <w:bottom w:val="single" w:sz="4" w:space="0" w:color="auto"/>
              <w:right w:val="single" w:sz="4" w:space="0" w:color="auto"/>
            </w:tcBorders>
            <w:shd w:val="clear" w:color="auto" w:fill="auto"/>
            <w:vAlign w:val="center"/>
            <w:hideMark/>
          </w:tcPr>
          <w:p w14:paraId="07E1586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6B08796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184 ods. 1</w:t>
            </w:r>
          </w:p>
        </w:tc>
        <w:tc>
          <w:tcPr>
            <w:tcW w:w="1052" w:type="dxa"/>
            <w:tcBorders>
              <w:top w:val="nil"/>
              <w:left w:val="nil"/>
              <w:bottom w:val="single" w:sz="4" w:space="0" w:color="auto"/>
              <w:right w:val="single" w:sz="4" w:space="0" w:color="auto"/>
            </w:tcBorders>
            <w:shd w:val="clear" w:color="auto" w:fill="auto"/>
            <w:vAlign w:val="center"/>
            <w:hideMark/>
          </w:tcPr>
          <w:p w14:paraId="3F270B9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57F3595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2DB864F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DSS</w:t>
            </w:r>
          </w:p>
        </w:tc>
        <w:tc>
          <w:tcPr>
            <w:tcW w:w="1188" w:type="dxa"/>
            <w:tcBorders>
              <w:top w:val="nil"/>
              <w:left w:val="nil"/>
              <w:bottom w:val="single" w:sz="4" w:space="0" w:color="auto"/>
              <w:right w:val="single" w:sz="4" w:space="0" w:color="auto"/>
            </w:tcBorders>
            <w:shd w:val="clear" w:color="auto" w:fill="auto"/>
            <w:vAlign w:val="center"/>
            <w:hideMark/>
          </w:tcPr>
          <w:p w14:paraId="1606D85D"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5 </w:t>
            </w:r>
          </w:p>
        </w:tc>
        <w:tc>
          <w:tcPr>
            <w:tcW w:w="791" w:type="dxa"/>
            <w:tcBorders>
              <w:top w:val="nil"/>
              <w:left w:val="nil"/>
              <w:bottom w:val="single" w:sz="4" w:space="0" w:color="auto"/>
              <w:right w:val="single" w:sz="4" w:space="0" w:color="auto"/>
            </w:tcBorders>
            <w:shd w:val="clear" w:color="auto" w:fill="auto"/>
            <w:vAlign w:val="center"/>
            <w:hideMark/>
          </w:tcPr>
          <w:p w14:paraId="1FA71FD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4 500</w:t>
            </w:r>
          </w:p>
        </w:tc>
        <w:tc>
          <w:tcPr>
            <w:tcW w:w="1109" w:type="dxa"/>
            <w:tcBorders>
              <w:top w:val="nil"/>
              <w:left w:val="nil"/>
              <w:bottom w:val="single" w:sz="4" w:space="0" w:color="auto"/>
              <w:right w:val="single" w:sz="4" w:space="0" w:color="auto"/>
            </w:tcBorders>
            <w:shd w:val="clear" w:color="auto" w:fill="auto"/>
            <w:vAlign w:val="center"/>
            <w:hideMark/>
          </w:tcPr>
          <w:p w14:paraId="697D031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22 500</w:t>
            </w:r>
          </w:p>
        </w:tc>
        <w:tc>
          <w:tcPr>
            <w:tcW w:w="848" w:type="dxa"/>
            <w:tcBorders>
              <w:top w:val="nil"/>
              <w:left w:val="nil"/>
              <w:bottom w:val="single" w:sz="4" w:space="0" w:color="auto"/>
              <w:right w:val="single" w:sz="4" w:space="0" w:color="auto"/>
            </w:tcBorders>
            <w:shd w:val="clear" w:color="auto" w:fill="auto"/>
            <w:vAlign w:val="center"/>
            <w:hideMark/>
          </w:tcPr>
          <w:p w14:paraId="7BEDA6C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67253847"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22 500</w:t>
            </w:r>
          </w:p>
        </w:tc>
        <w:tc>
          <w:tcPr>
            <w:tcW w:w="1163" w:type="dxa"/>
            <w:tcBorders>
              <w:top w:val="nil"/>
              <w:left w:val="nil"/>
              <w:bottom w:val="single" w:sz="4" w:space="0" w:color="auto"/>
              <w:right w:val="single" w:sz="4" w:space="0" w:color="auto"/>
            </w:tcBorders>
            <w:shd w:val="clear" w:color="auto" w:fill="auto"/>
            <w:vAlign w:val="center"/>
            <w:hideMark/>
          </w:tcPr>
          <w:p w14:paraId="19ECD6F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41B68C48" w14:textId="77777777" w:rsidTr="00F84970">
        <w:trPr>
          <w:trHeight w:val="999"/>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952551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12</w:t>
            </w:r>
          </w:p>
        </w:tc>
        <w:tc>
          <w:tcPr>
            <w:tcW w:w="1940" w:type="dxa"/>
            <w:tcBorders>
              <w:top w:val="nil"/>
              <w:left w:val="nil"/>
              <w:bottom w:val="single" w:sz="4" w:space="0" w:color="auto"/>
              <w:right w:val="single" w:sz="4" w:space="0" w:color="auto"/>
            </w:tcBorders>
            <w:shd w:val="clear" w:color="auto" w:fill="auto"/>
            <w:vAlign w:val="center"/>
            <w:hideMark/>
          </w:tcPr>
          <w:p w14:paraId="46979B6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Žiadosť o dôchodok môže sporiteľ podať aj v elektronickej podobe</w:t>
            </w:r>
          </w:p>
        </w:tc>
        <w:tc>
          <w:tcPr>
            <w:tcW w:w="1142" w:type="dxa"/>
            <w:tcBorders>
              <w:top w:val="nil"/>
              <w:left w:val="nil"/>
              <w:bottom w:val="single" w:sz="4" w:space="0" w:color="auto"/>
              <w:right w:val="single" w:sz="4" w:space="0" w:color="auto"/>
            </w:tcBorders>
            <w:shd w:val="clear" w:color="auto" w:fill="auto"/>
            <w:vAlign w:val="center"/>
            <w:hideMark/>
          </w:tcPr>
          <w:p w14:paraId="41320A9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43/2004 z. z.</w:t>
            </w:r>
          </w:p>
        </w:tc>
        <w:tc>
          <w:tcPr>
            <w:tcW w:w="1129" w:type="dxa"/>
            <w:tcBorders>
              <w:top w:val="nil"/>
              <w:left w:val="nil"/>
              <w:bottom w:val="single" w:sz="4" w:space="0" w:color="auto"/>
              <w:right w:val="single" w:sz="4" w:space="0" w:color="auto"/>
            </w:tcBorders>
            <w:shd w:val="clear" w:color="auto" w:fill="auto"/>
            <w:vAlign w:val="center"/>
            <w:hideMark/>
          </w:tcPr>
          <w:p w14:paraId="37CD684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44 ods. 6</w:t>
            </w:r>
          </w:p>
        </w:tc>
        <w:tc>
          <w:tcPr>
            <w:tcW w:w="1052" w:type="dxa"/>
            <w:tcBorders>
              <w:top w:val="nil"/>
              <w:left w:val="nil"/>
              <w:bottom w:val="single" w:sz="4" w:space="0" w:color="auto"/>
              <w:right w:val="single" w:sz="4" w:space="0" w:color="auto"/>
            </w:tcBorders>
            <w:shd w:val="clear" w:color="auto" w:fill="auto"/>
            <w:vAlign w:val="center"/>
            <w:hideMark/>
          </w:tcPr>
          <w:p w14:paraId="5E2707D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1A64DA5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2A17F7A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DSS</w:t>
            </w:r>
          </w:p>
        </w:tc>
        <w:tc>
          <w:tcPr>
            <w:tcW w:w="1188" w:type="dxa"/>
            <w:tcBorders>
              <w:top w:val="nil"/>
              <w:left w:val="nil"/>
              <w:bottom w:val="single" w:sz="4" w:space="0" w:color="auto"/>
              <w:right w:val="single" w:sz="4" w:space="0" w:color="auto"/>
            </w:tcBorders>
            <w:shd w:val="clear" w:color="auto" w:fill="auto"/>
            <w:vAlign w:val="center"/>
            <w:hideMark/>
          </w:tcPr>
          <w:p w14:paraId="74853555"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900 </w:t>
            </w:r>
          </w:p>
        </w:tc>
        <w:tc>
          <w:tcPr>
            <w:tcW w:w="791" w:type="dxa"/>
            <w:tcBorders>
              <w:top w:val="nil"/>
              <w:left w:val="nil"/>
              <w:bottom w:val="single" w:sz="4" w:space="0" w:color="auto"/>
              <w:right w:val="single" w:sz="4" w:space="0" w:color="auto"/>
            </w:tcBorders>
            <w:shd w:val="clear" w:color="auto" w:fill="auto"/>
            <w:vAlign w:val="center"/>
            <w:hideMark/>
          </w:tcPr>
          <w:p w14:paraId="355BF26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w:t>
            </w:r>
          </w:p>
        </w:tc>
        <w:tc>
          <w:tcPr>
            <w:tcW w:w="1109" w:type="dxa"/>
            <w:tcBorders>
              <w:top w:val="nil"/>
              <w:left w:val="nil"/>
              <w:bottom w:val="single" w:sz="4" w:space="0" w:color="auto"/>
              <w:right w:val="single" w:sz="4" w:space="0" w:color="auto"/>
            </w:tcBorders>
            <w:shd w:val="clear" w:color="auto" w:fill="auto"/>
            <w:vAlign w:val="center"/>
            <w:hideMark/>
          </w:tcPr>
          <w:p w14:paraId="236ED18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2 739</w:t>
            </w:r>
          </w:p>
        </w:tc>
        <w:tc>
          <w:tcPr>
            <w:tcW w:w="848" w:type="dxa"/>
            <w:tcBorders>
              <w:top w:val="nil"/>
              <w:left w:val="nil"/>
              <w:bottom w:val="single" w:sz="4" w:space="0" w:color="auto"/>
              <w:right w:val="single" w:sz="4" w:space="0" w:color="auto"/>
            </w:tcBorders>
            <w:shd w:val="clear" w:color="auto" w:fill="auto"/>
            <w:vAlign w:val="center"/>
            <w:hideMark/>
          </w:tcPr>
          <w:p w14:paraId="6D69E54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128E2446"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2 739</w:t>
            </w:r>
          </w:p>
        </w:tc>
        <w:tc>
          <w:tcPr>
            <w:tcW w:w="1163" w:type="dxa"/>
            <w:tcBorders>
              <w:top w:val="nil"/>
              <w:left w:val="nil"/>
              <w:bottom w:val="single" w:sz="4" w:space="0" w:color="auto"/>
              <w:right w:val="single" w:sz="4" w:space="0" w:color="auto"/>
            </w:tcBorders>
            <w:shd w:val="clear" w:color="auto" w:fill="auto"/>
            <w:vAlign w:val="center"/>
            <w:hideMark/>
          </w:tcPr>
          <w:p w14:paraId="7212438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797DF014" w14:textId="77777777" w:rsidTr="00F84970">
        <w:trPr>
          <w:trHeight w:val="1848"/>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3307D0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13</w:t>
            </w:r>
          </w:p>
        </w:tc>
        <w:tc>
          <w:tcPr>
            <w:tcW w:w="1940" w:type="dxa"/>
            <w:tcBorders>
              <w:top w:val="nil"/>
              <w:left w:val="nil"/>
              <w:bottom w:val="single" w:sz="4" w:space="0" w:color="auto"/>
              <w:right w:val="single" w:sz="4" w:space="0" w:color="auto"/>
            </w:tcBorders>
            <w:shd w:val="clear" w:color="auto" w:fill="auto"/>
            <w:vAlign w:val="center"/>
            <w:hideMark/>
          </w:tcPr>
          <w:p w14:paraId="4638307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Predpokladané náklady na úpravu informačných systémov poskytovateľov zdravotnej starostlivosti v súvislosti s integráciou zmien týkajúcich sa zasielania údajov Sociálnej poisťovni pre vyplácanie ošetrovného</w:t>
            </w:r>
          </w:p>
        </w:tc>
        <w:tc>
          <w:tcPr>
            <w:tcW w:w="1142" w:type="dxa"/>
            <w:tcBorders>
              <w:top w:val="nil"/>
              <w:left w:val="nil"/>
              <w:bottom w:val="single" w:sz="4" w:space="0" w:color="auto"/>
              <w:right w:val="single" w:sz="4" w:space="0" w:color="auto"/>
            </w:tcBorders>
            <w:shd w:val="clear" w:color="auto" w:fill="auto"/>
            <w:vAlign w:val="center"/>
            <w:hideMark/>
          </w:tcPr>
          <w:p w14:paraId="74A8C37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w:t>
            </w:r>
          </w:p>
        </w:tc>
        <w:tc>
          <w:tcPr>
            <w:tcW w:w="1129" w:type="dxa"/>
            <w:tcBorders>
              <w:top w:val="nil"/>
              <w:left w:val="nil"/>
              <w:bottom w:val="single" w:sz="4" w:space="0" w:color="auto"/>
              <w:right w:val="single" w:sz="4" w:space="0" w:color="auto"/>
            </w:tcBorders>
            <w:shd w:val="clear" w:color="auto" w:fill="auto"/>
            <w:vAlign w:val="center"/>
            <w:hideMark/>
          </w:tcPr>
          <w:p w14:paraId="095F6B7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3a ods. 28 písm. j)</w:t>
            </w:r>
          </w:p>
        </w:tc>
        <w:tc>
          <w:tcPr>
            <w:tcW w:w="1052" w:type="dxa"/>
            <w:tcBorders>
              <w:top w:val="nil"/>
              <w:left w:val="nil"/>
              <w:bottom w:val="single" w:sz="4" w:space="0" w:color="auto"/>
              <w:right w:val="single" w:sz="4" w:space="0" w:color="auto"/>
            </w:tcBorders>
            <w:shd w:val="clear" w:color="auto" w:fill="auto"/>
            <w:vAlign w:val="center"/>
            <w:hideMark/>
          </w:tcPr>
          <w:p w14:paraId="2CAAC02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2D9943D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6BCBB1F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určiť  osobe potrebu ošetrovania</w:t>
            </w:r>
          </w:p>
        </w:tc>
        <w:tc>
          <w:tcPr>
            <w:tcW w:w="1188" w:type="dxa"/>
            <w:tcBorders>
              <w:top w:val="nil"/>
              <w:left w:val="nil"/>
              <w:bottom w:val="single" w:sz="4" w:space="0" w:color="auto"/>
              <w:right w:val="single" w:sz="4" w:space="0" w:color="auto"/>
            </w:tcBorders>
            <w:shd w:val="clear" w:color="auto" w:fill="auto"/>
            <w:vAlign w:val="center"/>
            <w:hideMark/>
          </w:tcPr>
          <w:p w14:paraId="00775967"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9 619 </w:t>
            </w:r>
          </w:p>
        </w:tc>
        <w:tc>
          <w:tcPr>
            <w:tcW w:w="791" w:type="dxa"/>
            <w:tcBorders>
              <w:top w:val="nil"/>
              <w:left w:val="nil"/>
              <w:bottom w:val="single" w:sz="4" w:space="0" w:color="auto"/>
              <w:right w:val="single" w:sz="4" w:space="0" w:color="auto"/>
            </w:tcBorders>
            <w:shd w:val="clear" w:color="auto" w:fill="auto"/>
            <w:vAlign w:val="center"/>
            <w:hideMark/>
          </w:tcPr>
          <w:p w14:paraId="7DAD83E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8</w:t>
            </w:r>
          </w:p>
        </w:tc>
        <w:tc>
          <w:tcPr>
            <w:tcW w:w="1109" w:type="dxa"/>
            <w:tcBorders>
              <w:top w:val="nil"/>
              <w:left w:val="nil"/>
              <w:bottom w:val="single" w:sz="4" w:space="0" w:color="auto"/>
              <w:right w:val="single" w:sz="4" w:space="0" w:color="auto"/>
            </w:tcBorders>
            <w:shd w:val="clear" w:color="auto" w:fill="auto"/>
            <w:vAlign w:val="center"/>
            <w:hideMark/>
          </w:tcPr>
          <w:p w14:paraId="04A9492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72 143</w:t>
            </w:r>
          </w:p>
        </w:tc>
        <w:tc>
          <w:tcPr>
            <w:tcW w:w="848" w:type="dxa"/>
            <w:tcBorders>
              <w:top w:val="nil"/>
              <w:left w:val="nil"/>
              <w:bottom w:val="single" w:sz="4" w:space="0" w:color="auto"/>
              <w:right w:val="single" w:sz="4" w:space="0" w:color="auto"/>
            </w:tcBorders>
            <w:shd w:val="clear" w:color="auto" w:fill="auto"/>
            <w:vAlign w:val="center"/>
            <w:hideMark/>
          </w:tcPr>
          <w:p w14:paraId="6D68FAB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6F674799"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72 143</w:t>
            </w:r>
          </w:p>
        </w:tc>
        <w:tc>
          <w:tcPr>
            <w:tcW w:w="1163" w:type="dxa"/>
            <w:tcBorders>
              <w:top w:val="nil"/>
              <w:left w:val="nil"/>
              <w:bottom w:val="single" w:sz="4" w:space="0" w:color="auto"/>
              <w:right w:val="single" w:sz="4" w:space="0" w:color="auto"/>
            </w:tcBorders>
            <w:shd w:val="clear" w:color="auto" w:fill="auto"/>
            <w:vAlign w:val="center"/>
            <w:hideMark/>
          </w:tcPr>
          <w:p w14:paraId="6832A20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46921814" w14:textId="77777777" w:rsidTr="00F84970">
        <w:trPr>
          <w:trHeight w:val="3252"/>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F7028C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14</w:t>
            </w:r>
          </w:p>
        </w:tc>
        <w:tc>
          <w:tcPr>
            <w:tcW w:w="1940" w:type="dxa"/>
            <w:tcBorders>
              <w:top w:val="nil"/>
              <w:left w:val="nil"/>
              <w:bottom w:val="single" w:sz="4" w:space="0" w:color="auto"/>
              <w:right w:val="single" w:sz="4" w:space="0" w:color="auto"/>
            </w:tcBorders>
            <w:shd w:val="clear" w:color="auto" w:fill="auto"/>
            <w:vAlign w:val="center"/>
            <w:hideMark/>
          </w:tcPr>
          <w:p w14:paraId="3CDA0BE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Predpokladané náklady na úpravu informačných systémov poskytovateľov zdravotnej starostlivosti v súvislosti s integráciou zmien týkajúcich sa zasielania údajov Ústrediu práce sociálnych vecí a rodiny na účely posúdenia splnenia podmienky nároku na poskytnutie pomoci v hmotnej núdzi (gynekologická alebo gynekologicko-pôrodnícka ambulancia)</w:t>
            </w:r>
          </w:p>
        </w:tc>
        <w:tc>
          <w:tcPr>
            <w:tcW w:w="1142" w:type="dxa"/>
            <w:tcBorders>
              <w:top w:val="nil"/>
              <w:left w:val="nil"/>
              <w:bottom w:val="single" w:sz="4" w:space="0" w:color="auto"/>
              <w:right w:val="single" w:sz="4" w:space="0" w:color="auto"/>
            </w:tcBorders>
            <w:shd w:val="clear" w:color="auto" w:fill="auto"/>
            <w:vAlign w:val="center"/>
            <w:hideMark/>
          </w:tcPr>
          <w:p w14:paraId="140859A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w:t>
            </w:r>
          </w:p>
        </w:tc>
        <w:tc>
          <w:tcPr>
            <w:tcW w:w="1129" w:type="dxa"/>
            <w:tcBorders>
              <w:top w:val="nil"/>
              <w:left w:val="nil"/>
              <w:bottom w:val="single" w:sz="4" w:space="0" w:color="auto"/>
              <w:right w:val="single" w:sz="4" w:space="0" w:color="auto"/>
            </w:tcBorders>
            <w:shd w:val="clear" w:color="auto" w:fill="auto"/>
            <w:vAlign w:val="center"/>
            <w:hideMark/>
          </w:tcPr>
          <w:p w14:paraId="1F63BA8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3a ods. 28 písm. k)</w:t>
            </w:r>
          </w:p>
        </w:tc>
        <w:tc>
          <w:tcPr>
            <w:tcW w:w="1052" w:type="dxa"/>
            <w:tcBorders>
              <w:top w:val="nil"/>
              <w:left w:val="nil"/>
              <w:bottom w:val="single" w:sz="4" w:space="0" w:color="auto"/>
              <w:right w:val="single" w:sz="4" w:space="0" w:color="auto"/>
            </w:tcBorders>
            <w:shd w:val="clear" w:color="auto" w:fill="auto"/>
            <w:vAlign w:val="center"/>
            <w:hideMark/>
          </w:tcPr>
          <w:p w14:paraId="4FF8821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0BA4C35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4AE7BA6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potvrdiť žiadosť o ochranný príspevok (gynekologická alebo gynekologicko-pôrodnícka ambulancia)</w:t>
            </w:r>
          </w:p>
        </w:tc>
        <w:tc>
          <w:tcPr>
            <w:tcW w:w="1188" w:type="dxa"/>
            <w:tcBorders>
              <w:top w:val="nil"/>
              <w:left w:val="nil"/>
              <w:bottom w:val="single" w:sz="4" w:space="0" w:color="auto"/>
              <w:right w:val="single" w:sz="4" w:space="0" w:color="auto"/>
            </w:tcBorders>
            <w:shd w:val="clear" w:color="auto" w:fill="auto"/>
            <w:vAlign w:val="center"/>
            <w:hideMark/>
          </w:tcPr>
          <w:p w14:paraId="36E6BF4F"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678 </w:t>
            </w:r>
          </w:p>
        </w:tc>
        <w:tc>
          <w:tcPr>
            <w:tcW w:w="791" w:type="dxa"/>
            <w:tcBorders>
              <w:top w:val="nil"/>
              <w:left w:val="nil"/>
              <w:bottom w:val="single" w:sz="4" w:space="0" w:color="auto"/>
              <w:right w:val="single" w:sz="4" w:space="0" w:color="auto"/>
            </w:tcBorders>
            <w:shd w:val="clear" w:color="auto" w:fill="auto"/>
            <w:vAlign w:val="center"/>
            <w:hideMark/>
          </w:tcPr>
          <w:p w14:paraId="4D4614E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20</w:t>
            </w:r>
          </w:p>
        </w:tc>
        <w:tc>
          <w:tcPr>
            <w:tcW w:w="1109" w:type="dxa"/>
            <w:tcBorders>
              <w:top w:val="nil"/>
              <w:left w:val="nil"/>
              <w:bottom w:val="single" w:sz="4" w:space="0" w:color="auto"/>
              <w:right w:val="single" w:sz="4" w:space="0" w:color="auto"/>
            </w:tcBorders>
            <w:shd w:val="clear" w:color="auto" w:fill="auto"/>
            <w:vAlign w:val="center"/>
            <w:hideMark/>
          </w:tcPr>
          <w:p w14:paraId="149C247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13 560</w:t>
            </w:r>
          </w:p>
        </w:tc>
        <w:tc>
          <w:tcPr>
            <w:tcW w:w="848" w:type="dxa"/>
            <w:tcBorders>
              <w:top w:val="nil"/>
              <w:left w:val="nil"/>
              <w:bottom w:val="single" w:sz="4" w:space="0" w:color="auto"/>
              <w:right w:val="single" w:sz="4" w:space="0" w:color="auto"/>
            </w:tcBorders>
            <w:shd w:val="clear" w:color="auto" w:fill="auto"/>
            <w:vAlign w:val="center"/>
            <w:hideMark/>
          </w:tcPr>
          <w:p w14:paraId="4530384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65EB10F1"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13 560</w:t>
            </w:r>
          </w:p>
        </w:tc>
        <w:tc>
          <w:tcPr>
            <w:tcW w:w="1163" w:type="dxa"/>
            <w:tcBorders>
              <w:top w:val="nil"/>
              <w:left w:val="nil"/>
              <w:bottom w:val="single" w:sz="4" w:space="0" w:color="auto"/>
              <w:right w:val="single" w:sz="4" w:space="0" w:color="auto"/>
            </w:tcBorders>
            <w:shd w:val="clear" w:color="auto" w:fill="auto"/>
            <w:vAlign w:val="center"/>
            <w:hideMark/>
          </w:tcPr>
          <w:p w14:paraId="05F5ED0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167F6ADD" w14:textId="77777777" w:rsidTr="00F84970">
        <w:trPr>
          <w:trHeight w:val="2904"/>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6DB2938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15</w:t>
            </w:r>
          </w:p>
        </w:tc>
        <w:tc>
          <w:tcPr>
            <w:tcW w:w="1940" w:type="dxa"/>
            <w:tcBorders>
              <w:top w:val="nil"/>
              <w:left w:val="nil"/>
              <w:bottom w:val="single" w:sz="4" w:space="0" w:color="auto"/>
              <w:right w:val="single" w:sz="4" w:space="0" w:color="auto"/>
            </w:tcBorders>
            <w:shd w:val="clear" w:color="auto" w:fill="auto"/>
            <w:vAlign w:val="center"/>
            <w:hideMark/>
          </w:tcPr>
          <w:p w14:paraId="76D1865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Predpokladané náklady na úpravu informačných systémov poskytovateľov zdravotnej starostlivosti v súvislosti s integráciou zmien týkajúcich sa zasielania údajov Sociálnej poisťovni pre vyplácanie materského (gynekologická alebo gynekologicko-</w:t>
            </w:r>
            <w:r w:rsidRPr="007920B5">
              <w:rPr>
                <w:rFonts w:ascii="Times New Roman" w:eastAsia="Times New Roman" w:hAnsi="Times New Roman" w:cs="Times New Roman"/>
                <w:color w:val="000000"/>
                <w:sz w:val="20"/>
                <w:szCs w:val="20"/>
                <w:lang w:eastAsia="sk-SK"/>
              </w:rPr>
              <w:lastRenderedPageBreak/>
              <w:t>pôrodnícka ambulancia)</w:t>
            </w:r>
          </w:p>
        </w:tc>
        <w:tc>
          <w:tcPr>
            <w:tcW w:w="1142" w:type="dxa"/>
            <w:tcBorders>
              <w:top w:val="nil"/>
              <w:left w:val="nil"/>
              <w:bottom w:val="single" w:sz="4" w:space="0" w:color="auto"/>
              <w:right w:val="single" w:sz="4" w:space="0" w:color="auto"/>
            </w:tcBorders>
            <w:shd w:val="clear" w:color="auto" w:fill="auto"/>
            <w:vAlign w:val="center"/>
            <w:hideMark/>
          </w:tcPr>
          <w:p w14:paraId="5F1BA6B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zákon č. 153/2013 z. z.</w:t>
            </w:r>
          </w:p>
        </w:tc>
        <w:tc>
          <w:tcPr>
            <w:tcW w:w="1129" w:type="dxa"/>
            <w:tcBorders>
              <w:top w:val="nil"/>
              <w:left w:val="nil"/>
              <w:bottom w:val="single" w:sz="4" w:space="0" w:color="auto"/>
              <w:right w:val="single" w:sz="4" w:space="0" w:color="auto"/>
            </w:tcBorders>
            <w:shd w:val="clear" w:color="auto" w:fill="auto"/>
            <w:vAlign w:val="center"/>
            <w:hideMark/>
          </w:tcPr>
          <w:p w14:paraId="42D7EF6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3a ods. 28 písm. i)</w:t>
            </w:r>
          </w:p>
        </w:tc>
        <w:tc>
          <w:tcPr>
            <w:tcW w:w="1052" w:type="dxa"/>
            <w:tcBorders>
              <w:top w:val="nil"/>
              <w:left w:val="nil"/>
              <w:bottom w:val="single" w:sz="4" w:space="0" w:color="auto"/>
              <w:right w:val="single" w:sz="4" w:space="0" w:color="auto"/>
            </w:tcBorders>
            <w:shd w:val="clear" w:color="auto" w:fill="auto"/>
            <w:vAlign w:val="center"/>
            <w:hideMark/>
          </w:tcPr>
          <w:p w14:paraId="7109423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0B3D864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525627D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potvrdiť žiadosť o materské (gynekologická alebo gynekologicko-pôrodnícka ambulancia)</w:t>
            </w:r>
          </w:p>
        </w:tc>
        <w:tc>
          <w:tcPr>
            <w:tcW w:w="1188" w:type="dxa"/>
            <w:tcBorders>
              <w:top w:val="nil"/>
              <w:left w:val="nil"/>
              <w:bottom w:val="single" w:sz="4" w:space="0" w:color="auto"/>
              <w:right w:val="single" w:sz="4" w:space="0" w:color="auto"/>
            </w:tcBorders>
            <w:shd w:val="clear" w:color="auto" w:fill="auto"/>
            <w:vAlign w:val="center"/>
            <w:hideMark/>
          </w:tcPr>
          <w:p w14:paraId="4E434436"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678 </w:t>
            </w:r>
          </w:p>
        </w:tc>
        <w:tc>
          <w:tcPr>
            <w:tcW w:w="791" w:type="dxa"/>
            <w:tcBorders>
              <w:top w:val="nil"/>
              <w:left w:val="nil"/>
              <w:bottom w:val="single" w:sz="4" w:space="0" w:color="auto"/>
              <w:right w:val="single" w:sz="4" w:space="0" w:color="auto"/>
            </w:tcBorders>
            <w:shd w:val="clear" w:color="auto" w:fill="auto"/>
            <w:vAlign w:val="center"/>
            <w:hideMark/>
          </w:tcPr>
          <w:p w14:paraId="059CB50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20</w:t>
            </w:r>
          </w:p>
        </w:tc>
        <w:tc>
          <w:tcPr>
            <w:tcW w:w="1109" w:type="dxa"/>
            <w:tcBorders>
              <w:top w:val="nil"/>
              <w:left w:val="nil"/>
              <w:bottom w:val="single" w:sz="4" w:space="0" w:color="auto"/>
              <w:right w:val="single" w:sz="4" w:space="0" w:color="auto"/>
            </w:tcBorders>
            <w:shd w:val="clear" w:color="auto" w:fill="auto"/>
            <w:vAlign w:val="center"/>
            <w:hideMark/>
          </w:tcPr>
          <w:p w14:paraId="67DA304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13 560</w:t>
            </w:r>
          </w:p>
        </w:tc>
        <w:tc>
          <w:tcPr>
            <w:tcW w:w="848" w:type="dxa"/>
            <w:tcBorders>
              <w:top w:val="nil"/>
              <w:left w:val="nil"/>
              <w:bottom w:val="single" w:sz="4" w:space="0" w:color="auto"/>
              <w:right w:val="single" w:sz="4" w:space="0" w:color="auto"/>
            </w:tcBorders>
            <w:shd w:val="clear" w:color="auto" w:fill="auto"/>
            <w:vAlign w:val="center"/>
            <w:hideMark/>
          </w:tcPr>
          <w:p w14:paraId="387ADFF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5CF0090F"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13 560</w:t>
            </w:r>
          </w:p>
        </w:tc>
        <w:tc>
          <w:tcPr>
            <w:tcW w:w="1163" w:type="dxa"/>
            <w:tcBorders>
              <w:top w:val="nil"/>
              <w:left w:val="nil"/>
              <w:bottom w:val="single" w:sz="4" w:space="0" w:color="auto"/>
              <w:right w:val="single" w:sz="4" w:space="0" w:color="auto"/>
            </w:tcBorders>
            <w:shd w:val="clear" w:color="auto" w:fill="auto"/>
            <w:vAlign w:val="center"/>
            <w:hideMark/>
          </w:tcPr>
          <w:p w14:paraId="7F9872F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5EC0D1DE" w14:textId="77777777" w:rsidTr="00F84970">
        <w:trPr>
          <w:trHeight w:val="369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13360F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16</w:t>
            </w:r>
          </w:p>
        </w:tc>
        <w:tc>
          <w:tcPr>
            <w:tcW w:w="1940" w:type="dxa"/>
            <w:tcBorders>
              <w:top w:val="nil"/>
              <w:left w:val="nil"/>
              <w:bottom w:val="single" w:sz="4" w:space="0" w:color="auto"/>
              <w:right w:val="single" w:sz="4" w:space="0" w:color="auto"/>
            </w:tcBorders>
            <w:shd w:val="clear" w:color="auto" w:fill="auto"/>
            <w:vAlign w:val="center"/>
            <w:hideMark/>
          </w:tcPr>
          <w:p w14:paraId="1B1B1AC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Predpokladané náklady na úpravu informačných systémov poskytovateľov zdravotnej starostlivosti v súvislosti s integráciou zmien týkajúcich sa zasielania údajov Sociálnej poisťovni pre vyplácanie tehotenského (gynekologická alebo gynekologicko-pôrodnícka ambulancia)</w:t>
            </w:r>
          </w:p>
        </w:tc>
        <w:tc>
          <w:tcPr>
            <w:tcW w:w="1142" w:type="dxa"/>
            <w:tcBorders>
              <w:top w:val="nil"/>
              <w:left w:val="nil"/>
              <w:bottom w:val="single" w:sz="4" w:space="0" w:color="auto"/>
              <w:right w:val="single" w:sz="4" w:space="0" w:color="auto"/>
            </w:tcBorders>
            <w:shd w:val="clear" w:color="auto" w:fill="auto"/>
            <w:vAlign w:val="center"/>
            <w:hideMark/>
          </w:tcPr>
          <w:p w14:paraId="79DE14B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w:t>
            </w:r>
          </w:p>
        </w:tc>
        <w:tc>
          <w:tcPr>
            <w:tcW w:w="1129" w:type="dxa"/>
            <w:tcBorders>
              <w:top w:val="nil"/>
              <w:left w:val="nil"/>
              <w:bottom w:val="single" w:sz="4" w:space="0" w:color="auto"/>
              <w:right w:val="single" w:sz="4" w:space="0" w:color="auto"/>
            </w:tcBorders>
            <w:shd w:val="clear" w:color="auto" w:fill="auto"/>
            <w:vAlign w:val="center"/>
            <w:hideMark/>
          </w:tcPr>
          <w:p w14:paraId="57CE5A1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3a ods. 28 písm. i)</w:t>
            </w:r>
          </w:p>
        </w:tc>
        <w:tc>
          <w:tcPr>
            <w:tcW w:w="1052" w:type="dxa"/>
            <w:tcBorders>
              <w:top w:val="nil"/>
              <w:left w:val="nil"/>
              <w:bottom w:val="single" w:sz="4" w:space="0" w:color="auto"/>
              <w:right w:val="single" w:sz="4" w:space="0" w:color="auto"/>
            </w:tcBorders>
            <w:shd w:val="clear" w:color="auto" w:fill="auto"/>
            <w:vAlign w:val="center"/>
            <w:hideMark/>
          </w:tcPr>
          <w:p w14:paraId="226336D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533BB41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3477C17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vytvoriť tehotenskú knižku a potvrdiť žiadosť o tehotenské (gynekologická alebo gynekologicko-pôrodnícka ambulancia)</w:t>
            </w:r>
          </w:p>
        </w:tc>
        <w:tc>
          <w:tcPr>
            <w:tcW w:w="1188" w:type="dxa"/>
            <w:tcBorders>
              <w:top w:val="nil"/>
              <w:left w:val="nil"/>
              <w:bottom w:val="single" w:sz="4" w:space="0" w:color="auto"/>
              <w:right w:val="single" w:sz="4" w:space="0" w:color="auto"/>
            </w:tcBorders>
            <w:shd w:val="clear" w:color="auto" w:fill="auto"/>
            <w:vAlign w:val="center"/>
            <w:hideMark/>
          </w:tcPr>
          <w:p w14:paraId="71461BDE"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678 </w:t>
            </w:r>
          </w:p>
        </w:tc>
        <w:tc>
          <w:tcPr>
            <w:tcW w:w="791" w:type="dxa"/>
            <w:tcBorders>
              <w:top w:val="nil"/>
              <w:left w:val="nil"/>
              <w:bottom w:val="single" w:sz="4" w:space="0" w:color="auto"/>
              <w:right w:val="single" w:sz="4" w:space="0" w:color="auto"/>
            </w:tcBorders>
            <w:shd w:val="clear" w:color="auto" w:fill="auto"/>
            <w:vAlign w:val="center"/>
            <w:hideMark/>
          </w:tcPr>
          <w:p w14:paraId="29A7F67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20</w:t>
            </w:r>
          </w:p>
        </w:tc>
        <w:tc>
          <w:tcPr>
            <w:tcW w:w="1109" w:type="dxa"/>
            <w:tcBorders>
              <w:top w:val="nil"/>
              <w:left w:val="nil"/>
              <w:bottom w:val="single" w:sz="4" w:space="0" w:color="auto"/>
              <w:right w:val="single" w:sz="4" w:space="0" w:color="auto"/>
            </w:tcBorders>
            <w:shd w:val="clear" w:color="auto" w:fill="auto"/>
            <w:vAlign w:val="center"/>
            <w:hideMark/>
          </w:tcPr>
          <w:p w14:paraId="2BA796A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13 560</w:t>
            </w:r>
          </w:p>
        </w:tc>
        <w:tc>
          <w:tcPr>
            <w:tcW w:w="848" w:type="dxa"/>
            <w:tcBorders>
              <w:top w:val="nil"/>
              <w:left w:val="nil"/>
              <w:bottom w:val="single" w:sz="4" w:space="0" w:color="auto"/>
              <w:right w:val="single" w:sz="4" w:space="0" w:color="auto"/>
            </w:tcBorders>
            <w:shd w:val="clear" w:color="auto" w:fill="auto"/>
            <w:vAlign w:val="center"/>
            <w:hideMark/>
          </w:tcPr>
          <w:p w14:paraId="574ACFC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6C118943"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13 560</w:t>
            </w:r>
          </w:p>
        </w:tc>
        <w:tc>
          <w:tcPr>
            <w:tcW w:w="1163" w:type="dxa"/>
            <w:tcBorders>
              <w:top w:val="nil"/>
              <w:left w:val="nil"/>
              <w:bottom w:val="single" w:sz="4" w:space="0" w:color="auto"/>
              <w:right w:val="single" w:sz="4" w:space="0" w:color="auto"/>
            </w:tcBorders>
            <w:shd w:val="clear" w:color="auto" w:fill="auto"/>
            <w:vAlign w:val="center"/>
            <w:hideMark/>
          </w:tcPr>
          <w:p w14:paraId="77CBC13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4F986396" w14:textId="77777777" w:rsidTr="00F84970">
        <w:trPr>
          <w:trHeight w:val="3432"/>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6401EF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17</w:t>
            </w:r>
          </w:p>
        </w:tc>
        <w:tc>
          <w:tcPr>
            <w:tcW w:w="1940" w:type="dxa"/>
            <w:tcBorders>
              <w:top w:val="nil"/>
              <w:left w:val="nil"/>
              <w:bottom w:val="single" w:sz="4" w:space="0" w:color="auto"/>
              <w:right w:val="single" w:sz="4" w:space="0" w:color="auto"/>
            </w:tcBorders>
            <w:shd w:val="clear" w:color="auto" w:fill="auto"/>
            <w:vAlign w:val="center"/>
            <w:hideMark/>
          </w:tcPr>
          <w:p w14:paraId="04F0EA7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Elektronizovanie</w:t>
            </w:r>
            <w:proofErr w:type="spellEnd"/>
            <w:r w:rsidRPr="007920B5">
              <w:rPr>
                <w:rFonts w:ascii="Times New Roman" w:eastAsia="Times New Roman" w:hAnsi="Times New Roman" w:cs="Times New Roman"/>
                <w:color w:val="000000"/>
                <w:sz w:val="20"/>
                <w:szCs w:val="20"/>
                <w:lang w:eastAsia="sk-SK"/>
              </w:rPr>
              <w:t xml:space="preserve"> potvrdenia žiadosti o poskytnutie ochranného príspevku pre Ústredie práce sociálnych vecí a rodiny </w:t>
            </w:r>
          </w:p>
        </w:tc>
        <w:tc>
          <w:tcPr>
            <w:tcW w:w="1142" w:type="dxa"/>
            <w:tcBorders>
              <w:top w:val="nil"/>
              <w:left w:val="nil"/>
              <w:bottom w:val="single" w:sz="4" w:space="0" w:color="auto"/>
              <w:right w:val="single" w:sz="4" w:space="0" w:color="auto"/>
            </w:tcBorders>
            <w:shd w:val="clear" w:color="auto" w:fill="auto"/>
            <w:vAlign w:val="center"/>
            <w:hideMark/>
          </w:tcPr>
          <w:p w14:paraId="295F669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w:t>
            </w:r>
          </w:p>
        </w:tc>
        <w:tc>
          <w:tcPr>
            <w:tcW w:w="1129" w:type="dxa"/>
            <w:tcBorders>
              <w:top w:val="nil"/>
              <w:left w:val="nil"/>
              <w:bottom w:val="single" w:sz="4" w:space="0" w:color="auto"/>
              <w:right w:val="single" w:sz="4" w:space="0" w:color="auto"/>
            </w:tcBorders>
            <w:shd w:val="clear" w:color="auto" w:fill="auto"/>
            <w:vAlign w:val="center"/>
            <w:hideMark/>
          </w:tcPr>
          <w:p w14:paraId="4BEF91C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5b</w:t>
            </w:r>
          </w:p>
        </w:tc>
        <w:tc>
          <w:tcPr>
            <w:tcW w:w="1052" w:type="dxa"/>
            <w:tcBorders>
              <w:top w:val="nil"/>
              <w:left w:val="nil"/>
              <w:bottom w:val="single" w:sz="4" w:space="0" w:color="auto"/>
              <w:right w:val="single" w:sz="4" w:space="0" w:color="auto"/>
            </w:tcBorders>
            <w:shd w:val="clear" w:color="auto" w:fill="auto"/>
            <w:vAlign w:val="center"/>
            <w:hideMark/>
          </w:tcPr>
          <w:p w14:paraId="40B7B6B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62E85766"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066DDF9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potvrdiť žiadosť o poskytnutie ochranného príspevku (gynekologická alebo gynekologicko-pôrodnícka ambulancia)</w:t>
            </w:r>
          </w:p>
        </w:tc>
        <w:tc>
          <w:tcPr>
            <w:tcW w:w="1188" w:type="dxa"/>
            <w:tcBorders>
              <w:top w:val="nil"/>
              <w:left w:val="nil"/>
              <w:bottom w:val="single" w:sz="4" w:space="0" w:color="auto"/>
              <w:right w:val="single" w:sz="4" w:space="0" w:color="auto"/>
            </w:tcBorders>
            <w:shd w:val="clear" w:color="auto" w:fill="auto"/>
            <w:vAlign w:val="center"/>
            <w:hideMark/>
          </w:tcPr>
          <w:p w14:paraId="402851AB"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678 </w:t>
            </w:r>
          </w:p>
        </w:tc>
        <w:tc>
          <w:tcPr>
            <w:tcW w:w="791" w:type="dxa"/>
            <w:tcBorders>
              <w:top w:val="nil"/>
              <w:left w:val="nil"/>
              <w:bottom w:val="single" w:sz="4" w:space="0" w:color="auto"/>
              <w:right w:val="single" w:sz="4" w:space="0" w:color="auto"/>
            </w:tcBorders>
            <w:shd w:val="clear" w:color="auto" w:fill="auto"/>
            <w:vAlign w:val="center"/>
            <w:hideMark/>
          </w:tcPr>
          <w:p w14:paraId="65D1D97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w:t>
            </w:r>
          </w:p>
        </w:tc>
        <w:tc>
          <w:tcPr>
            <w:tcW w:w="1109" w:type="dxa"/>
            <w:tcBorders>
              <w:top w:val="nil"/>
              <w:left w:val="nil"/>
              <w:bottom w:val="single" w:sz="4" w:space="0" w:color="auto"/>
              <w:right w:val="single" w:sz="4" w:space="0" w:color="auto"/>
            </w:tcBorders>
            <w:shd w:val="clear" w:color="auto" w:fill="auto"/>
            <w:vAlign w:val="center"/>
            <w:hideMark/>
          </w:tcPr>
          <w:p w14:paraId="3E90D45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963</w:t>
            </w:r>
          </w:p>
        </w:tc>
        <w:tc>
          <w:tcPr>
            <w:tcW w:w="848" w:type="dxa"/>
            <w:tcBorders>
              <w:top w:val="nil"/>
              <w:left w:val="nil"/>
              <w:bottom w:val="single" w:sz="4" w:space="0" w:color="auto"/>
              <w:right w:val="single" w:sz="4" w:space="0" w:color="auto"/>
            </w:tcBorders>
            <w:shd w:val="clear" w:color="auto" w:fill="auto"/>
            <w:vAlign w:val="center"/>
            <w:hideMark/>
          </w:tcPr>
          <w:p w14:paraId="552E0DB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62D089E8"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963</w:t>
            </w:r>
          </w:p>
        </w:tc>
        <w:tc>
          <w:tcPr>
            <w:tcW w:w="1163" w:type="dxa"/>
            <w:tcBorders>
              <w:top w:val="nil"/>
              <w:left w:val="nil"/>
              <w:bottom w:val="single" w:sz="4" w:space="0" w:color="auto"/>
              <w:right w:val="single" w:sz="4" w:space="0" w:color="auto"/>
            </w:tcBorders>
            <w:shd w:val="clear" w:color="auto" w:fill="auto"/>
            <w:vAlign w:val="center"/>
            <w:hideMark/>
          </w:tcPr>
          <w:p w14:paraId="7547691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6F013276" w14:textId="77777777" w:rsidTr="00F84970">
        <w:trPr>
          <w:trHeight w:val="1848"/>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4315A9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18</w:t>
            </w:r>
          </w:p>
        </w:tc>
        <w:tc>
          <w:tcPr>
            <w:tcW w:w="1940" w:type="dxa"/>
            <w:tcBorders>
              <w:top w:val="nil"/>
              <w:left w:val="nil"/>
              <w:bottom w:val="single" w:sz="4" w:space="0" w:color="auto"/>
              <w:right w:val="single" w:sz="4" w:space="0" w:color="auto"/>
            </w:tcBorders>
            <w:shd w:val="clear" w:color="auto" w:fill="auto"/>
            <w:vAlign w:val="center"/>
            <w:hideMark/>
          </w:tcPr>
          <w:p w14:paraId="146E332C"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Elektronizovanie</w:t>
            </w:r>
            <w:proofErr w:type="spellEnd"/>
            <w:r w:rsidRPr="007920B5">
              <w:rPr>
                <w:rFonts w:ascii="Times New Roman" w:eastAsia="Times New Roman" w:hAnsi="Times New Roman" w:cs="Times New Roman"/>
                <w:color w:val="000000"/>
                <w:sz w:val="20"/>
                <w:szCs w:val="20"/>
                <w:lang w:eastAsia="sk-SK"/>
              </w:rPr>
              <w:t xml:space="preserve"> žiadosti o poskytnutie ošetrovného pre  Sociálnu poisťovňu</w:t>
            </w:r>
          </w:p>
        </w:tc>
        <w:tc>
          <w:tcPr>
            <w:tcW w:w="1142" w:type="dxa"/>
            <w:tcBorders>
              <w:top w:val="nil"/>
              <w:left w:val="nil"/>
              <w:bottom w:val="single" w:sz="4" w:space="0" w:color="auto"/>
              <w:right w:val="single" w:sz="4" w:space="0" w:color="auto"/>
            </w:tcBorders>
            <w:shd w:val="clear" w:color="auto" w:fill="auto"/>
            <w:vAlign w:val="center"/>
            <w:hideMark/>
          </w:tcPr>
          <w:p w14:paraId="62ADD54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w:t>
            </w:r>
          </w:p>
        </w:tc>
        <w:tc>
          <w:tcPr>
            <w:tcW w:w="1129" w:type="dxa"/>
            <w:tcBorders>
              <w:top w:val="nil"/>
              <w:left w:val="nil"/>
              <w:bottom w:val="single" w:sz="4" w:space="0" w:color="auto"/>
              <w:right w:val="single" w:sz="4" w:space="0" w:color="auto"/>
            </w:tcBorders>
            <w:shd w:val="clear" w:color="auto" w:fill="auto"/>
            <w:vAlign w:val="center"/>
            <w:hideMark/>
          </w:tcPr>
          <w:p w14:paraId="41DD05A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6b </w:t>
            </w:r>
          </w:p>
        </w:tc>
        <w:tc>
          <w:tcPr>
            <w:tcW w:w="1052" w:type="dxa"/>
            <w:tcBorders>
              <w:top w:val="nil"/>
              <w:left w:val="nil"/>
              <w:bottom w:val="single" w:sz="4" w:space="0" w:color="auto"/>
              <w:right w:val="single" w:sz="4" w:space="0" w:color="auto"/>
            </w:tcBorders>
            <w:shd w:val="clear" w:color="auto" w:fill="auto"/>
            <w:vAlign w:val="center"/>
            <w:hideMark/>
          </w:tcPr>
          <w:p w14:paraId="572DA15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0C946F9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358A930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určiť  osobe potrebu ošetrovania</w:t>
            </w:r>
          </w:p>
        </w:tc>
        <w:tc>
          <w:tcPr>
            <w:tcW w:w="1188" w:type="dxa"/>
            <w:tcBorders>
              <w:top w:val="nil"/>
              <w:left w:val="nil"/>
              <w:bottom w:val="single" w:sz="4" w:space="0" w:color="auto"/>
              <w:right w:val="single" w:sz="4" w:space="0" w:color="auto"/>
            </w:tcBorders>
            <w:shd w:val="clear" w:color="auto" w:fill="auto"/>
            <w:vAlign w:val="center"/>
            <w:hideMark/>
          </w:tcPr>
          <w:p w14:paraId="203862B2"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9 619 </w:t>
            </w:r>
          </w:p>
        </w:tc>
        <w:tc>
          <w:tcPr>
            <w:tcW w:w="791" w:type="dxa"/>
            <w:tcBorders>
              <w:top w:val="nil"/>
              <w:left w:val="nil"/>
              <w:bottom w:val="single" w:sz="4" w:space="0" w:color="auto"/>
              <w:right w:val="single" w:sz="4" w:space="0" w:color="auto"/>
            </w:tcBorders>
            <w:shd w:val="clear" w:color="auto" w:fill="auto"/>
            <w:vAlign w:val="center"/>
            <w:hideMark/>
          </w:tcPr>
          <w:p w14:paraId="2E2EFBA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10</w:t>
            </w:r>
          </w:p>
        </w:tc>
        <w:tc>
          <w:tcPr>
            <w:tcW w:w="1109" w:type="dxa"/>
            <w:tcBorders>
              <w:top w:val="nil"/>
              <w:left w:val="nil"/>
              <w:bottom w:val="single" w:sz="4" w:space="0" w:color="auto"/>
              <w:right w:val="single" w:sz="4" w:space="0" w:color="auto"/>
            </w:tcBorders>
            <w:shd w:val="clear" w:color="auto" w:fill="auto"/>
            <w:vAlign w:val="center"/>
            <w:hideMark/>
          </w:tcPr>
          <w:p w14:paraId="5B78862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93 672</w:t>
            </w:r>
          </w:p>
        </w:tc>
        <w:tc>
          <w:tcPr>
            <w:tcW w:w="848" w:type="dxa"/>
            <w:tcBorders>
              <w:top w:val="nil"/>
              <w:left w:val="nil"/>
              <w:bottom w:val="single" w:sz="4" w:space="0" w:color="auto"/>
              <w:right w:val="single" w:sz="4" w:space="0" w:color="auto"/>
            </w:tcBorders>
            <w:shd w:val="clear" w:color="auto" w:fill="auto"/>
            <w:vAlign w:val="center"/>
            <w:hideMark/>
          </w:tcPr>
          <w:p w14:paraId="39BFCCF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0E26825D"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93 672</w:t>
            </w:r>
          </w:p>
        </w:tc>
        <w:tc>
          <w:tcPr>
            <w:tcW w:w="1163" w:type="dxa"/>
            <w:tcBorders>
              <w:top w:val="nil"/>
              <w:left w:val="nil"/>
              <w:bottom w:val="single" w:sz="4" w:space="0" w:color="auto"/>
              <w:right w:val="single" w:sz="4" w:space="0" w:color="auto"/>
            </w:tcBorders>
            <w:shd w:val="clear" w:color="auto" w:fill="auto"/>
            <w:vAlign w:val="center"/>
            <w:hideMark/>
          </w:tcPr>
          <w:p w14:paraId="7663D577"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7917B919" w14:textId="77777777" w:rsidTr="00F84970">
        <w:trPr>
          <w:trHeight w:val="2904"/>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BF9B90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19</w:t>
            </w:r>
          </w:p>
        </w:tc>
        <w:tc>
          <w:tcPr>
            <w:tcW w:w="1940" w:type="dxa"/>
            <w:tcBorders>
              <w:top w:val="nil"/>
              <w:left w:val="nil"/>
              <w:bottom w:val="single" w:sz="4" w:space="0" w:color="auto"/>
              <w:right w:val="single" w:sz="4" w:space="0" w:color="auto"/>
            </w:tcBorders>
            <w:shd w:val="clear" w:color="auto" w:fill="auto"/>
            <w:vAlign w:val="center"/>
            <w:hideMark/>
          </w:tcPr>
          <w:p w14:paraId="563B10A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Elektronizovanie</w:t>
            </w:r>
            <w:proofErr w:type="spellEnd"/>
            <w:r w:rsidRPr="007920B5">
              <w:rPr>
                <w:rFonts w:ascii="Times New Roman" w:eastAsia="Times New Roman" w:hAnsi="Times New Roman" w:cs="Times New Roman"/>
                <w:color w:val="000000"/>
                <w:sz w:val="20"/>
                <w:szCs w:val="20"/>
                <w:lang w:eastAsia="sk-SK"/>
              </w:rPr>
              <w:t xml:space="preserve"> potvrdenia žiadosti o poskytnutie materského pre Sociálnu poisťovňu</w:t>
            </w:r>
          </w:p>
        </w:tc>
        <w:tc>
          <w:tcPr>
            <w:tcW w:w="1142" w:type="dxa"/>
            <w:tcBorders>
              <w:top w:val="nil"/>
              <w:left w:val="nil"/>
              <w:bottom w:val="single" w:sz="4" w:space="0" w:color="auto"/>
              <w:right w:val="single" w:sz="4" w:space="0" w:color="auto"/>
            </w:tcBorders>
            <w:shd w:val="clear" w:color="auto" w:fill="auto"/>
            <w:vAlign w:val="center"/>
            <w:hideMark/>
          </w:tcPr>
          <w:p w14:paraId="32FA1CA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 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402ADC0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5b; § 233 ods. 2 písm. d) </w:t>
            </w:r>
          </w:p>
        </w:tc>
        <w:tc>
          <w:tcPr>
            <w:tcW w:w="1052" w:type="dxa"/>
            <w:tcBorders>
              <w:top w:val="nil"/>
              <w:left w:val="nil"/>
              <w:bottom w:val="single" w:sz="4" w:space="0" w:color="auto"/>
              <w:right w:val="single" w:sz="4" w:space="0" w:color="auto"/>
            </w:tcBorders>
            <w:shd w:val="clear" w:color="auto" w:fill="auto"/>
            <w:vAlign w:val="center"/>
            <w:hideMark/>
          </w:tcPr>
          <w:p w14:paraId="474902A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56F81E1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07A6DBC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potvrdiť žiadosť o materské (gynekologická alebo gynekologicko-pôrodnícka ambulancia)</w:t>
            </w:r>
          </w:p>
        </w:tc>
        <w:tc>
          <w:tcPr>
            <w:tcW w:w="1188" w:type="dxa"/>
            <w:tcBorders>
              <w:top w:val="nil"/>
              <w:left w:val="nil"/>
              <w:bottom w:val="single" w:sz="4" w:space="0" w:color="auto"/>
              <w:right w:val="single" w:sz="4" w:space="0" w:color="auto"/>
            </w:tcBorders>
            <w:shd w:val="clear" w:color="auto" w:fill="auto"/>
            <w:vAlign w:val="center"/>
            <w:hideMark/>
          </w:tcPr>
          <w:p w14:paraId="274B2EF3"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678 </w:t>
            </w:r>
          </w:p>
        </w:tc>
        <w:tc>
          <w:tcPr>
            <w:tcW w:w="791" w:type="dxa"/>
            <w:tcBorders>
              <w:top w:val="nil"/>
              <w:left w:val="nil"/>
              <w:bottom w:val="single" w:sz="4" w:space="0" w:color="auto"/>
              <w:right w:val="single" w:sz="4" w:space="0" w:color="auto"/>
            </w:tcBorders>
            <w:shd w:val="clear" w:color="auto" w:fill="auto"/>
            <w:vAlign w:val="center"/>
            <w:hideMark/>
          </w:tcPr>
          <w:p w14:paraId="0A54F433"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44</w:t>
            </w:r>
          </w:p>
        </w:tc>
        <w:tc>
          <w:tcPr>
            <w:tcW w:w="1109" w:type="dxa"/>
            <w:tcBorders>
              <w:top w:val="nil"/>
              <w:left w:val="nil"/>
              <w:bottom w:val="single" w:sz="4" w:space="0" w:color="auto"/>
              <w:right w:val="single" w:sz="4" w:space="0" w:color="auto"/>
            </w:tcBorders>
            <w:shd w:val="clear" w:color="auto" w:fill="auto"/>
            <w:vAlign w:val="center"/>
            <w:hideMark/>
          </w:tcPr>
          <w:p w14:paraId="78290CC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29 987</w:t>
            </w:r>
          </w:p>
        </w:tc>
        <w:tc>
          <w:tcPr>
            <w:tcW w:w="848" w:type="dxa"/>
            <w:tcBorders>
              <w:top w:val="nil"/>
              <w:left w:val="nil"/>
              <w:bottom w:val="single" w:sz="4" w:space="0" w:color="auto"/>
              <w:right w:val="single" w:sz="4" w:space="0" w:color="auto"/>
            </w:tcBorders>
            <w:shd w:val="clear" w:color="auto" w:fill="auto"/>
            <w:vAlign w:val="center"/>
            <w:hideMark/>
          </w:tcPr>
          <w:p w14:paraId="59DC671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776ACE50"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29 987</w:t>
            </w:r>
          </w:p>
        </w:tc>
        <w:tc>
          <w:tcPr>
            <w:tcW w:w="1163" w:type="dxa"/>
            <w:tcBorders>
              <w:top w:val="nil"/>
              <w:left w:val="nil"/>
              <w:bottom w:val="single" w:sz="4" w:space="0" w:color="auto"/>
              <w:right w:val="single" w:sz="4" w:space="0" w:color="auto"/>
            </w:tcBorders>
            <w:shd w:val="clear" w:color="auto" w:fill="auto"/>
            <w:vAlign w:val="center"/>
            <w:hideMark/>
          </w:tcPr>
          <w:p w14:paraId="5779DCC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7A30D451" w14:textId="77777777" w:rsidTr="00F84970">
        <w:trPr>
          <w:trHeight w:val="3696"/>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E24E91F"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lastRenderedPageBreak/>
              <w:t>20</w:t>
            </w:r>
          </w:p>
        </w:tc>
        <w:tc>
          <w:tcPr>
            <w:tcW w:w="1940" w:type="dxa"/>
            <w:tcBorders>
              <w:top w:val="nil"/>
              <w:left w:val="nil"/>
              <w:bottom w:val="single" w:sz="4" w:space="0" w:color="auto"/>
              <w:right w:val="single" w:sz="4" w:space="0" w:color="auto"/>
            </w:tcBorders>
            <w:shd w:val="clear" w:color="auto" w:fill="auto"/>
            <w:vAlign w:val="center"/>
            <w:hideMark/>
          </w:tcPr>
          <w:p w14:paraId="0910199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Elektronizovanie</w:t>
            </w:r>
            <w:proofErr w:type="spellEnd"/>
            <w:r w:rsidRPr="007920B5">
              <w:rPr>
                <w:rFonts w:ascii="Times New Roman" w:eastAsia="Times New Roman" w:hAnsi="Times New Roman" w:cs="Times New Roman"/>
                <w:color w:val="000000"/>
                <w:sz w:val="20"/>
                <w:szCs w:val="20"/>
                <w:lang w:eastAsia="sk-SK"/>
              </w:rPr>
              <w:t xml:space="preserve"> potvrdenia žiadosti o poskytnutie tehotenského pre Sociálnu poisťovňu</w:t>
            </w:r>
          </w:p>
        </w:tc>
        <w:tc>
          <w:tcPr>
            <w:tcW w:w="1142" w:type="dxa"/>
            <w:tcBorders>
              <w:top w:val="nil"/>
              <w:left w:val="nil"/>
              <w:bottom w:val="single" w:sz="4" w:space="0" w:color="auto"/>
              <w:right w:val="single" w:sz="4" w:space="0" w:color="auto"/>
            </w:tcBorders>
            <w:shd w:val="clear" w:color="auto" w:fill="auto"/>
            <w:vAlign w:val="center"/>
            <w:hideMark/>
          </w:tcPr>
          <w:p w14:paraId="49B35D3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153/2013 z. z.; ; 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010C2E9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5b; § 233 ods. 2 písm. d) a e)</w:t>
            </w:r>
          </w:p>
        </w:tc>
        <w:tc>
          <w:tcPr>
            <w:tcW w:w="1052" w:type="dxa"/>
            <w:tcBorders>
              <w:top w:val="nil"/>
              <w:left w:val="nil"/>
              <w:bottom w:val="single" w:sz="4" w:space="0" w:color="auto"/>
              <w:right w:val="single" w:sz="4" w:space="0" w:color="auto"/>
            </w:tcBorders>
            <w:shd w:val="clear" w:color="auto" w:fill="auto"/>
            <w:vAlign w:val="center"/>
            <w:hideMark/>
          </w:tcPr>
          <w:p w14:paraId="4B6463B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6552764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278FEDA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Poskytovatelia zdravotnej starostlivosti s kompetenciou vytvoriť tehotenskú knižku a potvrdiť žiadosť o tehotenské (gynekologická alebo gynekologicko-pôrodnícka ambulancia)</w:t>
            </w:r>
          </w:p>
        </w:tc>
        <w:tc>
          <w:tcPr>
            <w:tcW w:w="1188" w:type="dxa"/>
            <w:tcBorders>
              <w:top w:val="nil"/>
              <w:left w:val="nil"/>
              <w:bottom w:val="single" w:sz="4" w:space="0" w:color="auto"/>
              <w:right w:val="single" w:sz="4" w:space="0" w:color="auto"/>
            </w:tcBorders>
            <w:shd w:val="clear" w:color="auto" w:fill="auto"/>
            <w:vAlign w:val="center"/>
            <w:hideMark/>
          </w:tcPr>
          <w:p w14:paraId="579C655F"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678 </w:t>
            </w:r>
          </w:p>
        </w:tc>
        <w:tc>
          <w:tcPr>
            <w:tcW w:w="791" w:type="dxa"/>
            <w:tcBorders>
              <w:top w:val="nil"/>
              <w:left w:val="nil"/>
              <w:bottom w:val="single" w:sz="4" w:space="0" w:color="auto"/>
              <w:right w:val="single" w:sz="4" w:space="0" w:color="auto"/>
            </w:tcBorders>
            <w:shd w:val="clear" w:color="auto" w:fill="auto"/>
            <w:vAlign w:val="center"/>
            <w:hideMark/>
          </w:tcPr>
          <w:p w14:paraId="25E9E19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46</w:t>
            </w:r>
          </w:p>
        </w:tc>
        <w:tc>
          <w:tcPr>
            <w:tcW w:w="1109" w:type="dxa"/>
            <w:tcBorders>
              <w:top w:val="nil"/>
              <w:left w:val="nil"/>
              <w:bottom w:val="single" w:sz="4" w:space="0" w:color="auto"/>
              <w:right w:val="single" w:sz="4" w:space="0" w:color="auto"/>
            </w:tcBorders>
            <w:shd w:val="clear" w:color="auto" w:fill="auto"/>
            <w:vAlign w:val="center"/>
            <w:hideMark/>
          </w:tcPr>
          <w:p w14:paraId="187FAC1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31 087</w:t>
            </w:r>
          </w:p>
        </w:tc>
        <w:tc>
          <w:tcPr>
            <w:tcW w:w="848" w:type="dxa"/>
            <w:tcBorders>
              <w:top w:val="nil"/>
              <w:left w:val="nil"/>
              <w:bottom w:val="single" w:sz="4" w:space="0" w:color="auto"/>
              <w:right w:val="single" w:sz="4" w:space="0" w:color="auto"/>
            </w:tcBorders>
            <w:shd w:val="clear" w:color="auto" w:fill="auto"/>
            <w:vAlign w:val="center"/>
            <w:hideMark/>
          </w:tcPr>
          <w:p w14:paraId="74FA4A4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41001754"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31 087</w:t>
            </w:r>
          </w:p>
        </w:tc>
        <w:tc>
          <w:tcPr>
            <w:tcW w:w="1163" w:type="dxa"/>
            <w:tcBorders>
              <w:top w:val="nil"/>
              <w:left w:val="nil"/>
              <w:bottom w:val="single" w:sz="4" w:space="0" w:color="auto"/>
              <w:right w:val="single" w:sz="4" w:space="0" w:color="auto"/>
            </w:tcBorders>
            <w:shd w:val="clear" w:color="auto" w:fill="auto"/>
            <w:vAlign w:val="center"/>
            <w:hideMark/>
          </w:tcPr>
          <w:p w14:paraId="3B8BB87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28F946B6" w14:textId="77777777" w:rsidTr="00F84970">
        <w:trPr>
          <w:trHeight w:val="888"/>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E4E29E0"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21</w:t>
            </w:r>
          </w:p>
        </w:tc>
        <w:tc>
          <w:tcPr>
            <w:tcW w:w="1940" w:type="dxa"/>
            <w:tcBorders>
              <w:top w:val="nil"/>
              <w:left w:val="nil"/>
              <w:bottom w:val="single" w:sz="4" w:space="0" w:color="auto"/>
              <w:right w:val="single" w:sz="4" w:space="0" w:color="auto"/>
            </w:tcBorders>
            <w:shd w:val="clear" w:color="auto" w:fill="auto"/>
            <w:vAlign w:val="center"/>
            <w:hideMark/>
          </w:tcPr>
          <w:p w14:paraId="57A9595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Vypustiť povinnosť zamestnávateľa nahlasovať posledný deň výkonu práce zamestnanca pred vznikom dôvodu na poskytnutie predmetnej nemocenskej dávky.</w:t>
            </w:r>
          </w:p>
        </w:tc>
        <w:tc>
          <w:tcPr>
            <w:tcW w:w="1142" w:type="dxa"/>
            <w:tcBorders>
              <w:top w:val="nil"/>
              <w:left w:val="nil"/>
              <w:bottom w:val="single" w:sz="4" w:space="0" w:color="auto"/>
              <w:right w:val="single" w:sz="4" w:space="0" w:color="auto"/>
            </w:tcBorders>
            <w:shd w:val="clear" w:color="auto" w:fill="auto"/>
            <w:vAlign w:val="center"/>
            <w:hideMark/>
          </w:tcPr>
          <w:p w14:paraId="16D5CFE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239499B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231 ods. 1 písm. q) </w:t>
            </w:r>
          </w:p>
        </w:tc>
        <w:tc>
          <w:tcPr>
            <w:tcW w:w="1052" w:type="dxa"/>
            <w:tcBorders>
              <w:top w:val="nil"/>
              <w:left w:val="nil"/>
              <w:bottom w:val="single" w:sz="4" w:space="0" w:color="auto"/>
              <w:right w:val="single" w:sz="4" w:space="0" w:color="auto"/>
            </w:tcBorders>
            <w:shd w:val="clear" w:color="auto" w:fill="auto"/>
            <w:vAlign w:val="center"/>
            <w:hideMark/>
          </w:tcPr>
          <w:p w14:paraId="16D9FD6A"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43DB8F9E"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59217E8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74FF2075"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457 500 </w:t>
            </w:r>
          </w:p>
        </w:tc>
        <w:tc>
          <w:tcPr>
            <w:tcW w:w="791" w:type="dxa"/>
            <w:tcBorders>
              <w:top w:val="nil"/>
              <w:left w:val="nil"/>
              <w:bottom w:val="single" w:sz="4" w:space="0" w:color="auto"/>
              <w:right w:val="single" w:sz="4" w:space="0" w:color="auto"/>
            </w:tcBorders>
            <w:shd w:val="clear" w:color="auto" w:fill="auto"/>
            <w:vAlign w:val="center"/>
            <w:hideMark/>
          </w:tcPr>
          <w:p w14:paraId="7A8D238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w:t>
            </w:r>
          </w:p>
        </w:tc>
        <w:tc>
          <w:tcPr>
            <w:tcW w:w="1109" w:type="dxa"/>
            <w:tcBorders>
              <w:top w:val="nil"/>
              <w:left w:val="nil"/>
              <w:bottom w:val="single" w:sz="4" w:space="0" w:color="auto"/>
              <w:right w:val="single" w:sz="4" w:space="0" w:color="auto"/>
            </w:tcBorders>
            <w:shd w:val="clear" w:color="auto" w:fill="auto"/>
            <w:vAlign w:val="center"/>
            <w:hideMark/>
          </w:tcPr>
          <w:p w14:paraId="1399228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464 088</w:t>
            </w:r>
          </w:p>
        </w:tc>
        <w:tc>
          <w:tcPr>
            <w:tcW w:w="848" w:type="dxa"/>
            <w:tcBorders>
              <w:top w:val="nil"/>
              <w:left w:val="nil"/>
              <w:bottom w:val="single" w:sz="4" w:space="0" w:color="auto"/>
              <w:right w:val="single" w:sz="4" w:space="0" w:color="auto"/>
            </w:tcBorders>
            <w:shd w:val="clear" w:color="auto" w:fill="auto"/>
            <w:vAlign w:val="center"/>
            <w:hideMark/>
          </w:tcPr>
          <w:p w14:paraId="74CD5958"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proofErr w:type="spellStart"/>
            <w:r w:rsidRPr="007920B5">
              <w:rPr>
                <w:rFonts w:ascii="Times New Roman" w:eastAsia="Times New Roman" w:hAnsi="Times New Roman" w:cs="Times New Roman"/>
                <w:color w:val="000000"/>
                <w:sz w:val="20"/>
                <w:szCs w:val="20"/>
                <w:lang w:eastAsia="sk-SK"/>
              </w:rPr>
              <w:t>Out</w:t>
            </w:r>
            <w:proofErr w:type="spellEnd"/>
            <w:r w:rsidRPr="007920B5">
              <w:rPr>
                <w:rFonts w:ascii="Times New Roman" w:eastAsia="Times New Roman" w:hAnsi="Times New Roman" w:cs="Times New Roman"/>
                <w:color w:val="000000"/>
                <w:sz w:val="20"/>
                <w:szCs w:val="20"/>
                <w:lang w:eastAsia="sk-SK"/>
              </w:rPr>
              <w:t xml:space="preserve"> (znižuje náklady)</w:t>
            </w:r>
          </w:p>
        </w:tc>
        <w:tc>
          <w:tcPr>
            <w:tcW w:w="814" w:type="dxa"/>
            <w:tcBorders>
              <w:top w:val="nil"/>
              <w:left w:val="nil"/>
              <w:bottom w:val="single" w:sz="4" w:space="0" w:color="auto"/>
              <w:right w:val="single" w:sz="4" w:space="0" w:color="auto"/>
            </w:tcBorders>
            <w:shd w:val="clear" w:color="auto" w:fill="auto"/>
            <w:vAlign w:val="center"/>
            <w:hideMark/>
          </w:tcPr>
          <w:p w14:paraId="04E984CD"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464 088</w:t>
            </w:r>
          </w:p>
        </w:tc>
        <w:tc>
          <w:tcPr>
            <w:tcW w:w="1163" w:type="dxa"/>
            <w:tcBorders>
              <w:top w:val="nil"/>
              <w:left w:val="nil"/>
              <w:bottom w:val="single" w:sz="4" w:space="0" w:color="auto"/>
              <w:right w:val="single" w:sz="4" w:space="0" w:color="auto"/>
            </w:tcBorders>
            <w:shd w:val="clear" w:color="auto" w:fill="auto"/>
            <w:vAlign w:val="center"/>
            <w:hideMark/>
          </w:tcPr>
          <w:p w14:paraId="0D985B7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r w:rsidR="00F84970" w:rsidRPr="007920B5" w14:paraId="2D7E1A93" w14:textId="77777777" w:rsidTr="00F84970">
        <w:trPr>
          <w:trHeight w:val="132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7E1A7839"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22</w:t>
            </w:r>
          </w:p>
        </w:tc>
        <w:tc>
          <w:tcPr>
            <w:tcW w:w="1940" w:type="dxa"/>
            <w:tcBorders>
              <w:top w:val="nil"/>
              <w:left w:val="nil"/>
              <w:bottom w:val="single" w:sz="4" w:space="0" w:color="auto"/>
              <w:right w:val="single" w:sz="4" w:space="0" w:color="auto"/>
            </w:tcBorders>
            <w:shd w:val="clear" w:color="auto" w:fill="auto"/>
            <w:vAlign w:val="center"/>
            <w:hideMark/>
          </w:tcPr>
          <w:p w14:paraId="5883272E" w14:textId="7D843332" w:rsidR="007920B5" w:rsidRPr="007920B5" w:rsidRDefault="007920B5" w:rsidP="00C132F7">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Zaviesť povinnosť zamestnávateľa nahlasovať do </w:t>
            </w:r>
            <w:r w:rsidR="00C132F7">
              <w:rPr>
                <w:rFonts w:ascii="Times New Roman" w:eastAsia="Times New Roman" w:hAnsi="Times New Roman" w:cs="Times New Roman"/>
                <w:color w:val="000000"/>
                <w:sz w:val="20"/>
                <w:szCs w:val="20"/>
                <w:lang w:eastAsia="sk-SK"/>
              </w:rPr>
              <w:t>piatich</w:t>
            </w:r>
            <w:r w:rsidR="00C132F7" w:rsidRPr="007920B5">
              <w:rPr>
                <w:rFonts w:ascii="Times New Roman" w:eastAsia="Times New Roman" w:hAnsi="Times New Roman" w:cs="Times New Roman"/>
                <w:color w:val="000000"/>
                <w:sz w:val="20"/>
                <w:szCs w:val="20"/>
                <w:lang w:eastAsia="sk-SK"/>
              </w:rPr>
              <w:t xml:space="preserve"> </w:t>
            </w:r>
            <w:r w:rsidRPr="007920B5">
              <w:rPr>
                <w:rFonts w:ascii="Times New Roman" w:eastAsia="Times New Roman" w:hAnsi="Times New Roman" w:cs="Times New Roman"/>
                <w:color w:val="000000"/>
                <w:sz w:val="20"/>
                <w:szCs w:val="20"/>
                <w:lang w:eastAsia="sk-SK"/>
              </w:rPr>
              <w:t>dní od ukončenia kalendárneho mesiaca dni, v ktorých zamestnanec dosiahol počas trvania nároku na nemocenskú dávku (OČR, materské) vymeriavací základ na platenie poistného na nemocenské poistenie</w:t>
            </w:r>
          </w:p>
        </w:tc>
        <w:tc>
          <w:tcPr>
            <w:tcW w:w="1142" w:type="dxa"/>
            <w:tcBorders>
              <w:top w:val="nil"/>
              <w:left w:val="nil"/>
              <w:bottom w:val="single" w:sz="4" w:space="0" w:color="auto"/>
              <w:right w:val="single" w:sz="4" w:space="0" w:color="auto"/>
            </w:tcBorders>
            <w:shd w:val="clear" w:color="auto" w:fill="auto"/>
            <w:vAlign w:val="center"/>
            <w:hideMark/>
          </w:tcPr>
          <w:p w14:paraId="3A82EEF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zákon č. 461/2003 z. z.</w:t>
            </w:r>
          </w:p>
        </w:tc>
        <w:tc>
          <w:tcPr>
            <w:tcW w:w="1129" w:type="dxa"/>
            <w:tcBorders>
              <w:top w:val="nil"/>
              <w:left w:val="nil"/>
              <w:bottom w:val="single" w:sz="4" w:space="0" w:color="auto"/>
              <w:right w:val="single" w:sz="4" w:space="0" w:color="auto"/>
            </w:tcBorders>
            <w:shd w:val="clear" w:color="auto" w:fill="auto"/>
            <w:vAlign w:val="center"/>
            <w:hideMark/>
          </w:tcPr>
          <w:p w14:paraId="4C158E9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231 ods. 1 písm. q) </w:t>
            </w:r>
          </w:p>
        </w:tc>
        <w:tc>
          <w:tcPr>
            <w:tcW w:w="1052" w:type="dxa"/>
            <w:tcBorders>
              <w:top w:val="nil"/>
              <w:left w:val="nil"/>
              <w:bottom w:val="single" w:sz="4" w:space="0" w:color="auto"/>
              <w:right w:val="single" w:sz="4" w:space="0" w:color="auto"/>
            </w:tcBorders>
            <w:shd w:val="clear" w:color="auto" w:fill="auto"/>
            <w:vAlign w:val="center"/>
            <w:hideMark/>
          </w:tcPr>
          <w:p w14:paraId="720BCDB5"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1.SK</w:t>
            </w:r>
          </w:p>
        </w:tc>
        <w:tc>
          <w:tcPr>
            <w:tcW w:w="987" w:type="dxa"/>
            <w:tcBorders>
              <w:top w:val="nil"/>
              <w:left w:val="nil"/>
              <w:bottom w:val="single" w:sz="4" w:space="0" w:color="auto"/>
              <w:right w:val="single" w:sz="4" w:space="0" w:color="auto"/>
            </w:tcBorders>
            <w:shd w:val="clear" w:color="auto" w:fill="auto"/>
            <w:vAlign w:val="center"/>
            <w:hideMark/>
          </w:tcPr>
          <w:p w14:paraId="49DF81F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01.04.26</w:t>
            </w:r>
          </w:p>
        </w:tc>
        <w:tc>
          <w:tcPr>
            <w:tcW w:w="1415" w:type="dxa"/>
            <w:tcBorders>
              <w:top w:val="nil"/>
              <w:left w:val="nil"/>
              <w:bottom w:val="single" w:sz="4" w:space="0" w:color="auto"/>
              <w:right w:val="single" w:sz="4" w:space="0" w:color="auto"/>
            </w:tcBorders>
            <w:shd w:val="clear" w:color="auto" w:fill="auto"/>
            <w:vAlign w:val="center"/>
            <w:hideMark/>
          </w:tcPr>
          <w:p w14:paraId="1E894862"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Všetky</w:t>
            </w:r>
          </w:p>
        </w:tc>
        <w:tc>
          <w:tcPr>
            <w:tcW w:w="1188" w:type="dxa"/>
            <w:tcBorders>
              <w:top w:val="nil"/>
              <w:left w:val="nil"/>
              <w:bottom w:val="single" w:sz="4" w:space="0" w:color="auto"/>
              <w:right w:val="single" w:sz="4" w:space="0" w:color="auto"/>
            </w:tcBorders>
            <w:shd w:val="clear" w:color="auto" w:fill="auto"/>
            <w:vAlign w:val="center"/>
            <w:hideMark/>
          </w:tcPr>
          <w:p w14:paraId="13AA89CE" w14:textId="77777777" w:rsidR="007920B5" w:rsidRPr="007920B5" w:rsidRDefault="007920B5" w:rsidP="007920B5">
            <w:pPr>
              <w:spacing w:after="0" w:line="240" w:lineRule="auto"/>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 xml:space="preserve">          6 700 </w:t>
            </w:r>
          </w:p>
        </w:tc>
        <w:tc>
          <w:tcPr>
            <w:tcW w:w="791" w:type="dxa"/>
            <w:tcBorders>
              <w:top w:val="nil"/>
              <w:left w:val="nil"/>
              <w:bottom w:val="single" w:sz="4" w:space="0" w:color="auto"/>
              <w:right w:val="single" w:sz="4" w:space="0" w:color="auto"/>
            </w:tcBorders>
            <w:shd w:val="clear" w:color="auto" w:fill="auto"/>
            <w:vAlign w:val="center"/>
            <w:hideMark/>
          </w:tcPr>
          <w:p w14:paraId="10757224"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2</w:t>
            </w:r>
          </w:p>
        </w:tc>
        <w:tc>
          <w:tcPr>
            <w:tcW w:w="1109" w:type="dxa"/>
            <w:tcBorders>
              <w:top w:val="nil"/>
              <w:left w:val="nil"/>
              <w:bottom w:val="single" w:sz="4" w:space="0" w:color="auto"/>
              <w:right w:val="single" w:sz="4" w:space="0" w:color="auto"/>
            </w:tcBorders>
            <w:shd w:val="clear" w:color="auto" w:fill="auto"/>
            <w:vAlign w:val="center"/>
            <w:hideMark/>
          </w:tcPr>
          <w:p w14:paraId="04A87B71"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13 593</w:t>
            </w:r>
          </w:p>
        </w:tc>
        <w:tc>
          <w:tcPr>
            <w:tcW w:w="848" w:type="dxa"/>
            <w:tcBorders>
              <w:top w:val="nil"/>
              <w:left w:val="nil"/>
              <w:bottom w:val="single" w:sz="4" w:space="0" w:color="auto"/>
              <w:right w:val="single" w:sz="4" w:space="0" w:color="auto"/>
            </w:tcBorders>
            <w:shd w:val="clear" w:color="auto" w:fill="auto"/>
            <w:vAlign w:val="center"/>
            <w:hideMark/>
          </w:tcPr>
          <w:p w14:paraId="4E943F8B"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In (zvyšuje náklady)</w:t>
            </w:r>
          </w:p>
        </w:tc>
        <w:tc>
          <w:tcPr>
            <w:tcW w:w="814" w:type="dxa"/>
            <w:tcBorders>
              <w:top w:val="nil"/>
              <w:left w:val="nil"/>
              <w:bottom w:val="single" w:sz="4" w:space="0" w:color="auto"/>
              <w:right w:val="single" w:sz="4" w:space="0" w:color="auto"/>
            </w:tcBorders>
            <w:shd w:val="clear" w:color="auto" w:fill="auto"/>
            <w:vAlign w:val="center"/>
            <w:hideMark/>
          </w:tcPr>
          <w:p w14:paraId="285698C1" w14:textId="77777777" w:rsidR="007920B5" w:rsidRPr="007920B5" w:rsidRDefault="007920B5" w:rsidP="007920B5">
            <w:pPr>
              <w:spacing w:after="0" w:line="240" w:lineRule="auto"/>
              <w:jc w:val="center"/>
              <w:rPr>
                <w:rFonts w:ascii="Times New Roman" w:eastAsia="Times New Roman" w:hAnsi="Times New Roman" w:cs="Times New Roman"/>
                <w:sz w:val="20"/>
                <w:szCs w:val="20"/>
                <w:lang w:eastAsia="sk-SK"/>
              </w:rPr>
            </w:pPr>
            <w:r w:rsidRPr="007920B5">
              <w:rPr>
                <w:rFonts w:ascii="Times New Roman" w:eastAsia="Times New Roman" w:hAnsi="Times New Roman" w:cs="Times New Roman"/>
                <w:sz w:val="20"/>
                <w:szCs w:val="20"/>
                <w:lang w:eastAsia="sk-SK"/>
              </w:rPr>
              <w:t>13 593</w:t>
            </w:r>
          </w:p>
        </w:tc>
        <w:tc>
          <w:tcPr>
            <w:tcW w:w="1163" w:type="dxa"/>
            <w:tcBorders>
              <w:top w:val="nil"/>
              <w:left w:val="nil"/>
              <w:bottom w:val="single" w:sz="4" w:space="0" w:color="auto"/>
              <w:right w:val="single" w:sz="4" w:space="0" w:color="auto"/>
            </w:tcBorders>
            <w:shd w:val="clear" w:color="auto" w:fill="auto"/>
            <w:vAlign w:val="center"/>
            <w:hideMark/>
          </w:tcPr>
          <w:p w14:paraId="1D2EF51D" w14:textId="77777777" w:rsidR="007920B5" w:rsidRPr="007920B5" w:rsidRDefault="007920B5" w:rsidP="007920B5">
            <w:pPr>
              <w:spacing w:after="0" w:line="240" w:lineRule="auto"/>
              <w:jc w:val="center"/>
              <w:rPr>
                <w:rFonts w:ascii="Times New Roman" w:eastAsia="Times New Roman" w:hAnsi="Times New Roman" w:cs="Times New Roman"/>
                <w:color w:val="000000"/>
                <w:sz w:val="20"/>
                <w:szCs w:val="20"/>
                <w:lang w:eastAsia="sk-SK"/>
              </w:rPr>
            </w:pPr>
            <w:r w:rsidRPr="007920B5">
              <w:rPr>
                <w:rFonts w:ascii="Times New Roman" w:eastAsia="Times New Roman" w:hAnsi="Times New Roman" w:cs="Times New Roman"/>
                <w:color w:val="000000"/>
                <w:sz w:val="20"/>
                <w:szCs w:val="20"/>
                <w:lang w:eastAsia="sk-SK"/>
              </w:rPr>
              <w:t>0</w:t>
            </w:r>
          </w:p>
        </w:tc>
      </w:tr>
    </w:tbl>
    <w:p w14:paraId="030ADDF4" w14:textId="02AF1F65" w:rsidR="006D0FF9" w:rsidRPr="006D0FF9" w:rsidRDefault="006D0FF9" w:rsidP="00054C41">
      <w:pPr>
        <w:jc w:val="both"/>
        <w:rPr>
          <w:rFonts w:ascii="Times New Roman" w:eastAsia="Calibri" w:hAnsi="Times New Roman" w:cs="Times New Roman"/>
          <w:bCs/>
          <w:sz w:val="24"/>
          <w:szCs w:val="24"/>
        </w:rPr>
        <w:sectPr w:rsidR="006D0FF9" w:rsidRPr="006D0FF9" w:rsidSect="00142154">
          <w:footerReference w:type="default" r:id="rId9"/>
          <w:pgSz w:w="16838" w:h="11906" w:orient="landscape"/>
          <w:pgMar w:top="1417" w:right="1417" w:bottom="1417" w:left="1417" w:header="708" w:footer="708" w:gutter="0"/>
          <w:cols w:space="708"/>
          <w:docGrid w:linePitch="360"/>
        </w:sectPr>
      </w:pPr>
    </w:p>
    <w:p w14:paraId="52F18613"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16B155BB" w14:textId="77777777"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2C32B4B6" w14:textId="77777777" w:rsidR="000914B9" w:rsidRDefault="000914B9" w:rsidP="00E65A24">
      <w:pPr>
        <w:spacing w:after="0"/>
        <w:jc w:val="both"/>
        <w:rPr>
          <w:rFonts w:ascii="Times New Roman" w:eastAsia="Calibri" w:hAnsi="Times New Roman" w:cs="Times New Roman"/>
          <w:bCs/>
          <w:iCs/>
          <w:color w:val="000000"/>
          <w:sz w:val="24"/>
          <w:szCs w:val="24"/>
        </w:rPr>
      </w:pPr>
    </w:p>
    <w:p w14:paraId="304B726D" w14:textId="77777777" w:rsidR="00164AB6" w:rsidRDefault="00164AB6" w:rsidP="00164AB6">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Opatrenie 1</w:t>
      </w:r>
      <w:r w:rsidRPr="002A78A8">
        <w:rPr>
          <w:rFonts w:ascii="Times New Roman" w:eastAsia="Calibri" w:hAnsi="Times New Roman" w:cs="Times New Roman"/>
          <w:b/>
          <w:bCs/>
          <w:i/>
          <w:iCs/>
          <w:color w:val="000000"/>
          <w:sz w:val="24"/>
          <w:szCs w:val="24"/>
          <w:u w:val="single"/>
        </w:rPr>
        <w:t xml:space="preserve"> (OUT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predpokladáme 2 dotknutých zamestnávateľov  (</w:t>
      </w:r>
      <w:r w:rsidRPr="00E74A2A">
        <w:rPr>
          <w:rFonts w:ascii="Times New Roman" w:eastAsia="Calibri" w:hAnsi="Times New Roman" w:cs="Times New Roman"/>
          <w:bCs/>
          <w:iCs/>
          <w:color w:val="000000"/>
          <w:sz w:val="24"/>
          <w:szCs w:val="24"/>
        </w:rPr>
        <w:t>zdroj:</w:t>
      </w:r>
      <w:r>
        <w:rPr>
          <w:rFonts w:ascii="Times New Roman" w:eastAsia="Calibri" w:hAnsi="Times New Roman" w:cs="Times New Roman"/>
          <w:bCs/>
          <w:iCs/>
          <w:color w:val="000000"/>
          <w:sz w:val="24"/>
          <w:szCs w:val="24"/>
        </w:rPr>
        <w:t xml:space="preserve"> </w:t>
      </w:r>
      <w:r w:rsidRPr="00E74A2A">
        <w:rPr>
          <w:rFonts w:ascii="Times New Roman" w:eastAsia="Calibri" w:hAnsi="Times New Roman" w:cs="Times New Roman"/>
          <w:bCs/>
          <w:iCs/>
          <w:color w:val="000000"/>
          <w:sz w:val="24"/>
          <w:szCs w:val="24"/>
        </w:rPr>
        <w:t>Sociálna poisťovňa</w:t>
      </w:r>
      <w:r>
        <w:rPr>
          <w:rFonts w:ascii="Times New Roman" w:eastAsia="Calibri" w:hAnsi="Times New Roman" w:cs="Times New Roman"/>
          <w:bCs/>
          <w:iCs/>
          <w:color w:val="000000"/>
          <w:sz w:val="24"/>
          <w:szCs w:val="24"/>
        </w:rPr>
        <w:t xml:space="preserve">). </w:t>
      </w:r>
    </w:p>
    <w:p w14:paraId="59717DF0" w14:textId="77777777" w:rsidR="00164AB6" w:rsidRDefault="00164AB6" w:rsidP="00164AB6">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B) Iné poplatky</w:t>
      </w:r>
      <w:r w:rsidRPr="00407530">
        <w:rPr>
          <w:rFonts w:ascii="Times New Roman" w:eastAsia="Calibri" w:hAnsi="Times New Roman" w:cs="Times New Roman"/>
          <w:bCs/>
          <w:iCs/>
          <w:color w:val="000000"/>
          <w:sz w:val="24"/>
          <w:szCs w:val="24"/>
        </w:rPr>
        <w:t xml:space="preserve"> – </w:t>
      </w:r>
      <w:r>
        <w:rPr>
          <w:rFonts w:ascii="Times New Roman" w:eastAsia="Calibri" w:hAnsi="Times New Roman" w:cs="Times New Roman"/>
          <w:bCs/>
          <w:iCs/>
          <w:color w:val="000000"/>
          <w:sz w:val="24"/>
          <w:szCs w:val="24"/>
        </w:rPr>
        <w:t xml:space="preserve">výška nezaplatených úrokov zamestnávateľmi sa predpokladá v sume cca 1,5 tis. eur, čo znamená cca 750 eur na dotknutého zamestnávateľa. </w:t>
      </w:r>
      <w:r w:rsidRPr="00E21884">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Navrhovaná účinnosť je od 1. apríla 2026. </w:t>
      </w:r>
    </w:p>
    <w:p w14:paraId="71F93ED2" w14:textId="77777777" w:rsidR="00164AB6" w:rsidRDefault="00164AB6" w:rsidP="00E65A24">
      <w:pPr>
        <w:spacing w:after="0"/>
        <w:jc w:val="both"/>
        <w:rPr>
          <w:rFonts w:ascii="Times New Roman" w:eastAsia="Calibri" w:hAnsi="Times New Roman" w:cs="Times New Roman"/>
          <w:bCs/>
          <w:iCs/>
          <w:color w:val="000000"/>
          <w:sz w:val="24"/>
          <w:szCs w:val="24"/>
        </w:rPr>
      </w:pPr>
    </w:p>
    <w:p w14:paraId="01EBE7F1" w14:textId="77777777" w:rsidR="00A16A28" w:rsidRPr="00A16A28" w:rsidRDefault="00A16A28" w:rsidP="00E65A24">
      <w:pPr>
        <w:spacing w:after="0"/>
        <w:jc w:val="both"/>
        <w:rPr>
          <w:rFonts w:ascii="Times New Roman" w:eastAsia="Calibri" w:hAnsi="Times New Roman" w:cs="Times New Roman"/>
          <w:bCs/>
          <w:iCs/>
          <w:color w:val="000000"/>
          <w:sz w:val="24"/>
          <w:szCs w:val="24"/>
        </w:rPr>
      </w:pPr>
      <w:r w:rsidRPr="002A78A8">
        <w:rPr>
          <w:rFonts w:ascii="Times New Roman" w:eastAsia="Calibri" w:hAnsi="Times New Roman" w:cs="Times New Roman"/>
          <w:b/>
          <w:bCs/>
          <w:i/>
          <w:iCs/>
          <w:color w:val="000000"/>
          <w:sz w:val="24"/>
          <w:szCs w:val="24"/>
          <w:u w:val="single"/>
        </w:rPr>
        <w:t>Opatrenie 2 (</w:t>
      </w:r>
      <w:r>
        <w:rPr>
          <w:rFonts w:ascii="Times New Roman" w:eastAsia="Calibri" w:hAnsi="Times New Roman" w:cs="Times New Roman"/>
          <w:b/>
          <w:bCs/>
          <w:i/>
          <w:iCs/>
          <w:color w:val="000000"/>
          <w:sz w:val="24"/>
          <w:szCs w:val="24"/>
          <w:u w:val="single"/>
        </w:rPr>
        <w:t>IN</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c</w:t>
      </w:r>
      <w:r w:rsidRPr="00E74A2A">
        <w:rPr>
          <w:rFonts w:ascii="Times New Roman" w:eastAsia="Calibri" w:hAnsi="Times New Roman" w:cs="Times New Roman"/>
          <w:bCs/>
          <w:iCs/>
          <w:color w:val="000000"/>
          <w:sz w:val="24"/>
          <w:szCs w:val="24"/>
        </w:rPr>
        <w:t>elkový počet</w:t>
      </w:r>
      <w:r>
        <w:rPr>
          <w:rFonts w:ascii="Times New Roman" w:eastAsia="Calibri" w:hAnsi="Times New Roman" w:cs="Times New Roman"/>
          <w:bCs/>
          <w:iCs/>
          <w:color w:val="000000"/>
          <w:sz w:val="24"/>
          <w:szCs w:val="24"/>
        </w:rPr>
        <w:t xml:space="preserve"> dotknutých zamestnávateľov sa odhaduje na úrovni cca 1</w:t>
      </w:r>
      <w:r w:rsidR="00C3692F">
        <w:rPr>
          <w:rFonts w:ascii="Times New Roman" w:eastAsia="Calibri" w:hAnsi="Times New Roman" w:cs="Times New Roman"/>
          <w:bCs/>
          <w:iCs/>
          <w:color w:val="000000"/>
          <w:sz w:val="24"/>
          <w:szCs w:val="24"/>
        </w:rPr>
        <w:t>66,5</w:t>
      </w:r>
      <w:r>
        <w:rPr>
          <w:rFonts w:ascii="Times New Roman" w:eastAsia="Calibri" w:hAnsi="Times New Roman" w:cs="Times New Roman"/>
          <w:bCs/>
          <w:iCs/>
          <w:color w:val="000000"/>
          <w:sz w:val="24"/>
          <w:szCs w:val="24"/>
        </w:rPr>
        <w:t xml:space="preserve"> tis., pričom počet zamestnancov vrátane </w:t>
      </w:r>
      <w:proofErr w:type="spellStart"/>
      <w:r>
        <w:rPr>
          <w:rFonts w:ascii="Times New Roman" w:eastAsia="Calibri" w:hAnsi="Times New Roman" w:cs="Times New Roman"/>
          <w:bCs/>
          <w:iCs/>
          <w:color w:val="000000"/>
          <w:sz w:val="24"/>
          <w:szCs w:val="24"/>
        </w:rPr>
        <w:t>dohodárov</w:t>
      </w:r>
      <w:proofErr w:type="spellEnd"/>
      <w:r>
        <w:rPr>
          <w:rFonts w:ascii="Times New Roman" w:eastAsia="Calibri" w:hAnsi="Times New Roman" w:cs="Times New Roman"/>
          <w:bCs/>
          <w:iCs/>
          <w:color w:val="000000"/>
          <w:sz w:val="24"/>
          <w:szCs w:val="24"/>
        </w:rPr>
        <w:t xml:space="preserve"> na úrovni cca </w:t>
      </w:r>
      <w:r w:rsidR="00C3692F">
        <w:rPr>
          <w:rFonts w:ascii="Times New Roman" w:eastAsia="Calibri" w:hAnsi="Times New Roman" w:cs="Times New Roman"/>
          <w:bCs/>
          <w:iCs/>
          <w:color w:val="000000"/>
          <w:sz w:val="24"/>
          <w:szCs w:val="24"/>
        </w:rPr>
        <w:t>1,8</w:t>
      </w:r>
      <w:r>
        <w:rPr>
          <w:rFonts w:ascii="Times New Roman" w:eastAsia="Calibri" w:hAnsi="Times New Roman" w:cs="Times New Roman"/>
          <w:bCs/>
          <w:iCs/>
          <w:color w:val="000000"/>
          <w:sz w:val="24"/>
          <w:szCs w:val="24"/>
        </w:rPr>
        <w:t xml:space="preserve"> mil. (</w:t>
      </w:r>
      <w:proofErr w:type="spellStart"/>
      <w:r w:rsidR="00C3692F">
        <w:rPr>
          <w:rFonts w:ascii="Times New Roman" w:eastAsia="Calibri" w:hAnsi="Times New Roman" w:cs="Times New Roman"/>
          <w:bCs/>
          <w:iCs/>
          <w:color w:val="000000"/>
          <w:sz w:val="24"/>
          <w:szCs w:val="24"/>
        </w:rPr>
        <w:t>mikroúdaje</w:t>
      </w:r>
      <w:proofErr w:type="spellEnd"/>
      <w:r w:rsidR="00C3692F">
        <w:rPr>
          <w:rFonts w:ascii="Times New Roman" w:eastAsia="Calibri" w:hAnsi="Times New Roman" w:cs="Times New Roman"/>
          <w:bCs/>
          <w:iCs/>
          <w:color w:val="000000"/>
          <w:sz w:val="24"/>
          <w:szCs w:val="24"/>
        </w:rPr>
        <w:t xml:space="preserve"> Sociálna poisťovňa spracovanie MPSVR SR</w:t>
      </w:r>
      <w:r w:rsidR="009D7AED">
        <w:rPr>
          <w:rFonts w:ascii="Times New Roman" w:eastAsia="Calibri" w:hAnsi="Times New Roman" w:cs="Times New Roman"/>
          <w:bCs/>
          <w:iCs/>
          <w:color w:val="000000"/>
          <w:sz w:val="24"/>
          <w:szCs w:val="24"/>
        </w:rPr>
        <w:t>;</w:t>
      </w:r>
      <w:r w:rsidR="00970C11">
        <w:rPr>
          <w:rFonts w:ascii="Times New Roman" w:eastAsia="Calibri" w:hAnsi="Times New Roman" w:cs="Times New Roman"/>
          <w:bCs/>
          <w:iCs/>
          <w:color w:val="000000"/>
          <w:sz w:val="24"/>
          <w:szCs w:val="24"/>
        </w:rPr>
        <w:t xml:space="preserve"> </w:t>
      </w:r>
      <w:r w:rsidR="009D7AED">
        <w:rPr>
          <w:rFonts w:ascii="Times New Roman" w:eastAsia="Calibri" w:hAnsi="Times New Roman" w:cs="Times New Roman"/>
          <w:bCs/>
          <w:iCs/>
          <w:color w:val="000000"/>
          <w:sz w:val="24"/>
          <w:szCs w:val="24"/>
        </w:rPr>
        <w:t>počty zamestnávateľov a zamestnancov nezohľadňujú verejnú správu)</w:t>
      </w:r>
      <w:r>
        <w:rPr>
          <w:rFonts w:ascii="Times New Roman" w:eastAsia="Calibri" w:hAnsi="Times New Roman" w:cs="Times New Roman"/>
          <w:bCs/>
          <w:iCs/>
          <w:color w:val="000000"/>
          <w:sz w:val="24"/>
          <w:szCs w:val="24"/>
        </w:rPr>
        <w:t>.</w:t>
      </w:r>
      <w:r w:rsidR="00082D11">
        <w:rPr>
          <w:rFonts w:ascii="Times New Roman" w:eastAsia="Calibri" w:hAnsi="Times New Roman" w:cs="Times New Roman"/>
          <w:bCs/>
          <w:iCs/>
          <w:color w:val="000000"/>
          <w:sz w:val="24"/>
          <w:szCs w:val="24"/>
        </w:rPr>
        <w:t xml:space="preserve"> </w:t>
      </w:r>
    </w:p>
    <w:p w14:paraId="522DC085" w14:textId="77777777" w:rsidR="00F4504B" w:rsidRDefault="00AA64B5" w:rsidP="00F4504B">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00A16A28" w:rsidRPr="00407530">
        <w:rPr>
          <w:rFonts w:ascii="Times New Roman" w:eastAsia="Calibri" w:hAnsi="Times New Roman" w:cs="Times New Roman"/>
          <w:bCs/>
          <w:iCs/>
          <w:color w:val="000000"/>
          <w:sz w:val="24"/>
          <w:szCs w:val="24"/>
        </w:rPr>
        <w:t xml:space="preserve">) Administratívne náklady – </w:t>
      </w:r>
      <w:r w:rsidR="00E70FAB">
        <w:rPr>
          <w:rFonts w:ascii="Times New Roman" w:eastAsia="Calibri" w:hAnsi="Times New Roman" w:cs="Times New Roman"/>
          <w:bCs/>
          <w:iCs/>
          <w:color w:val="000000"/>
          <w:sz w:val="24"/>
          <w:szCs w:val="24"/>
        </w:rPr>
        <w:t>na základe konzultácii so zástupcami zamestnávateľov sa odhaduje rozsah administratívnej povinnosti 5 min.</w:t>
      </w:r>
      <w:r w:rsidR="00082D11">
        <w:rPr>
          <w:rFonts w:ascii="Times New Roman" w:eastAsia="Calibri" w:hAnsi="Times New Roman" w:cs="Times New Roman"/>
          <w:bCs/>
          <w:iCs/>
          <w:color w:val="000000"/>
          <w:sz w:val="24"/>
          <w:szCs w:val="24"/>
        </w:rPr>
        <w:t xml:space="preserve"> Z dôvodu vyššej presnosti bol v kalkulačke nákladov použitý počet úkonov zodpovedajúci počtu poistencov.</w:t>
      </w:r>
      <w:r w:rsidR="00082D11" w:rsidRPr="00E74A2A">
        <w:rPr>
          <w:rFonts w:ascii="Times New Roman" w:eastAsia="Calibri" w:hAnsi="Times New Roman" w:cs="Times New Roman"/>
          <w:bCs/>
          <w:iCs/>
          <w:color w:val="000000"/>
          <w:sz w:val="24"/>
          <w:szCs w:val="24"/>
        </w:rPr>
        <w:t xml:space="preserve"> </w:t>
      </w:r>
      <w:r w:rsidR="00E70FAB">
        <w:rPr>
          <w:rFonts w:ascii="Times New Roman" w:eastAsia="Calibri" w:hAnsi="Times New Roman" w:cs="Times New Roman"/>
          <w:bCs/>
          <w:iCs/>
          <w:color w:val="000000"/>
          <w:sz w:val="24"/>
          <w:szCs w:val="24"/>
        </w:rPr>
        <w:t xml:space="preserve">  N</w:t>
      </w:r>
      <w:r w:rsidR="00F015E0">
        <w:rPr>
          <w:rFonts w:ascii="Times New Roman" w:eastAsia="Calibri" w:hAnsi="Times New Roman" w:cs="Times New Roman"/>
          <w:bCs/>
          <w:iCs/>
          <w:color w:val="000000"/>
          <w:sz w:val="24"/>
          <w:szCs w:val="24"/>
        </w:rPr>
        <w:t xml:space="preserve">astavená frekvencia úkonu </w:t>
      </w:r>
      <w:r w:rsidR="00082D11">
        <w:rPr>
          <w:rFonts w:ascii="Times New Roman" w:eastAsia="Calibri" w:hAnsi="Times New Roman" w:cs="Times New Roman"/>
          <w:bCs/>
          <w:iCs/>
          <w:color w:val="000000"/>
          <w:sz w:val="24"/>
          <w:szCs w:val="24"/>
        </w:rPr>
        <w:t>1-krát ročne</w:t>
      </w:r>
      <w:r w:rsidR="00970C11">
        <w:rPr>
          <w:rFonts w:ascii="Times New Roman" w:eastAsia="Calibri" w:hAnsi="Times New Roman" w:cs="Times New Roman"/>
          <w:bCs/>
          <w:iCs/>
          <w:color w:val="000000"/>
          <w:sz w:val="24"/>
          <w:szCs w:val="24"/>
        </w:rPr>
        <w:t xml:space="preserve"> vzhľadom na štruktúru kalkulačky nákladov</w:t>
      </w:r>
      <w:r w:rsidR="00A16A28">
        <w:rPr>
          <w:rFonts w:ascii="Times New Roman" w:eastAsia="Calibri" w:hAnsi="Times New Roman" w:cs="Times New Roman"/>
          <w:bCs/>
          <w:iCs/>
          <w:color w:val="000000"/>
          <w:sz w:val="24"/>
          <w:szCs w:val="24"/>
        </w:rPr>
        <w:t>, z čoho vychádz</w:t>
      </w:r>
      <w:r w:rsidR="00F4504B">
        <w:rPr>
          <w:rFonts w:ascii="Times New Roman" w:eastAsia="Calibri" w:hAnsi="Times New Roman" w:cs="Times New Roman"/>
          <w:bCs/>
          <w:iCs/>
          <w:color w:val="000000"/>
          <w:sz w:val="24"/>
          <w:szCs w:val="24"/>
        </w:rPr>
        <w:t>ajú</w:t>
      </w:r>
      <w:r w:rsidR="000547BD">
        <w:rPr>
          <w:rFonts w:ascii="Times New Roman" w:eastAsia="Calibri" w:hAnsi="Times New Roman" w:cs="Times New Roman"/>
          <w:bCs/>
          <w:iCs/>
          <w:color w:val="000000"/>
          <w:sz w:val="24"/>
          <w:szCs w:val="24"/>
        </w:rPr>
        <w:t xml:space="preserve"> priemerné</w:t>
      </w:r>
      <w:r w:rsidR="00E70FAB">
        <w:rPr>
          <w:rFonts w:ascii="Times New Roman" w:eastAsia="Calibri" w:hAnsi="Times New Roman" w:cs="Times New Roman"/>
          <w:bCs/>
          <w:iCs/>
          <w:color w:val="000000"/>
          <w:sz w:val="24"/>
          <w:szCs w:val="24"/>
        </w:rPr>
        <w:t xml:space="preserve"> náklady na 1 úkon cca 1 eur</w:t>
      </w:r>
      <w:r w:rsidR="00535B5F">
        <w:rPr>
          <w:rFonts w:ascii="Times New Roman" w:eastAsia="Calibri" w:hAnsi="Times New Roman" w:cs="Times New Roman"/>
          <w:bCs/>
          <w:iCs/>
          <w:color w:val="000000"/>
          <w:sz w:val="24"/>
          <w:szCs w:val="24"/>
        </w:rPr>
        <w:t>o</w:t>
      </w:r>
      <w:r w:rsidR="00A16A28">
        <w:rPr>
          <w:rFonts w:ascii="Times New Roman" w:eastAsia="Calibri" w:hAnsi="Times New Roman" w:cs="Times New Roman"/>
          <w:bCs/>
          <w:iCs/>
          <w:color w:val="000000"/>
          <w:sz w:val="24"/>
          <w:szCs w:val="24"/>
        </w:rPr>
        <w:t xml:space="preserve"> a</w:t>
      </w:r>
      <w:r w:rsidR="000547BD">
        <w:rPr>
          <w:rFonts w:ascii="Times New Roman" w:eastAsia="Calibri" w:hAnsi="Times New Roman" w:cs="Times New Roman"/>
          <w:bCs/>
          <w:iCs/>
          <w:color w:val="000000"/>
          <w:sz w:val="24"/>
          <w:szCs w:val="24"/>
        </w:rPr>
        <w:t xml:space="preserve"> priemerné</w:t>
      </w:r>
      <w:r w:rsidR="00E70FAB">
        <w:rPr>
          <w:rFonts w:ascii="Times New Roman" w:eastAsia="Calibri" w:hAnsi="Times New Roman" w:cs="Times New Roman"/>
          <w:bCs/>
          <w:iCs/>
          <w:color w:val="000000"/>
          <w:sz w:val="24"/>
          <w:szCs w:val="24"/>
        </w:rPr>
        <w:t> náklady na podnikateľa cca 1</w:t>
      </w:r>
      <w:r w:rsidR="00B22194">
        <w:rPr>
          <w:rFonts w:ascii="Times New Roman" w:eastAsia="Calibri" w:hAnsi="Times New Roman" w:cs="Times New Roman"/>
          <w:bCs/>
          <w:iCs/>
          <w:color w:val="000000"/>
          <w:sz w:val="24"/>
          <w:szCs w:val="24"/>
        </w:rPr>
        <w:t>1</w:t>
      </w:r>
      <w:r w:rsidR="00A16A28">
        <w:rPr>
          <w:rFonts w:ascii="Times New Roman" w:eastAsia="Calibri" w:hAnsi="Times New Roman" w:cs="Times New Roman"/>
          <w:bCs/>
          <w:iCs/>
          <w:color w:val="000000"/>
          <w:sz w:val="24"/>
          <w:szCs w:val="24"/>
        </w:rPr>
        <w:t xml:space="preserve"> eur. </w:t>
      </w:r>
      <w:r w:rsidR="0026393F">
        <w:rPr>
          <w:rFonts w:ascii="Times New Roman" w:eastAsia="Calibri" w:hAnsi="Times New Roman" w:cs="Times New Roman"/>
          <w:bCs/>
          <w:iCs/>
          <w:color w:val="000000"/>
          <w:sz w:val="24"/>
          <w:szCs w:val="24"/>
        </w:rPr>
        <w:t>Navrhovaná</w:t>
      </w:r>
      <w:r w:rsidR="00F4504B" w:rsidRPr="00A16A28">
        <w:rPr>
          <w:rFonts w:ascii="Times New Roman" w:eastAsia="Calibri" w:hAnsi="Times New Roman" w:cs="Times New Roman"/>
          <w:bCs/>
          <w:iCs/>
          <w:color w:val="000000"/>
          <w:sz w:val="24"/>
          <w:szCs w:val="24"/>
        </w:rPr>
        <w:t xml:space="preserve"> účinnosť</w:t>
      </w:r>
      <w:r w:rsidR="007C0D59">
        <w:rPr>
          <w:rFonts w:ascii="Times New Roman" w:eastAsia="Calibri" w:hAnsi="Times New Roman" w:cs="Times New Roman"/>
          <w:bCs/>
          <w:iCs/>
          <w:color w:val="000000"/>
          <w:sz w:val="24"/>
          <w:szCs w:val="24"/>
        </w:rPr>
        <w:t xml:space="preserve"> je</w:t>
      </w:r>
      <w:r w:rsidR="00F4504B" w:rsidRPr="00A16A28">
        <w:rPr>
          <w:rFonts w:ascii="Times New Roman" w:eastAsia="Calibri" w:hAnsi="Times New Roman" w:cs="Times New Roman"/>
          <w:bCs/>
          <w:iCs/>
          <w:color w:val="000000"/>
          <w:sz w:val="24"/>
          <w:szCs w:val="24"/>
        </w:rPr>
        <w:t xml:space="preserve"> od 1. </w:t>
      </w:r>
      <w:r w:rsidR="002F3411">
        <w:rPr>
          <w:rFonts w:ascii="Times New Roman" w:eastAsia="Calibri" w:hAnsi="Times New Roman" w:cs="Times New Roman"/>
          <w:bCs/>
          <w:iCs/>
          <w:color w:val="000000"/>
          <w:sz w:val="24"/>
          <w:szCs w:val="24"/>
        </w:rPr>
        <w:t>novembra</w:t>
      </w:r>
      <w:r w:rsidR="002F3411" w:rsidRPr="00A16A28">
        <w:rPr>
          <w:rFonts w:ascii="Times New Roman" w:eastAsia="Calibri" w:hAnsi="Times New Roman" w:cs="Times New Roman"/>
          <w:bCs/>
          <w:iCs/>
          <w:color w:val="000000"/>
          <w:sz w:val="24"/>
          <w:szCs w:val="24"/>
        </w:rPr>
        <w:t xml:space="preserve"> </w:t>
      </w:r>
      <w:r w:rsidR="00F4504B" w:rsidRPr="00A16A28">
        <w:rPr>
          <w:rFonts w:ascii="Times New Roman" w:eastAsia="Calibri" w:hAnsi="Times New Roman" w:cs="Times New Roman"/>
          <w:bCs/>
          <w:iCs/>
          <w:color w:val="000000"/>
          <w:sz w:val="24"/>
          <w:szCs w:val="24"/>
        </w:rPr>
        <w:t>202</w:t>
      </w:r>
      <w:r w:rsidR="002F3411">
        <w:rPr>
          <w:rFonts w:ascii="Times New Roman" w:eastAsia="Calibri" w:hAnsi="Times New Roman" w:cs="Times New Roman"/>
          <w:bCs/>
          <w:iCs/>
          <w:color w:val="000000"/>
          <w:sz w:val="24"/>
          <w:szCs w:val="24"/>
        </w:rPr>
        <w:t>5</w:t>
      </w:r>
      <w:r w:rsidR="00F4504B" w:rsidRPr="00A16A28">
        <w:rPr>
          <w:rFonts w:ascii="Times New Roman" w:eastAsia="Calibri" w:hAnsi="Times New Roman" w:cs="Times New Roman"/>
          <w:bCs/>
          <w:iCs/>
          <w:color w:val="000000"/>
          <w:sz w:val="24"/>
          <w:szCs w:val="24"/>
        </w:rPr>
        <w:t xml:space="preserve">. </w:t>
      </w:r>
    </w:p>
    <w:p w14:paraId="403FA275" w14:textId="77777777" w:rsidR="00A16A28" w:rsidRDefault="00A16A28" w:rsidP="00F4504B">
      <w:pPr>
        <w:spacing w:after="0"/>
        <w:jc w:val="both"/>
        <w:rPr>
          <w:rFonts w:ascii="Times New Roman" w:eastAsia="Calibri" w:hAnsi="Times New Roman" w:cs="Times New Roman"/>
          <w:bCs/>
          <w:iCs/>
          <w:color w:val="000000"/>
          <w:sz w:val="24"/>
          <w:szCs w:val="24"/>
        </w:rPr>
      </w:pPr>
      <w:r w:rsidRPr="00E74A2A">
        <w:rPr>
          <w:rFonts w:ascii="Times New Roman" w:eastAsia="Calibri" w:hAnsi="Times New Roman" w:cs="Times New Roman"/>
          <w:bCs/>
          <w:iCs/>
          <w:color w:val="000000"/>
          <w:sz w:val="24"/>
          <w:szCs w:val="24"/>
        </w:rPr>
        <w:t xml:space="preserve"> </w:t>
      </w:r>
    </w:p>
    <w:p w14:paraId="644841D0" w14:textId="77777777" w:rsidR="00761CF2" w:rsidRPr="00A16A28" w:rsidRDefault="00761CF2" w:rsidP="00761CF2">
      <w:pPr>
        <w:spacing w:after="0"/>
        <w:jc w:val="both"/>
        <w:rPr>
          <w:rFonts w:ascii="Times New Roman" w:eastAsia="Calibri" w:hAnsi="Times New Roman" w:cs="Times New Roman"/>
          <w:bCs/>
          <w:iCs/>
          <w:color w:val="000000"/>
          <w:sz w:val="24"/>
          <w:szCs w:val="24"/>
        </w:rPr>
      </w:pPr>
      <w:r w:rsidRPr="002A78A8">
        <w:rPr>
          <w:rFonts w:ascii="Times New Roman" w:eastAsia="Calibri" w:hAnsi="Times New Roman" w:cs="Times New Roman"/>
          <w:b/>
          <w:bCs/>
          <w:i/>
          <w:iCs/>
          <w:color w:val="000000"/>
          <w:sz w:val="24"/>
          <w:szCs w:val="24"/>
          <w:u w:val="single"/>
        </w:rPr>
        <w:t xml:space="preserve">Opatrenie </w:t>
      </w:r>
      <w:r>
        <w:rPr>
          <w:rFonts w:ascii="Times New Roman" w:eastAsia="Calibri" w:hAnsi="Times New Roman" w:cs="Times New Roman"/>
          <w:b/>
          <w:bCs/>
          <w:i/>
          <w:iCs/>
          <w:color w:val="000000"/>
          <w:sz w:val="24"/>
          <w:szCs w:val="24"/>
          <w:u w:val="single"/>
        </w:rPr>
        <w:t>3</w:t>
      </w:r>
      <w:r w:rsidRPr="002A78A8">
        <w:rPr>
          <w:rFonts w:ascii="Times New Roman" w:eastAsia="Calibri" w:hAnsi="Times New Roman" w:cs="Times New Roman"/>
          <w:b/>
          <w:bCs/>
          <w:i/>
          <w:iCs/>
          <w:color w:val="000000"/>
          <w:sz w:val="24"/>
          <w:szCs w:val="24"/>
          <w:u w:val="single"/>
        </w:rPr>
        <w:t xml:space="preserve"> (</w:t>
      </w:r>
      <w:r>
        <w:rPr>
          <w:rFonts w:ascii="Times New Roman" w:eastAsia="Calibri" w:hAnsi="Times New Roman" w:cs="Times New Roman"/>
          <w:b/>
          <w:bCs/>
          <w:i/>
          <w:iCs/>
          <w:color w:val="000000"/>
          <w:sz w:val="24"/>
          <w:szCs w:val="24"/>
          <w:u w:val="single"/>
        </w:rPr>
        <w:t>IN</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celkový počet novoprijatých zamestnancov vrátane </w:t>
      </w:r>
      <w:proofErr w:type="spellStart"/>
      <w:r>
        <w:rPr>
          <w:rFonts w:ascii="Times New Roman" w:eastAsia="Calibri" w:hAnsi="Times New Roman" w:cs="Times New Roman"/>
          <w:bCs/>
          <w:iCs/>
          <w:color w:val="000000"/>
          <w:sz w:val="24"/>
          <w:szCs w:val="24"/>
        </w:rPr>
        <w:t>dohodárov</w:t>
      </w:r>
      <w:proofErr w:type="spellEnd"/>
      <w:r w:rsidR="00F11101">
        <w:rPr>
          <w:rFonts w:ascii="Times New Roman" w:eastAsia="Calibri" w:hAnsi="Times New Roman" w:cs="Times New Roman"/>
          <w:bCs/>
          <w:iCs/>
          <w:color w:val="000000"/>
          <w:sz w:val="24"/>
          <w:szCs w:val="24"/>
        </w:rPr>
        <w:t xml:space="preserve"> odhadujeme</w:t>
      </w:r>
      <w:r>
        <w:rPr>
          <w:rFonts w:ascii="Times New Roman" w:eastAsia="Calibri" w:hAnsi="Times New Roman" w:cs="Times New Roman"/>
          <w:bCs/>
          <w:iCs/>
          <w:color w:val="000000"/>
          <w:sz w:val="24"/>
          <w:szCs w:val="24"/>
        </w:rPr>
        <w:t xml:space="preserve"> na úrovni cca </w:t>
      </w:r>
      <w:r w:rsidR="007F6846">
        <w:rPr>
          <w:rFonts w:ascii="Times New Roman" w:eastAsia="Calibri" w:hAnsi="Times New Roman" w:cs="Times New Roman"/>
          <w:bCs/>
          <w:iCs/>
          <w:color w:val="000000"/>
          <w:sz w:val="24"/>
          <w:szCs w:val="24"/>
        </w:rPr>
        <w:t>270</w:t>
      </w:r>
      <w:r w:rsidR="00F11101">
        <w:rPr>
          <w:rFonts w:ascii="Times New Roman" w:eastAsia="Calibri" w:hAnsi="Times New Roman" w:cs="Times New Roman"/>
          <w:bCs/>
          <w:iCs/>
          <w:color w:val="000000"/>
          <w:sz w:val="24"/>
          <w:szCs w:val="24"/>
        </w:rPr>
        <w:t xml:space="preserve"> tis</w:t>
      </w:r>
      <w:r>
        <w:rPr>
          <w:rFonts w:ascii="Times New Roman" w:eastAsia="Calibri" w:hAnsi="Times New Roman" w:cs="Times New Roman"/>
          <w:bCs/>
          <w:iCs/>
          <w:color w:val="000000"/>
          <w:sz w:val="24"/>
          <w:szCs w:val="24"/>
        </w:rPr>
        <w:t>.</w:t>
      </w:r>
      <w:r w:rsidR="00F11101">
        <w:rPr>
          <w:rFonts w:ascii="Times New Roman" w:eastAsia="Calibri" w:hAnsi="Times New Roman" w:cs="Times New Roman"/>
          <w:bCs/>
          <w:iCs/>
          <w:color w:val="000000"/>
          <w:sz w:val="24"/>
          <w:szCs w:val="24"/>
        </w:rPr>
        <w:t xml:space="preserve"> (predpoklad fluktuácie a</w:t>
      </w:r>
      <w:r w:rsidR="007F6846">
        <w:rPr>
          <w:rFonts w:ascii="Times New Roman" w:eastAsia="Calibri" w:hAnsi="Times New Roman" w:cs="Times New Roman"/>
          <w:bCs/>
          <w:iCs/>
          <w:color w:val="000000"/>
          <w:sz w:val="24"/>
          <w:szCs w:val="24"/>
        </w:rPr>
        <w:t> vstupujúcich na trh práce cca 2</w:t>
      </w:r>
      <w:r w:rsidR="00F11101">
        <w:rPr>
          <w:rFonts w:ascii="Times New Roman" w:eastAsia="Calibri" w:hAnsi="Times New Roman" w:cs="Times New Roman"/>
          <w:bCs/>
          <w:iCs/>
          <w:color w:val="000000"/>
          <w:sz w:val="24"/>
          <w:szCs w:val="24"/>
        </w:rPr>
        <w:t xml:space="preserve">0% z celkového počtu 1,8 mil. poistencov a prispôsobené </w:t>
      </w:r>
      <w:r w:rsidR="007F6846">
        <w:rPr>
          <w:rFonts w:ascii="Times New Roman" w:eastAsia="Calibri" w:hAnsi="Times New Roman" w:cs="Times New Roman"/>
          <w:bCs/>
          <w:iCs/>
          <w:color w:val="000000"/>
          <w:sz w:val="24"/>
          <w:szCs w:val="24"/>
        </w:rPr>
        <w:t>účinnosti 1. apríla 2026</w:t>
      </w:r>
      <w:r w:rsidR="00F11101">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 </w:t>
      </w:r>
    </w:p>
    <w:p w14:paraId="4311A433" w14:textId="77777777" w:rsidR="00761CF2" w:rsidRDefault="00761CF2" w:rsidP="00761CF2">
      <w:pPr>
        <w:jc w:val="both"/>
        <w:rPr>
          <w:rFonts w:ascii="Times New Roman" w:eastAsia="Calibri" w:hAnsi="Times New Roman" w:cs="Times New Roman"/>
          <w:b/>
          <w:bCs/>
          <w:i/>
          <w:iCs/>
          <w:color w:val="000000"/>
          <w:sz w:val="24"/>
          <w:szCs w:val="24"/>
          <w:u w:val="single"/>
        </w:rPr>
      </w:pPr>
      <w:r>
        <w:rPr>
          <w:rFonts w:ascii="Times New Roman" w:eastAsia="Calibri" w:hAnsi="Times New Roman" w:cs="Times New Roman"/>
          <w:bCs/>
          <w:iCs/>
          <w:color w:val="000000"/>
          <w:sz w:val="24"/>
          <w:szCs w:val="24"/>
        </w:rPr>
        <w:t>E</w:t>
      </w:r>
      <w:r w:rsidRPr="00407530">
        <w:rPr>
          <w:rFonts w:ascii="Times New Roman" w:eastAsia="Calibri" w:hAnsi="Times New Roman" w:cs="Times New Roman"/>
          <w:bCs/>
          <w:iCs/>
          <w:color w:val="000000"/>
          <w:sz w:val="24"/>
          <w:szCs w:val="24"/>
        </w:rPr>
        <w:t xml:space="preserve">) Administratívne náklady – </w:t>
      </w:r>
      <w:r>
        <w:rPr>
          <w:rFonts w:ascii="Times New Roman" w:eastAsia="Calibri" w:hAnsi="Times New Roman" w:cs="Times New Roman"/>
          <w:bCs/>
          <w:iCs/>
          <w:color w:val="000000"/>
          <w:sz w:val="24"/>
          <w:szCs w:val="24"/>
        </w:rPr>
        <w:t>na základe konzultácii so zástupcami zamestnávateľov sa odhaduje rozsah administratívnej povinnosti 5 min. Z dôvodu vyššej presnosti bol v kalkulačke nákladov použitý počet úkonov zodpovedajúci počtu poistencov.</w:t>
      </w:r>
      <w:r w:rsidRPr="00E74A2A">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  Nastavená frekvencia úkonu 1-krát ročne vzhľadom n</w:t>
      </w:r>
      <w:r w:rsidR="00F11101">
        <w:rPr>
          <w:rFonts w:ascii="Times New Roman" w:eastAsia="Calibri" w:hAnsi="Times New Roman" w:cs="Times New Roman"/>
          <w:bCs/>
          <w:iCs/>
          <w:color w:val="000000"/>
          <w:sz w:val="24"/>
          <w:szCs w:val="24"/>
        </w:rPr>
        <w:t>a štruktúru kalkulačky nákladov</w:t>
      </w:r>
      <w:r>
        <w:rPr>
          <w:rFonts w:ascii="Times New Roman" w:eastAsia="Calibri" w:hAnsi="Times New Roman" w:cs="Times New Roman"/>
          <w:bCs/>
          <w:iCs/>
          <w:color w:val="000000"/>
          <w:sz w:val="24"/>
          <w:szCs w:val="24"/>
        </w:rPr>
        <w:t>, z čoho vychádzajú priemerné náklady na 1 úkon cca 1 eur</w:t>
      </w:r>
      <w:r w:rsidR="00535B5F">
        <w:rPr>
          <w:rFonts w:ascii="Times New Roman" w:eastAsia="Calibri" w:hAnsi="Times New Roman" w:cs="Times New Roman"/>
          <w:bCs/>
          <w:iCs/>
          <w:color w:val="000000"/>
          <w:sz w:val="24"/>
          <w:szCs w:val="24"/>
        </w:rPr>
        <w:t>o</w:t>
      </w:r>
      <w:r>
        <w:rPr>
          <w:rFonts w:ascii="Times New Roman" w:eastAsia="Calibri" w:hAnsi="Times New Roman" w:cs="Times New Roman"/>
          <w:bCs/>
          <w:iCs/>
          <w:color w:val="000000"/>
          <w:sz w:val="24"/>
          <w:szCs w:val="24"/>
        </w:rPr>
        <w:t>. Navrhovaná</w:t>
      </w:r>
      <w:r w:rsidRPr="00A16A28">
        <w:rPr>
          <w:rFonts w:ascii="Times New Roman" w:eastAsia="Calibri" w:hAnsi="Times New Roman" w:cs="Times New Roman"/>
          <w:bCs/>
          <w:iCs/>
          <w:color w:val="000000"/>
          <w:sz w:val="24"/>
          <w:szCs w:val="24"/>
        </w:rPr>
        <w:t xml:space="preserve"> účinnosť</w:t>
      </w:r>
      <w:r>
        <w:rPr>
          <w:rFonts w:ascii="Times New Roman" w:eastAsia="Calibri" w:hAnsi="Times New Roman" w:cs="Times New Roman"/>
          <w:bCs/>
          <w:iCs/>
          <w:color w:val="000000"/>
          <w:sz w:val="24"/>
          <w:szCs w:val="24"/>
        </w:rPr>
        <w:t xml:space="preserve"> je</w:t>
      </w:r>
      <w:r w:rsidRPr="00A16A28">
        <w:rPr>
          <w:rFonts w:ascii="Times New Roman" w:eastAsia="Calibri" w:hAnsi="Times New Roman" w:cs="Times New Roman"/>
          <w:bCs/>
          <w:iCs/>
          <w:color w:val="000000"/>
          <w:sz w:val="24"/>
          <w:szCs w:val="24"/>
        </w:rPr>
        <w:t xml:space="preserve"> od 1. </w:t>
      </w:r>
      <w:r w:rsidR="00F11101">
        <w:rPr>
          <w:rFonts w:ascii="Times New Roman" w:eastAsia="Calibri" w:hAnsi="Times New Roman" w:cs="Times New Roman"/>
          <w:bCs/>
          <w:iCs/>
          <w:color w:val="000000"/>
          <w:sz w:val="24"/>
          <w:szCs w:val="24"/>
        </w:rPr>
        <w:t>apríla</w:t>
      </w:r>
      <w:r w:rsidRPr="00A16A28">
        <w:rPr>
          <w:rFonts w:ascii="Times New Roman" w:eastAsia="Calibri" w:hAnsi="Times New Roman" w:cs="Times New Roman"/>
          <w:bCs/>
          <w:iCs/>
          <w:color w:val="000000"/>
          <w:sz w:val="24"/>
          <w:szCs w:val="24"/>
        </w:rPr>
        <w:t xml:space="preserve"> 202</w:t>
      </w:r>
      <w:r w:rsidR="00F11101">
        <w:rPr>
          <w:rFonts w:ascii="Times New Roman" w:eastAsia="Calibri" w:hAnsi="Times New Roman" w:cs="Times New Roman"/>
          <w:bCs/>
          <w:iCs/>
          <w:color w:val="000000"/>
          <w:sz w:val="24"/>
          <w:szCs w:val="24"/>
        </w:rPr>
        <w:t>6</w:t>
      </w:r>
      <w:r w:rsidRPr="00A16A28">
        <w:rPr>
          <w:rFonts w:ascii="Times New Roman" w:eastAsia="Calibri" w:hAnsi="Times New Roman" w:cs="Times New Roman"/>
          <w:bCs/>
          <w:iCs/>
          <w:color w:val="000000"/>
          <w:sz w:val="24"/>
          <w:szCs w:val="24"/>
        </w:rPr>
        <w:t>.</w:t>
      </w:r>
    </w:p>
    <w:p w14:paraId="16D517FD" w14:textId="77777777" w:rsidR="00F4504B" w:rsidRDefault="004772F7" w:rsidP="00F4504B">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761CF2">
        <w:rPr>
          <w:rFonts w:ascii="Times New Roman" w:eastAsia="Calibri" w:hAnsi="Times New Roman" w:cs="Times New Roman"/>
          <w:b/>
          <w:bCs/>
          <w:i/>
          <w:iCs/>
          <w:color w:val="000000"/>
          <w:sz w:val="24"/>
          <w:szCs w:val="24"/>
          <w:u w:val="single"/>
        </w:rPr>
        <w:t>4</w:t>
      </w:r>
      <w:r w:rsidR="00F4504B" w:rsidRPr="002A78A8">
        <w:rPr>
          <w:rFonts w:ascii="Times New Roman" w:eastAsia="Calibri" w:hAnsi="Times New Roman" w:cs="Times New Roman"/>
          <w:b/>
          <w:bCs/>
          <w:i/>
          <w:iCs/>
          <w:color w:val="000000"/>
          <w:sz w:val="24"/>
          <w:szCs w:val="24"/>
          <w:u w:val="single"/>
        </w:rPr>
        <w:t xml:space="preserve"> (OUT</w:t>
      </w:r>
      <w:r w:rsidR="00F4504B" w:rsidRPr="00E74A2A">
        <w:rPr>
          <w:rFonts w:ascii="Times New Roman" w:eastAsia="Calibri" w:hAnsi="Times New Roman" w:cs="Times New Roman"/>
          <w:b/>
          <w:bCs/>
          <w:i/>
          <w:iCs/>
          <w:color w:val="000000"/>
          <w:sz w:val="24"/>
          <w:szCs w:val="24"/>
        </w:rPr>
        <w:t>)</w:t>
      </w:r>
      <w:r w:rsidR="00F4504B">
        <w:rPr>
          <w:rFonts w:ascii="Times New Roman" w:eastAsia="Calibri" w:hAnsi="Times New Roman" w:cs="Times New Roman"/>
          <w:b/>
          <w:bCs/>
          <w:i/>
          <w:iCs/>
          <w:color w:val="000000"/>
          <w:sz w:val="24"/>
          <w:szCs w:val="24"/>
        </w:rPr>
        <w:t xml:space="preserve"> –</w:t>
      </w:r>
      <w:r w:rsidR="00F4504B">
        <w:rPr>
          <w:rFonts w:ascii="Times New Roman" w:eastAsia="Calibri" w:hAnsi="Times New Roman" w:cs="Times New Roman"/>
          <w:bCs/>
          <w:iCs/>
          <w:color w:val="000000"/>
          <w:sz w:val="24"/>
          <w:szCs w:val="24"/>
        </w:rPr>
        <w:t xml:space="preserve"> počet dotknutých zamestnávateľov predpokladáme na úrovni cca 45 tis. (</w:t>
      </w:r>
      <w:r w:rsidR="00F4504B" w:rsidRPr="00E74A2A">
        <w:rPr>
          <w:rFonts w:ascii="Times New Roman" w:eastAsia="Calibri" w:hAnsi="Times New Roman" w:cs="Times New Roman"/>
          <w:bCs/>
          <w:iCs/>
          <w:color w:val="000000"/>
          <w:sz w:val="24"/>
          <w:szCs w:val="24"/>
        </w:rPr>
        <w:t>zdroj:</w:t>
      </w:r>
      <w:r w:rsidR="00F4504B">
        <w:rPr>
          <w:rFonts w:ascii="Times New Roman" w:eastAsia="Calibri" w:hAnsi="Times New Roman" w:cs="Times New Roman"/>
          <w:bCs/>
          <w:iCs/>
          <w:color w:val="000000"/>
          <w:sz w:val="24"/>
          <w:szCs w:val="24"/>
        </w:rPr>
        <w:t xml:space="preserve"> </w:t>
      </w:r>
      <w:proofErr w:type="spellStart"/>
      <w:r w:rsidR="00F4504B">
        <w:rPr>
          <w:rFonts w:ascii="Times New Roman" w:eastAsia="Calibri" w:hAnsi="Times New Roman" w:cs="Times New Roman"/>
          <w:bCs/>
          <w:iCs/>
          <w:color w:val="000000"/>
          <w:sz w:val="24"/>
          <w:szCs w:val="24"/>
        </w:rPr>
        <w:t>mikroúdaje</w:t>
      </w:r>
      <w:proofErr w:type="spellEnd"/>
      <w:r w:rsidR="00F4504B" w:rsidRPr="00E74A2A">
        <w:rPr>
          <w:rFonts w:ascii="Times New Roman" w:eastAsia="Calibri" w:hAnsi="Times New Roman" w:cs="Times New Roman"/>
          <w:bCs/>
          <w:iCs/>
          <w:color w:val="000000"/>
          <w:sz w:val="24"/>
          <w:szCs w:val="24"/>
        </w:rPr>
        <w:t xml:space="preserve"> Sociálna poisťovňa</w:t>
      </w:r>
      <w:r w:rsidR="00F4504B">
        <w:rPr>
          <w:rFonts w:ascii="Times New Roman" w:eastAsia="Calibri" w:hAnsi="Times New Roman" w:cs="Times New Roman"/>
          <w:bCs/>
          <w:iCs/>
          <w:color w:val="000000"/>
          <w:sz w:val="24"/>
          <w:szCs w:val="24"/>
        </w:rPr>
        <w:t xml:space="preserve"> spracovanie MPSVR SR</w:t>
      </w:r>
      <w:r>
        <w:rPr>
          <w:rFonts w:ascii="Times New Roman" w:eastAsia="Calibri" w:hAnsi="Times New Roman" w:cs="Times New Roman"/>
          <w:bCs/>
          <w:iCs/>
          <w:color w:val="000000"/>
          <w:sz w:val="24"/>
          <w:szCs w:val="24"/>
        </w:rPr>
        <w:t xml:space="preserve">) a počet práceneschopností u zamestnancov </w:t>
      </w:r>
      <w:r w:rsidR="00F015E0">
        <w:rPr>
          <w:rFonts w:ascii="Times New Roman" w:eastAsia="Calibri" w:hAnsi="Times New Roman" w:cs="Times New Roman"/>
          <w:bCs/>
          <w:iCs/>
          <w:color w:val="000000"/>
          <w:sz w:val="24"/>
          <w:szCs w:val="24"/>
        </w:rPr>
        <w:t>cca 596</w:t>
      </w:r>
      <w:r>
        <w:rPr>
          <w:rFonts w:ascii="Times New Roman" w:eastAsia="Calibri" w:hAnsi="Times New Roman" w:cs="Times New Roman"/>
          <w:bCs/>
          <w:iCs/>
          <w:color w:val="000000"/>
          <w:sz w:val="24"/>
          <w:szCs w:val="24"/>
        </w:rPr>
        <w:t xml:space="preserve"> tis.</w:t>
      </w:r>
      <w:r w:rsidR="00844EB4">
        <w:rPr>
          <w:rFonts w:ascii="Times New Roman" w:eastAsia="Calibri" w:hAnsi="Times New Roman" w:cs="Times New Roman"/>
          <w:bCs/>
          <w:iCs/>
          <w:color w:val="000000"/>
          <w:sz w:val="24"/>
          <w:szCs w:val="24"/>
        </w:rPr>
        <w:t xml:space="preserve"> (zdroj: Sociálna poisťovňa za rok 2024).</w:t>
      </w:r>
      <w:r>
        <w:rPr>
          <w:rFonts w:ascii="Times New Roman" w:eastAsia="Calibri" w:hAnsi="Times New Roman" w:cs="Times New Roman"/>
          <w:bCs/>
          <w:iCs/>
          <w:color w:val="000000"/>
          <w:sz w:val="24"/>
          <w:szCs w:val="24"/>
        </w:rPr>
        <w:t xml:space="preserve"> Všetky početnosti prispôsobené účinnosti od 1. apríla 2026. </w:t>
      </w:r>
      <w:r w:rsidR="00F4504B">
        <w:rPr>
          <w:rFonts w:ascii="Times New Roman" w:eastAsia="Calibri" w:hAnsi="Times New Roman" w:cs="Times New Roman"/>
          <w:bCs/>
          <w:iCs/>
          <w:color w:val="000000"/>
          <w:sz w:val="24"/>
          <w:szCs w:val="24"/>
        </w:rPr>
        <w:t xml:space="preserve"> </w:t>
      </w:r>
    </w:p>
    <w:p w14:paraId="08060820" w14:textId="77777777" w:rsidR="00E70FAB" w:rsidRDefault="00AA64B5" w:rsidP="00E70FAB">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004772F7" w:rsidRPr="00407530">
        <w:rPr>
          <w:rFonts w:ascii="Times New Roman" w:eastAsia="Calibri" w:hAnsi="Times New Roman" w:cs="Times New Roman"/>
          <w:bCs/>
          <w:iCs/>
          <w:color w:val="000000"/>
          <w:sz w:val="24"/>
          <w:szCs w:val="24"/>
        </w:rPr>
        <w:t xml:space="preserve">) Administratívne náklady – </w:t>
      </w:r>
      <w:r w:rsidR="000914B9">
        <w:rPr>
          <w:rFonts w:ascii="Times New Roman" w:eastAsia="Calibri" w:hAnsi="Times New Roman" w:cs="Times New Roman"/>
          <w:bCs/>
          <w:iCs/>
          <w:color w:val="000000"/>
          <w:sz w:val="24"/>
          <w:szCs w:val="24"/>
        </w:rPr>
        <w:t>na základe konzultácii so zástupcami zamestnávateľov sa odhaduje rozsah administratívnej povinnosti 5 min.</w:t>
      </w:r>
      <w:r w:rsidR="00082D11">
        <w:rPr>
          <w:rFonts w:ascii="Times New Roman" w:eastAsia="Calibri" w:hAnsi="Times New Roman" w:cs="Times New Roman"/>
          <w:bCs/>
          <w:iCs/>
          <w:color w:val="000000"/>
          <w:sz w:val="24"/>
          <w:szCs w:val="24"/>
        </w:rPr>
        <w:t xml:space="preserve"> Z dôvodu vyššej presnosti bol v kalkulačke nákladov použitý počet úkonov zodpovedajúci počtu práceneschopnosti</w:t>
      </w:r>
      <w:r w:rsidR="00B22194">
        <w:rPr>
          <w:rFonts w:ascii="Times New Roman" w:eastAsia="Calibri" w:hAnsi="Times New Roman" w:cs="Times New Roman"/>
          <w:bCs/>
          <w:iCs/>
          <w:color w:val="000000"/>
          <w:sz w:val="24"/>
          <w:szCs w:val="24"/>
        </w:rPr>
        <w:t xml:space="preserve"> u zamestnancov</w:t>
      </w:r>
      <w:r w:rsidR="00082D11">
        <w:rPr>
          <w:rFonts w:ascii="Times New Roman" w:eastAsia="Calibri" w:hAnsi="Times New Roman" w:cs="Times New Roman"/>
          <w:bCs/>
          <w:iCs/>
          <w:color w:val="000000"/>
          <w:sz w:val="24"/>
          <w:szCs w:val="24"/>
        </w:rPr>
        <w:t>.</w:t>
      </w:r>
      <w:r w:rsidR="00082D11" w:rsidRPr="00E74A2A">
        <w:rPr>
          <w:rFonts w:ascii="Times New Roman" w:eastAsia="Calibri" w:hAnsi="Times New Roman" w:cs="Times New Roman"/>
          <w:bCs/>
          <w:iCs/>
          <w:color w:val="000000"/>
          <w:sz w:val="24"/>
          <w:szCs w:val="24"/>
        </w:rPr>
        <w:t xml:space="preserve"> </w:t>
      </w:r>
      <w:r w:rsidR="000914B9">
        <w:rPr>
          <w:rFonts w:ascii="Times New Roman" w:eastAsia="Calibri" w:hAnsi="Times New Roman" w:cs="Times New Roman"/>
          <w:bCs/>
          <w:iCs/>
          <w:color w:val="000000"/>
          <w:sz w:val="24"/>
          <w:szCs w:val="24"/>
        </w:rPr>
        <w:t xml:space="preserve"> N</w:t>
      </w:r>
      <w:r w:rsidR="00E70FAB">
        <w:rPr>
          <w:rFonts w:ascii="Times New Roman" w:eastAsia="Calibri" w:hAnsi="Times New Roman" w:cs="Times New Roman"/>
          <w:bCs/>
          <w:iCs/>
          <w:color w:val="000000"/>
          <w:sz w:val="24"/>
          <w:szCs w:val="24"/>
        </w:rPr>
        <w:t>astav</w:t>
      </w:r>
      <w:r w:rsidR="000914B9">
        <w:rPr>
          <w:rFonts w:ascii="Times New Roman" w:eastAsia="Calibri" w:hAnsi="Times New Roman" w:cs="Times New Roman"/>
          <w:bCs/>
          <w:iCs/>
          <w:color w:val="000000"/>
          <w:sz w:val="24"/>
          <w:szCs w:val="24"/>
        </w:rPr>
        <w:t xml:space="preserve">ená frekvencia úkonu </w:t>
      </w:r>
      <w:r w:rsidR="00082D11">
        <w:rPr>
          <w:rFonts w:ascii="Times New Roman" w:eastAsia="Calibri" w:hAnsi="Times New Roman" w:cs="Times New Roman"/>
          <w:bCs/>
          <w:iCs/>
          <w:color w:val="000000"/>
          <w:sz w:val="24"/>
          <w:szCs w:val="24"/>
        </w:rPr>
        <w:t>1-krát ročne</w:t>
      </w:r>
      <w:r w:rsidR="00E70FAB">
        <w:rPr>
          <w:rFonts w:ascii="Times New Roman" w:eastAsia="Calibri" w:hAnsi="Times New Roman" w:cs="Times New Roman"/>
          <w:bCs/>
          <w:iCs/>
          <w:color w:val="000000"/>
          <w:sz w:val="24"/>
          <w:szCs w:val="24"/>
        </w:rPr>
        <w:t xml:space="preserve">, z čoho vychádzajú priemerné náklady na 1 úkon cca </w:t>
      </w:r>
      <w:r w:rsidR="00E70FAB">
        <w:rPr>
          <w:rFonts w:ascii="Times New Roman" w:eastAsia="Calibri" w:hAnsi="Times New Roman" w:cs="Times New Roman"/>
          <w:bCs/>
          <w:iCs/>
          <w:color w:val="000000"/>
          <w:sz w:val="24"/>
          <w:szCs w:val="24"/>
        </w:rPr>
        <w:lastRenderedPageBreak/>
        <w:t>1 eur</w:t>
      </w:r>
      <w:r w:rsidR="00535B5F">
        <w:rPr>
          <w:rFonts w:ascii="Times New Roman" w:eastAsia="Calibri" w:hAnsi="Times New Roman" w:cs="Times New Roman"/>
          <w:bCs/>
          <w:iCs/>
          <w:color w:val="000000"/>
          <w:sz w:val="24"/>
          <w:szCs w:val="24"/>
        </w:rPr>
        <w:t>o</w:t>
      </w:r>
      <w:r w:rsidR="00E70FAB">
        <w:rPr>
          <w:rFonts w:ascii="Times New Roman" w:eastAsia="Calibri" w:hAnsi="Times New Roman" w:cs="Times New Roman"/>
          <w:bCs/>
          <w:iCs/>
          <w:color w:val="000000"/>
          <w:sz w:val="24"/>
          <w:szCs w:val="24"/>
        </w:rPr>
        <w:t xml:space="preserve"> a priemerné náklady na podnikateľa cca 1</w:t>
      </w:r>
      <w:r w:rsidR="00B22194">
        <w:rPr>
          <w:rFonts w:ascii="Times New Roman" w:eastAsia="Calibri" w:hAnsi="Times New Roman" w:cs="Times New Roman"/>
          <w:bCs/>
          <w:iCs/>
          <w:color w:val="000000"/>
          <w:sz w:val="24"/>
          <w:szCs w:val="24"/>
        </w:rPr>
        <w:t>3</w:t>
      </w:r>
      <w:r w:rsidR="00E70FAB">
        <w:rPr>
          <w:rFonts w:ascii="Times New Roman" w:eastAsia="Calibri" w:hAnsi="Times New Roman" w:cs="Times New Roman"/>
          <w:bCs/>
          <w:iCs/>
          <w:color w:val="000000"/>
          <w:sz w:val="24"/>
          <w:szCs w:val="24"/>
        </w:rPr>
        <w:t xml:space="preserve"> eur. Navrhovaná</w:t>
      </w:r>
      <w:r w:rsidR="00E70FAB" w:rsidRPr="00A16A28">
        <w:rPr>
          <w:rFonts w:ascii="Times New Roman" w:eastAsia="Calibri" w:hAnsi="Times New Roman" w:cs="Times New Roman"/>
          <w:bCs/>
          <w:iCs/>
          <w:color w:val="000000"/>
          <w:sz w:val="24"/>
          <w:szCs w:val="24"/>
        </w:rPr>
        <w:t xml:space="preserve"> účinnosť</w:t>
      </w:r>
      <w:r w:rsidR="00E70FAB">
        <w:rPr>
          <w:rFonts w:ascii="Times New Roman" w:eastAsia="Calibri" w:hAnsi="Times New Roman" w:cs="Times New Roman"/>
          <w:bCs/>
          <w:iCs/>
          <w:color w:val="000000"/>
          <w:sz w:val="24"/>
          <w:szCs w:val="24"/>
        </w:rPr>
        <w:t xml:space="preserve"> je</w:t>
      </w:r>
      <w:r w:rsidR="00E70FAB" w:rsidRPr="00A16A28">
        <w:rPr>
          <w:rFonts w:ascii="Times New Roman" w:eastAsia="Calibri" w:hAnsi="Times New Roman" w:cs="Times New Roman"/>
          <w:bCs/>
          <w:iCs/>
          <w:color w:val="000000"/>
          <w:sz w:val="24"/>
          <w:szCs w:val="24"/>
        </w:rPr>
        <w:t xml:space="preserve"> od 1. </w:t>
      </w:r>
      <w:r w:rsidR="002F3411">
        <w:rPr>
          <w:rFonts w:ascii="Times New Roman" w:eastAsia="Calibri" w:hAnsi="Times New Roman" w:cs="Times New Roman"/>
          <w:bCs/>
          <w:iCs/>
          <w:color w:val="000000"/>
          <w:sz w:val="24"/>
          <w:szCs w:val="24"/>
        </w:rPr>
        <w:t>apríla</w:t>
      </w:r>
      <w:r w:rsidR="002F3411" w:rsidRPr="00A16A28">
        <w:rPr>
          <w:rFonts w:ascii="Times New Roman" w:eastAsia="Calibri" w:hAnsi="Times New Roman" w:cs="Times New Roman"/>
          <w:bCs/>
          <w:iCs/>
          <w:color w:val="000000"/>
          <w:sz w:val="24"/>
          <w:szCs w:val="24"/>
        </w:rPr>
        <w:t xml:space="preserve"> </w:t>
      </w:r>
      <w:r w:rsidR="00E70FAB" w:rsidRPr="00A16A28">
        <w:rPr>
          <w:rFonts w:ascii="Times New Roman" w:eastAsia="Calibri" w:hAnsi="Times New Roman" w:cs="Times New Roman"/>
          <w:bCs/>
          <w:iCs/>
          <w:color w:val="000000"/>
          <w:sz w:val="24"/>
          <w:szCs w:val="24"/>
        </w:rPr>
        <w:t xml:space="preserve">2026. </w:t>
      </w:r>
    </w:p>
    <w:p w14:paraId="09F49804" w14:textId="6971C829" w:rsidR="0026393F" w:rsidRDefault="0026393F" w:rsidP="000E51A8">
      <w:pPr>
        <w:spacing w:after="0"/>
        <w:jc w:val="both"/>
        <w:rPr>
          <w:rFonts w:ascii="Times New Roman" w:eastAsia="Calibri" w:hAnsi="Times New Roman" w:cs="Times New Roman"/>
          <w:bCs/>
          <w:iCs/>
          <w:color w:val="000000"/>
          <w:sz w:val="24"/>
          <w:szCs w:val="24"/>
        </w:rPr>
      </w:pPr>
    </w:p>
    <w:p w14:paraId="07787F03" w14:textId="7534F040" w:rsidR="000E51A8" w:rsidRDefault="000E51A8" w:rsidP="000E51A8">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5</w:t>
      </w:r>
      <w:r w:rsidRPr="002A78A8">
        <w:rPr>
          <w:rFonts w:ascii="Times New Roman" w:eastAsia="Calibri" w:hAnsi="Times New Roman" w:cs="Times New Roman"/>
          <w:b/>
          <w:bCs/>
          <w:i/>
          <w:iCs/>
          <w:color w:val="000000"/>
          <w:sz w:val="24"/>
          <w:szCs w:val="24"/>
          <w:u w:val="single"/>
        </w:rPr>
        <w:t xml:space="preserve"> (OUT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počet dotknutých zamestnávateľo</w:t>
      </w:r>
      <w:r w:rsidR="00946F0D">
        <w:rPr>
          <w:rFonts w:ascii="Times New Roman" w:eastAsia="Calibri" w:hAnsi="Times New Roman" w:cs="Times New Roman"/>
          <w:bCs/>
          <w:iCs/>
          <w:color w:val="000000"/>
          <w:sz w:val="24"/>
          <w:szCs w:val="24"/>
        </w:rPr>
        <w:t>v predpokladáme na úrovni cca 30</w:t>
      </w:r>
      <w:r>
        <w:rPr>
          <w:rFonts w:ascii="Times New Roman" w:eastAsia="Calibri" w:hAnsi="Times New Roman" w:cs="Times New Roman"/>
          <w:bCs/>
          <w:iCs/>
          <w:color w:val="000000"/>
          <w:sz w:val="24"/>
          <w:szCs w:val="24"/>
        </w:rPr>
        <w:t xml:space="preserve"> tis. (</w:t>
      </w:r>
      <w:r w:rsidRPr="00E74A2A">
        <w:rPr>
          <w:rFonts w:ascii="Times New Roman" w:eastAsia="Calibri" w:hAnsi="Times New Roman" w:cs="Times New Roman"/>
          <w:bCs/>
          <w:iCs/>
          <w:color w:val="000000"/>
          <w:sz w:val="24"/>
          <w:szCs w:val="24"/>
        </w:rPr>
        <w:t>zdroj:</w:t>
      </w:r>
      <w:r w:rsidR="00946F0D">
        <w:rPr>
          <w:rFonts w:ascii="Times New Roman" w:eastAsia="Calibri" w:hAnsi="Times New Roman" w:cs="Times New Roman"/>
          <w:bCs/>
          <w:iCs/>
          <w:color w:val="000000"/>
          <w:sz w:val="24"/>
          <w:szCs w:val="24"/>
        </w:rPr>
        <w:t xml:space="preserve"> </w:t>
      </w:r>
      <w:r w:rsidRPr="00E74A2A">
        <w:rPr>
          <w:rFonts w:ascii="Times New Roman" w:eastAsia="Calibri" w:hAnsi="Times New Roman" w:cs="Times New Roman"/>
          <w:bCs/>
          <w:iCs/>
          <w:color w:val="000000"/>
          <w:sz w:val="24"/>
          <w:szCs w:val="24"/>
        </w:rPr>
        <w:t>Sociálna poisťovňa</w:t>
      </w:r>
      <w:r>
        <w:rPr>
          <w:rFonts w:ascii="Times New Roman" w:eastAsia="Calibri" w:hAnsi="Times New Roman" w:cs="Times New Roman"/>
          <w:bCs/>
          <w:iCs/>
          <w:color w:val="000000"/>
          <w:sz w:val="24"/>
          <w:szCs w:val="24"/>
        </w:rPr>
        <w:t>) a</w:t>
      </w:r>
      <w:r w:rsidR="00946F0D">
        <w:rPr>
          <w:rFonts w:ascii="Times New Roman" w:eastAsia="Calibri" w:hAnsi="Times New Roman" w:cs="Times New Roman"/>
          <w:bCs/>
          <w:iCs/>
          <w:color w:val="000000"/>
          <w:sz w:val="24"/>
          <w:szCs w:val="24"/>
        </w:rPr>
        <w:t> celkový počet prerušení cca 137 tis.</w:t>
      </w:r>
      <w:r>
        <w:rPr>
          <w:rFonts w:ascii="Times New Roman" w:eastAsia="Calibri" w:hAnsi="Times New Roman" w:cs="Times New Roman"/>
          <w:bCs/>
          <w:iCs/>
          <w:color w:val="000000"/>
          <w:sz w:val="24"/>
          <w:szCs w:val="24"/>
        </w:rPr>
        <w:t xml:space="preserve"> (zdroj: Sociálna poisťovňa za rok 2024). Všetky početnosti prispôsobené účinnosti od 1. apríla 2026.  </w:t>
      </w:r>
    </w:p>
    <w:p w14:paraId="34AD5A5A" w14:textId="77777777" w:rsidR="00C7264B" w:rsidRDefault="00AA64B5" w:rsidP="00C7264B">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000E51A8" w:rsidRPr="00407530">
        <w:rPr>
          <w:rFonts w:ascii="Times New Roman" w:eastAsia="Calibri" w:hAnsi="Times New Roman" w:cs="Times New Roman"/>
          <w:bCs/>
          <w:iCs/>
          <w:color w:val="000000"/>
          <w:sz w:val="24"/>
          <w:szCs w:val="24"/>
        </w:rPr>
        <w:t xml:space="preserve">) Administratívne náklady – </w:t>
      </w:r>
      <w:r w:rsidR="00C7264B">
        <w:rPr>
          <w:rFonts w:ascii="Times New Roman" w:eastAsia="Calibri" w:hAnsi="Times New Roman" w:cs="Times New Roman"/>
          <w:bCs/>
          <w:iCs/>
          <w:color w:val="000000"/>
          <w:sz w:val="24"/>
          <w:szCs w:val="24"/>
        </w:rPr>
        <w:t xml:space="preserve">odhaduje sa rozsah administratívnej povinnosti </w:t>
      </w:r>
      <w:r w:rsidR="00CF5A0A">
        <w:rPr>
          <w:rFonts w:ascii="Times New Roman" w:eastAsia="Calibri" w:hAnsi="Times New Roman" w:cs="Times New Roman"/>
          <w:bCs/>
          <w:iCs/>
          <w:color w:val="000000"/>
          <w:sz w:val="24"/>
          <w:szCs w:val="24"/>
        </w:rPr>
        <w:t>1</w:t>
      </w:r>
      <w:r w:rsidR="00C7264B">
        <w:rPr>
          <w:rFonts w:ascii="Times New Roman" w:eastAsia="Calibri" w:hAnsi="Times New Roman" w:cs="Times New Roman"/>
          <w:bCs/>
          <w:iCs/>
          <w:color w:val="000000"/>
          <w:sz w:val="24"/>
          <w:szCs w:val="24"/>
        </w:rPr>
        <w:t>5 min.</w:t>
      </w:r>
      <w:r w:rsidR="00B22194">
        <w:rPr>
          <w:rFonts w:ascii="Times New Roman" w:eastAsia="Calibri" w:hAnsi="Times New Roman" w:cs="Times New Roman"/>
          <w:bCs/>
          <w:iCs/>
          <w:color w:val="000000"/>
          <w:sz w:val="24"/>
          <w:szCs w:val="24"/>
        </w:rPr>
        <w:t xml:space="preserve"> Z dôvodu vyššej presnosti bol v kalkulačke nákladov použitý počet úkonov zodpovedajúci počtu prerušení u zamestnancov.</w:t>
      </w:r>
      <w:r w:rsidR="00C7264B">
        <w:rPr>
          <w:rFonts w:ascii="Times New Roman" w:eastAsia="Calibri" w:hAnsi="Times New Roman" w:cs="Times New Roman"/>
          <w:bCs/>
          <w:iCs/>
          <w:color w:val="000000"/>
          <w:sz w:val="24"/>
          <w:szCs w:val="24"/>
        </w:rPr>
        <w:t xml:space="preserve"> Nastavená frekvencia ú</w:t>
      </w:r>
      <w:r w:rsidR="00CF5A0A">
        <w:rPr>
          <w:rFonts w:ascii="Times New Roman" w:eastAsia="Calibri" w:hAnsi="Times New Roman" w:cs="Times New Roman"/>
          <w:bCs/>
          <w:iCs/>
          <w:color w:val="000000"/>
          <w:sz w:val="24"/>
          <w:szCs w:val="24"/>
        </w:rPr>
        <w:t xml:space="preserve">konu </w:t>
      </w:r>
      <w:r w:rsidR="00B22194">
        <w:rPr>
          <w:rFonts w:ascii="Times New Roman" w:eastAsia="Calibri" w:hAnsi="Times New Roman" w:cs="Times New Roman"/>
          <w:bCs/>
          <w:iCs/>
          <w:color w:val="000000"/>
          <w:sz w:val="24"/>
          <w:szCs w:val="24"/>
        </w:rPr>
        <w:t>1</w:t>
      </w:r>
      <w:r w:rsidR="00C7264B">
        <w:rPr>
          <w:rFonts w:ascii="Times New Roman" w:eastAsia="Calibri" w:hAnsi="Times New Roman" w:cs="Times New Roman"/>
          <w:bCs/>
          <w:iCs/>
          <w:color w:val="000000"/>
          <w:sz w:val="24"/>
          <w:szCs w:val="24"/>
        </w:rPr>
        <w:t>-krát ročne, z čoho vychádzajú p</w:t>
      </w:r>
      <w:r w:rsidR="00CF5A0A">
        <w:rPr>
          <w:rFonts w:ascii="Times New Roman" w:eastAsia="Calibri" w:hAnsi="Times New Roman" w:cs="Times New Roman"/>
          <w:bCs/>
          <w:iCs/>
          <w:color w:val="000000"/>
          <w:sz w:val="24"/>
          <w:szCs w:val="24"/>
        </w:rPr>
        <w:t>riemerné náklady na 1 úkon cca 3</w:t>
      </w:r>
      <w:r w:rsidR="00C7264B">
        <w:rPr>
          <w:rFonts w:ascii="Times New Roman" w:eastAsia="Calibri" w:hAnsi="Times New Roman" w:cs="Times New Roman"/>
          <w:bCs/>
          <w:iCs/>
          <w:color w:val="000000"/>
          <w:sz w:val="24"/>
          <w:szCs w:val="24"/>
        </w:rPr>
        <w:t xml:space="preserve"> eur</w:t>
      </w:r>
      <w:r w:rsidR="00535B5F">
        <w:rPr>
          <w:rFonts w:ascii="Times New Roman" w:eastAsia="Calibri" w:hAnsi="Times New Roman" w:cs="Times New Roman"/>
          <w:bCs/>
          <w:iCs/>
          <w:color w:val="000000"/>
          <w:sz w:val="24"/>
          <w:szCs w:val="24"/>
        </w:rPr>
        <w:t>a</w:t>
      </w:r>
      <w:r w:rsidR="00C7264B">
        <w:rPr>
          <w:rFonts w:ascii="Times New Roman" w:eastAsia="Calibri" w:hAnsi="Times New Roman" w:cs="Times New Roman"/>
          <w:bCs/>
          <w:iCs/>
          <w:color w:val="000000"/>
          <w:sz w:val="24"/>
          <w:szCs w:val="24"/>
        </w:rPr>
        <w:t xml:space="preserve"> a priemerné náklady na </w:t>
      </w:r>
      <w:r w:rsidR="00CF5A0A">
        <w:rPr>
          <w:rFonts w:ascii="Times New Roman" w:eastAsia="Calibri" w:hAnsi="Times New Roman" w:cs="Times New Roman"/>
          <w:bCs/>
          <w:iCs/>
          <w:color w:val="000000"/>
          <w:sz w:val="24"/>
          <w:szCs w:val="24"/>
        </w:rPr>
        <w:t>podnikateľa</w:t>
      </w:r>
      <w:r w:rsidR="00C7264B">
        <w:rPr>
          <w:rFonts w:ascii="Times New Roman" w:eastAsia="Calibri" w:hAnsi="Times New Roman" w:cs="Times New Roman"/>
          <w:bCs/>
          <w:iCs/>
          <w:color w:val="000000"/>
          <w:sz w:val="24"/>
          <w:szCs w:val="24"/>
        </w:rPr>
        <w:t xml:space="preserve"> cca </w:t>
      </w:r>
      <w:r w:rsidR="00CF5A0A">
        <w:rPr>
          <w:rFonts w:ascii="Times New Roman" w:eastAsia="Calibri" w:hAnsi="Times New Roman" w:cs="Times New Roman"/>
          <w:bCs/>
          <w:iCs/>
          <w:color w:val="000000"/>
          <w:sz w:val="24"/>
          <w:szCs w:val="24"/>
        </w:rPr>
        <w:t>1</w:t>
      </w:r>
      <w:r w:rsidR="00B22194">
        <w:rPr>
          <w:rFonts w:ascii="Times New Roman" w:eastAsia="Calibri" w:hAnsi="Times New Roman" w:cs="Times New Roman"/>
          <w:bCs/>
          <w:iCs/>
          <w:color w:val="000000"/>
          <w:sz w:val="24"/>
          <w:szCs w:val="24"/>
        </w:rPr>
        <w:t>4</w:t>
      </w:r>
      <w:r w:rsidR="00C7264B">
        <w:rPr>
          <w:rFonts w:ascii="Times New Roman" w:eastAsia="Calibri" w:hAnsi="Times New Roman" w:cs="Times New Roman"/>
          <w:bCs/>
          <w:iCs/>
          <w:color w:val="000000"/>
          <w:sz w:val="24"/>
          <w:szCs w:val="24"/>
        </w:rPr>
        <w:t xml:space="preserve"> eur. Navrhovaná</w:t>
      </w:r>
      <w:r w:rsidR="00C7264B" w:rsidRPr="00A16A28">
        <w:rPr>
          <w:rFonts w:ascii="Times New Roman" w:eastAsia="Calibri" w:hAnsi="Times New Roman" w:cs="Times New Roman"/>
          <w:bCs/>
          <w:iCs/>
          <w:color w:val="000000"/>
          <w:sz w:val="24"/>
          <w:szCs w:val="24"/>
        </w:rPr>
        <w:t xml:space="preserve"> účinnosť</w:t>
      </w:r>
      <w:r w:rsidR="00C7264B">
        <w:rPr>
          <w:rFonts w:ascii="Times New Roman" w:eastAsia="Calibri" w:hAnsi="Times New Roman" w:cs="Times New Roman"/>
          <w:bCs/>
          <w:iCs/>
          <w:color w:val="000000"/>
          <w:sz w:val="24"/>
          <w:szCs w:val="24"/>
        </w:rPr>
        <w:t xml:space="preserve"> je</w:t>
      </w:r>
      <w:r w:rsidR="00C7264B" w:rsidRPr="00A16A28">
        <w:rPr>
          <w:rFonts w:ascii="Times New Roman" w:eastAsia="Calibri" w:hAnsi="Times New Roman" w:cs="Times New Roman"/>
          <w:bCs/>
          <w:iCs/>
          <w:color w:val="000000"/>
          <w:sz w:val="24"/>
          <w:szCs w:val="24"/>
        </w:rPr>
        <w:t xml:space="preserve"> od 1. </w:t>
      </w:r>
      <w:r w:rsidR="002F3411">
        <w:rPr>
          <w:rFonts w:ascii="Times New Roman" w:eastAsia="Calibri" w:hAnsi="Times New Roman" w:cs="Times New Roman"/>
          <w:bCs/>
          <w:iCs/>
          <w:color w:val="000000"/>
          <w:sz w:val="24"/>
          <w:szCs w:val="24"/>
        </w:rPr>
        <w:t>apríla</w:t>
      </w:r>
      <w:r w:rsidR="002F3411" w:rsidRPr="00A16A28">
        <w:rPr>
          <w:rFonts w:ascii="Times New Roman" w:eastAsia="Calibri" w:hAnsi="Times New Roman" w:cs="Times New Roman"/>
          <w:bCs/>
          <w:iCs/>
          <w:color w:val="000000"/>
          <w:sz w:val="24"/>
          <w:szCs w:val="24"/>
        </w:rPr>
        <w:t xml:space="preserve"> </w:t>
      </w:r>
      <w:r w:rsidR="00C7264B" w:rsidRPr="00A16A28">
        <w:rPr>
          <w:rFonts w:ascii="Times New Roman" w:eastAsia="Calibri" w:hAnsi="Times New Roman" w:cs="Times New Roman"/>
          <w:bCs/>
          <w:iCs/>
          <w:color w:val="000000"/>
          <w:sz w:val="24"/>
          <w:szCs w:val="24"/>
        </w:rPr>
        <w:t xml:space="preserve">2026. </w:t>
      </w:r>
    </w:p>
    <w:p w14:paraId="796FF460" w14:textId="77777777" w:rsidR="000E51A8" w:rsidRDefault="000E51A8" w:rsidP="000E51A8">
      <w:pPr>
        <w:spacing w:after="0"/>
        <w:jc w:val="both"/>
        <w:rPr>
          <w:rFonts w:ascii="Times New Roman" w:eastAsia="Calibri" w:hAnsi="Times New Roman" w:cs="Times New Roman"/>
          <w:bCs/>
          <w:iCs/>
          <w:color w:val="000000"/>
          <w:sz w:val="24"/>
          <w:szCs w:val="24"/>
        </w:rPr>
      </w:pPr>
    </w:p>
    <w:p w14:paraId="56FF043B" w14:textId="0AF1CC7A" w:rsidR="000E51A8" w:rsidRDefault="000E51A8" w:rsidP="000E51A8">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6</w:t>
      </w:r>
      <w:r w:rsidRPr="002A78A8">
        <w:rPr>
          <w:rFonts w:ascii="Times New Roman" w:eastAsia="Calibri" w:hAnsi="Times New Roman" w:cs="Times New Roman"/>
          <w:b/>
          <w:bCs/>
          <w:i/>
          <w:iCs/>
          <w:color w:val="000000"/>
          <w:sz w:val="24"/>
          <w:szCs w:val="24"/>
          <w:u w:val="single"/>
        </w:rPr>
        <w:t xml:space="preserve"> (OUT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sidR="007606A1">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počet dotknutých SZČO</w:t>
      </w:r>
      <w:r w:rsidR="007606A1">
        <w:rPr>
          <w:rFonts w:ascii="Times New Roman" w:eastAsia="Calibri" w:hAnsi="Times New Roman" w:cs="Times New Roman"/>
          <w:bCs/>
          <w:iCs/>
          <w:color w:val="000000"/>
          <w:sz w:val="24"/>
          <w:szCs w:val="24"/>
        </w:rPr>
        <w:t xml:space="preserve"> predpokladáme na úrovni cca 21,4 </w:t>
      </w:r>
      <w:r>
        <w:rPr>
          <w:rFonts w:ascii="Times New Roman" w:eastAsia="Calibri" w:hAnsi="Times New Roman" w:cs="Times New Roman"/>
          <w:bCs/>
          <w:iCs/>
          <w:color w:val="000000"/>
          <w:sz w:val="24"/>
          <w:szCs w:val="24"/>
        </w:rPr>
        <w:t>tis. (</w:t>
      </w:r>
      <w:r w:rsidRPr="00E74A2A">
        <w:rPr>
          <w:rFonts w:ascii="Times New Roman" w:eastAsia="Calibri" w:hAnsi="Times New Roman" w:cs="Times New Roman"/>
          <w:bCs/>
          <w:iCs/>
          <w:color w:val="000000"/>
          <w:sz w:val="24"/>
          <w:szCs w:val="24"/>
        </w:rPr>
        <w:t>zdroj:</w:t>
      </w:r>
      <w:r>
        <w:rPr>
          <w:rFonts w:ascii="Times New Roman" w:eastAsia="Calibri" w:hAnsi="Times New Roman" w:cs="Times New Roman"/>
          <w:bCs/>
          <w:iCs/>
          <w:color w:val="000000"/>
          <w:sz w:val="24"/>
          <w:szCs w:val="24"/>
        </w:rPr>
        <w:t xml:space="preserve"> </w:t>
      </w:r>
      <w:r w:rsidRPr="00E74A2A">
        <w:rPr>
          <w:rFonts w:ascii="Times New Roman" w:eastAsia="Calibri" w:hAnsi="Times New Roman" w:cs="Times New Roman"/>
          <w:bCs/>
          <w:iCs/>
          <w:color w:val="000000"/>
          <w:sz w:val="24"/>
          <w:szCs w:val="24"/>
        </w:rPr>
        <w:t>Sociálna poisťovňa</w:t>
      </w:r>
      <w:r>
        <w:rPr>
          <w:rFonts w:ascii="Times New Roman" w:eastAsia="Calibri" w:hAnsi="Times New Roman" w:cs="Times New Roman"/>
          <w:bCs/>
          <w:iCs/>
          <w:color w:val="000000"/>
          <w:sz w:val="24"/>
          <w:szCs w:val="24"/>
        </w:rPr>
        <w:t xml:space="preserve">) a počet </w:t>
      </w:r>
      <w:r w:rsidR="007606A1">
        <w:rPr>
          <w:rFonts w:ascii="Times New Roman" w:eastAsia="Calibri" w:hAnsi="Times New Roman" w:cs="Times New Roman"/>
          <w:bCs/>
          <w:iCs/>
          <w:color w:val="000000"/>
          <w:sz w:val="24"/>
          <w:szCs w:val="24"/>
        </w:rPr>
        <w:t>prerušení</w:t>
      </w:r>
      <w:r>
        <w:rPr>
          <w:rFonts w:ascii="Times New Roman" w:eastAsia="Calibri" w:hAnsi="Times New Roman" w:cs="Times New Roman"/>
          <w:bCs/>
          <w:iCs/>
          <w:color w:val="000000"/>
          <w:sz w:val="24"/>
          <w:szCs w:val="24"/>
        </w:rPr>
        <w:t xml:space="preserve"> u SZČO </w:t>
      </w:r>
      <w:r w:rsidR="007606A1">
        <w:rPr>
          <w:rFonts w:ascii="Times New Roman" w:eastAsia="Calibri" w:hAnsi="Times New Roman" w:cs="Times New Roman"/>
          <w:bCs/>
          <w:iCs/>
          <w:color w:val="000000"/>
          <w:sz w:val="24"/>
          <w:szCs w:val="24"/>
        </w:rPr>
        <w:t>cca 26,6</w:t>
      </w:r>
      <w:r>
        <w:rPr>
          <w:rFonts w:ascii="Times New Roman" w:eastAsia="Calibri" w:hAnsi="Times New Roman" w:cs="Times New Roman"/>
          <w:bCs/>
          <w:iCs/>
          <w:color w:val="000000"/>
          <w:sz w:val="24"/>
          <w:szCs w:val="24"/>
        </w:rPr>
        <w:t xml:space="preserve"> tis. (zdroj: Sociálna poisťovňa za rok 2024). Všetky početnosti prispôsobené účinnosti od 1. apríla 2026.  </w:t>
      </w:r>
    </w:p>
    <w:p w14:paraId="105220EE" w14:textId="77777777" w:rsidR="00CF5A0A" w:rsidRDefault="00AA64B5" w:rsidP="00CF5A0A">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000E51A8" w:rsidRPr="00407530">
        <w:rPr>
          <w:rFonts w:ascii="Times New Roman" w:eastAsia="Calibri" w:hAnsi="Times New Roman" w:cs="Times New Roman"/>
          <w:bCs/>
          <w:iCs/>
          <w:color w:val="000000"/>
          <w:sz w:val="24"/>
          <w:szCs w:val="24"/>
        </w:rPr>
        <w:t xml:space="preserve">) Administratívne náklady – </w:t>
      </w:r>
      <w:r w:rsidR="00CF5A0A">
        <w:rPr>
          <w:rFonts w:ascii="Times New Roman" w:eastAsia="Calibri" w:hAnsi="Times New Roman" w:cs="Times New Roman"/>
          <w:bCs/>
          <w:iCs/>
          <w:color w:val="000000"/>
          <w:sz w:val="24"/>
          <w:szCs w:val="24"/>
        </w:rPr>
        <w:t>odhaduje sa rozsah administratívnej povinnosti 15 min.</w:t>
      </w:r>
      <w:r w:rsidR="00B22194">
        <w:rPr>
          <w:rFonts w:ascii="Times New Roman" w:eastAsia="Calibri" w:hAnsi="Times New Roman" w:cs="Times New Roman"/>
          <w:bCs/>
          <w:iCs/>
          <w:color w:val="000000"/>
          <w:sz w:val="24"/>
          <w:szCs w:val="24"/>
        </w:rPr>
        <w:t xml:space="preserve"> Z dôvodu vyššej presnosti bol v kalkulačke nákladov použitý počet úkonov zodpovedajúci počtu prerušení u SZČO.</w:t>
      </w:r>
      <w:r w:rsidR="00CF5A0A">
        <w:rPr>
          <w:rFonts w:ascii="Times New Roman" w:eastAsia="Calibri" w:hAnsi="Times New Roman" w:cs="Times New Roman"/>
          <w:bCs/>
          <w:iCs/>
          <w:color w:val="000000"/>
          <w:sz w:val="24"/>
          <w:szCs w:val="24"/>
        </w:rPr>
        <w:t xml:space="preserve"> Nastavená frekvencia úkonu 1-krát ročne, z čoho vychádzajú priemerné náklady na 1 úkon cca 3 eur</w:t>
      </w:r>
      <w:r w:rsidR="00535B5F">
        <w:rPr>
          <w:rFonts w:ascii="Times New Roman" w:eastAsia="Calibri" w:hAnsi="Times New Roman" w:cs="Times New Roman"/>
          <w:bCs/>
          <w:iCs/>
          <w:color w:val="000000"/>
          <w:sz w:val="24"/>
          <w:szCs w:val="24"/>
        </w:rPr>
        <w:t>a</w:t>
      </w:r>
      <w:r w:rsidR="00CF5A0A">
        <w:rPr>
          <w:rFonts w:ascii="Times New Roman" w:eastAsia="Calibri" w:hAnsi="Times New Roman" w:cs="Times New Roman"/>
          <w:bCs/>
          <w:iCs/>
          <w:color w:val="000000"/>
          <w:sz w:val="24"/>
          <w:szCs w:val="24"/>
        </w:rPr>
        <w:t xml:space="preserve"> a priemerné náklady na SZČO cca 3</w:t>
      </w:r>
      <w:r w:rsidR="00B22194">
        <w:rPr>
          <w:rFonts w:ascii="Times New Roman" w:eastAsia="Calibri" w:hAnsi="Times New Roman" w:cs="Times New Roman"/>
          <w:bCs/>
          <w:iCs/>
          <w:color w:val="000000"/>
          <w:sz w:val="24"/>
          <w:szCs w:val="24"/>
        </w:rPr>
        <w:t>,8</w:t>
      </w:r>
      <w:r w:rsidR="00CF5A0A">
        <w:rPr>
          <w:rFonts w:ascii="Times New Roman" w:eastAsia="Calibri" w:hAnsi="Times New Roman" w:cs="Times New Roman"/>
          <w:bCs/>
          <w:iCs/>
          <w:color w:val="000000"/>
          <w:sz w:val="24"/>
          <w:szCs w:val="24"/>
        </w:rPr>
        <w:t xml:space="preserve"> eur</w:t>
      </w:r>
      <w:r w:rsidR="00B22194">
        <w:rPr>
          <w:rFonts w:ascii="Times New Roman" w:eastAsia="Calibri" w:hAnsi="Times New Roman" w:cs="Times New Roman"/>
          <w:bCs/>
          <w:iCs/>
          <w:color w:val="000000"/>
          <w:sz w:val="24"/>
          <w:szCs w:val="24"/>
        </w:rPr>
        <w:t>a</w:t>
      </w:r>
      <w:r w:rsidR="00CF5A0A">
        <w:rPr>
          <w:rFonts w:ascii="Times New Roman" w:eastAsia="Calibri" w:hAnsi="Times New Roman" w:cs="Times New Roman"/>
          <w:bCs/>
          <w:iCs/>
          <w:color w:val="000000"/>
          <w:sz w:val="24"/>
          <w:szCs w:val="24"/>
        </w:rPr>
        <w:t>. Navrhovaná</w:t>
      </w:r>
      <w:r w:rsidR="00CF5A0A" w:rsidRPr="00A16A28">
        <w:rPr>
          <w:rFonts w:ascii="Times New Roman" w:eastAsia="Calibri" w:hAnsi="Times New Roman" w:cs="Times New Roman"/>
          <w:bCs/>
          <w:iCs/>
          <w:color w:val="000000"/>
          <w:sz w:val="24"/>
          <w:szCs w:val="24"/>
        </w:rPr>
        <w:t xml:space="preserve"> účinnosť</w:t>
      </w:r>
      <w:r w:rsidR="00CF5A0A">
        <w:rPr>
          <w:rFonts w:ascii="Times New Roman" w:eastAsia="Calibri" w:hAnsi="Times New Roman" w:cs="Times New Roman"/>
          <w:bCs/>
          <w:iCs/>
          <w:color w:val="000000"/>
          <w:sz w:val="24"/>
          <w:szCs w:val="24"/>
        </w:rPr>
        <w:t xml:space="preserve"> je</w:t>
      </w:r>
      <w:r w:rsidR="00CF5A0A" w:rsidRPr="00A16A28">
        <w:rPr>
          <w:rFonts w:ascii="Times New Roman" w:eastAsia="Calibri" w:hAnsi="Times New Roman" w:cs="Times New Roman"/>
          <w:bCs/>
          <w:iCs/>
          <w:color w:val="000000"/>
          <w:sz w:val="24"/>
          <w:szCs w:val="24"/>
        </w:rPr>
        <w:t xml:space="preserve"> od 1. </w:t>
      </w:r>
      <w:r w:rsidR="002F3411">
        <w:rPr>
          <w:rFonts w:ascii="Times New Roman" w:eastAsia="Calibri" w:hAnsi="Times New Roman" w:cs="Times New Roman"/>
          <w:bCs/>
          <w:iCs/>
          <w:color w:val="000000"/>
          <w:sz w:val="24"/>
          <w:szCs w:val="24"/>
        </w:rPr>
        <w:t>apríla</w:t>
      </w:r>
      <w:r w:rsidR="002F3411" w:rsidRPr="00A16A28">
        <w:rPr>
          <w:rFonts w:ascii="Times New Roman" w:eastAsia="Calibri" w:hAnsi="Times New Roman" w:cs="Times New Roman"/>
          <w:bCs/>
          <w:iCs/>
          <w:color w:val="000000"/>
          <w:sz w:val="24"/>
          <w:szCs w:val="24"/>
        </w:rPr>
        <w:t xml:space="preserve"> </w:t>
      </w:r>
      <w:r w:rsidR="00CF5A0A" w:rsidRPr="00A16A28">
        <w:rPr>
          <w:rFonts w:ascii="Times New Roman" w:eastAsia="Calibri" w:hAnsi="Times New Roman" w:cs="Times New Roman"/>
          <w:bCs/>
          <w:iCs/>
          <w:color w:val="000000"/>
          <w:sz w:val="24"/>
          <w:szCs w:val="24"/>
        </w:rPr>
        <w:t xml:space="preserve">2026. </w:t>
      </w:r>
    </w:p>
    <w:p w14:paraId="39C6079A" w14:textId="77777777" w:rsidR="000E51A8" w:rsidRDefault="000E51A8" w:rsidP="000E51A8">
      <w:pPr>
        <w:spacing w:after="0"/>
        <w:jc w:val="both"/>
        <w:rPr>
          <w:rFonts w:ascii="Times New Roman" w:eastAsia="Calibri" w:hAnsi="Times New Roman" w:cs="Times New Roman"/>
          <w:bCs/>
          <w:iCs/>
          <w:color w:val="000000"/>
          <w:sz w:val="24"/>
          <w:szCs w:val="24"/>
        </w:rPr>
      </w:pPr>
    </w:p>
    <w:p w14:paraId="7D1E812C" w14:textId="5DEA415E" w:rsidR="00E66A81" w:rsidRDefault="00E66A81" w:rsidP="00E66A81">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7</w:t>
      </w:r>
      <w:r w:rsidR="00217E66" w:rsidRPr="002A78A8">
        <w:rPr>
          <w:rFonts w:ascii="Times New Roman" w:eastAsia="Calibri" w:hAnsi="Times New Roman" w:cs="Times New Roman"/>
          <w:b/>
          <w:bCs/>
          <w:i/>
          <w:iCs/>
          <w:color w:val="000000"/>
          <w:sz w:val="24"/>
          <w:szCs w:val="24"/>
          <w:u w:val="single"/>
        </w:rPr>
        <w:t xml:space="preserve"> </w:t>
      </w:r>
      <w:r w:rsidRPr="002A78A8">
        <w:rPr>
          <w:rFonts w:ascii="Times New Roman" w:eastAsia="Calibri" w:hAnsi="Times New Roman" w:cs="Times New Roman"/>
          <w:b/>
          <w:bCs/>
          <w:i/>
          <w:iCs/>
          <w:color w:val="000000"/>
          <w:sz w:val="24"/>
          <w:szCs w:val="24"/>
          <w:u w:val="single"/>
        </w:rPr>
        <w:t>(OUT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počet dotknutých zamestnávateľov predpokladáme na úrovni cca 3,4 tis. (</w:t>
      </w:r>
      <w:r w:rsidRPr="00E74A2A">
        <w:rPr>
          <w:rFonts w:ascii="Times New Roman" w:eastAsia="Calibri" w:hAnsi="Times New Roman" w:cs="Times New Roman"/>
          <w:bCs/>
          <w:iCs/>
          <w:color w:val="000000"/>
          <w:sz w:val="24"/>
          <w:szCs w:val="24"/>
        </w:rPr>
        <w:t>zdroj:</w:t>
      </w:r>
      <w:r>
        <w:rPr>
          <w:rFonts w:ascii="Times New Roman" w:eastAsia="Calibri" w:hAnsi="Times New Roman" w:cs="Times New Roman"/>
          <w:bCs/>
          <w:iCs/>
          <w:color w:val="000000"/>
          <w:sz w:val="24"/>
          <w:szCs w:val="24"/>
        </w:rPr>
        <w:t xml:space="preserve"> </w:t>
      </w:r>
      <w:r w:rsidRPr="00E74A2A">
        <w:rPr>
          <w:rFonts w:ascii="Times New Roman" w:eastAsia="Calibri" w:hAnsi="Times New Roman" w:cs="Times New Roman"/>
          <w:bCs/>
          <w:iCs/>
          <w:color w:val="000000"/>
          <w:sz w:val="24"/>
          <w:szCs w:val="24"/>
        </w:rPr>
        <w:t>Sociálna poisťovňa</w:t>
      </w:r>
      <w:r>
        <w:rPr>
          <w:rFonts w:ascii="Times New Roman" w:eastAsia="Calibri" w:hAnsi="Times New Roman" w:cs="Times New Roman"/>
          <w:bCs/>
          <w:iCs/>
          <w:color w:val="000000"/>
          <w:sz w:val="24"/>
          <w:szCs w:val="24"/>
        </w:rPr>
        <w:t xml:space="preserve">) a celkový </w:t>
      </w:r>
      <w:r w:rsidR="00AA64B5">
        <w:rPr>
          <w:rFonts w:ascii="Times New Roman" w:eastAsia="Calibri" w:hAnsi="Times New Roman" w:cs="Times New Roman"/>
          <w:bCs/>
          <w:iCs/>
          <w:color w:val="000000"/>
          <w:sz w:val="24"/>
          <w:szCs w:val="24"/>
        </w:rPr>
        <w:t>počet hlásených pracovných úrazov a chorôb z povolania</w:t>
      </w:r>
      <w:r>
        <w:rPr>
          <w:rFonts w:ascii="Times New Roman" w:eastAsia="Calibri" w:hAnsi="Times New Roman" w:cs="Times New Roman"/>
          <w:bCs/>
          <w:iCs/>
          <w:color w:val="000000"/>
          <w:sz w:val="24"/>
          <w:szCs w:val="24"/>
        </w:rPr>
        <w:t xml:space="preserve"> cca 9 tis. (zdroj: Sociálna poisťovňa za rok 2024). Všetky početnosti prispôsobené účinnosti od 1. apríla 2026.  </w:t>
      </w:r>
    </w:p>
    <w:p w14:paraId="164E7A36" w14:textId="77777777" w:rsidR="00E66A81" w:rsidRDefault="00AA64B5" w:rsidP="00E66A81">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D) Iné nepriame náklady</w:t>
      </w:r>
      <w:r w:rsidR="00E66A81" w:rsidRPr="00407530">
        <w:rPr>
          <w:rFonts w:ascii="Times New Roman" w:eastAsia="Calibri" w:hAnsi="Times New Roman" w:cs="Times New Roman"/>
          <w:bCs/>
          <w:iCs/>
          <w:color w:val="000000"/>
          <w:sz w:val="24"/>
          <w:szCs w:val="24"/>
        </w:rPr>
        <w:t xml:space="preserve"> – </w:t>
      </w:r>
      <w:r w:rsidR="00B22194">
        <w:rPr>
          <w:rFonts w:ascii="Times New Roman" w:eastAsia="Calibri" w:hAnsi="Times New Roman" w:cs="Times New Roman"/>
          <w:bCs/>
          <w:iCs/>
          <w:color w:val="000000"/>
          <w:sz w:val="24"/>
          <w:szCs w:val="24"/>
        </w:rPr>
        <w:t>z dôvodu vyššej presnosti bol v kalkulačke nákladov použitý počet úkonov zodpovedajúci počtu hlásených pracovných úrazov a chorôb z povolania.</w:t>
      </w:r>
      <w:r w:rsidR="00E66A81">
        <w:rPr>
          <w:rFonts w:ascii="Times New Roman" w:eastAsia="Calibri" w:hAnsi="Times New Roman" w:cs="Times New Roman"/>
          <w:bCs/>
          <w:iCs/>
          <w:color w:val="000000"/>
          <w:sz w:val="24"/>
          <w:szCs w:val="24"/>
        </w:rPr>
        <w:t xml:space="preserve"> </w:t>
      </w:r>
      <w:r w:rsidR="00761CF2">
        <w:rPr>
          <w:rFonts w:ascii="Times New Roman" w:eastAsia="Calibri" w:hAnsi="Times New Roman" w:cs="Times New Roman"/>
          <w:bCs/>
          <w:iCs/>
          <w:color w:val="000000"/>
          <w:sz w:val="24"/>
          <w:szCs w:val="24"/>
        </w:rPr>
        <w:t>N</w:t>
      </w:r>
      <w:r w:rsidR="00E66A81">
        <w:rPr>
          <w:rFonts w:ascii="Times New Roman" w:eastAsia="Calibri" w:hAnsi="Times New Roman" w:cs="Times New Roman"/>
          <w:bCs/>
          <w:iCs/>
          <w:color w:val="000000"/>
          <w:sz w:val="24"/>
          <w:szCs w:val="24"/>
        </w:rPr>
        <w:t>astavená f</w:t>
      </w:r>
      <w:r>
        <w:rPr>
          <w:rFonts w:ascii="Times New Roman" w:eastAsia="Calibri" w:hAnsi="Times New Roman" w:cs="Times New Roman"/>
          <w:bCs/>
          <w:iCs/>
          <w:color w:val="000000"/>
          <w:sz w:val="24"/>
          <w:szCs w:val="24"/>
        </w:rPr>
        <w:t xml:space="preserve">rekvencia úkonu </w:t>
      </w:r>
      <w:r w:rsidR="00761CF2">
        <w:rPr>
          <w:rFonts w:ascii="Times New Roman" w:eastAsia="Calibri" w:hAnsi="Times New Roman" w:cs="Times New Roman"/>
          <w:bCs/>
          <w:iCs/>
          <w:color w:val="000000"/>
          <w:sz w:val="24"/>
          <w:szCs w:val="24"/>
        </w:rPr>
        <w:t>1</w:t>
      </w:r>
      <w:r w:rsidR="00E66A81">
        <w:rPr>
          <w:rFonts w:ascii="Times New Roman" w:eastAsia="Calibri" w:hAnsi="Times New Roman" w:cs="Times New Roman"/>
          <w:bCs/>
          <w:iCs/>
          <w:color w:val="000000"/>
          <w:sz w:val="24"/>
          <w:szCs w:val="24"/>
        </w:rPr>
        <w:t>-krát ročne, z čoho vychádz</w:t>
      </w:r>
      <w:r>
        <w:rPr>
          <w:rFonts w:ascii="Times New Roman" w:eastAsia="Calibri" w:hAnsi="Times New Roman" w:cs="Times New Roman"/>
          <w:bCs/>
          <w:iCs/>
          <w:color w:val="000000"/>
          <w:sz w:val="24"/>
          <w:szCs w:val="24"/>
        </w:rPr>
        <w:t>a</w:t>
      </w:r>
      <w:r w:rsidR="001D23E6">
        <w:rPr>
          <w:rFonts w:ascii="Times New Roman" w:eastAsia="Calibri" w:hAnsi="Times New Roman" w:cs="Times New Roman"/>
          <w:bCs/>
          <w:iCs/>
          <w:color w:val="000000"/>
          <w:sz w:val="24"/>
          <w:szCs w:val="24"/>
        </w:rPr>
        <w:t xml:space="preserve"> priemern</w:t>
      </w:r>
      <w:r w:rsidR="00D9044E">
        <w:rPr>
          <w:rFonts w:ascii="Times New Roman" w:eastAsia="Calibri" w:hAnsi="Times New Roman" w:cs="Times New Roman"/>
          <w:bCs/>
          <w:iCs/>
          <w:color w:val="000000"/>
          <w:sz w:val="24"/>
          <w:szCs w:val="24"/>
        </w:rPr>
        <w:t>á úspora</w:t>
      </w:r>
      <w:r>
        <w:rPr>
          <w:rFonts w:ascii="Times New Roman" w:eastAsia="Calibri" w:hAnsi="Times New Roman" w:cs="Times New Roman"/>
          <w:bCs/>
          <w:iCs/>
          <w:color w:val="000000"/>
          <w:sz w:val="24"/>
          <w:szCs w:val="24"/>
        </w:rPr>
        <w:t xml:space="preserve"> náklad</w:t>
      </w:r>
      <w:r w:rsidR="00D9044E">
        <w:rPr>
          <w:rFonts w:ascii="Times New Roman" w:eastAsia="Calibri" w:hAnsi="Times New Roman" w:cs="Times New Roman"/>
          <w:bCs/>
          <w:iCs/>
          <w:color w:val="000000"/>
          <w:sz w:val="24"/>
          <w:szCs w:val="24"/>
        </w:rPr>
        <w:t>ov</w:t>
      </w:r>
      <w:r>
        <w:rPr>
          <w:rFonts w:ascii="Times New Roman" w:eastAsia="Calibri" w:hAnsi="Times New Roman" w:cs="Times New Roman"/>
          <w:bCs/>
          <w:iCs/>
          <w:color w:val="000000"/>
          <w:sz w:val="24"/>
          <w:szCs w:val="24"/>
        </w:rPr>
        <w:t xml:space="preserve"> na 1 úkon cca 3</w:t>
      </w:r>
      <w:r w:rsidR="00E66A81">
        <w:rPr>
          <w:rFonts w:ascii="Times New Roman" w:eastAsia="Calibri" w:hAnsi="Times New Roman" w:cs="Times New Roman"/>
          <w:bCs/>
          <w:iCs/>
          <w:color w:val="000000"/>
          <w:sz w:val="24"/>
          <w:szCs w:val="24"/>
        </w:rPr>
        <w:t xml:space="preserve"> eur</w:t>
      </w:r>
      <w:r w:rsidR="00535B5F">
        <w:rPr>
          <w:rFonts w:ascii="Times New Roman" w:eastAsia="Calibri" w:hAnsi="Times New Roman" w:cs="Times New Roman"/>
          <w:bCs/>
          <w:iCs/>
          <w:color w:val="000000"/>
          <w:sz w:val="24"/>
          <w:szCs w:val="24"/>
        </w:rPr>
        <w:t>a</w:t>
      </w:r>
      <w:r w:rsidR="001D23E6">
        <w:rPr>
          <w:rFonts w:ascii="Times New Roman" w:eastAsia="Calibri" w:hAnsi="Times New Roman" w:cs="Times New Roman"/>
          <w:bCs/>
          <w:iCs/>
          <w:color w:val="000000"/>
          <w:sz w:val="24"/>
          <w:szCs w:val="24"/>
        </w:rPr>
        <w:t xml:space="preserve"> </w:t>
      </w:r>
      <w:r w:rsidR="001D23E6" w:rsidRPr="007C0D59">
        <w:rPr>
          <w:rFonts w:ascii="Times New Roman" w:eastAsia="Calibri" w:hAnsi="Times New Roman" w:cs="Times New Roman"/>
          <w:bCs/>
          <w:iCs/>
          <w:color w:val="000000"/>
          <w:sz w:val="24"/>
          <w:szCs w:val="24"/>
        </w:rPr>
        <w:t>(náklady na vytlačenie a</w:t>
      </w:r>
      <w:r w:rsidR="001D23E6">
        <w:rPr>
          <w:rFonts w:ascii="Times New Roman" w:eastAsia="Calibri" w:hAnsi="Times New Roman" w:cs="Times New Roman"/>
          <w:bCs/>
          <w:iCs/>
          <w:color w:val="000000"/>
          <w:sz w:val="24"/>
          <w:szCs w:val="24"/>
        </w:rPr>
        <w:t> </w:t>
      </w:r>
      <w:r w:rsidR="001D23E6" w:rsidRPr="007C0D59">
        <w:rPr>
          <w:rFonts w:ascii="Times New Roman" w:eastAsia="Calibri" w:hAnsi="Times New Roman" w:cs="Times New Roman"/>
          <w:bCs/>
          <w:iCs/>
          <w:color w:val="000000"/>
          <w:sz w:val="24"/>
          <w:szCs w:val="24"/>
        </w:rPr>
        <w:t>poštovné</w:t>
      </w:r>
      <w:r w:rsidR="001D23E6">
        <w:rPr>
          <w:rFonts w:ascii="Times New Roman" w:eastAsia="Calibri" w:hAnsi="Times New Roman" w:cs="Times New Roman"/>
          <w:bCs/>
          <w:iCs/>
          <w:color w:val="000000"/>
          <w:sz w:val="24"/>
          <w:szCs w:val="24"/>
        </w:rPr>
        <w:t>/doručenie</w:t>
      </w:r>
      <w:r w:rsidR="001D23E6" w:rsidRPr="007C0D59">
        <w:rPr>
          <w:rFonts w:ascii="Times New Roman" w:eastAsia="Calibri" w:hAnsi="Times New Roman" w:cs="Times New Roman"/>
          <w:bCs/>
          <w:iCs/>
          <w:color w:val="000000"/>
          <w:sz w:val="24"/>
          <w:szCs w:val="24"/>
        </w:rPr>
        <w:t>)</w:t>
      </w:r>
      <w:r w:rsidR="00E66A81">
        <w:rPr>
          <w:rFonts w:ascii="Times New Roman" w:eastAsia="Calibri" w:hAnsi="Times New Roman" w:cs="Times New Roman"/>
          <w:bCs/>
          <w:iCs/>
          <w:color w:val="000000"/>
          <w:sz w:val="24"/>
          <w:szCs w:val="24"/>
        </w:rPr>
        <w:t xml:space="preserve"> a</w:t>
      </w:r>
      <w:r w:rsidR="001D23E6">
        <w:rPr>
          <w:rFonts w:ascii="Times New Roman" w:eastAsia="Calibri" w:hAnsi="Times New Roman" w:cs="Times New Roman"/>
          <w:bCs/>
          <w:iCs/>
          <w:color w:val="000000"/>
          <w:sz w:val="24"/>
          <w:szCs w:val="24"/>
        </w:rPr>
        <w:t xml:space="preserve"> priemerné</w:t>
      </w:r>
      <w:r w:rsidR="00E66A81">
        <w:rPr>
          <w:rFonts w:ascii="Times New Roman" w:eastAsia="Calibri" w:hAnsi="Times New Roman" w:cs="Times New Roman"/>
          <w:bCs/>
          <w:iCs/>
          <w:color w:val="000000"/>
          <w:sz w:val="24"/>
          <w:szCs w:val="24"/>
        </w:rPr>
        <w:t xml:space="preserve"> náklady na 1 </w:t>
      </w:r>
      <w:r>
        <w:rPr>
          <w:rFonts w:ascii="Times New Roman" w:eastAsia="Calibri" w:hAnsi="Times New Roman" w:cs="Times New Roman"/>
          <w:bCs/>
          <w:iCs/>
          <w:color w:val="000000"/>
          <w:sz w:val="24"/>
          <w:szCs w:val="24"/>
        </w:rPr>
        <w:t xml:space="preserve">podnikateľa cca </w:t>
      </w:r>
      <w:r w:rsidR="00761CF2">
        <w:rPr>
          <w:rFonts w:ascii="Times New Roman" w:eastAsia="Calibri" w:hAnsi="Times New Roman" w:cs="Times New Roman"/>
          <w:bCs/>
          <w:iCs/>
          <w:color w:val="000000"/>
          <w:sz w:val="24"/>
          <w:szCs w:val="24"/>
        </w:rPr>
        <w:t>8</w:t>
      </w:r>
      <w:r w:rsidR="00E66A81">
        <w:rPr>
          <w:rFonts w:ascii="Times New Roman" w:eastAsia="Calibri" w:hAnsi="Times New Roman" w:cs="Times New Roman"/>
          <w:bCs/>
          <w:iCs/>
          <w:color w:val="000000"/>
          <w:sz w:val="24"/>
          <w:szCs w:val="24"/>
        </w:rPr>
        <w:t xml:space="preserve"> eur. </w:t>
      </w:r>
    </w:p>
    <w:p w14:paraId="5BB31B98" w14:textId="77777777" w:rsidR="00E66A81" w:rsidRDefault="00E66A81" w:rsidP="000E51A8">
      <w:pPr>
        <w:spacing w:after="0"/>
        <w:jc w:val="both"/>
        <w:rPr>
          <w:rFonts w:ascii="Times New Roman" w:eastAsia="Calibri" w:hAnsi="Times New Roman" w:cs="Times New Roman"/>
          <w:bCs/>
          <w:iCs/>
          <w:color w:val="000000"/>
          <w:sz w:val="24"/>
          <w:szCs w:val="24"/>
        </w:rPr>
      </w:pPr>
    </w:p>
    <w:p w14:paraId="013675FB" w14:textId="222E8E46" w:rsidR="00AA64B5" w:rsidRPr="007C0D59" w:rsidRDefault="001520E5" w:rsidP="00AA64B5">
      <w:pPr>
        <w:jc w:val="both"/>
        <w:rPr>
          <w:rFonts w:ascii="Times New Roman" w:eastAsia="Calibri" w:hAnsi="Times New Roman" w:cs="Times New Roman"/>
          <w:bCs/>
          <w:iCs/>
          <w:color w:val="000000"/>
          <w:sz w:val="24"/>
          <w:szCs w:val="24"/>
        </w:rPr>
      </w:pPr>
      <w:r w:rsidRPr="007C0D59">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8</w:t>
      </w:r>
      <w:r w:rsidR="00217E66" w:rsidRPr="007C0D59">
        <w:rPr>
          <w:rFonts w:ascii="Times New Roman" w:eastAsia="Calibri" w:hAnsi="Times New Roman" w:cs="Times New Roman"/>
          <w:b/>
          <w:bCs/>
          <w:i/>
          <w:iCs/>
          <w:color w:val="000000"/>
          <w:sz w:val="24"/>
          <w:szCs w:val="24"/>
          <w:u w:val="single"/>
        </w:rPr>
        <w:t xml:space="preserve"> </w:t>
      </w:r>
      <w:r w:rsidR="00AA64B5" w:rsidRPr="007C0D59">
        <w:rPr>
          <w:rFonts w:ascii="Times New Roman" w:eastAsia="Calibri" w:hAnsi="Times New Roman" w:cs="Times New Roman"/>
          <w:b/>
          <w:bCs/>
          <w:i/>
          <w:iCs/>
          <w:color w:val="000000"/>
          <w:sz w:val="24"/>
          <w:szCs w:val="24"/>
          <w:u w:val="single"/>
        </w:rPr>
        <w:t>(OUT</w:t>
      </w:r>
      <w:r w:rsidR="00AA64B5" w:rsidRPr="007C0D59">
        <w:rPr>
          <w:rFonts w:ascii="Times New Roman" w:eastAsia="Calibri" w:hAnsi="Times New Roman" w:cs="Times New Roman"/>
          <w:b/>
          <w:bCs/>
          <w:i/>
          <w:iCs/>
          <w:color w:val="000000"/>
          <w:sz w:val="24"/>
          <w:szCs w:val="24"/>
        </w:rPr>
        <w:t>) –</w:t>
      </w:r>
      <w:r w:rsidR="00AA64B5" w:rsidRPr="007C0D59">
        <w:rPr>
          <w:rFonts w:ascii="Times New Roman" w:eastAsia="Calibri" w:hAnsi="Times New Roman" w:cs="Times New Roman"/>
          <w:bCs/>
          <w:iCs/>
          <w:color w:val="000000"/>
          <w:sz w:val="24"/>
          <w:szCs w:val="24"/>
        </w:rPr>
        <w:t xml:space="preserve"> </w:t>
      </w:r>
      <w:r w:rsidR="007C0D59" w:rsidRPr="007C0D59">
        <w:rPr>
          <w:rFonts w:ascii="Times New Roman" w:eastAsia="Calibri" w:hAnsi="Times New Roman" w:cs="Times New Roman"/>
          <w:bCs/>
          <w:iCs/>
          <w:color w:val="000000"/>
          <w:sz w:val="24"/>
          <w:szCs w:val="24"/>
        </w:rPr>
        <w:t>počet úkonov predpokladáme na úrovni cca 1,5</w:t>
      </w:r>
      <w:r w:rsidR="00AA64B5" w:rsidRPr="007C0D59">
        <w:rPr>
          <w:rFonts w:ascii="Times New Roman" w:eastAsia="Calibri" w:hAnsi="Times New Roman" w:cs="Times New Roman"/>
          <w:bCs/>
          <w:iCs/>
          <w:color w:val="000000"/>
          <w:sz w:val="24"/>
          <w:szCs w:val="24"/>
        </w:rPr>
        <w:t xml:space="preserve"> tis. (zdroj: Sociálna poisťovňa)</w:t>
      </w:r>
      <w:r w:rsidR="007C0D59" w:rsidRPr="007C0D59">
        <w:rPr>
          <w:rFonts w:ascii="Times New Roman" w:eastAsia="Calibri" w:hAnsi="Times New Roman" w:cs="Times New Roman"/>
          <w:bCs/>
          <w:iCs/>
          <w:color w:val="000000"/>
          <w:sz w:val="24"/>
          <w:szCs w:val="24"/>
        </w:rPr>
        <w:t>. Početnosť prispôsobená</w:t>
      </w:r>
      <w:r w:rsidR="00AA64B5" w:rsidRPr="007C0D59">
        <w:rPr>
          <w:rFonts w:ascii="Times New Roman" w:eastAsia="Calibri" w:hAnsi="Times New Roman" w:cs="Times New Roman"/>
          <w:bCs/>
          <w:iCs/>
          <w:color w:val="000000"/>
          <w:sz w:val="24"/>
          <w:szCs w:val="24"/>
        </w:rPr>
        <w:t xml:space="preserve"> účinnosti od 1. apríla 2026.  </w:t>
      </w:r>
    </w:p>
    <w:p w14:paraId="2158D6E8" w14:textId="77777777" w:rsidR="00AA64B5" w:rsidRDefault="00AA64B5" w:rsidP="00AA64B5">
      <w:pPr>
        <w:spacing w:after="0"/>
        <w:jc w:val="both"/>
        <w:rPr>
          <w:rFonts w:ascii="Times New Roman" w:eastAsia="Calibri" w:hAnsi="Times New Roman" w:cs="Times New Roman"/>
          <w:bCs/>
          <w:iCs/>
          <w:color w:val="000000"/>
          <w:sz w:val="24"/>
          <w:szCs w:val="24"/>
        </w:rPr>
      </w:pPr>
      <w:r w:rsidRPr="007C0D59">
        <w:rPr>
          <w:rFonts w:ascii="Times New Roman" w:eastAsia="Calibri" w:hAnsi="Times New Roman" w:cs="Times New Roman"/>
          <w:bCs/>
          <w:iCs/>
          <w:color w:val="000000"/>
          <w:sz w:val="24"/>
          <w:szCs w:val="24"/>
        </w:rPr>
        <w:t>D) Iné nepriame náklady – vzhľadom na štruktúru kalkulačky je nastavená fre</w:t>
      </w:r>
      <w:r w:rsidR="007C0D59" w:rsidRPr="007C0D59">
        <w:rPr>
          <w:rFonts w:ascii="Times New Roman" w:eastAsia="Calibri" w:hAnsi="Times New Roman" w:cs="Times New Roman"/>
          <w:bCs/>
          <w:iCs/>
          <w:color w:val="000000"/>
          <w:sz w:val="24"/>
          <w:szCs w:val="24"/>
        </w:rPr>
        <w:t>kvencia úkonu 1</w:t>
      </w:r>
      <w:r w:rsidRPr="007C0D59">
        <w:rPr>
          <w:rFonts w:ascii="Times New Roman" w:eastAsia="Calibri" w:hAnsi="Times New Roman" w:cs="Times New Roman"/>
          <w:bCs/>
          <w:iCs/>
          <w:color w:val="000000"/>
          <w:sz w:val="24"/>
          <w:szCs w:val="24"/>
        </w:rPr>
        <w:t>-krát ročne, z čoho vychádza</w:t>
      </w:r>
      <w:r w:rsidR="001D23E6">
        <w:rPr>
          <w:rFonts w:ascii="Times New Roman" w:eastAsia="Calibri" w:hAnsi="Times New Roman" w:cs="Times New Roman"/>
          <w:bCs/>
          <w:iCs/>
          <w:color w:val="000000"/>
          <w:sz w:val="24"/>
          <w:szCs w:val="24"/>
        </w:rPr>
        <w:t xml:space="preserve"> priemern</w:t>
      </w:r>
      <w:r w:rsidR="00D9044E">
        <w:rPr>
          <w:rFonts w:ascii="Times New Roman" w:eastAsia="Calibri" w:hAnsi="Times New Roman" w:cs="Times New Roman"/>
          <w:bCs/>
          <w:iCs/>
          <w:color w:val="000000"/>
          <w:sz w:val="24"/>
          <w:szCs w:val="24"/>
        </w:rPr>
        <w:t>á úspora</w:t>
      </w:r>
      <w:r w:rsidRPr="007C0D59">
        <w:rPr>
          <w:rFonts w:ascii="Times New Roman" w:eastAsia="Calibri" w:hAnsi="Times New Roman" w:cs="Times New Roman"/>
          <w:bCs/>
          <w:iCs/>
          <w:color w:val="000000"/>
          <w:sz w:val="24"/>
          <w:szCs w:val="24"/>
        </w:rPr>
        <w:t xml:space="preserve"> náklad</w:t>
      </w:r>
      <w:r w:rsidR="00D9044E">
        <w:rPr>
          <w:rFonts w:ascii="Times New Roman" w:eastAsia="Calibri" w:hAnsi="Times New Roman" w:cs="Times New Roman"/>
          <w:bCs/>
          <w:iCs/>
          <w:color w:val="000000"/>
          <w:sz w:val="24"/>
          <w:szCs w:val="24"/>
        </w:rPr>
        <w:t>ov</w:t>
      </w:r>
      <w:r w:rsidRPr="007C0D59">
        <w:rPr>
          <w:rFonts w:ascii="Times New Roman" w:eastAsia="Calibri" w:hAnsi="Times New Roman" w:cs="Times New Roman"/>
          <w:bCs/>
          <w:iCs/>
          <w:color w:val="000000"/>
          <w:sz w:val="24"/>
          <w:szCs w:val="24"/>
        </w:rPr>
        <w:t xml:space="preserve"> na 1 úkon cca 3 eur</w:t>
      </w:r>
      <w:r w:rsidR="00535B5F">
        <w:rPr>
          <w:rFonts w:ascii="Times New Roman" w:eastAsia="Calibri" w:hAnsi="Times New Roman" w:cs="Times New Roman"/>
          <w:bCs/>
          <w:iCs/>
          <w:color w:val="000000"/>
          <w:sz w:val="24"/>
          <w:szCs w:val="24"/>
        </w:rPr>
        <w:t>a</w:t>
      </w:r>
      <w:r w:rsidR="007C0D59" w:rsidRPr="007C0D59">
        <w:rPr>
          <w:rFonts w:ascii="Times New Roman" w:eastAsia="Calibri" w:hAnsi="Times New Roman" w:cs="Times New Roman"/>
          <w:bCs/>
          <w:iCs/>
          <w:color w:val="000000"/>
          <w:sz w:val="24"/>
          <w:szCs w:val="24"/>
        </w:rPr>
        <w:t xml:space="preserve"> (náklady na vytlačenie a</w:t>
      </w:r>
      <w:r w:rsidR="001D23E6">
        <w:rPr>
          <w:rFonts w:ascii="Times New Roman" w:eastAsia="Calibri" w:hAnsi="Times New Roman" w:cs="Times New Roman"/>
          <w:bCs/>
          <w:iCs/>
          <w:color w:val="000000"/>
          <w:sz w:val="24"/>
          <w:szCs w:val="24"/>
        </w:rPr>
        <w:t> </w:t>
      </w:r>
      <w:r w:rsidR="007C0D59" w:rsidRPr="007C0D59">
        <w:rPr>
          <w:rFonts w:ascii="Times New Roman" w:eastAsia="Calibri" w:hAnsi="Times New Roman" w:cs="Times New Roman"/>
          <w:bCs/>
          <w:iCs/>
          <w:color w:val="000000"/>
          <w:sz w:val="24"/>
          <w:szCs w:val="24"/>
        </w:rPr>
        <w:t>poštovné</w:t>
      </w:r>
      <w:r w:rsidR="001D23E6">
        <w:rPr>
          <w:rFonts w:ascii="Times New Roman" w:eastAsia="Calibri" w:hAnsi="Times New Roman" w:cs="Times New Roman"/>
          <w:bCs/>
          <w:iCs/>
          <w:color w:val="000000"/>
          <w:sz w:val="24"/>
          <w:szCs w:val="24"/>
        </w:rPr>
        <w:t>/doručenie</w:t>
      </w:r>
      <w:r w:rsidR="007C0D59" w:rsidRPr="007C0D59">
        <w:rPr>
          <w:rFonts w:ascii="Times New Roman" w:eastAsia="Calibri" w:hAnsi="Times New Roman" w:cs="Times New Roman"/>
          <w:bCs/>
          <w:iCs/>
          <w:color w:val="000000"/>
          <w:sz w:val="24"/>
          <w:szCs w:val="24"/>
        </w:rPr>
        <w:t>)</w:t>
      </w:r>
      <w:r w:rsidRPr="007C0D59">
        <w:rPr>
          <w:rFonts w:ascii="Times New Roman" w:eastAsia="Calibri" w:hAnsi="Times New Roman" w:cs="Times New Roman"/>
          <w:bCs/>
          <w:iCs/>
          <w:color w:val="000000"/>
          <w:sz w:val="24"/>
          <w:szCs w:val="24"/>
        </w:rPr>
        <w:t>.</w:t>
      </w:r>
      <w:r>
        <w:rPr>
          <w:rFonts w:ascii="Times New Roman" w:eastAsia="Calibri" w:hAnsi="Times New Roman" w:cs="Times New Roman"/>
          <w:bCs/>
          <w:iCs/>
          <w:color w:val="000000"/>
          <w:sz w:val="24"/>
          <w:szCs w:val="24"/>
        </w:rPr>
        <w:t xml:space="preserve"> </w:t>
      </w:r>
    </w:p>
    <w:p w14:paraId="68394903" w14:textId="77777777" w:rsidR="00AA64B5" w:rsidRDefault="00AA64B5" w:rsidP="000E51A8">
      <w:pPr>
        <w:spacing w:after="0"/>
        <w:jc w:val="both"/>
        <w:rPr>
          <w:rFonts w:ascii="Times New Roman" w:eastAsia="Calibri" w:hAnsi="Times New Roman" w:cs="Times New Roman"/>
          <w:bCs/>
          <w:iCs/>
          <w:color w:val="000000"/>
          <w:sz w:val="24"/>
          <w:szCs w:val="24"/>
        </w:rPr>
      </w:pPr>
    </w:p>
    <w:p w14:paraId="78B2EF69" w14:textId="0C9AF2E3" w:rsidR="007C0D59" w:rsidRDefault="007C0D59" w:rsidP="007C0D59">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9</w:t>
      </w:r>
      <w:r w:rsidR="00217E66" w:rsidRPr="002A78A8">
        <w:rPr>
          <w:rFonts w:ascii="Times New Roman" w:eastAsia="Calibri" w:hAnsi="Times New Roman" w:cs="Times New Roman"/>
          <w:b/>
          <w:bCs/>
          <w:i/>
          <w:iCs/>
          <w:color w:val="000000"/>
          <w:sz w:val="24"/>
          <w:szCs w:val="24"/>
          <w:u w:val="single"/>
        </w:rPr>
        <w:t xml:space="preserve"> </w:t>
      </w:r>
      <w:r w:rsidRPr="002A78A8">
        <w:rPr>
          <w:rFonts w:ascii="Times New Roman" w:eastAsia="Calibri" w:hAnsi="Times New Roman" w:cs="Times New Roman"/>
          <w:b/>
          <w:bCs/>
          <w:i/>
          <w:iCs/>
          <w:color w:val="000000"/>
          <w:sz w:val="24"/>
          <w:szCs w:val="24"/>
          <w:u w:val="single"/>
        </w:rPr>
        <w:t>(OUT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sidR="001D23E6">
        <w:rPr>
          <w:rFonts w:ascii="Times New Roman" w:eastAsia="Calibri" w:hAnsi="Times New Roman" w:cs="Times New Roman"/>
          <w:bCs/>
          <w:iCs/>
          <w:color w:val="000000"/>
          <w:sz w:val="24"/>
          <w:szCs w:val="24"/>
        </w:rPr>
        <w:t xml:space="preserve"> počet</w:t>
      </w:r>
      <w:r>
        <w:rPr>
          <w:rFonts w:ascii="Times New Roman" w:eastAsia="Calibri" w:hAnsi="Times New Roman" w:cs="Times New Roman"/>
          <w:bCs/>
          <w:iCs/>
          <w:color w:val="000000"/>
          <w:sz w:val="24"/>
          <w:szCs w:val="24"/>
        </w:rPr>
        <w:t xml:space="preserve"> </w:t>
      </w:r>
      <w:r w:rsidR="004E30DC">
        <w:rPr>
          <w:rFonts w:ascii="Times New Roman" w:eastAsia="Calibri" w:hAnsi="Times New Roman" w:cs="Times New Roman"/>
          <w:bCs/>
          <w:iCs/>
          <w:color w:val="000000"/>
          <w:sz w:val="24"/>
          <w:szCs w:val="24"/>
        </w:rPr>
        <w:t xml:space="preserve">úkonov predpokladáme na úrovni cca 208 tis. </w:t>
      </w:r>
      <w:r>
        <w:rPr>
          <w:rFonts w:ascii="Times New Roman" w:eastAsia="Calibri" w:hAnsi="Times New Roman" w:cs="Times New Roman"/>
          <w:bCs/>
          <w:iCs/>
          <w:color w:val="000000"/>
          <w:sz w:val="24"/>
          <w:szCs w:val="24"/>
        </w:rPr>
        <w:t>(</w:t>
      </w:r>
      <w:r w:rsidRPr="00E74A2A">
        <w:rPr>
          <w:rFonts w:ascii="Times New Roman" w:eastAsia="Calibri" w:hAnsi="Times New Roman" w:cs="Times New Roman"/>
          <w:bCs/>
          <w:iCs/>
          <w:color w:val="000000"/>
          <w:sz w:val="24"/>
          <w:szCs w:val="24"/>
        </w:rPr>
        <w:t>zdroj:</w:t>
      </w:r>
      <w:r>
        <w:rPr>
          <w:rFonts w:ascii="Times New Roman" w:eastAsia="Calibri" w:hAnsi="Times New Roman" w:cs="Times New Roman"/>
          <w:bCs/>
          <w:iCs/>
          <w:color w:val="000000"/>
          <w:sz w:val="24"/>
          <w:szCs w:val="24"/>
        </w:rPr>
        <w:t xml:space="preserve"> </w:t>
      </w:r>
      <w:r w:rsidRPr="00E74A2A">
        <w:rPr>
          <w:rFonts w:ascii="Times New Roman" w:eastAsia="Calibri" w:hAnsi="Times New Roman" w:cs="Times New Roman"/>
          <w:bCs/>
          <w:iCs/>
          <w:color w:val="000000"/>
          <w:sz w:val="24"/>
          <w:szCs w:val="24"/>
        </w:rPr>
        <w:t>Sociálna poisťovňa</w:t>
      </w:r>
      <w:r w:rsidR="004E30DC">
        <w:rPr>
          <w:rFonts w:ascii="Times New Roman" w:eastAsia="Calibri" w:hAnsi="Times New Roman" w:cs="Times New Roman"/>
          <w:bCs/>
          <w:iCs/>
          <w:color w:val="000000"/>
          <w:sz w:val="24"/>
          <w:szCs w:val="24"/>
        </w:rPr>
        <w:t>, novopriznané dávky nemocenského poistenia v roku 2023</w:t>
      </w:r>
      <w:r>
        <w:rPr>
          <w:rFonts w:ascii="Times New Roman" w:eastAsia="Calibri" w:hAnsi="Times New Roman" w:cs="Times New Roman"/>
          <w:bCs/>
          <w:iCs/>
          <w:color w:val="000000"/>
          <w:sz w:val="24"/>
          <w:szCs w:val="24"/>
        </w:rPr>
        <w:t>)</w:t>
      </w:r>
      <w:r w:rsidR="004E30DC">
        <w:rPr>
          <w:rFonts w:ascii="Times New Roman" w:eastAsia="Calibri" w:hAnsi="Times New Roman" w:cs="Times New Roman"/>
          <w:bCs/>
          <w:iCs/>
          <w:color w:val="000000"/>
          <w:sz w:val="24"/>
          <w:szCs w:val="24"/>
        </w:rPr>
        <w:t>. Početnosť prispôsobená</w:t>
      </w:r>
      <w:r>
        <w:rPr>
          <w:rFonts w:ascii="Times New Roman" w:eastAsia="Calibri" w:hAnsi="Times New Roman" w:cs="Times New Roman"/>
          <w:bCs/>
          <w:iCs/>
          <w:color w:val="000000"/>
          <w:sz w:val="24"/>
          <w:szCs w:val="24"/>
        </w:rPr>
        <w:t xml:space="preserve"> účinnosti od 1. apríla 2026.  </w:t>
      </w:r>
    </w:p>
    <w:p w14:paraId="03978649" w14:textId="77777777" w:rsidR="004E30DC" w:rsidRDefault="007C0D59" w:rsidP="007C0D59">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Pr="00407530">
        <w:rPr>
          <w:rFonts w:ascii="Times New Roman" w:eastAsia="Calibri" w:hAnsi="Times New Roman" w:cs="Times New Roman"/>
          <w:bCs/>
          <w:iCs/>
          <w:color w:val="000000"/>
          <w:sz w:val="24"/>
          <w:szCs w:val="24"/>
        </w:rPr>
        <w:t xml:space="preserve">) Administratívne náklady – </w:t>
      </w:r>
      <w:r w:rsidR="00CF5A0A">
        <w:rPr>
          <w:rFonts w:ascii="Times New Roman" w:eastAsia="Calibri" w:hAnsi="Times New Roman" w:cs="Times New Roman"/>
          <w:bCs/>
          <w:iCs/>
          <w:color w:val="000000"/>
          <w:sz w:val="24"/>
          <w:szCs w:val="24"/>
        </w:rPr>
        <w:t>odhaduje sa rozsah administratívnej povinnosti 15 min a</w:t>
      </w:r>
      <w:r w:rsidR="004E30DC">
        <w:rPr>
          <w:rFonts w:ascii="Times New Roman" w:eastAsia="Calibri" w:hAnsi="Times New Roman" w:cs="Times New Roman"/>
          <w:bCs/>
          <w:iCs/>
          <w:color w:val="000000"/>
          <w:sz w:val="24"/>
          <w:szCs w:val="24"/>
        </w:rPr>
        <w:t xml:space="preserve"> je nastavená frekvencia úkonu 1</w:t>
      </w:r>
      <w:r>
        <w:rPr>
          <w:rFonts w:ascii="Times New Roman" w:eastAsia="Calibri" w:hAnsi="Times New Roman" w:cs="Times New Roman"/>
          <w:bCs/>
          <w:iCs/>
          <w:color w:val="000000"/>
          <w:sz w:val="24"/>
          <w:szCs w:val="24"/>
        </w:rPr>
        <w:t>-krát ročne, z čoho vy</w:t>
      </w:r>
      <w:r w:rsidR="00CF5A0A">
        <w:rPr>
          <w:rFonts w:ascii="Times New Roman" w:eastAsia="Calibri" w:hAnsi="Times New Roman" w:cs="Times New Roman"/>
          <w:bCs/>
          <w:iCs/>
          <w:color w:val="000000"/>
          <w:sz w:val="24"/>
          <w:szCs w:val="24"/>
        </w:rPr>
        <w:t>chádza</w:t>
      </w:r>
      <w:r w:rsidR="00E47E14">
        <w:rPr>
          <w:rFonts w:ascii="Times New Roman" w:eastAsia="Calibri" w:hAnsi="Times New Roman" w:cs="Times New Roman"/>
          <w:bCs/>
          <w:iCs/>
          <w:color w:val="000000"/>
          <w:sz w:val="24"/>
          <w:szCs w:val="24"/>
        </w:rPr>
        <w:t xml:space="preserve"> úspora</w:t>
      </w:r>
      <w:r w:rsidR="00CF5A0A">
        <w:rPr>
          <w:rFonts w:ascii="Times New Roman" w:eastAsia="Calibri" w:hAnsi="Times New Roman" w:cs="Times New Roman"/>
          <w:bCs/>
          <w:iCs/>
          <w:color w:val="000000"/>
          <w:sz w:val="24"/>
          <w:szCs w:val="24"/>
        </w:rPr>
        <w:t xml:space="preserve"> náklad</w:t>
      </w:r>
      <w:r w:rsidR="00E47E14">
        <w:rPr>
          <w:rFonts w:ascii="Times New Roman" w:eastAsia="Calibri" w:hAnsi="Times New Roman" w:cs="Times New Roman"/>
          <w:bCs/>
          <w:iCs/>
          <w:color w:val="000000"/>
          <w:sz w:val="24"/>
          <w:szCs w:val="24"/>
        </w:rPr>
        <w:t>ov</w:t>
      </w:r>
      <w:r w:rsidR="00CF5A0A">
        <w:rPr>
          <w:rFonts w:ascii="Times New Roman" w:eastAsia="Calibri" w:hAnsi="Times New Roman" w:cs="Times New Roman"/>
          <w:bCs/>
          <w:iCs/>
          <w:color w:val="000000"/>
          <w:sz w:val="24"/>
          <w:szCs w:val="24"/>
        </w:rPr>
        <w:t xml:space="preserve"> na 1 úkon cca 3</w:t>
      </w:r>
      <w:r>
        <w:rPr>
          <w:rFonts w:ascii="Times New Roman" w:eastAsia="Calibri" w:hAnsi="Times New Roman" w:cs="Times New Roman"/>
          <w:bCs/>
          <w:iCs/>
          <w:color w:val="000000"/>
          <w:sz w:val="24"/>
          <w:szCs w:val="24"/>
        </w:rPr>
        <w:t xml:space="preserve"> eur</w:t>
      </w:r>
      <w:r w:rsidR="00535B5F">
        <w:rPr>
          <w:rFonts w:ascii="Times New Roman" w:eastAsia="Calibri" w:hAnsi="Times New Roman" w:cs="Times New Roman"/>
          <w:bCs/>
          <w:iCs/>
          <w:color w:val="000000"/>
          <w:sz w:val="24"/>
          <w:szCs w:val="24"/>
        </w:rPr>
        <w:t>a</w:t>
      </w:r>
      <w:r>
        <w:rPr>
          <w:rFonts w:ascii="Times New Roman" w:eastAsia="Calibri" w:hAnsi="Times New Roman" w:cs="Times New Roman"/>
          <w:bCs/>
          <w:iCs/>
          <w:color w:val="000000"/>
          <w:sz w:val="24"/>
          <w:szCs w:val="24"/>
        </w:rPr>
        <w:t>.</w:t>
      </w:r>
    </w:p>
    <w:p w14:paraId="67074ACD" w14:textId="77777777" w:rsidR="00FD375E" w:rsidRDefault="00FD375E" w:rsidP="007C0D59">
      <w:pPr>
        <w:spacing w:after="0"/>
        <w:jc w:val="both"/>
        <w:rPr>
          <w:rFonts w:ascii="Times New Roman" w:eastAsia="Calibri" w:hAnsi="Times New Roman" w:cs="Times New Roman"/>
          <w:bCs/>
          <w:iCs/>
          <w:color w:val="000000"/>
          <w:sz w:val="24"/>
          <w:szCs w:val="24"/>
        </w:rPr>
      </w:pPr>
    </w:p>
    <w:p w14:paraId="1DCD81BA" w14:textId="04CDEA99" w:rsidR="00FD375E" w:rsidRDefault="00FD375E" w:rsidP="00FD375E">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 xml:space="preserve">10 </w:t>
      </w:r>
      <w:r>
        <w:rPr>
          <w:rFonts w:ascii="Times New Roman" w:eastAsia="Calibri" w:hAnsi="Times New Roman" w:cs="Times New Roman"/>
          <w:b/>
          <w:bCs/>
          <w:i/>
          <w:iCs/>
          <w:color w:val="000000"/>
          <w:sz w:val="24"/>
          <w:szCs w:val="24"/>
          <w:u w:val="single"/>
        </w:rPr>
        <w:t>(OUT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opatrenie bude mať vplyv výlučne na </w:t>
      </w:r>
      <w:r w:rsidR="002F3411">
        <w:rPr>
          <w:rFonts w:ascii="Times New Roman" w:eastAsia="Calibri" w:hAnsi="Times New Roman" w:cs="Times New Roman"/>
          <w:bCs/>
          <w:iCs/>
          <w:color w:val="000000"/>
          <w:sz w:val="24"/>
          <w:szCs w:val="24"/>
        </w:rPr>
        <w:t>dôchodkové správcovské spoločnosti (ďalej len „DSS“)</w:t>
      </w:r>
      <w:r>
        <w:rPr>
          <w:rFonts w:ascii="Times New Roman" w:eastAsia="Calibri" w:hAnsi="Times New Roman" w:cs="Times New Roman"/>
          <w:bCs/>
          <w:iCs/>
          <w:color w:val="000000"/>
          <w:sz w:val="24"/>
          <w:szCs w:val="24"/>
        </w:rPr>
        <w:t>, to znamená celkovo 5 subjektov</w:t>
      </w:r>
      <w:r w:rsidR="003471E1">
        <w:rPr>
          <w:rFonts w:ascii="Times New Roman" w:eastAsia="Calibri" w:hAnsi="Times New Roman" w:cs="Times New Roman"/>
          <w:bCs/>
          <w:iCs/>
          <w:color w:val="000000"/>
          <w:sz w:val="24"/>
          <w:szCs w:val="24"/>
        </w:rPr>
        <w:t>, resp. 2 815 úkonov ročne</w:t>
      </w:r>
      <w:r w:rsidR="000B65B8">
        <w:rPr>
          <w:rFonts w:ascii="Times New Roman" w:eastAsia="Calibri" w:hAnsi="Times New Roman" w:cs="Times New Roman"/>
          <w:bCs/>
          <w:iCs/>
          <w:color w:val="000000"/>
          <w:sz w:val="24"/>
          <w:szCs w:val="24"/>
        </w:rPr>
        <w:t xml:space="preserve"> na základe údajov od DSS</w:t>
      </w:r>
      <w:r>
        <w:rPr>
          <w:rFonts w:ascii="Times New Roman" w:eastAsia="Calibri" w:hAnsi="Times New Roman" w:cs="Times New Roman"/>
          <w:bCs/>
          <w:iCs/>
          <w:color w:val="000000"/>
          <w:sz w:val="24"/>
          <w:szCs w:val="24"/>
        </w:rPr>
        <w:t xml:space="preserve">. </w:t>
      </w:r>
    </w:p>
    <w:p w14:paraId="6FF67B95" w14:textId="77777777" w:rsidR="00FD375E" w:rsidRDefault="00FD375E" w:rsidP="00FD375E">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 Administratívne náklady</w:t>
      </w:r>
      <w:r w:rsidRPr="00407530">
        <w:rPr>
          <w:rFonts w:ascii="Times New Roman" w:eastAsia="Calibri" w:hAnsi="Times New Roman" w:cs="Times New Roman"/>
          <w:bCs/>
          <w:iCs/>
          <w:color w:val="000000"/>
          <w:sz w:val="24"/>
          <w:szCs w:val="24"/>
        </w:rPr>
        <w:t xml:space="preserve"> – </w:t>
      </w:r>
      <w:r>
        <w:rPr>
          <w:rFonts w:ascii="Times New Roman" w:eastAsia="Calibri" w:hAnsi="Times New Roman" w:cs="Times New Roman"/>
          <w:bCs/>
          <w:iCs/>
          <w:color w:val="000000"/>
          <w:sz w:val="24"/>
          <w:szCs w:val="24"/>
        </w:rPr>
        <w:t>n</w:t>
      </w:r>
      <w:r w:rsidRPr="004C188A">
        <w:rPr>
          <w:rFonts w:ascii="Times New Roman" w:eastAsia="Calibri" w:hAnsi="Times New Roman" w:cs="Times New Roman"/>
          <w:bCs/>
          <w:iCs/>
          <w:color w:val="000000"/>
          <w:sz w:val="24"/>
          <w:szCs w:val="24"/>
        </w:rPr>
        <w:t xml:space="preserve">a základe údajov od DSS odhadujeme trvanie povinnosti na 10 minút. Podľa výpočtov v kalkulačke nákladov vznikne na strane DSS úspora vo výške </w:t>
      </w:r>
      <w:r w:rsidR="003471E1">
        <w:rPr>
          <w:rFonts w:ascii="Times New Roman" w:eastAsia="Calibri" w:hAnsi="Times New Roman" w:cs="Times New Roman"/>
          <w:bCs/>
          <w:iCs/>
          <w:color w:val="000000"/>
          <w:sz w:val="24"/>
          <w:szCs w:val="24"/>
        </w:rPr>
        <w:t>5 711</w:t>
      </w:r>
      <w:r w:rsidR="003471E1" w:rsidRPr="004C188A">
        <w:rPr>
          <w:rFonts w:ascii="Times New Roman" w:eastAsia="Calibri" w:hAnsi="Times New Roman" w:cs="Times New Roman"/>
          <w:bCs/>
          <w:iCs/>
          <w:color w:val="000000"/>
          <w:sz w:val="24"/>
          <w:szCs w:val="24"/>
        </w:rPr>
        <w:t xml:space="preserve"> </w:t>
      </w:r>
      <w:r w:rsidRPr="004C188A">
        <w:rPr>
          <w:rFonts w:ascii="Times New Roman" w:eastAsia="Calibri" w:hAnsi="Times New Roman" w:cs="Times New Roman"/>
          <w:bCs/>
          <w:iCs/>
          <w:color w:val="000000"/>
          <w:sz w:val="24"/>
          <w:szCs w:val="24"/>
        </w:rPr>
        <w:t>eur.</w:t>
      </w:r>
      <w:r>
        <w:rPr>
          <w:rFonts w:ascii="Times New Roman" w:eastAsia="Calibri" w:hAnsi="Times New Roman" w:cs="Times New Roman"/>
          <w:bCs/>
          <w:iCs/>
          <w:color w:val="000000"/>
          <w:sz w:val="24"/>
          <w:szCs w:val="24"/>
        </w:rPr>
        <w:t xml:space="preserve"> Účinnosť opatrenia je naplánovaná na 1.1.2028. </w:t>
      </w:r>
    </w:p>
    <w:p w14:paraId="5DEFFA1D" w14:textId="77777777" w:rsidR="00F95C73" w:rsidRDefault="00F95C73" w:rsidP="004E30DC">
      <w:pPr>
        <w:spacing w:after="0"/>
        <w:jc w:val="both"/>
        <w:rPr>
          <w:rFonts w:ascii="Times New Roman" w:eastAsia="Calibri" w:hAnsi="Times New Roman" w:cs="Times New Roman"/>
          <w:bCs/>
          <w:iCs/>
          <w:color w:val="000000"/>
          <w:sz w:val="24"/>
          <w:szCs w:val="24"/>
        </w:rPr>
      </w:pPr>
    </w:p>
    <w:p w14:paraId="5A5B1575" w14:textId="40E7C61A" w:rsidR="00F95C73" w:rsidRDefault="00F95C73" w:rsidP="00F95C73">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 xml:space="preserve">11 </w:t>
      </w:r>
      <w:r>
        <w:rPr>
          <w:rFonts w:ascii="Times New Roman" w:eastAsia="Calibri" w:hAnsi="Times New Roman" w:cs="Times New Roman"/>
          <w:b/>
          <w:bCs/>
          <w:i/>
          <w:iCs/>
          <w:color w:val="000000"/>
          <w:sz w:val="24"/>
          <w:szCs w:val="24"/>
          <w:u w:val="single"/>
        </w:rPr>
        <w:t>(IN</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opatrenie bude mať vplyv výlučne na </w:t>
      </w:r>
      <w:r w:rsidR="007E4B3A">
        <w:rPr>
          <w:rFonts w:ascii="Times New Roman" w:eastAsia="Calibri" w:hAnsi="Times New Roman" w:cs="Times New Roman"/>
          <w:bCs/>
          <w:iCs/>
          <w:color w:val="000000"/>
          <w:sz w:val="24"/>
          <w:szCs w:val="24"/>
        </w:rPr>
        <w:t>DSS</w:t>
      </w:r>
      <w:r>
        <w:rPr>
          <w:rFonts w:ascii="Times New Roman" w:eastAsia="Calibri" w:hAnsi="Times New Roman" w:cs="Times New Roman"/>
          <w:bCs/>
          <w:iCs/>
          <w:color w:val="000000"/>
          <w:sz w:val="24"/>
          <w:szCs w:val="24"/>
        </w:rPr>
        <w:t xml:space="preserve">, to znamená celkovo 5 subjektov. </w:t>
      </w:r>
    </w:p>
    <w:p w14:paraId="73530B0F" w14:textId="77777777" w:rsidR="00F95C73" w:rsidRDefault="00195F93" w:rsidP="00F95C73">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D</w:t>
      </w:r>
      <w:r w:rsidR="00F95C73">
        <w:rPr>
          <w:rFonts w:ascii="Times New Roman" w:eastAsia="Calibri" w:hAnsi="Times New Roman" w:cs="Times New Roman"/>
          <w:bCs/>
          <w:iCs/>
          <w:color w:val="000000"/>
          <w:sz w:val="24"/>
          <w:szCs w:val="24"/>
        </w:rPr>
        <w:t>) Iné nepriame náklady</w:t>
      </w:r>
      <w:r w:rsidR="00F95C73" w:rsidRPr="00407530">
        <w:rPr>
          <w:rFonts w:ascii="Times New Roman" w:eastAsia="Calibri" w:hAnsi="Times New Roman" w:cs="Times New Roman"/>
          <w:bCs/>
          <w:iCs/>
          <w:color w:val="000000"/>
          <w:sz w:val="24"/>
          <w:szCs w:val="24"/>
        </w:rPr>
        <w:t xml:space="preserve"> – </w:t>
      </w:r>
      <w:r w:rsidR="004C188A">
        <w:rPr>
          <w:rFonts w:ascii="Times New Roman" w:eastAsia="Calibri" w:hAnsi="Times New Roman" w:cs="Times New Roman"/>
          <w:bCs/>
          <w:iCs/>
          <w:color w:val="000000"/>
          <w:sz w:val="24"/>
          <w:szCs w:val="24"/>
        </w:rPr>
        <w:t>n</w:t>
      </w:r>
      <w:r w:rsidR="004C188A" w:rsidRPr="004C188A">
        <w:rPr>
          <w:rFonts w:ascii="Times New Roman" w:eastAsia="Calibri" w:hAnsi="Times New Roman" w:cs="Times New Roman"/>
          <w:bCs/>
          <w:iCs/>
          <w:color w:val="000000"/>
          <w:sz w:val="24"/>
          <w:szCs w:val="24"/>
        </w:rPr>
        <w:t>a základe údajov od DSS odhadujeme jednorazové náklady na jedného podnikateľa (spojené s úpravou informačných systémov) vo výške 18 000 eur. Po započítaní v kalkulačke nákladov tak celkové jednorazové náklady dosahujú 22 500 eur.</w:t>
      </w:r>
    </w:p>
    <w:p w14:paraId="53DC2B52" w14:textId="77777777" w:rsidR="004E30DC" w:rsidRDefault="00E21884" w:rsidP="004E30DC">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 </w:t>
      </w:r>
    </w:p>
    <w:p w14:paraId="4076BFC8" w14:textId="7DEAC865" w:rsidR="00195F93" w:rsidRDefault="00195F93" w:rsidP="00195F93">
      <w:pPr>
        <w:jc w:val="both"/>
        <w:rPr>
          <w:rFonts w:ascii="Times New Roman" w:eastAsia="Calibri" w:hAnsi="Times New Roman" w:cs="Times New Roman"/>
          <w:bCs/>
          <w:iCs/>
          <w:color w:val="000000"/>
          <w:sz w:val="24"/>
          <w:szCs w:val="24"/>
        </w:rPr>
      </w:pPr>
      <w:r>
        <w:rPr>
          <w:rFonts w:ascii="Times New Roman" w:eastAsia="Calibri" w:hAnsi="Times New Roman" w:cs="Times New Roman"/>
          <w:b/>
          <w:bCs/>
          <w:i/>
          <w:iCs/>
          <w:color w:val="000000"/>
          <w:sz w:val="24"/>
          <w:szCs w:val="24"/>
          <w:u w:val="single"/>
        </w:rPr>
        <w:t xml:space="preserve">Opatrenie </w:t>
      </w:r>
      <w:r w:rsidR="00217E66">
        <w:rPr>
          <w:rFonts w:ascii="Times New Roman" w:eastAsia="Calibri" w:hAnsi="Times New Roman" w:cs="Times New Roman"/>
          <w:b/>
          <w:bCs/>
          <w:i/>
          <w:iCs/>
          <w:color w:val="000000"/>
          <w:sz w:val="24"/>
          <w:szCs w:val="24"/>
          <w:u w:val="single"/>
        </w:rPr>
        <w:t xml:space="preserve">12 </w:t>
      </w:r>
      <w:r>
        <w:rPr>
          <w:rFonts w:ascii="Times New Roman" w:eastAsia="Calibri" w:hAnsi="Times New Roman" w:cs="Times New Roman"/>
          <w:b/>
          <w:bCs/>
          <w:i/>
          <w:iCs/>
          <w:color w:val="000000"/>
          <w:sz w:val="24"/>
          <w:szCs w:val="24"/>
          <w:u w:val="single"/>
        </w:rPr>
        <w:t>(OUT</w:t>
      </w:r>
      <w:r w:rsidRPr="00E74A2A">
        <w:rPr>
          <w:rFonts w:ascii="Times New Roman" w:eastAsia="Calibri" w:hAnsi="Times New Roman" w:cs="Times New Roman"/>
          <w:b/>
          <w:bCs/>
          <w:i/>
          <w:iCs/>
          <w:color w:val="000000"/>
          <w:sz w:val="24"/>
          <w:szCs w:val="24"/>
        </w:rPr>
        <w:t>)</w:t>
      </w:r>
      <w:r>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Cs/>
          <w:iCs/>
          <w:color w:val="000000"/>
          <w:sz w:val="24"/>
          <w:szCs w:val="24"/>
        </w:rPr>
        <w:t xml:space="preserve"> opatrenie bude mať vplyv výlučne na DSS, to znamená celkovo 5 subjektov</w:t>
      </w:r>
      <w:r w:rsidR="003471E1">
        <w:rPr>
          <w:rFonts w:ascii="Times New Roman" w:eastAsia="Calibri" w:hAnsi="Times New Roman" w:cs="Times New Roman"/>
          <w:bCs/>
          <w:iCs/>
          <w:color w:val="000000"/>
          <w:sz w:val="24"/>
          <w:szCs w:val="24"/>
        </w:rPr>
        <w:t>, resp. 900 úkonov ročne</w:t>
      </w:r>
      <w:r w:rsidR="000B65B8">
        <w:rPr>
          <w:rFonts w:ascii="Times New Roman" w:eastAsia="Calibri" w:hAnsi="Times New Roman" w:cs="Times New Roman"/>
          <w:bCs/>
          <w:iCs/>
          <w:color w:val="000000"/>
          <w:sz w:val="24"/>
          <w:szCs w:val="24"/>
        </w:rPr>
        <w:t xml:space="preserve"> na základe údajov od DSS</w:t>
      </w:r>
      <w:r>
        <w:rPr>
          <w:rFonts w:ascii="Times New Roman" w:eastAsia="Calibri" w:hAnsi="Times New Roman" w:cs="Times New Roman"/>
          <w:bCs/>
          <w:iCs/>
          <w:color w:val="000000"/>
          <w:sz w:val="24"/>
          <w:szCs w:val="24"/>
        </w:rPr>
        <w:t xml:space="preserve">. </w:t>
      </w:r>
    </w:p>
    <w:p w14:paraId="26A83114" w14:textId="77777777" w:rsidR="00195F93" w:rsidRDefault="00195F93" w:rsidP="00195F93">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 Administratívne náklady</w:t>
      </w:r>
      <w:r w:rsidRPr="00407530">
        <w:rPr>
          <w:rFonts w:ascii="Times New Roman" w:eastAsia="Calibri" w:hAnsi="Times New Roman" w:cs="Times New Roman"/>
          <w:bCs/>
          <w:iCs/>
          <w:color w:val="000000"/>
          <w:sz w:val="24"/>
          <w:szCs w:val="24"/>
        </w:rPr>
        <w:t xml:space="preserve"> – </w:t>
      </w:r>
      <w:r w:rsidR="004C188A">
        <w:rPr>
          <w:rFonts w:ascii="Times New Roman" w:eastAsia="Calibri" w:hAnsi="Times New Roman" w:cs="Times New Roman"/>
          <w:bCs/>
          <w:iCs/>
          <w:color w:val="000000"/>
          <w:sz w:val="24"/>
          <w:szCs w:val="24"/>
        </w:rPr>
        <w:t>n</w:t>
      </w:r>
      <w:r w:rsidR="004C188A" w:rsidRPr="004C188A">
        <w:rPr>
          <w:rFonts w:ascii="Times New Roman" w:eastAsia="Calibri" w:hAnsi="Times New Roman" w:cs="Times New Roman"/>
          <w:bCs/>
          <w:iCs/>
          <w:color w:val="000000"/>
          <w:sz w:val="24"/>
          <w:szCs w:val="24"/>
        </w:rPr>
        <w:t xml:space="preserve">a základe údajov od DSS odhadujeme trvanie povinnosti na 15 minút. Podľa výpočtov v kalkulačke nákladov vznikne na strane DSS úspora vo výške </w:t>
      </w:r>
      <w:r w:rsidR="003471E1">
        <w:rPr>
          <w:rFonts w:ascii="Times New Roman" w:eastAsia="Calibri" w:hAnsi="Times New Roman" w:cs="Times New Roman"/>
          <w:bCs/>
          <w:iCs/>
          <w:color w:val="000000"/>
          <w:sz w:val="24"/>
          <w:szCs w:val="24"/>
        </w:rPr>
        <w:t>2 739</w:t>
      </w:r>
      <w:r w:rsidR="003471E1" w:rsidRPr="004C188A">
        <w:rPr>
          <w:rFonts w:ascii="Times New Roman" w:eastAsia="Calibri" w:hAnsi="Times New Roman" w:cs="Times New Roman"/>
          <w:bCs/>
          <w:iCs/>
          <w:color w:val="000000"/>
          <w:sz w:val="24"/>
          <w:szCs w:val="24"/>
        </w:rPr>
        <w:t xml:space="preserve"> </w:t>
      </w:r>
      <w:r w:rsidR="004C188A" w:rsidRPr="004C188A">
        <w:rPr>
          <w:rFonts w:ascii="Times New Roman" w:eastAsia="Calibri" w:hAnsi="Times New Roman" w:cs="Times New Roman"/>
          <w:bCs/>
          <w:iCs/>
          <w:color w:val="000000"/>
          <w:sz w:val="24"/>
          <w:szCs w:val="24"/>
        </w:rPr>
        <w:t>eur.</w:t>
      </w:r>
    </w:p>
    <w:p w14:paraId="1D6F8271" w14:textId="77777777" w:rsidR="00DA058F" w:rsidRDefault="00DA058F" w:rsidP="00195F93">
      <w:pPr>
        <w:spacing w:after="0"/>
        <w:jc w:val="both"/>
        <w:rPr>
          <w:rFonts w:ascii="Times New Roman" w:eastAsia="Calibri" w:hAnsi="Times New Roman" w:cs="Times New Roman"/>
          <w:bCs/>
          <w:iCs/>
          <w:color w:val="000000"/>
          <w:sz w:val="24"/>
          <w:szCs w:val="24"/>
        </w:rPr>
      </w:pPr>
    </w:p>
    <w:p w14:paraId="59EBE90A" w14:textId="536D4F77" w:rsidR="00DA058F" w:rsidRDefault="00DA058F" w:rsidP="00DA058F">
      <w:pPr>
        <w:spacing w:after="0"/>
        <w:jc w:val="both"/>
        <w:rPr>
          <w:rFonts w:ascii="Times New Roman" w:hAnsi="Times New Roman" w:cs="Times New Roman"/>
          <w:bCs/>
          <w:iCs/>
          <w:color w:val="000000"/>
          <w:sz w:val="24"/>
          <w:szCs w:val="24"/>
        </w:rPr>
      </w:pPr>
      <w:r w:rsidRPr="006012CB">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13</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(IN</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bCs/>
          <w:iCs/>
          <w:color w:val="000000"/>
          <w:sz w:val="24"/>
          <w:szCs w:val="24"/>
        </w:rPr>
        <w:t xml:space="preserve">Toto opatrenie zohľadňuje ročný náklad poskytovateľov zdravotnej starostlivosti, ktorí v súčasnosti vypĺňajú papierové tlačivá o potrebe ošetrovania. Prechod na plne elektrizované tlačivá vyžaduje jednorazový náklad v objeme cca </w:t>
      </w:r>
      <w:r w:rsidR="00CB3544">
        <w:rPr>
          <w:rFonts w:ascii="Times New Roman" w:hAnsi="Times New Roman" w:cs="Times New Roman"/>
          <w:bCs/>
          <w:iCs/>
          <w:color w:val="000000"/>
          <w:sz w:val="24"/>
          <w:szCs w:val="24"/>
        </w:rPr>
        <w:t>8 eur</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na jedného poskytovateľa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v prvom roku účinnosti zákona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 xml:space="preserve">Tento náklad súvisí s úpravou informačných systémov poskytovateľov, v súvislosti s integráciou a rozšírením funkcionalít národného zdravotníckeho informačného systému. </w:t>
      </w:r>
      <w:r w:rsidR="0054362A">
        <w:rPr>
          <w:rFonts w:ascii="Times New Roman" w:hAnsi="Times New Roman" w:cs="Times New Roman"/>
          <w:bCs/>
          <w:iCs/>
          <w:color w:val="000000"/>
          <w:sz w:val="24"/>
          <w:szCs w:val="24"/>
        </w:rPr>
        <w:t>Počet dotknutých subjektov je z databázy NCZI, konkrétne z Národného registra poskytovateľov zdravotnej starostlivosti.</w:t>
      </w:r>
    </w:p>
    <w:p w14:paraId="4A58031E" w14:textId="77777777" w:rsidR="00DA058F" w:rsidRPr="006012CB" w:rsidRDefault="00DA058F" w:rsidP="00DA058F">
      <w:pPr>
        <w:spacing w:after="0"/>
        <w:jc w:val="both"/>
        <w:rPr>
          <w:rFonts w:ascii="Times New Roman" w:hAnsi="Times New Roman" w:cs="Times New Roman"/>
          <w:bCs/>
          <w:iCs/>
          <w:color w:val="000000"/>
          <w:sz w:val="24"/>
          <w:szCs w:val="24"/>
        </w:rPr>
      </w:pPr>
    </w:p>
    <w:p w14:paraId="2D7C719D" w14:textId="3CB76E3C" w:rsidR="00AC082F" w:rsidRPr="006012CB" w:rsidRDefault="00AC082F" w:rsidP="00AC082F">
      <w:pPr>
        <w:spacing w:after="0"/>
        <w:jc w:val="both"/>
        <w:rPr>
          <w:rFonts w:ascii="Times New Roman" w:hAnsi="Times New Roman" w:cs="Times New Roman"/>
          <w:bCs/>
          <w:iCs/>
          <w:color w:val="000000"/>
          <w:sz w:val="24"/>
          <w:szCs w:val="24"/>
        </w:rPr>
      </w:pPr>
      <w:r>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14</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(IN</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bCs/>
          <w:iCs/>
          <w:color w:val="000000"/>
          <w:sz w:val="24"/>
          <w:szCs w:val="24"/>
        </w:rPr>
        <w:t xml:space="preserve">Toto opatrenie zohľadňuje ročný náklad poskytovateľov zdravotnej starostlivosti, ktorí v súčasnosti potvrdzujú papierové tlačivá pre vyplácanie ochranného príspevku v hmotnej núdzi. Prechod na plne elektrizované tlačivá vyžaduje jednorazový náklad v objeme cca </w:t>
      </w:r>
      <w:r w:rsidR="00CB3544">
        <w:rPr>
          <w:rFonts w:ascii="Times New Roman" w:hAnsi="Times New Roman" w:cs="Times New Roman"/>
          <w:bCs/>
          <w:iCs/>
          <w:color w:val="000000"/>
          <w:sz w:val="24"/>
          <w:szCs w:val="24"/>
        </w:rPr>
        <w:t>2</w:t>
      </w:r>
      <w:r w:rsidRPr="006012CB">
        <w:rPr>
          <w:rFonts w:ascii="Times New Roman" w:hAnsi="Times New Roman" w:cs="Times New Roman"/>
          <w:bCs/>
          <w:iCs/>
          <w:color w:val="000000"/>
          <w:sz w:val="24"/>
          <w:szCs w:val="24"/>
        </w:rPr>
        <w:t xml:space="preserve">0 </w:t>
      </w:r>
      <w:r w:rsidR="00CB3544">
        <w:rPr>
          <w:rFonts w:ascii="Times New Roman" w:hAnsi="Times New Roman" w:cs="Times New Roman"/>
          <w:bCs/>
          <w:iCs/>
          <w:color w:val="000000"/>
          <w:sz w:val="24"/>
          <w:szCs w:val="24"/>
        </w:rPr>
        <w:t>eur</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na jedného poskytovateľa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v prvom roku účinnosti zákona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 xml:space="preserve">Tento náklad súvisí s úpravou informačných systémov poskytovateľov, v súvislosti s napojením sa a rozšírením funkcionalít národného zdravotníckeho informačného systému. </w:t>
      </w:r>
      <w:r w:rsidR="0054362A">
        <w:rPr>
          <w:rFonts w:ascii="Times New Roman" w:hAnsi="Times New Roman" w:cs="Times New Roman"/>
          <w:bCs/>
          <w:iCs/>
          <w:color w:val="000000"/>
          <w:sz w:val="24"/>
          <w:szCs w:val="24"/>
        </w:rPr>
        <w:t>Počet dotknutých subjektov je z databázy NCZI, konkrétne z Národného registra poskytovateľov zdravotnej starostlivosti.</w:t>
      </w:r>
    </w:p>
    <w:p w14:paraId="1A1F541A" w14:textId="77777777" w:rsidR="00AC082F" w:rsidRDefault="00AC082F" w:rsidP="00DA058F">
      <w:pPr>
        <w:spacing w:after="0"/>
        <w:jc w:val="both"/>
        <w:rPr>
          <w:rFonts w:ascii="Times New Roman" w:hAnsi="Times New Roman" w:cs="Times New Roman"/>
          <w:b/>
          <w:bCs/>
          <w:i/>
          <w:iCs/>
          <w:color w:val="000000"/>
          <w:sz w:val="24"/>
          <w:szCs w:val="24"/>
          <w:u w:val="single"/>
        </w:rPr>
      </w:pPr>
    </w:p>
    <w:p w14:paraId="3EEA2889" w14:textId="4E539FE4" w:rsidR="00DA058F" w:rsidRPr="006012CB" w:rsidRDefault="00DA058F" w:rsidP="00DA058F">
      <w:pPr>
        <w:spacing w:after="0"/>
        <w:jc w:val="both"/>
        <w:rPr>
          <w:rFonts w:ascii="Times New Roman" w:hAnsi="Times New Roman" w:cs="Times New Roman"/>
          <w:bCs/>
          <w:iCs/>
          <w:color w:val="000000"/>
          <w:sz w:val="24"/>
          <w:szCs w:val="24"/>
        </w:rPr>
      </w:pPr>
      <w:r w:rsidRPr="006012CB">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15</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(IN</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bCs/>
          <w:iCs/>
          <w:color w:val="000000"/>
          <w:sz w:val="24"/>
          <w:szCs w:val="24"/>
        </w:rPr>
        <w:t xml:space="preserve">Toto opatrenie zohľadňuje ročný náklad poskytovateľov zdravotnej starostlivosti, ktorí v súčasnosti potvrdzujú papierové tlačivá pre vyplácanie </w:t>
      </w:r>
      <w:r w:rsidR="00D949F6">
        <w:rPr>
          <w:rFonts w:ascii="Times New Roman" w:hAnsi="Times New Roman" w:cs="Times New Roman"/>
          <w:bCs/>
          <w:iCs/>
          <w:color w:val="000000"/>
          <w:sz w:val="24"/>
          <w:szCs w:val="24"/>
        </w:rPr>
        <w:t>materského</w:t>
      </w:r>
      <w:r w:rsidRPr="006012CB">
        <w:rPr>
          <w:rFonts w:ascii="Times New Roman" w:hAnsi="Times New Roman" w:cs="Times New Roman"/>
          <w:bCs/>
          <w:iCs/>
          <w:color w:val="000000"/>
          <w:sz w:val="24"/>
          <w:szCs w:val="24"/>
        </w:rPr>
        <w:t xml:space="preserve">. Prechod na plne elektrizované tlačivá vyžaduje jednorazový náklad v objeme cca </w:t>
      </w:r>
      <w:r w:rsidR="00CB3544">
        <w:rPr>
          <w:rFonts w:ascii="Times New Roman" w:hAnsi="Times New Roman" w:cs="Times New Roman"/>
          <w:bCs/>
          <w:iCs/>
          <w:color w:val="000000"/>
          <w:sz w:val="24"/>
          <w:szCs w:val="24"/>
        </w:rPr>
        <w:t>2</w:t>
      </w:r>
      <w:r w:rsidRPr="006012CB">
        <w:rPr>
          <w:rFonts w:ascii="Times New Roman" w:hAnsi="Times New Roman" w:cs="Times New Roman"/>
          <w:bCs/>
          <w:iCs/>
          <w:color w:val="000000"/>
          <w:sz w:val="24"/>
          <w:szCs w:val="24"/>
        </w:rPr>
        <w:t xml:space="preserve">0 </w:t>
      </w:r>
      <w:r w:rsidR="00CB3544">
        <w:rPr>
          <w:rFonts w:ascii="Times New Roman" w:hAnsi="Times New Roman" w:cs="Times New Roman"/>
          <w:bCs/>
          <w:iCs/>
          <w:color w:val="000000"/>
          <w:sz w:val="24"/>
          <w:szCs w:val="24"/>
        </w:rPr>
        <w:t>eur</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na jedného poskytovateľa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v prvom roku účinnosti zákona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 xml:space="preserve">Tento náklad súvisí s úpravou informačných systémov poskytovateľov, v súvislosti s napojením sa a rozšírením funkcionalít národného zdravotníckeho informačného systému. </w:t>
      </w:r>
      <w:r w:rsidR="0054362A">
        <w:rPr>
          <w:rFonts w:ascii="Times New Roman" w:hAnsi="Times New Roman" w:cs="Times New Roman"/>
          <w:bCs/>
          <w:iCs/>
          <w:color w:val="000000"/>
          <w:sz w:val="24"/>
          <w:szCs w:val="24"/>
        </w:rPr>
        <w:t>Počet dotknutých subjektov je z databázy NCZI, konkrétne z Národného registra poskytovateľov zdravotnej starostlivosti.</w:t>
      </w:r>
    </w:p>
    <w:p w14:paraId="3821E75D" w14:textId="77777777" w:rsidR="00DA058F" w:rsidRDefault="00DA058F" w:rsidP="00DA058F">
      <w:pPr>
        <w:spacing w:after="0"/>
        <w:jc w:val="both"/>
        <w:rPr>
          <w:rFonts w:ascii="Times New Roman" w:hAnsi="Times New Roman" w:cs="Times New Roman"/>
          <w:b/>
          <w:bCs/>
          <w:i/>
          <w:iCs/>
          <w:color w:val="000000"/>
          <w:sz w:val="24"/>
          <w:szCs w:val="24"/>
          <w:u w:val="single"/>
        </w:rPr>
      </w:pPr>
    </w:p>
    <w:p w14:paraId="07B59B3A" w14:textId="488A2F7B" w:rsidR="00DA058F" w:rsidRDefault="00DA058F" w:rsidP="00DA058F">
      <w:pPr>
        <w:spacing w:after="0"/>
        <w:jc w:val="both"/>
        <w:rPr>
          <w:rFonts w:ascii="Times New Roman" w:hAnsi="Times New Roman" w:cs="Times New Roman"/>
          <w:bCs/>
          <w:iCs/>
          <w:color w:val="000000"/>
          <w:sz w:val="24"/>
          <w:szCs w:val="24"/>
        </w:rPr>
      </w:pPr>
      <w:r w:rsidRPr="006012CB">
        <w:rPr>
          <w:rFonts w:ascii="Times New Roman" w:hAnsi="Times New Roman" w:cs="Times New Roman"/>
          <w:b/>
          <w:bCs/>
          <w:i/>
          <w:iCs/>
          <w:color w:val="000000"/>
          <w:sz w:val="24"/>
          <w:szCs w:val="24"/>
          <w:u w:val="single"/>
        </w:rPr>
        <w:lastRenderedPageBreak/>
        <w:t xml:space="preserve">Opatrenie </w:t>
      </w:r>
      <w:r w:rsidR="00217E66">
        <w:rPr>
          <w:rFonts w:ascii="Times New Roman" w:hAnsi="Times New Roman" w:cs="Times New Roman"/>
          <w:b/>
          <w:bCs/>
          <w:i/>
          <w:iCs/>
          <w:color w:val="000000"/>
          <w:sz w:val="24"/>
          <w:szCs w:val="24"/>
          <w:u w:val="single"/>
        </w:rPr>
        <w:t>16</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(IN</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bCs/>
          <w:iCs/>
          <w:color w:val="000000"/>
          <w:sz w:val="24"/>
          <w:szCs w:val="24"/>
        </w:rPr>
        <w:t>Toto opatrenie zohľadňuje ročný náklad poskytovateľov zdravotnej starostlivosti, ktorí v súčasnosti potvrdzujú papierové tlačivá pre vyplácanie tehotensk</w:t>
      </w:r>
      <w:r w:rsidR="00D949F6">
        <w:rPr>
          <w:rFonts w:ascii="Times New Roman" w:hAnsi="Times New Roman" w:cs="Times New Roman"/>
          <w:bCs/>
          <w:iCs/>
          <w:color w:val="000000"/>
          <w:sz w:val="24"/>
          <w:szCs w:val="24"/>
        </w:rPr>
        <w:t>ého</w:t>
      </w:r>
      <w:r w:rsidR="00433370">
        <w:rPr>
          <w:rFonts w:ascii="Times New Roman" w:hAnsi="Times New Roman" w:cs="Times New Roman"/>
          <w:bCs/>
          <w:iCs/>
          <w:color w:val="000000"/>
          <w:sz w:val="24"/>
          <w:szCs w:val="24"/>
        </w:rPr>
        <w:t>.</w:t>
      </w:r>
      <w:r w:rsidRPr="006012CB">
        <w:rPr>
          <w:rFonts w:ascii="Times New Roman" w:hAnsi="Times New Roman" w:cs="Times New Roman"/>
          <w:bCs/>
          <w:iCs/>
          <w:color w:val="000000"/>
          <w:sz w:val="24"/>
          <w:szCs w:val="24"/>
        </w:rPr>
        <w:t xml:space="preserve"> Prechod na plne elektrizované tlačivá vyžaduje jednorazový náklad v objeme cca </w:t>
      </w:r>
      <w:r w:rsidR="00CB3544">
        <w:rPr>
          <w:rFonts w:ascii="Times New Roman" w:hAnsi="Times New Roman" w:cs="Times New Roman"/>
          <w:bCs/>
          <w:iCs/>
          <w:color w:val="000000"/>
          <w:sz w:val="24"/>
          <w:szCs w:val="24"/>
        </w:rPr>
        <w:t>2</w:t>
      </w:r>
      <w:r w:rsidRPr="006012CB">
        <w:rPr>
          <w:rFonts w:ascii="Times New Roman" w:hAnsi="Times New Roman" w:cs="Times New Roman"/>
          <w:bCs/>
          <w:iCs/>
          <w:color w:val="000000"/>
          <w:sz w:val="24"/>
          <w:szCs w:val="24"/>
        </w:rPr>
        <w:t xml:space="preserve">0 </w:t>
      </w:r>
      <w:r w:rsidR="00CB3544">
        <w:rPr>
          <w:rFonts w:ascii="Times New Roman" w:hAnsi="Times New Roman" w:cs="Times New Roman"/>
          <w:bCs/>
          <w:iCs/>
          <w:color w:val="000000"/>
          <w:sz w:val="24"/>
          <w:szCs w:val="24"/>
        </w:rPr>
        <w:t>eur</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na jedného poskytovateľa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v prvom roku účinnosti zákona</w:t>
      </w:r>
      <w:r w:rsidRPr="006012CB">
        <w:rPr>
          <w:rFonts w:ascii="Times New Roman" w:hAnsi="Times New Roman" w:cs="Times New Roman"/>
          <w:b/>
          <w:bCs/>
          <w:iCs/>
          <w:color w:val="000000"/>
          <w:sz w:val="24"/>
          <w:szCs w:val="24"/>
        </w:rPr>
        <w:t xml:space="preserve">. </w:t>
      </w:r>
      <w:r w:rsidRPr="006012CB">
        <w:rPr>
          <w:rFonts w:ascii="Times New Roman" w:hAnsi="Times New Roman" w:cs="Times New Roman"/>
          <w:bCs/>
          <w:iCs/>
          <w:color w:val="000000"/>
          <w:sz w:val="24"/>
          <w:szCs w:val="24"/>
        </w:rPr>
        <w:t xml:space="preserve">Tento náklad súvisí s úpravou informačných systémov poskytovateľov, v súvislosti s napojením sa a rozšírením funkcionalít národného zdravotníckeho informačného systému. </w:t>
      </w:r>
      <w:r w:rsidR="0054362A">
        <w:rPr>
          <w:rFonts w:ascii="Times New Roman" w:hAnsi="Times New Roman" w:cs="Times New Roman"/>
          <w:bCs/>
          <w:iCs/>
          <w:color w:val="000000"/>
          <w:sz w:val="24"/>
          <w:szCs w:val="24"/>
        </w:rPr>
        <w:t>Počet dotknutých subjektov je z databázy NCZI, konkrétne z Národného registra poskytovateľov zdravotnej starostlivosti.</w:t>
      </w:r>
    </w:p>
    <w:p w14:paraId="5D10BBA3" w14:textId="77777777" w:rsidR="00AC082F" w:rsidRDefault="00AC082F" w:rsidP="00DA058F">
      <w:pPr>
        <w:spacing w:after="0"/>
        <w:jc w:val="both"/>
        <w:rPr>
          <w:rFonts w:ascii="Times New Roman" w:hAnsi="Times New Roman" w:cs="Times New Roman"/>
          <w:bCs/>
          <w:iCs/>
          <w:color w:val="000000"/>
          <w:sz w:val="24"/>
          <w:szCs w:val="24"/>
        </w:rPr>
      </w:pPr>
    </w:p>
    <w:p w14:paraId="65FB4590" w14:textId="1DC3B0B7" w:rsidR="00AC082F" w:rsidRPr="006012CB" w:rsidRDefault="00AC082F" w:rsidP="00AC082F">
      <w:pPr>
        <w:spacing w:after="0"/>
        <w:jc w:val="both"/>
        <w:rPr>
          <w:rFonts w:ascii="Times New Roman" w:hAnsi="Times New Roman" w:cs="Times New Roman"/>
          <w:color w:val="000000"/>
          <w:sz w:val="24"/>
          <w:szCs w:val="24"/>
          <w:lang w:eastAsia="sk-SK"/>
        </w:rPr>
      </w:pPr>
      <w:r>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17</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(OUT</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color w:val="000000"/>
          <w:sz w:val="24"/>
          <w:szCs w:val="24"/>
          <w:lang w:eastAsia="sk-SK"/>
        </w:rPr>
        <w:t>Elektronizácia potvrdenia tlačív na poskytnutie ochranného príspevku ušetrí celkovo 225 000 minút ročne. Pri redukcii času na vyplnenie tlačiva z </w:t>
      </w:r>
      <w:r>
        <w:rPr>
          <w:rFonts w:ascii="Times New Roman" w:hAnsi="Times New Roman" w:cs="Times New Roman"/>
          <w:color w:val="000000"/>
          <w:sz w:val="24"/>
          <w:szCs w:val="24"/>
          <w:lang w:eastAsia="sk-SK"/>
        </w:rPr>
        <w:t xml:space="preserve">10 minút na 5 minút, pri počte </w:t>
      </w:r>
      <w:r w:rsidRPr="006012CB">
        <w:rPr>
          <w:rFonts w:ascii="Times New Roman" w:hAnsi="Times New Roman" w:cs="Times New Roman"/>
          <w:color w:val="000000"/>
          <w:sz w:val="24"/>
          <w:szCs w:val="24"/>
          <w:lang w:eastAsia="sk-SK"/>
        </w:rPr>
        <w:t>1 383 celkovo ročne vystavených tlačív (údaje pre rok 2024) je to 1 383 x 5 =</w:t>
      </w:r>
      <w:r>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6</w:t>
      </w:r>
      <w:r>
        <w:rPr>
          <w:rFonts w:ascii="Times New Roman" w:hAnsi="Times New Roman" w:cs="Times New Roman"/>
          <w:color w:val="000000"/>
          <w:sz w:val="24"/>
          <w:szCs w:val="24"/>
          <w:lang w:eastAsia="sk-SK"/>
        </w:rPr>
        <w:t> </w:t>
      </w:r>
      <w:r w:rsidRPr="006012CB">
        <w:rPr>
          <w:rFonts w:ascii="Times New Roman" w:hAnsi="Times New Roman" w:cs="Times New Roman"/>
          <w:color w:val="000000"/>
          <w:sz w:val="24"/>
          <w:szCs w:val="24"/>
          <w:lang w:eastAsia="sk-SK"/>
        </w:rPr>
        <w:t>915</w:t>
      </w:r>
      <w:r>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minút. V rámci Slovenskej republiky je 678 poskytovateľov zdravotnej starostlivosti – podnikateľov</w:t>
      </w:r>
      <w:r w:rsidR="00E52AE5">
        <w:rPr>
          <w:rFonts w:ascii="Times New Roman" w:hAnsi="Times New Roman" w:cs="Times New Roman"/>
          <w:color w:val="000000"/>
          <w:sz w:val="24"/>
          <w:szCs w:val="24"/>
          <w:lang w:eastAsia="sk-SK"/>
        </w:rPr>
        <w:t xml:space="preserve"> (zdroj: </w:t>
      </w:r>
      <w:r w:rsidR="00E52AE5">
        <w:rPr>
          <w:rFonts w:ascii="Times New Roman" w:hAnsi="Times New Roman" w:cs="Times New Roman"/>
          <w:bCs/>
          <w:iCs/>
          <w:color w:val="000000"/>
          <w:sz w:val="24"/>
          <w:szCs w:val="24"/>
        </w:rPr>
        <w:t>databáza NCZI, Národný register poskytovateľov zdravotnej starostlivosti)</w:t>
      </w:r>
      <w:r w:rsidRPr="006012CB">
        <w:rPr>
          <w:rFonts w:ascii="Times New Roman" w:hAnsi="Times New Roman" w:cs="Times New Roman"/>
          <w:color w:val="000000"/>
          <w:sz w:val="24"/>
          <w:szCs w:val="24"/>
          <w:lang w:eastAsia="sk-SK"/>
        </w:rPr>
        <w:t>, čo tvorí 65,82 % z celkového počtu poskytovateľov zdravotnej starostlivosti spôsobilých potvrdiť poskytnutie ochranného príspevku (údaj pre rok 2024). Pri aplikovaní uvedeného pomeru to v</w:t>
      </w:r>
      <w:r w:rsidR="007E4B3A">
        <w:rPr>
          <w:rFonts w:ascii="Times New Roman" w:hAnsi="Times New Roman" w:cs="Times New Roman"/>
          <w:color w:val="000000"/>
          <w:sz w:val="24"/>
          <w:szCs w:val="24"/>
          <w:lang w:eastAsia="sk-SK"/>
        </w:rPr>
        <w:t>y</w:t>
      </w:r>
      <w:r w:rsidRPr="006012CB">
        <w:rPr>
          <w:rFonts w:ascii="Times New Roman" w:hAnsi="Times New Roman" w:cs="Times New Roman"/>
          <w:color w:val="000000"/>
          <w:sz w:val="24"/>
          <w:szCs w:val="24"/>
          <w:lang w:eastAsia="sk-SK"/>
        </w:rPr>
        <w:t>chádza 6 915×0.6582 =</w:t>
      </w:r>
      <w:r>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4 551 minút, čo je priemerne 7 minút (4 551/678 = 6,71) na jedného poskytovateľa zdravotnej starostlivosti – podnikateľa ročne.</w:t>
      </w:r>
      <w:r w:rsidR="00E52AE5">
        <w:rPr>
          <w:rFonts w:ascii="Times New Roman" w:hAnsi="Times New Roman" w:cs="Times New Roman"/>
          <w:color w:val="000000"/>
          <w:sz w:val="24"/>
          <w:szCs w:val="24"/>
          <w:lang w:eastAsia="sk-SK"/>
        </w:rPr>
        <w:t xml:space="preserve"> </w:t>
      </w:r>
    </w:p>
    <w:p w14:paraId="73A88DFC" w14:textId="77777777" w:rsidR="00DA058F" w:rsidRDefault="00DA058F" w:rsidP="00DA058F">
      <w:pPr>
        <w:spacing w:after="0"/>
        <w:jc w:val="both"/>
        <w:rPr>
          <w:rFonts w:ascii="Times New Roman" w:hAnsi="Times New Roman" w:cs="Times New Roman"/>
          <w:b/>
          <w:bCs/>
          <w:i/>
          <w:iCs/>
          <w:color w:val="000000"/>
          <w:sz w:val="24"/>
          <w:szCs w:val="24"/>
          <w:u w:val="single"/>
        </w:rPr>
      </w:pPr>
    </w:p>
    <w:p w14:paraId="245BF33C" w14:textId="705647D7" w:rsidR="00DA058F" w:rsidRDefault="00DA058F" w:rsidP="00DA058F">
      <w:pPr>
        <w:spacing w:after="0"/>
        <w:jc w:val="both"/>
        <w:rPr>
          <w:rFonts w:ascii="Times New Roman" w:hAnsi="Times New Roman" w:cs="Times New Roman"/>
          <w:color w:val="000000"/>
          <w:sz w:val="24"/>
          <w:szCs w:val="24"/>
          <w:lang w:eastAsia="sk-SK"/>
        </w:rPr>
      </w:pPr>
      <w:r w:rsidRPr="006012CB">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18</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(OUT</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color w:val="000000"/>
          <w:sz w:val="24"/>
          <w:szCs w:val="24"/>
          <w:lang w:eastAsia="sk-SK"/>
        </w:rPr>
        <w:t>Elektronizácia vypĺňania tlačív na poskytnutie ošetrovného ušetrí poskytovateľom zdravotnej starostlivosti celkovo 1</w:t>
      </w:r>
      <w:r w:rsidR="007E4B3A">
        <w:rPr>
          <w:rFonts w:ascii="Times New Roman" w:hAnsi="Times New Roman" w:cs="Times New Roman"/>
          <w:color w:val="000000"/>
          <w:sz w:val="24"/>
          <w:szCs w:val="24"/>
          <w:lang w:eastAsia="sk-SK"/>
        </w:rPr>
        <w:t> </w:t>
      </w:r>
      <w:r w:rsidRPr="006012CB">
        <w:rPr>
          <w:rFonts w:ascii="Times New Roman" w:hAnsi="Times New Roman" w:cs="Times New Roman"/>
          <w:color w:val="000000"/>
          <w:sz w:val="24"/>
          <w:szCs w:val="24"/>
          <w:lang w:eastAsia="sk-SK"/>
        </w:rPr>
        <w:t>020</w:t>
      </w:r>
      <w:r w:rsidR="007E4B3A">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000 minút ročne. Pri redukcii času na vyplnenie tlačiva z 10 minút na 5 minút, pri počte 204 000 celkovo ročne vystavených tlačív (údaje pre rok 2024) je to 204 000 x 5 = 1</w:t>
      </w:r>
      <w:r w:rsidR="007E4B3A">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020</w:t>
      </w:r>
      <w:r w:rsidR="007E4B3A">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000 minút. V rámci Slovenskej republiky je 9619 poskytovateľov zdravotnej starostlivosti – podnikateľov</w:t>
      </w:r>
      <w:r w:rsidR="00E52AE5">
        <w:rPr>
          <w:rFonts w:ascii="Times New Roman" w:hAnsi="Times New Roman" w:cs="Times New Roman"/>
          <w:color w:val="000000"/>
          <w:sz w:val="24"/>
          <w:szCs w:val="24"/>
          <w:lang w:eastAsia="sk-SK"/>
        </w:rPr>
        <w:t xml:space="preserve"> (zdroj: </w:t>
      </w:r>
      <w:r w:rsidR="00E52AE5">
        <w:rPr>
          <w:rFonts w:ascii="Times New Roman" w:hAnsi="Times New Roman" w:cs="Times New Roman"/>
          <w:bCs/>
          <w:iCs/>
          <w:color w:val="000000"/>
          <w:sz w:val="24"/>
          <w:szCs w:val="24"/>
        </w:rPr>
        <w:t>databáza NCZI, Národný register poskytovateľov zdravotnej starostlivosti)</w:t>
      </w:r>
      <w:r w:rsidRPr="006012CB">
        <w:rPr>
          <w:rFonts w:ascii="Times New Roman" w:hAnsi="Times New Roman" w:cs="Times New Roman"/>
          <w:color w:val="000000"/>
          <w:sz w:val="24"/>
          <w:szCs w:val="24"/>
          <w:lang w:eastAsia="sk-SK"/>
        </w:rPr>
        <w:t>, čo tvorí 45,53 % z celkového počtu poskytovateľov zdravotnej starostlivosti  spôsobilých vystaviť potrebu ošetrovania (údaj pre rok 2024). Pri aplikovaní uvedeného pomeru to v</w:t>
      </w:r>
      <w:r w:rsidR="008D6739">
        <w:rPr>
          <w:rFonts w:ascii="Times New Roman" w:hAnsi="Times New Roman" w:cs="Times New Roman"/>
          <w:color w:val="000000"/>
          <w:sz w:val="24"/>
          <w:szCs w:val="24"/>
          <w:lang w:eastAsia="sk-SK"/>
        </w:rPr>
        <w:t>y</w:t>
      </w:r>
      <w:r w:rsidRPr="006012CB">
        <w:rPr>
          <w:rFonts w:ascii="Times New Roman" w:hAnsi="Times New Roman" w:cs="Times New Roman"/>
          <w:color w:val="000000"/>
          <w:sz w:val="24"/>
          <w:szCs w:val="24"/>
          <w:lang w:eastAsia="sk-SK"/>
        </w:rPr>
        <w:t>chádza 1020000×0.4535</w:t>
      </w:r>
      <w:r w:rsidR="00D949F6">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w:t>
      </w:r>
      <w:r w:rsidR="00D949F6">
        <w:rPr>
          <w:rFonts w:ascii="Times New Roman" w:hAnsi="Times New Roman" w:cs="Times New Roman"/>
          <w:color w:val="000000"/>
          <w:sz w:val="24"/>
          <w:szCs w:val="24"/>
          <w:lang w:eastAsia="sk-SK"/>
        </w:rPr>
        <w:t xml:space="preserve"> </w:t>
      </w:r>
      <w:r w:rsidRPr="006012CB">
        <w:rPr>
          <w:rFonts w:ascii="Times New Roman" w:hAnsi="Times New Roman" w:cs="Times New Roman"/>
          <w:color w:val="000000"/>
          <w:sz w:val="24"/>
          <w:szCs w:val="24"/>
          <w:lang w:eastAsia="sk-SK"/>
        </w:rPr>
        <w:t xml:space="preserve">462570 minút, čo je priemerne 48 minút (462 570/9 619 = 48,09) na jedného poskytovateľa zdravotnej starostlivosti – podnikateľa ročne. </w:t>
      </w:r>
    </w:p>
    <w:p w14:paraId="768F13D8" w14:textId="77777777" w:rsidR="00433370" w:rsidRDefault="00433370" w:rsidP="00DA058F">
      <w:pPr>
        <w:spacing w:after="0"/>
        <w:jc w:val="both"/>
        <w:rPr>
          <w:rFonts w:ascii="Times New Roman" w:hAnsi="Times New Roman" w:cs="Times New Roman"/>
          <w:color w:val="000000"/>
          <w:sz w:val="24"/>
          <w:szCs w:val="24"/>
          <w:lang w:eastAsia="sk-SK"/>
        </w:rPr>
      </w:pPr>
    </w:p>
    <w:p w14:paraId="69F93782" w14:textId="0C9206F8" w:rsidR="00433370" w:rsidRPr="006012CB" w:rsidRDefault="00433370" w:rsidP="00DA058F">
      <w:pPr>
        <w:spacing w:after="0"/>
        <w:jc w:val="both"/>
        <w:rPr>
          <w:rFonts w:ascii="Times New Roman" w:hAnsi="Times New Roman" w:cs="Times New Roman"/>
          <w:color w:val="000000"/>
          <w:sz w:val="24"/>
          <w:szCs w:val="24"/>
          <w:lang w:eastAsia="sk-SK"/>
        </w:rPr>
      </w:pPr>
      <w:r>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19</w:t>
      </w:r>
      <w:r w:rsidR="00217E66" w:rsidRPr="006012CB">
        <w:rPr>
          <w:rFonts w:ascii="Times New Roman" w:hAnsi="Times New Roman" w:cs="Times New Roman"/>
          <w:b/>
          <w:bCs/>
          <w:i/>
          <w:iCs/>
          <w:color w:val="000000"/>
          <w:sz w:val="24"/>
          <w:szCs w:val="24"/>
          <w:u w:val="single"/>
        </w:rPr>
        <w:t xml:space="preserve"> </w:t>
      </w:r>
      <w:r w:rsidRPr="006012CB">
        <w:rPr>
          <w:rFonts w:ascii="Times New Roman" w:hAnsi="Times New Roman" w:cs="Times New Roman"/>
          <w:b/>
          <w:bCs/>
          <w:i/>
          <w:iCs/>
          <w:color w:val="000000"/>
          <w:sz w:val="24"/>
          <w:szCs w:val="24"/>
          <w:u w:val="single"/>
        </w:rPr>
        <w:t>(OUT</w:t>
      </w:r>
      <w:r w:rsidRPr="006012CB">
        <w:rPr>
          <w:rFonts w:ascii="Times New Roman" w:hAnsi="Times New Roman" w:cs="Times New Roman"/>
          <w:b/>
          <w:bCs/>
          <w:i/>
          <w:iCs/>
          <w:color w:val="000000"/>
          <w:sz w:val="24"/>
          <w:szCs w:val="24"/>
        </w:rPr>
        <w:t xml:space="preserve">) – </w:t>
      </w:r>
      <w:r w:rsidRPr="006012CB">
        <w:rPr>
          <w:rFonts w:ascii="Times New Roman" w:hAnsi="Times New Roman" w:cs="Times New Roman"/>
          <w:color w:val="000000"/>
          <w:sz w:val="24"/>
          <w:szCs w:val="24"/>
          <w:lang w:eastAsia="sk-SK"/>
        </w:rPr>
        <w:t>Elektronizácia potvrdenia tlačív na poskytnutie matersk</w:t>
      </w:r>
      <w:r>
        <w:rPr>
          <w:rFonts w:ascii="Times New Roman" w:hAnsi="Times New Roman" w:cs="Times New Roman"/>
          <w:color w:val="000000"/>
          <w:sz w:val="24"/>
          <w:szCs w:val="24"/>
          <w:lang w:eastAsia="sk-SK"/>
        </w:rPr>
        <w:t xml:space="preserve">ého </w:t>
      </w:r>
      <w:r w:rsidRPr="006012CB">
        <w:rPr>
          <w:rFonts w:ascii="Times New Roman" w:hAnsi="Times New Roman" w:cs="Times New Roman"/>
          <w:color w:val="000000"/>
          <w:sz w:val="24"/>
          <w:szCs w:val="24"/>
          <w:lang w:eastAsia="sk-SK"/>
        </w:rPr>
        <w:t>šetrí celkovo 225 000 minút ročne. Pri redukcii času na vyplnenie tlačiva z 10 minút na 5 minút, pri počte 45 000 celkovo ročne vystavených tlačív (údaje pre rok 2024) je to 45 000 x 5 =225 000 minút. V rámci Slovenskej republiky je 678 poskytovateľov zdravotnej starostlivosti – podnikateľov</w:t>
      </w:r>
      <w:r w:rsidR="00377CFD">
        <w:rPr>
          <w:rFonts w:ascii="Times New Roman" w:hAnsi="Times New Roman" w:cs="Times New Roman"/>
          <w:color w:val="000000"/>
          <w:sz w:val="24"/>
          <w:szCs w:val="24"/>
          <w:lang w:eastAsia="sk-SK"/>
        </w:rPr>
        <w:t xml:space="preserve"> (zdroj: </w:t>
      </w:r>
      <w:r w:rsidR="00377CFD">
        <w:rPr>
          <w:rFonts w:ascii="Times New Roman" w:hAnsi="Times New Roman" w:cs="Times New Roman"/>
          <w:bCs/>
          <w:iCs/>
          <w:color w:val="000000"/>
          <w:sz w:val="24"/>
          <w:szCs w:val="24"/>
        </w:rPr>
        <w:t>databáza NCZI, Národný register poskytovateľov zdravotnej starostlivosti)</w:t>
      </w:r>
      <w:r w:rsidRPr="006012CB">
        <w:rPr>
          <w:rFonts w:ascii="Times New Roman" w:hAnsi="Times New Roman" w:cs="Times New Roman"/>
          <w:color w:val="000000"/>
          <w:sz w:val="24"/>
          <w:szCs w:val="24"/>
          <w:lang w:eastAsia="sk-SK"/>
        </w:rPr>
        <w:t>, čo tvorí 65,82 % z celkového počtu poskytovateľov zdravotnej starostlivosti spôsobilých potvrdiť poskytnutie m</w:t>
      </w:r>
      <w:r>
        <w:rPr>
          <w:rFonts w:ascii="Times New Roman" w:hAnsi="Times New Roman" w:cs="Times New Roman"/>
          <w:color w:val="000000"/>
          <w:sz w:val="24"/>
          <w:szCs w:val="24"/>
          <w:lang w:eastAsia="sk-SK"/>
        </w:rPr>
        <w:t>aterského</w:t>
      </w:r>
      <w:r w:rsidRPr="006012CB">
        <w:rPr>
          <w:rFonts w:ascii="Times New Roman" w:hAnsi="Times New Roman" w:cs="Times New Roman"/>
          <w:color w:val="000000"/>
          <w:sz w:val="24"/>
          <w:szCs w:val="24"/>
          <w:lang w:eastAsia="sk-SK"/>
        </w:rPr>
        <w:t xml:space="preserve"> (údaj pre rok 2024). Pri aplikovaní uvedeného pomeru to v</w:t>
      </w:r>
      <w:r w:rsidR="008D6739">
        <w:rPr>
          <w:rFonts w:ascii="Times New Roman" w:hAnsi="Times New Roman" w:cs="Times New Roman"/>
          <w:color w:val="000000"/>
          <w:sz w:val="24"/>
          <w:szCs w:val="24"/>
          <w:lang w:eastAsia="sk-SK"/>
        </w:rPr>
        <w:t>y</w:t>
      </w:r>
      <w:r w:rsidRPr="006012CB">
        <w:rPr>
          <w:rFonts w:ascii="Times New Roman" w:hAnsi="Times New Roman" w:cs="Times New Roman"/>
          <w:color w:val="000000"/>
          <w:sz w:val="24"/>
          <w:szCs w:val="24"/>
          <w:lang w:eastAsia="sk-SK"/>
        </w:rPr>
        <w:t>chádza 225 000×0.6582 =148 095 minút, čo je priemerne 218 minút (148 095/678 = 218,42) na jedného poskytovateľa zdravotnej starostlivosti – podnikateľa ročne.</w:t>
      </w:r>
    </w:p>
    <w:p w14:paraId="18D361C0" w14:textId="77777777" w:rsidR="00DA058F" w:rsidRDefault="00DA058F" w:rsidP="00DA058F">
      <w:pPr>
        <w:spacing w:after="0"/>
        <w:jc w:val="both"/>
        <w:rPr>
          <w:rFonts w:ascii="Times New Roman" w:hAnsi="Times New Roman" w:cs="Times New Roman"/>
          <w:b/>
          <w:bCs/>
          <w:i/>
          <w:iCs/>
          <w:color w:val="000000"/>
          <w:sz w:val="24"/>
          <w:szCs w:val="24"/>
          <w:u w:val="single"/>
        </w:rPr>
      </w:pPr>
    </w:p>
    <w:p w14:paraId="0059CF55" w14:textId="79F498A6" w:rsidR="004C188A" w:rsidRDefault="00433370" w:rsidP="00195F93">
      <w:pPr>
        <w:spacing w:after="0"/>
        <w:jc w:val="both"/>
        <w:rPr>
          <w:rFonts w:ascii="Times New Roman" w:hAnsi="Times New Roman" w:cs="Times New Roman"/>
          <w:color w:val="000000"/>
          <w:sz w:val="24"/>
          <w:szCs w:val="24"/>
          <w:lang w:eastAsia="sk-SK"/>
        </w:rPr>
      </w:pPr>
      <w:r>
        <w:rPr>
          <w:rFonts w:ascii="Times New Roman" w:hAnsi="Times New Roman" w:cs="Times New Roman"/>
          <w:b/>
          <w:bCs/>
          <w:i/>
          <w:iCs/>
          <w:color w:val="000000"/>
          <w:sz w:val="24"/>
          <w:szCs w:val="24"/>
          <w:u w:val="single"/>
        </w:rPr>
        <w:t xml:space="preserve">Opatrenie </w:t>
      </w:r>
      <w:r w:rsidR="00217E66">
        <w:rPr>
          <w:rFonts w:ascii="Times New Roman" w:hAnsi="Times New Roman" w:cs="Times New Roman"/>
          <w:b/>
          <w:bCs/>
          <w:i/>
          <w:iCs/>
          <w:color w:val="000000"/>
          <w:sz w:val="24"/>
          <w:szCs w:val="24"/>
          <w:u w:val="single"/>
        </w:rPr>
        <w:t>20</w:t>
      </w:r>
      <w:r w:rsidR="00217E66" w:rsidRPr="006012CB">
        <w:rPr>
          <w:rFonts w:ascii="Times New Roman" w:hAnsi="Times New Roman" w:cs="Times New Roman"/>
          <w:b/>
          <w:bCs/>
          <w:i/>
          <w:iCs/>
          <w:color w:val="000000"/>
          <w:sz w:val="24"/>
          <w:szCs w:val="24"/>
          <w:u w:val="single"/>
        </w:rPr>
        <w:t xml:space="preserve"> </w:t>
      </w:r>
      <w:r w:rsidR="00DA058F" w:rsidRPr="006012CB">
        <w:rPr>
          <w:rFonts w:ascii="Times New Roman" w:hAnsi="Times New Roman" w:cs="Times New Roman"/>
          <w:b/>
          <w:bCs/>
          <w:i/>
          <w:iCs/>
          <w:color w:val="000000"/>
          <w:sz w:val="24"/>
          <w:szCs w:val="24"/>
          <w:u w:val="single"/>
        </w:rPr>
        <w:t>(OUT</w:t>
      </w:r>
      <w:r w:rsidR="00DA058F" w:rsidRPr="006012CB">
        <w:rPr>
          <w:rFonts w:ascii="Times New Roman" w:hAnsi="Times New Roman" w:cs="Times New Roman"/>
          <w:b/>
          <w:bCs/>
          <w:i/>
          <w:iCs/>
          <w:color w:val="000000"/>
          <w:sz w:val="24"/>
          <w:szCs w:val="24"/>
        </w:rPr>
        <w:t xml:space="preserve">) – </w:t>
      </w:r>
      <w:r w:rsidR="00DA058F" w:rsidRPr="006012CB">
        <w:rPr>
          <w:rFonts w:ascii="Times New Roman" w:hAnsi="Times New Roman" w:cs="Times New Roman"/>
          <w:color w:val="000000"/>
          <w:sz w:val="24"/>
          <w:szCs w:val="24"/>
          <w:lang w:eastAsia="sk-SK"/>
        </w:rPr>
        <w:t xml:space="preserve">Elektronizácia potvrdenia tlačív </w:t>
      </w:r>
      <w:r w:rsidR="00D949F6">
        <w:rPr>
          <w:rFonts w:ascii="Times New Roman" w:hAnsi="Times New Roman" w:cs="Times New Roman"/>
          <w:color w:val="000000"/>
          <w:sz w:val="24"/>
          <w:szCs w:val="24"/>
          <w:lang w:eastAsia="sk-SK"/>
        </w:rPr>
        <w:t>na poskytnutie tehotenského</w:t>
      </w:r>
      <w:r w:rsidR="00DA058F" w:rsidRPr="006012CB">
        <w:rPr>
          <w:rFonts w:ascii="Times New Roman" w:hAnsi="Times New Roman" w:cs="Times New Roman"/>
          <w:color w:val="000000"/>
          <w:sz w:val="24"/>
          <w:szCs w:val="24"/>
          <w:lang w:eastAsia="sk-SK"/>
        </w:rPr>
        <w:t xml:space="preserve"> ušetrí celkovo 233 000 minút ročne. Pri redukcii času na vyplnenie tlačiva z 10 minút na 5 minút, pri počte 46 000 celkovo ročne vystavených tlačív (údaje pre rok 2024) je to 46 000 x 5 =230 000 minút. V rámci Slovenskej republiky je 678 poskytovateľov zdravotnej starostlivosti – podnikateľov</w:t>
      </w:r>
      <w:r w:rsidR="00346B93">
        <w:rPr>
          <w:rFonts w:ascii="Times New Roman" w:hAnsi="Times New Roman" w:cs="Times New Roman"/>
          <w:color w:val="000000"/>
          <w:sz w:val="24"/>
          <w:szCs w:val="24"/>
          <w:lang w:eastAsia="sk-SK"/>
        </w:rPr>
        <w:t xml:space="preserve"> (zdroj: </w:t>
      </w:r>
      <w:r w:rsidR="00346B93">
        <w:rPr>
          <w:rFonts w:ascii="Times New Roman" w:hAnsi="Times New Roman" w:cs="Times New Roman"/>
          <w:bCs/>
          <w:iCs/>
          <w:color w:val="000000"/>
          <w:sz w:val="24"/>
          <w:szCs w:val="24"/>
        </w:rPr>
        <w:t>databáza NCZI, Národný register poskytovateľov zdravotnej starostlivosti)</w:t>
      </w:r>
      <w:r w:rsidR="00DA058F" w:rsidRPr="006012CB">
        <w:rPr>
          <w:rFonts w:ascii="Times New Roman" w:hAnsi="Times New Roman" w:cs="Times New Roman"/>
          <w:color w:val="000000"/>
          <w:sz w:val="24"/>
          <w:szCs w:val="24"/>
          <w:lang w:eastAsia="sk-SK"/>
        </w:rPr>
        <w:t xml:space="preserve">, čo tvorí 65,82 % z celkového počtu poskytovateľov zdravotnej starostlivosti  spôsobilých potvrdiť poskytnutie </w:t>
      </w:r>
      <w:r w:rsidR="00D949F6">
        <w:rPr>
          <w:rFonts w:ascii="Times New Roman" w:hAnsi="Times New Roman" w:cs="Times New Roman"/>
          <w:color w:val="000000"/>
          <w:sz w:val="24"/>
          <w:szCs w:val="24"/>
          <w:lang w:eastAsia="sk-SK"/>
        </w:rPr>
        <w:t xml:space="preserve">tehotenského </w:t>
      </w:r>
      <w:r w:rsidR="00DA058F" w:rsidRPr="006012CB">
        <w:rPr>
          <w:rFonts w:ascii="Times New Roman" w:hAnsi="Times New Roman" w:cs="Times New Roman"/>
          <w:color w:val="000000"/>
          <w:sz w:val="24"/>
          <w:szCs w:val="24"/>
          <w:lang w:eastAsia="sk-SK"/>
        </w:rPr>
        <w:t xml:space="preserve">údaj pre rok 2024). Pri aplikovaní uvedeného </w:t>
      </w:r>
      <w:r w:rsidR="00DA058F" w:rsidRPr="006012CB">
        <w:rPr>
          <w:rFonts w:ascii="Times New Roman" w:hAnsi="Times New Roman" w:cs="Times New Roman"/>
          <w:color w:val="000000"/>
          <w:sz w:val="24"/>
          <w:szCs w:val="24"/>
          <w:lang w:eastAsia="sk-SK"/>
        </w:rPr>
        <w:lastRenderedPageBreak/>
        <w:t>pomeru to v</w:t>
      </w:r>
      <w:r w:rsidR="008D6739">
        <w:rPr>
          <w:rFonts w:ascii="Times New Roman" w:hAnsi="Times New Roman" w:cs="Times New Roman"/>
          <w:color w:val="000000"/>
          <w:sz w:val="24"/>
          <w:szCs w:val="24"/>
          <w:lang w:eastAsia="sk-SK"/>
        </w:rPr>
        <w:t>y</w:t>
      </w:r>
      <w:r w:rsidR="00DA058F" w:rsidRPr="006012CB">
        <w:rPr>
          <w:rFonts w:ascii="Times New Roman" w:hAnsi="Times New Roman" w:cs="Times New Roman"/>
          <w:color w:val="000000"/>
          <w:sz w:val="24"/>
          <w:szCs w:val="24"/>
          <w:lang w:eastAsia="sk-SK"/>
        </w:rPr>
        <w:t>chádza 233 000×0.6582 =</w:t>
      </w:r>
      <w:r w:rsidR="00D949F6">
        <w:rPr>
          <w:rFonts w:ascii="Times New Roman" w:hAnsi="Times New Roman" w:cs="Times New Roman"/>
          <w:color w:val="000000"/>
          <w:sz w:val="24"/>
          <w:szCs w:val="24"/>
          <w:lang w:eastAsia="sk-SK"/>
        </w:rPr>
        <w:t xml:space="preserve"> </w:t>
      </w:r>
      <w:r w:rsidR="00DA058F" w:rsidRPr="006012CB">
        <w:rPr>
          <w:rFonts w:ascii="Times New Roman" w:hAnsi="Times New Roman" w:cs="Times New Roman"/>
          <w:color w:val="000000"/>
          <w:sz w:val="24"/>
          <w:szCs w:val="24"/>
          <w:lang w:eastAsia="sk-SK"/>
        </w:rPr>
        <w:t>153 361 minút, čo je priemerne 226 minút (153 361/678 = 226,19) na jedného poskytovateľa zdravotnej starostlivosti – podnikateľa ročne.</w:t>
      </w:r>
      <w:r w:rsidR="003C77D5">
        <w:rPr>
          <w:rFonts w:ascii="Times New Roman" w:hAnsi="Times New Roman" w:cs="Times New Roman"/>
          <w:color w:val="000000"/>
          <w:sz w:val="24"/>
          <w:szCs w:val="24"/>
          <w:lang w:eastAsia="sk-SK"/>
        </w:rPr>
        <w:t xml:space="preserve"> Uvedená kvantifikácia zahŕňa aj </w:t>
      </w:r>
      <w:r w:rsidR="00327D0E">
        <w:rPr>
          <w:rFonts w:ascii="Times New Roman" w:hAnsi="Times New Roman" w:cs="Times New Roman"/>
          <w:color w:val="000000"/>
          <w:sz w:val="24"/>
          <w:szCs w:val="24"/>
          <w:lang w:eastAsia="sk-SK"/>
        </w:rPr>
        <w:t>úsporu z dôvodu nepotvrdzovania očakávaného d</w:t>
      </w:r>
      <w:r w:rsidR="003C77D5">
        <w:rPr>
          <w:rFonts w:ascii="Times New Roman" w:hAnsi="Times New Roman" w:cs="Times New Roman"/>
          <w:color w:val="000000"/>
          <w:sz w:val="24"/>
          <w:szCs w:val="24"/>
          <w:lang w:eastAsia="sk-SK"/>
        </w:rPr>
        <w:t>ň</w:t>
      </w:r>
      <w:r w:rsidR="00327D0E">
        <w:rPr>
          <w:rFonts w:ascii="Times New Roman" w:hAnsi="Times New Roman" w:cs="Times New Roman"/>
          <w:color w:val="000000"/>
          <w:sz w:val="24"/>
          <w:szCs w:val="24"/>
          <w:lang w:eastAsia="sk-SK"/>
        </w:rPr>
        <w:t>a</w:t>
      </w:r>
      <w:r w:rsidR="003C77D5">
        <w:rPr>
          <w:rFonts w:ascii="Times New Roman" w:hAnsi="Times New Roman" w:cs="Times New Roman"/>
          <w:color w:val="000000"/>
          <w:sz w:val="24"/>
          <w:szCs w:val="24"/>
          <w:lang w:eastAsia="sk-SK"/>
        </w:rPr>
        <w:t xml:space="preserve"> pôrodu a </w:t>
      </w:r>
      <w:r w:rsidR="00327D0E">
        <w:rPr>
          <w:rFonts w:ascii="Times New Roman" w:hAnsi="Times New Roman" w:cs="Times New Roman"/>
          <w:color w:val="000000"/>
          <w:sz w:val="24"/>
          <w:szCs w:val="24"/>
          <w:lang w:eastAsia="sk-SK"/>
        </w:rPr>
        <w:t>d</w:t>
      </w:r>
      <w:r w:rsidR="003C77D5">
        <w:rPr>
          <w:rFonts w:ascii="Times New Roman" w:hAnsi="Times New Roman" w:cs="Times New Roman"/>
          <w:color w:val="000000"/>
          <w:sz w:val="24"/>
          <w:szCs w:val="24"/>
          <w:lang w:eastAsia="sk-SK"/>
        </w:rPr>
        <w:t>ň</w:t>
      </w:r>
      <w:r w:rsidR="00327D0E">
        <w:rPr>
          <w:rFonts w:ascii="Times New Roman" w:hAnsi="Times New Roman" w:cs="Times New Roman"/>
          <w:color w:val="000000"/>
          <w:sz w:val="24"/>
          <w:szCs w:val="24"/>
          <w:lang w:eastAsia="sk-SK"/>
        </w:rPr>
        <w:t>a</w:t>
      </w:r>
      <w:r w:rsidR="003C77D5">
        <w:rPr>
          <w:rFonts w:ascii="Times New Roman" w:hAnsi="Times New Roman" w:cs="Times New Roman"/>
          <w:color w:val="000000"/>
          <w:sz w:val="24"/>
          <w:szCs w:val="24"/>
          <w:lang w:eastAsia="sk-SK"/>
        </w:rPr>
        <w:t xml:space="preserve"> skončenia tehotenstva</w:t>
      </w:r>
      <w:r w:rsidR="00327D0E">
        <w:rPr>
          <w:rFonts w:ascii="Times New Roman" w:hAnsi="Times New Roman" w:cs="Times New Roman"/>
          <w:color w:val="000000"/>
          <w:sz w:val="24"/>
          <w:szCs w:val="24"/>
          <w:lang w:eastAsia="sk-SK"/>
        </w:rPr>
        <w:t xml:space="preserve"> lekárom na určenom tlačive Sociálnou poisťovňou, ale</w:t>
      </w:r>
      <w:r w:rsidR="003C77D5">
        <w:rPr>
          <w:rFonts w:ascii="Times New Roman" w:hAnsi="Times New Roman" w:cs="Times New Roman"/>
          <w:color w:val="000000"/>
          <w:sz w:val="24"/>
          <w:szCs w:val="24"/>
          <w:lang w:eastAsia="sk-SK"/>
        </w:rPr>
        <w:t xml:space="preserve"> v informačnom systéme el</w:t>
      </w:r>
      <w:r w:rsidR="00327D0E">
        <w:rPr>
          <w:rFonts w:ascii="Times New Roman" w:hAnsi="Times New Roman" w:cs="Times New Roman"/>
          <w:color w:val="000000"/>
          <w:sz w:val="24"/>
          <w:szCs w:val="24"/>
          <w:lang w:eastAsia="sk-SK"/>
        </w:rPr>
        <w:t>ektronického zdravotníctva</w:t>
      </w:r>
      <w:r w:rsidR="003C77D5">
        <w:rPr>
          <w:rFonts w:ascii="Times New Roman" w:hAnsi="Times New Roman" w:cs="Times New Roman"/>
          <w:color w:val="000000"/>
          <w:sz w:val="24"/>
          <w:szCs w:val="24"/>
          <w:lang w:eastAsia="sk-SK"/>
        </w:rPr>
        <w:t>.</w:t>
      </w:r>
    </w:p>
    <w:p w14:paraId="1073956C" w14:textId="20835AA4" w:rsidR="00FB30F7" w:rsidRDefault="00FB30F7" w:rsidP="00195F93">
      <w:pPr>
        <w:spacing w:after="0"/>
        <w:jc w:val="both"/>
        <w:rPr>
          <w:rFonts w:ascii="Times New Roman" w:eastAsia="Calibri" w:hAnsi="Times New Roman" w:cs="Times New Roman"/>
          <w:bCs/>
          <w:iCs/>
          <w:color w:val="000000"/>
          <w:sz w:val="24"/>
          <w:szCs w:val="24"/>
        </w:rPr>
      </w:pPr>
    </w:p>
    <w:p w14:paraId="6F348C31" w14:textId="05B13BFA" w:rsidR="00D833BD" w:rsidRPr="007C0D59" w:rsidRDefault="00D833BD" w:rsidP="00D833BD">
      <w:pPr>
        <w:jc w:val="both"/>
        <w:rPr>
          <w:rFonts w:ascii="Times New Roman" w:eastAsia="Calibri" w:hAnsi="Times New Roman" w:cs="Times New Roman"/>
          <w:bCs/>
          <w:iCs/>
          <w:color w:val="000000"/>
          <w:sz w:val="24"/>
          <w:szCs w:val="24"/>
        </w:rPr>
      </w:pPr>
      <w:r w:rsidRPr="007C0D59">
        <w:rPr>
          <w:rFonts w:ascii="Times New Roman" w:eastAsia="Calibri" w:hAnsi="Times New Roman" w:cs="Times New Roman"/>
          <w:b/>
          <w:bCs/>
          <w:i/>
          <w:iCs/>
          <w:color w:val="000000"/>
          <w:sz w:val="24"/>
          <w:szCs w:val="24"/>
          <w:u w:val="single"/>
        </w:rPr>
        <w:t xml:space="preserve">Opatrenie </w:t>
      </w:r>
      <w:r>
        <w:rPr>
          <w:rFonts w:ascii="Times New Roman" w:eastAsia="Calibri" w:hAnsi="Times New Roman" w:cs="Times New Roman"/>
          <w:b/>
          <w:bCs/>
          <w:i/>
          <w:iCs/>
          <w:color w:val="000000"/>
          <w:sz w:val="24"/>
          <w:szCs w:val="24"/>
          <w:u w:val="single"/>
        </w:rPr>
        <w:t>21</w:t>
      </w:r>
      <w:r w:rsidRPr="007C0D59">
        <w:rPr>
          <w:rFonts w:ascii="Times New Roman" w:eastAsia="Calibri" w:hAnsi="Times New Roman" w:cs="Times New Roman"/>
          <w:b/>
          <w:bCs/>
          <w:i/>
          <w:iCs/>
          <w:color w:val="000000"/>
          <w:sz w:val="24"/>
          <w:szCs w:val="24"/>
          <w:u w:val="single"/>
        </w:rPr>
        <w:t xml:space="preserve"> (OUT</w:t>
      </w:r>
      <w:r w:rsidRPr="007C0D59">
        <w:rPr>
          <w:rFonts w:ascii="Times New Roman" w:eastAsia="Calibri" w:hAnsi="Times New Roman" w:cs="Times New Roman"/>
          <w:b/>
          <w:bCs/>
          <w:i/>
          <w:iCs/>
          <w:color w:val="000000"/>
          <w:sz w:val="24"/>
          <w:szCs w:val="24"/>
        </w:rPr>
        <w:t>) –</w:t>
      </w:r>
      <w:r w:rsidRPr="007C0D59">
        <w:rPr>
          <w:rFonts w:ascii="Times New Roman" w:eastAsia="Calibri" w:hAnsi="Times New Roman" w:cs="Times New Roman"/>
          <w:bCs/>
          <w:iCs/>
          <w:color w:val="000000"/>
          <w:sz w:val="24"/>
          <w:szCs w:val="24"/>
        </w:rPr>
        <w:t xml:space="preserve"> počet úkonov</w:t>
      </w:r>
      <w:r w:rsidR="005908B3">
        <w:rPr>
          <w:rFonts w:ascii="Times New Roman" w:eastAsia="Calibri" w:hAnsi="Times New Roman" w:cs="Times New Roman"/>
          <w:bCs/>
          <w:iCs/>
          <w:color w:val="000000"/>
          <w:sz w:val="24"/>
          <w:szCs w:val="24"/>
        </w:rPr>
        <w:t xml:space="preserve"> predpokladáme na úrovni cca </w:t>
      </w:r>
      <w:r w:rsidR="00FA4227">
        <w:rPr>
          <w:rFonts w:ascii="Times New Roman" w:eastAsia="Calibri" w:hAnsi="Times New Roman" w:cs="Times New Roman"/>
          <w:bCs/>
          <w:iCs/>
          <w:color w:val="000000"/>
          <w:sz w:val="24"/>
          <w:szCs w:val="24"/>
        </w:rPr>
        <w:t>457,5</w:t>
      </w:r>
      <w:r w:rsidRPr="007C0D59">
        <w:rPr>
          <w:rFonts w:ascii="Times New Roman" w:eastAsia="Calibri" w:hAnsi="Times New Roman" w:cs="Times New Roman"/>
          <w:bCs/>
          <w:iCs/>
          <w:color w:val="000000"/>
          <w:sz w:val="24"/>
          <w:szCs w:val="24"/>
        </w:rPr>
        <w:t xml:space="preserve"> tis. (zdroj: Sociálna poisťovňa). Početnosť prispôsobená účinnosti od 1. apríla 2026</w:t>
      </w:r>
      <w:r w:rsidR="00FA4227">
        <w:rPr>
          <w:rFonts w:ascii="Times New Roman" w:eastAsia="Calibri" w:hAnsi="Times New Roman" w:cs="Times New Roman"/>
          <w:bCs/>
          <w:iCs/>
          <w:color w:val="000000"/>
          <w:sz w:val="24"/>
          <w:szCs w:val="24"/>
        </w:rPr>
        <w:t xml:space="preserve"> a </w:t>
      </w:r>
      <w:r w:rsidR="005261F0">
        <w:rPr>
          <w:rFonts w:ascii="Times New Roman" w:eastAsia="Calibri" w:hAnsi="Times New Roman" w:cs="Times New Roman"/>
          <w:bCs/>
          <w:iCs/>
          <w:color w:val="000000"/>
          <w:sz w:val="24"/>
          <w:szCs w:val="24"/>
        </w:rPr>
        <w:t>skutočnosti</w:t>
      </w:r>
      <w:r w:rsidR="00FA4227">
        <w:rPr>
          <w:rFonts w:ascii="Times New Roman" w:eastAsia="Calibri" w:hAnsi="Times New Roman" w:cs="Times New Roman"/>
          <w:bCs/>
          <w:iCs/>
          <w:color w:val="000000"/>
          <w:sz w:val="24"/>
          <w:szCs w:val="24"/>
        </w:rPr>
        <w:t xml:space="preserve">, že vplyvy na podnikateľské prostredie majú </w:t>
      </w:r>
      <w:r w:rsidR="00204373">
        <w:rPr>
          <w:rFonts w:ascii="Times New Roman" w:eastAsia="Calibri" w:hAnsi="Times New Roman" w:cs="Times New Roman"/>
          <w:bCs/>
          <w:iCs/>
          <w:color w:val="000000"/>
          <w:sz w:val="24"/>
          <w:szCs w:val="24"/>
        </w:rPr>
        <w:t>pokrývať</w:t>
      </w:r>
      <w:r>
        <w:rPr>
          <w:rFonts w:ascii="Times New Roman" w:eastAsia="Calibri" w:hAnsi="Times New Roman" w:cs="Times New Roman"/>
          <w:bCs/>
          <w:iCs/>
          <w:color w:val="000000"/>
          <w:sz w:val="24"/>
          <w:szCs w:val="24"/>
        </w:rPr>
        <w:t xml:space="preserve"> iba zamestnancov súkromného sektora</w:t>
      </w:r>
      <w:r w:rsidRPr="007C0D59">
        <w:rPr>
          <w:rFonts w:ascii="Times New Roman" w:eastAsia="Calibri" w:hAnsi="Times New Roman" w:cs="Times New Roman"/>
          <w:bCs/>
          <w:iCs/>
          <w:color w:val="000000"/>
          <w:sz w:val="24"/>
          <w:szCs w:val="24"/>
        </w:rPr>
        <w:t xml:space="preserve">.  </w:t>
      </w:r>
    </w:p>
    <w:p w14:paraId="09C531F8" w14:textId="7207DB1A" w:rsidR="00D833BD" w:rsidRDefault="00D833BD" w:rsidP="00D833BD">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Pr="00407530">
        <w:rPr>
          <w:rFonts w:ascii="Times New Roman" w:eastAsia="Calibri" w:hAnsi="Times New Roman" w:cs="Times New Roman"/>
          <w:bCs/>
          <w:iCs/>
          <w:color w:val="000000"/>
          <w:sz w:val="24"/>
          <w:szCs w:val="24"/>
        </w:rPr>
        <w:t xml:space="preserve">) Administratívne náklady – </w:t>
      </w:r>
      <w:r>
        <w:rPr>
          <w:rFonts w:ascii="Times New Roman" w:eastAsia="Calibri" w:hAnsi="Times New Roman" w:cs="Times New Roman"/>
          <w:bCs/>
          <w:iCs/>
          <w:color w:val="000000"/>
          <w:sz w:val="24"/>
          <w:szCs w:val="24"/>
        </w:rPr>
        <w:t>odhaduje sa rozsah administratívnej povinnosti 5 min. Z dôvodu vyššej presnosti bol v kalkulačke nákladov použitý</w:t>
      </w:r>
      <w:r w:rsidR="00204373">
        <w:rPr>
          <w:rFonts w:ascii="Times New Roman" w:eastAsia="Calibri" w:hAnsi="Times New Roman" w:cs="Times New Roman"/>
          <w:bCs/>
          <w:iCs/>
          <w:color w:val="000000"/>
          <w:sz w:val="24"/>
          <w:szCs w:val="24"/>
        </w:rPr>
        <w:t xml:space="preserve"> odhadovaný</w:t>
      </w:r>
      <w:r>
        <w:rPr>
          <w:rFonts w:ascii="Times New Roman" w:eastAsia="Calibri" w:hAnsi="Times New Roman" w:cs="Times New Roman"/>
          <w:bCs/>
          <w:iCs/>
          <w:color w:val="000000"/>
          <w:sz w:val="24"/>
          <w:szCs w:val="24"/>
        </w:rPr>
        <w:t xml:space="preserve"> počet úkon</w:t>
      </w:r>
      <w:r w:rsidR="00204373">
        <w:rPr>
          <w:rFonts w:ascii="Times New Roman" w:eastAsia="Calibri" w:hAnsi="Times New Roman" w:cs="Times New Roman"/>
          <w:bCs/>
          <w:iCs/>
          <w:color w:val="000000"/>
          <w:sz w:val="24"/>
          <w:szCs w:val="24"/>
        </w:rPr>
        <w:t>ov zodpovedajúci počtu novopriznaných nemocenských dávok</w:t>
      </w:r>
      <w:r>
        <w:rPr>
          <w:rFonts w:ascii="Times New Roman" w:eastAsia="Calibri" w:hAnsi="Times New Roman" w:cs="Times New Roman"/>
          <w:bCs/>
          <w:iCs/>
          <w:color w:val="000000"/>
          <w:sz w:val="24"/>
          <w:szCs w:val="24"/>
        </w:rPr>
        <w:t xml:space="preserve"> u</w:t>
      </w:r>
      <w:r w:rsidR="00204373">
        <w:rPr>
          <w:rFonts w:ascii="Times New Roman" w:eastAsia="Calibri" w:hAnsi="Times New Roman" w:cs="Times New Roman"/>
          <w:bCs/>
          <w:iCs/>
          <w:color w:val="000000"/>
          <w:sz w:val="24"/>
          <w:szCs w:val="24"/>
        </w:rPr>
        <w:t> </w:t>
      </w:r>
      <w:r>
        <w:rPr>
          <w:rFonts w:ascii="Times New Roman" w:eastAsia="Calibri" w:hAnsi="Times New Roman" w:cs="Times New Roman"/>
          <w:bCs/>
          <w:iCs/>
          <w:color w:val="000000"/>
          <w:sz w:val="24"/>
          <w:szCs w:val="24"/>
        </w:rPr>
        <w:t>zamestnancov</w:t>
      </w:r>
      <w:r w:rsidR="00204373">
        <w:rPr>
          <w:rFonts w:ascii="Times New Roman" w:eastAsia="Calibri" w:hAnsi="Times New Roman" w:cs="Times New Roman"/>
          <w:bCs/>
          <w:iCs/>
          <w:color w:val="000000"/>
          <w:sz w:val="24"/>
          <w:szCs w:val="24"/>
        </w:rPr>
        <w:t xml:space="preserve"> v súkromnom sektore</w:t>
      </w:r>
      <w:r>
        <w:rPr>
          <w:rFonts w:ascii="Times New Roman" w:eastAsia="Calibri" w:hAnsi="Times New Roman" w:cs="Times New Roman"/>
          <w:bCs/>
          <w:iCs/>
          <w:color w:val="000000"/>
          <w:sz w:val="24"/>
          <w:szCs w:val="24"/>
        </w:rPr>
        <w:t>. Nastavená frekvencia úkonu 1-krát ročne, z čoho vychádzajú p</w:t>
      </w:r>
      <w:r w:rsidR="00204373">
        <w:rPr>
          <w:rFonts w:ascii="Times New Roman" w:eastAsia="Calibri" w:hAnsi="Times New Roman" w:cs="Times New Roman"/>
          <w:bCs/>
          <w:iCs/>
          <w:color w:val="000000"/>
          <w:sz w:val="24"/>
          <w:szCs w:val="24"/>
        </w:rPr>
        <w:t>riemerné náklady na 1 úkon cca 1</w:t>
      </w:r>
      <w:r>
        <w:rPr>
          <w:rFonts w:ascii="Times New Roman" w:eastAsia="Calibri" w:hAnsi="Times New Roman" w:cs="Times New Roman"/>
          <w:bCs/>
          <w:iCs/>
          <w:color w:val="000000"/>
          <w:sz w:val="24"/>
          <w:szCs w:val="24"/>
        </w:rPr>
        <w:t xml:space="preserve"> eur</w:t>
      </w:r>
      <w:r w:rsidR="00120D69">
        <w:rPr>
          <w:rFonts w:ascii="Times New Roman" w:eastAsia="Calibri" w:hAnsi="Times New Roman" w:cs="Times New Roman"/>
          <w:bCs/>
          <w:iCs/>
          <w:color w:val="000000"/>
          <w:sz w:val="24"/>
          <w:szCs w:val="24"/>
        </w:rPr>
        <w:t>o</w:t>
      </w:r>
      <w:r>
        <w:rPr>
          <w:rFonts w:ascii="Times New Roman" w:eastAsia="Calibri" w:hAnsi="Times New Roman" w:cs="Times New Roman"/>
          <w:bCs/>
          <w:iCs/>
          <w:color w:val="000000"/>
          <w:sz w:val="24"/>
          <w:szCs w:val="24"/>
        </w:rPr>
        <w:t>. Navrhovaná</w:t>
      </w:r>
      <w:r w:rsidRPr="00A16A28">
        <w:rPr>
          <w:rFonts w:ascii="Times New Roman" w:eastAsia="Calibri" w:hAnsi="Times New Roman" w:cs="Times New Roman"/>
          <w:bCs/>
          <w:iCs/>
          <w:color w:val="000000"/>
          <w:sz w:val="24"/>
          <w:szCs w:val="24"/>
        </w:rPr>
        <w:t xml:space="preserve"> účinnosť</w:t>
      </w:r>
      <w:r>
        <w:rPr>
          <w:rFonts w:ascii="Times New Roman" w:eastAsia="Calibri" w:hAnsi="Times New Roman" w:cs="Times New Roman"/>
          <w:bCs/>
          <w:iCs/>
          <w:color w:val="000000"/>
          <w:sz w:val="24"/>
          <w:szCs w:val="24"/>
        </w:rPr>
        <w:t xml:space="preserve"> je</w:t>
      </w:r>
      <w:r w:rsidRPr="00A16A28">
        <w:rPr>
          <w:rFonts w:ascii="Times New Roman" w:eastAsia="Calibri" w:hAnsi="Times New Roman" w:cs="Times New Roman"/>
          <w:bCs/>
          <w:iCs/>
          <w:color w:val="000000"/>
          <w:sz w:val="24"/>
          <w:szCs w:val="24"/>
        </w:rPr>
        <w:t xml:space="preserve"> od 1. </w:t>
      </w:r>
      <w:r>
        <w:rPr>
          <w:rFonts w:ascii="Times New Roman" w:eastAsia="Calibri" w:hAnsi="Times New Roman" w:cs="Times New Roman"/>
          <w:bCs/>
          <w:iCs/>
          <w:color w:val="000000"/>
          <w:sz w:val="24"/>
          <w:szCs w:val="24"/>
        </w:rPr>
        <w:t>apríla</w:t>
      </w:r>
      <w:r w:rsidRPr="00A16A28">
        <w:rPr>
          <w:rFonts w:ascii="Times New Roman" w:eastAsia="Calibri" w:hAnsi="Times New Roman" w:cs="Times New Roman"/>
          <w:bCs/>
          <w:iCs/>
          <w:color w:val="000000"/>
          <w:sz w:val="24"/>
          <w:szCs w:val="24"/>
        </w:rPr>
        <w:t xml:space="preserve"> 2026. </w:t>
      </w:r>
    </w:p>
    <w:p w14:paraId="6A390424" w14:textId="77084DBA" w:rsidR="00D833BD" w:rsidRDefault="00D833BD" w:rsidP="00195F93">
      <w:pPr>
        <w:spacing w:after="0"/>
        <w:jc w:val="both"/>
        <w:rPr>
          <w:rFonts w:ascii="Times New Roman" w:eastAsia="Calibri" w:hAnsi="Times New Roman" w:cs="Times New Roman"/>
          <w:bCs/>
          <w:iCs/>
          <w:color w:val="000000"/>
          <w:sz w:val="24"/>
          <w:szCs w:val="24"/>
        </w:rPr>
      </w:pPr>
    </w:p>
    <w:p w14:paraId="156C436D" w14:textId="61EE4C26" w:rsidR="00204373" w:rsidRPr="007C0D59" w:rsidRDefault="00204373" w:rsidP="00204373">
      <w:pPr>
        <w:jc w:val="both"/>
        <w:rPr>
          <w:rFonts w:ascii="Times New Roman" w:eastAsia="Calibri" w:hAnsi="Times New Roman" w:cs="Times New Roman"/>
          <w:bCs/>
          <w:iCs/>
          <w:color w:val="000000"/>
          <w:sz w:val="24"/>
          <w:szCs w:val="24"/>
        </w:rPr>
      </w:pPr>
      <w:r w:rsidRPr="007C0D59">
        <w:rPr>
          <w:rFonts w:ascii="Times New Roman" w:eastAsia="Calibri" w:hAnsi="Times New Roman" w:cs="Times New Roman"/>
          <w:b/>
          <w:bCs/>
          <w:i/>
          <w:iCs/>
          <w:color w:val="000000"/>
          <w:sz w:val="24"/>
          <w:szCs w:val="24"/>
          <w:u w:val="single"/>
        </w:rPr>
        <w:t xml:space="preserve">Opatrenie </w:t>
      </w:r>
      <w:r>
        <w:rPr>
          <w:rFonts w:ascii="Times New Roman" w:eastAsia="Calibri" w:hAnsi="Times New Roman" w:cs="Times New Roman"/>
          <w:b/>
          <w:bCs/>
          <w:i/>
          <w:iCs/>
          <w:color w:val="000000"/>
          <w:sz w:val="24"/>
          <w:szCs w:val="24"/>
          <w:u w:val="single"/>
        </w:rPr>
        <w:t>22</w:t>
      </w:r>
      <w:r w:rsidR="005A1339">
        <w:rPr>
          <w:rFonts w:ascii="Times New Roman" w:eastAsia="Calibri" w:hAnsi="Times New Roman" w:cs="Times New Roman"/>
          <w:b/>
          <w:bCs/>
          <w:i/>
          <w:iCs/>
          <w:color w:val="000000"/>
          <w:sz w:val="24"/>
          <w:szCs w:val="24"/>
          <w:u w:val="single"/>
        </w:rPr>
        <w:t xml:space="preserve"> (IN</w:t>
      </w:r>
      <w:r w:rsidRPr="007C0D59">
        <w:rPr>
          <w:rFonts w:ascii="Times New Roman" w:eastAsia="Calibri" w:hAnsi="Times New Roman" w:cs="Times New Roman"/>
          <w:b/>
          <w:bCs/>
          <w:i/>
          <w:iCs/>
          <w:color w:val="000000"/>
          <w:sz w:val="24"/>
          <w:szCs w:val="24"/>
        </w:rPr>
        <w:t>) –</w:t>
      </w:r>
      <w:r w:rsidRPr="007C0D59">
        <w:rPr>
          <w:rFonts w:ascii="Times New Roman" w:eastAsia="Calibri" w:hAnsi="Times New Roman" w:cs="Times New Roman"/>
          <w:bCs/>
          <w:iCs/>
          <w:color w:val="000000"/>
          <w:sz w:val="24"/>
          <w:szCs w:val="24"/>
        </w:rPr>
        <w:t xml:space="preserve"> počet úkonov</w:t>
      </w:r>
      <w:r w:rsidR="00FA4227">
        <w:rPr>
          <w:rFonts w:ascii="Times New Roman" w:eastAsia="Calibri" w:hAnsi="Times New Roman" w:cs="Times New Roman"/>
          <w:bCs/>
          <w:iCs/>
          <w:color w:val="000000"/>
          <w:sz w:val="24"/>
          <w:szCs w:val="24"/>
        </w:rPr>
        <w:t xml:space="preserve"> predpokladáme na úrovni cca </w:t>
      </w:r>
      <w:r w:rsidR="005261F0">
        <w:rPr>
          <w:rFonts w:ascii="Times New Roman" w:eastAsia="Calibri" w:hAnsi="Times New Roman" w:cs="Times New Roman"/>
          <w:bCs/>
          <w:iCs/>
          <w:color w:val="000000"/>
          <w:sz w:val="24"/>
          <w:szCs w:val="24"/>
        </w:rPr>
        <w:t>6,7</w:t>
      </w:r>
      <w:r w:rsidRPr="007C0D59">
        <w:rPr>
          <w:rFonts w:ascii="Times New Roman" w:eastAsia="Calibri" w:hAnsi="Times New Roman" w:cs="Times New Roman"/>
          <w:bCs/>
          <w:iCs/>
          <w:color w:val="000000"/>
          <w:sz w:val="24"/>
          <w:szCs w:val="24"/>
        </w:rPr>
        <w:t xml:space="preserve"> tis. (zdroj: Sociálna poisťovňa). Početnosť prispôsobená účinnosti od 1. apríla 2026</w:t>
      </w:r>
      <w:r w:rsidR="005261F0">
        <w:rPr>
          <w:rFonts w:ascii="Times New Roman" w:eastAsia="Calibri" w:hAnsi="Times New Roman" w:cs="Times New Roman"/>
          <w:bCs/>
          <w:iCs/>
          <w:color w:val="000000"/>
          <w:sz w:val="24"/>
          <w:szCs w:val="24"/>
        </w:rPr>
        <w:t>, skutočnosti</w:t>
      </w:r>
      <w:r w:rsidR="00F6471F">
        <w:rPr>
          <w:rFonts w:ascii="Times New Roman" w:eastAsia="Calibri" w:hAnsi="Times New Roman" w:cs="Times New Roman"/>
          <w:bCs/>
          <w:iCs/>
          <w:color w:val="000000"/>
          <w:sz w:val="24"/>
          <w:szCs w:val="24"/>
        </w:rPr>
        <w:t>, že vplyvy na podnikateľské prostredie majú pokrývať iba zamestnancov súkromného sektora</w:t>
      </w:r>
      <w:r w:rsidR="005261F0">
        <w:rPr>
          <w:rFonts w:ascii="Times New Roman" w:eastAsia="Calibri" w:hAnsi="Times New Roman" w:cs="Times New Roman"/>
          <w:bCs/>
          <w:iCs/>
          <w:color w:val="000000"/>
          <w:sz w:val="24"/>
          <w:szCs w:val="24"/>
        </w:rPr>
        <w:t xml:space="preserve"> a expertnému odhadu Sociálnej poisťovne, že dotknutých bude iba cca 5% zamestnancov/zamestnávateľov</w:t>
      </w:r>
      <w:r w:rsidR="00F6471F">
        <w:rPr>
          <w:rFonts w:ascii="Times New Roman" w:eastAsia="Calibri" w:hAnsi="Times New Roman" w:cs="Times New Roman"/>
          <w:bCs/>
          <w:iCs/>
          <w:color w:val="000000"/>
          <w:sz w:val="24"/>
          <w:szCs w:val="24"/>
        </w:rPr>
        <w:t>.</w:t>
      </w:r>
      <w:r w:rsidRPr="007C0D59">
        <w:rPr>
          <w:rFonts w:ascii="Times New Roman" w:eastAsia="Calibri" w:hAnsi="Times New Roman" w:cs="Times New Roman"/>
          <w:bCs/>
          <w:iCs/>
          <w:color w:val="000000"/>
          <w:sz w:val="24"/>
          <w:szCs w:val="24"/>
        </w:rPr>
        <w:t xml:space="preserve">  </w:t>
      </w:r>
    </w:p>
    <w:p w14:paraId="7563695D" w14:textId="7C7790E1" w:rsidR="00204373" w:rsidRDefault="00204373" w:rsidP="00204373">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w:t>
      </w:r>
      <w:r w:rsidRPr="00407530">
        <w:rPr>
          <w:rFonts w:ascii="Times New Roman" w:eastAsia="Calibri" w:hAnsi="Times New Roman" w:cs="Times New Roman"/>
          <w:bCs/>
          <w:iCs/>
          <w:color w:val="000000"/>
          <w:sz w:val="24"/>
          <w:szCs w:val="24"/>
        </w:rPr>
        <w:t xml:space="preserve">) Administratívne náklady – </w:t>
      </w:r>
      <w:r>
        <w:rPr>
          <w:rFonts w:ascii="Times New Roman" w:eastAsia="Calibri" w:hAnsi="Times New Roman" w:cs="Times New Roman"/>
          <w:bCs/>
          <w:iCs/>
          <w:color w:val="000000"/>
          <w:sz w:val="24"/>
          <w:szCs w:val="24"/>
        </w:rPr>
        <w:t>odhaduje sa rozs</w:t>
      </w:r>
      <w:r w:rsidR="003C7ADA">
        <w:rPr>
          <w:rFonts w:ascii="Times New Roman" w:eastAsia="Calibri" w:hAnsi="Times New Roman" w:cs="Times New Roman"/>
          <w:bCs/>
          <w:iCs/>
          <w:color w:val="000000"/>
          <w:sz w:val="24"/>
          <w:szCs w:val="24"/>
        </w:rPr>
        <w:t>a</w:t>
      </w:r>
      <w:r w:rsidR="001D76E9">
        <w:rPr>
          <w:rFonts w:ascii="Times New Roman" w:eastAsia="Calibri" w:hAnsi="Times New Roman" w:cs="Times New Roman"/>
          <w:bCs/>
          <w:iCs/>
          <w:color w:val="000000"/>
          <w:sz w:val="24"/>
          <w:szCs w:val="24"/>
        </w:rPr>
        <w:t>h administratívnej povinnosti 10</w:t>
      </w:r>
      <w:r>
        <w:rPr>
          <w:rFonts w:ascii="Times New Roman" w:eastAsia="Calibri" w:hAnsi="Times New Roman" w:cs="Times New Roman"/>
          <w:bCs/>
          <w:iCs/>
          <w:color w:val="000000"/>
          <w:sz w:val="24"/>
          <w:szCs w:val="24"/>
        </w:rPr>
        <w:t xml:space="preserve"> min. Z dôvodu vyššej presnosti bol v kalkulačke nákladov použitý odhadovaný počet úkonov zodpovedajúci počtu n</w:t>
      </w:r>
      <w:r w:rsidR="003C7ADA">
        <w:rPr>
          <w:rFonts w:ascii="Times New Roman" w:eastAsia="Calibri" w:hAnsi="Times New Roman" w:cs="Times New Roman"/>
          <w:bCs/>
          <w:iCs/>
          <w:color w:val="000000"/>
          <w:sz w:val="24"/>
          <w:szCs w:val="24"/>
        </w:rPr>
        <w:t>ovopriznaného ošetrovného a materského</w:t>
      </w:r>
      <w:r>
        <w:rPr>
          <w:rFonts w:ascii="Times New Roman" w:eastAsia="Calibri" w:hAnsi="Times New Roman" w:cs="Times New Roman"/>
          <w:bCs/>
          <w:iCs/>
          <w:color w:val="000000"/>
          <w:sz w:val="24"/>
          <w:szCs w:val="24"/>
        </w:rPr>
        <w:t xml:space="preserve"> u zamestnancov v súkromnom sektore</w:t>
      </w:r>
      <w:r w:rsidR="00171B89">
        <w:rPr>
          <w:rFonts w:ascii="Times New Roman" w:eastAsia="Calibri" w:hAnsi="Times New Roman" w:cs="Times New Roman"/>
          <w:bCs/>
          <w:iCs/>
          <w:color w:val="000000"/>
          <w:sz w:val="24"/>
          <w:szCs w:val="24"/>
        </w:rPr>
        <w:t xml:space="preserve"> vrátane prispôsobenia expertnému odhadu Sociálnej poisťovne (5%)</w:t>
      </w:r>
      <w:r>
        <w:rPr>
          <w:rFonts w:ascii="Times New Roman" w:eastAsia="Calibri" w:hAnsi="Times New Roman" w:cs="Times New Roman"/>
          <w:bCs/>
          <w:iCs/>
          <w:color w:val="000000"/>
          <w:sz w:val="24"/>
          <w:szCs w:val="24"/>
        </w:rPr>
        <w:t>. Nastavená frekvencia úkonu 1-krát ročne, z čoho vychádzajú p</w:t>
      </w:r>
      <w:r w:rsidR="003C7ADA">
        <w:rPr>
          <w:rFonts w:ascii="Times New Roman" w:eastAsia="Calibri" w:hAnsi="Times New Roman" w:cs="Times New Roman"/>
          <w:bCs/>
          <w:iCs/>
          <w:color w:val="000000"/>
          <w:sz w:val="24"/>
          <w:szCs w:val="24"/>
        </w:rPr>
        <w:t xml:space="preserve">riemerné náklady na 1 úkon cca </w:t>
      </w:r>
      <w:r w:rsidR="001D76E9">
        <w:rPr>
          <w:rFonts w:ascii="Times New Roman" w:eastAsia="Calibri" w:hAnsi="Times New Roman" w:cs="Times New Roman"/>
          <w:bCs/>
          <w:iCs/>
          <w:color w:val="000000"/>
          <w:sz w:val="24"/>
          <w:szCs w:val="24"/>
        </w:rPr>
        <w:t>2 eura</w:t>
      </w:r>
      <w:r>
        <w:rPr>
          <w:rFonts w:ascii="Times New Roman" w:eastAsia="Calibri" w:hAnsi="Times New Roman" w:cs="Times New Roman"/>
          <w:bCs/>
          <w:iCs/>
          <w:color w:val="000000"/>
          <w:sz w:val="24"/>
          <w:szCs w:val="24"/>
        </w:rPr>
        <w:t>. Navrhovaná</w:t>
      </w:r>
      <w:r w:rsidRPr="00A16A28">
        <w:rPr>
          <w:rFonts w:ascii="Times New Roman" w:eastAsia="Calibri" w:hAnsi="Times New Roman" w:cs="Times New Roman"/>
          <w:bCs/>
          <w:iCs/>
          <w:color w:val="000000"/>
          <w:sz w:val="24"/>
          <w:szCs w:val="24"/>
        </w:rPr>
        <w:t xml:space="preserve"> účinnosť</w:t>
      </w:r>
      <w:r>
        <w:rPr>
          <w:rFonts w:ascii="Times New Roman" w:eastAsia="Calibri" w:hAnsi="Times New Roman" w:cs="Times New Roman"/>
          <w:bCs/>
          <w:iCs/>
          <w:color w:val="000000"/>
          <w:sz w:val="24"/>
          <w:szCs w:val="24"/>
        </w:rPr>
        <w:t xml:space="preserve"> je</w:t>
      </w:r>
      <w:r w:rsidRPr="00A16A28">
        <w:rPr>
          <w:rFonts w:ascii="Times New Roman" w:eastAsia="Calibri" w:hAnsi="Times New Roman" w:cs="Times New Roman"/>
          <w:bCs/>
          <w:iCs/>
          <w:color w:val="000000"/>
          <w:sz w:val="24"/>
          <w:szCs w:val="24"/>
        </w:rPr>
        <w:t xml:space="preserve"> od 1. </w:t>
      </w:r>
      <w:r>
        <w:rPr>
          <w:rFonts w:ascii="Times New Roman" w:eastAsia="Calibri" w:hAnsi="Times New Roman" w:cs="Times New Roman"/>
          <w:bCs/>
          <w:iCs/>
          <w:color w:val="000000"/>
          <w:sz w:val="24"/>
          <w:szCs w:val="24"/>
        </w:rPr>
        <w:t>apríla</w:t>
      </w:r>
      <w:r w:rsidRPr="00A16A28">
        <w:rPr>
          <w:rFonts w:ascii="Times New Roman" w:eastAsia="Calibri" w:hAnsi="Times New Roman" w:cs="Times New Roman"/>
          <w:bCs/>
          <w:iCs/>
          <w:color w:val="000000"/>
          <w:sz w:val="24"/>
          <w:szCs w:val="24"/>
        </w:rPr>
        <w:t xml:space="preserve"> 2026. </w:t>
      </w:r>
    </w:p>
    <w:p w14:paraId="375580DE" w14:textId="2F307145" w:rsidR="00204373" w:rsidRDefault="00204373" w:rsidP="00195F93">
      <w:pPr>
        <w:spacing w:after="0"/>
        <w:jc w:val="both"/>
        <w:rPr>
          <w:rFonts w:ascii="Times New Roman" w:eastAsia="Calibri" w:hAnsi="Times New Roman" w:cs="Times New Roman"/>
          <w:bCs/>
          <w:iCs/>
          <w:color w:val="000000"/>
          <w:sz w:val="24"/>
          <w:szCs w:val="24"/>
        </w:rPr>
      </w:pPr>
    </w:p>
    <w:p w14:paraId="3D3803C9"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28F61D07"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4C46DE3"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7EB856DB" w14:textId="77777777"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xml:space="preserve">,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w:t>
      </w:r>
      <w:r w:rsidR="000C5419" w:rsidRPr="00284B8C">
        <w:rPr>
          <w:rFonts w:ascii="Times New Roman" w:eastAsia="Calibri" w:hAnsi="Times New Roman" w:cs="Times New Roman"/>
          <w:bCs/>
          <w:i/>
          <w:iCs/>
          <w:color w:val="000000"/>
          <w:sz w:val="24"/>
          <w:szCs w:val="24"/>
        </w:rPr>
        <w:lastRenderedPageBreak/>
        <w:t>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00E91503" w14:textId="77777777" w:rsidR="00024EE4" w:rsidRDefault="00D114ED" w:rsidP="00054C41">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w:t>
      </w:r>
      <w:r w:rsidR="004E30DC">
        <w:rPr>
          <w:rFonts w:ascii="Times New Roman" w:eastAsia="Calibri" w:hAnsi="Times New Roman" w:cs="Times New Roman"/>
          <w:bCs/>
          <w:i/>
          <w:iCs/>
          <w:sz w:val="24"/>
          <w:szCs w:val="24"/>
        </w:rPr>
        <w:t>ikateľmi a posúdených Komisiou.</w:t>
      </w:r>
    </w:p>
    <w:p w14:paraId="08D7B48A" w14:textId="77777777" w:rsidR="004E30DC" w:rsidRPr="001D23E6" w:rsidRDefault="001D23E6" w:rsidP="002C7EEB">
      <w:pPr>
        <w:spacing w:after="0"/>
        <w:jc w:val="both"/>
        <w:rPr>
          <w:rFonts w:ascii="Times New Roman" w:eastAsia="Calibri" w:hAnsi="Times New Roman" w:cs="Times New Roman"/>
          <w:b/>
          <w:bCs/>
          <w:i/>
          <w:iCs/>
          <w:sz w:val="24"/>
          <w:szCs w:val="24"/>
        </w:rPr>
      </w:pPr>
      <w:r w:rsidRPr="001D23E6">
        <w:rPr>
          <w:rFonts w:ascii="Times New Roman" w:eastAsia="Calibri" w:hAnsi="Times New Roman" w:cs="Times New Roman"/>
          <w:b/>
          <w:bCs/>
          <w:i/>
          <w:iCs/>
          <w:sz w:val="24"/>
          <w:szCs w:val="24"/>
        </w:rPr>
        <w:t xml:space="preserve">Vplyvom predmetného návrhu zákona nedochádza ku </w:t>
      </w:r>
      <w:proofErr w:type="spellStart"/>
      <w:r w:rsidRPr="001D23E6">
        <w:rPr>
          <w:rFonts w:ascii="Times New Roman" w:eastAsia="Calibri" w:hAnsi="Times New Roman" w:cs="Times New Roman"/>
          <w:b/>
          <w:bCs/>
          <w:i/>
          <w:iCs/>
          <w:sz w:val="24"/>
          <w:szCs w:val="24"/>
        </w:rPr>
        <w:t>goldplatingu</w:t>
      </w:r>
      <w:proofErr w:type="spellEnd"/>
      <w:r w:rsidRPr="001D23E6">
        <w:rPr>
          <w:rFonts w:ascii="Times New Roman" w:eastAsia="Calibri" w:hAnsi="Times New Roman" w:cs="Times New Roman"/>
          <w:b/>
          <w:bCs/>
          <w:i/>
          <w:iCs/>
          <w:sz w:val="24"/>
          <w:szCs w:val="24"/>
        </w:rPr>
        <w:t xml:space="preserve">. </w:t>
      </w:r>
    </w:p>
    <w:p w14:paraId="5635B832" w14:textId="77777777" w:rsidR="001D23E6" w:rsidRPr="004E30DC" w:rsidRDefault="001D23E6" w:rsidP="00054C41">
      <w:pPr>
        <w:jc w:val="both"/>
        <w:rPr>
          <w:rFonts w:ascii="Times New Roman" w:eastAsia="Calibri" w:hAnsi="Times New Roman" w:cs="Times New Roman"/>
          <w:bCs/>
          <w:i/>
          <w:iCs/>
          <w:sz w:val="24"/>
          <w:szCs w:val="24"/>
        </w:rPr>
      </w:pPr>
    </w:p>
    <w:p w14:paraId="65E845FE"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1AD2121E"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080DD18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152B1C1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1E0F96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ECD42A8" w14:textId="77777777" w:rsidR="00054C41" w:rsidRDefault="00054C41" w:rsidP="00054C41">
      <w:pPr>
        <w:spacing w:after="0"/>
        <w:jc w:val="both"/>
        <w:rPr>
          <w:rFonts w:ascii="Times New Roman" w:eastAsia="Calibri" w:hAnsi="Times New Roman" w:cs="Times New Roman"/>
          <w:i/>
          <w:sz w:val="24"/>
          <w:szCs w:val="24"/>
        </w:rPr>
      </w:pPr>
    </w:p>
    <w:p w14:paraId="4382F721" w14:textId="302871C9" w:rsidR="00CE15FA" w:rsidRPr="008D6739" w:rsidRDefault="00970C11" w:rsidP="00CE15FA">
      <w:pPr>
        <w:spacing w:after="0" w:line="240" w:lineRule="auto"/>
        <w:jc w:val="both"/>
        <w:rPr>
          <w:rFonts w:ascii="Times New Roman" w:hAnsi="Times New Roman" w:cs="Times New Roman"/>
          <w:sz w:val="24"/>
          <w:szCs w:val="24"/>
        </w:rPr>
      </w:pPr>
      <w:r w:rsidRPr="002C7EEB">
        <w:rPr>
          <w:rFonts w:ascii="Times New Roman" w:hAnsi="Times New Roman" w:cs="Times New Roman"/>
          <w:iCs/>
          <w:sz w:val="24"/>
          <w:szCs w:val="24"/>
        </w:rPr>
        <w:t>Informácia o konzultáciách bola sprostredkovaná zástupcom podnikateľských subjektov</w:t>
      </w:r>
      <w:r>
        <w:rPr>
          <w:rFonts w:ascii="Times New Roman" w:hAnsi="Times New Roman" w:cs="Times New Roman"/>
          <w:iCs/>
          <w:sz w:val="24"/>
          <w:szCs w:val="24"/>
        </w:rPr>
        <w:t xml:space="preserve"> a poskytovateľom zdravotnej starostlivosti</w:t>
      </w:r>
      <w:r w:rsidRPr="002C7EEB">
        <w:rPr>
          <w:rFonts w:ascii="Times New Roman" w:hAnsi="Times New Roman" w:cs="Times New Roman"/>
          <w:iCs/>
          <w:sz w:val="24"/>
          <w:szCs w:val="24"/>
        </w:rPr>
        <w:t xml:space="preserve"> MPSVR SR</w:t>
      </w:r>
      <w:r w:rsidRPr="00BF3B94">
        <w:rPr>
          <w:rFonts w:ascii="Times New Roman" w:hAnsi="Times New Roman" w:cs="Times New Roman"/>
          <w:iCs/>
          <w:sz w:val="24"/>
          <w:szCs w:val="24"/>
        </w:rPr>
        <w:t>.  V rámci konzultácií prebehli osobné stretnutia so zástupcami podnikateľského prostredia</w:t>
      </w:r>
      <w:r>
        <w:rPr>
          <w:rFonts w:ascii="Times New Roman" w:hAnsi="Times New Roman" w:cs="Times New Roman"/>
          <w:iCs/>
          <w:sz w:val="24"/>
          <w:szCs w:val="24"/>
        </w:rPr>
        <w:t xml:space="preserve"> </w:t>
      </w:r>
      <w:r w:rsidRPr="00BF3B94">
        <w:rPr>
          <w:rFonts w:ascii="Times New Roman" w:hAnsi="Times New Roman" w:cs="Times New Roman"/>
          <w:iCs/>
          <w:sz w:val="24"/>
          <w:szCs w:val="24"/>
        </w:rPr>
        <w:t xml:space="preserve">(Asociácia priemyselných zväzov a dopravy, Klub 500 a Slovenský živnostenský zväz) </w:t>
      </w:r>
      <w:r>
        <w:rPr>
          <w:rFonts w:ascii="Times New Roman" w:hAnsi="Times New Roman" w:cs="Times New Roman"/>
          <w:iCs/>
          <w:sz w:val="24"/>
          <w:szCs w:val="24"/>
        </w:rPr>
        <w:t xml:space="preserve">a </w:t>
      </w:r>
      <w:r w:rsidRPr="00BF3B94">
        <w:rPr>
          <w:rFonts w:ascii="Times New Roman" w:hAnsi="Times New Roman" w:cs="Times New Roman"/>
          <w:iCs/>
          <w:sz w:val="24"/>
          <w:szCs w:val="24"/>
        </w:rPr>
        <w:t xml:space="preserve"> poskytovateľmi zdravotnej starostlivosti</w:t>
      </w:r>
      <w:r>
        <w:rPr>
          <w:rFonts w:ascii="Times New Roman" w:hAnsi="Times New Roman" w:cs="Times New Roman"/>
          <w:iCs/>
          <w:sz w:val="24"/>
          <w:szCs w:val="24"/>
        </w:rPr>
        <w:t xml:space="preserve"> </w:t>
      </w:r>
      <w:r w:rsidRPr="00BF3B94">
        <w:rPr>
          <w:rFonts w:ascii="Times New Roman" w:hAnsi="Times New Roman" w:cs="Times New Roman"/>
          <w:iCs/>
          <w:sz w:val="24"/>
          <w:szCs w:val="24"/>
        </w:rPr>
        <w:t>(</w:t>
      </w:r>
      <w:r w:rsidRPr="00BF3B94">
        <w:rPr>
          <w:rFonts w:ascii="Times New Roman" w:hAnsi="Times New Roman" w:cs="Times New Roman"/>
          <w:sz w:val="24"/>
          <w:szCs w:val="24"/>
        </w:rPr>
        <w:t>Zväz ambulantných poskytovateľov)</w:t>
      </w:r>
      <w:r>
        <w:rPr>
          <w:rFonts w:ascii="Times New Roman" w:hAnsi="Times New Roman" w:cs="Times New Roman"/>
          <w:iCs/>
          <w:sz w:val="24"/>
          <w:szCs w:val="24"/>
        </w:rPr>
        <w:t>, t. j. so su</w:t>
      </w:r>
      <w:r w:rsidR="004F2CAA">
        <w:rPr>
          <w:rFonts w:ascii="Times New Roman" w:hAnsi="Times New Roman" w:cs="Times New Roman"/>
          <w:iCs/>
          <w:sz w:val="24"/>
          <w:szCs w:val="24"/>
        </w:rPr>
        <w:t xml:space="preserve">bjektmi, ktoré prejavili záujem, </w:t>
      </w:r>
      <w:r>
        <w:rPr>
          <w:rFonts w:ascii="Times New Roman" w:hAnsi="Times New Roman" w:cs="Times New Roman"/>
          <w:iCs/>
          <w:sz w:val="24"/>
          <w:szCs w:val="24"/>
        </w:rPr>
        <w:t>konané</w:t>
      </w:r>
      <w:r w:rsidRPr="00BF3B94">
        <w:rPr>
          <w:rFonts w:ascii="Times New Roman" w:hAnsi="Times New Roman" w:cs="Times New Roman"/>
          <w:iCs/>
          <w:sz w:val="24"/>
          <w:szCs w:val="24"/>
        </w:rPr>
        <w:t xml:space="preserve"> v dňoch 15. januára 2025 a 17. januára 2025. Osobná forma konzultácií bola</w:t>
      </w:r>
      <w:r w:rsidRPr="00BF3B94">
        <w:rPr>
          <w:rFonts w:ascii="Times New Roman" w:hAnsi="Times New Roman"/>
          <w:iCs/>
          <w:sz w:val="24"/>
          <w:szCs w:val="24"/>
        </w:rPr>
        <w:t xml:space="preserve"> preferovaná vzhľadom k tomu, že poskytuje najlepší priestor pre interakciu a podrobnú diskusiu. Konzultácie celkovo prebiehali od 31. decembra 2024 do 28. januára 2025. V rámci konzultácií s poskytovateľmi zdravotnej starostlivosti bola riešená takmer výhradne právna úprava zavedenia proaktívnej alebo elektronickej žiadosti o vybrané dávky nemocenského poistenia. Zástupcovia </w:t>
      </w:r>
      <w:r w:rsidRPr="00BF3B94">
        <w:rPr>
          <w:rFonts w:ascii="Times New Roman" w:hAnsi="Times New Roman" w:cs="Times New Roman"/>
          <w:iCs/>
          <w:sz w:val="24"/>
          <w:szCs w:val="24"/>
        </w:rPr>
        <w:t>MPSVR SR</w:t>
      </w:r>
      <w:r w:rsidRPr="00BF3B94">
        <w:rPr>
          <w:rFonts w:ascii="Times New Roman" w:hAnsi="Times New Roman"/>
          <w:iCs/>
          <w:sz w:val="24"/>
          <w:szCs w:val="24"/>
        </w:rPr>
        <w:t xml:space="preserve"> a Ministerstva zdravotníctva </w:t>
      </w:r>
      <w:r w:rsidR="00FB789C">
        <w:rPr>
          <w:rFonts w:ascii="Times New Roman" w:hAnsi="Times New Roman"/>
          <w:iCs/>
          <w:sz w:val="24"/>
          <w:szCs w:val="24"/>
        </w:rPr>
        <w:t>Slovenskej republiky</w:t>
      </w:r>
      <w:r w:rsidRPr="00BF3B94">
        <w:rPr>
          <w:rFonts w:ascii="Times New Roman" w:hAnsi="Times New Roman"/>
          <w:iCs/>
          <w:sz w:val="24"/>
          <w:szCs w:val="24"/>
        </w:rPr>
        <w:t xml:space="preserve"> ubezpečili zástupkyňu</w:t>
      </w:r>
      <w:r w:rsidRPr="002C7EEB">
        <w:rPr>
          <w:rFonts w:ascii="Times New Roman" w:hAnsi="Times New Roman"/>
          <w:iCs/>
          <w:sz w:val="24"/>
          <w:szCs w:val="24"/>
        </w:rPr>
        <w:t xml:space="preserve"> poskytovateľov zdravotnej starostlivosti, že </w:t>
      </w:r>
      <w:r w:rsidR="00ED219B">
        <w:rPr>
          <w:rFonts w:ascii="Times New Roman" w:hAnsi="Times New Roman"/>
          <w:iCs/>
          <w:sz w:val="24"/>
          <w:szCs w:val="24"/>
        </w:rPr>
        <w:t xml:space="preserve">vládny </w:t>
      </w:r>
      <w:r w:rsidRPr="002C7EEB">
        <w:rPr>
          <w:rFonts w:ascii="Times New Roman" w:hAnsi="Times New Roman"/>
          <w:iCs/>
          <w:sz w:val="24"/>
          <w:szCs w:val="24"/>
        </w:rPr>
        <w:t xml:space="preserve">návrh zákona nezavádza všeobecným ani špecializovaným lekárom žiadne nové povinnosti iba prechod už v súčasnosti potvrdzovaných skutočností z papierovej formy na elektronickú formu. Zástupcovia zamestnávateľov a živnostníkov uvítali zavedenie proaktívnej a elektronickej žiadosti o vybrané dávky sociálneho poistenia. Diskutovalo sa o možnostiach zlepšenia procedúry nahlasovania účtov zamestnancov a SZČO. </w:t>
      </w:r>
      <w:r w:rsidR="002675A8" w:rsidRPr="008D6739">
        <w:rPr>
          <w:rFonts w:ascii="Times New Roman" w:hAnsi="Times New Roman" w:cs="Times New Roman"/>
          <w:iCs/>
          <w:sz w:val="24"/>
          <w:szCs w:val="24"/>
        </w:rPr>
        <w:t xml:space="preserve">Asociácia priemyselných zväzov a dopravy po osobnom stretnutí poslala </w:t>
      </w:r>
      <w:r w:rsidR="00194027" w:rsidRPr="008D6739">
        <w:rPr>
          <w:rFonts w:ascii="Times New Roman" w:hAnsi="Times New Roman" w:cs="Times New Roman"/>
          <w:iCs/>
          <w:sz w:val="24"/>
          <w:szCs w:val="24"/>
        </w:rPr>
        <w:t>písomné</w:t>
      </w:r>
      <w:r w:rsidR="002675A8" w:rsidRPr="008D6739">
        <w:rPr>
          <w:rFonts w:ascii="Times New Roman" w:hAnsi="Times New Roman" w:cs="Times New Roman"/>
          <w:iCs/>
          <w:sz w:val="24"/>
          <w:szCs w:val="24"/>
        </w:rPr>
        <w:t xml:space="preserve"> stanovisko k návrhu nahlasovania</w:t>
      </w:r>
      <w:r w:rsidR="00194027" w:rsidRPr="008D6739">
        <w:rPr>
          <w:rFonts w:ascii="Times New Roman" w:hAnsi="Times New Roman" w:cs="Times New Roman"/>
          <w:iCs/>
          <w:sz w:val="24"/>
          <w:szCs w:val="24"/>
        </w:rPr>
        <w:t xml:space="preserve"> čísiel</w:t>
      </w:r>
      <w:r w:rsidR="002675A8" w:rsidRPr="008D6739">
        <w:rPr>
          <w:rFonts w:ascii="Times New Roman" w:hAnsi="Times New Roman" w:cs="Times New Roman"/>
          <w:iCs/>
          <w:sz w:val="24"/>
          <w:szCs w:val="24"/>
        </w:rPr>
        <w:t xml:space="preserve"> účtov zamestnancov v rámci jednorazovej hromadnej akcie</w:t>
      </w:r>
      <w:r w:rsidR="00CE15FA" w:rsidRPr="008D6739">
        <w:rPr>
          <w:rFonts w:ascii="Times New Roman" w:hAnsi="Times New Roman" w:cs="Times New Roman"/>
          <w:iCs/>
          <w:sz w:val="24"/>
          <w:szCs w:val="24"/>
        </w:rPr>
        <w:t xml:space="preserve">, pričom vyjadrili </w:t>
      </w:r>
      <w:r w:rsidR="002675A8" w:rsidRPr="008D6739">
        <w:rPr>
          <w:rFonts w:ascii="Times New Roman" w:hAnsi="Times New Roman" w:cs="Times New Roman"/>
          <w:sz w:val="24"/>
          <w:szCs w:val="24"/>
        </w:rPr>
        <w:t xml:space="preserve">súhlasné aj nesúhlasné postoje. Prevažuje názor, že s jednorazovou povinnosťou je možné sa vysporiadať, avšak len za </w:t>
      </w:r>
      <w:r w:rsidR="00194027" w:rsidRPr="008D6739">
        <w:rPr>
          <w:rFonts w:ascii="Times New Roman" w:hAnsi="Times New Roman" w:cs="Times New Roman"/>
          <w:sz w:val="24"/>
          <w:szCs w:val="24"/>
        </w:rPr>
        <w:t>nasledovných</w:t>
      </w:r>
      <w:r w:rsidR="002675A8" w:rsidRPr="008D6739">
        <w:rPr>
          <w:rFonts w:ascii="Times New Roman" w:hAnsi="Times New Roman" w:cs="Times New Roman"/>
          <w:sz w:val="24"/>
          <w:szCs w:val="24"/>
        </w:rPr>
        <w:t xml:space="preserve"> predpokladov: </w:t>
      </w:r>
    </w:p>
    <w:p w14:paraId="124F8D80" w14:textId="77777777" w:rsidR="00CE15FA" w:rsidRPr="008D6739" w:rsidRDefault="002675A8" w:rsidP="008D6739">
      <w:pPr>
        <w:pStyle w:val="Odsekzoznamu"/>
        <w:numPr>
          <w:ilvl w:val="0"/>
          <w:numId w:val="18"/>
        </w:num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xml:space="preserve">predĺženie prechodného obdobia a </w:t>
      </w:r>
    </w:p>
    <w:p w14:paraId="10F4192E" w14:textId="77777777" w:rsidR="00CE15FA" w:rsidRPr="008D6739" w:rsidRDefault="002675A8" w:rsidP="008D6739">
      <w:pPr>
        <w:pStyle w:val="Odsekzoznamu"/>
        <w:numPr>
          <w:ilvl w:val="0"/>
          <w:numId w:val="18"/>
        </w:num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zabezpečenie hromadného nahratia údajov aj pre neB2B odvádzateľov poistného a</w:t>
      </w:r>
    </w:p>
    <w:p w14:paraId="7F76BD98" w14:textId="77777777" w:rsidR="00CE15FA" w:rsidRPr="008D6739" w:rsidRDefault="002675A8" w:rsidP="008D6739">
      <w:pPr>
        <w:pStyle w:val="Odsekzoznamu"/>
        <w:numPr>
          <w:ilvl w:val="0"/>
          <w:numId w:val="18"/>
        </w:num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lastRenderedPageBreak/>
        <w:t xml:space="preserve">zrušenie povinnosti nahlasovať posledný odpracovaný deň zamestnanca na </w:t>
      </w:r>
      <w:r w:rsidR="00CE15FA" w:rsidRPr="008D6739">
        <w:rPr>
          <w:rFonts w:ascii="Times New Roman" w:hAnsi="Times New Roman" w:cs="Times New Roman"/>
          <w:sz w:val="24"/>
          <w:szCs w:val="24"/>
        </w:rPr>
        <w:t>dočasnej pracovnej neschopnosti</w:t>
      </w:r>
      <w:r w:rsidRPr="008D6739">
        <w:rPr>
          <w:rFonts w:ascii="Times New Roman" w:hAnsi="Times New Roman" w:cs="Times New Roman"/>
          <w:sz w:val="24"/>
          <w:szCs w:val="24"/>
        </w:rPr>
        <w:t xml:space="preserve"> a </w:t>
      </w:r>
    </w:p>
    <w:p w14:paraId="09545FCA" w14:textId="77777777" w:rsidR="00CE15FA" w:rsidRPr="008D6739" w:rsidRDefault="002675A8" w:rsidP="008D6739">
      <w:pPr>
        <w:pStyle w:val="Odsekzoznamu"/>
        <w:numPr>
          <w:ilvl w:val="0"/>
          <w:numId w:val="18"/>
        </w:num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xml:space="preserve">zodpovednosť za vyplatenie dávok má niesť Sociálna poisťovňa a nie odvádzateľ poistného a </w:t>
      </w:r>
    </w:p>
    <w:p w14:paraId="04EB8DB2" w14:textId="77777777" w:rsidR="00CE15FA" w:rsidRPr="008D6739" w:rsidRDefault="002675A8" w:rsidP="008D6739">
      <w:pPr>
        <w:pStyle w:val="Odsekzoznamu"/>
        <w:numPr>
          <w:ilvl w:val="0"/>
          <w:numId w:val="18"/>
        </w:num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xml:space="preserve">zavedenie notifikačných e-mailov o vzniku, zmene a skončení </w:t>
      </w:r>
      <w:r w:rsidR="00CE15FA" w:rsidRPr="008D6739">
        <w:rPr>
          <w:rFonts w:ascii="Times New Roman" w:hAnsi="Times New Roman" w:cs="Times New Roman"/>
          <w:sz w:val="24"/>
          <w:szCs w:val="24"/>
        </w:rPr>
        <w:t>dočasnej pracovnej neschopnosti</w:t>
      </w:r>
      <w:r w:rsidRPr="008D6739">
        <w:rPr>
          <w:rFonts w:ascii="Times New Roman" w:hAnsi="Times New Roman" w:cs="Times New Roman"/>
          <w:sz w:val="24"/>
          <w:szCs w:val="24"/>
        </w:rPr>
        <w:t xml:space="preserve">. </w:t>
      </w:r>
    </w:p>
    <w:p w14:paraId="5BA799D0" w14:textId="70BFF0CA" w:rsidR="002675A8" w:rsidRPr="008D6739" w:rsidRDefault="002675A8">
      <w:p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xml:space="preserve">Ak je cieľom pripravovaného </w:t>
      </w:r>
      <w:r w:rsidR="00ED219B">
        <w:rPr>
          <w:rFonts w:ascii="Times New Roman" w:hAnsi="Times New Roman" w:cs="Times New Roman"/>
          <w:sz w:val="24"/>
          <w:szCs w:val="24"/>
        </w:rPr>
        <w:t xml:space="preserve">vládneho </w:t>
      </w:r>
      <w:r w:rsidRPr="008D6739">
        <w:rPr>
          <w:rFonts w:ascii="Times New Roman" w:hAnsi="Times New Roman" w:cs="Times New Roman"/>
          <w:sz w:val="24"/>
          <w:szCs w:val="24"/>
        </w:rPr>
        <w:t>návrhu zákona zjednodušiť proces, mohlo by ísť o prínos nielen pre Sociálnu poisťovňu, ale a</w:t>
      </w:r>
      <w:r w:rsidR="00CE15FA" w:rsidRPr="008D6739">
        <w:rPr>
          <w:rFonts w:ascii="Times New Roman" w:hAnsi="Times New Roman" w:cs="Times New Roman"/>
          <w:sz w:val="24"/>
          <w:szCs w:val="24"/>
        </w:rPr>
        <w:t xml:space="preserve">j pre odvádzateľov poistného. </w:t>
      </w:r>
    </w:p>
    <w:p w14:paraId="47C4AA96" w14:textId="77777777" w:rsidR="006422AB" w:rsidRPr="008D6739" w:rsidRDefault="00194027">
      <w:p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Zároveň Asociácia</w:t>
      </w:r>
      <w:r w:rsidR="006422AB" w:rsidRPr="008D6739">
        <w:rPr>
          <w:rFonts w:ascii="Times New Roman" w:hAnsi="Times New Roman" w:cs="Times New Roman"/>
          <w:sz w:val="24"/>
          <w:szCs w:val="24"/>
        </w:rPr>
        <w:t xml:space="preserve"> priemyselných zväzov a</w:t>
      </w:r>
      <w:r w:rsidRPr="008D6739">
        <w:rPr>
          <w:rFonts w:ascii="Times New Roman" w:hAnsi="Times New Roman" w:cs="Times New Roman"/>
          <w:sz w:val="24"/>
          <w:szCs w:val="24"/>
        </w:rPr>
        <w:t> </w:t>
      </w:r>
      <w:r w:rsidR="006422AB" w:rsidRPr="008D6739">
        <w:rPr>
          <w:rFonts w:ascii="Times New Roman" w:hAnsi="Times New Roman" w:cs="Times New Roman"/>
          <w:sz w:val="24"/>
          <w:szCs w:val="24"/>
        </w:rPr>
        <w:t>dopravy</w:t>
      </w:r>
      <w:r w:rsidRPr="008D6739">
        <w:rPr>
          <w:rFonts w:ascii="Times New Roman" w:hAnsi="Times New Roman" w:cs="Times New Roman"/>
          <w:sz w:val="24"/>
          <w:szCs w:val="24"/>
        </w:rPr>
        <w:t xml:space="preserve"> predložila doplňujúce návrhy</w:t>
      </w:r>
      <w:r w:rsidR="006422AB" w:rsidRPr="008D6739">
        <w:rPr>
          <w:rFonts w:ascii="Times New Roman" w:hAnsi="Times New Roman" w:cs="Times New Roman"/>
          <w:sz w:val="24"/>
          <w:szCs w:val="24"/>
        </w:rPr>
        <w:t>:</w:t>
      </w:r>
    </w:p>
    <w:p w14:paraId="5ED11727" w14:textId="77777777" w:rsidR="006422AB" w:rsidRPr="008D6739" w:rsidRDefault="006422AB">
      <w:p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xml:space="preserve"> - Rozporne vnímajú postup pri zmene účtu zamestnanca. Neprikláňajú </w:t>
      </w:r>
      <w:r w:rsidR="00416CFB">
        <w:rPr>
          <w:rFonts w:ascii="Times New Roman" w:hAnsi="Times New Roman" w:cs="Times New Roman"/>
          <w:sz w:val="24"/>
          <w:szCs w:val="24"/>
        </w:rPr>
        <w:t xml:space="preserve">sa </w:t>
      </w:r>
      <w:r w:rsidRPr="008D6739">
        <w:rPr>
          <w:rFonts w:ascii="Times New Roman" w:hAnsi="Times New Roman" w:cs="Times New Roman"/>
          <w:sz w:val="24"/>
          <w:szCs w:val="24"/>
        </w:rPr>
        <w:t xml:space="preserve">k postupu bezodkladného nahlásenia zmeny čísla účtu zamestnanca, ale k zbernému nahlasovaniu zmien napríklad v mesačných výkazoch zasielaných Sociálnej poisťovni. Tým sa zabezpečí správnosť údajov a zníži sa tak potenciálna chybovosť pri ručnom zadávaní či zabudnutie nahlásenia, pretože bude automatizované. </w:t>
      </w:r>
    </w:p>
    <w:p w14:paraId="16722B22" w14:textId="77777777" w:rsidR="006422AB" w:rsidRPr="008D6739" w:rsidRDefault="006422AB">
      <w:p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xml:space="preserve">- Je vhodné mať jasný opravný proces, ak príde k mylnému zadaniu údajov o čísle bankového účtu a príde k vyplateniu dávky nesprávnej osobe – odporúčajú proces vysvetliť na stránkach Sociálnej poisťovne alebo zriadiť pre tieto situácie osobitný kontakt. Predpokladajú, že oproti súčasnosti podobné situácie budú nastávať častejšie a Sociálna poisťovňa musí mať jasnú metodiku, ako plánuje v prípadoch postupovať. </w:t>
      </w:r>
    </w:p>
    <w:p w14:paraId="34ED6369" w14:textId="77777777" w:rsidR="006422AB" w:rsidRPr="008D6739" w:rsidRDefault="006422AB">
      <w:pPr>
        <w:spacing w:after="0" w:line="240" w:lineRule="auto"/>
        <w:jc w:val="both"/>
        <w:rPr>
          <w:rFonts w:ascii="Times New Roman" w:hAnsi="Times New Roman" w:cs="Times New Roman"/>
          <w:sz w:val="24"/>
          <w:szCs w:val="24"/>
        </w:rPr>
      </w:pPr>
      <w:r w:rsidRPr="008D6739">
        <w:rPr>
          <w:rFonts w:ascii="Times New Roman" w:hAnsi="Times New Roman" w:cs="Times New Roman"/>
          <w:sz w:val="24"/>
          <w:szCs w:val="24"/>
        </w:rPr>
        <w:t>- Zaviesť možnosť na portáli Sociálnej poisťovne vyplniť pravdepodobný vymeriavací základ zamestnancov zamestnaných menej ako 90 dní alebo u zamestnancov po materskej alebo rodičovskej dovolenke. Sociálna poisťovňa tieto údaje žiada naďalej e-mailom.</w:t>
      </w:r>
    </w:p>
    <w:p w14:paraId="120B857E" w14:textId="77777777" w:rsidR="006422AB" w:rsidRPr="00CE15FA" w:rsidRDefault="006422AB">
      <w:pPr>
        <w:spacing w:after="0" w:line="240" w:lineRule="auto"/>
        <w:jc w:val="both"/>
        <w:rPr>
          <w:rFonts w:ascii="Times New Roman" w:hAnsi="Times New Roman" w:cs="Times New Roman"/>
        </w:rPr>
      </w:pPr>
    </w:p>
    <w:p w14:paraId="5F0CFE26" w14:textId="77777777" w:rsidR="00054C41" w:rsidRDefault="00970C11" w:rsidP="002C7EEB">
      <w:pPr>
        <w:spacing w:after="0" w:line="240" w:lineRule="auto"/>
        <w:jc w:val="both"/>
        <w:rPr>
          <w:rFonts w:ascii="Times New Roman" w:hAnsi="Times New Roman" w:cs="Times New Roman"/>
          <w:sz w:val="24"/>
          <w:szCs w:val="24"/>
        </w:rPr>
      </w:pPr>
      <w:r w:rsidRPr="002C7EEB">
        <w:rPr>
          <w:rFonts w:ascii="Times New Roman" w:hAnsi="Times New Roman"/>
          <w:iCs/>
          <w:sz w:val="24"/>
          <w:szCs w:val="24"/>
        </w:rPr>
        <w:t xml:space="preserve">Zástupcovia zamestnávateľov prisľúbili MPSVR SR súčinnosť pri kvantifikácii administratívnej záťaže nahlasovania čísla účtov za zamestnancov. </w:t>
      </w:r>
    </w:p>
    <w:p w14:paraId="107EEDAC" w14:textId="77777777" w:rsidR="002C7EEB" w:rsidRPr="002C7EEB" w:rsidRDefault="002C7EEB" w:rsidP="002C7EEB">
      <w:pPr>
        <w:spacing w:after="200" w:line="240" w:lineRule="auto"/>
        <w:jc w:val="both"/>
        <w:rPr>
          <w:rFonts w:ascii="Times New Roman" w:hAnsi="Times New Roman" w:cs="Times New Roman"/>
          <w:sz w:val="24"/>
          <w:szCs w:val="24"/>
        </w:rPr>
      </w:pPr>
    </w:p>
    <w:p w14:paraId="7070883E"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2827AB8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14EC67BC"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C545D4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5B8B5FA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0CE19B55"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4610C38D"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0C2AD07E"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r w:rsidR="00073425">
        <w:rPr>
          <w:rFonts w:ascii="Times New Roman" w:eastAsia="Calibri" w:hAnsi="Times New Roman" w:cs="Times New Roman"/>
          <w:i/>
          <w:iCs/>
          <w:sz w:val="24"/>
          <w:szCs w:val="24"/>
        </w:rPr>
        <w:t xml:space="preserve"> </w:t>
      </w:r>
    </w:p>
    <w:p w14:paraId="618D2433" w14:textId="77777777" w:rsidR="00054C41" w:rsidRPr="00D8247C" w:rsidRDefault="00054C41" w:rsidP="00054C41">
      <w:pPr>
        <w:spacing w:after="0"/>
        <w:jc w:val="both"/>
        <w:rPr>
          <w:rFonts w:ascii="Times New Roman" w:eastAsia="Calibri" w:hAnsi="Times New Roman" w:cs="Times New Roman"/>
          <w:i/>
          <w:sz w:val="24"/>
          <w:szCs w:val="24"/>
        </w:rPr>
      </w:pPr>
    </w:p>
    <w:p w14:paraId="7EB29BBB"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250D41A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089C9317" w14:textId="77777777" w:rsidR="00054C41" w:rsidRPr="00D8247C" w:rsidRDefault="0095614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4C45E3">
                <w:rPr>
                  <w:rFonts w:ascii="Times New Roman" w:eastAsia="Calibri" w:hAnsi="Times New Roman" w:cs="Times New Roman"/>
                  <w:i/>
                  <w:sz w:val="24"/>
                  <w:szCs w:val="24"/>
                </w:rPr>
                <w:t>X</w:t>
              </w:r>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79C390A6" w14:textId="77777777" w:rsidR="00054C41" w:rsidRPr="00D8247C" w:rsidRDefault="00054C41" w:rsidP="00054C41">
      <w:pPr>
        <w:spacing w:after="0"/>
        <w:jc w:val="both"/>
        <w:rPr>
          <w:rFonts w:ascii="Times New Roman" w:eastAsia="Calibri" w:hAnsi="Times New Roman" w:cs="Times New Roman"/>
          <w:i/>
          <w:sz w:val="24"/>
          <w:szCs w:val="24"/>
        </w:rPr>
      </w:pPr>
    </w:p>
    <w:p w14:paraId="5E91327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349799D"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34CB3DF9" w14:textId="77777777" w:rsidR="00054C41" w:rsidRPr="00D8247C" w:rsidRDefault="00054C41" w:rsidP="00054C41">
      <w:pPr>
        <w:spacing w:after="0"/>
        <w:jc w:val="both"/>
        <w:rPr>
          <w:rFonts w:ascii="Times New Roman" w:eastAsia="Calibri" w:hAnsi="Times New Roman" w:cs="Times New Roman"/>
          <w:i/>
          <w:sz w:val="24"/>
          <w:szCs w:val="24"/>
        </w:rPr>
      </w:pPr>
    </w:p>
    <w:p w14:paraId="74154D4D"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Na základe uvedenej odpovede zaškrtnite a popíšte, či materiál produktivitu:</w:t>
      </w:r>
    </w:p>
    <w:p w14:paraId="70437DA1" w14:textId="77777777" w:rsidR="00054C41" w:rsidRPr="00D8247C" w:rsidRDefault="0095614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r w:rsidR="004C45E3">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83770AA" w14:textId="77777777" w:rsidR="00E30D85" w:rsidRPr="00D8247C" w:rsidRDefault="00E30D85" w:rsidP="00054C41">
      <w:pPr>
        <w:spacing w:after="0"/>
        <w:jc w:val="both"/>
        <w:rPr>
          <w:rFonts w:ascii="Times New Roman" w:eastAsia="Calibri" w:hAnsi="Times New Roman" w:cs="Times New Roman"/>
          <w:i/>
          <w:sz w:val="24"/>
          <w:szCs w:val="24"/>
        </w:rPr>
      </w:pPr>
    </w:p>
    <w:p w14:paraId="31EA083E"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A4B0E3C"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2C6DFA3A"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1225423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A6AD65B"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2FAE43BE"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4B698BF7"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2B2B688F"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sectPr w:rsidR="00B21D1F"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58B7B" w14:textId="77777777" w:rsidR="0095614E" w:rsidRDefault="0095614E" w:rsidP="00054C41">
      <w:pPr>
        <w:spacing w:after="0" w:line="240" w:lineRule="auto"/>
      </w:pPr>
      <w:r>
        <w:separator/>
      </w:r>
    </w:p>
  </w:endnote>
  <w:endnote w:type="continuationSeparator" w:id="0">
    <w:p w14:paraId="77EB75CD" w14:textId="77777777" w:rsidR="0095614E" w:rsidRDefault="0095614E"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400AD41" w14:textId="67A54B6B" w:rsidR="00A255A9" w:rsidRPr="006045CB" w:rsidRDefault="00A255A9"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ED219B">
          <w:rPr>
            <w:rFonts w:ascii="Times New Roman" w:hAnsi="Times New Roman" w:cs="Times New Roman"/>
            <w:noProof/>
            <w:sz w:val="24"/>
            <w:szCs w:val="24"/>
          </w:rPr>
          <w:t>17</w:t>
        </w:r>
        <w:r w:rsidRPr="006045CB">
          <w:rPr>
            <w:rFonts w:ascii="Times New Roman" w:hAnsi="Times New Roman" w:cs="Times New Roman"/>
            <w:sz w:val="24"/>
            <w:szCs w:val="24"/>
          </w:rPr>
          <w:fldChar w:fldCharType="end"/>
        </w:r>
      </w:p>
    </w:sdtContent>
  </w:sdt>
  <w:p w14:paraId="6903801C" w14:textId="77777777" w:rsidR="00A255A9" w:rsidRPr="00FF7125" w:rsidRDefault="00A255A9" w:rsidP="00054C41">
    <w:pPr>
      <w:pStyle w:val="Pta"/>
      <w:rPr>
        <w:sz w:val="24"/>
        <w:szCs w:val="24"/>
      </w:rPr>
    </w:pPr>
  </w:p>
  <w:p w14:paraId="4656A8C9" w14:textId="77777777" w:rsidR="00A255A9" w:rsidRDefault="00A255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7E65" w14:textId="77777777" w:rsidR="0095614E" w:rsidRDefault="0095614E" w:rsidP="00054C41">
      <w:pPr>
        <w:spacing w:after="0" w:line="240" w:lineRule="auto"/>
      </w:pPr>
      <w:r>
        <w:separator/>
      </w:r>
    </w:p>
  </w:footnote>
  <w:footnote w:type="continuationSeparator" w:id="0">
    <w:p w14:paraId="60189539" w14:textId="77777777" w:rsidR="0095614E" w:rsidRDefault="0095614E" w:rsidP="00054C41">
      <w:pPr>
        <w:spacing w:after="0" w:line="240" w:lineRule="auto"/>
      </w:pPr>
      <w:r>
        <w:continuationSeparator/>
      </w:r>
    </w:p>
  </w:footnote>
  <w:footnote w:id="1">
    <w:p w14:paraId="50319D85" w14:textId="77777777" w:rsidR="00A255A9" w:rsidRPr="000A6B7F" w:rsidRDefault="00A255A9"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A74DFD8" w14:textId="77777777" w:rsidR="00A255A9" w:rsidRPr="00804BC8" w:rsidRDefault="00A255A9"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w:t>
      </w:r>
      <w:bookmarkStart w:id="0" w:name="_GoBack"/>
      <w:r>
        <w:rPr>
          <w:rFonts w:ascii="Times New Roman" w:hAnsi="Times New Roman" w:cs="Times New Roman"/>
        </w:rPr>
        <w:t>návrh</w:t>
      </w:r>
      <w:bookmarkEnd w:id="0"/>
      <w:r>
        <w:rPr>
          <w:rFonts w:ascii="Times New Roman" w:hAnsi="Times New Roman" w:cs="Times New Roman"/>
        </w:rPr>
        <w:t xml:space="preserve">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10BC23DC" w14:textId="77777777" w:rsidR="00A255A9" w:rsidRDefault="00A255A9" w:rsidP="00512BA7">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2D1"/>
    <w:multiLevelType w:val="hybridMultilevel"/>
    <w:tmpl w:val="1BB437C2"/>
    <w:lvl w:ilvl="0" w:tplc="C308850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E33BDA"/>
    <w:multiLevelType w:val="hybridMultilevel"/>
    <w:tmpl w:val="53F4339E"/>
    <w:lvl w:ilvl="0" w:tplc="8250A61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C2F670A"/>
    <w:multiLevelType w:val="hybridMultilevel"/>
    <w:tmpl w:val="587262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946A7B"/>
    <w:multiLevelType w:val="hybridMultilevel"/>
    <w:tmpl w:val="160E6AF0"/>
    <w:lvl w:ilvl="0" w:tplc="F5204ED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3"/>
  </w:num>
  <w:num w:numId="3">
    <w:abstractNumId w:val="14"/>
  </w:num>
  <w:num w:numId="4">
    <w:abstractNumId w:val="1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7"/>
  </w:num>
  <w:num w:numId="12">
    <w:abstractNumId w:val="2"/>
  </w:num>
  <w:num w:numId="13">
    <w:abstractNumId w:val="15"/>
  </w:num>
  <w:num w:numId="14">
    <w:abstractNumId w:val="9"/>
  </w:num>
  <w:num w:numId="15">
    <w:abstractNumId w:val="8"/>
  </w:num>
  <w:num w:numId="16">
    <w:abstractNumId w:val="1"/>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011F"/>
    <w:rsid w:val="0001283D"/>
    <w:rsid w:val="0002425A"/>
    <w:rsid w:val="00024EE4"/>
    <w:rsid w:val="00047C70"/>
    <w:rsid w:val="00050AAB"/>
    <w:rsid w:val="0005357C"/>
    <w:rsid w:val="000547BD"/>
    <w:rsid w:val="00054A53"/>
    <w:rsid w:val="00054C41"/>
    <w:rsid w:val="00060DA1"/>
    <w:rsid w:val="00061E85"/>
    <w:rsid w:val="00073425"/>
    <w:rsid w:val="000820E0"/>
    <w:rsid w:val="00082D11"/>
    <w:rsid w:val="00085A83"/>
    <w:rsid w:val="00087373"/>
    <w:rsid w:val="000914B9"/>
    <w:rsid w:val="00091A43"/>
    <w:rsid w:val="000935A5"/>
    <w:rsid w:val="0009490E"/>
    <w:rsid w:val="000A6B7F"/>
    <w:rsid w:val="000B24B2"/>
    <w:rsid w:val="000B65B8"/>
    <w:rsid w:val="000C5419"/>
    <w:rsid w:val="000C5E9A"/>
    <w:rsid w:val="000D1080"/>
    <w:rsid w:val="000D15F0"/>
    <w:rsid w:val="000E366B"/>
    <w:rsid w:val="000E51A8"/>
    <w:rsid w:val="001067AC"/>
    <w:rsid w:val="0011003B"/>
    <w:rsid w:val="001133DA"/>
    <w:rsid w:val="00120D69"/>
    <w:rsid w:val="00126A2B"/>
    <w:rsid w:val="00142154"/>
    <w:rsid w:val="001476A4"/>
    <w:rsid w:val="001520E5"/>
    <w:rsid w:val="001546F5"/>
    <w:rsid w:val="0015640B"/>
    <w:rsid w:val="00162C6C"/>
    <w:rsid w:val="00164AB6"/>
    <w:rsid w:val="0016512E"/>
    <w:rsid w:val="00171B89"/>
    <w:rsid w:val="0018715C"/>
    <w:rsid w:val="00194027"/>
    <w:rsid w:val="00195F93"/>
    <w:rsid w:val="001A1561"/>
    <w:rsid w:val="001B4C03"/>
    <w:rsid w:val="001B60D7"/>
    <w:rsid w:val="001C7B91"/>
    <w:rsid w:val="001D1083"/>
    <w:rsid w:val="001D23E6"/>
    <w:rsid w:val="001D3FA0"/>
    <w:rsid w:val="001D7225"/>
    <w:rsid w:val="001D76E9"/>
    <w:rsid w:val="001D79E7"/>
    <w:rsid w:val="001E24E8"/>
    <w:rsid w:val="001E53CB"/>
    <w:rsid w:val="001E58F6"/>
    <w:rsid w:val="00204373"/>
    <w:rsid w:val="00204A73"/>
    <w:rsid w:val="00207F43"/>
    <w:rsid w:val="00217E66"/>
    <w:rsid w:val="00220222"/>
    <w:rsid w:val="002232D3"/>
    <w:rsid w:val="002251D4"/>
    <w:rsid w:val="00225A83"/>
    <w:rsid w:val="00227773"/>
    <w:rsid w:val="00231B8F"/>
    <w:rsid w:val="00257D75"/>
    <w:rsid w:val="0026393F"/>
    <w:rsid w:val="002675A8"/>
    <w:rsid w:val="00270EA5"/>
    <w:rsid w:val="002712B9"/>
    <w:rsid w:val="00275B1F"/>
    <w:rsid w:val="00284B8C"/>
    <w:rsid w:val="0029483F"/>
    <w:rsid w:val="00295D6C"/>
    <w:rsid w:val="002C2FC0"/>
    <w:rsid w:val="002C74F2"/>
    <w:rsid w:val="002C7EEB"/>
    <w:rsid w:val="002F175C"/>
    <w:rsid w:val="002F3411"/>
    <w:rsid w:val="002F42EC"/>
    <w:rsid w:val="00302A17"/>
    <w:rsid w:val="00314D25"/>
    <w:rsid w:val="00315BE2"/>
    <w:rsid w:val="00327D0E"/>
    <w:rsid w:val="0033118A"/>
    <w:rsid w:val="003322EE"/>
    <w:rsid w:val="00337630"/>
    <w:rsid w:val="00340921"/>
    <w:rsid w:val="00340CFD"/>
    <w:rsid w:val="003413D5"/>
    <w:rsid w:val="00342621"/>
    <w:rsid w:val="00346B93"/>
    <w:rsid w:val="003471E1"/>
    <w:rsid w:val="00357F22"/>
    <w:rsid w:val="00361229"/>
    <w:rsid w:val="0036748D"/>
    <w:rsid w:val="00370A59"/>
    <w:rsid w:val="0037206F"/>
    <w:rsid w:val="00376039"/>
    <w:rsid w:val="00377CFD"/>
    <w:rsid w:val="0038255E"/>
    <w:rsid w:val="00390BD2"/>
    <w:rsid w:val="00390BEF"/>
    <w:rsid w:val="00391648"/>
    <w:rsid w:val="0039304E"/>
    <w:rsid w:val="0039334E"/>
    <w:rsid w:val="00394101"/>
    <w:rsid w:val="00394AD2"/>
    <w:rsid w:val="003A02AF"/>
    <w:rsid w:val="003A3124"/>
    <w:rsid w:val="003A686F"/>
    <w:rsid w:val="003B7542"/>
    <w:rsid w:val="003C77D5"/>
    <w:rsid w:val="003C7ADA"/>
    <w:rsid w:val="003E58B8"/>
    <w:rsid w:val="003F06D7"/>
    <w:rsid w:val="00400224"/>
    <w:rsid w:val="00400BA5"/>
    <w:rsid w:val="00410E62"/>
    <w:rsid w:val="00414FA7"/>
    <w:rsid w:val="00415D23"/>
    <w:rsid w:val="00416CFB"/>
    <w:rsid w:val="00416F86"/>
    <w:rsid w:val="00420090"/>
    <w:rsid w:val="004239D1"/>
    <w:rsid w:val="00430CE8"/>
    <w:rsid w:val="00433370"/>
    <w:rsid w:val="00434B68"/>
    <w:rsid w:val="00437AC5"/>
    <w:rsid w:val="00445638"/>
    <w:rsid w:val="00445AD5"/>
    <w:rsid w:val="00446432"/>
    <w:rsid w:val="00446512"/>
    <w:rsid w:val="00454CAB"/>
    <w:rsid w:val="00461A94"/>
    <w:rsid w:val="00466D7A"/>
    <w:rsid w:val="004772F7"/>
    <w:rsid w:val="0048237B"/>
    <w:rsid w:val="00484D16"/>
    <w:rsid w:val="00491853"/>
    <w:rsid w:val="004A14CD"/>
    <w:rsid w:val="004A1C03"/>
    <w:rsid w:val="004A2C6B"/>
    <w:rsid w:val="004A3401"/>
    <w:rsid w:val="004A58A1"/>
    <w:rsid w:val="004B7762"/>
    <w:rsid w:val="004C02D2"/>
    <w:rsid w:val="004C188A"/>
    <w:rsid w:val="004C3B02"/>
    <w:rsid w:val="004C45E3"/>
    <w:rsid w:val="004D0E42"/>
    <w:rsid w:val="004D20CB"/>
    <w:rsid w:val="004D5528"/>
    <w:rsid w:val="004D65B2"/>
    <w:rsid w:val="004D681D"/>
    <w:rsid w:val="004E07E5"/>
    <w:rsid w:val="004E1E72"/>
    <w:rsid w:val="004E2324"/>
    <w:rsid w:val="004E30DC"/>
    <w:rsid w:val="004F2CAA"/>
    <w:rsid w:val="004F63E6"/>
    <w:rsid w:val="005103DA"/>
    <w:rsid w:val="00511F8F"/>
    <w:rsid w:val="00512BA7"/>
    <w:rsid w:val="00515726"/>
    <w:rsid w:val="005261F0"/>
    <w:rsid w:val="00535B5F"/>
    <w:rsid w:val="0054362A"/>
    <w:rsid w:val="00557DB6"/>
    <w:rsid w:val="00561893"/>
    <w:rsid w:val="00562527"/>
    <w:rsid w:val="00562A1E"/>
    <w:rsid w:val="00563427"/>
    <w:rsid w:val="00563596"/>
    <w:rsid w:val="00572922"/>
    <w:rsid w:val="00581EB9"/>
    <w:rsid w:val="00584AA6"/>
    <w:rsid w:val="00586AAD"/>
    <w:rsid w:val="005908B3"/>
    <w:rsid w:val="005A1339"/>
    <w:rsid w:val="005B4E6E"/>
    <w:rsid w:val="005B56E4"/>
    <w:rsid w:val="005C4B71"/>
    <w:rsid w:val="005C6FC3"/>
    <w:rsid w:val="005C795C"/>
    <w:rsid w:val="005D0E50"/>
    <w:rsid w:val="005D39D8"/>
    <w:rsid w:val="005F0AB1"/>
    <w:rsid w:val="006012CB"/>
    <w:rsid w:val="0061097B"/>
    <w:rsid w:val="00612A6E"/>
    <w:rsid w:val="0061612F"/>
    <w:rsid w:val="006177C8"/>
    <w:rsid w:val="0062600A"/>
    <w:rsid w:val="0063098D"/>
    <w:rsid w:val="0063777D"/>
    <w:rsid w:val="00637F7D"/>
    <w:rsid w:val="006422AB"/>
    <w:rsid w:val="00643358"/>
    <w:rsid w:val="0064378B"/>
    <w:rsid w:val="00646084"/>
    <w:rsid w:val="006564C3"/>
    <w:rsid w:val="006578CB"/>
    <w:rsid w:val="00690EF4"/>
    <w:rsid w:val="0069101C"/>
    <w:rsid w:val="006A4E85"/>
    <w:rsid w:val="006A549C"/>
    <w:rsid w:val="006A60C0"/>
    <w:rsid w:val="006A712F"/>
    <w:rsid w:val="006B5D74"/>
    <w:rsid w:val="006C25BE"/>
    <w:rsid w:val="006D0FF9"/>
    <w:rsid w:val="006D7AD8"/>
    <w:rsid w:val="006E77F8"/>
    <w:rsid w:val="006F1D57"/>
    <w:rsid w:val="00700AD9"/>
    <w:rsid w:val="0070364C"/>
    <w:rsid w:val="00710EDF"/>
    <w:rsid w:val="00712CD1"/>
    <w:rsid w:val="0072221D"/>
    <w:rsid w:val="0072357C"/>
    <w:rsid w:val="007259CB"/>
    <w:rsid w:val="00726031"/>
    <w:rsid w:val="00751DA9"/>
    <w:rsid w:val="00755E69"/>
    <w:rsid w:val="007606A1"/>
    <w:rsid w:val="00761CF2"/>
    <w:rsid w:val="007648EE"/>
    <w:rsid w:val="0077106D"/>
    <w:rsid w:val="0077191E"/>
    <w:rsid w:val="00780ACC"/>
    <w:rsid w:val="00783F18"/>
    <w:rsid w:val="00787A11"/>
    <w:rsid w:val="007920B5"/>
    <w:rsid w:val="00797B40"/>
    <w:rsid w:val="007A0C9D"/>
    <w:rsid w:val="007A4A1B"/>
    <w:rsid w:val="007B40FB"/>
    <w:rsid w:val="007B62AF"/>
    <w:rsid w:val="007C0D59"/>
    <w:rsid w:val="007D3E49"/>
    <w:rsid w:val="007E24B2"/>
    <w:rsid w:val="007E2DA4"/>
    <w:rsid w:val="007E4B3A"/>
    <w:rsid w:val="007E6815"/>
    <w:rsid w:val="007E7632"/>
    <w:rsid w:val="007F1C84"/>
    <w:rsid w:val="007F4579"/>
    <w:rsid w:val="007F53E2"/>
    <w:rsid w:val="007F6846"/>
    <w:rsid w:val="00801596"/>
    <w:rsid w:val="00804BC8"/>
    <w:rsid w:val="00806E23"/>
    <w:rsid w:val="00807981"/>
    <w:rsid w:val="00811A84"/>
    <w:rsid w:val="00823F5A"/>
    <w:rsid w:val="00841BF6"/>
    <w:rsid w:val="00844EB4"/>
    <w:rsid w:val="00845D3B"/>
    <w:rsid w:val="00852653"/>
    <w:rsid w:val="0085600B"/>
    <w:rsid w:val="008634E9"/>
    <w:rsid w:val="008801B5"/>
    <w:rsid w:val="00880578"/>
    <w:rsid w:val="00882407"/>
    <w:rsid w:val="00885B6A"/>
    <w:rsid w:val="00886941"/>
    <w:rsid w:val="008920C3"/>
    <w:rsid w:val="00894052"/>
    <w:rsid w:val="008A7B87"/>
    <w:rsid w:val="008B438B"/>
    <w:rsid w:val="008B4AA1"/>
    <w:rsid w:val="008B6125"/>
    <w:rsid w:val="008C1C71"/>
    <w:rsid w:val="008C57ED"/>
    <w:rsid w:val="008D6739"/>
    <w:rsid w:val="008E1AD0"/>
    <w:rsid w:val="008E315F"/>
    <w:rsid w:val="008E6B82"/>
    <w:rsid w:val="008F6ADE"/>
    <w:rsid w:val="0091269B"/>
    <w:rsid w:val="00923C0C"/>
    <w:rsid w:val="00924247"/>
    <w:rsid w:val="00930732"/>
    <w:rsid w:val="00931CF2"/>
    <w:rsid w:val="00936F88"/>
    <w:rsid w:val="00946F0D"/>
    <w:rsid w:val="0095170D"/>
    <w:rsid w:val="00952CF6"/>
    <w:rsid w:val="0095614E"/>
    <w:rsid w:val="00960413"/>
    <w:rsid w:val="00963067"/>
    <w:rsid w:val="00970C11"/>
    <w:rsid w:val="0097242B"/>
    <w:rsid w:val="00974E9A"/>
    <w:rsid w:val="009771CB"/>
    <w:rsid w:val="00981995"/>
    <w:rsid w:val="00981C7F"/>
    <w:rsid w:val="00982FAB"/>
    <w:rsid w:val="00985515"/>
    <w:rsid w:val="00990813"/>
    <w:rsid w:val="0099117D"/>
    <w:rsid w:val="0099544D"/>
    <w:rsid w:val="00997513"/>
    <w:rsid w:val="00997556"/>
    <w:rsid w:val="009A0E2C"/>
    <w:rsid w:val="009A4D56"/>
    <w:rsid w:val="009B1F04"/>
    <w:rsid w:val="009B4D5D"/>
    <w:rsid w:val="009C2131"/>
    <w:rsid w:val="009D7AED"/>
    <w:rsid w:val="009E09F7"/>
    <w:rsid w:val="009E2D5C"/>
    <w:rsid w:val="009E3E44"/>
    <w:rsid w:val="009F4175"/>
    <w:rsid w:val="009F66A4"/>
    <w:rsid w:val="009F6C80"/>
    <w:rsid w:val="00A000DA"/>
    <w:rsid w:val="00A14E1C"/>
    <w:rsid w:val="00A16A28"/>
    <w:rsid w:val="00A1736E"/>
    <w:rsid w:val="00A216DF"/>
    <w:rsid w:val="00A255A9"/>
    <w:rsid w:val="00A33F2C"/>
    <w:rsid w:val="00A4605F"/>
    <w:rsid w:val="00A50EE3"/>
    <w:rsid w:val="00A83E11"/>
    <w:rsid w:val="00A94A0F"/>
    <w:rsid w:val="00A964EB"/>
    <w:rsid w:val="00A97B05"/>
    <w:rsid w:val="00AA0497"/>
    <w:rsid w:val="00AA3C6D"/>
    <w:rsid w:val="00AA64B5"/>
    <w:rsid w:val="00AB57C4"/>
    <w:rsid w:val="00AC082F"/>
    <w:rsid w:val="00AC587D"/>
    <w:rsid w:val="00AF2E72"/>
    <w:rsid w:val="00B11CF5"/>
    <w:rsid w:val="00B209FA"/>
    <w:rsid w:val="00B21D1F"/>
    <w:rsid w:val="00B22194"/>
    <w:rsid w:val="00B3198B"/>
    <w:rsid w:val="00B410BA"/>
    <w:rsid w:val="00B43D68"/>
    <w:rsid w:val="00B44A3A"/>
    <w:rsid w:val="00B55E36"/>
    <w:rsid w:val="00B5600C"/>
    <w:rsid w:val="00B66E33"/>
    <w:rsid w:val="00B72FB1"/>
    <w:rsid w:val="00B7360B"/>
    <w:rsid w:val="00B743A2"/>
    <w:rsid w:val="00B953DA"/>
    <w:rsid w:val="00BA19B0"/>
    <w:rsid w:val="00BB3870"/>
    <w:rsid w:val="00BB45A7"/>
    <w:rsid w:val="00BD0EF7"/>
    <w:rsid w:val="00BD4F5A"/>
    <w:rsid w:val="00BD6778"/>
    <w:rsid w:val="00BF3B94"/>
    <w:rsid w:val="00C01599"/>
    <w:rsid w:val="00C03272"/>
    <w:rsid w:val="00C048D1"/>
    <w:rsid w:val="00C05563"/>
    <w:rsid w:val="00C11132"/>
    <w:rsid w:val="00C115B9"/>
    <w:rsid w:val="00C12ED4"/>
    <w:rsid w:val="00C12FDD"/>
    <w:rsid w:val="00C132F7"/>
    <w:rsid w:val="00C145AA"/>
    <w:rsid w:val="00C14655"/>
    <w:rsid w:val="00C17055"/>
    <w:rsid w:val="00C21399"/>
    <w:rsid w:val="00C22C9B"/>
    <w:rsid w:val="00C30CED"/>
    <w:rsid w:val="00C3692F"/>
    <w:rsid w:val="00C446E2"/>
    <w:rsid w:val="00C535F5"/>
    <w:rsid w:val="00C560C4"/>
    <w:rsid w:val="00C6748F"/>
    <w:rsid w:val="00C7264B"/>
    <w:rsid w:val="00C74337"/>
    <w:rsid w:val="00C75DC8"/>
    <w:rsid w:val="00C929AE"/>
    <w:rsid w:val="00C96FBD"/>
    <w:rsid w:val="00CA07F3"/>
    <w:rsid w:val="00CA4344"/>
    <w:rsid w:val="00CA4900"/>
    <w:rsid w:val="00CA6348"/>
    <w:rsid w:val="00CB1232"/>
    <w:rsid w:val="00CB17A0"/>
    <w:rsid w:val="00CB3544"/>
    <w:rsid w:val="00CC3621"/>
    <w:rsid w:val="00CC3B7D"/>
    <w:rsid w:val="00CD5AE4"/>
    <w:rsid w:val="00CD5E86"/>
    <w:rsid w:val="00CE15FA"/>
    <w:rsid w:val="00CE3B21"/>
    <w:rsid w:val="00CF2FEC"/>
    <w:rsid w:val="00CF4D09"/>
    <w:rsid w:val="00CF5A0A"/>
    <w:rsid w:val="00CF6583"/>
    <w:rsid w:val="00D005F2"/>
    <w:rsid w:val="00D03A8E"/>
    <w:rsid w:val="00D06CBF"/>
    <w:rsid w:val="00D114ED"/>
    <w:rsid w:val="00D3032C"/>
    <w:rsid w:val="00D31A3B"/>
    <w:rsid w:val="00D37014"/>
    <w:rsid w:val="00D5309D"/>
    <w:rsid w:val="00D631FA"/>
    <w:rsid w:val="00D71064"/>
    <w:rsid w:val="00D77531"/>
    <w:rsid w:val="00D811BB"/>
    <w:rsid w:val="00D82356"/>
    <w:rsid w:val="00D833BD"/>
    <w:rsid w:val="00D84EEE"/>
    <w:rsid w:val="00D9044E"/>
    <w:rsid w:val="00D90A61"/>
    <w:rsid w:val="00D946EF"/>
    <w:rsid w:val="00D949F6"/>
    <w:rsid w:val="00D9535F"/>
    <w:rsid w:val="00D95553"/>
    <w:rsid w:val="00DA058F"/>
    <w:rsid w:val="00DA7C14"/>
    <w:rsid w:val="00DB3358"/>
    <w:rsid w:val="00DC355F"/>
    <w:rsid w:val="00DD1E4C"/>
    <w:rsid w:val="00DD232F"/>
    <w:rsid w:val="00DE331A"/>
    <w:rsid w:val="00DE6ACB"/>
    <w:rsid w:val="00DF02CE"/>
    <w:rsid w:val="00DF1462"/>
    <w:rsid w:val="00E030DA"/>
    <w:rsid w:val="00E0772A"/>
    <w:rsid w:val="00E07D07"/>
    <w:rsid w:val="00E214C0"/>
    <w:rsid w:val="00E21884"/>
    <w:rsid w:val="00E30D85"/>
    <w:rsid w:val="00E444EB"/>
    <w:rsid w:val="00E47E14"/>
    <w:rsid w:val="00E52AE5"/>
    <w:rsid w:val="00E540E5"/>
    <w:rsid w:val="00E552EE"/>
    <w:rsid w:val="00E65A24"/>
    <w:rsid w:val="00E66A81"/>
    <w:rsid w:val="00E66BAE"/>
    <w:rsid w:val="00E70FAB"/>
    <w:rsid w:val="00E71FE3"/>
    <w:rsid w:val="00E77A69"/>
    <w:rsid w:val="00E81A42"/>
    <w:rsid w:val="00E961E8"/>
    <w:rsid w:val="00E96244"/>
    <w:rsid w:val="00E96DE0"/>
    <w:rsid w:val="00EB2BEC"/>
    <w:rsid w:val="00EB38B7"/>
    <w:rsid w:val="00EB6EB3"/>
    <w:rsid w:val="00EB74BF"/>
    <w:rsid w:val="00EC0704"/>
    <w:rsid w:val="00EC13E4"/>
    <w:rsid w:val="00EC508B"/>
    <w:rsid w:val="00ED219B"/>
    <w:rsid w:val="00ED483D"/>
    <w:rsid w:val="00ED6B5D"/>
    <w:rsid w:val="00EE4C99"/>
    <w:rsid w:val="00F015E0"/>
    <w:rsid w:val="00F11101"/>
    <w:rsid w:val="00F153D7"/>
    <w:rsid w:val="00F1599C"/>
    <w:rsid w:val="00F16A95"/>
    <w:rsid w:val="00F2433F"/>
    <w:rsid w:val="00F244DC"/>
    <w:rsid w:val="00F34141"/>
    <w:rsid w:val="00F378F4"/>
    <w:rsid w:val="00F4504B"/>
    <w:rsid w:val="00F47912"/>
    <w:rsid w:val="00F53374"/>
    <w:rsid w:val="00F541B6"/>
    <w:rsid w:val="00F57702"/>
    <w:rsid w:val="00F61361"/>
    <w:rsid w:val="00F613E8"/>
    <w:rsid w:val="00F61DBA"/>
    <w:rsid w:val="00F6471F"/>
    <w:rsid w:val="00F676F2"/>
    <w:rsid w:val="00F74D3C"/>
    <w:rsid w:val="00F74FC9"/>
    <w:rsid w:val="00F760DD"/>
    <w:rsid w:val="00F84970"/>
    <w:rsid w:val="00F917A6"/>
    <w:rsid w:val="00F91F47"/>
    <w:rsid w:val="00F95943"/>
    <w:rsid w:val="00F95C73"/>
    <w:rsid w:val="00FA4227"/>
    <w:rsid w:val="00FA4F36"/>
    <w:rsid w:val="00FA6FFE"/>
    <w:rsid w:val="00FB07E1"/>
    <w:rsid w:val="00FB30F7"/>
    <w:rsid w:val="00FB6561"/>
    <w:rsid w:val="00FB789C"/>
    <w:rsid w:val="00FC121B"/>
    <w:rsid w:val="00FD261C"/>
    <w:rsid w:val="00FD375E"/>
    <w:rsid w:val="00FD3DFB"/>
    <w:rsid w:val="00FE4BA4"/>
    <w:rsid w:val="00FF0272"/>
    <w:rsid w:val="00FF414B"/>
    <w:rsid w:val="00FF4B7A"/>
    <w:rsid w:val="00FF4DA6"/>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136C"/>
  <w15:docId w15:val="{8A9AC1E8-F3A9-47C0-BFFA-6B7B951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5F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88047070">
      <w:bodyDiv w:val="1"/>
      <w:marLeft w:val="0"/>
      <w:marRight w:val="0"/>
      <w:marTop w:val="0"/>
      <w:marBottom w:val="0"/>
      <w:divBdr>
        <w:top w:val="none" w:sz="0" w:space="0" w:color="auto"/>
        <w:left w:val="none" w:sz="0" w:space="0" w:color="auto"/>
        <w:bottom w:val="none" w:sz="0" w:space="0" w:color="auto"/>
        <w:right w:val="none" w:sz="0" w:space="0" w:color="auto"/>
      </w:divBdr>
    </w:div>
    <w:div w:id="249508719">
      <w:bodyDiv w:val="1"/>
      <w:marLeft w:val="0"/>
      <w:marRight w:val="0"/>
      <w:marTop w:val="0"/>
      <w:marBottom w:val="0"/>
      <w:divBdr>
        <w:top w:val="none" w:sz="0" w:space="0" w:color="auto"/>
        <w:left w:val="none" w:sz="0" w:space="0" w:color="auto"/>
        <w:bottom w:val="none" w:sz="0" w:space="0" w:color="auto"/>
        <w:right w:val="none" w:sz="0" w:space="0" w:color="auto"/>
      </w:divBdr>
    </w:div>
    <w:div w:id="305471481">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545920944">
      <w:bodyDiv w:val="1"/>
      <w:marLeft w:val="0"/>
      <w:marRight w:val="0"/>
      <w:marTop w:val="0"/>
      <w:marBottom w:val="0"/>
      <w:divBdr>
        <w:top w:val="none" w:sz="0" w:space="0" w:color="auto"/>
        <w:left w:val="none" w:sz="0" w:space="0" w:color="auto"/>
        <w:bottom w:val="none" w:sz="0" w:space="0" w:color="auto"/>
        <w:right w:val="none" w:sz="0" w:space="0" w:color="auto"/>
      </w:divBdr>
    </w:div>
    <w:div w:id="552236954">
      <w:bodyDiv w:val="1"/>
      <w:marLeft w:val="0"/>
      <w:marRight w:val="0"/>
      <w:marTop w:val="0"/>
      <w:marBottom w:val="0"/>
      <w:divBdr>
        <w:top w:val="none" w:sz="0" w:space="0" w:color="auto"/>
        <w:left w:val="none" w:sz="0" w:space="0" w:color="auto"/>
        <w:bottom w:val="none" w:sz="0" w:space="0" w:color="auto"/>
        <w:right w:val="none" w:sz="0" w:space="0" w:color="auto"/>
      </w:divBdr>
    </w:div>
    <w:div w:id="617682389">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787050396">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916552135">
      <w:bodyDiv w:val="1"/>
      <w:marLeft w:val="0"/>
      <w:marRight w:val="0"/>
      <w:marTop w:val="0"/>
      <w:marBottom w:val="0"/>
      <w:divBdr>
        <w:top w:val="none" w:sz="0" w:space="0" w:color="auto"/>
        <w:left w:val="none" w:sz="0" w:space="0" w:color="auto"/>
        <w:bottom w:val="none" w:sz="0" w:space="0" w:color="auto"/>
        <w:right w:val="none" w:sz="0" w:space="0" w:color="auto"/>
      </w:divBdr>
    </w:div>
    <w:div w:id="1000155355">
      <w:bodyDiv w:val="1"/>
      <w:marLeft w:val="0"/>
      <w:marRight w:val="0"/>
      <w:marTop w:val="0"/>
      <w:marBottom w:val="0"/>
      <w:divBdr>
        <w:top w:val="none" w:sz="0" w:space="0" w:color="auto"/>
        <w:left w:val="none" w:sz="0" w:space="0" w:color="auto"/>
        <w:bottom w:val="none" w:sz="0" w:space="0" w:color="auto"/>
        <w:right w:val="none" w:sz="0" w:space="0" w:color="auto"/>
      </w:divBdr>
    </w:div>
    <w:div w:id="1091509222">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76015883">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66464557">
      <w:bodyDiv w:val="1"/>
      <w:marLeft w:val="0"/>
      <w:marRight w:val="0"/>
      <w:marTop w:val="0"/>
      <w:marBottom w:val="0"/>
      <w:divBdr>
        <w:top w:val="none" w:sz="0" w:space="0" w:color="auto"/>
        <w:left w:val="none" w:sz="0" w:space="0" w:color="auto"/>
        <w:bottom w:val="none" w:sz="0" w:space="0" w:color="auto"/>
        <w:right w:val="none" w:sz="0" w:space="0" w:color="auto"/>
      </w:divBdr>
    </w:div>
    <w:div w:id="157878666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69940930">
      <w:bodyDiv w:val="1"/>
      <w:marLeft w:val="0"/>
      <w:marRight w:val="0"/>
      <w:marTop w:val="0"/>
      <w:marBottom w:val="0"/>
      <w:divBdr>
        <w:top w:val="none" w:sz="0" w:space="0" w:color="auto"/>
        <w:left w:val="none" w:sz="0" w:space="0" w:color="auto"/>
        <w:bottom w:val="none" w:sz="0" w:space="0" w:color="auto"/>
        <w:right w:val="none" w:sz="0" w:space="0" w:color="auto"/>
      </w:divBdr>
    </w:div>
    <w:div w:id="1794861145">
      <w:bodyDiv w:val="1"/>
      <w:marLeft w:val="0"/>
      <w:marRight w:val="0"/>
      <w:marTop w:val="0"/>
      <w:marBottom w:val="0"/>
      <w:divBdr>
        <w:top w:val="none" w:sz="0" w:space="0" w:color="auto"/>
        <w:left w:val="none" w:sz="0" w:space="0" w:color="auto"/>
        <w:bottom w:val="none" w:sz="0" w:space="0" w:color="auto"/>
        <w:right w:val="none" w:sz="0" w:space="0" w:color="auto"/>
      </w:divBdr>
    </w:div>
    <w:div w:id="1829396841">
      <w:bodyDiv w:val="1"/>
      <w:marLeft w:val="0"/>
      <w:marRight w:val="0"/>
      <w:marTop w:val="0"/>
      <w:marBottom w:val="0"/>
      <w:divBdr>
        <w:top w:val="none" w:sz="0" w:space="0" w:color="auto"/>
        <w:left w:val="none" w:sz="0" w:space="0" w:color="auto"/>
        <w:bottom w:val="none" w:sz="0" w:space="0" w:color="auto"/>
        <w:right w:val="none" w:sz="0" w:space="0" w:color="auto"/>
      </w:divBdr>
    </w:div>
    <w:div w:id="1888031931">
      <w:bodyDiv w:val="1"/>
      <w:marLeft w:val="0"/>
      <w:marRight w:val="0"/>
      <w:marTop w:val="0"/>
      <w:marBottom w:val="0"/>
      <w:divBdr>
        <w:top w:val="none" w:sz="0" w:space="0" w:color="auto"/>
        <w:left w:val="none" w:sz="0" w:space="0" w:color="auto"/>
        <w:bottom w:val="none" w:sz="0" w:space="0" w:color="auto"/>
        <w:right w:val="none" w:sz="0" w:space="0" w:color="auto"/>
      </w:divBdr>
    </w:div>
    <w:div w:id="1889612609">
      <w:bodyDiv w:val="1"/>
      <w:marLeft w:val="0"/>
      <w:marRight w:val="0"/>
      <w:marTop w:val="0"/>
      <w:marBottom w:val="0"/>
      <w:divBdr>
        <w:top w:val="none" w:sz="0" w:space="0" w:color="auto"/>
        <w:left w:val="none" w:sz="0" w:space="0" w:color="auto"/>
        <w:bottom w:val="none" w:sz="0" w:space="0" w:color="auto"/>
        <w:right w:val="none" w:sz="0" w:space="0" w:color="auto"/>
      </w:divBdr>
    </w:div>
    <w:div w:id="2008287699">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5A36EE-54FC-43EF-AB3A-42F1EFF5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4710</Words>
  <Characters>26853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Pavlikova Katarina</dc:creator>
  <cp:keywords/>
  <dc:description/>
  <cp:lastModifiedBy>Kürthyová Miroslava</cp:lastModifiedBy>
  <cp:revision>6</cp:revision>
  <dcterms:created xsi:type="dcterms:W3CDTF">2025-04-08T12:21:00Z</dcterms:created>
  <dcterms:modified xsi:type="dcterms:W3CDTF">2025-05-06T07:09:00Z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