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5C7FE750" w14:textId="474A4C9A" w:rsidR="00EE2D33"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461FF7">
        <w:rPr>
          <w:rFonts w:ascii="Times New Roman" w:eastAsia="Calibri" w:hAnsi="Times New Roman" w:cs="Times New Roman"/>
          <w:b/>
          <w:sz w:val="24"/>
          <w:szCs w:val="24"/>
        </w:rPr>
        <w:t xml:space="preserve"> </w:t>
      </w:r>
      <w:r w:rsidR="00EE2D33" w:rsidRPr="00EE2D33">
        <w:rPr>
          <w:rFonts w:ascii="Times New Roman" w:eastAsia="Calibri" w:hAnsi="Times New Roman" w:cs="Times New Roman"/>
          <w:sz w:val="24"/>
          <w:szCs w:val="24"/>
        </w:rPr>
        <w:t>Návrh zákona, ktorým sa mení a dopĺňa zákon č. 7/2005 Z. z. o konkurze a reštrukturalizácii a o zmene a doplnení niektorých zákonov v znení neskorších predpisov a ktorým sa menia a dopĺňajú niektoré zákony</w:t>
      </w:r>
    </w:p>
    <w:p w14:paraId="73384937" w14:textId="517E25F4" w:rsidR="00054C41" w:rsidRPr="00461FF7"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sidR="00715266">
        <w:rPr>
          <w:rFonts w:ascii="Times New Roman" w:eastAsia="Calibri" w:hAnsi="Times New Roman" w:cs="Times New Roman"/>
          <w:b/>
          <w:sz w:val="24"/>
          <w:szCs w:val="24"/>
        </w:rPr>
        <w:t xml:space="preserve"> </w:t>
      </w:r>
      <w:r w:rsidR="00461FF7" w:rsidRPr="00461FF7">
        <w:rPr>
          <w:rFonts w:ascii="Times New Roman" w:eastAsia="Calibri" w:hAnsi="Times New Roman" w:cs="Times New Roman"/>
          <w:sz w:val="24"/>
          <w:szCs w:val="24"/>
        </w:rPr>
        <w:t>Ministerstvo spravodlivosti Slovenskej republiky</w:t>
      </w: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1E06E2"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 xml:space="preserve">na podnikateľské </w:t>
      </w:r>
      <w:r w:rsidR="00C929AE" w:rsidRPr="001E06E2">
        <w:rPr>
          <w:rFonts w:ascii="Times New Roman" w:eastAsia="Calibri" w:hAnsi="Times New Roman" w:cs="Times New Roman"/>
          <w:i/>
          <w:sz w:val="24"/>
          <w:szCs w:val="24"/>
        </w:rPr>
        <w:t>prostredie</w:t>
      </w:r>
      <w:r w:rsidRPr="001E06E2">
        <w:rPr>
          <w:rFonts w:ascii="Times New Roman" w:eastAsia="Calibri" w:hAnsi="Times New Roman" w:cs="Times New Roman"/>
          <w:i/>
          <w:sz w:val="24"/>
          <w:szCs w:val="24"/>
        </w:rPr>
        <w:t xml:space="preserve">. </w:t>
      </w:r>
    </w:p>
    <w:p w14:paraId="1A77DC61" w14:textId="77777777" w:rsidR="00054C41" w:rsidRPr="001E06E2" w:rsidRDefault="00054C41" w:rsidP="00054C41">
      <w:pPr>
        <w:jc w:val="both"/>
        <w:rPr>
          <w:rFonts w:ascii="Times New Roman" w:eastAsia="Calibri" w:hAnsi="Times New Roman" w:cs="Times New Roman"/>
          <w:i/>
          <w:sz w:val="24"/>
          <w:szCs w:val="24"/>
        </w:rPr>
      </w:pPr>
      <w:r w:rsidRPr="001E06E2">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1E06E2">
          <w:rPr>
            <w:rFonts w:ascii="Times New Roman" w:eastAsia="Calibri" w:hAnsi="Times New Roman" w:cs="Times New Roman"/>
            <w:i/>
            <w:color w:val="0563C1"/>
            <w:sz w:val="24"/>
            <w:szCs w:val="24"/>
            <w:u w:val="single"/>
          </w:rPr>
          <w:t>webovom sídle MH SR</w:t>
        </w:r>
      </w:hyperlink>
      <w:r w:rsidRPr="001E06E2">
        <w:rPr>
          <w:rFonts w:ascii="Times New Roman" w:eastAsia="Calibri" w:hAnsi="Times New Roman" w:cs="Times New Roman"/>
          <w:i/>
          <w:sz w:val="24"/>
          <w:szCs w:val="24"/>
        </w:rPr>
        <w:t>, (ďalej len „Kalkulačka nákladov“):</w:t>
      </w:r>
    </w:p>
    <w:p w14:paraId="0C4E1024" w14:textId="5183C58E" w:rsidR="00054C41" w:rsidRPr="001E06E2" w:rsidRDefault="00054C41" w:rsidP="00054C41">
      <w:pPr>
        <w:rPr>
          <w:rFonts w:ascii="Times New Roman" w:eastAsia="Calibri" w:hAnsi="Times New Roman" w:cs="Times New Roman"/>
          <w:b/>
          <w:sz w:val="24"/>
          <w:szCs w:val="24"/>
        </w:rPr>
      </w:pPr>
    </w:p>
    <w:tbl>
      <w:tblPr>
        <w:tblW w:w="8300" w:type="dxa"/>
        <w:tblCellMar>
          <w:left w:w="70" w:type="dxa"/>
          <w:right w:w="70" w:type="dxa"/>
        </w:tblCellMar>
        <w:tblLook w:val="04A0" w:firstRow="1" w:lastRow="0" w:firstColumn="1" w:lastColumn="0" w:noHBand="0" w:noVBand="1"/>
      </w:tblPr>
      <w:tblGrid>
        <w:gridCol w:w="4540"/>
        <w:gridCol w:w="1880"/>
        <w:gridCol w:w="1880"/>
      </w:tblGrid>
      <w:tr w:rsidR="009B036B" w:rsidRPr="001E06E2" w14:paraId="43636E9B" w14:textId="77777777" w:rsidTr="00B04B2B">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55DB82" w14:textId="1F4236B9" w:rsidR="009B036B" w:rsidRPr="009B036B" w:rsidRDefault="009B036B" w:rsidP="009B036B">
            <w:pPr>
              <w:spacing w:after="0" w:line="240" w:lineRule="auto"/>
              <w:jc w:val="center"/>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2D2B277" w14:textId="3014A91C"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58154776" w14:textId="0D6F2F83"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Zníženie nákladov v € na PP</w:t>
            </w:r>
          </w:p>
        </w:tc>
      </w:tr>
      <w:tr w:rsidR="009B036B" w:rsidRPr="001E06E2" w14:paraId="2FC77DF0" w14:textId="77777777" w:rsidTr="00B04B2B">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89709FF" w14:textId="73AABA05"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356765BC" w14:textId="1A7A6C1F"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5AB6BEED" w14:textId="42EDED81"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r>
      <w:tr w:rsidR="009B036B" w:rsidRPr="001E06E2" w14:paraId="4D5662AD" w14:textId="77777777" w:rsidTr="00B04B2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33732FC" w14:textId="4618432E"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47ABBC5F" w14:textId="50C5FFB8"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226665A6" w14:textId="53E9AEFC"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r>
      <w:tr w:rsidR="009B036B" w:rsidRPr="001E06E2" w14:paraId="0B1E9A36" w14:textId="77777777" w:rsidTr="00B04B2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6146ABB" w14:textId="3B8839F2"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584F4047" w14:textId="1C33D4FB"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7361D468" w14:textId="08322CB1"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r>
      <w:tr w:rsidR="009B036B" w:rsidRPr="001E06E2" w14:paraId="7C3F8FF1" w14:textId="77777777" w:rsidTr="00B04B2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00EC9FB" w14:textId="18BB253A"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42677D26" w14:textId="502B2015"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1738E1EA" w14:textId="77365C6B"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1 368</w:t>
            </w:r>
          </w:p>
        </w:tc>
      </w:tr>
      <w:tr w:rsidR="009B036B" w:rsidRPr="001E06E2" w14:paraId="184EB131" w14:textId="77777777" w:rsidTr="00B04B2B">
        <w:trPr>
          <w:trHeight w:val="300"/>
        </w:trPr>
        <w:tc>
          <w:tcPr>
            <w:tcW w:w="4540" w:type="dxa"/>
            <w:tcBorders>
              <w:top w:val="nil"/>
              <w:left w:val="single" w:sz="8" w:space="0" w:color="auto"/>
              <w:bottom w:val="nil"/>
              <w:right w:val="single" w:sz="4" w:space="0" w:color="auto"/>
            </w:tcBorders>
            <w:shd w:val="clear" w:color="auto" w:fill="auto"/>
            <w:vAlign w:val="center"/>
            <w:hideMark/>
          </w:tcPr>
          <w:p w14:paraId="2D820AC3" w14:textId="240AA5F6"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E. Administratívne náklady</w:t>
            </w:r>
          </w:p>
        </w:tc>
        <w:tc>
          <w:tcPr>
            <w:tcW w:w="1880" w:type="dxa"/>
            <w:tcBorders>
              <w:top w:val="nil"/>
              <w:left w:val="nil"/>
              <w:bottom w:val="nil"/>
              <w:right w:val="single" w:sz="4" w:space="0" w:color="auto"/>
            </w:tcBorders>
            <w:shd w:val="clear" w:color="000000" w:fill="FFC000"/>
            <w:vAlign w:val="center"/>
            <w:hideMark/>
          </w:tcPr>
          <w:p w14:paraId="70E39834" w14:textId="1D4A6FA8"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nil"/>
              <w:right w:val="single" w:sz="8" w:space="0" w:color="auto"/>
            </w:tcBorders>
            <w:shd w:val="clear" w:color="000000" w:fill="92D050"/>
            <w:vAlign w:val="center"/>
            <w:hideMark/>
          </w:tcPr>
          <w:p w14:paraId="6652FA06" w14:textId="5E60F30C"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2 961</w:t>
            </w:r>
          </w:p>
        </w:tc>
      </w:tr>
      <w:tr w:rsidR="009B036B" w:rsidRPr="001E06E2" w14:paraId="15B78149" w14:textId="77777777" w:rsidTr="00B04B2B">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DF065B1" w14:textId="1A9B60A5"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A79F651" w14:textId="41937E98"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3EB520D" w14:textId="2159178A"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4 329</w:t>
            </w:r>
          </w:p>
        </w:tc>
      </w:tr>
      <w:tr w:rsidR="009B036B" w:rsidRPr="001E06E2" w14:paraId="785B3D76" w14:textId="77777777" w:rsidTr="00B04B2B">
        <w:trPr>
          <w:trHeight w:val="300"/>
        </w:trPr>
        <w:tc>
          <w:tcPr>
            <w:tcW w:w="4540" w:type="dxa"/>
            <w:tcBorders>
              <w:top w:val="nil"/>
              <w:left w:val="nil"/>
              <w:bottom w:val="nil"/>
              <w:right w:val="nil"/>
            </w:tcBorders>
            <w:shd w:val="clear" w:color="auto" w:fill="auto"/>
            <w:vAlign w:val="center"/>
            <w:hideMark/>
          </w:tcPr>
          <w:p w14:paraId="3BE788B7" w14:textId="77777777"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3C749AFD"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606AB2D3"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r>
      <w:tr w:rsidR="009B036B" w:rsidRPr="001E06E2" w14:paraId="1B17DA30" w14:textId="77777777" w:rsidTr="00B04B2B">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51DEE3" w14:textId="0CF98BE9"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2E09097" w14:textId="2DE8F9BA"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5C17E0CC" w14:textId="56270EF0"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Zníženie nákladov v € na PP</w:t>
            </w:r>
          </w:p>
        </w:tc>
      </w:tr>
      <w:tr w:rsidR="009B036B" w:rsidRPr="001E06E2" w14:paraId="7D134D23" w14:textId="77777777" w:rsidTr="00B04B2B">
        <w:trPr>
          <w:trHeight w:val="990"/>
        </w:trPr>
        <w:tc>
          <w:tcPr>
            <w:tcW w:w="4540" w:type="dxa"/>
            <w:tcBorders>
              <w:top w:val="nil"/>
              <w:left w:val="single" w:sz="8" w:space="0" w:color="auto"/>
              <w:bottom w:val="nil"/>
              <w:right w:val="single" w:sz="4" w:space="0" w:color="auto"/>
            </w:tcBorders>
            <w:shd w:val="clear" w:color="auto" w:fill="auto"/>
            <w:vAlign w:val="center"/>
            <w:hideMark/>
          </w:tcPr>
          <w:p w14:paraId="7D1A2260" w14:textId="281D3A37"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F. Úplná harmonizácia práva EÚ</w:t>
            </w:r>
            <w:r w:rsidRPr="009B036B">
              <w:rPr>
                <w:rFonts w:ascii="Times New Roman" w:hAnsi="Times New Roman" w:cs="Times New Roman"/>
                <w:b/>
                <w:bCs/>
                <w:i/>
                <w:iCs/>
                <w:color w:val="000000"/>
                <w:sz w:val="20"/>
                <w:szCs w:val="20"/>
              </w:rPr>
              <w:br/>
            </w:r>
            <w:r w:rsidRPr="009B036B">
              <w:rPr>
                <w:rFonts w:ascii="Times New Roman" w:hAnsi="Times New Roman" w:cs="Times New Roman"/>
                <w:i/>
                <w:iCs/>
                <w:color w:val="000000"/>
                <w:sz w:val="16"/>
                <w:szCs w:val="16"/>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6EA5ACE4" w14:textId="694C8E41"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nil"/>
              <w:right w:val="single" w:sz="8" w:space="0" w:color="auto"/>
            </w:tcBorders>
            <w:shd w:val="clear" w:color="000000" w:fill="92D050"/>
            <w:vAlign w:val="center"/>
            <w:hideMark/>
          </w:tcPr>
          <w:p w14:paraId="64E695F2" w14:textId="76574BA1"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r>
      <w:tr w:rsidR="009B036B" w:rsidRPr="001E06E2" w14:paraId="21188BE5" w14:textId="77777777" w:rsidTr="00B04B2B">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832AF4" w14:textId="4B6CA522" w:rsidR="009B036B" w:rsidRPr="009B036B" w:rsidRDefault="009B036B" w:rsidP="009B036B">
            <w:pPr>
              <w:spacing w:after="0" w:line="240" w:lineRule="auto"/>
              <w:rPr>
                <w:rFonts w:ascii="Times New Roman" w:eastAsia="Times New Roman" w:hAnsi="Times New Roman" w:cs="Times New Roman"/>
                <w:b/>
                <w:bCs/>
                <w:i/>
                <w:iCs/>
                <w:color w:val="000000"/>
                <w:sz w:val="20"/>
                <w:szCs w:val="20"/>
                <w:lang w:eastAsia="sk-SK"/>
              </w:rPr>
            </w:pPr>
            <w:r w:rsidRPr="009B036B">
              <w:rPr>
                <w:rFonts w:ascii="Times New Roman" w:hAnsi="Times New Roman" w:cs="Times New Roman"/>
                <w:b/>
                <w:bCs/>
                <w:i/>
                <w:iCs/>
                <w:color w:val="000000"/>
                <w:sz w:val="20"/>
                <w:szCs w:val="20"/>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B13BA92" w14:textId="26CB5C22"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EE9240C" w14:textId="55F9FC89"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r>
      <w:tr w:rsidR="009B036B" w:rsidRPr="001E06E2" w14:paraId="4006ED4C" w14:textId="77777777" w:rsidTr="00B04B2B">
        <w:trPr>
          <w:trHeight w:val="270"/>
        </w:trPr>
        <w:tc>
          <w:tcPr>
            <w:tcW w:w="4540" w:type="dxa"/>
            <w:tcBorders>
              <w:top w:val="nil"/>
              <w:left w:val="nil"/>
              <w:bottom w:val="nil"/>
              <w:right w:val="nil"/>
            </w:tcBorders>
            <w:shd w:val="clear" w:color="auto" w:fill="auto"/>
            <w:noWrap/>
            <w:vAlign w:val="bottom"/>
            <w:hideMark/>
          </w:tcPr>
          <w:p w14:paraId="45BB981F" w14:textId="77777777"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48C7C57D"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2F0194A"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r>
      <w:tr w:rsidR="009B036B" w:rsidRPr="001E06E2" w14:paraId="342B2771" w14:textId="77777777" w:rsidTr="00B04B2B">
        <w:trPr>
          <w:trHeight w:val="270"/>
        </w:trPr>
        <w:tc>
          <w:tcPr>
            <w:tcW w:w="4540" w:type="dxa"/>
            <w:tcBorders>
              <w:top w:val="nil"/>
              <w:left w:val="nil"/>
              <w:bottom w:val="nil"/>
              <w:right w:val="nil"/>
            </w:tcBorders>
            <w:shd w:val="clear" w:color="auto" w:fill="auto"/>
            <w:noWrap/>
            <w:vAlign w:val="bottom"/>
            <w:hideMark/>
          </w:tcPr>
          <w:p w14:paraId="64CA460A"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EEDC7C6"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4315BE1D" w14:textId="77777777" w:rsidR="009B036B" w:rsidRPr="009B036B" w:rsidRDefault="009B036B" w:rsidP="009B036B">
            <w:pPr>
              <w:spacing w:after="0" w:line="240" w:lineRule="auto"/>
              <w:rPr>
                <w:rFonts w:ascii="Times New Roman" w:eastAsia="Times New Roman" w:hAnsi="Times New Roman" w:cs="Times New Roman"/>
                <w:sz w:val="20"/>
                <w:szCs w:val="20"/>
                <w:lang w:eastAsia="sk-SK"/>
              </w:rPr>
            </w:pPr>
          </w:p>
        </w:tc>
      </w:tr>
      <w:tr w:rsidR="009B036B" w:rsidRPr="001E06E2" w14:paraId="7D50B38C" w14:textId="77777777" w:rsidTr="00B04B2B">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694E9C5" w14:textId="7E0EB613" w:rsidR="009B036B" w:rsidRPr="009B036B" w:rsidRDefault="009B036B" w:rsidP="009B036B">
            <w:pPr>
              <w:spacing w:after="0" w:line="240" w:lineRule="auto"/>
              <w:rPr>
                <w:rFonts w:ascii="Times New Roman" w:eastAsia="Times New Roman" w:hAnsi="Times New Roman" w:cs="Times New Roman"/>
                <w:i/>
                <w:iCs/>
                <w:color w:val="000000"/>
                <w:sz w:val="20"/>
                <w:szCs w:val="20"/>
                <w:lang w:eastAsia="sk-SK"/>
              </w:rPr>
            </w:pPr>
            <w:r w:rsidRPr="009B036B">
              <w:rPr>
                <w:rFonts w:ascii="Times New Roman" w:hAnsi="Times New Roman" w:cs="Times New Roman"/>
                <w:i/>
                <w:iCs/>
                <w:color w:val="000000"/>
                <w:sz w:val="20"/>
                <w:szCs w:val="2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49D934F5" w14:textId="69699EC3"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2CD187BA" w14:textId="598E8749"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OUT</w:t>
            </w:r>
          </w:p>
        </w:tc>
      </w:tr>
      <w:tr w:rsidR="009B036B" w:rsidRPr="001E06E2" w14:paraId="22D4074A" w14:textId="77777777" w:rsidTr="00B04B2B">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1C04FEEB" w14:textId="3E95D8DC" w:rsidR="009B036B" w:rsidRPr="009B036B" w:rsidRDefault="009B036B" w:rsidP="009B036B">
            <w:pPr>
              <w:spacing w:after="0" w:line="240" w:lineRule="auto"/>
              <w:rPr>
                <w:rFonts w:ascii="Times New Roman" w:eastAsia="Times New Roman" w:hAnsi="Times New Roman" w:cs="Times New Roman"/>
                <w:i/>
                <w:iCs/>
                <w:color w:val="000000"/>
                <w:sz w:val="20"/>
                <w:szCs w:val="20"/>
                <w:lang w:eastAsia="sk-SK"/>
              </w:rPr>
            </w:pPr>
            <w:r w:rsidRPr="009B036B">
              <w:rPr>
                <w:rFonts w:ascii="Times New Roman" w:hAnsi="Times New Roman" w:cs="Times New Roman"/>
                <w:i/>
                <w:iCs/>
                <w:color w:val="000000"/>
                <w:sz w:val="20"/>
                <w:szCs w:val="20"/>
              </w:rPr>
              <w:t>H</w:t>
            </w:r>
            <w:r w:rsidRPr="009B036B">
              <w:rPr>
                <w:rFonts w:ascii="Times New Roman" w:hAnsi="Times New Roman" w:cs="Times New Roman"/>
                <w:b/>
                <w:bCs/>
                <w:i/>
                <w:iCs/>
                <w:color w:val="000000"/>
                <w:sz w:val="20"/>
                <w:szCs w:val="20"/>
              </w:rPr>
              <w:t>.</w:t>
            </w:r>
            <w:r w:rsidRPr="009B036B">
              <w:rPr>
                <w:rFonts w:ascii="Times New Roman" w:hAnsi="Times New Roman" w:cs="Times New Roman"/>
                <w:i/>
                <w:iCs/>
                <w:color w:val="000000"/>
                <w:sz w:val="20"/>
                <w:szCs w:val="2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06B436FF" w14:textId="35B11B78"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0</w:t>
            </w:r>
          </w:p>
        </w:tc>
        <w:tc>
          <w:tcPr>
            <w:tcW w:w="1880" w:type="dxa"/>
            <w:tcBorders>
              <w:top w:val="nil"/>
              <w:left w:val="nil"/>
              <w:bottom w:val="single" w:sz="8" w:space="0" w:color="auto"/>
              <w:right w:val="single" w:sz="8" w:space="0" w:color="auto"/>
            </w:tcBorders>
            <w:shd w:val="clear" w:color="000000" w:fill="92D050"/>
            <w:vAlign w:val="center"/>
            <w:hideMark/>
          </w:tcPr>
          <w:p w14:paraId="4AAE7BE6" w14:textId="131D93D7" w:rsidR="009B036B" w:rsidRPr="009B036B" w:rsidRDefault="009B036B" w:rsidP="009B036B">
            <w:pPr>
              <w:spacing w:after="0" w:line="240" w:lineRule="auto"/>
              <w:jc w:val="center"/>
              <w:rPr>
                <w:rFonts w:ascii="Times New Roman" w:eastAsia="Times New Roman" w:hAnsi="Times New Roman" w:cs="Times New Roman"/>
                <w:b/>
                <w:bCs/>
                <w:color w:val="000000"/>
                <w:sz w:val="20"/>
                <w:szCs w:val="20"/>
                <w:lang w:eastAsia="sk-SK"/>
              </w:rPr>
            </w:pPr>
            <w:r w:rsidRPr="009B036B">
              <w:rPr>
                <w:rFonts w:ascii="Times New Roman" w:hAnsi="Times New Roman" w:cs="Times New Roman"/>
                <w:b/>
                <w:bCs/>
                <w:color w:val="000000"/>
                <w:sz w:val="20"/>
                <w:szCs w:val="20"/>
              </w:rPr>
              <w:t>4 329</w:t>
            </w:r>
          </w:p>
        </w:tc>
      </w:tr>
    </w:tbl>
    <w:p w14:paraId="473EC0A9" w14:textId="77777777" w:rsidR="00B04B2B" w:rsidRPr="001E06E2" w:rsidRDefault="00B04B2B" w:rsidP="00054C41">
      <w:pPr>
        <w:rPr>
          <w:rFonts w:ascii="Times New Roman" w:eastAsia="Calibri" w:hAnsi="Times New Roman" w:cs="Times New Roman"/>
          <w:b/>
          <w:sz w:val="24"/>
          <w:szCs w:val="24"/>
        </w:rPr>
        <w:sectPr w:rsidR="00B04B2B" w:rsidRPr="001E06E2"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B04B2B" w:rsidRPr="00895898" w14:paraId="609FED73" w14:textId="77777777" w:rsidTr="00397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17ADB0C1" w14:textId="67F94922"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rPr>
              <w:t>1</w:t>
            </w:r>
          </w:p>
        </w:tc>
        <w:tc>
          <w:tcPr>
            <w:tcW w:w="1740" w:type="dxa"/>
            <w:shd w:val="clear" w:color="auto" w:fill="auto"/>
          </w:tcPr>
          <w:p w14:paraId="7D629DAC" w14:textId="61778114"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Zúženie náležitostí veriteľského návrhu na vyhlásenie konkurzu </w:t>
            </w:r>
          </w:p>
        </w:tc>
        <w:tc>
          <w:tcPr>
            <w:tcW w:w="992" w:type="dxa"/>
          </w:tcPr>
          <w:p w14:paraId="4B47CD37" w14:textId="409FD367"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7/2005 Z. z. </w:t>
            </w:r>
          </w:p>
        </w:tc>
        <w:tc>
          <w:tcPr>
            <w:tcW w:w="1134" w:type="dxa"/>
          </w:tcPr>
          <w:p w14:paraId="1C988908" w14:textId="4E7DE8EA"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12 ods. 3</w:t>
            </w:r>
          </w:p>
        </w:tc>
        <w:tc>
          <w:tcPr>
            <w:tcW w:w="1843" w:type="dxa"/>
            <w:shd w:val="clear" w:color="auto" w:fill="auto"/>
          </w:tcPr>
          <w:p w14:paraId="22CDA76A" w14:textId="4F5D3252" w:rsidR="00B04B2B" w:rsidRPr="001E06E2"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rPr>
              <w:t>1.SK</w:t>
            </w:r>
          </w:p>
        </w:tc>
        <w:tc>
          <w:tcPr>
            <w:tcW w:w="992" w:type="dxa"/>
          </w:tcPr>
          <w:p w14:paraId="469C4721" w14:textId="45606169"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01.10.25</w:t>
            </w:r>
          </w:p>
        </w:tc>
        <w:tc>
          <w:tcPr>
            <w:tcW w:w="1160" w:type="dxa"/>
            <w:shd w:val="clear" w:color="auto" w:fill="auto"/>
            <w:noWrap/>
          </w:tcPr>
          <w:p w14:paraId="74618A9C" w14:textId="1D85C905"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veritelia, ktorí podávajú návrh na vyhlásenie konkurzu</w:t>
            </w:r>
          </w:p>
        </w:tc>
        <w:tc>
          <w:tcPr>
            <w:tcW w:w="1108" w:type="dxa"/>
          </w:tcPr>
          <w:p w14:paraId="5D0F89C4" w14:textId="307D906C"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 278 </w:t>
            </w:r>
          </w:p>
        </w:tc>
        <w:tc>
          <w:tcPr>
            <w:tcW w:w="851" w:type="dxa"/>
            <w:shd w:val="clear" w:color="auto" w:fill="auto"/>
            <w:noWrap/>
          </w:tcPr>
          <w:p w14:paraId="38251139" w14:textId="5C1A3D46"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2</w:t>
            </w:r>
          </w:p>
        </w:tc>
        <w:tc>
          <w:tcPr>
            <w:tcW w:w="843" w:type="dxa"/>
            <w:shd w:val="clear" w:color="auto" w:fill="auto"/>
            <w:noWrap/>
          </w:tcPr>
          <w:p w14:paraId="01129C91" w14:textId="75AD8F8D"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423</w:t>
            </w:r>
          </w:p>
        </w:tc>
        <w:tc>
          <w:tcPr>
            <w:tcW w:w="1000" w:type="dxa"/>
            <w:shd w:val="clear" w:color="auto" w:fill="auto"/>
            <w:noWrap/>
          </w:tcPr>
          <w:p w14:paraId="420D0685" w14:textId="1E690E5C"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Out (znižuje náklady)</w:t>
            </w:r>
          </w:p>
        </w:tc>
        <w:tc>
          <w:tcPr>
            <w:tcW w:w="708" w:type="dxa"/>
            <w:shd w:val="clear" w:color="auto" w:fill="auto"/>
            <w:noWrap/>
          </w:tcPr>
          <w:p w14:paraId="08BFFDBA" w14:textId="3F5895E5"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423</w:t>
            </w:r>
          </w:p>
        </w:tc>
        <w:tc>
          <w:tcPr>
            <w:tcW w:w="1134" w:type="dxa"/>
          </w:tcPr>
          <w:p w14:paraId="48758C9B" w14:textId="447B4E0E"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0</w:t>
            </w:r>
          </w:p>
        </w:tc>
      </w:tr>
      <w:tr w:rsidR="00B04B2B" w:rsidRPr="00895898" w14:paraId="022095BC" w14:textId="77777777" w:rsidTr="00397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72653821" w14:textId="496E3D16"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rPr>
              <w:t>2</w:t>
            </w:r>
          </w:p>
        </w:tc>
        <w:tc>
          <w:tcPr>
            <w:tcW w:w="1740" w:type="dxa"/>
            <w:shd w:val="clear" w:color="auto" w:fill="auto"/>
          </w:tcPr>
          <w:p w14:paraId="302744A6" w14:textId="252A5234"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Zrušenie povinnosti úradne osvedčeného podpisu na zozname záväzkov dlžníka </w:t>
            </w:r>
          </w:p>
        </w:tc>
        <w:tc>
          <w:tcPr>
            <w:tcW w:w="992" w:type="dxa"/>
          </w:tcPr>
          <w:p w14:paraId="6D81551D" w14:textId="63A06D3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7/2005 Z. z. </w:t>
            </w:r>
          </w:p>
        </w:tc>
        <w:tc>
          <w:tcPr>
            <w:tcW w:w="1134" w:type="dxa"/>
          </w:tcPr>
          <w:p w14:paraId="15AB3E50" w14:textId="1C8B5032"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21 ods. 2</w:t>
            </w:r>
          </w:p>
        </w:tc>
        <w:tc>
          <w:tcPr>
            <w:tcW w:w="1843" w:type="dxa"/>
            <w:shd w:val="clear" w:color="auto" w:fill="auto"/>
          </w:tcPr>
          <w:p w14:paraId="65823171" w14:textId="279046E3" w:rsidR="00B04B2B" w:rsidRPr="001E06E2" w:rsidDel="00801596"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rPr>
              <w:t>1.SK</w:t>
            </w:r>
          </w:p>
        </w:tc>
        <w:tc>
          <w:tcPr>
            <w:tcW w:w="992" w:type="dxa"/>
          </w:tcPr>
          <w:p w14:paraId="4EAFA699" w14:textId="64FC3932"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01.10.25</w:t>
            </w:r>
          </w:p>
        </w:tc>
        <w:tc>
          <w:tcPr>
            <w:tcW w:w="1160" w:type="dxa"/>
            <w:shd w:val="clear" w:color="auto" w:fill="auto"/>
            <w:noWrap/>
          </w:tcPr>
          <w:p w14:paraId="439720A9" w14:textId="3B2B1EFD"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úpadca</w:t>
            </w:r>
          </w:p>
        </w:tc>
        <w:tc>
          <w:tcPr>
            <w:tcW w:w="1108" w:type="dxa"/>
          </w:tcPr>
          <w:p w14:paraId="17CCCE83" w14:textId="00509200"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 278 </w:t>
            </w:r>
          </w:p>
        </w:tc>
        <w:tc>
          <w:tcPr>
            <w:tcW w:w="851" w:type="dxa"/>
            <w:shd w:val="clear" w:color="auto" w:fill="auto"/>
            <w:noWrap/>
          </w:tcPr>
          <w:p w14:paraId="271B2646" w14:textId="2DFDC56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4</w:t>
            </w:r>
          </w:p>
        </w:tc>
        <w:tc>
          <w:tcPr>
            <w:tcW w:w="843" w:type="dxa"/>
            <w:shd w:val="clear" w:color="auto" w:fill="auto"/>
            <w:noWrap/>
          </w:tcPr>
          <w:p w14:paraId="57980520" w14:textId="7B8B7548"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000" w:type="dxa"/>
            <w:shd w:val="clear" w:color="auto" w:fill="auto"/>
            <w:noWrap/>
          </w:tcPr>
          <w:p w14:paraId="7E097137" w14:textId="301F4A76"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Out (znižuje náklady)</w:t>
            </w:r>
          </w:p>
        </w:tc>
        <w:tc>
          <w:tcPr>
            <w:tcW w:w="708" w:type="dxa"/>
            <w:shd w:val="clear" w:color="auto" w:fill="auto"/>
            <w:noWrap/>
          </w:tcPr>
          <w:p w14:paraId="4B494DF4" w14:textId="3B785BB9"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134" w:type="dxa"/>
          </w:tcPr>
          <w:p w14:paraId="564076F6" w14:textId="13638D4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0</w:t>
            </w:r>
          </w:p>
        </w:tc>
      </w:tr>
      <w:tr w:rsidR="00B04B2B" w:rsidRPr="00895898" w14:paraId="4D05B96D" w14:textId="77777777" w:rsidTr="00397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371D0305" w14:textId="6D303BDA"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rPr>
              <w:t>3</w:t>
            </w:r>
          </w:p>
        </w:tc>
        <w:tc>
          <w:tcPr>
            <w:tcW w:w="1740" w:type="dxa"/>
            <w:shd w:val="clear" w:color="auto" w:fill="auto"/>
          </w:tcPr>
          <w:p w14:paraId="6F09B9B9" w14:textId="6E751094"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Zrušenie povinnosti úradne osvedčeného podpisu na zozname spriaznených </w:t>
            </w:r>
          </w:p>
        </w:tc>
        <w:tc>
          <w:tcPr>
            <w:tcW w:w="992" w:type="dxa"/>
          </w:tcPr>
          <w:p w14:paraId="6326D60E" w14:textId="1C09FDAC"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7/2005 Z. z. </w:t>
            </w:r>
          </w:p>
        </w:tc>
        <w:tc>
          <w:tcPr>
            <w:tcW w:w="1134" w:type="dxa"/>
          </w:tcPr>
          <w:p w14:paraId="63EECDFF" w14:textId="4655655C"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21 ods. 2</w:t>
            </w:r>
          </w:p>
        </w:tc>
        <w:tc>
          <w:tcPr>
            <w:tcW w:w="1843" w:type="dxa"/>
            <w:shd w:val="clear" w:color="auto" w:fill="auto"/>
          </w:tcPr>
          <w:p w14:paraId="5B619397" w14:textId="551E44E6" w:rsidR="00B04B2B" w:rsidRPr="001E06E2" w:rsidDel="00801596"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rPr>
              <w:t>1.SK</w:t>
            </w:r>
          </w:p>
        </w:tc>
        <w:tc>
          <w:tcPr>
            <w:tcW w:w="992" w:type="dxa"/>
          </w:tcPr>
          <w:p w14:paraId="4967ED88" w14:textId="05461A87"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01.10.25</w:t>
            </w:r>
          </w:p>
        </w:tc>
        <w:tc>
          <w:tcPr>
            <w:tcW w:w="1160" w:type="dxa"/>
            <w:shd w:val="clear" w:color="auto" w:fill="auto"/>
            <w:noWrap/>
          </w:tcPr>
          <w:p w14:paraId="331066E7" w14:textId="6D7460E4"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úpadca</w:t>
            </w:r>
          </w:p>
        </w:tc>
        <w:tc>
          <w:tcPr>
            <w:tcW w:w="1108" w:type="dxa"/>
          </w:tcPr>
          <w:p w14:paraId="1748865C" w14:textId="24B5FF58"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 278 </w:t>
            </w:r>
          </w:p>
        </w:tc>
        <w:tc>
          <w:tcPr>
            <w:tcW w:w="851" w:type="dxa"/>
            <w:shd w:val="clear" w:color="auto" w:fill="auto"/>
            <w:noWrap/>
          </w:tcPr>
          <w:p w14:paraId="5457341D" w14:textId="751197D3"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4</w:t>
            </w:r>
          </w:p>
        </w:tc>
        <w:tc>
          <w:tcPr>
            <w:tcW w:w="843" w:type="dxa"/>
            <w:shd w:val="clear" w:color="auto" w:fill="auto"/>
            <w:noWrap/>
          </w:tcPr>
          <w:p w14:paraId="30771B52" w14:textId="3EFA7715"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000" w:type="dxa"/>
            <w:shd w:val="clear" w:color="auto" w:fill="auto"/>
            <w:noWrap/>
          </w:tcPr>
          <w:p w14:paraId="645FEA02" w14:textId="29B73D2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Out (znižuje náklady)</w:t>
            </w:r>
          </w:p>
        </w:tc>
        <w:tc>
          <w:tcPr>
            <w:tcW w:w="708" w:type="dxa"/>
            <w:shd w:val="clear" w:color="auto" w:fill="auto"/>
            <w:noWrap/>
          </w:tcPr>
          <w:p w14:paraId="4EA14B08" w14:textId="75B25A9B"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134" w:type="dxa"/>
          </w:tcPr>
          <w:p w14:paraId="1CC858DC" w14:textId="564AF128"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0</w:t>
            </w:r>
          </w:p>
        </w:tc>
      </w:tr>
      <w:tr w:rsidR="00B04B2B" w:rsidRPr="00895898" w14:paraId="48195AE8" w14:textId="77777777" w:rsidTr="00397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6FA76BB4" w14:textId="14126752"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rPr>
              <w:t>4</w:t>
            </w:r>
          </w:p>
        </w:tc>
        <w:tc>
          <w:tcPr>
            <w:tcW w:w="1740" w:type="dxa"/>
            <w:shd w:val="clear" w:color="auto" w:fill="auto"/>
          </w:tcPr>
          <w:p w14:paraId="04DBC1D2" w14:textId="21127BD3"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Zrušenie povinnosti úradne osvedčeného </w:t>
            </w:r>
            <w:r w:rsidRPr="001E06E2">
              <w:rPr>
                <w:rFonts w:ascii="Times New Roman" w:hAnsi="Times New Roman" w:cs="Times New Roman"/>
              </w:rPr>
              <w:lastRenderedPageBreak/>
              <w:t>podpisu na zozname majetku dlžníka</w:t>
            </w:r>
          </w:p>
        </w:tc>
        <w:tc>
          <w:tcPr>
            <w:tcW w:w="992" w:type="dxa"/>
          </w:tcPr>
          <w:p w14:paraId="7DA73847" w14:textId="5D25089F"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lastRenderedPageBreak/>
              <w:t xml:space="preserve">7/2005 Z. z. </w:t>
            </w:r>
          </w:p>
        </w:tc>
        <w:tc>
          <w:tcPr>
            <w:tcW w:w="1134" w:type="dxa"/>
          </w:tcPr>
          <w:p w14:paraId="1326F554" w14:textId="70C893BA"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21 ods. 2</w:t>
            </w:r>
          </w:p>
        </w:tc>
        <w:tc>
          <w:tcPr>
            <w:tcW w:w="1843" w:type="dxa"/>
            <w:shd w:val="clear" w:color="auto" w:fill="auto"/>
          </w:tcPr>
          <w:p w14:paraId="589E62F8" w14:textId="59D829D9" w:rsidR="00B04B2B" w:rsidRPr="001E06E2" w:rsidDel="00801596"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rPr>
              <w:t>1.SK</w:t>
            </w:r>
          </w:p>
        </w:tc>
        <w:tc>
          <w:tcPr>
            <w:tcW w:w="992" w:type="dxa"/>
          </w:tcPr>
          <w:p w14:paraId="4F479A8F" w14:textId="54CA5D98"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01.10.25</w:t>
            </w:r>
          </w:p>
        </w:tc>
        <w:tc>
          <w:tcPr>
            <w:tcW w:w="1160" w:type="dxa"/>
            <w:shd w:val="clear" w:color="auto" w:fill="auto"/>
            <w:noWrap/>
          </w:tcPr>
          <w:p w14:paraId="09015152" w14:textId="72758268"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úpadca</w:t>
            </w:r>
          </w:p>
        </w:tc>
        <w:tc>
          <w:tcPr>
            <w:tcW w:w="1108" w:type="dxa"/>
          </w:tcPr>
          <w:p w14:paraId="12996373" w14:textId="2118C918"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 278 </w:t>
            </w:r>
          </w:p>
        </w:tc>
        <w:tc>
          <w:tcPr>
            <w:tcW w:w="851" w:type="dxa"/>
            <w:shd w:val="clear" w:color="auto" w:fill="auto"/>
            <w:noWrap/>
          </w:tcPr>
          <w:p w14:paraId="2188F025" w14:textId="4EE75431"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4</w:t>
            </w:r>
          </w:p>
        </w:tc>
        <w:tc>
          <w:tcPr>
            <w:tcW w:w="843" w:type="dxa"/>
            <w:shd w:val="clear" w:color="auto" w:fill="auto"/>
            <w:noWrap/>
          </w:tcPr>
          <w:p w14:paraId="1D718C37" w14:textId="1B95B7AA"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000" w:type="dxa"/>
            <w:shd w:val="clear" w:color="auto" w:fill="auto"/>
            <w:noWrap/>
          </w:tcPr>
          <w:p w14:paraId="281CEC7A" w14:textId="59B3C2C2"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Out (znižuje náklady)</w:t>
            </w:r>
          </w:p>
        </w:tc>
        <w:tc>
          <w:tcPr>
            <w:tcW w:w="708" w:type="dxa"/>
            <w:shd w:val="clear" w:color="auto" w:fill="auto"/>
            <w:noWrap/>
          </w:tcPr>
          <w:p w14:paraId="78A8DDA2" w14:textId="604369B0"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976</w:t>
            </w:r>
          </w:p>
        </w:tc>
        <w:tc>
          <w:tcPr>
            <w:tcW w:w="1134" w:type="dxa"/>
          </w:tcPr>
          <w:p w14:paraId="014B7D7A" w14:textId="153A5D48"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0</w:t>
            </w:r>
          </w:p>
        </w:tc>
      </w:tr>
      <w:tr w:rsidR="00B04B2B" w:rsidRPr="00895898" w14:paraId="7D495C88" w14:textId="77777777" w:rsidTr="00397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0FC148DB" w14:textId="7B194C8C"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rPr>
              <w:t>5</w:t>
            </w:r>
          </w:p>
        </w:tc>
        <w:tc>
          <w:tcPr>
            <w:tcW w:w="1740" w:type="dxa"/>
            <w:shd w:val="clear" w:color="auto" w:fill="auto"/>
          </w:tcPr>
          <w:p w14:paraId="0514BEF2" w14:textId="149A9C4F"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Zrušenie povinnosti úradne osvedčeného podpisu na zozname majetku úpadcu </w:t>
            </w:r>
          </w:p>
        </w:tc>
        <w:tc>
          <w:tcPr>
            <w:tcW w:w="992" w:type="dxa"/>
          </w:tcPr>
          <w:p w14:paraId="07EE0509" w14:textId="0A6B4983"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7/2005 Z. z. </w:t>
            </w:r>
          </w:p>
        </w:tc>
        <w:tc>
          <w:tcPr>
            <w:tcW w:w="1134" w:type="dxa"/>
          </w:tcPr>
          <w:p w14:paraId="5143E9CF" w14:textId="50EFCCA7"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73 ods. 2</w:t>
            </w:r>
          </w:p>
        </w:tc>
        <w:tc>
          <w:tcPr>
            <w:tcW w:w="1843" w:type="dxa"/>
            <w:shd w:val="clear" w:color="auto" w:fill="auto"/>
          </w:tcPr>
          <w:p w14:paraId="356D853D" w14:textId="1A8B0700" w:rsidR="00B04B2B" w:rsidRPr="001E06E2" w:rsidDel="00801596"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rPr>
              <w:t>1.SK</w:t>
            </w:r>
          </w:p>
        </w:tc>
        <w:tc>
          <w:tcPr>
            <w:tcW w:w="992" w:type="dxa"/>
          </w:tcPr>
          <w:p w14:paraId="459D433C" w14:textId="629846CA"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01.10.25</w:t>
            </w:r>
          </w:p>
        </w:tc>
        <w:tc>
          <w:tcPr>
            <w:tcW w:w="1160" w:type="dxa"/>
            <w:shd w:val="clear" w:color="auto" w:fill="auto"/>
            <w:noWrap/>
          </w:tcPr>
          <w:p w14:paraId="3D2938FA" w14:textId="06E0B1A4"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úpadca</w:t>
            </w:r>
          </w:p>
        </w:tc>
        <w:tc>
          <w:tcPr>
            <w:tcW w:w="1108" w:type="dxa"/>
          </w:tcPr>
          <w:p w14:paraId="717BA309" w14:textId="750B9686"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 xml:space="preserve"> 139 </w:t>
            </w:r>
          </w:p>
        </w:tc>
        <w:tc>
          <w:tcPr>
            <w:tcW w:w="851" w:type="dxa"/>
            <w:shd w:val="clear" w:color="auto" w:fill="auto"/>
            <w:noWrap/>
          </w:tcPr>
          <w:p w14:paraId="2F2A96C4" w14:textId="589A8A7D"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4</w:t>
            </w:r>
          </w:p>
        </w:tc>
        <w:tc>
          <w:tcPr>
            <w:tcW w:w="843" w:type="dxa"/>
            <w:shd w:val="clear" w:color="auto" w:fill="auto"/>
            <w:noWrap/>
          </w:tcPr>
          <w:p w14:paraId="0FE6B8D8" w14:textId="3BBFC855"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488</w:t>
            </w:r>
          </w:p>
        </w:tc>
        <w:tc>
          <w:tcPr>
            <w:tcW w:w="1000" w:type="dxa"/>
            <w:shd w:val="clear" w:color="auto" w:fill="auto"/>
            <w:noWrap/>
          </w:tcPr>
          <w:p w14:paraId="214DEF91" w14:textId="4775466F"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Out (znižuje náklady)</w:t>
            </w:r>
          </w:p>
        </w:tc>
        <w:tc>
          <w:tcPr>
            <w:tcW w:w="708" w:type="dxa"/>
            <w:shd w:val="clear" w:color="auto" w:fill="auto"/>
            <w:noWrap/>
          </w:tcPr>
          <w:p w14:paraId="45EC50E3" w14:textId="791BFD31"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488</w:t>
            </w:r>
          </w:p>
        </w:tc>
        <w:tc>
          <w:tcPr>
            <w:tcW w:w="1134" w:type="dxa"/>
          </w:tcPr>
          <w:p w14:paraId="15E7EBAF" w14:textId="41CD3E15"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rPr>
              <w:t>0</w:t>
            </w:r>
          </w:p>
        </w:tc>
      </w:tr>
      <w:tr w:rsidR="00B04B2B" w:rsidRPr="00895898" w14:paraId="67FD2956" w14:textId="77777777" w:rsidTr="000D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2336D0D1" w:rsidR="00B04B2B" w:rsidRPr="00B04B2B" w:rsidRDefault="00B04B2B" w:rsidP="00B04B2B">
            <w:pPr>
              <w:spacing w:after="0" w:line="240" w:lineRule="auto"/>
              <w:rPr>
                <w:rFonts w:ascii="Times New Roman" w:eastAsia="Times New Roman" w:hAnsi="Times New Roman" w:cs="Times New Roman"/>
                <w:sz w:val="20"/>
                <w:szCs w:val="20"/>
                <w:lang w:eastAsia="sk-SK"/>
              </w:rPr>
            </w:pPr>
            <w:r w:rsidRPr="00B04B2B">
              <w:rPr>
                <w:rFonts w:ascii="Times New Roman" w:hAnsi="Times New Roman" w:cs="Times New Roman"/>
                <w:color w:val="000000"/>
                <w:sz w:val="20"/>
                <w:szCs w:val="20"/>
              </w:rPr>
              <w:t>6</w:t>
            </w:r>
          </w:p>
        </w:tc>
        <w:tc>
          <w:tcPr>
            <w:tcW w:w="1740" w:type="dxa"/>
            <w:shd w:val="clear" w:color="auto" w:fill="auto"/>
            <w:vAlign w:val="center"/>
          </w:tcPr>
          <w:p w14:paraId="14BCDC2E" w14:textId="08F5B8EC"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 xml:space="preserve">Zrušenie povinnosti úradne osvedčeného podpisu na doplnení zoznamu majetku úpadcu </w:t>
            </w:r>
          </w:p>
        </w:tc>
        <w:tc>
          <w:tcPr>
            <w:tcW w:w="992" w:type="dxa"/>
            <w:vAlign w:val="center"/>
          </w:tcPr>
          <w:p w14:paraId="2C578C35" w14:textId="55C3E4CA"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 xml:space="preserve">7/2005 Z. z. </w:t>
            </w:r>
          </w:p>
        </w:tc>
        <w:tc>
          <w:tcPr>
            <w:tcW w:w="1134" w:type="dxa"/>
            <w:vAlign w:val="center"/>
          </w:tcPr>
          <w:p w14:paraId="35AAA047" w14:textId="572CF5E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 73 ods. 2</w:t>
            </w:r>
          </w:p>
        </w:tc>
        <w:tc>
          <w:tcPr>
            <w:tcW w:w="1843" w:type="dxa"/>
            <w:shd w:val="clear" w:color="auto" w:fill="auto"/>
            <w:vAlign w:val="center"/>
          </w:tcPr>
          <w:p w14:paraId="6DD38128" w14:textId="72E31EB8" w:rsidR="00B04B2B" w:rsidRPr="001E06E2" w:rsidDel="00801596" w:rsidRDefault="00B04B2B" w:rsidP="00B04B2B">
            <w:pPr>
              <w:pStyle w:val="gmail-m-1648484718305530482msolistparagraph"/>
              <w:spacing w:before="0" w:beforeAutospacing="0" w:after="0" w:afterAutospacing="0"/>
              <w:jc w:val="both"/>
              <w:rPr>
                <w:rFonts w:ascii="Times New Roman" w:eastAsia="Times New Roman" w:hAnsi="Times New Roman" w:cs="Times New Roman"/>
              </w:rPr>
            </w:pPr>
            <w:r w:rsidRPr="001E06E2">
              <w:rPr>
                <w:rFonts w:ascii="Times New Roman" w:hAnsi="Times New Roman" w:cs="Times New Roman"/>
                <w:color w:val="000000"/>
              </w:rPr>
              <w:t>1.SK</w:t>
            </w:r>
          </w:p>
        </w:tc>
        <w:tc>
          <w:tcPr>
            <w:tcW w:w="992" w:type="dxa"/>
            <w:vAlign w:val="center"/>
          </w:tcPr>
          <w:p w14:paraId="660ED2AA" w14:textId="0E1E7DB2"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color w:val="000000"/>
              </w:rPr>
              <w:t>01.10.25</w:t>
            </w:r>
          </w:p>
        </w:tc>
        <w:tc>
          <w:tcPr>
            <w:tcW w:w="1160" w:type="dxa"/>
            <w:shd w:val="clear" w:color="auto" w:fill="auto"/>
            <w:noWrap/>
            <w:vAlign w:val="center"/>
          </w:tcPr>
          <w:p w14:paraId="61B4BCC4" w14:textId="42C8CB17"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color w:val="000000"/>
              </w:rPr>
              <w:t>úpadca</w:t>
            </w:r>
          </w:p>
        </w:tc>
        <w:tc>
          <w:tcPr>
            <w:tcW w:w="1108" w:type="dxa"/>
            <w:vAlign w:val="center"/>
          </w:tcPr>
          <w:p w14:paraId="6DBA9274" w14:textId="2C23F864"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 xml:space="preserve">               139 </w:t>
            </w:r>
          </w:p>
        </w:tc>
        <w:tc>
          <w:tcPr>
            <w:tcW w:w="851" w:type="dxa"/>
            <w:shd w:val="clear" w:color="auto" w:fill="auto"/>
            <w:noWrap/>
            <w:vAlign w:val="center"/>
          </w:tcPr>
          <w:p w14:paraId="29915185" w14:textId="7AFCCF4B"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4</w:t>
            </w:r>
          </w:p>
        </w:tc>
        <w:tc>
          <w:tcPr>
            <w:tcW w:w="843" w:type="dxa"/>
            <w:shd w:val="clear" w:color="auto" w:fill="auto"/>
            <w:noWrap/>
            <w:vAlign w:val="center"/>
          </w:tcPr>
          <w:p w14:paraId="46F12C04" w14:textId="4FA96E93"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color w:val="000000"/>
              </w:rPr>
              <w:t>488</w:t>
            </w:r>
          </w:p>
        </w:tc>
        <w:tc>
          <w:tcPr>
            <w:tcW w:w="1000" w:type="dxa"/>
            <w:shd w:val="clear" w:color="auto" w:fill="auto"/>
            <w:noWrap/>
            <w:vAlign w:val="center"/>
          </w:tcPr>
          <w:p w14:paraId="2D3260FB" w14:textId="3203E0D5"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Out (znižuje náklady)</w:t>
            </w:r>
          </w:p>
        </w:tc>
        <w:tc>
          <w:tcPr>
            <w:tcW w:w="708" w:type="dxa"/>
            <w:shd w:val="clear" w:color="auto" w:fill="auto"/>
            <w:noWrap/>
            <w:vAlign w:val="center"/>
          </w:tcPr>
          <w:p w14:paraId="00BF5AA0" w14:textId="59D526A4" w:rsidR="00B04B2B" w:rsidRPr="001E06E2" w:rsidRDefault="00B04B2B" w:rsidP="00B04B2B">
            <w:pPr>
              <w:spacing w:after="0" w:line="240" w:lineRule="auto"/>
              <w:rPr>
                <w:rFonts w:ascii="Times New Roman" w:eastAsia="Times New Roman" w:hAnsi="Times New Roman" w:cs="Times New Roman"/>
                <w:color w:val="000000"/>
                <w:lang w:eastAsia="sk-SK"/>
              </w:rPr>
            </w:pPr>
            <w:r w:rsidRPr="001E06E2">
              <w:rPr>
                <w:rFonts w:ascii="Times New Roman" w:hAnsi="Times New Roman" w:cs="Times New Roman"/>
              </w:rPr>
              <w:t>488</w:t>
            </w:r>
          </w:p>
        </w:tc>
        <w:tc>
          <w:tcPr>
            <w:tcW w:w="1134" w:type="dxa"/>
            <w:vAlign w:val="center"/>
          </w:tcPr>
          <w:p w14:paraId="48044CA5" w14:textId="6138448F" w:rsidR="00B04B2B" w:rsidRPr="001E06E2" w:rsidRDefault="00B04B2B" w:rsidP="00B04B2B">
            <w:pPr>
              <w:spacing w:after="0" w:line="240" w:lineRule="auto"/>
              <w:rPr>
                <w:rFonts w:ascii="Times New Roman" w:eastAsia="Times New Roman" w:hAnsi="Times New Roman" w:cs="Times New Roman"/>
                <w:lang w:eastAsia="sk-SK"/>
              </w:rPr>
            </w:pPr>
            <w:r w:rsidRPr="001E06E2">
              <w:rPr>
                <w:rFonts w:ascii="Times New Roman" w:hAnsi="Times New Roman" w:cs="Times New Roman"/>
                <w:color w:val="000000"/>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Doplňujúce</w:t>
      </w:r>
      <w:bookmarkStart w:id="0" w:name="_GoBack"/>
      <w:bookmarkEnd w:id="0"/>
      <w:r w:rsidR="00054C41" w:rsidRPr="001F1B43">
        <w:rPr>
          <w:rFonts w:ascii="Times New Roman" w:eastAsia="Calibri" w:hAnsi="Times New Roman" w:cs="Times New Roman"/>
          <w:b/>
          <w:bCs/>
          <w:i/>
          <w:sz w:val="24"/>
          <w:szCs w:val="24"/>
          <w:u w:val="single"/>
        </w:rPr>
        <w:t xml:space="preserve"> informácie k spôsobu výpočtu vplyvov jednotlivých regulácií na zmenu nákladov </w:t>
      </w:r>
    </w:p>
    <w:p w14:paraId="71754AD7" w14:textId="7BCBE521" w:rsidR="004A1A2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75F675E" w14:textId="176F4D2D" w:rsidR="00602F60" w:rsidRDefault="00C814B0" w:rsidP="00C814B0">
      <w:pPr>
        <w:jc w:val="both"/>
        <w:rPr>
          <w:rFonts w:ascii="Times New Roman" w:hAnsi="Times New Roman" w:cs="Times New Roman"/>
          <w:b/>
          <w:color w:val="000000"/>
          <w:sz w:val="24"/>
          <w:szCs w:val="24"/>
          <w:u w:val="single"/>
        </w:rPr>
      </w:pPr>
      <w:r w:rsidRPr="00C814B0">
        <w:rPr>
          <w:rFonts w:ascii="Times New Roman" w:hAnsi="Times New Roman" w:cs="Times New Roman"/>
          <w:b/>
          <w:color w:val="000000"/>
          <w:sz w:val="24"/>
          <w:szCs w:val="24"/>
          <w:u w:val="single"/>
        </w:rPr>
        <w:t xml:space="preserve">1. </w:t>
      </w:r>
      <w:bookmarkStart w:id="1" w:name="OLE_LINK1"/>
      <w:r w:rsidRPr="00C814B0">
        <w:rPr>
          <w:rFonts w:ascii="Times New Roman" w:hAnsi="Times New Roman" w:cs="Times New Roman"/>
          <w:b/>
          <w:color w:val="000000"/>
          <w:sz w:val="24"/>
          <w:szCs w:val="24"/>
          <w:u w:val="single"/>
        </w:rPr>
        <w:t xml:space="preserve">Zúženie náležitostí </w:t>
      </w:r>
      <w:r w:rsidR="00240574">
        <w:rPr>
          <w:rFonts w:ascii="Times New Roman" w:hAnsi="Times New Roman" w:cs="Times New Roman"/>
          <w:b/>
          <w:color w:val="000000"/>
          <w:sz w:val="24"/>
          <w:szCs w:val="24"/>
          <w:u w:val="single"/>
        </w:rPr>
        <w:t>veriteľského</w:t>
      </w:r>
      <w:r w:rsidRPr="00C814B0">
        <w:rPr>
          <w:rFonts w:ascii="Times New Roman" w:hAnsi="Times New Roman" w:cs="Times New Roman"/>
          <w:b/>
          <w:color w:val="000000"/>
          <w:sz w:val="24"/>
          <w:szCs w:val="24"/>
          <w:u w:val="single"/>
        </w:rPr>
        <w:t xml:space="preserve"> návrhu na vyhlásenie konkurzu </w:t>
      </w:r>
      <w:bookmarkEnd w:id="1"/>
      <w:r w:rsidRPr="00C814B0">
        <w:rPr>
          <w:rFonts w:ascii="Times New Roman" w:hAnsi="Times New Roman" w:cs="Times New Roman"/>
          <w:b/>
          <w:color w:val="000000"/>
          <w:sz w:val="24"/>
          <w:szCs w:val="24"/>
          <w:u w:val="single"/>
        </w:rPr>
        <w:t>- § 12 ods. 3</w:t>
      </w:r>
    </w:p>
    <w:p w14:paraId="7C464905" w14:textId="77777777" w:rsidR="00602F60" w:rsidRDefault="00602F60" w:rsidP="00602F60">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povinnosť veriteľa identifikovať pri podaní návrhu na vyhlásenie konkurzu iného veriteľa</w:t>
      </w:r>
      <w:r w:rsidRPr="00F07DF5">
        <w:rPr>
          <w:rFonts w:ascii="Times New Roman" w:eastAsia="Calibri" w:hAnsi="Times New Roman" w:cs="Times New Roman"/>
          <w:bCs/>
          <w:iCs/>
          <w:color w:val="000000"/>
          <w:sz w:val="24"/>
          <w:szCs w:val="24"/>
        </w:rPr>
        <w:t xml:space="preserve">. </w:t>
      </w:r>
    </w:p>
    <w:p w14:paraId="66A4AEE4" w14:textId="77777777" w:rsidR="00602F60" w:rsidRDefault="00602F60" w:rsidP="00602F60">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Táto regulácia je vyhodnotená ako znižujúca náklady</w:t>
      </w:r>
      <w:r>
        <w:rPr>
          <w:rFonts w:ascii="Times New Roman" w:eastAsia="Calibri" w:hAnsi="Times New Roman" w:cs="Times New Roman"/>
          <w:bCs/>
          <w:iCs/>
          <w:color w:val="000000"/>
          <w:sz w:val="24"/>
          <w:szCs w:val="24"/>
        </w:rPr>
        <w:t xml:space="preserve"> z dôvodu zjednodušenia úkonu</w:t>
      </w:r>
      <w:r w:rsidRPr="00F07DF5">
        <w:rPr>
          <w:rFonts w:ascii="Times New Roman" w:eastAsia="Calibri" w:hAnsi="Times New Roman" w:cs="Times New Roman"/>
          <w:bCs/>
          <w:iCs/>
          <w:color w:val="000000"/>
          <w:sz w:val="24"/>
          <w:szCs w:val="24"/>
        </w:rPr>
        <w:t xml:space="preserve">. </w:t>
      </w:r>
    </w:p>
    <w:p w14:paraId="3FB09B44" w14:textId="4E2EE6FA" w:rsidR="00602F60" w:rsidRDefault="00602F60" w:rsidP="00602F6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w:t>
      </w:r>
      <w:r w:rsidR="00C22320" w:rsidRPr="00C22320">
        <w:rPr>
          <w:rFonts w:ascii="Times New Roman" w:eastAsia="Calibri" w:hAnsi="Times New Roman" w:cs="Times New Roman"/>
          <w:bCs/>
          <w:iCs/>
          <w:color w:val="000000"/>
          <w:sz w:val="24"/>
          <w:szCs w:val="24"/>
        </w:rPr>
        <w:t> počtu návrhov na vyhlásenie konkurzu, ktoré v roku 2023 podali veritelia</w:t>
      </w:r>
      <w:r w:rsidR="00C22320">
        <w:rPr>
          <w:rFonts w:ascii="Times New Roman" w:eastAsia="Calibri" w:hAnsi="Times New Roman" w:cs="Times New Roman"/>
          <w:bCs/>
          <w:iCs/>
          <w:color w:val="000000"/>
          <w:sz w:val="24"/>
          <w:szCs w:val="24"/>
        </w:rPr>
        <w:t xml:space="preserve"> (dáta rezortnej štatistiky)</w:t>
      </w:r>
      <w:r w:rsidRPr="00C22320">
        <w:rPr>
          <w:rFonts w:ascii="Times New Roman" w:eastAsia="Calibri" w:hAnsi="Times New Roman" w:cs="Times New Roman"/>
          <w:bCs/>
          <w:iCs/>
          <w:color w:val="000000"/>
          <w:sz w:val="24"/>
          <w:szCs w:val="24"/>
        </w:rPr>
        <w:t>.</w:t>
      </w:r>
      <w:r w:rsidR="00C22320" w:rsidRPr="00C22320">
        <w:rPr>
          <w:rFonts w:ascii="Times New Roman" w:eastAsia="Calibri" w:hAnsi="Times New Roman" w:cs="Times New Roman"/>
          <w:bCs/>
          <w:iCs/>
          <w:color w:val="000000"/>
          <w:sz w:val="24"/>
          <w:szCs w:val="24"/>
        </w:rPr>
        <w:t xml:space="preserve"> Počet subjektov môže byť skreslený tým, že štatistika nerozlišuje, ktoré návrhy podali</w:t>
      </w:r>
      <w:r w:rsidR="00C22320">
        <w:rPr>
          <w:rFonts w:ascii="Times New Roman" w:eastAsia="Calibri" w:hAnsi="Times New Roman" w:cs="Times New Roman"/>
          <w:bCs/>
          <w:iCs/>
          <w:color w:val="000000"/>
          <w:sz w:val="24"/>
          <w:szCs w:val="24"/>
        </w:rPr>
        <w:t xml:space="preserve"> veritelia podnikatelia a ktoré nepodnikatelia. Nakoľko však 91% týchto návrhov podali právnické osoby, predkladateľ sa pri analýze nemá dôvod domnievať, že by takéto skreslenie prinieslo malo zásadný dopad.</w:t>
      </w:r>
    </w:p>
    <w:p w14:paraId="729C2840" w14:textId="1B7F06FE" w:rsidR="00C814B0" w:rsidRPr="00602F60" w:rsidRDefault="00602F60" w:rsidP="00C814B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Frekvencia bola zvolená ako jednorazovo</w:t>
      </w:r>
      <w:r w:rsidRPr="00F07DF5">
        <w:rPr>
          <w:rFonts w:ascii="Times New Roman" w:eastAsia="Calibri" w:hAnsi="Times New Roman" w:cs="Times New Roman"/>
          <w:bCs/>
          <w:iCs/>
          <w:color w:val="000000"/>
          <w:sz w:val="24"/>
          <w:szCs w:val="24"/>
        </w:rPr>
        <w:t xml:space="preserve">. 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expertný odhad. Predkladateľ odhaduje, že na vyplnenie údajov o ďalšom veriteľovi je potrebných 30 minút.</w:t>
      </w:r>
    </w:p>
    <w:p w14:paraId="3A911FD4" w14:textId="0D3F7FE3" w:rsidR="00C814B0" w:rsidRDefault="00C814B0" w:rsidP="00C814B0">
      <w:pPr>
        <w:jc w:val="both"/>
        <w:rPr>
          <w:rFonts w:ascii="Times New Roman" w:eastAsia="Calibri" w:hAnsi="Times New Roman" w:cs="Times New Roman"/>
          <w:b/>
          <w:bCs/>
          <w:iCs/>
          <w:color w:val="000000"/>
          <w:sz w:val="24"/>
          <w:szCs w:val="24"/>
          <w:u w:val="single"/>
        </w:rPr>
      </w:pPr>
      <w:r w:rsidRPr="00C814B0">
        <w:rPr>
          <w:rFonts w:ascii="Times New Roman" w:eastAsia="Calibri" w:hAnsi="Times New Roman" w:cs="Times New Roman"/>
          <w:b/>
          <w:bCs/>
          <w:iCs/>
          <w:color w:val="000000"/>
          <w:sz w:val="24"/>
          <w:szCs w:val="24"/>
          <w:u w:val="single"/>
        </w:rPr>
        <w:t>2. Zrušenie povinnosti úradne osvedčeného podpisu na zozname záväzkov dlžníka</w:t>
      </w:r>
      <w:r>
        <w:rPr>
          <w:rFonts w:ascii="Times New Roman" w:eastAsia="Calibri" w:hAnsi="Times New Roman" w:cs="Times New Roman"/>
          <w:b/>
          <w:bCs/>
          <w:iCs/>
          <w:color w:val="000000"/>
          <w:sz w:val="24"/>
          <w:szCs w:val="24"/>
          <w:u w:val="single"/>
        </w:rPr>
        <w:t xml:space="preserve"> - § 21 ods. 2</w:t>
      </w:r>
    </w:p>
    <w:p w14:paraId="7E15300D" w14:textId="5099BF49" w:rsidR="00602F60" w:rsidRDefault="00602F60" w:rsidP="00C814B0">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 xml:space="preserve">povinnosť úradného osvedčenia podpisu na zozname záväzkov dlžníka. Takýto zoznam záväzkov je dlžník povinný predložiť </w:t>
      </w:r>
      <w:r w:rsidR="009075D6">
        <w:rPr>
          <w:rFonts w:ascii="Times New Roman" w:eastAsia="Calibri" w:hAnsi="Times New Roman" w:cs="Times New Roman"/>
          <w:bCs/>
          <w:iCs/>
          <w:color w:val="000000"/>
          <w:sz w:val="24"/>
          <w:szCs w:val="24"/>
        </w:rPr>
        <w:t xml:space="preserve">predbežnému </w:t>
      </w:r>
      <w:r>
        <w:rPr>
          <w:rFonts w:ascii="Times New Roman" w:eastAsia="Calibri" w:hAnsi="Times New Roman" w:cs="Times New Roman"/>
          <w:bCs/>
          <w:iCs/>
          <w:color w:val="000000"/>
          <w:sz w:val="24"/>
          <w:szCs w:val="24"/>
        </w:rPr>
        <w:t xml:space="preserve">správcovi v prípade, ak návrh na vyhlásenie konkurzu podal veriteľ. </w:t>
      </w:r>
    </w:p>
    <w:p w14:paraId="4802FBFF" w14:textId="58ED8AA8" w:rsidR="00602F60" w:rsidRDefault="00602F60" w:rsidP="00C814B0">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Táto regulácia je vyhodnotená ako znižujúca nákla</w:t>
      </w:r>
      <w:r w:rsidR="00586B81">
        <w:rPr>
          <w:rFonts w:ascii="Times New Roman" w:eastAsia="Calibri" w:hAnsi="Times New Roman" w:cs="Times New Roman"/>
          <w:bCs/>
          <w:iCs/>
          <w:color w:val="000000"/>
          <w:sz w:val="24"/>
          <w:szCs w:val="24"/>
        </w:rPr>
        <w:t>dy z dôvodu zjednodušenia úkonu, rozšírením elektronizácie v konkurzných konaniach sa takáto požiadavka javí ako obsolétna</w:t>
      </w:r>
      <w:r w:rsidRPr="00602F60">
        <w:rPr>
          <w:rFonts w:ascii="Times New Roman" w:eastAsia="Calibri" w:hAnsi="Times New Roman" w:cs="Times New Roman"/>
          <w:bCs/>
          <w:iCs/>
          <w:color w:val="000000"/>
          <w:sz w:val="24"/>
          <w:szCs w:val="24"/>
        </w:rPr>
        <w:t xml:space="preserve">. </w:t>
      </w:r>
    </w:p>
    <w:p w14:paraId="3BA6C96D" w14:textId="3EBCB51A" w:rsidR="00602F60" w:rsidRDefault="00C22320" w:rsidP="00C814B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 počtu návrhov na vyhlásenie konkurzu, ktoré v roku 2023 podali veritelia</w:t>
      </w:r>
      <w:r>
        <w:rPr>
          <w:rFonts w:ascii="Times New Roman" w:eastAsia="Calibri" w:hAnsi="Times New Roman" w:cs="Times New Roman"/>
          <w:bCs/>
          <w:iCs/>
          <w:color w:val="000000"/>
          <w:sz w:val="24"/>
          <w:szCs w:val="24"/>
        </w:rPr>
        <w:t xml:space="preserve"> (dáta rezortnej štatistiky). </w:t>
      </w:r>
    </w:p>
    <w:p w14:paraId="25AA94EA" w14:textId="3778916B" w:rsidR="00586B81" w:rsidRDefault="00586B81" w:rsidP="00C814B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Pri určení</w:t>
      </w:r>
      <w:r w:rsidR="009075D6">
        <w:rPr>
          <w:rFonts w:ascii="Times New Roman" w:eastAsia="Calibri" w:hAnsi="Times New Roman" w:cs="Times New Roman"/>
          <w:bCs/>
          <w:iCs/>
          <w:color w:val="000000"/>
          <w:sz w:val="24"/>
          <w:szCs w:val="24"/>
        </w:rPr>
        <w:t xml:space="preserve"> nepriamych finančných nákladov</w:t>
      </w:r>
      <w:r>
        <w:rPr>
          <w:rFonts w:ascii="Times New Roman" w:eastAsia="Calibri" w:hAnsi="Times New Roman" w:cs="Times New Roman"/>
          <w:bCs/>
          <w:iCs/>
          <w:color w:val="000000"/>
          <w:sz w:val="24"/>
          <w:szCs w:val="24"/>
        </w:rPr>
        <w:t xml:space="preserve"> boli stanovené náklady na jedného podnikateľa vo výške 4,92 eur (zaokrúhlením kalkulačky na 5 eur). Tieto náklady pozostávajú z úhrady odmeny notára za úradné osvedčenie podpisu, ktorá je stanovená na základe vyhlášky Ministerstva spravodlivosti Slovenskej republiky č. 31/1993 Z. z. </w:t>
      </w:r>
      <w:r w:rsidRPr="00586B81">
        <w:rPr>
          <w:rFonts w:ascii="Times New Roman" w:eastAsia="Calibri" w:hAnsi="Times New Roman" w:cs="Times New Roman"/>
          <w:bCs/>
          <w:iCs/>
          <w:color w:val="000000"/>
          <w:sz w:val="24"/>
          <w:szCs w:val="24"/>
        </w:rPr>
        <w:t>o odmenách a náhradách notárov</w:t>
      </w:r>
      <w:r>
        <w:rPr>
          <w:rFonts w:ascii="Times New Roman" w:eastAsia="Calibri" w:hAnsi="Times New Roman" w:cs="Times New Roman"/>
          <w:bCs/>
          <w:iCs/>
          <w:color w:val="000000"/>
          <w:sz w:val="24"/>
          <w:szCs w:val="24"/>
        </w:rPr>
        <w:t xml:space="preserve">. Táto suma bola navýšená o DPH (23%), nakoľko každý notár je platcom dane z pridanej hodnoty. </w:t>
      </w:r>
      <w:r w:rsidR="00602F60">
        <w:rPr>
          <w:rFonts w:ascii="Times New Roman" w:eastAsia="Calibri" w:hAnsi="Times New Roman" w:cs="Times New Roman"/>
          <w:bCs/>
          <w:iCs/>
          <w:color w:val="000000"/>
          <w:sz w:val="24"/>
          <w:szCs w:val="24"/>
        </w:rPr>
        <w:t xml:space="preserve">Frekvencia bola zvolená ako jednorazovo, nakoľko ide o povinnosť stanovenú v jednom konkurznom konaní, pričom sa nepredpokladá, že ku konkurznému konaniu </w:t>
      </w:r>
      <w:r>
        <w:rPr>
          <w:rFonts w:ascii="Times New Roman" w:eastAsia="Calibri" w:hAnsi="Times New Roman" w:cs="Times New Roman"/>
          <w:bCs/>
          <w:iCs/>
          <w:color w:val="000000"/>
          <w:sz w:val="24"/>
          <w:szCs w:val="24"/>
        </w:rPr>
        <w:t>ne</w:t>
      </w:r>
      <w:r w:rsidR="00602F60">
        <w:rPr>
          <w:rFonts w:ascii="Times New Roman" w:eastAsia="Calibri" w:hAnsi="Times New Roman" w:cs="Times New Roman"/>
          <w:bCs/>
          <w:iCs/>
          <w:color w:val="000000"/>
          <w:sz w:val="24"/>
          <w:szCs w:val="24"/>
        </w:rPr>
        <w:t>dôjde v rámci jedného roka viackrát</w:t>
      </w:r>
      <w:r w:rsidR="00602F60" w:rsidRPr="00602F60">
        <w:rPr>
          <w:rFonts w:ascii="Times New Roman" w:eastAsia="Calibri" w:hAnsi="Times New Roman" w:cs="Times New Roman"/>
          <w:bCs/>
          <w:iCs/>
          <w:color w:val="000000"/>
          <w:sz w:val="24"/>
          <w:szCs w:val="24"/>
        </w:rPr>
        <w:t xml:space="preserve">. </w:t>
      </w:r>
    </w:p>
    <w:p w14:paraId="57A4BEF1" w14:textId="2882E759" w:rsidR="00586B81" w:rsidRPr="00602F60" w:rsidRDefault="00586B81" w:rsidP="00586B81">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lastRenderedPageBreak/>
        <w:t xml:space="preserve">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expertný odhad. Predkladateľ odhaduje, že na využitie služieb notára pri úradnom overení podpisu je potrebných </w:t>
      </w:r>
      <w:r w:rsidR="009260C7">
        <w:rPr>
          <w:rFonts w:ascii="Times New Roman" w:eastAsia="Calibri" w:hAnsi="Times New Roman" w:cs="Times New Roman"/>
          <w:bCs/>
          <w:iCs/>
          <w:color w:val="000000"/>
          <w:sz w:val="24"/>
          <w:szCs w:val="24"/>
        </w:rPr>
        <w:t>45</w:t>
      </w:r>
      <w:r>
        <w:rPr>
          <w:rFonts w:ascii="Times New Roman" w:eastAsia="Calibri" w:hAnsi="Times New Roman" w:cs="Times New Roman"/>
          <w:bCs/>
          <w:iCs/>
          <w:color w:val="000000"/>
          <w:sz w:val="24"/>
          <w:szCs w:val="24"/>
        </w:rPr>
        <w:t xml:space="preserve"> minút.</w:t>
      </w:r>
    </w:p>
    <w:p w14:paraId="6C7EDDBB" w14:textId="41D0C3E3" w:rsidR="00C814B0" w:rsidRDefault="00C814B0" w:rsidP="00C814B0">
      <w:pPr>
        <w:jc w:val="both"/>
        <w:rPr>
          <w:rFonts w:ascii="Times New Roman" w:eastAsia="Calibri" w:hAnsi="Times New Roman" w:cs="Times New Roman"/>
          <w:b/>
          <w:bCs/>
          <w:iCs/>
          <w:color w:val="000000"/>
          <w:sz w:val="24"/>
          <w:szCs w:val="24"/>
          <w:u w:val="single"/>
        </w:rPr>
      </w:pPr>
      <w:r w:rsidRPr="00C814B0">
        <w:rPr>
          <w:rFonts w:ascii="Times New Roman" w:eastAsia="Calibri" w:hAnsi="Times New Roman" w:cs="Times New Roman"/>
          <w:b/>
          <w:bCs/>
          <w:iCs/>
          <w:color w:val="000000"/>
          <w:sz w:val="24"/>
          <w:szCs w:val="24"/>
          <w:u w:val="single"/>
        </w:rPr>
        <w:t>3. Zrušenie povinnosti úradne osvedčeného podpisu na zozname spriaznených osôb</w:t>
      </w:r>
      <w:r w:rsidR="00EA33ED">
        <w:rPr>
          <w:rFonts w:ascii="Times New Roman" w:eastAsia="Calibri" w:hAnsi="Times New Roman" w:cs="Times New Roman"/>
          <w:b/>
          <w:bCs/>
          <w:iCs/>
          <w:color w:val="000000"/>
          <w:sz w:val="24"/>
          <w:szCs w:val="24"/>
          <w:u w:val="single"/>
        </w:rPr>
        <w:t xml:space="preserve"> </w:t>
      </w:r>
      <w:r>
        <w:rPr>
          <w:rFonts w:ascii="Times New Roman" w:eastAsia="Calibri" w:hAnsi="Times New Roman" w:cs="Times New Roman"/>
          <w:b/>
          <w:bCs/>
          <w:iCs/>
          <w:color w:val="000000"/>
          <w:sz w:val="24"/>
          <w:szCs w:val="24"/>
          <w:u w:val="single"/>
        </w:rPr>
        <w:t>- § 21 ods. 2</w:t>
      </w:r>
    </w:p>
    <w:p w14:paraId="3FBFAB04" w14:textId="4CA9991F" w:rsidR="00586B81" w:rsidRDefault="00586B81" w:rsidP="00586B81">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 xml:space="preserve">povinnosť úradného osvedčenia podpisu na zozname spriaznených osôb. Takýto zoznam spriaznených osôb je dlžník povinný predložiť </w:t>
      </w:r>
      <w:r w:rsidR="009075D6">
        <w:rPr>
          <w:rFonts w:ascii="Times New Roman" w:eastAsia="Calibri" w:hAnsi="Times New Roman" w:cs="Times New Roman"/>
          <w:bCs/>
          <w:iCs/>
          <w:color w:val="000000"/>
          <w:sz w:val="24"/>
          <w:szCs w:val="24"/>
        </w:rPr>
        <w:t xml:space="preserve">predbežnému </w:t>
      </w:r>
      <w:r>
        <w:rPr>
          <w:rFonts w:ascii="Times New Roman" w:eastAsia="Calibri" w:hAnsi="Times New Roman" w:cs="Times New Roman"/>
          <w:bCs/>
          <w:iCs/>
          <w:color w:val="000000"/>
          <w:sz w:val="24"/>
          <w:szCs w:val="24"/>
        </w:rPr>
        <w:t xml:space="preserve">správcovi v prípade, ak návrh na vyhlásenie konkurzu podal veriteľ. </w:t>
      </w:r>
    </w:p>
    <w:p w14:paraId="37108CE7" w14:textId="77777777" w:rsidR="00586B81" w:rsidRDefault="00586B81" w:rsidP="00586B81">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Táto regulácia je vyhodnotená ako znižujúca nákla</w:t>
      </w:r>
      <w:r>
        <w:rPr>
          <w:rFonts w:ascii="Times New Roman" w:eastAsia="Calibri" w:hAnsi="Times New Roman" w:cs="Times New Roman"/>
          <w:bCs/>
          <w:iCs/>
          <w:color w:val="000000"/>
          <w:sz w:val="24"/>
          <w:szCs w:val="24"/>
        </w:rPr>
        <w:t>dy z dôvodu zjednodušenia úkonu, rozšírením elektronizácie v konkurzných konaniach sa takáto požiadavka javí ako obsolétna</w:t>
      </w:r>
      <w:r w:rsidRPr="00602F60">
        <w:rPr>
          <w:rFonts w:ascii="Times New Roman" w:eastAsia="Calibri" w:hAnsi="Times New Roman" w:cs="Times New Roman"/>
          <w:bCs/>
          <w:iCs/>
          <w:color w:val="000000"/>
          <w:sz w:val="24"/>
          <w:szCs w:val="24"/>
        </w:rPr>
        <w:t xml:space="preserve">. </w:t>
      </w:r>
    </w:p>
    <w:p w14:paraId="001982EB" w14:textId="77777777" w:rsidR="00C22320" w:rsidRDefault="00C22320" w:rsidP="00C2232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 počtu návrhov na vyhlásenie konkurzu, ktoré v roku 2023 podali veritelia</w:t>
      </w:r>
      <w:r>
        <w:rPr>
          <w:rFonts w:ascii="Times New Roman" w:eastAsia="Calibri" w:hAnsi="Times New Roman" w:cs="Times New Roman"/>
          <w:bCs/>
          <w:iCs/>
          <w:color w:val="000000"/>
          <w:sz w:val="24"/>
          <w:szCs w:val="24"/>
        </w:rPr>
        <w:t xml:space="preserve"> (dáta rezortnej štatistiky). </w:t>
      </w:r>
    </w:p>
    <w:p w14:paraId="6A7278ED" w14:textId="38783182" w:rsidR="00586B81" w:rsidRDefault="00586B81" w:rsidP="00586B8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Pri určení</w:t>
      </w:r>
      <w:r w:rsidR="009075D6">
        <w:rPr>
          <w:rFonts w:ascii="Times New Roman" w:eastAsia="Calibri" w:hAnsi="Times New Roman" w:cs="Times New Roman"/>
          <w:bCs/>
          <w:iCs/>
          <w:color w:val="000000"/>
          <w:sz w:val="24"/>
          <w:szCs w:val="24"/>
        </w:rPr>
        <w:t xml:space="preserve"> nepriamych finančných nákladov</w:t>
      </w:r>
      <w:r>
        <w:rPr>
          <w:rFonts w:ascii="Times New Roman" w:eastAsia="Calibri" w:hAnsi="Times New Roman" w:cs="Times New Roman"/>
          <w:bCs/>
          <w:iCs/>
          <w:color w:val="000000"/>
          <w:sz w:val="24"/>
          <w:szCs w:val="24"/>
        </w:rPr>
        <w:t xml:space="preserve"> boli stanovené náklady na jedného podnikateľa vo výške 4,92 eur (zaokrúhlením kalkulačky na 5 eur). Tieto náklady pozostávajú z úhrady odmeny notára za úradné osvedčenie podpisu, ktorá je stanovená na základe vyhlášky Ministerstva spravodlivosti Slovenskej republiky č. 31/1993 Z. z. </w:t>
      </w:r>
      <w:r w:rsidRPr="00586B81">
        <w:rPr>
          <w:rFonts w:ascii="Times New Roman" w:eastAsia="Calibri" w:hAnsi="Times New Roman" w:cs="Times New Roman"/>
          <w:bCs/>
          <w:iCs/>
          <w:color w:val="000000"/>
          <w:sz w:val="24"/>
          <w:szCs w:val="24"/>
        </w:rPr>
        <w:t>o odmenách a náhradách notárov</w:t>
      </w:r>
      <w:r>
        <w:rPr>
          <w:rFonts w:ascii="Times New Roman" w:eastAsia="Calibri" w:hAnsi="Times New Roman" w:cs="Times New Roman"/>
          <w:bCs/>
          <w:iCs/>
          <w:color w:val="000000"/>
          <w:sz w:val="24"/>
          <w:szCs w:val="24"/>
        </w:rPr>
        <w:t>. Táto suma bola navýšená o DPH (23%), nakoľko každý notár je platcom dane z pridanej hodnoty. Frekvencia bola zvolená ako jednorazovo, nakoľko ide o povinnosť stanovenú v jednom konkurznom konaní, pričom sa nepredpokladá, že ku konkurznému konaniu nedôjde v rámci jedného roka viackrát</w:t>
      </w:r>
      <w:r w:rsidRPr="00602F60">
        <w:rPr>
          <w:rFonts w:ascii="Times New Roman" w:eastAsia="Calibri" w:hAnsi="Times New Roman" w:cs="Times New Roman"/>
          <w:bCs/>
          <w:iCs/>
          <w:color w:val="000000"/>
          <w:sz w:val="24"/>
          <w:szCs w:val="24"/>
        </w:rPr>
        <w:t xml:space="preserve">. </w:t>
      </w:r>
    </w:p>
    <w:p w14:paraId="44961CE6" w14:textId="7127B223" w:rsidR="00586B81" w:rsidRPr="00602F60" w:rsidRDefault="00586B81" w:rsidP="00586B81">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expertný odhad. Predkladateľ odhaduje, že na využitie služieb notára pri úradnom </w:t>
      </w:r>
      <w:r w:rsidR="009260C7">
        <w:rPr>
          <w:rFonts w:ascii="Times New Roman" w:eastAsia="Calibri" w:hAnsi="Times New Roman" w:cs="Times New Roman"/>
          <w:bCs/>
          <w:iCs/>
          <w:color w:val="000000"/>
          <w:sz w:val="24"/>
          <w:szCs w:val="24"/>
        </w:rPr>
        <w:t>overení podpisu je potrebných 45</w:t>
      </w:r>
      <w:r>
        <w:rPr>
          <w:rFonts w:ascii="Times New Roman" w:eastAsia="Calibri" w:hAnsi="Times New Roman" w:cs="Times New Roman"/>
          <w:bCs/>
          <w:iCs/>
          <w:color w:val="000000"/>
          <w:sz w:val="24"/>
          <w:szCs w:val="24"/>
        </w:rPr>
        <w:t xml:space="preserve"> minút.</w:t>
      </w:r>
    </w:p>
    <w:p w14:paraId="5A0D4758" w14:textId="753B345B" w:rsidR="00C814B0" w:rsidRDefault="00C814B0" w:rsidP="00C814B0">
      <w:pPr>
        <w:jc w:val="both"/>
        <w:rPr>
          <w:rFonts w:ascii="Times New Roman" w:eastAsia="Calibri" w:hAnsi="Times New Roman" w:cs="Times New Roman"/>
          <w:b/>
          <w:bCs/>
          <w:iCs/>
          <w:color w:val="000000"/>
          <w:sz w:val="24"/>
          <w:szCs w:val="24"/>
          <w:u w:val="single"/>
        </w:rPr>
      </w:pPr>
      <w:r w:rsidRPr="00C814B0">
        <w:rPr>
          <w:rFonts w:ascii="Times New Roman" w:eastAsia="Calibri" w:hAnsi="Times New Roman" w:cs="Times New Roman"/>
          <w:b/>
          <w:bCs/>
          <w:iCs/>
          <w:color w:val="000000"/>
          <w:sz w:val="24"/>
          <w:szCs w:val="24"/>
          <w:u w:val="single"/>
        </w:rPr>
        <w:t>4. Zrušenie povinnosti úradne osvedčeného podpisu na zozname majetku dlžníka</w:t>
      </w:r>
      <w:r>
        <w:rPr>
          <w:rFonts w:ascii="Times New Roman" w:eastAsia="Calibri" w:hAnsi="Times New Roman" w:cs="Times New Roman"/>
          <w:b/>
          <w:bCs/>
          <w:iCs/>
          <w:color w:val="000000"/>
          <w:sz w:val="24"/>
          <w:szCs w:val="24"/>
          <w:u w:val="single"/>
        </w:rPr>
        <w:t>- § 21 ods. 2</w:t>
      </w:r>
    </w:p>
    <w:p w14:paraId="0D158679" w14:textId="73D10D39" w:rsidR="00586B81" w:rsidRDefault="00586B81" w:rsidP="00586B81">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 xml:space="preserve">povinnosť úradného osvedčenia podpisu na zozname </w:t>
      </w:r>
      <w:r w:rsidR="00325DD5">
        <w:rPr>
          <w:rFonts w:ascii="Times New Roman" w:eastAsia="Calibri" w:hAnsi="Times New Roman" w:cs="Times New Roman"/>
          <w:bCs/>
          <w:iCs/>
          <w:color w:val="000000"/>
          <w:sz w:val="24"/>
          <w:szCs w:val="24"/>
        </w:rPr>
        <w:t>majetku dlžníka</w:t>
      </w:r>
      <w:r>
        <w:rPr>
          <w:rFonts w:ascii="Times New Roman" w:eastAsia="Calibri" w:hAnsi="Times New Roman" w:cs="Times New Roman"/>
          <w:bCs/>
          <w:iCs/>
          <w:color w:val="000000"/>
          <w:sz w:val="24"/>
          <w:szCs w:val="24"/>
        </w:rPr>
        <w:t xml:space="preserve">. Takýto zoznam je dlžník povinný predložiť </w:t>
      </w:r>
      <w:r w:rsidR="009075D6">
        <w:rPr>
          <w:rFonts w:ascii="Times New Roman" w:eastAsia="Calibri" w:hAnsi="Times New Roman" w:cs="Times New Roman"/>
          <w:bCs/>
          <w:iCs/>
          <w:color w:val="000000"/>
          <w:sz w:val="24"/>
          <w:szCs w:val="24"/>
        </w:rPr>
        <w:t xml:space="preserve">predbežnému </w:t>
      </w:r>
      <w:r>
        <w:rPr>
          <w:rFonts w:ascii="Times New Roman" w:eastAsia="Calibri" w:hAnsi="Times New Roman" w:cs="Times New Roman"/>
          <w:bCs/>
          <w:iCs/>
          <w:color w:val="000000"/>
          <w:sz w:val="24"/>
          <w:szCs w:val="24"/>
        </w:rPr>
        <w:t xml:space="preserve">správcovi v prípade, ak návrh na vyhlásenie konkurzu podal veriteľ. </w:t>
      </w:r>
    </w:p>
    <w:p w14:paraId="0DD49438" w14:textId="77777777" w:rsidR="00586B81" w:rsidRDefault="00586B81" w:rsidP="00586B81">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Táto regulácia je vyhodnotená ako znižujúca nákla</w:t>
      </w:r>
      <w:r>
        <w:rPr>
          <w:rFonts w:ascii="Times New Roman" w:eastAsia="Calibri" w:hAnsi="Times New Roman" w:cs="Times New Roman"/>
          <w:bCs/>
          <w:iCs/>
          <w:color w:val="000000"/>
          <w:sz w:val="24"/>
          <w:szCs w:val="24"/>
        </w:rPr>
        <w:t>dy z dôvodu zjednodušenia úkonu, rozšírením elektronizácie v konkurzných konaniach sa takáto požiadavka javí ako obsolétna</w:t>
      </w:r>
      <w:r w:rsidRPr="00602F60">
        <w:rPr>
          <w:rFonts w:ascii="Times New Roman" w:eastAsia="Calibri" w:hAnsi="Times New Roman" w:cs="Times New Roman"/>
          <w:bCs/>
          <w:iCs/>
          <w:color w:val="000000"/>
          <w:sz w:val="24"/>
          <w:szCs w:val="24"/>
        </w:rPr>
        <w:t xml:space="preserve">. </w:t>
      </w:r>
    </w:p>
    <w:p w14:paraId="4DE21928" w14:textId="77777777" w:rsidR="00C22320" w:rsidRDefault="00C22320" w:rsidP="00C2232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 počtu návrhov na vyhlásenie konkurzu, ktoré v roku 2023 podali veritelia</w:t>
      </w:r>
      <w:r>
        <w:rPr>
          <w:rFonts w:ascii="Times New Roman" w:eastAsia="Calibri" w:hAnsi="Times New Roman" w:cs="Times New Roman"/>
          <w:bCs/>
          <w:iCs/>
          <w:color w:val="000000"/>
          <w:sz w:val="24"/>
          <w:szCs w:val="24"/>
        </w:rPr>
        <w:t xml:space="preserve"> (dáta rezortnej štatistiky). </w:t>
      </w:r>
    </w:p>
    <w:p w14:paraId="4F265989" w14:textId="45C4479C" w:rsidR="00586B81" w:rsidRDefault="00586B81" w:rsidP="00586B8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Pri určení</w:t>
      </w:r>
      <w:r w:rsidR="009075D6">
        <w:rPr>
          <w:rFonts w:ascii="Times New Roman" w:eastAsia="Calibri" w:hAnsi="Times New Roman" w:cs="Times New Roman"/>
          <w:bCs/>
          <w:iCs/>
          <w:color w:val="000000"/>
          <w:sz w:val="24"/>
          <w:szCs w:val="24"/>
        </w:rPr>
        <w:t xml:space="preserve"> nepriamych finančných nákladov</w:t>
      </w:r>
      <w:r>
        <w:rPr>
          <w:rFonts w:ascii="Times New Roman" w:eastAsia="Calibri" w:hAnsi="Times New Roman" w:cs="Times New Roman"/>
          <w:bCs/>
          <w:iCs/>
          <w:color w:val="000000"/>
          <w:sz w:val="24"/>
          <w:szCs w:val="24"/>
        </w:rPr>
        <w:t xml:space="preserve"> boli stanovené náklady na jedného podnikateľa vo výške 4,92 eur (zaokrúhlením kalkulačky na 5 eur). Tieto náklady pozostávajú z úhrady odmeny notára za úradné osvedčenie podpisu, ktorá je stanovená na základe vyhlášky Ministerstva spravodlivosti Slovenskej republiky č. 31/1993 Z. z. </w:t>
      </w:r>
      <w:r w:rsidRPr="00586B81">
        <w:rPr>
          <w:rFonts w:ascii="Times New Roman" w:eastAsia="Calibri" w:hAnsi="Times New Roman" w:cs="Times New Roman"/>
          <w:bCs/>
          <w:iCs/>
          <w:color w:val="000000"/>
          <w:sz w:val="24"/>
          <w:szCs w:val="24"/>
        </w:rPr>
        <w:t>o odmenách a náhradách notárov</w:t>
      </w:r>
      <w:r>
        <w:rPr>
          <w:rFonts w:ascii="Times New Roman" w:eastAsia="Calibri" w:hAnsi="Times New Roman" w:cs="Times New Roman"/>
          <w:bCs/>
          <w:iCs/>
          <w:color w:val="000000"/>
          <w:sz w:val="24"/>
          <w:szCs w:val="24"/>
        </w:rPr>
        <w:t>. Táto suma bola navýšená o DPH (23%), nakoľko každý notár je platcom dane z pridanej hodnoty. Frekvencia bola zvolená ako jednorazovo, nakoľko ide o povinnosť stanovenú v jednom konkurznom konaní, pričom sa nepredpokladá, že ku konkurznému konaniu nedôjde v rámci jedného roka viackrát</w:t>
      </w:r>
      <w:r w:rsidRPr="00602F60">
        <w:rPr>
          <w:rFonts w:ascii="Times New Roman" w:eastAsia="Calibri" w:hAnsi="Times New Roman" w:cs="Times New Roman"/>
          <w:bCs/>
          <w:iCs/>
          <w:color w:val="000000"/>
          <w:sz w:val="24"/>
          <w:szCs w:val="24"/>
        </w:rPr>
        <w:t xml:space="preserve">. </w:t>
      </w:r>
    </w:p>
    <w:p w14:paraId="1D8C649B" w14:textId="36707F2F" w:rsidR="00E22D35" w:rsidRPr="009260C7" w:rsidRDefault="00586B81" w:rsidP="00C814B0">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lastRenderedPageBreak/>
        <w:t xml:space="preserve">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expertný odhad. Predkladateľ odhaduje, že na využitie služieb notára pri úradnom </w:t>
      </w:r>
      <w:r w:rsidR="009260C7">
        <w:rPr>
          <w:rFonts w:ascii="Times New Roman" w:eastAsia="Calibri" w:hAnsi="Times New Roman" w:cs="Times New Roman"/>
          <w:bCs/>
          <w:iCs/>
          <w:color w:val="000000"/>
          <w:sz w:val="24"/>
          <w:szCs w:val="24"/>
        </w:rPr>
        <w:t>overení podpisu je potrebných 45</w:t>
      </w:r>
      <w:r>
        <w:rPr>
          <w:rFonts w:ascii="Times New Roman" w:eastAsia="Calibri" w:hAnsi="Times New Roman" w:cs="Times New Roman"/>
          <w:bCs/>
          <w:iCs/>
          <w:color w:val="000000"/>
          <w:sz w:val="24"/>
          <w:szCs w:val="24"/>
        </w:rPr>
        <w:t xml:space="preserve"> minút.</w:t>
      </w:r>
    </w:p>
    <w:p w14:paraId="5BE021DC" w14:textId="758E0C2A" w:rsidR="00E22D35" w:rsidRPr="009075D6" w:rsidRDefault="00E22D35" w:rsidP="00E22D35">
      <w:pPr>
        <w:jc w:val="both"/>
        <w:rPr>
          <w:rFonts w:ascii="Times New Roman" w:eastAsia="Calibri" w:hAnsi="Times New Roman" w:cs="Times New Roman"/>
          <w:b/>
          <w:bCs/>
          <w:iCs/>
          <w:color w:val="000000"/>
          <w:sz w:val="24"/>
          <w:szCs w:val="24"/>
          <w:u w:val="single"/>
        </w:rPr>
      </w:pPr>
      <w:r w:rsidRPr="009075D6">
        <w:rPr>
          <w:rFonts w:ascii="Times New Roman" w:eastAsia="Calibri" w:hAnsi="Times New Roman" w:cs="Times New Roman"/>
          <w:b/>
          <w:bCs/>
          <w:iCs/>
          <w:color w:val="000000"/>
          <w:sz w:val="24"/>
          <w:szCs w:val="24"/>
          <w:u w:val="single"/>
        </w:rPr>
        <w:t>5. Zrušenie povinnosti úradne osvedčeného podpisu na zozname majetku úpadcu - § 73 ods. 2</w:t>
      </w:r>
    </w:p>
    <w:p w14:paraId="2C18BAAA" w14:textId="52F57B13" w:rsidR="009075D6" w:rsidRDefault="009075D6" w:rsidP="009075D6">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 xml:space="preserve">povinnosť úradného osvedčenia podpisu na zozname majetku dlžníka. Takýto zoznam je dlžník povinný predložiť správcovi v prípade, ak návrh na vyhlásenie konkurzu podal veriteľ a zoznam nebol predložený predbežnému správcovi. </w:t>
      </w:r>
    </w:p>
    <w:p w14:paraId="4BBDCDFE" w14:textId="77777777" w:rsidR="009075D6" w:rsidRDefault="009075D6" w:rsidP="009075D6">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Táto regulácia je vyhodnotená ako znižujúca nákla</w:t>
      </w:r>
      <w:r>
        <w:rPr>
          <w:rFonts w:ascii="Times New Roman" w:eastAsia="Calibri" w:hAnsi="Times New Roman" w:cs="Times New Roman"/>
          <w:bCs/>
          <w:iCs/>
          <w:color w:val="000000"/>
          <w:sz w:val="24"/>
          <w:szCs w:val="24"/>
        </w:rPr>
        <w:t>dy z dôvodu zjednodušenia úkonu, rozšírením elektronizácie v konkurzných konaniach sa takáto požiadavka javí ako obsolétna</w:t>
      </w:r>
      <w:r w:rsidRPr="00602F60">
        <w:rPr>
          <w:rFonts w:ascii="Times New Roman" w:eastAsia="Calibri" w:hAnsi="Times New Roman" w:cs="Times New Roman"/>
          <w:bCs/>
          <w:iCs/>
          <w:color w:val="000000"/>
          <w:sz w:val="24"/>
          <w:szCs w:val="24"/>
        </w:rPr>
        <w:t xml:space="preserve">. </w:t>
      </w:r>
    </w:p>
    <w:p w14:paraId="11AF7FF2" w14:textId="4455F997" w:rsidR="00C22320" w:rsidRDefault="00C22320" w:rsidP="00C2232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 počtu návrhov na vyhlásenie konkurzu, ktoré v roku 2023 podali veritelia</w:t>
      </w:r>
      <w:r>
        <w:rPr>
          <w:rFonts w:ascii="Times New Roman" w:eastAsia="Calibri" w:hAnsi="Times New Roman" w:cs="Times New Roman"/>
          <w:bCs/>
          <w:iCs/>
          <w:color w:val="000000"/>
          <w:sz w:val="24"/>
          <w:szCs w:val="24"/>
        </w:rPr>
        <w:t xml:space="preserve"> (dáta rezortnej štatistiky). Predkladateľ použil expertný odhad, kedy je dôvodné predpokladať, v polovici prípadov dôjde k predloženiu zoznamu na základe ustanovenia § 73 ods. 2 zákona. </w:t>
      </w:r>
    </w:p>
    <w:p w14:paraId="19F27B72" w14:textId="77777777" w:rsidR="009075D6" w:rsidRDefault="009075D6" w:rsidP="009075D6">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Pri určení nepriamych finančných nákladoch boli stanovené náklady na jedného podnikateľa vo výške 4,92 eur (zaokrúhlením kalkulačky na 5 eur). Tieto náklady pozostávajú z úhrady odmeny notára za úradné osvedčenie podpisu, ktorá je stanovená na základe vyhlášky Ministerstva spravodlivosti Slovenskej republiky č. 31/1993 Z. z. </w:t>
      </w:r>
      <w:r w:rsidRPr="00586B81">
        <w:rPr>
          <w:rFonts w:ascii="Times New Roman" w:eastAsia="Calibri" w:hAnsi="Times New Roman" w:cs="Times New Roman"/>
          <w:bCs/>
          <w:iCs/>
          <w:color w:val="000000"/>
          <w:sz w:val="24"/>
          <w:szCs w:val="24"/>
        </w:rPr>
        <w:t>o odmenách a náhradách notárov</w:t>
      </w:r>
      <w:r>
        <w:rPr>
          <w:rFonts w:ascii="Times New Roman" w:eastAsia="Calibri" w:hAnsi="Times New Roman" w:cs="Times New Roman"/>
          <w:bCs/>
          <w:iCs/>
          <w:color w:val="000000"/>
          <w:sz w:val="24"/>
          <w:szCs w:val="24"/>
        </w:rPr>
        <w:t>. Táto suma bola navýšená o DPH (23%), nakoľko každý notár je platcom dane z pridanej hodnoty. Frekvencia bola zvolená ako jednorazovo, nakoľko ide o povinnosť stanovenú v jednom konkurznom konaní, pričom sa nepredpokladá, že ku konkurznému konaniu nedôjde v rámci jedného roka viackrát</w:t>
      </w:r>
      <w:r w:rsidRPr="00602F60">
        <w:rPr>
          <w:rFonts w:ascii="Times New Roman" w:eastAsia="Calibri" w:hAnsi="Times New Roman" w:cs="Times New Roman"/>
          <w:bCs/>
          <w:iCs/>
          <w:color w:val="000000"/>
          <w:sz w:val="24"/>
          <w:szCs w:val="24"/>
        </w:rPr>
        <w:t xml:space="preserve">. </w:t>
      </w:r>
    </w:p>
    <w:p w14:paraId="06768FB9" w14:textId="357AFC27" w:rsidR="009075D6" w:rsidRDefault="009075D6" w:rsidP="009075D6">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expertný odhad. Predkladateľ odhaduje, že na využitie služieb notára pri úradnom </w:t>
      </w:r>
      <w:r w:rsidR="009260C7">
        <w:rPr>
          <w:rFonts w:ascii="Times New Roman" w:eastAsia="Calibri" w:hAnsi="Times New Roman" w:cs="Times New Roman"/>
          <w:bCs/>
          <w:iCs/>
          <w:color w:val="000000"/>
          <w:sz w:val="24"/>
          <w:szCs w:val="24"/>
        </w:rPr>
        <w:t>overení podpisu je potrebných 45</w:t>
      </w:r>
      <w:r>
        <w:rPr>
          <w:rFonts w:ascii="Times New Roman" w:eastAsia="Calibri" w:hAnsi="Times New Roman" w:cs="Times New Roman"/>
          <w:bCs/>
          <w:iCs/>
          <w:color w:val="000000"/>
          <w:sz w:val="24"/>
          <w:szCs w:val="24"/>
        </w:rPr>
        <w:t xml:space="preserve"> minút.</w:t>
      </w:r>
    </w:p>
    <w:p w14:paraId="407FD5F4" w14:textId="22094E05" w:rsidR="00E22D35" w:rsidRPr="009075D6" w:rsidRDefault="00E22D35" w:rsidP="00E22D35">
      <w:pPr>
        <w:jc w:val="both"/>
        <w:rPr>
          <w:rFonts w:ascii="Times New Roman" w:eastAsia="Calibri" w:hAnsi="Times New Roman" w:cs="Times New Roman"/>
          <w:b/>
          <w:bCs/>
          <w:iCs/>
          <w:color w:val="000000"/>
          <w:sz w:val="24"/>
          <w:szCs w:val="24"/>
          <w:u w:val="single"/>
        </w:rPr>
      </w:pPr>
      <w:r w:rsidRPr="009075D6">
        <w:rPr>
          <w:rFonts w:ascii="Times New Roman" w:eastAsia="Calibri" w:hAnsi="Times New Roman" w:cs="Times New Roman"/>
          <w:b/>
          <w:bCs/>
          <w:iCs/>
          <w:color w:val="000000"/>
          <w:sz w:val="24"/>
          <w:szCs w:val="24"/>
          <w:u w:val="single"/>
        </w:rPr>
        <w:t>6. Zrušenie povinnosti úradne osvedčeného podpisu na doplnení zoznamu majetku úpadcu - § 73 ods. 2</w:t>
      </w:r>
    </w:p>
    <w:p w14:paraId="25D6D7C0" w14:textId="42971C4F" w:rsidR="009075D6" w:rsidRDefault="009075D6" w:rsidP="009075D6">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 xml:space="preserve">Navrhovaná úprava ruší </w:t>
      </w:r>
      <w:r>
        <w:rPr>
          <w:rFonts w:ascii="Times New Roman" w:eastAsia="Calibri" w:hAnsi="Times New Roman" w:cs="Times New Roman"/>
          <w:bCs/>
          <w:iCs/>
          <w:color w:val="000000"/>
          <w:sz w:val="24"/>
          <w:szCs w:val="24"/>
        </w:rPr>
        <w:t xml:space="preserve">povinnosť úradného osvedčenia podpisu na doplnení zoznamu majetku dlžníka. Takýto zoznam je dlžník povinný predložiť správcovi v prípade, ak oproti zoznamu, ktorý bol priložený k návrhu na vyhlásenie konkurzu, prípadne predložený predbežnému správcovi došlo k zmenám v majetku dlžníka. </w:t>
      </w:r>
    </w:p>
    <w:p w14:paraId="3E1F9713" w14:textId="77777777" w:rsidR="009075D6" w:rsidRDefault="009075D6" w:rsidP="009075D6">
      <w:pPr>
        <w:jc w:val="both"/>
        <w:rPr>
          <w:rFonts w:ascii="Times New Roman" w:eastAsia="Calibri" w:hAnsi="Times New Roman" w:cs="Times New Roman"/>
          <w:bCs/>
          <w:iCs/>
          <w:color w:val="000000"/>
          <w:sz w:val="24"/>
          <w:szCs w:val="24"/>
        </w:rPr>
      </w:pPr>
      <w:r w:rsidRPr="00602F60">
        <w:rPr>
          <w:rFonts w:ascii="Times New Roman" w:eastAsia="Calibri" w:hAnsi="Times New Roman" w:cs="Times New Roman"/>
          <w:bCs/>
          <w:iCs/>
          <w:color w:val="000000"/>
          <w:sz w:val="24"/>
          <w:szCs w:val="24"/>
        </w:rPr>
        <w:t>Táto regulácia je vyhodnotená ako znižujúca nákla</w:t>
      </w:r>
      <w:r>
        <w:rPr>
          <w:rFonts w:ascii="Times New Roman" w:eastAsia="Calibri" w:hAnsi="Times New Roman" w:cs="Times New Roman"/>
          <w:bCs/>
          <w:iCs/>
          <w:color w:val="000000"/>
          <w:sz w:val="24"/>
          <w:szCs w:val="24"/>
        </w:rPr>
        <w:t>dy z dôvodu zjednodušenia úkonu, rozšírením elektronizácie v konkurzných konaniach sa takáto požiadavka javí ako obsolétna</w:t>
      </w:r>
      <w:r w:rsidRPr="00602F60">
        <w:rPr>
          <w:rFonts w:ascii="Times New Roman" w:eastAsia="Calibri" w:hAnsi="Times New Roman" w:cs="Times New Roman"/>
          <w:bCs/>
          <w:iCs/>
          <w:color w:val="000000"/>
          <w:sz w:val="24"/>
          <w:szCs w:val="24"/>
        </w:rPr>
        <w:t xml:space="preserve">. </w:t>
      </w:r>
    </w:p>
    <w:p w14:paraId="6FB775B4" w14:textId="68441CD0" w:rsidR="00C22320" w:rsidRDefault="00C22320" w:rsidP="00C22320">
      <w:pPr>
        <w:jc w:val="both"/>
        <w:rPr>
          <w:rFonts w:ascii="Times New Roman" w:eastAsia="Calibri" w:hAnsi="Times New Roman" w:cs="Times New Roman"/>
          <w:bCs/>
          <w:iCs/>
          <w:color w:val="000000"/>
          <w:sz w:val="24"/>
          <w:szCs w:val="24"/>
        </w:rPr>
      </w:pPr>
      <w:r w:rsidRPr="00C22320">
        <w:rPr>
          <w:rFonts w:ascii="Times New Roman" w:eastAsia="Calibri" w:hAnsi="Times New Roman" w:cs="Times New Roman"/>
          <w:bCs/>
          <w:iCs/>
          <w:color w:val="000000"/>
          <w:sz w:val="24"/>
          <w:szCs w:val="24"/>
        </w:rPr>
        <w:t>Počet dotknutých subjektov vychádza z počtu návrhov na vyhlásenie konkurzu, ktoré v roku 2023 podali veritelia</w:t>
      </w:r>
      <w:r>
        <w:rPr>
          <w:rFonts w:ascii="Times New Roman" w:eastAsia="Calibri" w:hAnsi="Times New Roman" w:cs="Times New Roman"/>
          <w:bCs/>
          <w:iCs/>
          <w:color w:val="000000"/>
          <w:sz w:val="24"/>
          <w:szCs w:val="24"/>
        </w:rPr>
        <w:t xml:space="preserve"> (dáta rezortnej štatistiky). Predkladateľ použil expertný odhad, kedy je dôvodné predpokladať, v polovici prípadov dôjde k doplneniu zoznamu na základe ustanovenia § 73 ods. 2 zákona. </w:t>
      </w:r>
    </w:p>
    <w:p w14:paraId="04C87843" w14:textId="77777777" w:rsidR="009075D6" w:rsidRDefault="009075D6" w:rsidP="009075D6">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Pri určení nepriamych finančných nákladoch boli stanovené náklady na jedného podnikateľa vo výške 4,92 eur (zaokrúhlením kalkulačky na 5 eur). Tieto náklady pozostávajú z úhrady odmeny notára za úradné osvedčenie podpisu, ktorá je stanovená na základe vyhlášky </w:t>
      </w:r>
      <w:r>
        <w:rPr>
          <w:rFonts w:ascii="Times New Roman" w:eastAsia="Calibri" w:hAnsi="Times New Roman" w:cs="Times New Roman"/>
          <w:bCs/>
          <w:iCs/>
          <w:color w:val="000000"/>
          <w:sz w:val="24"/>
          <w:szCs w:val="24"/>
        </w:rPr>
        <w:lastRenderedPageBreak/>
        <w:t xml:space="preserve">Ministerstva spravodlivosti Slovenskej republiky č. 31/1993 Z. z. </w:t>
      </w:r>
      <w:r w:rsidRPr="00586B81">
        <w:rPr>
          <w:rFonts w:ascii="Times New Roman" w:eastAsia="Calibri" w:hAnsi="Times New Roman" w:cs="Times New Roman"/>
          <w:bCs/>
          <w:iCs/>
          <w:color w:val="000000"/>
          <w:sz w:val="24"/>
          <w:szCs w:val="24"/>
        </w:rPr>
        <w:t>o odmenách a náhradách notárov</w:t>
      </w:r>
      <w:r>
        <w:rPr>
          <w:rFonts w:ascii="Times New Roman" w:eastAsia="Calibri" w:hAnsi="Times New Roman" w:cs="Times New Roman"/>
          <w:bCs/>
          <w:iCs/>
          <w:color w:val="000000"/>
          <w:sz w:val="24"/>
          <w:szCs w:val="24"/>
        </w:rPr>
        <w:t>. Táto suma bola navýšená o DPH (23%), nakoľko každý notár je platcom dane z pridanej hodnoty. Frekvencia bola zvolená ako jednorazovo, nakoľko ide o povinnosť stanovenú v jednom konkurznom konaní, pričom sa nepredpokladá, že ku konkurznému konaniu nedôjde v rámci jedného roka viackrát</w:t>
      </w:r>
      <w:r w:rsidRPr="00602F60">
        <w:rPr>
          <w:rFonts w:ascii="Times New Roman" w:eastAsia="Calibri" w:hAnsi="Times New Roman" w:cs="Times New Roman"/>
          <w:bCs/>
          <w:iCs/>
          <w:color w:val="000000"/>
          <w:sz w:val="24"/>
          <w:szCs w:val="24"/>
        </w:rPr>
        <w:t xml:space="preserve">. </w:t>
      </w:r>
    </w:p>
    <w:p w14:paraId="19BA5871" w14:textId="42FB6E5D" w:rsidR="009075D6" w:rsidRDefault="009075D6" w:rsidP="009075D6">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Pri kvantifikácii </w:t>
      </w:r>
      <w:r>
        <w:rPr>
          <w:rFonts w:ascii="Times New Roman" w:eastAsia="Calibri" w:hAnsi="Times New Roman" w:cs="Times New Roman"/>
          <w:bCs/>
          <w:iCs/>
          <w:color w:val="000000"/>
          <w:sz w:val="24"/>
          <w:szCs w:val="24"/>
        </w:rPr>
        <w:t xml:space="preserve">administratívnych nákladov </w:t>
      </w:r>
      <w:r w:rsidRPr="00F07DF5">
        <w:rPr>
          <w:rFonts w:ascii="Times New Roman" w:eastAsia="Calibri" w:hAnsi="Times New Roman" w:cs="Times New Roman"/>
          <w:bCs/>
          <w:iCs/>
          <w:color w:val="000000"/>
          <w:sz w:val="24"/>
          <w:szCs w:val="24"/>
        </w:rPr>
        <w:t>bol</w:t>
      </w:r>
      <w:r>
        <w:rPr>
          <w:rFonts w:ascii="Times New Roman" w:eastAsia="Calibri" w:hAnsi="Times New Roman" w:cs="Times New Roman"/>
          <w:bCs/>
          <w:iCs/>
          <w:color w:val="000000"/>
          <w:sz w:val="24"/>
          <w:szCs w:val="24"/>
        </w:rPr>
        <w:t>a použitá alternatíva č. 1 -</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expertný odhad. Predkladateľ odhaduje, že na využitie služieb notára pri úradnom </w:t>
      </w:r>
      <w:r w:rsidR="009260C7">
        <w:rPr>
          <w:rFonts w:ascii="Times New Roman" w:eastAsia="Calibri" w:hAnsi="Times New Roman" w:cs="Times New Roman"/>
          <w:bCs/>
          <w:iCs/>
          <w:color w:val="000000"/>
          <w:sz w:val="24"/>
          <w:szCs w:val="24"/>
        </w:rPr>
        <w:t>overení podpisu je potrebných 45</w:t>
      </w:r>
      <w:r>
        <w:rPr>
          <w:rFonts w:ascii="Times New Roman" w:eastAsia="Calibri" w:hAnsi="Times New Roman" w:cs="Times New Roman"/>
          <w:bCs/>
          <w:iCs/>
          <w:color w:val="000000"/>
          <w:sz w:val="24"/>
          <w:szCs w:val="24"/>
        </w:rPr>
        <w:t xml:space="preserve"> minút.</w:t>
      </w: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B6C06E6" w14:textId="491C795A" w:rsidR="00024EE4" w:rsidRPr="00EE2D33" w:rsidRDefault="00EE2D33" w:rsidP="00054C41">
      <w:pPr>
        <w:jc w:val="both"/>
        <w:rPr>
          <w:rFonts w:ascii="Times New Roman" w:eastAsia="Calibri" w:hAnsi="Times New Roman" w:cs="Times New Roman"/>
          <w:b/>
          <w:sz w:val="24"/>
          <w:szCs w:val="24"/>
        </w:rPr>
      </w:pPr>
      <w:r w:rsidRPr="00EE2D33">
        <w:rPr>
          <w:rFonts w:ascii="Times New Roman" w:eastAsia="Calibri" w:hAnsi="Times New Roman" w:cs="Times New Roman"/>
          <w:sz w:val="24"/>
          <w:szCs w:val="24"/>
        </w:rPr>
        <w:t xml:space="preserve">Goldplating nebol identifikovaný. </w:t>
      </w: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3C29D226"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2B6FDA24" w14:textId="7DAECBCB" w:rsidR="001E06E2" w:rsidRDefault="001E06E2" w:rsidP="00054C41">
      <w:pPr>
        <w:spacing w:after="0"/>
        <w:jc w:val="both"/>
        <w:rPr>
          <w:rFonts w:ascii="Times New Roman" w:eastAsia="Calibri" w:hAnsi="Times New Roman" w:cs="Times New Roman"/>
          <w:i/>
          <w:sz w:val="24"/>
          <w:szCs w:val="24"/>
        </w:rPr>
      </w:pPr>
    </w:p>
    <w:p w14:paraId="4ACB5CA3" w14:textId="3EC34A49" w:rsidR="00EE2D33" w:rsidRPr="00EE2D33" w:rsidRDefault="00EE2D33" w:rsidP="00EE2D33">
      <w:pPr>
        <w:jc w:val="both"/>
        <w:rPr>
          <w:rFonts w:ascii="Times New Roman" w:hAnsi="Times New Roman" w:cs="Times New Roman"/>
          <w:b/>
          <w:sz w:val="24"/>
          <w:u w:val="single"/>
        </w:rPr>
      </w:pPr>
      <w:r w:rsidRPr="00EE2D33">
        <w:rPr>
          <w:rFonts w:ascii="Times New Roman" w:hAnsi="Times New Roman" w:cs="Times New Roman"/>
          <w:b/>
          <w:sz w:val="24"/>
          <w:u w:val="single"/>
        </w:rPr>
        <w:t>Predbežná informácia</w:t>
      </w:r>
    </w:p>
    <w:p w14:paraId="27BA91C3" w14:textId="58E4BE15" w:rsidR="007C7863" w:rsidRDefault="00EE2D33" w:rsidP="00EE2D33">
      <w:pPr>
        <w:jc w:val="both"/>
        <w:rPr>
          <w:rFonts w:ascii="Times New Roman" w:hAnsi="Times New Roman" w:cs="Times New Roman"/>
          <w:sz w:val="24"/>
        </w:rPr>
      </w:pPr>
      <w:r w:rsidRPr="00EE2D33">
        <w:rPr>
          <w:rFonts w:ascii="Times New Roman" w:hAnsi="Times New Roman" w:cs="Times New Roman"/>
          <w:sz w:val="24"/>
        </w:rPr>
        <w:t>Dňa 14. novembra 2024 bola zverejnená predbežná informácia podľa § 9 zákona č. 400/2015 Z. z. o tvorbe právnych predpisov a o Zbierke zákonov Slovenskej republiky a o zmene a doplnení niektorých zákonov k návrhu zákona, ktorým sa mení a dopĺňa zákon č. 7/2005 Z. z. o konkurze a reštrukturalizácii a o zmene a doplnení niektorých zákonov v znení neskorších predpisov a ktorým sa menia a dopĺňajú niektoré zákony alternatívne prijatie nového právneho predpisu s cieľom reagovať na potrebu precizovania dotknutej právnej úpravy v insolvenčných konaniach a súčasne reagovať na niektoré aplikačné problémy v nadväznosti na zavedenie nového registra predinsolvenčných, likvidačných a insolvenčných konaní</w:t>
      </w:r>
      <w:r>
        <w:rPr>
          <w:rFonts w:ascii="Times New Roman" w:hAnsi="Times New Roman" w:cs="Times New Roman"/>
          <w:sz w:val="24"/>
        </w:rPr>
        <w:t>.</w:t>
      </w:r>
    </w:p>
    <w:p w14:paraId="4C842701" w14:textId="24F39415" w:rsidR="007C7863" w:rsidRDefault="007C7863" w:rsidP="00EE2D33">
      <w:pPr>
        <w:jc w:val="both"/>
        <w:rPr>
          <w:rFonts w:ascii="Times New Roman" w:hAnsi="Times New Roman" w:cs="Times New Roman"/>
          <w:sz w:val="24"/>
          <w:highlight w:val="yellow"/>
        </w:rPr>
      </w:pPr>
      <w:r>
        <w:rPr>
          <w:rFonts w:ascii="Times New Roman" w:hAnsi="Times New Roman" w:cs="Times New Roman"/>
          <w:sz w:val="24"/>
        </w:rPr>
        <w:t>S </w:t>
      </w:r>
      <w:r w:rsidRPr="007C7863">
        <w:rPr>
          <w:rFonts w:ascii="Times New Roman" w:hAnsi="Times New Roman" w:cs="Times New Roman"/>
          <w:sz w:val="24"/>
        </w:rPr>
        <w:t>podnetom sa na MS SR obrátila AZZZZ, a to v s návrhom na zmenu §180 zákona s cieľom zaviesť tzv. „safe harbour“ pre záverečné zúčtovanie ziskov a strát pri obchodovaní s energetickými komoditami a derivátmi (v súlade s praxou v iných členských štátoch EÚ, ako sú najmä Česká republika, Rakúsko a Nemecko). Tento koncept poskytne právnu ochranu a istotu účastníkom trhu pri uzatváraní obchodov a vyrovnávaní finančných záväzkov. Súčasné znenie zákona priznáva účinky tohto inštitútu iba pri zmluvách, kde jednou zo strán sú finančné inštitúcie, čo nezahŕňa väčšinu slovenských energetických spoločností. Slovenské energetické spoločnosti sú preto znevýhodnené na spoločnom trhu, čelia vyšším transakčným nákladom a obmedzenému prístupu k trhu. Navrhovaná úprava rozšíri aplikáciu §180 na osoby podnikajúce v energetike podľa osobitného zákona, čím sa zníži systémové riziko a náklady spojené s obchodovaním s energetickými komoditami. Uznanie „close-out netting“-u pre nefinančné spoločnosti zlepší ich konkurencieschopnosť, zníži kreditné riziko a zvýši právnu istotu a transparentnosť na trhu</w:t>
      </w:r>
      <w:r w:rsidRPr="001E06E2">
        <w:rPr>
          <w:rFonts w:ascii="Times New Roman" w:hAnsi="Times New Roman" w:cs="Times New Roman"/>
          <w:sz w:val="24"/>
        </w:rPr>
        <w:t xml:space="preserve">. Predkladateľ požiadavke vyhovel a podnet bol zodpovedajúcim spôsobom zapracovaný do návrhu zákona. </w:t>
      </w:r>
    </w:p>
    <w:p w14:paraId="29FC4276" w14:textId="5A0FE514" w:rsidR="00EE2D33" w:rsidRPr="00EE2D33" w:rsidRDefault="00EE2D33" w:rsidP="00EE2D33">
      <w:pPr>
        <w:jc w:val="both"/>
        <w:rPr>
          <w:rFonts w:ascii="Times New Roman" w:hAnsi="Times New Roman" w:cs="Times New Roman"/>
          <w:b/>
          <w:sz w:val="24"/>
          <w:u w:val="single"/>
        </w:rPr>
      </w:pPr>
      <w:r w:rsidRPr="00EE2D33">
        <w:rPr>
          <w:rFonts w:ascii="Times New Roman" w:hAnsi="Times New Roman" w:cs="Times New Roman"/>
          <w:b/>
          <w:sz w:val="24"/>
          <w:u w:val="single"/>
        </w:rPr>
        <w:t>Konzultácie</w:t>
      </w:r>
    </w:p>
    <w:p w14:paraId="0050968C" w14:textId="1B6ABA89" w:rsidR="00EE2D33" w:rsidRPr="007C7863" w:rsidRDefault="007C7863" w:rsidP="007C7863">
      <w:pPr>
        <w:jc w:val="both"/>
        <w:rPr>
          <w:rFonts w:ascii="Times New Roman" w:hAnsi="Times New Roman" w:cs="Times New Roman"/>
          <w:sz w:val="24"/>
        </w:rPr>
      </w:pPr>
      <w:r w:rsidRPr="007C7863">
        <w:rPr>
          <w:rFonts w:ascii="Times New Roman" w:hAnsi="Times New Roman" w:cs="Times New Roman"/>
          <w:sz w:val="24"/>
        </w:rPr>
        <w:t>Dňa 9</w:t>
      </w:r>
      <w:r w:rsidR="00EE2D33" w:rsidRPr="007C7863">
        <w:rPr>
          <w:rFonts w:ascii="Times New Roman" w:hAnsi="Times New Roman" w:cs="Times New Roman"/>
          <w:sz w:val="24"/>
        </w:rPr>
        <w:t xml:space="preserve">. </w:t>
      </w:r>
      <w:r w:rsidRPr="007C7863">
        <w:rPr>
          <w:rFonts w:ascii="Times New Roman" w:hAnsi="Times New Roman" w:cs="Times New Roman"/>
          <w:sz w:val="24"/>
        </w:rPr>
        <w:t xml:space="preserve">decembra 2024 </w:t>
      </w:r>
      <w:r w:rsidR="00EE2D33" w:rsidRPr="007C7863">
        <w:rPr>
          <w:rFonts w:ascii="Times New Roman" w:hAnsi="Times New Roman" w:cs="Times New Roman"/>
          <w:sz w:val="24"/>
        </w:rPr>
        <w:t>sa uskutočnili konzultácie</w:t>
      </w:r>
      <w:r w:rsidRPr="007C7863">
        <w:rPr>
          <w:rFonts w:ascii="Times New Roman" w:hAnsi="Times New Roman" w:cs="Times New Roman"/>
          <w:sz w:val="24"/>
        </w:rPr>
        <w:t xml:space="preserve"> so subjektami: Ministerstvo hospodárstva Slovenskej republiky, Slovenská banková asociácia, AmCham, Národná banka Slovenska</w:t>
      </w:r>
      <w:r w:rsidR="00EE2D33" w:rsidRPr="007C7863">
        <w:rPr>
          <w:rFonts w:ascii="Times New Roman" w:hAnsi="Times New Roman" w:cs="Times New Roman"/>
          <w:sz w:val="24"/>
        </w:rPr>
        <w:t>.</w:t>
      </w:r>
    </w:p>
    <w:p w14:paraId="6ED749D4" w14:textId="3A3F21E5" w:rsidR="007C7863" w:rsidRPr="007C7863" w:rsidRDefault="00EE2D33" w:rsidP="00EE2D33">
      <w:pPr>
        <w:jc w:val="both"/>
        <w:rPr>
          <w:rFonts w:ascii="Times New Roman" w:hAnsi="Times New Roman" w:cs="Times New Roman"/>
          <w:sz w:val="24"/>
        </w:rPr>
      </w:pPr>
      <w:r w:rsidRPr="007C7863">
        <w:rPr>
          <w:rFonts w:ascii="Times New Roman" w:hAnsi="Times New Roman" w:cs="Times New Roman"/>
          <w:sz w:val="24"/>
        </w:rPr>
        <w:t xml:space="preserve">Zástupcovia Ministerstva spravodlivosti Slovenskej republiky v úvode prezentovali </w:t>
      </w:r>
      <w:r w:rsidR="007C7863" w:rsidRPr="007C7863">
        <w:rPr>
          <w:rFonts w:ascii="Times New Roman" w:hAnsi="Times New Roman" w:cs="Times New Roman"/>
          <w:sz w:val="24"/>
        </w:rPr>
        <w:t xml:space="preserve">potencionálne legislatívne zmeny v insolvenčných procesoch. </w:t>
      </w:r>
    </w:p>
    <w:p w14:paraId="3892FB0F" w14:textId="77777777" w:rsidR="007C7863" w:rsidRPr="007C7863" w:rsidRDefault="007C7863" w:rsidP="00EE2D33">
      <w:pPr>
        <w:jc w:val="both"/>
        <w:rPr>
          <w:rFonts w:ascii="Times New Roman" w:hAnsi="Times New Roman" w:cs="Times New Roman"/>
          <w:sz w:val="24"/>
        </w:rPr>
      </w:pPr>
      <w:r w:rsidRPr="007C7863">
        <w:rPr>
          <w:rFonts w:ascii="Times New Roman" w:hAnsi="Times New Roman" w:cs="Times New Roman"/>
          <w:sz w:val="24"/>
        </w:rPr>
        <w:t xml:space="preserve">Účastníci nemali žiadne pripomienky k prezentovaným návrhom zmien: </w:t>
      </w:r>
    </w:p>
    <w:p w14:paraId="36A44F29" w14:textId="77777777"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 xml:space="preserve">zosúladenie spriaznených osôb s Obchodným zákonníkom </w:t>
      </w:r>
    </w:p>
    <w:p w14:paraId="14E0D40A" w14:textId="7E5E1E0A" w:rsidR="007C7863" w:rsidRPr="007C7863" w:rsidRDefault="007C7863" w:rsidP="00966D8B">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 xml:space="preserve">zavedenie zmluvnej pokuty pre všetky druhy právnických osôb v § 11 ods. 2 zákona </w:t>
      </w:r>
      <w:r w:rsidR="00966D8B">
        <w:rPr>
          <w:rFonts w:ascii="Times New Roman" w:hAnsi="Times New Roman" w:cs="Times New Roman"/>
          <w:sz w:val="24"/>
        </w:rPr>
        <w:t xml:space="preserve">č. 7/2005 Z. z. o konkurze </w:t>
      </w:r>
      <w:r w:rsidR="00966D8B" w:rsidRPr="00966D8B">
        <w:rPr>
          <w:rFonts w:ascii="Times New Roman" w:hAnsi="Times New Roman" w:cs="Times New Roman"/>
          <w:sz w:val="24"/>
        </w:rPr>
        <w:t>a reštrukturalizácii a o zmene a doplnení niektorých zákonov</w:t>
      </w:r>
      <w:r w:rsidR="00966D8B">
        <w:rPr>
          <w:rFonts w:ascii="Times New Roman" w:hAnsi="Times New Roman" w:cs="Times New Roman"/>
          <w:sz w:val="24"/>
        </w:rPr>
        <w:t xml:space="preserve"> (ďalej ako „zákon o konkurze“)</w:t>
      </w:r>
    </w:p>
    <w:p w14:paraId="1B06CC98" w14:textId="4F6B2382"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vypustenie úradného podpisu v § 21 ods. 2 a § 73 ods. 2 zákona</w:t>
      </w:r>
      <w:r w:rsidR="00966D8B">
        <w:rPr>
          <w:rFonts w:ascii="Times New Roman" w:hAnsi="Times New Roman" w:cs="Times New Roman"/>
          <w:sz w:val="24"/>
        </w:rPr>
        <w:t xml:space="preserve"> o konkurze</w:t>
      </w:r>
    </w:p>
    <w:p w14:paraId="4D0500D1" w14:textId="77777777"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 xml:space="preserve">režim prihlasovania pohľadávok pre zahraničného veriteľa z tretej krajiny bude rovnaký ako pre veriteľa z členského štátu Európskej únie; </w:t>
      </w:r>
    </w:p>
    <w:p w14:paraId="6506E8F0" w14:textId="77777777"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lastRenderedPageBreak/>
        <w:t>navrhovaná úprava špeciálnych správcov (výmena správcu, dozorná správa, vypracovanie reštrukturalizačného posudku)</w:t>
      </w:r>
    </w:p>
    <w:p w14:paraId="1122AD7B" w14:textId="77777777"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návrh právnej úpravy úschovy</w:t>
      </w:r>
    </w:p>
    <w:p w14:paraId="1D57BF83" w14:textId="77777777"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právna úprava malého konkurzu (späťvzatie návrhu na vyhlásenie malého konkurzu, splnenie podmienok podľa § 40 ods. 2 alebo ods. 4 v čase rozhodnutia súdu, odstránenie nedostatkov návrhu na vyhlásenie malého konkurzu, vylúčenie pôsobnosti ustanovenia na § 11 ods. 2 na konanie o malom konkurze)</w:t>
      </w:r>
    </w:p>
    <w:p w14:paraId="23040F88" w14:textId="666A76AD" w:rsidR="007C7863" w:rsidRPr="007C7863" w:rsidRDefault="007C7863" w:rsidP="007C7863">
      <w:pPr>
        <w:pStyle w:val="Odsekzoznamu"/>
        <w:numPr>
          <w:ilvl w:val="0"/>
          <w:numId w:val="16"/>
        </w:numPr>
        <w:ind w:left="0" w:firstLine="284"/>
        <w:jc w:val="both"/>
        <w:rPr>
          <w:rFonts w:ascii="Times New Roman" w:hAnsi="Times New Roman" w:cs="Times New Roman"/>
          <w:sz w:val="24"/>
        </w:rPr>
      </w:pPr>
      <w:r w:rsidRPr="007C7863">
        <w:rPr>
          <w:rFonts w:ascii="Times New Roman" w:hAnsi="Times New Roman" w:cs="Times New Roman"/>
          <w:sz w:val="24"/>
        </w:rPr>
        <w:t>vypustenie zmeniek zo zoznamu pohľadávok vylúčených z uspokojenia podľa § 166b písm. c).</w:t>
      </w:r>
    </w:p>
    <w:p w14:paraId="6E6A8203" w14:textId="3420DFEF" w:rsidR="007C7863" w:rsidRPr="007C7863" w:rsidRDefault="007C7863" w:rsidP="00EE2D33">
      <w:pPr>
        <w:jc w:val="both"/>
        <w:rPr>
          <w:rFonts w:ascii="Times New Roman" w:hAnsi="Times New Roman" w:cs="Times New Roman"/>
          <w:sz w:val="24"/>
        </w:rPr>
      </w:pPr>
      <w:r w:rsidRPr="007C7863">
        <w:rPr>
          <w:rFonts w:ascii="Times New Roman" w:hAnsi="Times New Roman" w:cs="Times New Roman"/>
          <w:sz w:val="24"/>
        </w:rPr>
        <w:t xml:space="preserve">Diskusia prebehla aj o nasledovných otázkach: </w:t>
      </w:r>
    </w:p>
    <w:p w14:paraId="777A13DC" w14:textId="77777777" w:rsidR="00850881" w:rsidRDefault="007C7863"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v</w:t>
      </w:r>
      <w:r w:rsidRPr="007C7863">
        <w:rPr>
          <w:rFonts w:ascii="Times New Roman" w:hAnsi="Times New Roman" w:cs="Times New Roman"/>
          <w:sz w:val="24"/>
        </w:rPr>
        <w:t>yhotovenie audiovizuálneho záznamu na žiadosť veriteľa –zástupcov</w:t>
      </w:r>
      <w:r>
        <w:rPr>
          <w:rFonts w:ascii="Times New Roman" w:hAnsi="Times New Roman" w:cs="Times New Roman"/>
          <w:sz w:val="24"/>
        </w:rPr>
        <w:t xml:space="preserve">ia podnikateľského </w:t>
      </w:r>
      <w:r w:rsidRPr="007C7863">
        <w:rPr>
          <w:rFonts w:ascii="Times New Roman" w:hAnsi="Times New Roman" w:cs="Times New Roman"/>
          <w:sz w:val="24"/>
        </w:rPr>
        <w:t xml:space="preserve">prostredia, </w:t>
      </w:r>
      <w:r w:rsidR="00850881">
        <w:rPr>
          <w:rFonts w:ascii="Times New Roman" w:hAnsi="Times New Roman" w:cs="Times New Roman"/>
          <w:sz w:val="24"/>
        </w:rPr>
        <w:t>požadovali, a</w:t>
      </w:r>
      <w:r w:rsidRPr="007C7863">
        <w:rPr>
          <w:rFonts w:ascii="Times New Roman" w:hAnsi="Times New Roman" w:cs="Times New Roman"/>
          <w:sz w:val="24"/>
        </w:rPr>
        <w:t xml:space="preserve">by sa záznam </w:t>
      </w:r>
      <w:r w:rsidR="00850881">
        <w:rPr>
          <w:rFonts w:ascii="Times New Roman" w:hAnsi="Times New Roman" w:cs="Times New Roman"/>
          <w:sz w:val="24"/>
        </w:rPr>
        <w:t>vyhotovoval</w:t>
      </w:r>
      <w:r w:rsidRPr="007C7863">
        <w:rPr>
          <w:rFonts w:ascii="Times New Roman" w:hAnsi="Times New Roman" w:cs="Times New Roman"/>
          <w:sz w:val="24"/>
        </w:rPr>
        <w:t xml:space="preserve"> po zhodnotení potreby tohto záznamu predsedom schôdze </w:t>
      </w:r>
      <w:r w:rsidR="00850881">
        <w:rPr>
          <w:rFonts w:ascii="Times New Roman" w:hAnsi="Times New Roman" w:cs="Times New Roman"/>
          <w:sz w:val="24"/>
        </w:rPr>
        <w:t>(resp. o vyhotovenie</w:t>
      </w:r>
      <w:r w:rsidRPr="007C7863">
        <w:rPr>
          <w:rFonts w:ascii="Times New Roman" w:hAnsi="Times New Roman" w:cs="Times New Roman"/>
          <w:sz w:val="24"/>
        </w:rPr>
        <w:t xml:space="preserve"> by mal žiadať veriteľ s určitým percentom hlasovacích</w:t>
      </w:r>
      <w:r w:rsidR="00850881">
        <w:rPr>
          <w:rFonts w:ascii="Times New Roman" w:hAnsi="Times New Roman" w:cs="Times New Roman"/>
          <w:sz w:val="24"/>
        </w:rPr>
        <w:t xml:space="preserve"> práv)</w:t>
      </w:r>
    </w:p>
    <w:p w14:paraId="61FB64CD" w14:textId="77777777" w:rsidR="00CE5DAF" w:rsidRDefault="00850881"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z</w:t>
      </w:r>
      <w:r w:rsidR="007C7863" w:rsidRPr="00850881">
        <w:rPr>
          <w:rFonts w:ascii="Times New Roman" w:hAnsi="Times New Roman" w:cs="Times New Roman"/>
          <w:sz w:val="24"/>
        </w:rPr>
        <w:t xml:space="preserve">akotvenie, resp. úpravy dohľadovej činnosti súdu – súd </w:t>
      </w:r>
      <w:r w:rsidR="00CE5DAF">
        <w:rPr>
          <w:rFonts w:ascii="Times New Roman" w:hAnsi="Times New Roman" w:cs="Times New Roman"/>
          <w:sz w:val="24"/>
        </w:rPr>
        <w:t>sa v praxi vždy správa pasívne,</w:t>
      </w:r>
    </w:p>
    <w:p w14:paraId="26C4E643" w14:textId="77777777" w:rsidR="00CE5DAF" w:rsidRDefault="00CE5DAF"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p</w:t>
      </w:r>
      <w:r w:rsidRPr="00CE5DAF">
        <w:rPr>
          <w:rFonts w:ascii="Times New Roman" w:hAnsi="Times New Roman" w:cs="Times New Roman"/>
          <w:sz w:val="24"/>
        </w:rPr>
        <w:t>ovinnosť úpadcu predložiť individuálnu</w:t>
      </w:r>
      <w:r w:rsidR="007C7863" w:rsidRPr="00CE5DAF">
        <w:rPr>
          <w:rFonts w:ascii="Times New Roman" w:hAnsi="Times New Roman" w:cs="Times New Roman"/>
          <w:sz w:val="24"/>
        </w:rPr>
        <w:t xml:space="preserve"> účtovnú uzávierku, hlavnú knihu a návrh daňového priznania: v praxi to môže znamenať problém vzhľadom na možnú finančnú nedostupnosť konkurzného konania, resp. úpadca nebude mať možnosť túto dokumentáciu zabezpečiť z rôznych dôvodov, pre ktoré dodávateľ účtovníctva neposkytne súčinnosť (aj z dôvodov nezaplatených faktúr). Riešenia: pohľadávka proti podstate. S touto otázkou sa otvorila aj diskusia kumul</w:t>
      </w:r>
      <w:r>
        <w:rPr>
          <w:rFonts w:ascii="Times New Roman" w:hAnsi="Times New Roman" w:cs="Times New Roman"/>
          <w:sz w:val="24"/>
        </w:rPr>
        <w:t>ácie viacerých zmluvných pokút,</w:t>
      </w:r>
    </w:p>
    <w:p w14:paraId="24CBD5A3" w14:textId="77777777" w:rsidR="00CE5DAF" w:rsidRDefault="00CE5DAF"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k</w:t>
      </w:r>
      <w:r w:rsidR="007C7863" w:rsidRPr="00CE5DAF">
        <w:rPr>
          <w:rFonts w:ascii="Times New Roman" w:hAnsi="Times New Roman" w:cs="Times New Roman"/>
          <w:sz w:val="24"/>
        </w:rPr>
        <w:t xml:space="preserve"> predkladaniu plánu bola požiadavka technicky jednoznačne upraviť zvýraznenie zmien reštrukturalizačného plánu a z toho vyvodiť aj subjekt, ktorý bude zodpovedný za zvýraznenie zmien (resp. za správnosť obsahu). Zverejňovanie reštrukturalizačného plánu pred schôdz</w:t>
      </w:r>
      <w:r>
        <w:rPr>
          <w:rFonts w:ascii="Times New Roman" w:hAnsi="Times New Roman" w:cs="Times New Roman"/>
          <w:sz w:val="24"/>
        </w:rPr>
        <w:t>ou a úprava jednotlivých lehôt,</w:t>
      </w:r>
    </w:p>
    <w:p w14:paraId="3E8CFC21" w14:textId="77777777" w:rsidR="00CE5DAF" w:rsidRDefault="00CE5DAF"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r</w:t>
      </w:r>
      <w:r w:rsidR="007C7863" w:rsidRPr="00CE5DAF">
        <w:rPr>
          <w:rFonts w:ascii="Times New Roman" w:hAnsi="Times New Roman" w:cs="Times New Roman"/>
          <w:sz w:val="24"/>
        </w:rPr>
        <w:t>eťazenie reštrukturalizácie: Plán by sa mal stať neúčinným ku dňu začatia reštrukturalizácie vzhľadom na l</w:t>
      </w:r>
      <w:r>
        <w:rPr>
          <w:rFonts w:ascii="Times New Roman" w:hAnsi="Times New Roman" w:cs="Times New Roman"/>
          <w:sz w:val="24"/>
        </w:rPr>
        <w:t>ehotu prihlasovania pohľadávok</w:t>
      </w:r>
    </w:p>
    <w:p w14:paraId="3513946B" w14:textId="77777777" w:rsidR="00CE5DAF" w:rsidRDefault="00CE5DAF" w:rsidP="007C786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p</w:t>
      </w:r>
      <w:r w:rsidR="007C7863" w:rsidRPr="00CE5DAF">
        <w:rPr>
          <w:rFonts w:ascii="Times New Roman" w:hAnsi="Times New Roman" w:cs="Times New Roman"/>
          <w:sz w:val="24"/>
        </w:rPr>
        <w:t xml:space="preserve">ri konverzii reštrukturalizácie na konkurz boli vznesené obavy z možných konaní správcu, v dôsledku ktorého by mal túto konverziu úmyselne vyvolať, </w:t>
      </w:r>
      <w:r>
        <w:rPr>
          <w:rFonts w:ascii="Times New Roman" w:hAnsi="Times New Roman" w:cs="Times New Roman"/>
          <w:sz w:val="24"/>
        </w:rPr>
        <w:t>avšak bez zjavného odôvodnenia,</w:t>
      </w:r>
    </w:p>
    <w:p w14:paraId="04F822C8" w14:textId="21894D75" w:rsidR="007C7863" w:rsidRDefault="00CE5DAF" w:rsidP="00EE2D33">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p</w:t>
      </w:r>
      <w:r w:rsidR="007C7863" w:rsidRPr="00CE5DAF">
        <w:rPr>
          <w:rFonts w:ascii="Times New Roman" w:hAnsi="Times New Roman" w:cs="Times New Roman"/>
          <w:sz w:val="24"/>
        </w:rPr>
        <w:t>ercentuálne určenie zjavného nepomeru medzi hodnotou obydlia a záväzkami dlžníka by malo byť určené podľa vyjadrenia zástupcov skôr právnou úpravou explicitne, nie na základe súdnej úvahy, nakoľko tu vidia p</w:t>
      </w:r>
      <w:r>
        <w:rPr>
          <w:rFonts w:ascii="Times New Roman" w:hAnsi="Times New Roman" w:cs="Times New Roman"/>
          <w:sz w:val="24"/>
        </w:rPr>
        <w:t>roblematický rozsah (neurčitý),</w:t>
      </w:r>
    </w:p>
    <w:p w14:paraId="3697E0A1" w14:textId="02355609" w:rsidR="00CE5DAF" w:rsidRDefault="00CE5DAF" w:rsidP="00CE5DAF">
      <w:pPr>
        <w:pStyle w:val="Odsekzoznamu"/>
        <w:numPr>
          <w:ilvl w:val="0"/>
          <w:numId w:val="16"/>
        </w:numPr>
        <w:ind w:left="0" w:firstLine="284"/>
        <w:jc w:val="both"/>
        <w:rPr>
          <w:rFonts w:ascii="Times New Roman" w:hAnsi="Times New Roman" w:cs="Times New Roman"/>
          <w:sz w:val="24"/>
        </w:rPr>
      </w:pPr>
      <w:r>
        <w:rPr>
          <w:rFonts w:ascii="Times New Roman" w:hAnsi="Times New Roman" w:cs="Times New Roman"/>
          <w:sz w:val="24"/>
        </w:rPr>
        <w:t>zástupcovia podnikateľského prostredia avizovali, že písomne zašlú aj ďalšie podnety z praxe.</w:t>
      </w:r>
    </w:p>
    <w:p w14:paraId="178FF6D3" w14:textId="5B7CAFBB" w:rsidR="00054C41" w:rsidRDefault="00CE5DAF" w:rsidP="00CE5DAF">
      <w:pPr>
        <w:jc w:val="both"/>
        <w:rPr>
          <w:rFonts w:ascii="Times New Roman" w:hAnsi="Times New Roman" w:cs="Times New Roman"/>
          <w:sz w:val="24"/>
        </w:rPr>
      </w:pPr>
      <w:r>
        <w:rPr>
          <w:rFonts w:ascii="Times New Roman" w:hAnsi="Times New Roman" w:cs="Times New Roman"/>
          <w:sz w:val="24"/>
        </w:rPr>
        <w:t xml:space="preserve">Predkladateľ po analýze viacero podnetov v návrhu zákona reflektoval. </w:t>
      </w:r>
    </w:p>
    <w:p w14:paraId="08FCAD96" w14:textId="79C3C3CD" w:rsidR="00054C41" w:rsidRDefault="002642F9" w:rsidP="002642F9">
      <w:pPr>
        <w:jc w:val="both"/>
        <w:rPr>
          <w:rFonts w:ascii="Times New Roman" w:hAnsi="Times New Roman" w:cs="Times New Roman"/>
          <w:sz w:val="24"/>
        </w:rPr>
      </w:pPr>
      <w:r>
        <w:rPr>
          <w:rFonts w:ascii="Times New Roman" w:hAnsi="Times New Roman" w:cs="Times New Roman"/>
          <w:sz w:val="24"/>
        </w:rPr>
        <w:t xml:space="preserve">Diskusia pokračovala na rovnakej úrovni aj dňa </w:t>
      </w:r>
      <w:r w:rsidR="004A193C">
        <w:rPr>
          <w:rFonts w:ascii="Times New Roman" w:hAnsi="Times New Roman" w:cs="Times New Roman"/>
          <w:sz w:val="24"/>
        </w:rPr>
        <w:t>4</w:t>
      </w:r>
      <w:r>
        <w:rPr>
          <w:rFonts w:ascii="Times New Roman" w:hAnsi="Times New Roman" w:cs="Times New Roman"/>
          <w:sz w:val="24"/>
        </w:rPr>
        <w:t xml:space="preserve">. </w:t>
      </w:r>
      <w:r w:rsidR="004A193C">
        <w:rPr>
          <w:rFonts w:ascii="Times New Roman" w:hAnsi="Times New Roman" w:cs="Times New Roman"/>
          <w:sz w:val="24"/>
        </w:rPr>
        <w:t>februára</w:t>
      </w:r>
      <w:r>
        <w:rPr>
          <w:rFonts w:ascii="Times New Roman" w:hAnsi="Times New Roman" w:cs="Times New Roman"/>
          <w:sz w:val="24"/>
        </w:rPr>
        <w:t xml:space="preserve"> 2025. Bola prebratá problematika zmeniek v oddlžení a § 74 (zisťovanie majetku) zákona o konkurze, pričom zúčastnené subjekty zotrvávali na svojich názoroch a pozíciách z predošlého stretnutia.</w:t>
      </w:r>
    </w:p>
    <w:p w14:paraId="1B87E770" w14:textId="52ED113A" w:rsidR="007C2DF1" w:rsidRPr="007C7863" w:rsidRDefault="007C2DF1" w:rsidP="007C2DF1">
      <w:pPr>
        <w:jc w:val="both"/>
        <w:rPr>
          <w:rFonts w:ascii="Times New Roman" w:hAnsi="Times New Roman" w:cs="Times New Roman"/>
          <w:sz w:val="24"/>
        </w:rPr>
      </w:pPr>
      <w:r>
        <w:rPr>
          <w:rFonts w:ascii="Times New Roman" w:hAnsi="Times New Roman" w:cs="Times New Roman"/>
          <w:sz w:val="24"/>
        </w:rPr>
        <w:t xml:space="preserve">Dňa 3.3.2025 sa uskutočnili konzultácie so subjektami: Klub 500, Slovenská banková asociácia, Republiková únia zamestnávateľov, Združenie podnikateľov Slovenska, Asociácia priemyselných zväzov a dopravy, Asociácia zamestnávateľských zväzov a združení SR. </w:t>
      </w:r>
      <w:r w:rsidRPr="007C7863">
        <w:rPr>
          <w:rFonts w:ascii="Times New Roman" w:hAnsi="Times New Roman" w:cs="Times New Roman"/>
          <w:sz w:val="24"/>
        </w:rPr>
        <w:t>Zástupcovia Ministerstva spravodlivosti Slovenskej republiky v  prezentovali legislatívne z</w:t>
      </w:r>
      <w:r>
        <w:rPr>
          <w:rFonts w:ascii="Times New Roman" w:hAnsi="Times New Roman" w:cs="Times New Roman"/>
          <w:sz w:val="24"/>
        </w:rPr>
        <w:t xml:space="preserve">meny v insolvenčných procesoch v zmysle návrhu zákona. </w:t>
      </w:r>
    </w:p>
    <w:p w14:paraId="609C066C" w14:textId="77777777" w:rsidR="00054C41" w:rsidRPr="001F1B43" w:rsidRDefault="00054C41" w:rsidP="00054C41">
      <w:pPr>
        <w:jc w:val="both"/>
        <w:rPr>
          <w:rFonts w:ascii="Times New Roman" w:eastAsia="Calibri" w:hAnsi="Times New Roman" w:cs="Times New Roman"/>
          <w:b/>
          <w:sz w:val="24"/>
          <w:szCs w:val="24"/>
        </w:rPr>
      </w:pPr>
      <w:bookmarkStart w:id="2" w:name="_Hlk47698091"/>
      <w:r w:rsidRPr="001F1B43">
        <w:rPr>
          <w:rFonts w:ascii="Times New Roman" w:eastAsia="Calibri" w:hAnsi="Times New Roman" w:cs="Times New Roman"/>
          <w:b/>
          <w:sz w:val="24"/>
          <w:szCs w:val="24"/>
        </w:rPr>
        <w:lastRenderedPageBreak/>
        <w:t>3.3 Vplyvy na konkurencieschopnosť a produktivitu</w:t>
      </w:r>
    </w:p>
    <w:bookmarkEnd w:id="2"/>
    <w:p w14:paraId="5CAF52B4" w14:textId="0E38A744"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2E759FF7" w14:textId="1EBA7DBE" w:rsidR="00143D4C" w:rsidRDefault="00143D4C" w:rsidP="00054C41">
      <w:pPr>
        <w:spacing w:after="0"/>
        <w:jc w:val="both"/>
        <w:rPr>
          <w:rFonts w:ascii="Times New Roman" w:eastAsia="Calibri" w:hAnsi="Times New Roman" w:cs="Times New Roman"/>
          <w:i/>
          <w:sz w:val="24"/>
          <w:szCs w:val="24"/>
        </w:rPr>
      </w:pPr>
    </w:p>
    <w:p w14:paraId="7376AFF2" w14:textId="70C9F60A" w:rsidR="00143D4C" w:rsidRDefault="00143D4C" w:rsidP="00054C41">
      <w:pPr>
        <w:spacing w:after="0"/>
        <w:jc w:val="both"/>
        <w:rPr>
          <w:rFonts w:ascii="Times New Roman" w:eastAsia="Calibri" w:hAnsi="Times New Roman" w:cs="Times New Roman"/>
          <w:sz w:val="24"/>
          <w:szCs w:val="24"/>
        </w:rPr>
      </w:pPr>
      <w:r w:rsidRPr="00143D4C">
        <w:rPr>
          <w:rFonts w:ascii="Times New Roman" w:eastAsia="Calibri" w:hAnsi="Times New Roman" w:cs="Times New Roman"/>
          <w:sz w:val="24"/>
          <w:szCs w:val="24"/>
        </w:rPr>
        <w:t xml:space="preserve">Navrhovanou právnou úpravou sa </w:t>
      </w:r>
      <w:r>
        <w:rPr>
          <w:rFonts w:ascii="Times New Roman" w:eastAsia="Calibri" w:hAnsi="Times New Roman" w:cs="Times New Roman"/>
          <w:sz w:val="24"/>
          <w:szCs w:val="24"/>
        </w:rPr>
        <w:t xml:space="preserve">odstraňujú praktické problémy pri ukončovaní podnikania na Slovensku </w:t>
      </w:r>
      <w:r w:rsidRPr="00143D4C">
        <w:rPr>
          <w:rFonts w:ascii="Times New Roman" w:eastAsia="Calibri" w:hAnsi="Times New Roman" w:cs="Times New Roman"/>
          <w:sz w:val="24"/>
          <w:szCs w:val="24"/>
        </w:rPr>
        <w:t xml:space="preserve">a zrýchľujú </w:t>
      </w:r>
      <w:r>
        <w:rPr>
          <w:rFonts w:ascii="Times New Roman" w:eastAsia="Calibri" w:hAnsi="Times New Roman" w:cs="Times New Roman"/>
          <w:sz w:val="24"/>
          <w:szCs w:val="24"/>
        </w:rPr>
        <w:t>sa procesy</w:t>
      </w:r>
      <w:r w:rsidRPr="00143D4C">
        <w:rPr>
          <w:rFonts w:ascii="Times New Roman" w:eastAsia="Calibri" w:hAnsi="Times New Roman" w:cs="Times New Roman"/>
          <w:sz w:val="24"/>
          <w:szCs w:val="24"/>
        </w:rPr>
        <w:t>, čo prispeje k zníženiu časových a administratívnych bariér v podnikateľskom prostredí.</w:t>
      </w:r>
    </w:p>
    <w:p w14:paraId="3B8CCEE4" w14:textId="77777777" w:rsidR="00143D4C" w:rsidRPr="00143D4C" w:rsidRDefault="00143D4C" w:rsidP="00054C41">
      <w:pPr>
        <w:spacing w:after="0"/>
        <w:jc w:val="both"/>
        <w:rPr>
          <w:rFonts w:ascii="Times New Roman" w:eastAsia="Calibri" w:hAnsi="Times New Roman" w:cs="Times New Roman"/>
          <w:sz w:val="24"/>
          <w:szCs w:val="24"/>
        </w:rPr>
      </w:pPr>
    </w:p>
    <w:p w14:paraId="4D049DE7" w14:textId="3049BEE9"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182DC6BD" w14:textId="166A2969" w:rsidR="00143D4C" w:rsidRDefault="00143D4C" w:rsidP="00054C41">
      <w:pPr>
        <w:spacing w:after="0"/>
        <w:jc w:val="both"/>
        <w:rPr>
          <w:rFonts w:ascii="Times New Roman" w:eastAsia="Calibri" w:hAnsi="Times New Roman" w:cs="Times New Roman"/>
          <w:i/>
          <w:sz w:val="24"/>
          <w:szCs w:val="24"/>
        </w:rPr>
      </w:pPr>
    </w:p>
    <w:p w14:paraId="01C37119" w14:textId="1D32C240" w:rsidR="00143D4C" w:rsidRPr="00143D4C" w:rsidRDefault="00143D4C" w:rsidP="00054C41">
      <w:pPr>
        <w:spacing w:after="0"/>
        <w:jc w:val="both"/>
        <w:rPr>
          <w:rFonts w:ascii="Times New Roman" w:eastAsia="Calibri" w:hAnsi="Times New Roman" w:cs="Times New Roman"/>
          <w:sz w:val="24"/>
          <w:szCs w:val="24"/>
        </w:rPr>
      </w:pPr>
      <w:r w:rsidRPr="00143D4C">
        <w:rPr>
          <w:rFonts w:ascii="Times New Roman" w:eastAsia="Calibri" w:hAnsi="Times New Roman" w:cs="Times New Roman"/>
          <w:sz w:val="24"/>
          <w:szCs w:val="24"/>
        </w:rPr>
        <w:t>Nie</w:t>
      </w:r>
    </w:p>
    <w:p w14:paraId="3F52D07D" w14:textId="77777777" w:rsidR="00143D4C" w:rsidRPr="00D8247C" w:rsidRDefault="00143D4C" w:rsidP="00054C41">
      <w:pPr>
        <w:spacing w:after="0"/>
        <w:jc w:val="both"/>
        <w:rPr>
          <w:rFonts w:ascii="Times New Roman" w:eastAsia="Calibri" w:hAnsi="Times New Roman" w:cs="Times New Roman"/>
          <w:i/>
          <w:sz w:val="24"/>
          <w:szCs w:val="24"/>
        </w:rPr>
      </w:pPr>
    </w:p>
    <w:p w14:paraId="452A90F1" w14:textId="3CC3ECBC"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435DABBC" w14:textId="70A1C87D" w:rsidR="00143D4C" w:rsidRDefault="00143D4C" w:rsidP="00054C41">
      <w:pPr>
        <w:spacing w:after="0"/>
        <w:jc w:val="both"/>
        <w:rPr>
          <w:rFonts w:ascii="Times New Roman" w:eastAsia="Calibri" w:hAnsi="Times New Roman" w:cs="Times New Roman"/>
          <w:i/>
          <w:sz w:val="24"/>
          <w:szCs w:val="24"/>
        </w:rPr>
      </w:pPr>
    </w:p>
    <w:p w14:paraId="09954EF0" w14:textId="3414C27B" w:rsidR="00143D4C" w:rsidRDefault="00143D4C" w:rsidP="00054C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1B75AE98" w14:textId="77777777" w:rsidR="00143D4C" w:rsidRPr="00143D4C" w:rsidRDefault="00143D4C" w:rsidP="00054C41">
      <w:pPr>
        <w:spacing w:after="0"/>
        <w:jc w:val="both"/>
        <w:rPr>
          <w:rFonts w:ascii="Times New Roman" w:eastAsia="Calibri" w:hAnsi="Times New Roman" w:cs="Times New Roman"/>
          <w:sz w:val="24"/>
          <w:szCs w:val="24"/>
        </w:rPr>
      </w:pPr>
    </w:p>
    <w:p w14:paraId="0D074838" w14:textId="3807004C"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2A8F7DD9" w14:textId="77777777" w:rsidR="00143D4C" w:rsidRDefault="00143D4C" w:rsidP="00143D4C">
      <w:pPr>
        <w:spacing w:after="0"/>
        <w:jc w:val="both"/>
        <w:rPr>
          <w:rFonts w:ascii="Times New Roman" w:eastAsia="Calibri" w:hAnsi="Times New Roman" w:cs="Times New Roman"/>
          <w:i/>
          <w:sz w:val="24"/>
          <w:szCs w:val="24"/>
        </w:rPr>
      </w:pPr>
    </w:p>
    <w:p w14:paraId="5DDBA940" w14:textId="77777777" w:rsidR="00143D4C" w:rsidRDefault="00143D4C" w:rsidP="00143D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7FA33E45" w14:textId="77777777" w:rsidR="00143D4C" w:rsidRDefault="00143D4C" w:rsidP="00054C41">
      <w:pPr>
        <w:spacing w:after="0"/>
        <w:jc w:val="both"/>
        <w:rPr>
          <w:rFonts w:ascii="Times New Roman" w:eastAsia="Calibri" w:hAnsi="Times New Roman" w:cs="Times New Roman"/>
          <w:i/>
          <w:sz w:val="24"/>
          <w:szCs w:val="24"/>
        </w:rPr>
      </w:pPr>
    </w:p>
    <w:p w14:paraId="6B6A3793" w14:textId="31820EC0"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57CBBE2" w14:textId="25601DA3" w:rsidR="00143D4C" w:rsidRDefault="00143D4C" w:rsidP="00054C41">
      <w:pPr>
        <w:spacing w:after="0"/>
        <w:jc w:val="both"/>
        <w:rPr>
          <w:rFonts w:ascii="Times New Roman" w:eastAsia="Calibri" w:hAnsi="Times New Roman" w:cs="Times New Roman"/>
          <w:i/>
          <w:sz w:val="24"/>
          <w:szCs w:val="24"/>
        </w:rPr>
      </w:pPr>
    </w:p>
    <w:p w14:paraId="002BE6C4" w14:textId="77777777" w:rsidR="00143D4C" w:rsidRDefault="00143D4C" w:rsidP="00143D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735DBE71" w14:textId="77777777" w:rsidR="00143D4C" w:rsidRDefault="00143D4C" w:rsidP="00054C41">
      <w:pPr>
        <w:spacing w:after="0"/>
        <w:jc w:val="both"/>
        <w:rPr>
          <w:rFonts w:ascii="Times New Roman" w:eastAsia="Calibri" w:hAnsi="Times New Roman" w:cs="Times New Roman"/>
          <w:i/>
          <w:sz w:val="24"/>
          <w:szCs w:val="24"/>
        </w:rPr>
      </w:pPr>
    </w:p>
    <w:p w14:paraId="64E2FB2F" w14:textId="1D1BEAD9" w:rsidR="00BA19B0"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530D464C" w14:textId="0866033E" w:rsidR="00143D4C" w:rsidRDefault="00143D4C" w:rsidP="00054C41">
      <w:pPr>
        <w:spacing w:after="0"/>
        <w:jc w:val="both"/>
        <w:rPr>
          <w:rFonts w:ascii="Times New Roman" w:eastAsia="Calibri" w:hAnsi="Times New Roman" w:cs="Times New Roman"/>
          <w:i/>
          <w:sz w:val="24"/>
          <w:szCs w:val="24"/>
        </w:rPr>
      </w:pPr>
    </w:p>
    <w:p w14:paraId="385C77A9" w14:textId="77777777" w:rsidR="00143D4C" w:rsidRDefault="00143D4C" w:rsidP="00143D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14:paraId="4C970A6F" w14:textId="77777777" w:rsidR="00143D4C" w:rsidRPr="00D8247C" w:rsidRDefault="00143D4C" w:rsidP="00054C41">
      <w:pPr>
        <w:spacing w:after="0"/>
        <w:jc w:val="both"/>
        <w:rPr>
          <w:rFonts w:ascii="Times New Roman" w:eastAsia="Calibri" w:hAnsi="Times New Roman" w:cs="Times New Roman"/>
          <w:i/>
          <w:sz w:val="24"/>
          <w:szCs w:val="24"/>
        </w:rPr>
      </w:pP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0E98CC4B" w:rsidR="00054C41" w:rsidRDefault="005A7DB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sdt>
                <w:sdtPr>
                  <w:rPr>
                    <w:rFonts w:ascii="Times New Roman" w:eastAsia="Calibri" w:hAnsi="Times New Roman" w:cs="Times New Roman"/>
                    <w:i/>
                    <w:sz w:val="24"/>
                    <w:szCs w:val="24"/>
                  </w:rPr>
                  <w:id w:val="-1221358631"/>
                  <w14:checkbox>
                    <w14:checked w14:val="0"/>
                    <w14:checkedState w14:val="2612" w14:font="MS Gothic"/>
                    <w14:uncheckedState w14:val="2610" w14:font="MS Gothic"/>
                  </w14:checkbox>
                </w:sdtPr>
                <w:sdtEndPr/>
                <w:sdtContent>
                  <w:r w:rsidR="00757B6B">
                    <w:rPr>
                      <w:rFonts w:ascii="MS Gothic" w:eastAsia="MS Gothic" w:hAnsi="MS Gothic" w:cs="Times New Roman" w:hint="eastAsia"/>
                      <w:i/>
                      <w:sz w:val="24"/>
                      <w:szCs w:val="24"/>
                    </w:rPr>
                    <w:t>☐</w:t>
                  </w:r>
                </w:sdtContent>
              </w:sdt>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1568257380"/>
            </w:sdtPr>
            <w:sdtEndPr/>
            <w:sdtContent>
              <w:sdt>
                <w:sdtPr>
                  <w:rPr>
                    <w:rFonts w:ascii="Times New Roman" w:eastAsia="Calibri" w:hAnsi="Times New Roman" w:cs="Times New Roman"/>
                    <w:i/>
                    <w:sz w:val="24"/>
                    <w:szCs w:val="24"/>
                  </w:rPr>
                  <w:id w:val="-1926404168"/>
                  <w14:checkbox>
                    <w14:checked w14:val="1"/>
                    <w14:checkedState w14:val="2612" w14:font="MS Gothic"/>
                    <w14:uncheckedState w14:val="2610" w14:font="MS Gothic"/>
                  </w14:checkbox>
                </w:sdtPr>
                <w:sdtEndPr/>
                <w:sdtContent>
                  <w:r w:rsidR="00757B6B">
                    <w:rPr>
                      <w:rFonts w:ascii="MS Gothic" w:eastAsia="MS Gothic" w:hAnsi="MS Gothic" w:cs="Times New Roman" w:hint="eastAsia"/>
                      <w:i/>
                      <w:sz w:val="24"/>
                      <w:szCs w:val="24"/>
                    </w:rPr>
                    <w:t>☒</w:t>
                  </w:r>
                </w:sdtContent>
              </w:sdt>
            </w:sdtContent>
          </w:sdt>
        </w:sdtContent>
      </w:sdt>
      <w:r w:rsidR="00054C41" w:rsidRPr="00D8247C">
        <w:rPr>
          <w:rFonts w:ascii="Times New Roman" w:eastAsia="Calibri" w:hAnsi="Times New Roman" w:cs="Times New Roman"/>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B22BBA9" w14:textId="77777777" w:rsidR="00143D4C" w:rsidRPr="00D8247C" w:rsidRDefault="00143D4C"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01F3E705"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4F26B2F" w14:textId="79819C40" w:rsidR="00143D4C" w:rsidRDefault="00143D4C" w:rsidP="00054C41">
      <w:pPr>
        <w:spacing w:after="0"/>
        <w:jc w:val="both"/>
        <w:rPr>
          <w:rFonts w:ascii="Times New Roman" w:eastAsia="Calibri" w:hAnsi="Times New Roman" w:cs="Times New Roman"/>
          <w:i/>
          <w:sz w:val="24"/>
          <w:szCs w:val="24"/>
        </w:rPr>
      </w:pPr>
    </w:p>
    <w:p w14:paraId="32217D5C" w14:textId="77777777" w:rsidR="00143D4C" w:rsidRDefault="00143D4C" w:rsidP="00143D4C">
      <w:pPr>
        <w:spacing w:after="0"/>
        <w:jc w:val="both"/>
        <w:rPr>
          <w:rFonts w:ascii="Times New Roman" w:eastAsia="Calibri" w:hAnsi="Times New Roman" w:cs="Times New Roman"/>
          <w:sz w:val="24"/>
          <w:szCs w:val="24"/>
        </w:rPr>
      </w:pPr>
      <w:r w:rsidRPr="00143D4C">
        <w:rPr>
          <w:rFonts w:ascii="Times New Roman" w:eastAsia="Calibri" w:hAnsi="Times New Roman" w:cs="Times New Roman"/>
          <w:sz w:val="24"/>
          <w:szCs w:val="24"/>
        </w:rPr>
        <w:t xml:space="preserve">Navrhovanou právnou úpravou sa </w:t>
      </w:r>
      <w:r>
        <w:rPr>
          <w:rFonts w:ascii="Times New Roman" w:eastAsia="Calibri" w:hAnsi="Times New Roman" w:cs="Times New Roman"/>
          <w:sz w:val="24"/>
          <w:szCs w:val="24"/>
        </w:rPr>
        <w:t xml:space="preserve">odstraňujú praktické problémy pri ukončovaní podnikania na Slovensku </w:t>
      </w:r>
      <w:r w:rsidRPr="00143D4C">
        <w:rPr>
          <w:rFonts w:ascii="Times New Roman" w:eastAsia="Calibri" w:hAnsi="Times New Roman" w:cs="Times New Roman"/>
          <w:sz w:val="24"/>
          <w:szCs w:val="24"/>
        </w:rPr>
        <w:t xml:space="preserve">a zrýchľujú </w:t>
      </w:r>
      <w:r>
        <w:rPr>
          <w:rFonts w:ascii="Times New Roman" w:eastAsia="Calibri" w:hAnsi="Times New Roman" w:cs="Times New Roman"/>
          <w:sz w:val="24"/>
          <w:szCs w:val="24"/>
        </w:rPr>
        <w:t>sa procesy</w:t>
      </w:r>
      <w:r w:rsidRPr="00143D4C">
        <w:rPr>
          <w:rFonts w:ascii="Times New Roman" w:eastAsia="Calibri" w:hAnsi="Times New Roman" w:cs="Times New Roman"/>
          <w:sz w:val="24"/>
          <w:szCs w:val="24"/>
        </w:rPr>
        <w:t>, čo prispeje k zníženiu časových a administratívnych bariér v podnikateľskom prostredí.</w:t>
      </w:r>
    </w:p>
    <w:p w14:paraId="23DA5CCF" w14:textId="1DA895B6"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Na základe uvedenej odpovede zaškrtnite a popíšte, či materiál produktivitu:</w:t>
      </w:r>
    </w:p>
    <w:p w14:paraId="04547B8F" w14:textId="7248BBD9" w:rsidR="00054C41" w:rsidRDefault="005A7DB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sdt>
                <w:sdtPr>
                  <w:rPr>
                    <w:rFonts w:ascii="Times New Roman" w:eastAsia="Calibri" w:hAnsi="Times New Roman" w:cs="Times New Roman"/>
                    <w:i/>
                    <w:sz w:val="24"/>
                    <w:szCs w:val="24"/>
                  </w:rPr>
                  <w:id w:val="1612771518"/>
                  <w14:checkbox>
                    <w14:checked w14:val="1"/>
                    <w14:checkedState w14:val="2612" w14:font="MS Gothic"/>
                    <w14:uncheckedState w14:val="2610" w14:font="MS Gothic"/>
                  </w14:checkbox>
                </w:sdtPr>
                <w:sdtEndPr/>
                <w:sdtContent>
                  <w:r w:rsidR="00757B6B">
                    <w:rPr>
                      <w:rFonts w:ascii="MS Gothic" w:eastAsia="MS Gothic" w:hAnsi="MS Gothic" w:cs="Times New Roman" w:hint="eastAsia"/>
                      <w:i/>
                      <w:sz w:val="24"/>
                      <w:szCs w:val="24"/>
                    </w:rPr>
                    <w:t>☒</w:t>
                  </w:r>
                </w:sdtContent>
              </w:sdt>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143D4C">
        <w:rPr>
          <w:rFonts w:ascii="Times New Roman" w:eastAsia="Calibri" w:hAnsi="Times New Roman" w:cs="Times New Roman"/>
          <w:i/>
          <w:sz w:val="24"/>
          <w:szCs w:val="24"/>
        </w:rPr>
        <w:t xml:space="preserve"> znižuje</w:t>
      </w: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165AE15A" w:rsidR="00D114ED"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51BA87AE" w14:textId="77777777" w:rsidR="00FA1622" w:rsidRDefault="00FA1622" w:rsidP="00FA1622">
      <w:pPr>
        <w:spacing w:after="0"/>
        <w:jc w:val="both"/>
        <w:rPr>
          <w:rFonts w:ascii="Times New Roman" w:eastAsia="Calibri" w:hAnsi="Times New Roman" w:cs="Times New Roman"/>
          <w:sz w:val="24"/>
        </w:rPr>
      </w:pPr>
    </w:p>
    <w:p w14:paraId="7C4F8889" w14:textId="1C112265" w:rsidR="00966D8B" w:rsidRPr="00CE6440" w:rsidRDefault="00FA1622" w:rsidP="00CE6440">
      <w:pPr>
        <w:jc w:val="both"/>
        <w:rPr>
          <w:rFonts w:ascii="Times New Roman" w:eastAsia="Calibri" w:hAnsi="Times New Roman" w:cs="Times New Roman"/>
          <w:sz w:val="24"/>
        </w:rPr>
      </w:pPr>
      <w:r w:rsidRPr="00FA1622">
        <w:rPr>
          <w:rFonts w:ascii="Times New Roman" w:eastAsia="Calibri" w:hAnsi="Times New Roman" w:cs="Times New Roman"/>
          <w:sz w:val="24"/>
        </w:rPr>
        <w:t xml:space="preserve">V prvom rade si dovoľujeme uviesť, že predkladaný návrh zákona </w:t>
      </w:r>
      <w:r w:rsidRPr="001E06E2">
        <w:rPr>
          <w:rFonts w:ascii="Times New Roman" w:eastAsia="Calibri" w:hAnsi="Times New Roman" w:cs="Times New Roman"/>
          <w:sz w:val="24"/>
        </w:rPr>
        <w:t>predpokladá tak pozitívny, ako aj negatívny vplyv na podnikateľské prostredie, pričom nižšie popísané</w:t>
      </w:r>
      <w:r>
        <w:rPr>
          <w:rFonts w:ascii="Times New Roman" w:eastAsia="Calibri" w:hAnsi="Times New Roman" w:cs="Times New Roman"/>
          <w:sz w:val="24"/>
        </w:rPr>
        <w:t xml:space="preserve"> vplyvy</w:t>
      </w:r>
      <w:r w:rsidRPr="00FA1622">
        <w:rPr>
          <w:rFonts w:ascii="Times New Roman" w:eastAsia="Calibri" w:hAnsi="Times New Roman" w:cs="Times New Roman"/>
          <w:sz w:val="24"/>
        </w:rPr>
        <w:t xml:space="preserve"> na podnikateľské prostredie nemožno kvantifikovať z dôvodu nedostupnosti údajov, príp. ide o zanedbateľné vplyvy.</w:t>
      </w:r>
    </w:p>
    <w:p w14:paraId="6A6F5D19" w14:textId="18E520FB" w:rsidR="00FA1622" w:rsidRDefault="00FA1622" w:rsidP="00CE6440">
      <w:pPr>
        <w:spacing w:line="254"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1. </w:t>
      </w:r>
      <w:r w:rsidR="00143D4C" w:rsidRPr="00E22D35">
        <w:rPr>
          <w:rFonts w:ascii="Times New Roman" w:eastAsia="Calibri" w:hAnsi="Times New Roman" w:cs="Times New Roman"/>
          <w:b/>
          <w:sz w:val="24"/>
          <w:szCs w:val="24"/>
          <w:u w:val="single"/>
        </w:rPr>
        <w:t xml:space="preserve">Rozšírenie dojednania zmluvnej pokuty </w:t>
      </w:r>
      <w:r>
        <w:rPr>
          <w:rFonts w:ascii="Times New Roman" w:eastAsia="Calibri" w:hAnsi="Times New Roman" w:cs="Times New Roman"/>
          <w:b/>
          <w:sz w:val="24"/>
          <w:szCs w:val="24"/>
          <w:u w:val="single"/>
        </w:rPr>
        <w:t>na všetky právnické osoby - § 11 ods. 2</w:t>
      </w:r>
    </w:p>
    <w:p w14:paraId="74B15DF7" w14:textId="61B211B0" w:rsidR="00FA1622" w:rsidRDefault="00FA1622" w:rsidP="00671AE1">
      <w:pPr>
        <w:spacing w:line="254" w:lineRule="auto"/>
        <w:jc w:val="both"/>
        <w:rPr>
          <w:rFonts w:ascii="Times New Roman" w:hAnsi="Times New Roman"/>
          <w:sz w:val="24"/>
        </w:rPr>
      </w:pPr>
      <w:r>
        <w:rPr>
          <w:rFonts w:ascii="Times New Roman" w:hAnsi="Times New Roman"/>
          <w:sz w:val="24"/>
        </w:rPr>
        <w:t xml:space="preserve">V prípade porušenia povinnosti podania návrhu na vyhlásenie konkurzu dlžníkom, ktorý je právnickou osobou v zmysle aktuálne účinnej právnej úpravy platí, že </w:t>
      </w:r>
      <w:r w:rsidRPr="00FA1622">
        <w:rPr>
          <w:rFonts w:ascii="Times New Roman" w:hAnsi="Times New Roman"/>
          <w:sz w:val="24"/>
        </w:rPr>
        <w:t>sa medzi spoločnosťou s ručením obmedzeným, jednoduchou spoločnosťou na akcie alebo akciovou spoločnosťou a osobou povinnou podať návrh na vyhlásenie konkurzu v jej mene</w:t>
      </w:r>
      <w:r>
        <w:rPr>
          <w:rFonts w:ascii="Times New Roman" w:hAnsi="Times New Roman"/>
          <w:sz w:val="24"/>
        </w:rPr>
        <w:t xml:space="preserve"> (štatutárny orgán, člen štatutárneho orgánu)</w:t>
      </w:r>
      <w:r w:rsidRPr="00FA1622">
        <w:rPr>
          <w:rFonts w:ascii="Times New Roman" w:hAnsi="Times New Roman"/>
          <w:sz w:val="24"/>
        </w:rPr>
        <w:t>, dojednala zmluvná pokuta vo výške rovnakej ako je polovica najnižšej hodnoty základného imania pre akciovú spoločnosť.</w:t>
      </w:r>
      <w:r>
        <w:rPr>
          <w:rFonts w:ascii="Times New Roman" w:hAnsi="Times New Roman"/>
          <w:sz w:val="24"/>
        </w:rPr>
        <w:t xml:space="preserve"> </w:t>
      </w:r>
    </w:p>
    <w:p w14:paraId="47D28930" w14:textId="3AB8F412" w:rsidR="00671AE1" w:rsidRPr="00757B6B" w:rsidRDefault="00671AE1" w:rsidP="00671AE1">
      <w:pPr>
        <w:spacing w:line="254" w:lineRule="auto"/>
        <w:jc w:val="both"/>
        <w:rPr>
          <w:rFonts w:ascii="Times New Roman" w:hAnsi="Times New Roman"/>
          <w:sz w:val="24"/>
        </w:rPr>
      </w:pPr>
      <w:r>
        <w:rPr>
          <w:rFonts w:ascii="Times New Roman" w:hAnsi="Times New Roman"/>
          <w:sz w:val="24"/>
        </w:rPr>
        <w:t xml:space="preserve">V zmysle návrhu na rozsah tohto ustanovenie rozširuje na všetky právnické osoby (a teda aj komanditnú spoločnosť, </w:t>
      </w:r>
      <w:r w:rsidRPr="00757B6B">
        <w:rPr>
          <w:rFonts w:ascii="Times New Roman" w:hAnsi="Times New Roman"/>
          <w:sz w:val="24"/>
        </w:rPr>
        <w:t xml:space="preserve">verejnú obchodnú spoločnosť, družstvo či nadáciu), </w:t>
      </w:r>
      <w:r w:rsidR="001E06E2" w:rsidRPr="00757B6B">
        <w:rPr>
          <w:rFonts w:ascii="Times New Roman" w:hAnsi="Times New Roman"/>
          <w:sz w:val="24"/>
        </w:rPr>
        <w:t>a to z dôvodu zovšeobecnenia právnej úpravy, čo bude viesť k jej lepšej predvídateľnosti. P</w:t>
      </w:r>
      <w:r w:rsidRPr="00757B6B">
        <w:rPr>
          <w:rFonts w:ascii="Times New Roman" w:hAnsi="Times New Roman"/>
          <w:sz w:val="24"/>
        </w:rPr>
        <w:t>redkladateľ nevidí dôvod na diferenciáciu medzi j</w:t>
      </w:r>
      <w:r w:rsidR="001E06E2" w:rsidRPr="00757B6B">
        <w:rPr>
          <w:rFonts w:ascii="Times New Roman" w:hAnsi="Times New Roman"/>
          <w:sz w:val="24"/>
        </w:rPr>
        <w:t>ednotlivými právnymi formami</w:t>
      </w:r>
      <w:r w:rsidRPr="00757B6B">
        <w:rPr>
          <w:rFonts w:ascii="Times New Roman" w:hAnsi="Times New Roman"/>
          <w:sz w:val="24"/>
        </w:rPr>
        <w:t xml:space="preserve">. </w:t>
      </w:r>
    </w:p>
    <w:p w14:paraId="135948EA" w14:textId="77777777" w:rsidR="00F30705" w:rsidRPr="00757B6B" w:rsidRDefault="00671AE1" w:rsidP="00CE6440">
      <w:pPr>
        <w:spacing w:line="254" w:lineRule="auto"/>
        <w:jc w:val="both"/>
        <w:rPr>
          <w:rFonts w:ascii="Times New Roman" w:hAnsi="Times New Roman"/>
          <w:sz w:val="24"/>
        </w:rPr>
      </w:pPr>
      <w:r w:rsidRPr="00757B6B">
        <w:rPr>
          <w:rFonts w:ascii="Times New Roman" w:hAnsi="Times New Roman"/>
          <w:sz w:val="24"/>
        </w:rPr>
        <w:t xml:space="preserve">Podľa predkladateľa má takáto úprava pozitívny vplyv na </w:t>
      </w:r>
      <w:r w:rsidR="00CF6CC0" w:rsidRPr="00757B6B">
        <w:rPr>
          <w:rFonts w:ascii="Times New Roman" w:hAnsi="Times New Roman"/>
          <w:sz w:val="24"/>
        </w:rPr>
        <w:t xml:space="preserve">podnikateľské prostredie, z dôvodu zvýšenej ochrany spoločností - úpadcov. </w:t>
      </w:r>
    </w:p>
    <w:p w14:paraId="10CC4069" w14:textId="3BF81A31" w:rsidR="00670582" w:rsidRPr="00CE6440" w:rsidRDefault="00F30705" w:rsidP="00CE6440">
      <w:pPr>
        <w:spacing w:line="254" w:lineRule="auto"/>
        <w:jc w:val="both"/>
        <w:rPr>
          <w:rFonts w:ascii="Times New Roman" w:hAnsi="Times New Roman"/>
          <w:sz w:val="24"/>
        </w:rPr>
      </w:pPr>
      <w:r w:rsidRPr="00757B6B">
        <w:rPr>
          <w:rFonts w:ascii="Times New Roman" w:hAnsi="Times New Roman"/>
          <w:sz w:val="24"/>
        </w:rPr>
        <w:t>V danom prípade</w:t>
      </w:r>
      <w:r w:rsidR="00CF6CC0" w:rsidRPr="00757B6B">
        <w:rPr>
          <w:rFonts w:ascii="Times New Roman" w:hAnsi="Times New Roman"/>
          <w:sz w:val="24"/>
        </w:rPr>
        <w:t xml:space="preserve"> však </w:t>
      </w:r>
      <w:r w:rsidRPr="00757B6B">
        <w:rPr>
          <w:rFonts w:ascii="Times New Roman" w:hAnsi="Times New Roman"/>
          <w:sz w:val="24"/>
        </w:rPr>
        <w:t xml:space="preserve">nie je </w:t>
      </w:r>
      <w:r w:rsidR="00CF6CC0" w:rsidRPr="00757B6B">
        <w:rPr>
          <w:rFonts w:ascii="Times New Roman" w:hAnsi="Times New Roman"/>
          <w:sz w:val="24"/>
        </w:rPr>
        <w:t xml:space="preserve">možné kvantifikovať náklady, a to vzhľadom na chýbajúce dáta – predkladateľ nedisponuje dátami v akom počte prípadov dôjde k takémuto neskorému podaniu návrhu na vyhlásenie konkurzu, či v akom </w:t>
      </w:r>
      <w:r w:rsidRPr="00757B6B">
        <w:rPr>
          <w:rFonts w:ascii="Times New Roman" w:hAnsi="Times New Roman"/>
          <w:sz w:val="24"/>
        </w:rPr>
        <w:t>poč</w:t>
      </w:r>
      <w:r w:rsidR="00CF6CC0" w:rsidRPr="00757B6B">
        <w:rPr>
          <w:rFonts w:ascii="Times New Roman" w:hAnsi="Times New Roman"/>
          <w:sz w:val="24"/>
        </w:rPr>
        <w:t>te prípadov si spoločnosti od štatutára túto zmluvnú pokutu nárokujú. Presná kvantifikácia rovnako nie je možná vzhľadom na charakter regulácie – nejde tu o administratívnu záťaž či platbu poplatkov, ide o </w:t>
      </w:r>
      <w:r w:rsidR="00F477FC" w:rsidRPr="00757B6B">
        <w:rPr>
          <w:rFonts w:ascii="Times New Roman" w:hAnsi="Times New Roman"/>
          <w:sz w:val="24"/>
        </w:rPr>
        <w:t>zrovnoprávnenie</w:t>
      </w:r>
      <w:r w:rsidR="00CF6CC0" w:rsidRPr="00757B6B">
        <w:rPr>
          <w:rFonts w:ascii="Times New Roman" w:hAnsi="Times New Roman"/>
          <w:sz w:val="24"/>
        </w:rPr>
        <w:t xml:space="preserve"> postavenia</w:t>
      </w:r>
      <w:r w:rsidR="00F477FC" w:rsidRPr="00757B6B">
        <w:rPr>
          <w:rFonts w:ascii="Times New Roman" w:hAnsi="Times New Roman"/>
          <w:sz w:val="24"/>
        </w:rPr>
        <w:t xml:space="preserve"> všetkých druhov</w:t>
      </w:r>
      <w:r w:rsidR="00CF6CC0" w:rsidRPr="00757B6B">
        <w:rPr>
          <w:rFonts w:ascii="Times New Roman" w:hAnsi="Times New Roman"/>
          <w:sz w:val="24"/>
        </w:rPr>
        <w:t xml:space="preserve"> </w:t>
      </w:r>
      <w:r w:rsidR="00F477FC" w:rsidRPr="00757B6B">
        <w:rPr>
          <w:rFonts w:ascii="Times New Roman" w:hAnsi="Times New Roman"/>
          <w:sz w:val="24"/>
        </w:rPr>
        <w:t>právnických osôb</w:t>
      </w:r>
      <w:r w:rsidR="001747A4" w:rsidRPr="00757B6B">
        <w:rPr>
          <w:rFonts w:ascii="Times New Roman" w:hAnsi="Times New Roman"/>
          <w:sz w:val="24"/>
        </w:rPr>
        <w:t xml:space="preserve"> </w:t>
      </w:r>
      <w:r w:rsidR="00CF6CC0" w:rsidRPr="00757B6B">
        <w:rPr>
          <w:rFonts w:ascii="Times New Roman" w:hAnsi="Times New Roman"/>
          <w:sz w:val="24"/>
        </w:rPr>
        <w:t>vo vzťahu k štatutárovi.</w:t>
      </w:r>
      <w:r w:rsidR="00CF6CC0">
        <w:rPr>
          <w:rFonts w:ascii="Times New Roman" w:hAnsi="Times New Roman"/>
          <w:sz w:val="24"/>
        </w:rPr>
        <w:t xml:space="preserve">   </w:t>
      </w:r>
    </w:p>
    <w:p w14:paraId="1A36E29E" w14:textId="57DF5690" w:rsidR="00670582" w:rsidRPr="00FA1622" w:rsidRDefault="00CE6440" w:rsidP="00670582">
      <w:pPr>
        <w:jc w:val="both"/>
        <w:rPr>
          <w:rFonts w:ascii="Times New Roman" w:eastAsia="Calibri" w:hAnsi="Times New Roman" w:cs="Times New Roman"/>
          <w:b/>
          <w:bCs/>
          <w:iCs/>
          <w:color w:val="000000"/>
          <w:sz w:val="24"/>
          <w:szCs w:val="24"/>
          <w:u w:val="single"/>
        </w:rPr>
      </w:pPr>
      <w:r>
        <w:rPr>
          <w:rFonts w:ascii="Times New Roman" w:eastAsia="Calibri" w:hAnsi="Times New Roman" w:cs="Times New Roman"/>
          <w:b/>
          <w:bCs/>
          <w:iCs/>
          <w:color w:val="000000"/>
          <w:sz w:val="24"/>
          <w:szCs w:val="24"/>
          <w:u w:val="single"/>
        </w:rPr>
        <w:t>2</w:t>
      </w:r>
      <w:r w:rsidR="00FA1622">
        <w:rPr>
          <w:rFonts w:ascii="Times New Roman" w:eastAsia="Calibri" w:hAnsi="Times New Roman" w:cs="Times New Roman"/>
          <w:b/>
          <w:bCs/>
          <w:iCs/>
          <w:color w:val="000000"/>
          <w:sz w:val="24"/>
          <w:szCs w:val="24"/>
          <w:u w:val="single"/>
        </w:rPr>
        <w:t xml:space="preserve">. </w:t>
      </w:r>
      <w:r w:rsidR="00BD5CBF">
        <w:rPr>
          <w:rFonts w:ascii="Times New Roman" w:eastAsia="Calibri" w:hAnsi="Times New Roman" w:cs="Times New Roman"/>
          <w:b/>
          <w:bCs/>
          <w:iCs/>
          <w:color w:val="000000"/>
          <w:sz w:val="24"/>
          <w:szCs w:val="24"/>
          <w:u w:val="single"/>
        </w:rPr>
        <w:t>Vyhotovenie</w:t>
      </w:r>
      <w:r w:rsidR="00A46231">
        <w:rPr>
          <w:rFonts w:ascii="Times New Roman" w:eastAsia="Calibri" w:hAnsi="Times New Roman" w:cs="Times New Roman"/>
          <w:b/>
          <w:bCs/>
          <w:iCs/>
          <w:color w:val="000000"/>
          <w:sz w:val="24"/>
          <w:szCs w:val="24"/>
          <w:u w:val="single"/>
        </w:rPr>
        <w:t xml:space="preserve"> audiovizuálneho záznamu o priebehu zasadnutia veriteľského výboru predsedom</w:t>
      </w:r>
      <w:r w:rsidR="00670582" w:rsidRPr="00FA1622">
        <w:rPr>
          <w:rFonts w:ascii="Times New Roman" w:eastAsia="Calibri" w:hAnsi="Times New Roman" w:cs="Times New Roman"/>
          <w:b/>
          <w:bCs/>
          <w:iCs/>
          <w:color w:val="000000"/>
          <w:sz w:val="24"/>
          <w:szCs w:val="24"/>
          <w:u w:val="single"/>
        </w:rPr>
        <w:t xml:space="preserve"> veriteľské výboru –</w:t>
      </w:r>
      <w:r w:rsidR="00F029B2">
        <w:rPr>
          <w:rFonts w:ascii="Times New Roman" w:eastAsia="Calibri" w:hAnsi="Times New Roman" w:cs="Times New Roman"/>
          <w:b/>
          <w:bCs/>
          <w:iCs/>
          <w:color w:val="000000"/>
          <w:sz w:val="24"/>
          <w:szCs w:val="24"/>
          <w:u w:val="single"/>
        </w:rPr>
        <w:t xml:space="preserve"> § 38 ods. 6 a</w:t>
      </w:r>
      <w:r w:rsidR="00670582" w:rsidRPr="00FA1622">
        <w:rPr>
          <w:rFonts w:ascii="Times New Roman" w:eastAsia="Calibri" w:hAnsi="Times New Roman" w:cs="Times New Roman"/>
          <w:b/>
          <w:bCs/>
          <w:iCs/>
          <w:color w:val="000000"/>
          <w:sz w:val="24"/>
          <w:szCs w:val="24"/>
          <w:u w:val="single"/>
        </w:rPr>
        <w:t xml:space="preserve"> </w:t>
      </w:r>
      <w:r w:rsidR="00A46231" w:rsidRPr="00A46231">
        <w:rPr>
          <w:rFonts w:ascii="Times New Roman" w:eastAsia="Calibri" w:hAnsi="Times New Roman" w:cs="Times New Roman"/>
          <w:b/>
          <w:bCs/>
          <w:iCs/>
          <w:color w:val="000000"/>
          <w:sz w:val="24"/>
          <w:szCs w:val="24"/>
          <w:u w:val="single"/>
        </w:rPr>
        <w:t>§ 128 ods. 6</w:t>
      </w:r>
    </w:p>
    <w:p w14:paraId="43CF9C1C" w14:textId="14A116B8" w:rsidR="00CE6440" w:rsidRDefault="00CE6440" w:rsidP="00CE6440">
      <w:pPr>
        <w:spacing w:line="254" w:lineRule="auto"/>
        <w:jc w:val="both"/>
        <w:rPr>
          <w:rFonts w:ascii="Times New Roman" w:hAnsi="Times New Roman"/>
          <w:sz w:val="24"/>
        </w:rPr>
      </w:pPr>
      <w:r>
        <w:rPr>
          <w:rFonts w:ascii="Times New Roman" w:hAnsi="Times New Roman"/>
          <w:sz w:val="24"/>
        </w:rPr>
        <w:t>Predseda veriteľského výboru vypracúva zápisnicu zo zasadnutia veriteľského výboru</w:t>
      </w:r>
      <w:r w:rsidR="00F029B2">
        <w:rPr>
          <w:rFonts w:ascii="Times New Roman" w:hAnsi="Times New Roman"/>
          <w:sz w:val="24"/>
        </w:rPr>
        <w:t>, a to tak v konkurze (§ 38 ods. 6), ako aj v reštrukturalizácii (§ 128 ods. 6)</w:t>
      </w:r>
      <w:r>
        <w:rPr>
          <w:rFonts w:ascii="Times New Roman" w:hAnsi="Times New Roman"/>
          <w:sz w:val="24"/>
        </w:rPr>
        <w:t xml:space="preserve">. </w:t>
      </w:r>
      <w:r w:rsidR="00F029B2">
        <w:rPr>
          <w:rFonts w:ascii="Times New Roman" w:hAnsi="Times New Roman"/>
          <w:sz w:val="24"/>
        </w:rPr>
        <w:t xml:space="preserve">Platí, že predsedu veriteľského výboru volia spomedzi členov veriteľského výboru práve títo členovia. Členov </w:t>
      </w:r>
      <w:r w:rsidR="00F029B2">
        <w:rPr>
          <w:rFonts w:ascii="Times New Roman" w:hAnsi="Times New Roman"/>
          <w:sz w:val="24"/>
        </w:rPr>
        <w:lastRenderedPageBreak/>
        <w:t>volia veritelia na prvej schôdzi veriteľov a nie je vylúčené, aby takýmto členom, resp. následne predsedom veriteľského výboru bol podnikateľ (fyzická alebo právnická osoba).</w:t>
      </w:r>
    </w:p>
    <w:p w14:paraId="0EA4A728" w14:textId="0F842509" w:rsidR="00CE6440" w:rsidRPr="00757B6B" w:rsidRDefault="00CE6440" w:rsidP="00CE6440">
      <w:pPr>
        <w:spacing w:line="254" w:lineRule="auto"/>
        <w:jc w:val="both"/>
        <w:rPr>
          <w:rFonts w:ascii="Times New Roman" w:hAnsi="Times New Roman"/>
          <w:sz w:val="24"/>
        </w:rPr>
      </w:pPr>
      <w:r>
        <w:rPr>
          <w:rFonts w:ascii="Times New Roman" w:hAnsi="Times New Roman"/>
          <w:sz w:val="24"/>
        </w:rPr>
        <w:t xml:space="preserve">V zmysle návrhu </w:t>
      </w:r>
      <w:r w:rsidR="00F029B2">
        <w:rPr>
          <w:rFonts w:ascii="Times New Roman" w:hAnsi="Times New Roman"/>
          <w:sz w:val="24"/>
        </w:rPr>
        <w:t xml:space="preserve">sa upravujú </w:t>
      </w:r>
      <w:r w:rsidR="00F029B2" w:rsidRPr="00F029B2">
        <w:rPr>
          <w:rFonts w:ascii="Times New Roman" w:hAnsi="Times New Roman"/>
          <w:sz w:val="24"/>
        </w:rPr>
        <w:t xml:space="preserve">pravidlá pre priebeh zasadnutia veriteľského výboru, ktoré sa </w:t>
      </w:r>
      <w:r w:rsidR="00F029B2">
        <w:rPr>
          <w:rFonts w:ascii="Times New Roman" w:hAnsi="Times New Roman"/>
          <w:sz w:val="24"/>
        </w:rPr>
        <w:t>bude</w:t>
      </w:r>
      <w:r w:rsidR="00F029B2" w:rsidRPr="00F029B2">
        <w:rPr>
          <w:rFonts w:ascii="Times New Roman" w:hAnsi="Times New Roman"/>
          <w:sz w:val="24"/>
        </w:rPr>
        <w:t xml:space="preserve"> môcť konať prostredníctvom videokonferencie alebo inými prostriedkami komunikačnej technológie. </w:t>
      </w:r>
      <w:r w:rsidR="00F029B2">
        <w:rPr>
          <w:rFonts w:ascii="Times New Roman" w:hAnsi="Times New Roman"/>
          <w:sz w:val="24"/>
        </w:rPr>
        <w:t xml:space="preserve">Povinnosť vyhotoviť audiovizuálny záznam je uložená predsedovi veriteľského výboru, a to vtedy, </w:t>
      </w:r>
      <w:r w:rsidR="00F029B2" w:rsidRPr="00F029B2">
        <w:rPr>
          <w:rFonts w:ascii="Times New Roman" w:hAnsi="Times New Roman"/>
          <w:sz w:val="24"/>
        </w:rPr>
        <w:t>ak o to požiada niektorý z prítomných členov veriteľského výboru</w:t>
      </w:r>
      <w:r w:rsidR="00757B6B">
        <w:rPr>
          <w:rFonts w:ascii="Times New Roman" w:hAnsi="Times New Roman"/>
          <w:sz w:val="24"/>
        </w:rPr>
        <w:t>.</w:t>
      </w:r>
      <w:r w:rsidR="00F029B2" w:rsidRPr="00F029B2">
        <w:rPr>
          <w:rFonts w:ascii="Times New Roman" w:hAnsi="Times New Roman"/>
          <w:sz w:val="24"/>
        </w:rPr>
        <w:t xml:space="preserve"> </w:t>
      </w:r>
      <w:r w:rsidR="00F029B2">
        <w:rPr>
          <w:rFonts w:ascii="Times New Roman" w:hAnsi="Times New Roman"/>
          <w:sz w:val="24"/>
        </w:rPr>
        <w:t xml:space="preserve">Tento záznam doručuje predseda veriteľského výboru správcovi </w:t>
      </w:r>
      <w:r w:rsidR="00F029B2" w:rsidRPr="00757B6B">
        <w:rPr>
          <w:rFonts w:ascii="Times New Roman" w:hAnsi="Times New Roman"/>
          <w:sz w:val="24"/>
        </w:rPr>
        <w:t xml:space="preserve">elektronicky. Táto úprava sa zavádza s cieľom reflektovania potrieb výkonu funkcie veriteľského výboru v dôsledku elektronizácie. </w:t>
      </w:r>
    </w:p>
    <w:p w14:paraId="11A7B11C" w14:textId="73902740" w:rsidR="00F029B2" w:rsidRPr="00757B6B" w:rsidRDefault="00CE6440" w:rsidP="00CE6440">
      <w:pPr>
        <w:spacing w:line="254" w:lineRule="auto"/>
        <w:jc w:val="both"/>
        <w:rPr>
          <w:rFonts w:ascii="Times New Roman" w:hAnsi="Times New Roman"/>
          <w:sz w:val="24"/>
        </w:rPr>
      </w:pPr>
      <w:r w:rsidRPr="00757B6B">
        <w:rPr>
          <w:rFonts w:ascii="Times New Roman" w:hAnsi="Times New Roman"/>
          <w:sz w:val="24"/>
        </w:rPr>
        <w:t>Podľa predkladateľa má takáto úprava pozitívny</w:t>
      </w:r>
      <w:r w:rsidR="00F029B2" w:rsidRPr="00757B6B">
        <w:rPr>
          <w:rFonts w:ascii="Times New Roman" w:hAnsi="Times New Roman"/>
          <w:sz w:val="24"/>
        </w:rPr>
        <w:t>, ale aj negatívny</w:t>
      </w:r>
      <w:r w:rsidRPr="00757B6B">
        <w:rPr>
          <w:rFonts w:ascii="Times New Roman" w:hAnsi="Times New Roman"/>
          <w:sz w:val="24"/>
        </w:rPr>
        <w:t xml:space="preserve"> vplyv na podnikateľské prostredie</w:t>
      </w:r>
      <w:r w:rsidR="00F029B2" w:rsidRPr="00757B6B">
        <w:rPr>
          <w:rFonts w:ascii="Times New Roman" w:hAnsi="Times New Roman"/>
          <w:sz w:val="24"/>
        </w:rPr>
        <w:t>.</w:t>
      </w:r>
    </w:p>
    <w:p w14:paraId="7C3EC239" w14:textId="1F9F9C92" w:rsidR="00F30705" w:rsidRDefault="00F30705" w:rsidP="00CE6440">
      <w:pPr>
        <w:spacing w:line="254" w:lineRule="auto"/>
        <w:jc w:val="both"/>
        <w:rPr>
          <w:rFonts w:ascii="Times New Roman" w:hAnsi="Times New Roman"/>
          <w:sz w:val="24"/>
        </w:rPr>
      </w:pPr>
      <w:r w:rsidRPr="00757B6B">
        <w:rPr>
          <w:rFonts w:ascii="Times New Roman" w:hAnsi="Times New Roman"/>
          <w:sz w:val="24"/>
        </w:rPr>
        <w:t>Pozitívny vplyv možno badať v úprave možnosti a pravidiel pre uskutočnenie schôdze veriteľského výboru elektronickými prostriedkami.</w:t>
      </w:r>
      <w:r>
        <w:rPr>
          <w:rFonts w:ascii="Times New Roman" w:hAnsi="Times New Roman"/>
          <w:sz w:val="24"/>
        </w:rPr>
        <w:t xml:space="preserve"> </w:t>
      </w:r>
    </w:p>
    <w:p w14:paraId="0C3D37EE" w14:textId="32BCADF2" w:rsidR="00F30705" w:rsidRDefault="00F029B2" w:rsidP="00CE6440">
      <w:pPr>
        <w:spacing w:line="254" w:lineRule="auto"/>
        <w:jc w:val="both"/>
        <w:rPr>
          <w:rFonts w:ascii="Times New Roman" w:hAnsi="Times New Roman"/>
          <w:sz w:val="24"/>
        </w:rPr>
      </w:pPr>
      <w:r>
        <w:rPr>
          <w:rFonts w:ascii="Times New Roman" w:hAnsi="Times New Roman"/>
          <w:sz w:val="24"/>
        </w:rPr>
        <w:t>Negatívny vplyv</w:t>
      </w:r>
      <w:r w:rsidR="00F30705">
        <w:rPr>
          <w:rFonts w:ascii="Times New Roman" w:hAnsi="Times New Roman"/>
          <w:sz w:val="24"/>
        </w:rPr>
        <w:t xml:space="preserve"> bude mať regulácia na predsedu veriteľského výboru v prípade, ak pôjde o podnikateľa (právnická alebo fyzická osoba), a bude spočívať v povinnosti vypracovať záznam</w:t>
      </w:r>
      <w:r w:rsidR="00687491">
        <w:rPr>
          <w:rFonts w:ascii="Times New Roman" w:hAnsi="Times New Roman"/>
          <w:sz w:val="24"/>
        </w:rPr>
        <w:t xml:space="preserve"> </w:t>
      </w:r>
      <w:r w:rsidR="00F30705">
        <w:rPr>
          <w:rFonts w:ascii="Times New Roman" w:hAnsi="Times New Roman"/>
          <w:sz w:val="24"/>
        </w:rPr>
        <w:t xml:space="preserve">a  predložiť ho správcovi. </w:t>
      </w:r>
    </w:p>
    <w:p w14:paraId="01DE948D" w14:textId="259BA5C8" w:rsidR="009B2DC0" w:rsidRPr="00BD5CBF" w:rsidRDefault="00F30705" w:rsidP="00BD5CBF">
      <w:pPr>
        <w:spacing w:line="254" w:lineRule="auto"/>
        <w:jc w:val="both"/>
        <w:rPr>
          <w:rFonts w:ascii="Times New Roman" w:hAnsi="Times New Roman"/>
          <w:sz w:val="24"/>
        </w:rPr>
      </w:pPr>
      <w:r>
        <w:rPr>
          <w:rFonts w:ascii="Times New Roman" w:hAnsi="Times New Roman"/>
          <w:sz w:val="24"/>
        </w:rPr>
        <w:t>Z pohľadu predkladateľa nie je</w:t>
      </w:r>
      <w:r w:rsidR="00CE6440">
        <w:rPr>
          <w:rFonts w:ascii="Times New Roman" w:hAnsi="Times New Roman"/>
          <w:sz w:val="24"/>
        </w:rPr>
        <w:t xml:space="preserve"> </w:t>
      </w:r>
      <w:r w:rsidR="00791C2F">
        <w:rPr>
          <w:rFonts w:ascii="Times New Roman" w:hAnsi="Times New Roman"/>
          <w:sz w:val="24"/>
        </w:rPr>
        <w:t xml:space="preserve">možné </w:t>
      </w:r>
      <w:r w:rsidR="00CE6440">
        <w:rPr>
          <w:rFonts w:ascii="Times New Roman" w:hAnsi="Times New Roman"/>
          <w:sz w:val="24"/>
        </w:rPr>
        <w:t>kvantifikovať náklady,</w:t>
      </w:r>
      <w:r>
        <w:rPr>
          <w:rFonts w:ascii="Times New Roman" w:hAnsi="Times New Roman"/>
          <w:sz w:val="24"/>
        </w:rPr>
        <w:t xml:space="preserve"> nakoľko je povinnosť predsedu veriteľského výboru obmedzená len na prípady, kedy o vypracovanie záznamu požiada oprávnená osoba</w:t>
      </w:r>
      <w:r w:rsidR="00CE6440">
        <w:rPr>
          <w:rFonts w:ascii="Times New Roman" w:hAnsi="Times New Roman"/>
          <w:sz w:val="24"/>
        </w:rPr>
        <w:t xml:space="preserve">. </w:t>
      </w:r>
      <w:r>
        <w:rPr>
          <w:rFonts w:ascii="Times New Roman" w:hAnsi="Times New Roman"/>
          <w:sz w:val="24"/>
        </w:rPr>
        <w:t xml:space="preserve">Rovnako nie je možné predpokladať, v akom počte prípadov sa takáto schôdza uskutoční elektronicky. </w:t>
      </w:r>
      <w:r w:rsidR="00CE6440">
        <w:rPr>
          <w:rFonts w:ascii="Times New Roman" w:hAnsi="Times New Roman"/>
          <w:sz w:val="24"/>
        </w:rPr>
        <w:t xml:space="preserve">   </w:t>
      </w:r>
    </w:p>
    <w:p w14:paraId="5CD442D3" w14:textId="46F283C9" w:rsidR="00FA1622" w:rsidRPr="008C3860" w:rsidRDefault="001E06E2" w:rsidP="00FA1622">
      <w:pPr>
        <w:jc w:val="both"/>
        <w:rPr>
          <w:rFonts w:ascii="Times New Roman" w:eastAsia="Calibri" w:hAnsi="Times New Roman" w:cs="Times New Roman"/>
          <w:b/>
          <w:bCs/>
          <w:iCs/>
          <w:color w:val="000000"/>
          <w:sz w:val="24"/>
          <w:szCs w:val="24"/>
          <w:u w:val="single"/>
        </w:rPr>
      </w:pPr>
      <w:r>
        <w:rPr>
          <w:rFonts w:ascii="Times New Roman" w:eastAsia="Calibri" w:hAnsi="Times New Roman" w:cs="Times New Roman"/>
          <w:b/>
          <w:bCs/>
          <w:iCs/>
          <w:color w:val="000000"/>
          <w:sz w:val="24"/>
          <w:szCs w:val="24"/>
          <w:u w:val="single"/>
        </w:rPr>
        <w:t>3</w:t>
      </w:r>
      <w:r w:rsidR="00FA1622" w:rsidRPr="008C3860">
        <w:rPr>
          <w:rFonts w:ascii="Times New Roman" w:eastAsia="Calibri" w:hAnsi="Times New Roman" w:cs="Times New Roman"/>
          <w:b/>
          <w:bCs/>
          <w:iCs/>
          <w:color w:val="000000"/>
          <w:sz w:val="24"/>
          <w:szCs w:val="24"/>
          <w:u w:val="single"/>
        </w:rPr>
        <w:t xml:space="preserve">. Uloženie reštrukturalizačného plánu na </w:t>
      </w:r>
      <w:r w:rsidR="007B13C1">
        <w:rPr>
          <w:rFonts w:ascii="Times New Roman" w:eastAsia="Calibri" w:hAnsi="Times New Roman" w:cs="Times New Roman"/>
          <w:b/>
          <w:bCs/>
          <w:iCs/>
          <w:color w:val="000000"/>
          <w:sz w:val="24"/>
          <w:szCs w:val="24"/>
          <w:u w:val="single"/>
        </w:rPr>
        <w:t xml:space="preserve">špecializovanom </w:t>
      </w:r>
      <w:r w:rsidR="00FA1622" w:rsidRPr="008C3860">
        <w:rPr>
          <w:rFonts w:ascii="Times New Roman" w:eastAsia="Calibri" w:hAnsi="Times New Roman" w:cs="Times New Roman"/>
          <w:b/>
          <w:bCs/>
          <w:iCs/>
          <w:color w:val="000000"/>
          <w:sz w:val="24"/>
          <w:szCs w:val="24"/>
          <w:u w:val="single"/>
        </w:rPr>
        <w:t>portáli - § 146 ods. 7</w:t>
      </w:r>
    </w:p>
    <w:p w14:paraId="08C9B521" w14:textId="53A0E9FA" w:rsidR="008C3860" w:rsidRPr="008C3860" w:rsidRDefault="008C3860" w:rsidP="008C386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 zmysle aktuálne účinnej právnej úpravy dlžník zasiela aktuálne znenie plánu, resp. jeho upravenú verziu veriteľom. </w:t>
      </w:r>
    </w:p>
    <w:p w14:paraId="3D366DA8" w14:textId="5D01746C" w:rsidR="008C3860" w:rsidRPr="008C3860" w:rsidRDefault="008C3860" w:rsidP="008C3860">
      <w:pPr>
        <w:jc w:val="both"/>
        <w:rPr>
          <w:rFonts w:ascii="Times New Roman" w:eastAsia="Calibri" w:hAnsi="Times New Roman" w:cs="Times New Roman"/>
          <w:bCs/>
          <w:iCs/>
          <w:color w:val="000000"/>
          <w:sz w:val="24"/>
          <w:szCs w:val="24"/>
        </w:rPr>
      </w:pPr>
      <w:r w:rsidRPr="00757B6B">
        <w:rPr>
          <w:rFonts w:ascii="Times New Roman" w:eastAsia="Calibri" w:hAnsi="Times New Roman" w:cs="Times New Roman"/>
          <w:bCs/>
          <w:iCs/>
          <w:color w:val="000000"/>
          <w:sz w:val="24"/>
          <w:szCs w:val="24"/>
        </w:rPr>
        <w:t>Navrhuje sa túto povinnosť zrušiť, v dôsledku elektronizácie insolvenčných konaní dlžník zverejní plán na</w:t>
      </w:r>
      <w:r w:rsidR="00671F57" w:rsidRPr="00757B6B">
        <w:rPr>
          <w:rFonts w:ascii="Times New Roman" w:eastAsia="Calibri" w:hAnsi="Times New Roman" w:cs="Times New Roman"/>
          <w:bCs/>
          <w:iCs/>
          <w:color w:val="000000"/>
          <w:sz w:val="24"/>
          <w:szCs w:val="24"/>
        </w:rPr>
        <w:t xml:space="preserve"> </w:t>
      </w:r>
      <w:r w:rsidR="00687491" w:rsidRPr="00757B6B">
        <w:rPr>
          <w:rFonts w:ascii="Times New Roman" w:eastAsia="Calibri" w:hAnsi="Times New Roman" w:cs="Times New Roman"/>
          <w:bCs/>
          <w:iCs/>
          <w:color w:val="000000"/>
          <w:sz w:val="24"/>
          <w:szCs w:val="24"/>
        </w:rPr>
        <w:t>externom úložisku a na špecializovanom portáli zanechá internetový odkaz</w:t>
      </w:r>
      <w:r w:rsidRPr="00757B6B">
        <w:rPr>
          <w:rFonts w:ascii="Times New Roman" w:eastAsia="Calibri" w:hAnsi="Times New Roman" w:cs="Times New Roman"/>
          <w:bCs/>
          <w:iCs/>
          <w:color w:val="000000"/>
          <w:sz w:val="24"/>
          <w:szCs w:val="24"/>
        </w:rPr>
        <w:t>, a to aj v prípade jeho zmien.</w:t>
      </w:r>
      <w:r>
        <w:rPr>
          <w:rFonts w:ascii="Times New Roman" w:eastAsia="Calibri" w:hAnsi="Times New Roman" w:cs="Times New Roman"/>
          <w:bCs/>
          <w:iCs/>
          <w:color w:val="000000"/>
          <w:sz w:val="24"/>
          <w:szCs w:val="24"/>
        </w:rPr>
        <w:t xml:space="preserve"> </w:t>
      </w:r>
    </w:p>
    <w:p w14:paraId="6C19A87C" w14:textId="73D2E428" w:rsidR="008C3860" w:rsidRPr="008C3860" w:rsidRDefault="008C3860" w:rsidP="008C3860">
      <w:pPr>
        <w:jc w:val="both"/>
        <w:rPr>
          <w:rFonts w:ascii="Times New Roman" w:eastAsia="Calibri" w:hAnsi="Times New Roman" w:cs="Times New Roman"/>
          <w:bCs/>
          <w:iCs/>
          <w:color w:val="000000"/>
          <w:sz w:val="24"/>
          <w:szCs w:val="24"/>
        </w:rPr>
      </w:pPr>
      <w:r w:rsidRPr="008C3860">
        <w:rPr>
          <w:rFonts w:ascii="Times New Roman" w:eastAsia="Calibri" w:hAnsi="Times New Roman" w:cs="Times New Roman"/>
          <w:bCs/>
          <w:iCs/>
          <w:color w:val="000000"/>
          <w:sz w:val="24"/>
          <w:szCs w:val="24"/>
        </w:rPr>
        <w:t xml:space="preserve">Podľa predkladateľa má takáto úprava </w:t>
      </w:r>
      <w:r w:rsidR="00671F57">
        <w:rPr>
          <w:rFonts w:ascii="Times New Roman" w:eastAsia="Calibri" w:hAnsi="Times New Roman" w:cs="Times New Roman"/>
          <w:bCs/>
          <w:iCs/>
          <w:color w:val="000000"/>
          <w:sz w:val="24"/>
          <w:szCs w:val="24"/>
        </w:rPr>
        <w:t xml:space="preserve">výrazný </w:t>
      </w:r>
      <w:r w:rsidRPr="008C3860">
        <w:rPr>
          <w:rFonts w:ascii="Times New Roman" w:eastAsia="Calibri" w:hAnsi="Times New Roman" w:cs="Times New Roman"/>
          <w:bCs/>
          <w:iCs/>
          <w:color w:val="000000"/>
          <w:sz w:val="24"/>
          <w:szCs w:val="24"/>
        </w:rPr>
        <w:t>pozitívny vplyv na podnikateľské prostredie</w:t>
      </w:r>
      <w:r w:rsidR="00671F57">
        <w:rPr>
          <w:rFonts w:ascii="Times New Roman" w:eastAsia="Calibri" w:hAnsi="Times New Roman" w:cs="Times New Roman"/>
          <w:bCs/>
          <w:iCs/>
          <w:color w:val="000000"/>
          <w:sz w:val="24"/>
          <w:szCs w:val="24"/>
        </w:rPr>
        <w:t>, ktorý nie je možné kvantifikovať</w:t>
      </w:r>
      <w:r w:rsidRPr="008C3860">
        <w:rPr>
          <w:rFonts w:ascii="Times New Roman" w:eastAsia="Calibri" w:hAnsi="Times New Roman" w:cs="Times New Roman"/>
          <w:bCs/>
          <w:iCs/>
          <w:color w:val="000000"/>
          <w:sz w:val="24"/>
          <w:szCs w:val="24"/>
        </w:rPr>
        <w:t>.</w:t>
      </w:r>
    </w:p>
    <w:p w14:paraId="2F6190D0" w14:textId="0432379F" w:rsidR="008C3860" w:rsidRPr="008C3860" w:rsidRDefault="008C3860" w:rsidP="008C386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Dlžníkovi odpadáva povinnosť zasielania plánu jednotlivým veriteľom a je nahradená jednoduchým zverejnením</w:t>
      </w:r>
      <w:r w:rsidR="00687491">
        <w:rPr>
          <w:rFonts w:ascii="Times New Roman" w:eastAsia="Calibri" w:hAnsi="Times New Roman" w:cs="Times New Roman"/>
          <w:bCs/>
          <w:iCs/>
          <w:color w:val="000000"/>
          <w:sz w:val="24"/>
          <w:szCs w:val="24"/>
        </w:rPr>
        <w:t xml:space="preserve"> internetového odkazu</w:t>
      </w:r>
      <w:r>
        <w:rPr>
          <w:rFonts w:ascii="Times New Roman" w:eastAsia="Calibri" w:hAnsi="Times New Roman" w:cs="Times New Roman"/>
          <w:bCs/>
          <w:iCs/>
          <w:color w:val="000000"/>
          <w:sz w:val="24"/>
          <w:szCs w:val="24"/>
        </w:rPr>
        <w:t xml:space="preserve"> na špecializovanom portáli. </w:t>
      </w:r>
    </w:p>
    <w:p w14:paraId="592A9F2C" w14:textId="2F9ED28F" w:rsidR="008C3860" w:rsidRDefault="008C3860" w:rsidP="008C3860">
      <w:pPr>
        <w:jc w:val="both"/>
        <w:rPr>
          <w:rFonts w:ascii="Times New Roman" w:eastAsia="Calibri" w:hAnsi="Times New Roman" w:cs="Times New Roman"/>
          <w:bCs/>
          <w:iCs/>
          <w:color w:val="000000"/>
          <w:sz w:val="24"/>
          <w:szCs w:val="24"/>
        </w:rPr>
      </w:pPr>
      <w:r w:rsidRPr="008C3860">
        <w:rPr>
          <w:rFonts w:ascii="Times New Roman" w:eastAsia="Calibri" w:hAnsi="Times New Roman" w:cs="Times New Roman"/>
          <w:bCs/>
          <w:iCs/>
          <w:color w:val="000000"/>
          <w:sz w:val="24"/>
          <w:szCs w:val="24"/>
        </w:rPr>
        <w:t>Z pohľadu predkladateľa</w:t>
      </w:r>
      <w:r w:rsidR="005740B9">
        <w:rPr>
          <w:rFonts w:ascii="Times New Roman" w:eastAsia="Calibri" w:hAnsi="Times New Roman" w:cs="Times New Roman"/>
          <w:bCs/>
          <w:iCs/>
          <w:color w:val="000000"/>
          <w:sz w:val="24"/>
          <w:szCs w:val="24"/>
        </w:rPr>
        <w:t xml:space="preserve"> nie</w:t>
      </w:r>
      <w:r w:rsidRPr="008C3860">
        <w:rPr>
          <w:rFonts w:ascii="Times New Roman" w:eastAsia="Calibri" w:hAnsi="Times New Roman" w:cs="Times New Roman"/>
          <w:bCs/>
          <w:iCs/>
          <w:color w:val="000000"/>
          <w:sz w:val="24"/>
          <w:szCs w:val="24"/>
        </w:rPr>
        <w:t xml:space="preserve"> je možné kvantifikovať náklady, </w:t>
      </w:r>
      <w:r w:rsidR="005740B9">
        <w:rPr>
          <w:rFonts w:ascii="Times New Roman" w:eastAsia="Calibri" w:hAnsi="Times New Roman" w:cs="Times New Roman"/>
          <w:bCs/>
          <w:iCs/>
          <w:color w:val="000000"/>
          <w:sz w:val="24"/>
          <w:szCs w:val="24"/>
        </w:rPr>
        <w:t xml:space="preserve">predkladateľ nedisponuje informáciami o tom, aké náklady vynakladajú dlžníci na splnenie svojej povinnosti v súčasnosti (majú rôzne možnosti zasielania plánu veriteľom). </w:t>
      </w:r>
    </w:p>
    <w:p w14:paraId="50A5121F" w14:textId="4A548AF0" w:rsidR="00671F57" w:rsidRDefault="00671F57" w:rsidP="008C3860">
      <w:pPr>
        <w:jc w:val="both"/>
        <w:rPr>
          <w:rFonts w:ascii="Times New Roman" w:eastAsia="Calibri" w:hAnsi="Times New Roman" w:cs="Times New Roman"/>
          <w:b/>
          <w:bCs/>
          <w:iCs/>
          <w:color w:val="000000"/>
          <w:sz w:val="24"/>
          <w:szCs w:val="24"/>
          <w:u w:val="single"/>
        </w:rPr>
      </w:pPr>
      <w:r>
        <w:rPr>
          <w:rFonts w:ascii="Times New Roman" w:eastAsia="Calibri" w:hAnsi="Times New Roman" w:cs="Times New Roman"/>
          <w:b/>
          <w:bCs/>
          <w:iCs/>
          <w:color w:val="000000"/>
          <w:sz w:val="24"/>
          <w:szCs w:val="24"/>
          <w:u w:val="single"/>
        </w:rPr>
        <w:t>4. Rozšírenie možnosti speňažovať majetok v oddlžení (§ 167n)</w:t>
      </w:r>
    </w:p>
    <w:p w14:paraId="2863059C" w14:textId="0E078FAD" w:rsidR="00671F57" w:rsidRPr="00E1666B" w:rsidRDefault="00671F57" w:rsidP="008C386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Regulácia umožní speňažovane majetku, nehnuteľností (okrem obydlia)</w:t>
      </w:r>
      <w:r w:rsidR="00E1666B">
        <w:rPr>
          <w:rFonts w:ascii="Times New Roman" w:eastAsia="Calibri" w:hAnsi="Times New Roman" w:cs="Times New Roman"/>
          <w:bCs/>
          <w:iCs/>
          <w:color w:val="000000"/>
          <w:sz w:val="24"/>
          <w:szCs w:val="24"/>
        </w:rPr>
        <w:t xml:space="preserve"> aj iným spôsobom, ako dražbou (napr. ponukovým konaním) v dôsledku čoho sa urýchli proces speňažovania majetku v oddlžení a odstránia sa administratívne prekážky pri speňažovaní, a súčasne regulácia zníži náklady pri speňažovaní. V prípade požiadavky veriteľa speňažovať majetok dražbou e tento proces potrebný, ak veriteľ zloží preddavok na náklady dražby. Táto regulácia má výrazný pozitívny vplyv na podnikateľské prostredie, ktorý spočíva v urýchlení procesu speňažovania, </w:t>
      </w:r>
      <w:r w:rsidR="00E1666B">
        <w:rPr>
          <w:rFonts w:ascii="Times New Roman" w:eastAsia="Calibri" w:hAnsi="Times New Roman" w:cs="Times New Roman"/>
          <w:bCs/>
          <w:iCs/>
          <w:color w:val="000000"/>
          <w:sz w:val="24"/>
          <w:szCs w:val="24"/>
        </w:rPr>
        <w:lastRenderedPageBreak/>
        <w:t>zníženia nákladov speňažovania, avšak nemožno tieto vplyvy kvantifikovať v dôsledku absencie dát.</w:t>
      </w:r>
    </w:p>
    <w:p w14:paraId="17C766A4" w14:textId="2D5882CE" w:rsidR="00671F57" w:rsidRDefault="00671F57" w:rsidP="008C3860">
      <w:pPr>
        <w:jc w:val="both"/>
        <w:rPr>
          <w:rFonts w:ascii="Times New Roman" w:eastAsia="Calibri" w:hAnsi="Times New Roman" w:cs="Times New Roman"/>
          <w:b/>
          <w:bCs/>
          <w:iCs/>
          <w:color w:val="000000"/>
          <w:sz w:val="24"/>
          <w:szCs w:val="24"/>
          <w:u w:val="single"/>
        </w:rPr>
      </w:pPr>
      <w:r>
        <w:rPr>
          <w:rFonts w:ascii="Times New Roman" w:eastAsia="Calibri" w:hAnsi="Times New Roman" w:cs="Times New Roman"/>
          <w:b/>
          <w:bCs/>
          <w:iCs/>
          <w:color w:val="000000"/>
          <w:sz w:val="24"/>
          <w:szCs w:val="24"/>
          <w:u w:val="single"/>
        </w:rPr>
        <w:t>5. Začlenenie zmenky medzi pohľadávky uspokojované v konkurze (§ 166a)</w:t>
      </w:r>
    </w:p>
    <w:p w14:paraId="70441D8E" w14:textId="2FF03A71" w:rsidR="00671F57" w:rsidRDefault="00671F57" w:rsidP="00671F57">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Ako pozitívny vplyv je potrebné notifikovať aj začlenenie „zmeniek“ medzi pohľadávky, ktoré sú uspokojované z konkurznej podstaty v oddlžení, aj keď až po uspokojení všetkých zistených pohľadávok. Vzhľadom na charakter regulácie a absenciu dát nie je možné pozitívny vplyv exaktne notifikovať.</w:t>
      </w:r>
    </w:p>
    <w:p w14:paraId="27BD1268" w14:textId="04B1EE72" w:rsidR="00636604" w:rsidRPr="00636604" w:rsidRDefault="00671F57" w:rsidP="008C3860">
      <w:pPr>
        <w:jc w:val="both"/>
        <w:rPr>
          <w:rFonts w:ascii="Times New Roman" w:eastAsia="Calibri" w:hAnsi="Times New Roman" w:cs="Times New Roman"/>
          <w:b/>
          <w:bCs/>
          <w:iCs/>
          <w:color w:val="000000"/>
          <w:sz w:val="24"/>
          <w:szCs w:val="24"/>
          <w:highlight w:val="yellow"/>
          <w:u w:val="single"/>
        </w:rPr>
      </w:pPr>
      <w:r>
        <w:rPr>
          <w:rFonts w:ascii="Times New Roman" w:eastAsia="Calibri" w:hAnsi="Times New Roman" w:cs="Times New Roman"/>
          <w:b/>
          <w:bCs/>
          <w:iCs/>
          <w:color w:val="000000"/>
          <w:sz w:val="24"/>
          <w:szCs w:val="24"/>
          <w:u w:val="single"/>
        </w:rPr>
        <w:t>6</w:t>
      </w:r>
      <w:r w:rsidR="00636604" w:rsidRPr="00636604">
        <w:rPr>
          <w:rFonts w:ascii="Times New Roman" w:eastAsia="Calibri" w:hAnsi="Times New Roman" w:cs="Times New Roman"/>
          <w:b/>
          <w:bCs/>
          <w:iCs/>
          <w:color w:val="000000"/>
          <w:sz w:val="24"/>
          <w:szCs w:val="24"/>
          <w:u w:val="single"/>
        </w:rPr>
        <w:t>. Prechodné ustanovenia - § 206q ods. 6</w:t>
      </w:r>
    </w:p>
    <w:p w14:paraId="3C266401" w14:textId="67CC551E" w:rsidR="00636604" w:rsidRPr="008C3860" w:rsidRDefault="00636604" w:rsidP="00636604">
      <w:pPr>
        <w:jc w:val="both"/>
        <w:rPr>
          <w:rFonts w:ascii="Times New Roman" w:eastAsia="Calibri" w:hAnsi="Times New Roman" w:cs="Times New Roman"/>
          <w:bCs/>
          <w:iCs/>
          <w:color w:val="000000"/>
          <w:sz w:val="24"/>
          <w:szCs w:val="24"/>
        </w:rPr>
      </w:pPr>
      <w:r w:rsidRPr="008C3860">
        <w:rPr>
          <w:rFonts w:ascii="Times New Roman" w:eastAsia="Calibri" w:hAnsi="Times New Roman" w:cs="Times New Roman"/>
          <w:bCs/>
          <w:iCs/>
          <w:color w:val="000000"/>
          <w:sz w:val="24"/>
          <w:szCs w:val="24"/>
        </w:rPr>
        <w:t xml:space="preserve">Podľa predkladateľa má </w:t>
      </w:r>
      <w:r>
        <w:rPr>
          <w:rFonts w:ascii="Times New Roman" w:eastAsia="Calibri" w:hAnsi="Times New Roman" w:cs="Times New Roman"/>
          <w:bCs/>
          <w:iCs/>
          <w:color w:val="000000"/>
          <w:sz w:val="24"/>
          <w:szCs w:val="24"/>
        </w:rPr>
        <w:t>zavedenie prechodnej úpravy</w:t>
      </w:r>
      <w:r w:rsidRPr="008C3860">
        <w:rPr>
          <w:rFonts w:ascii="Times New Roman" w:eastAsia="Calibri" w:hAnsi="Times New Roman" w:cs="Times New Roman"/>
          <w:bCs/>
          <w:iCs/>
          <w:color w:val="000000"/>
          <w:sz w:val="24"/>
          <w:szCs w:val="24"/>
        </w:rPr>
        <w:t xml:space="preserve"> pozitívny vplyv na podnikateľské prostredie.</w:t>
      </w:r>
    </w:p>
    <w:p w14:paraId="27D74BF6" w14:textId="43A33644" w:rsidR="00636604" w:rsidRPr="008C3860" w:rsidRDefault="00636604" w:rsidP="00636604">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Zavádza sa oprávnenie správcu speňažovať majetok podľa ustanovení zákona </w:t>
      </w:r>
      <w:r w:rsidR="00966D8B">
        <w:rPr>
          <w:rFonts w:ascii="Times New Roman" w:eastAsia="Calibri" w:hAnsi="Times New Roman" w:cs="Times New Roman"/>
          <w:bCs/>
          <w:iCs/>
          <w:color w:val="000000"/>
          <w:sz w:val="24"/>
          <w:szCs w:val="24"/>
        </w:rPr>
        <w:t>o konkurze</w:t>
      </w:r>
      <w:r>
        <w:rPr>
          <w:rFonts w:ascii="Times New Roman" w:eastAsia="Calibri" w:hAnsi="Times New Roman" w:cs="Times New Roman"/>
          <w:bCs/>
          <w:iCs/>
          <w:color w:val="000000"/>
          <w:sz w:val="24"/>
          <w:szCs w:val="24"/>
        </w:rPr>
        <w:t xml:space="preserve"> aj na konkurzy a vyrovnania, ktoré boli začaté podľa predchádzajúcej právnej úpravy</w:t>
      </w:r>
      <w:r w:rsidR="0000274A">
        <w:rPr>
          <w:rFonts w:ascii="Times New Roman" w:eastAsia="Calibri" w:hAnsi="Times New Roman" w:cs="Times New Roman"/>
          <w:bCs/>
          <w:iCs/>
          <w:color w:val="000000"/>
          <w:sz w:val="24"/>
          <w:szCs w:val="24"/>
        </w:rPr>
        <w:t xml:space="preserve"> (tzv. staré konkurzy</w:t>
      </w:r>
      <w:r w:rsidR="00966D8B">
        <w:rPr>
          <w:rFonts w:ascii="Times New Roman" w:eastAsia="Calibri" w:hAnsi="Times New Roman" w:cs="Times New Roman"/>
          <w:bCs/>
          <w:iCs/>
          <w:color w:val="000000"/>
          <w:sz w:val="24"/>
          <w:szCs w:val="24"/>
        </w:rPr>
        <w:t>, začaté podľa zákona č. 328/1991 Zb. o</w:t>
      </w:r>
      <w:r w:rsidR="00966D8B" w:rsidRPr="00966D8B">
        <w:rPr>
          <w:rFonts w:ascii="Times New Roman" w:eastAsia="Calibri" w:hAnsi="Times New Roman" w:cs="Times New Roman"/>
          <w:bCs/>
          <w:iCs/>
          <w:color w:val="000000"/>
          <w:sz w:val="24"/>
          <w:szCs w:val="24"/>
        </w:rPr>
        <w:t xml:space="preserve"> konkurze a vyrovnaní</w:t>
      </w:r>
      <w:r w:rsidR="0000274A">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Takáto zmena má potenciál odblokovať staré konania, speňaž</w:t>
      </w:r>
      <w:r w:rsidR="0000274A">
        <w:rPr>
          <w:rFonts w:ascii="Times New Roman" w:eastAsia="Calibri" w:hAnsi="Times New Roman" w:cs="Times New Roman"/>
          <w:bCs/>
          <w:iCs/>
          <w:color w:val="000000"/>
          <w:sz w:val="24"/>
          <w:szCs w:val="24"/>
        </w:rPr>
        <w:t xml:space="preserve">iť v nich majetok a ukončiť ich, nakoľko </w:t>
      </w:r>
      <w:r w:rsidR="0000274A">
        <w:rPr>
          <w:rFonts w:ascii="Times New Roman" w:hAnsi="Times New Roman"/>
          <w:sz w:val="24"/>
          <w:szCs w:val="24"/>
        </w:rPr>
        <w:t>práve reštrikcia v oblasti spôsobov speňažovania v starých konkurzoch je dôvodom, prečo neboli doposiaľ ukončené.</w:t>
      </w:r>
    </w:p>
    <w:p w14:paraId="0989EECB" w14:textId="5805858D" w:rsidR="00636604" w:rsidRDefault="00636604" w:rsidP="00636604">
      <w:pPr>
        <w:jc w:val="both"/>
        <w:rPr>
          <w:rFonts w:ascii="Times New Roman" w:eastAsia="Calibri" w:hAnsi="Times New Roman" w:cs="Times New Roman"/>
          <w:bCs/>
          <w:iCs/>
          <w:color w:val="000000"/>
          <w:sz w:val="24"/>
          <w:szCs w:val="24"/>
        </w:rPr>
      </w:pPr>
      <w:r w:rsidRPr="008C3860">
        <w:rPr>
          <w:rFonts w:ascii="Times New Roman" w:eastAsia="Calibri" w:hAnsi="Times New Roman" w:cs="Times New Roman"/>
          <w:bCs/>
          <w:iCs/>
          <w:color w:val="000000"/>
          <w:sz w:val="24"/>
          <w:szCs w:val="24"/>
        </w:rPr>
        <w:t>Z pohľadu predkladateľa</w:t>
      </w:r>
      <w:r>
        <w:rPr>
          <w:rFonts w:ascii="Times New Roman" w:eastAsia="Calibri" w:hAnsi="Times New Roman" w:cs="Times New Roman"/>
          <w:bCs/>
          <w:iCs/>
          <w:color w:val="000000"/>
          <w:sz w:val="24"/>
          <w:szCs w:val="24"/>
        </w:rPr>
        <w:t xml:space="preserve"> nie</w:t>
      </w:r>
      <w:r w:rsidRPr="008C3860">
        <w:rPr>
          <w:rFonts w:ascii="Times New Roman" w:eastAsia="Calibri" w:hAnsi="Times New Roman" w:cs="Times New Roman"/>
          <w:bCs/>
          <w:iCs/>
          <w:color w:val="000000"/>
          <w:sz w:val="24"/>
          <w:szCs w:val="24"/>
        </w:rPr>
        <w:t xml:space="preserve"> je možné kvantifikovať náklady, </w:t>
      </w:r>
      <w:r>
        <w:rPr>
          <w:rFonts w:ascii="Times New Roman" w:eastAsia="Calibri" w:hAnsi="Times New Roman" w:cs="Times New Roman"/>
          <w:bCs/>
          <w:iCs/>
          <w:color w:val="000000"/>
          <w:sz w:val="24"/>
          <w:szCs w:val="24"/>
        </w:rPr>
        <w:t xml:space="preserve">predkladateľ nedisponuje </w:t>
      </w:r>
      <w:r w:rsidR="0000274A">
        <w:rPr>
          <w:rFonts w:ascii="Times New Roman" w:eastAsia="Calibri" w:hAnsi="Times New Roman" w:cs="Times New Roman"/>
          <w:bCs/>
          <w:iCs/>
          <w:color w:val="000000"/>
          <w:sz w:val="24"/>
          <w:szCs w:val="24"/>
        </w:rPr>
        <w:t>relevantnými dátami.</w:t>
      </w:r>
      <w:r>
        <w:rPr>
          <w:rFonts w:ascii="Times New Roman" w:eastAsia="Calibri" w:hAnsi="Times New Roman" w:cs="Times New Roman"/>
          <w:bCs/>
          <w:iCs/>
          <w:color w:val="000000"/>
          <w:sz w:val="24"/>
          <w:szCs w:val="24"/>
        </w:rPr>
        <w:t xml:space="preserve"> </w:t>
      </w:r>
    </w:p>
    <w:p w14:paraId="7AF55126" w14:textId="77777777" w:rsidR="00FA1622" w:rsidRPr="009B2DC0" w:rsidRDefault="00FA1622" w:rsidP="009B2DC0">
      <w:pPr>
        <w:spacing w:after="0" w:line="254" w:lineRule="auto"/>
        <w:jc w:val="both"/>
        <w:rPr>
          <w:rFonts w:ascii="Times New Roman" w:hAnsi="Times New Roman"/>
        </w:rPr>
      </w:pPr>
    </w:p>
    <w:p w14:paraId="7D3C4268" w14:textId="4D7DEC97" w:rsidR="00E22D35" w:rsidRDefault="00E22D35" w:rsidP="00143D4C">
      <w:pPr>
        <w:spacing w:after="0" w:line="254" w:lineRule="auto"/>
        <w:jc w:val="both"/>
        <w:rPr>
          <w:rFonts w:ascii="Times New Roman" w:hAnsi="Times New Roman"/>
          <w:b/>
          <w:u w:val="single"/>
        </w:rPr>
      </w:pPr>
    </w:p>
    <w:p w14:paraId="72EA302C" w14:textId="77777777" w:rsidR="00E22D35" w:rsidRPr="00E22D35" w:rsidRDefault="00E22D35" w:rsidP="00143D4C">
      <w:pPr>
        <w:spacing w:after="0" w:line="254" w:lineRule="auto"/>
        <w:jc w:val="both"/>
        <w:rPr>
          <w:rFonts w:ascii="Times New Roman" w:eastAsia="Calibri" w:hAnsi="Times New Roman" w:cs="Times New Roman"/>
          <w:b/>
          <w:sz w:val="24"/>
          <w:szCs w:val="24"/>
          <w:u w:val="single"/>
        </w:rPr>
      </w:pPr>
    </w:p>
    <w:p w14:paraId="218E26D3" w14:textId="673BEAC0" w:rsidR="00143D4C" w:rsidRDefault="00143D4C" w:rsidP="00143D4C">
      <w:pPr>
        <w:spacing w:after="0" w:line="254" w:lineRule="auto"/>
        <w:jc w:val="both"/>
        <w:rPr>
          <w:rFonts w:ascii="Times New Roman" w:eastAsia="Calibri" w:hAnsi="Times New Roman" w:cs="Times New Roman"/>
          <w:sz w:val="24"/>
          <w:szCs w:val="24"/>
        </w:rPr>
      </w:pPr>
    </w:p>
    <w:p w14:paraId="656A83C3" w14:textId="56FE2267" w:rsidR="00B21D1F" w:rsidRDefault="00B21D1F" w:rsidP="00973DEF">
      <w:pPr>
        <w:spacing w:after="0" w:line="240" w:lineRule="auto"/>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FA11E" w14:textId="77777777" w:rsidR="005A7DB5" w:rsidRDefault="005A7DB5" w:rsidP="00054C41">
      <w:pPr>
        <w:spacing w:after="0" w:line="240" w:lineRule="auto"/>
      </w:pPr>
      <w:r>
        <w:separator/>
      </w:r>
    </w:p>
  </w:endnote>
  <w:endnote w:type="continuationSeparator" w:id="0">
    <w:p w14:paraId="1BB70A32" w14:textId="77777777" w:rsidR="005A7DB5" w:rsidRDefault="005A7DB5"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46D5B3D7" w:rsidR="009075D6" w:rsidRPr="006045CB" w:rsidRDefault="009075D6"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921B1">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14:paraId="4556761F" w14:textId="77777777" w:rsidR="009075D6" w:rsidRPr="00FF7125" w:rsidRDefault="009075D6" w:rsidP="00054C41">
    <w:pPr>
      <w:pStyle w:val="Pta"/>
      <w:rPr>
        <w:sz w:val="24"/>
        <w:szCs w:val="24"/>
      </w:rPr>
    </w:pPr>
  </w:p>
  <w:p w14:paraId="20FE6A4A" w14:textId="77777777" w:rsidR="009075D6" w:rsidRDefault="009075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1FF92" w14:textId="77777777" w:rsidR="005A7DB5" w:rsidRDefault="005A7DB5" w:rsidP="00054C41">
      <w:pPr>
        <w:spacing w:after="0" w:line="240" w:lineRule="auto"/>
      </w:pPr>
      <w:r>
        <w:separator/>
      </w:r>
    </w:p>
  </w:footnote>
  <w:footnote w:type="continuationSeparator" w:id="0">
    <w:p w14:paraId="7692167A" w14:textId="77777777" w:rsidR="005A7DB5" w:rsidRDefault="005A7DB5" w:rsidP="00054C41">
      <w:pPr>
        <w:spacing w:after="0" w:line="240" w:lineRule="auto"/>
      </w:pPr>
      <w:r>
        <w:continuationSeparator/>
      </w:r>
    </w:p>
  </w:footnote>
  <w:footnote w:id="1">
    <w:p w14:paraId="6CC680CB" w14:textId="6BF8CDC6" w:rsidR="009075D6" w:rsidRPr="000A6B7F" w:rsidRDefault="009075D6"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647D7DF" w14:textId="77777777" w:rsidR="009075D6" w:rsidRPr="00804BC8" w:rsidRDefault="009075D6"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9075D6" w:rsidRDefault="009075D6"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9075D6" w:rsidRPr="006045CB" w:rsidRDefault="009075D6"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9075D6" w:rsidRPr="006045CB" w:rsidRDefault="009075D6"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0676C8"/>
    <w:multiLevelType w:val="hybridMultilevel"/>
    <w:tmpl w:val="9828D874"/>
    <w:lvl w:ilvl="0" w:tplc="0B761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7B007FC4"/>
    <w:multiLevelType w:val="hybridMultilevel"/>
    <w:tmpl w:val="24AE96E8"/>
    <w:lvl w:ilvl="0" w:tplc="BA2A7A44">
      <w:numFmt w:val="bullet"/>
      <w:suff w:val="space"/>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9"/>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4"/>
  </w:num>
  <w:num w:numId="12">
    <w:abstractNumId w:val="0"/>
  </w:num>
  <w:num w:numId="13">
    <w:abstractNumId w:val="12"/>
  </w:num>
  <w:num w:numId="14">
    <w:abstractNumId w:val="5"/>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274A"/>
    <w:rsid w:val="0002425A"/>
    <w:rsid w:val="00024EE4"/>
    <w:rsid w:val="000332B0"/>
    <w:rsid w:val="00047C70"/>
    <w:rsid w:val="00050AAB"/>
    <w:rsid w:val="00054A53"/>
    <w:rsid w:val="00054C41"/>
    <w:rsid w:val="00060DA1"/>
    <w:rsid w:val="00061E85"/>
    <w:rsid w:val="000820E0"/>
    <w:rsid w:val="00091A43"/>
    <w:rsid w:val="000921B1"/>
    <w:rsid w:val="0009490E"/>
    <w:rsid w:val="000A6B7F"/>
    <w:rsid w:val="000C5419"/>
    <w:rsid w:val="000C5E9A"/>
    <w:rsid w:val="000D15F0"/>
    <w:rsid w:val="0011003B"/>
    <w:rsid w:val="001133DA"/>
    <w:rsid w:val="00126A2B"/>
    <w:rsid w:val="00142154"/>
    <w:rsid w:val="00143D4C"/>
    <w:rsid w:val="001476A4"/>
    <w:rsid w:val="00162C6C"/>
    <w:rsid w:val="0016512E"/>
    <w:rsid w:val="001747A4"/>
    <w:rsid w:val="0018715C"/>
    <w:rsid w:val="001A1561"/>
    <w:rsid w:val="001B4C03"/>
    <w:rsid w:val="001C324B"/>
    <w:rsid w:val="001C7B91"/>
    <w:rsid w:val="001D1083"/>
    <w:rsid w:val="001D3FA0"/>
    <w:rsid w:val="001D519E"/>
    <w:rsid w:val="001E06E2"/>
    <w:rsid w:val="001E24E8"/>
    <w:rsid w:val="001E53CB"/>
    <w:rsid w:val="001F6CF9"/>
    <w:rsid w:val="00207F43"/>
    <w:rsid w:val="002232D3"/>
    <w:rsid w:val="00225A83"/>
    <w:rsid w:val="00231B8F"/>
    <w:rsid w:val="00240574"/>
    <w:rsid w:val="002642F9"/>
    <w:rsid w:val="00270EA5"/>
    <w:rsid w:val="002712B9"/>
    <w:rsid w:val="00284B8C"/>
    <w:rsid w:val="0029483F"/>
    <w:rsid w:val="002C2FC0"/>
    <w:rsid w:val="00302A17"/>
    <w:rsid w:val="00314D25"/>
    <w:rsid w:val="00315BE2"/>
    <w:rsid w:val="00325DD5"/>
    <w:rsid w:val="003322EE"/>
    <w:rsid w:val="00337630"/>
    <w:rsid w:val="00340CFD"/>
    <w:rsid w:val="003413D5"/>
    <w:rsid w:val="00342621"/>
    <w:rsid w:val="00357F22"/>
    <w:rsid w:val="00360182"/>
    <w:rsid w:val="0036748D"/>
    <w:rsid w:val="00376039"/>
    <w:rsid w:val="0038255E"/>
    <w:rsid w:val="00387D7C"/>
    <w:rsid w:val="00391648"/>
    <w:rsid w:val="0039289F"/>
    <w:rsid w:val="0039304E"/>
    <w:rsid w:val="0039334E"/>
    <w:rsid w:val="00394AD2"/>
    <w:rsid w:val="003A02AF"/>
    <w:rsid w:val="003A3124"/>
    <w:rsid w:val="003A686F"/>
    <w:rsid w:val="003E58B8"/>
    <w:rsid w:val="003F06D7"/>
    <w:rsid w:val="00400224"/>
    <w:rsid w:val="00400BA5"/>
    <w:rsid w:val="00410E62"/>
    <w:rsid w:val="00414FA7"/>
    <w:rsid w:val="00420090"/>
    <w:rsid w:val="004239D1"/>
    <w:rsid w:val="00445638"/>
    <w:rsid w:val="00446432"/>
    <w:rsid w:val="00446512"/>
    <w:rsid w:val="00461FF7"/>
    <w:rsid w:val="00466D7A"/>
    <w:rsid w:val="0048237B"/>
    <w:rsid w:val="00484D16"/>
    <w:rsid w:val="00491853"/>
    <w:rsid w:val="004A14CD"/>
    <w:rsid w:val="004A193C"/>
    <w:rsid w:val="004A1A2C"/>
    <w:rsid w:val="004A2C6B"/>
    <w:rsid w:val="004D20CB"/>
    <w:rsid w:val="004D65B2"/>
    <w:rsid w:val="004D681D"/>
    <w:rsid w:val="004E2324"/>
    <w:rsid w:val="004F63E6"/>
    <w:rsid w:val="005103DA"/>
    <w:rsid w:val="00511F8F"/>
    <w:rsid w:val="00512BA7"/>
    <w:rsid w:val="00515726"/>
    <w:rsid w:val="00562527"/>
    <w:rsid w:val="00562A1E"/>
    <w:rsid w:val="00563427"/>
    <w:rsid w:val="005740B9"/>
    <w:rsid w:val="00581EB9"/>
    <w:rsid w:val="00586B81"/>
    <w:rsid w:val="005A7DB5"/>
    <w:rsid w:val="005B4E6E"/>
    <w:rsid w:val="005B56E4"/>
    <w:rsid w:val="005C795C"/>
    <w:rsid w:val="005D0E50"/>
    <w:rsid w:val="005D39D8"/>
    <w:rsid w:val="00602F60"/>
    <w:rsid w:val="0061097B"/>
    <w:rsid w:val="0061612F"/>
    <w:rsid w:val="006177C8"/>
    <w:rsid w:val="0062600A"/>
    <w:rsid w:val="00636604"/>
    <w:rsid w:val="0063777D"/>
    <w:rsid w:val="00643358"/>
    <w:rsid w:val="00646084"/>
    <w:rsid w:val="00650D68"/>
    <w:rsid w:val="006564C3"/>
    <w:rsid w:val="006578CB"/>
    <w:rsid w:val="00670582"/>
    <w:rsid w:val="00671AE1"/>
    <w:rsid w:val="00671F57"/>
    <w:rsid w:val="00687491"/>
    <w:rsid w:val="006A4E85"/>
    <w:rsid w:val="006A60C0"/>
    <w:rsid w:val="006A712F"/>
    <w:rsid w:val="006B2C2E"/>
    <w:rsid w:val="006B5D74"/>
    <w:rsid w:val="006C25BE"/>
    <w:rsid w:val="006D7AD8"/>
    <w:rsid w:val="006F1D57"/>
    <w:rsid w:val="0070364C"/>
    <w:rsid w:val="00710EDF"/>
    <w:rsid w:val="00715266"/>
    <w:rsid w:val="0072221D"/>
    <w:rsid w:val="0072357C"/>
    <w:rsid w:val="007259CB"/>
    <w:rsid w:val="00726031"/>
    <w:rsid w:val="00751DA9"/>
    <w:rsid w:val="00755E69"/>
    <w:rsid w:val="00757B6B"/>
    <w:rsid w:val="007648EE"/>
    <w:rsid w:val="0077106D"/>
    <w:rsid w:val="00773EAE"/>
    <w:rsid w:val="00780ACC"/>
    <w:rsid w:val="00787A11"/>
    <w:rsid w:val="00791C2F"/>
    <w:rsid w:val="00797B40"/>
    <w:rsid w:val="007A0C9D"/>
    <w:rsid w:val="007B13C1"/>
    <w:rsid w:val="007B40FB"/>
    <w:rsid w:val="007B62AF"/>
    <w:rsid w:val="007C2DF1"/>
    <w:rsid w:val="007C7863"/>
    <w:rsid w:val="007E24B2"/>
    <w:rsid w:val="007E2DA4"/>
    <w:rsid w:val="007E6815"/>
    <w:rsid w:val="007E7632"/>
    <w:rsid w:val="007F1C84"/>
    <w:rsid w:val="007F4579"/>
    <w:rsid w:val="00801596"/>
    <w:rsid w:val="00804BC8"/>
    <w:rsid w:val="00806E23"/>
    <w:rsid w:val="00807981"/>
    <w:rsid w:val="00823F5A"/>
    <w:rsid w:val="00830259"/>
    <w:rsid w:val="00845D3B"/>
    <w:rsid w:val="00850881"/>
    <w:rsid w:val="008634E9"/>
    <w:rsid w:val="00874A84"/>
    <w:rsid w:val="008801B5"/>
    <w:rsid w:val="00880578"/>
    <w:rsid w:val="00882407"/>
    <w:rsid w:val="00884810"/>
    <w:rsid w:val="008920C3"/>
    <w:rsid w:val="00894052"/>
    <w:rsid w:val="008A7B87"/>
    <w:rsid w:val="008B4AA1"/>
    <w:rsid w:val="008C1C71"/>
    <w:rsid w:val="008C3860"/>
    <w:rsid w:val="008E1AD0"/>
    <w:rsid w:val="008E315F"/>
    <w:rsid w:val="008E6B82"/>
    <w:rsid w:val="008E73D4"/>
    <w:rsid w:val="008F6ADE"/>
    <w:rsid w:val="009075D6"/>
    <w:rsid w:val="0091269B"/>
    <w:rsid w:val="00923C0C"/>
    <w:rsid w:val="009260C7"/>
    <w:rsid w:val="0095170D"/>
    <w:rsid w:val="00952CF6"/>
    <w:rsid w:val="00960413"/>
    <w:rsid w:val="00966D8B"/>
    <w:rsid w:val="00973DEF"/>
    <w:rsid w:val="00981995"/>
    <w:rsid w:val="00981C7F"/>
    <w:rsid w:val="00985515"/>
    <w:rsid w:val="00990813"/>
    <w:rsid w:val="0099544D"/>
    <w:rsid w:val="00997513"/>
    <w:rsid w:val="009A0E2C"/>
    <w:rsid w:val="009A4D56"/>
    <w:rsid w:val="009B036B"/>
    <w:rsid w:val="009B1F04"/>
    <w:rsid w:val="009B2DC0"/>
    <w:rsid w:val="009D3FFA"/>
    <w:rsid w:val="009E09F7"/>
    <w:rsid w:val="009E2D5C"/>
    <w:rsid w:val="009E3E44"/>
    <w:rsid w:val="009F4175"/>
    <w:rsid w:val="009F66A4"/>
    <w:rsid w:val="009F6C80"/>
    <w:rsid w:val="00A000DA"/>
    <w:rsid w:val="00A1736E"/>
    <w:rsid w:val="00A216DF"/>
    <w:rsid w:val="00A33F2C"/>
    <w:rsid w:val="00A348B4"/>
    <w:rsid w:val="00A46231"/>
    <w:rsid w:val="00A50EE3"/>
    <w:rsid w:val="00A603F3"/>
    <w:rsid w:val="00A83E11"/>
    <w:rsid w:val="00A863F2"/>
    <w:rsid w:val="00A94A0F"/>
    <w:rsid w:val="00AA3C6D"/>
    <w:rsid w:val="00AB57C4"/>
    <w:rsid w:val="00AF650C"/>
    <w:rsid w:val="00B04B2B"/>
    <w:rsid w:val="00B11CF5"/>
    <w:rsid w:val="00B209FA"/>
    <w:rsid w:val="00B21D1F"/>
    <w:rsid w:val="00B410BA"/>
    <w:rsid w:val="00B43D68"/>
    <w:rsid w:val="00B44A3A"/>
    <w:rsid w:val="00B4794C"/>
    <w:rsid w:val="00B5600C"/>
    <w:rsid w:val="00B66E33"/>
    <w:rsid w:val="00B72FB1"/>
    <w:rsid w:val="00B953DA"/>
    <w:rsid w:val="00BA19B0"/>
    <w:rsid w:val="00BB3870"/>
    <w:rsid w:val="00BB45A7"/>
    <w:rsid w:val="00BD0EF7"/>
    <w:rsid w:val="00BD5CBF"/>
    <w:rsid w:val="00BD6778"/>
    <w:rsid w:val="00BF13CA"/>
    <w:rsid w:val="00C01599"/>
    <w:rsid w:val="00C048D1"/>
    <w:rsid w:val="00C05563"/>
    <w:rsid w:val="00C11132"/>
    <w:rsid w:val="00C115B9"/>
    <w:rsid w:val="00C12FDD"/>
    <w:rsid w:val="00C145AA"/>
    <w:rsid w:val="00C14655"/>
    <w:rsid w:val="00C21399"/>
    <w:rsid w:val="00C22320"/>
    <w:rsid w:val="00C446E2"/>
    <w:rsid w:val="00C51C96"/>
    <w:rsid w:val="00C535F5"/>
    <w:rsid w:val="00C560C4"/>
    <w:rsid w:val="00C6748F"/>
    <w:rsid w:val="00C74337"/>
    <w:rsid w:val="00C75DC8"/>
    <w:rsid w:val="00C814B0"/>
    <w:rsid w:val="00C929AE"/>
    <w:rsid w:val="00CA4344"/>
    <w:rsid w:val="00CA6348"/>
    <w:rsid w:val="00CB1232"/>
    <w:rsid w:val="00CB17A0"/>
    <w:rsid w:val="00CC3B7D"/>
    <w:rsid w:val="00CD5AE4"/>
    <w:rsid w:val="00CD5E86"/>
    <w:rsid w:val="00CE3B21"/>
    <w:rsid w:val="00CE5DAF"/>
    <w:rsid w:val="00CE6440"/>
    <w:rsid w:val="00CF4D09"/>
    <w:rsid w:val="00CF6CC0"/>
    <w:rsid w:val="00D005DF"/>
    <w:rsid w:val="00D005F2"/>
    <w:rsid w:val="00D03A8E"/>
    <w:rsid w:val="00D114ED"/>
    <w:rsid w:val="00D3032C"/>
    <w:rsid w:val="00D31A3B"/>
    <w:rsid w:val="00D5309D"/>
    <w:rsid w:val="00D631FA"/>
    <w:rsid w:val="00D71064"/>
    <w:rsid w:val="00D7559A"/>
    <w:rsid w:val="00D811BB"/>
    <w:rsid w:val="00D82356"/>
    <w:rsid w:val="00D84EEE"/>
    <w:rsid w:val="00D90A61"/>
    <w:rsid w:val="00D946EF"/>
    <w:rsid w:val="00D95553"/>
    <w:rsid w:val="00DC355F"/>
    <w:rsid w:val="00DD1E4C"/>
    <w:rsid w:val="00DE331A"/>
    <w:rsid w:val="00DE6ACB"/>
    <w:rsid w:val="00DF02CE"/>
    <w:rsid w:val="00DF1462"/>
    <w:rsid w:val="00E030DA"/>
    <w:rsid w:val="00E1666B"/>
    <w:rsid w:val="00E214C0"/>
    <w:rsid w:val="00E22D35"/>
    <w:rsid w:val="00E30D85"/>
    <w:rsid w:val="00E444EB"/>
    <w:rsid w:val="00E77A69"/>
    <w:rsid w:val="00E77F16"/>
    <w:rsid w:val="00E81A42"/>
    <w:rsid w:val="00E961E8"/>
    <w:rsid w:val="00E96244"/>
    <w:rsid w:val="00E96DE0"/>
    <w:rsid w:val="00EA33ED"/>
    <w:rsid w:val="00EB0046"/>
    <w:rsid w:val="00EB2BEC"/>
    <w:rsid w:val="00EB74BF"/>
    <w:rsid w:val="00EC0704"/>
    <w:rsid w:val="00EC508B"/>
    <w:rsid w:val="00ED6B5D"/>
    <w:rsid w:val="00EE2D33"/>
    <w:rsid w:val="00EE4C99"/>
    <w:rsid w:val="00F029B2"/>
    <w:rsid w:val="00F153D7"/>
    <w:rsid w:val="00F1599C"/>
    <w:rsid w:val="00F2433F"/>
    <w:rsid w:val="00F244DC"/>
    <w:rsid w:val="00F30705"/>
    <w:rsid w:val="00F378F4"/>
    <w:rsid w:val="00F477FC"/>
    <w:rsid w:val="00F47912"/>
    <w:rsid w:val="00F541B6"/>
    <w:rsid w:val="00F57702"/>
    <w:rsid w:val="00F61361"/>
    <w:rsid w:val="00F613E8"/>
    <w:rsid w:val="00F74D3C"/>
    <w:rsid w:val="00F74FC9"/>
    <w:rsid w:val="00F91F47"/>
    <w:rsid w:val="00FA1622"/>
    <w:rsid w:val="00FA4F36"/>
    <w:rsid w:val="00FA6FFE"/>
    <w:rsid w:val="00FC121B"/>
    <w:rsid w:val="00FD3DFB"/>
    <w:rsid w:val="00FD7C62"/>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547641556">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479FFCA-6362-4628-9E69-A655623F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4426</Words>
  <Characters>25234</Characters>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2025-05-02T04:50:00Z</dcterms:created>
  <dcterms:modified xsi:type="dcterms:W3CDTF">2025-05-02T04:50:00Z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