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78057E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78057E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E3946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E3946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4E3946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4E394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E394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E3946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11A1A" w:rsidR="00511A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Č: KNR-VHZ-4275/2025-5</w:t>
      </w: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4226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42268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78057E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BB1726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774</w:t>
      </w:r>
      <w:r w:rsidRPr="0078057E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78057E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78057E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78057E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9C5DD8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9C5DD8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9C5DD8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9C5DD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 poskytovaní údajov na účel adresnej energopomoci (</w:t>
      </w:r>
      <w:r w:rsidRPr="00BB1726" w:rsidR="00BB17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774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9C5DD8" w:rsidR="00D93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9C5DD8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9C5DD8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713761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9C5DD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9C5DD8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9C5DD8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 poskytovaní údajov na účel adresnej energopomoci (</w:t>
      </w:r>
      <w:r w:rsidRPr="00BB1726" w:rsidR="00BB17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774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9C5DD8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ED78E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42268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</w:t>
      </w:r>
      <w:r w:rsidRPr="001459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uznesením</w:t>
      </w:r>
      <w:r w:rsidRPr="00145959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4595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B459EA" w:rsidR="00B459E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845</w:t>
      </w:r>
      <w:r w:rsidRPr="00B459EA" w:rsidR="00A24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59EA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459E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B459EA" w:rsidR="00B459E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B459E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459EA" w:rsidR="00397B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apríla</w:t>
      </w:r>
      <w:r w:rsidRPr="00B459EA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59EA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459EA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B459EA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1459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D00C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D00C35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0C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D00C35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78057E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D00C35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D00C35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272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78057E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00C35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D00C35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D00C35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D00C35" w:rsidR="00E62D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78057E" w:rsidP="004531C8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65871" w:rsidRPr="0078057E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DB17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863E1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BB1726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42268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42268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42268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BB1361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</w:t>
      </w:r>
      <w:r w:rsid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či</w:t>
      </w:r>
      <w:r w:rsid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B13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78057E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65794" w:rsidRPr="00242268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1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C15E3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C1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152</w:t>
      </w:r>
      <w:r w:rsidRPr="009C5DD8" w:rsidR="00D00C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242268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242268" w:rsidR="004E394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42268" w:rsidR="009418E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242268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242268" w:rsidR="00397B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Pr="00242268" w:rsidR="00C417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42268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242268" w:rsidR="00BB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24226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242268" w:rsidP="00242268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42268" w:rsidP="00242268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2422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Ústavnoprávny výbor Národnej rady Slovenskej republiky </w:t>
      </w:r>
      <w:r w:rsidRPr="00242268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neprijal</w:t>
      </w:r>
      <w:r w:rsidRPr="0024226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4226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uznesenie,</w:t>
      </w:r>
      <w:r w:rsidRPr="002422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keďže návrh uznesenia </w:t>
      </w:r>
      <w:r w:rsidRPr="00242268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nezískal</w:t>
      </w:r>
      <w:r w:rsidRPr="002422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4226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Pr="0024226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nadpolovičnej </w:t>
      </w:r>
      <w:r w:rsidRPr="0024226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väčšiny prítomných  poslancov</w:t>
      </w:r>
      <w:r w:rsidRPr="002422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podľa</w:t>
      </w:r>
      <w:r w:rsidRPr="002422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čl.  84 ods. 2 Ústavy Slovenskej republiky a § 52 ods. 4 zákona Národnej rady Slovenskej republiky č.  350/1996  Z.  z. o  rokovacom poriadku Národnej rady Slovenskej republiky v znení neskorších predpisov.</w:t>
      </w:r>
    </w:p>
    <w:p w:rsidR="00242268" w:rsidRPr="00242268" w:rsidP="00242268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4226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C5DD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9C5DD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9C5DD8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 uznesen</w:t>
      </w:r>
      <w:r w:rsidR="002422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ia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="002422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9C5DD8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</w:t>
      </w:r>
      <w:r w:rsidR="002422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ého</w:t>
      </w:r>
      <w:r w:rsidRPr="009C5DD8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</w:t>
      </w:r>
      <w:r w:rsidR="00A257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spoločnej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správy 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9C5DD8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9C5DD8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BB1361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/>
        <w:numPr>
          <w:numId w:val="44"/>
        </w:numPr>
        <w:autoSpaceDE/>
        <w:autoSpaceDN/>
        <w:bidi w:val="0"/>
        <w:adjustRightInd/>
        <w:spacing w:after="160" w:line="25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1 sa za slovami „konečným spotrebiteľom vody domácnosť,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4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)“ vypúšťa spojka „a“, za slová „konečných spotrebiteľoch tepla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5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)“ sa vkladajú slová </w:t>
      </w:r>
      <w:r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„a koncových odberateľoch tepla</w:t>
      </w:r>
      <w:r>
        <w:rPr>
          <w:rFonts w:ascii="Times New Roman" w:eastAsia="Times New Roman" w:hAnsi="Times New Roman" w:cs="Times New Roman" w:hint="cs"/>
          <w:bCs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6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)“ a za slová „konečným spotrebiteľom tepla“ sa vkladajú slová „alebo koncovým odberateľom tepla“.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6 znie: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§ 2 písm. s) zákona č. 657/2004 Z. z. v znení neskorších predpisov“.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odkazy s poznámkami pod čiarou k odkazom 6 až 14 sa primerane prečíslujú.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u w:val="single"/>
          <w:rtl w:val="0"/>
          <w:cs w:val="0"/>
          <w:lang w:val="sk-SK" w:eastAsia="sk-SK" w:bidi="ar-SA"/>
        </w:rPr>
        <w:t xml:space="preserve">Odôvodnenie: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Pre komplexnosť poskytovania údajov sa navrhuje doplniť do návrhu zákona aj ďalší subjekt. Koncový odberateľ tepla je definovaný v zákone ako: </w:t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i/>
          <w:iCs/>
          <w:sz w:val="24"/>
          <w:szCs w:val="24"/>
          <w:rtl w:val="0"/>
          <w:cs w:val="0"/>
          <w:lang w:val="sk-SK" w:eastAsia="sk-SK" w:bidi="ar-SA"/>
        </w:rPr>
        <w:t xml:space="preserve">koncovým odberateľom odberateľ, ktorý dodané teplo využíva na vlastnú spotrebu alebo dodané teplo rozpočítava konečným spotrebiteľom alebo dodávateľ, ktorý dodané teplo rozpočítava konečným spotrebiteľom“.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Koncový odberateľ tepla je v praxi správca bytového domu alebo spoločenstvo vlastníkov bytov a nebytových priestorov (SVB), ktorý odoberá teplo zo systému CZT a následne ho rozpočítava jednotlivým bytom a nebytovým priestorom. Správca, alebo SVB vedie evidenciu o jednotlivých bytoch a nebytových priestoroch v objekte.   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242268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242268" w:rsidRPr="009C5DD8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/>
        <w:numPr>
          <w:numId w:val="44"/>
        </w:numPr>
        <w:autoSpaceDE/>
        <w:autoSpaceDN/>
        <w:bidi w:val="0"/>
        <w:adjustRightInd/>
        <w:spacing w:after="160" w:line="25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 ods. 3 písmeno m) znie: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„m) z informačného systému spoločenstva vlastníkov bytov a nebytových priestorov alebo z informačného systému fyzickej osoby alebo právnickej osoby vykonávajúcej správu bytového domu,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)“.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12 znie: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§ 6 ods. 1 zákona Národnej rady Slovenskej republiky č. 182/1993 Z. z. o vlastníctve bytov a nebytových priestorov v znení neskorších predpisov.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odkazy s poznámkami pod čiarou k odkazom 12 až 14 sa primerane prečíslujú.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Správu domu vykonáva spoločenstvo vlastníkov bytov a nebytových priestorov v dome (SVB) alebo iná právnická osoba alebo fyzická osoba, teda správca. Ide o dve rovnocenné správy domu, teda SVB vedie identickú evidenciu ako správca a tak isto rozpočítava teplo jednotlivým bytom. Vzhľadom k tomu, že na Slovensku sú tisíce domov spravovaných SVB, je nutné aby sa povinnosti nevzťahovali len správcov, ale aj SVB. 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Spoločenstvo je právnická osoba založená podľa zákona Národnej rady Slovenskej republiky č. 182/1993 Z. z o vlastníctve bytov a nebytových priestorov a vzniká dňom zápisu do registra spoločenstiev vedenom obvodným úradom v sídle kraja.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/>
        <w:numPr>
          <w:numId w:val="44"/>
        </w:numPr>
        <w:autoSpaceDE/>
        <w:autoSpaceDN/>
        <w:bidi w:val="0"/>
        <w:adjustRightInd/>
        <w:spacing w:after="160" w:line="256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4 ods. 1 písmeno e) znie: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„e) údaje o všetkých vyplácaných dávkach v členení podľa jednotlivých druhov dávok a údaje o všetkých vyplácaných dôchodkoch zo starobného dôchodkového sporenia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podľa § 3 ods. 3 písm. e) v rozsahu: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1. rodné číslo,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2. meno,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3. priezvisko,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4. druh dávky alebo dôchodku,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5. výška dávky alebo dôchodku,“.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13 znie: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§ 29 zákona č. 43/2004 Z. z. o starobnom dôchodkovom sporení a o zmene a doplnení niektorých zákonov v znení neskorších predpisov.“.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odkazy s poznámkami pod čiarou k odkazom 13 a 14 sa primerane prečíslujú.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Navrhuje sa spresnenie a úprava rozsah údajov, ktoré sa poskytujú z informačného systému Sociálnej poisťovne. Zámerom doplnenia je zahrnúť popri údajoch o dlhodobých alebo krátkodobých dávkach vyplácaných Sociálnou poisťovňou aj údaje o starobnom dôchodkovom sporení (zákon č. 43/2004 Z. z. o starobnom dôchodkovom sporení a o zmene a doplnení niektorých zákonov v znení neskorších predpisov) Jednotlivé typy dôchodkov vyplácaných zo starobného dôchodkového sporenia sú uvedené v ustanovení zákona, na ktorý sa odkazuje.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/>
        <w:numPr>
          <w:numId w:val="44"/>
        </w:numPr>
        <w:autoSpaceDE/>
        <w:autoSpaceDN/>
        <w:bidi w:val="0"/>
        <w:adjustRightInd/>
        <w:spacing w:after="160" w:line="256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4 ods. 1 písmeno g) znie: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„g) údaje o dávkach a príspevkoch z informačného systému podľa § 3 ods. 3 písm. g) v rozsahu: 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1. rodné číslo, 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2. meno, 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3. priezvisko, 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4. dátum narodenia, 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5. druh dávky alebo príspevku,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6. výška dávky alebo príspevku,“.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2880" w:right="0" w:firstLine="2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Navrhuje sa spresnenie rozsahu údajov poskytovaných zo systému riadenia sociálnych dávok obdobne ako je definovaný  rozsahu údajov v § 4 ods. 1 písm. e) návrhu zákona, ktoré sa  poskytujú z informačného systému Sociálnej poisťovne. 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sk-SK" w:bidi="ar-SA"/>
        </w:rPr>
      </w:pP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418EC" w:rsidRPr="009C5DD8" w:rsidP="009418EC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i/>
          <w:u w:val="single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/>
        <w:numPr>
          <w:numId w:val="44"/>
        </w:numPr>
        <w:autoSpaceDE/>
        <w:autoSpaceDN/>
        <w:bidi w:val="0"/>
        <w:adjustRightInd/>
        <w:spacing w:after="160" w:line="256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4 ods. 1 písm. i) až m) tretí a štvrtý bod znejú: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„3. meno, priezvisko a dátum narodenia vlastníka odberného miesta,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4. meno, priezvisko a dátum narodenia koncového odberateľa na odbernom mieste,“.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E2512" w:rsidP="002E2512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Navrhuje sa presné vymedzenie údajov o vlastníkovi odberného miesta, ako aj o koncovom odberateľovi. Namiesto všeobecného pojmu „údaje“ sa navrhuje doplnenie na taxatívne uvedenie konkrétnych identifikačných údajov vlastníka odberného miesta a koncového odberateľa. Zároveň v písm. l) a m) dochádza k doplneniu nového údaju, a to ceny za spotrebovanú komoditu. Ide totiž o subjekty pôsobiace v tepelnej energetike. Kým osoby podnikajúce v tepelnej energetike majú cenové rozhodnutia vydávané Úradom pre reguláciu sieťových odvetví, subjekty podľa § 3 ods. 3 písm. m)  návrhu zákona vykonávajú správu bytového domu, alebo ako spoločenstvo si sami spravujú bytový dom, v rámci ktorej činnosti rozpočítavajú množstvo vyrobeného tepla konečným spotrebiteľom, teda nedisponujú cenovými rozhodnutiami. V záujme podchytenia aj informácií o uplatňovanej cene za komoditu sa navrhuje doplnenie v uvedenom rozsahu. </w:t>
      </w:r>
    </w:p>
    <w:p w:rsidR="002E2512" w:rsidRPr="009C5DD8" w:rsidP="002E2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E2512" w:rsidRPr="009C5DD8" w:rsidP="002E251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2E2512" w:rsidRPr="009C5DD8" w:rsidP="002E2512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2E2512" w:rsidP="002E2512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2E2512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/>
        <w:numPr>
          <w:numId w:val="44"/>
        </w:numPr>
        <w:autoSpaceDE/>
        <w:autoSpaceDN/>
        <w:bidi w:val="0"/>
        <w:adjustRightInd/>
        <w:spacing w:line="256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§ 4 ods. 1 písm. l) sa dopĺňa šiestym bodom, ktorý znie: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„6. cena za spotrebovanú komoditu,“.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E2512" w:rsidP="002E2512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Navrhuje sa presné vymedzenie údajov o vlastníkovi odberného miesta, ako aj o koncovom odberateľovi. Namiesto všeobecného pojmu „údaje“ sa navrhuje doplnenie na taxatívne uvedenie konkrétnych identifikačných údajov vlastníka odberného miesta a koncového odberateľa. Zároveň v písm. l) a m) dochádza k doplneniu nového údaju, a to ceny za spotrebovanú komoditu. Ide totiž o subjekty pôsobiace v tepelnej energetike. Kým osoby podnikajúce v tepelnej energetike majú cenové rozhodnutia vydávané Úradom pre reguláciu sieťových odvetví, subjekty podľa § 3 ods. 3 písm. m)  návrhu zákona vykonávajú správu bytového domu, alebo ako spoločenstvo si sami spravujú bytový dom, v rámci ktorej činnosti rozpočítavajú množstvo vyrobeného tepla konečným spotrebiteľom, teda nedisponujú cenovými rozhodnutiami. V záujme podchytenia aj informácií o uplatňovanej cene za komoditu sa navrhuje doplnenie v uvedenom rozsahu. </w:t>
      </w:r>
    </w:p>
    <w:p w:rsidR="002E2512" w:rsidRPr="009C5DD8" w:rsidP="002E2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E2512" w:rsidRPr="009C5DD8" w:rsidP="002E2512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2E2512" w:rsidRPr="009C5DD8" w:rsidP="002E2512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2E2512" w:rsidP="002E2512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2E2512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/>
        <w:numPr>
          <w:numId w:val="44"/>
        </w:numPr>
        <w:autoSpaceDE/>
        <w:autoSpaceDN/>
        <w:bidi w:val="0"/>
        <w:adjustRightInd/>
        <w:spacing w:line="256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§ 4 ods. 1 písm. m) sa dopĺňa šiestym bodom, ktorý znie:</w:t>
      </w: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„6. cena za spotrebovanú komoditu.“.</w:t>
      </w:r>
    </w:p>
    <w:p w:rsidR="009418EC" w:rsidP="009418EC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418EC" w:rsidP="009418EC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Navrhuje sa presné vymedzenie údajov o vlastníkovi odberného miesta, ako aj o koncovom odberateľovi. Namiesto všeobecného pojmu „údaje“ sa navrhuje doplnenie na taxatívne uvedenie konkrétnych identifikačných údajov vlastníka odberného miesta a koncového odberateľa. Zároveň v písm. l) a m) dochádza k doplneniu nového údaju, a to ceny za spotrebovanú komoditu. Ide totiž o subjekty pôsobiace v tepelnej energetike. Kým osoby podnikajúce v tepelnej energetike majú cenové rozhodnutia vydávané Úradom pre reguláciu sieťových odvetví, subjekty podľa § 3 ods. 3 písm. m)  návrhu zákona vykonávajú správu bytového domu, alebo ako spoločenstvo si sami spravujú bytový dom, v rámci ktorej činnosti rozpočítavajú množstvo vyrobeného tepla konečným spotrebiteľom, teda nedisponujú cenovými rozhodnutiami. V záujme podchytenia aj informácií o uplatňovanej cene za komoditu sa navrhuje doplnenie v uvedenom rozsahu. </w:t>
      </w: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2B4696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24226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242268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E799F" w:rsidRPr="009C5DD8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9418EC" w:rsidR="00BB17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 </w:t>
      </w:r>
      <w:r w:rsidRPr="009418EC" w:rsidR="009418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</w:t>
      </w:r>
      <w:r w:rsidRPr="009418EC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9C5DD8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9C5DD8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9C5DD8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Arial" w:hint="cs"/>
          <w:color w:val="000000"/>
          <w:rtl w:val="0"/>
          <w:cs w:val="0"/>
          <w:lang w:val="sk-SK" w:eastAsia="sk-SK" w:bidi="ar-SA"/>
        </w:rPr>
      </w:pP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754BD9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754BD9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 poskytovaní údajov na účel adresnej energopomoci (</w:t>
      </w:r>
      <w:r w:rsidRPr="00BB1726" w:rsidR="00BB17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774</w:t>
      </w:r>
      <w:r w:rsidRPr="00BB1726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754BD9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4BD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754BD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754BD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754B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54BD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4B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znení </w:t>
      </w:r>
      <w:r w:rsidRPr="009418E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pozmeňujúcich a doplňujúcich návrhov</w:t>
      </w:r>
      <w:r w:rsidRPr="00754B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uvedených v tejto spoločnej správe, ktoré gestorský výbor odporúčal schváliť.</w:t>
      </w:r>
    </w:p>
    <w:p w:rsidR="00317852" w:rsidRPr="00754BD9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P="00397B7E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</w:t>
      </w:r>
      <w:r w:rsidRP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republiky pre hospodárske záležitosti č</w:t>
      </w:r>
      <w:r w:rsidRPr="009357CC" w:rsid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153</w:t>
      </w:r>
      <w:r w:rsidRPr="009357CC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357CC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9357CC" w:rsid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357CC" w:rsidR="00397B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9357CC" w:rsid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2025. </w:t>
      </w:r>
    </w:p>
    <w:p w:rsidR="00317852" w:rsidRPr="009357CC" w:rsidP="00397B7E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9357C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35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9357CC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zároveň</w:t>
      </w:r>
      <w:r w:rsidRPr="009357CC" w:rsidR="00BB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poveril spoločného</w:t>
      </w:r>
      <w:r w:rsidRPr="009357CC" w:rsidR="00F426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Pr="009357CC" w:rsidR="00BB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Pr="009357CC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357CC" w:rsidR="00BB17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Igora</w:t>
      </w:r>
      <w:r w:rsidRPr="009357CC" w:rsidR="00DC5A1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357CC" w:rsidR="00BB17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Šimka</w:t>
      </w:r>
      <w:r w:rsidRPr="009357CC" w:rsidR="00964B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35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9357CC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935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9357C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46E15" w:rsidRPr="009357C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357CC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9357CC" w:rsid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9357CC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357CC" w:rsidR="00397B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9357CC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9500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500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964B9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964B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78057E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78057E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78057E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78057E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2E2512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6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24D25"/>
    <w:multiLevelType w:val="hybridMultilevel"/>
    <w:tmpl w:val="60287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5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7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8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9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2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23"/>
  </w:num>
  <w:num w:numId="3">
    <w:abstractNumId w:val="36"/>
  </w:num>
  <w:num w:numId="4">
    <w:abstractNumId w:val="14"/>
  </w:num>
  <w:num w:numId="5">
    <w:abstractNumId w:val="25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6"/>
  </w:num>
  <w:num w:numId="12">
    <w:abstractNumId w:val="16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8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2"/>
  </w:num>
  <w:num w:numId="21">
    <w:abstractNumId w:val="7"/>
  </w:num>
  <w:num w:numId="22">
    <w:abstractNumId w:val="29"/>
  </w:num>
  <w:num w:numId="23">
    <w:abstractNumId w:val="6"/>
  </w:num>
  <w:num w:numId="24">
    <w:abstractNumId w:val="38"/>
  </w:num>
  <w:num w:numId="25">
    <w:abstractNumId w:val="3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9"/>
  </w:num>
  <w:num w:numId="31">
    <w:abstractNumId w:val="27"/>
  </w:num>
  <w:num w:numId="32">
    <w:abstractNumId w:val="21"/>
  </w:num>
  <w:num w:numId="33">
    <w:abstractNumId w:val="37"/>
  </w:num>
  <w:num w:numId="34">
    <w:abstractNumId w:val="22"/>
  </w:num>
  <w:num w:numId="35">
    <w:abstractNumId w:val="11"/>
  </w:num>
  <w:num w:numId="36">
    <w:abstractNumId w:val="41"/>
  </w:num>
  <w:num w:numId="37">
    <w:abstractNumId w:val="40"/>
  </w:num>
  <w:num w:numId="38">
    <w:abstractNumId w:val="10"/>
  </w:num>
  <w:num w:numId="39">
    <w:abstractNumId w:val="15"/>
  </w:num>
  <w:num w:numId="40">
    <w:abstractNumId w:val="19"/>
  </w:num>
  <w:num w:numId="41">
    <w:abstractNumId w:val="33"/>
  </w:num>
  <w:num w:numId="42">
    <w:abstractNumId w:val="5"/>
  </w:num>
  <w:num w:numId="43">
    <w:abstractNumId w:val="32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6</Pages>
  <Words>1614</Words>
  <Characters>9206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63</cp:revision>
  <cp:lastPrinted>2024-05-15T13:37:00Z</cp:lastPrinted>
  <dcterms:created xsi:type="dcterms:W3CDTF">2021-10-19T14:12:00Z</dcterms:created>
  <dcterms:modified xsi:type="dcterms:W3CDTF">2025-04-03T15:16:00Z</dcterms:modified>
</cp:coreProperties>
</file>