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C13" w:rsidRDefault="00ED7C13" w:rsidP="00ED7C13">
      <w:pPr>
        <w:spacing w:line="240" w:lineRule="auto"/>
        <w:ind w:left="0"/>
        <w:jc w:val="both"/>
        <w:rPr>
          <w:b/>
          <w:bCs/>
        </w:rPr>
      </w:pPr>
      <w:r>
        <w:rPr>
          <w:b/>
          <w:bCs/>
        </w:rPr>
        <w:t xml:space="preserve">                      Výbor </w:t>
      </w:r>
    </w:p>
    <w:p w:rsidR="00ED7C13" w:rsidRDefault="00ED7C13" w:rsidP="00ED7C13">
      <w:pPr>
        <w:spacing w:line="240" w:lineRule="auto"/>
        <w:ind w:left="0"/>
        <w:rPr>
          <w:b/>
          <w:bCs/>
        </w:rPr>
      </w:pPr>
      <w:r>
        <w:rPr>
          <w:b/>
          <w:bCs/>
        </w:rPr>
        <w:t>Národnej rady Sloven</w:t>
      </w:r>
      <w:smartTag w:uri="urn:schemas-microsoft-com:office:smarttags" w:element="PersonName">
        <w:r>
          <w:rPr>
            <w:b/>
            <w:bCs/>
          </w:rPr>
          <w:t>sk</w:t>
        </w:r>
      </w:smartTag>
      <w:r>
        <w:rPr>
          <w:b/>
          <w:bCs/>
        </w:rPr>
        <w:t>ej republiky</w:t>
      </w:r>
    </w:p>
    <w:p w:rsidR="00ED7C13" w:rsidRDefault="00ED7C13" w:rsidP="00ED7C13">
      <w:pPr>
        <w:spacing w:line="240" w:lineRule="auto"/>
        <w:ind w:left="0"/>
        <w:rPr>
          <w:b/>
          <w:bCs/>
        </w:rPr>
      </w:pPr>
      <w:r>
        <w:rPr>
          <w:b/>
          <w:bCs/>
        </w:rPr>
        <w:t xml:space="preserve">                pre zdravotníctvo</w:t>
      </w:r>
    </w:p>
    <w:p w:rsidR="00ED7C13" w:rsidRDefault="00ED7C13" w:rsidP="00ED7C13">
      <w:pPr>
        <w:spacing w:line="240" w:lineRule="auto"/>
        <w:jc w:val="right"/>
      </w:pPr>
      <w:r>
        <w:tab/>
      </w:r>
      <w:r>
        <w:tab/>
      </w:r>
      <w:r>
        <w:tab/>
      </w:r>
      <w:r>
        <w:tab/>
      </w:r>
      <w:r>
        <w:tab/>
      </w:r>
      <w:r>
        <w:tab/>
        <w:t xml:space="preserve">    </w:t>
      </w:r>
      <w:r w:rsidR="00DC1999">
        <w:rPr>
          <w:b/>
        </w:rPr>
        <w:t>3</w:t>
      </w:r>
      <w:r w:rsidR="00D20468">
        <w:rPr>
          <w:b/>
        </w:rPr>
        <w:t>6</w:t>
      </w:r>
      <w:r w:rsidRPr="00A238FD">
        <w:rPr>
          <w:b/>
        </w:rPr>
        <w:t>.</w:t>
      </w:r>
      <w:r>
        <w:t xml:space="preserve"> schôdza výboru</w:t>
      </w:r>
    </w:p>
    <w:p w:rsidR="00FD0096" w:rsidRDefault="00ED7C13" w:rsidP="00FD0096">
      <w:pPr>
        <w:jc w:val="right"/>
      </w:pPr>
      <w:r>
        <w:tab/>
      </w:r>
      <w:r>
        <w:tab/>
      </w:r>
      <w:r>
        <w:tab/>
      </w:r>
      <w:r>
        <w:tab/>
      </w:r>
      <w:r>
        <w:tab/>
      </w:r>
      <w:r>
        <w:tab/>
      </w:r>
      <w:r w:rsidR="00FD0096">
        <w:t>Číslo:  KNR-VZD-</w:t>
      </w:r>
      <w:r w:rsidR="00613378">
        <w:t>41</w:t>
      </w:r>
      <w:r w:rsidR="00D20468">
        <w:t>93</w:t>
      </w:r>
      <w:r w:rsidR="00FD0096">
        <w:t>/202</w:t>
      </w:r>
      <w:r w:rsidR="00CA559C">
        <w:t>5</w:t>
      </w:r>
      <w:r w:rsidR="00FD0096">
        <w:t>-</w:t>
      </w:r>
      <w:r w:rsidR="00D20468">
        <w:t>3</w:t>
      </w:r>
    </w:p>
    <w:p w:rsidR="00936881" w:rsidRDefault="00936881" w:rsidP="00ED7C13">
      <w:pPr>
        <w:spacing w:line="240" w:lineRule="auto"/>
        <w:jc w:val="center"/>
        <w:rPr>
          <w:b/>
          <w:bCs/>
          <w:sz w:val="28"/>
        </w:rPr>
      </w:pPr>
    </w:p>
    <w:p w:rsidR="00041185" w:rsidRDefault="00041185" w:rsidP="00ED7C13">
      <w:pPr>
        <w:spacing w:line="240" w:lineRule="auto"/>
        <w:jc w:val="center"/>
        <w:rPr>
          <w:b/>
          <w:bCs/>
          <w:sz w:val="28"/>
        </w:rPr>
      </w:pPr>
    </w:p>
    <w:p w:rsidR="00ED7C13" w:rsidRDefault="00ED7C13" w:rsidP="00F86532">
      <w:pPr>
        <w:spacing w:line="240" w:lineRule="auto"/>
        <w:ind w:left="0"/>
        <w:jc w:val="center"/>
        <w:rPr>
          <w:b/>
          <w:bCs/>
          <w:sz w:val="28"/>
        </w:rPr>
      </w:pPr>
      <w:r>
        <w:rPr>
          <w:b/>
          <w:bCs/>
          <w:sz w:val="28"/>
        </w:rPr>
        <w:t>1</w:t>
      </w:r>
      <w:r w:rsidR="00D20468">
        <w:rPr>
          <w:b/>
          <w:bCs/>
          <w:sz w:val="28"/>
        </w:rPr>
        <w:t>16</w:t>
      </w:r>
    </w:p>
    <w:p w:rsidR="00AC261F" w:rsidRPr="00ED7C13" w:rsidRDefault="00AC261F" w:rsidP="00ED7C13">
      <w:pPr>
        <w:spacing w:line="240" w:lineRule="auto"/>
        <w:jc w:val="center"/>
        <w:rPr>
          <w:b/>
          <w:bCs/>
          <w:sz w:val="28"/>
        </w:rPr>
      </w:pPr>
    </w:p>
    <w:p w:rsidR="00ED7C13" w:rsidRDefault="00ED7C13" w:rsidP="00F86532">
      <w:pPr>
        <w:spacing w:line="240" w:lineRule="auto"/>
        <w:ind w:left="0"/>
        <w:jc w:val="center"/>
        <w:rPr>
          <w:b/>
          <w:bCs/>
        </w:rPr>
      </w:pPr>
      <w:r>
        <w:rPr>
          <w:b/>
          <w:bCs/>
        </w:rPr>
        <w:t>U z n e s e n i e</w:t>
      </w:r>
    </w:p>
    <w:p w:rsidR="00ED7C13" w:rsidRDefault="00ED7C13" w:rsidP="00F86532">
      <w:pPr>
        <w:spacing w:line="240" w:lineRule="auto"/>
        <w:ind w:left="0"/>
        <w:jc w:val="center"/>
        <w:rPr>
          <w:b/>
          <w:bCs/>
        </w:rPr>
      </w:pPr>
      <w:r>
        <w:rPr>
          <w:b/>
          <w:bCs/>
        </w:rPr>
        <w:t>Výboru Národnej rady Sloven</w:t>
      </w:r>
      <w:smartTag w:uri="urn:schemas-microsoft-com:office:smarttags" w:element="PersonName">
        <w:r>
          <w:rPr>
            <w:b/>
            <w:bCs/>
          </w:rPr>
          <w:t>sk</w:t>
        </w:r>
      </w:smartTag>
      <w:r>
        <w:rPr>
          <w:b/>
          <w:bCs/>
        </w:rPr>
        <w:t>ej republiky</w:t>
      </w:r>
    </w:p>
    <w:p w:rsidR="00ED7C13" w:rsidRDefault="00ED7C13" w:rsidP="00F86532">
      <w:pPr>
        <w:spacing w:line="240" w:lineRule="auto"/>
        <w:ind w:left="0"/>
        <w:jc w:val="center"/>
        <w:rPr>
          <w:b/>
          <w:bCs/>
        </w:rPr>
      </w:pPr>
      <w:r>
        <w:rPr>
          <w:b/>
          <w:bCs/>
        </w:rPr>
        <w:t>pre zdravotníctvo</w:t>
      </w:r>
    </w:p>
    <w:p w:rsidR="00ED7C13" w:rsidRPr="00ED7C13" w:rsidRDefault="00ED7C13" w:rsidP="00F86532">
      <w:pPr>
        <w:spacing w:line="240" w:lineRule="auto"/>
        <w:ind w:left="0"/>
        <w:jc w:val="center"/>
        <w:rPr>
          <w:b/>
          <w:bCs/>
        </w:rPr>
      </w:pPr>
      <w:r>
        <w:rPr>
          <w:b/>
          <w:bCs/>
        </w:rPr>
        <w:t>z</w:t>
      </w:r>
      <w:r w:rsidR="00856411">
        <w:rPr>
          <w:b/>
          <w:bCs/>
        </w:rPr>
        <w:t xml:space="preserve"> 27. </w:t>
      </w:r>
      <w:r w:rsidR="00613378">
        <w:rPr>
          <w:b/>
          <w:bCs/>
        </w:rPr>
        <w:t>marca</w:t>
      </w:r>
      <w:r>
        <w:rPr>
          <w:b/>
          <w:bCs/>
        </w:rPr>
        <w:t xml:space="preserve"> 202</w:t>
      </w:r>
      <w:r w:rsidR="00613378">
        <w:rPr>
          <w:b/>
          <w:bCs/>
        </w:rPr>
        <w:t>5</w:t>
      </w:r>
    </w:p>
    <w:p w:rsidR="00ED7C13" w:rsidRDefault="00ED7C13" w:rsidP="00ED7C13">
      <w:pPr>
        <w:spacing w:line="240" w:lineRule="auto"/>
      </w:pPr>
    </w:p>
    <w:p w:rsidR="00DC1999" w:rsidRDefault="00ED7C13" w:rsidP="00DC1999">
      <w:pPr>
        <w:pStyle w:val="Zkladntext"/>
      </w:pPr>
      <w:r w:rsidRPr="00ED7C13">
        <w:rPr>
          <w:b/>
        </w:rPr>
        <w:t>k </w:t>
      </w:r>
      <w:r w:rsidR="00DC1999" w:rsidRPr="00DC1999">
        <w:rPr>
          <w:b/>
        </w:rPr>
        <w:t>vládnemu návrhu zákona, ktorým sa mení a dopĺňa zákon č. 579/20</w:t>
      </w:r>
      <w:r w:rsidR="00613378">
        <w:rPr>
          <w:b/>
        </w:rPr>
        <w:t>0</w:t>
      </w:r>
      <w:r w:rsidR="00DC1999" w:rsidRPr="00DC1999">
        <w:rPr>
          <w:b/>
        </w:rPr>
        <w:t xml:space="preserve">4 Z. z. o záchrannej zdravotnej službe a o zmene a doplnení niektorých zákonov v znení neskorších predpisov a ktorým sa menia a dopĺňajú niektoré zákony </w:t>
      </w:r>
      <w:r w:rsidR="00DC1999">
        <w:t xml:space="preserve">(tlač </w:t>
      </w:r>
      <w:r w:rsidR="00613378">
        <w:t>772</w:t>
      </w:r>
      <w:r w:rsidR="00DC1999">
        <w:t xml:space="preserve">) </w:t>
      </w:r>
    </w:p>
    <w:p w:rsidR="00AC261F" w:rsidRDefault="00AC261F" w:rsidP="00AC261F">
      <w:pPr>
        <w:pStyle w:val="Zkladntext"/>
      </w:pPr>
    </w:p>
    <w:p w:rsidR="00ED7C13" w:rsidRDefault="00ED7C13" w:rsidP="00ED7C13">
      <w:pPr>
        <w:pStyle w:val="Zkladntext"/>
        <w:rPr>
          <w:b/>
          <w:bCs/>
        </w:rPr>
      </w:pPr>
      <w:r>
        <w:tab/>
      </w:r>
      <w:r>
        <w:rPr>
          <w:b/>
          <w:bCs/>
        </w:rPr>
        <w:t>Výbor Národnej rady Slovenskej republiky pre zdravotníctvo</w:t>
      </w:r>
    </w:p>
    <w:p w:rsidR="00ED7C13" w:rsidRDefault="00ED7C13" w:rsidP="00ED7C13">
      <w:pPr>
        <w:pStyle w:val="Zkladntext"/>
      </w:pPr>
    </w:p>
    <w:p w:rsidR="00DC1999" w:rsidRDefault="00ED7C13" w:rsidP="00DC1999">
      <w:pPr>
        <w:pStyle w:val="Zkladntext"/>
      </w:pPr>
      <w:r w:rsidRPr="00A238FD">
        <w:t xml:space="preserve">           prerokoval</w:t>
      </w:r>
      <w:r w:rsidRPr="00A238FD">
        <w:rPr>
          <w:bCs/>
        </w:rPr>
        <w:t xml:space="preserve"> </w:t>
      </w:r>
      <w:r w:rsidR="00DC1999">
        <w:t>vládny návrh zákona, ktorým sa mení a dopĺňa zákon č. 579/20</w:t>
      </w:r>
      <w:r w:rsidR="00856411">
        <w:t>0</w:t>
      </w:r>
      <w:r w:rsidR="00DC1999">
        <w:t xml:space="preserve">4 Z. z. o záchrannej zdravotnej službe a o zmene a doplnení niektorých zákonov v znení neskorších predpisov a ktorým sa menia a dopĺňajú niektoré zákony (tlač </w:t>
      </w:r>
      <w:r w:rsidR="00613378">
        <w:t>772</w:t>
      </w:r>
      <w:r w:rsidR="00DC1999">
        <w:t>);</w:t>
      </w:r>
    </w:p>
    <w:p w:rsidR="00DC1999" w:rsidRDefault="00DC1999" w:rsidP="00DC1999">
      <w:pPr>
        <w:pStyle w:val="Zkladntext"/>
      </w:pPr>
    </w:p>
    <w:p w:rsidR="00ED7C13" w:rsidRDefault="00DC1999" w:rsidP="00DC1999">
      <w:pPr>
        <w:pStyle w:val="Zkladntext"/>
        <w:rPr>
          <w:b/>
          <w:bCs/>
        </w:rPr>
      </w:pPr>
      <w:r>
        <w:rPr>
          <w:b/>
          <w:bCs/>
        </w:rPr>
        <w:tab/>
      </w:r>
      <w:r w:rsidR="00ED7C13">
        <w:rPr>
          <w:b/>
          <w:bCs/>
        </w:rPr>
        <w:t>A.  s ú h l a s</w:t>
      </w:r>
      <w:r w:rsidR="00825F9B">
        <w:rPr>
          <w:b/>
          <w:bCs/>
        </w:rPr>
        <w:t> </w:t>
      </w:r>
      <w:r w:rsidR="00ED7C13">
        <w:rPr>
          <w:b/>
          <w:bCs/>
        </w:rPr>
        <w:t>í</w:t>
      </w:r>
    </w:p>
    <w:p w:rsidR="00825F9B" w:rsidRDefault="00825F9B" w:rsidP="00ED7C13">
      <w:pPr>
        <w:pStyle w:val="Zkladntext"/>
        <w:ind w:left="708" w:firstLine="12"/>
        <w:rPr>
          <w:b/>
          <w:bCs/>
        </w:rPr>
      </w:pPr>
    </w:p>
    <w:p w:rsidR="00DC1999" w:rsidRDefault="00ED7C13" w:rsidP="00DC1999">
      <w:pPr>
        <w:pStyle w:val="Zkladntext"/>
      </w:pPr>
      <w:r w:rsidRPr="00A238FD">
        <w:t xml:space="preserve">                s </w:t>
      </w:r>
      <w:r w:rsidR="00DC1999">
        <w:t>vládnym návrhom zákona, ktorým sa mení a dopĺňa zákon č. 579/20</w:t>
      </w:r>
      <w:r w:rsidR="00613378">
        <w:t>0</w:t>
      </w:r>
      <w:r w:rsidR="00DC1999">
        <w:t xml:space="preserve">4 Z. z. o záchrannej zdravotnej službe a o zmene a doplnení niektorých zákonov v znení neskorších predpisov a ktorým sa menia a dopĺňajú niektoré zákony (tlač </w:t>
      </w:r>
      <w:r w:rsidR="00613378">
        <w:t>772</w:t>
      </w:r>
      <w:r w:rsidR="00DC1999">
        <w:t xml:space="preserve">); </w:t>
      </w:r>
    </w:p>
    <w:p w:rsidR="00AC261F" w:rsidRDefault="00AC261F" w:rsidP="00AC261F">
      <w:pPr>
        <w:pStyle w:val="Zkladntext"/>
      </w:pPr>
    </w:p>
    <w:p w:rsidR="00ED7C13" w:rsidRDefault="00A238FD" w:rsidP="00A238FD">
      <w:pPr>
        <w:pStyle w:val="Normlnywebov"/>
        <w:spacing w:before="0" w:beforeAutospacing="0" w:after="200" w:afterAutospacing="0"/>
        <w:jc w:val="both"/>
        <w:rPr>
          <w:rFonts w:ascii="Arial" w:hAnsi="Arial" w:cs="Arial"/>
          <w:b/>
          <w:bCs/>
        </w:rPr>
      </w:pPr>
      <w:r>
        <w:rPr>
          <w:rFonts w:ascii="Arial" w:hAnsi="Arial" w:cs="Arial"/>
          <w:b/>
          <w:bCs/>
        </w:rPr>
        <w:tab/>
      </w:r>
      <w:r w:rsidR="00ED7C13">
        <w:rPr>
          <w:rFonts w:ascii="Arial" w:hAnsi="Arial" w:cs="Arial"/>
          <w:b/>
          <w:bCs/>
        </w:rPr>
        <w:t>B.</w:t>
      </w:r>
      <w:r w:rsidR="00ED7C13">
        <w:rPr>
          <w:rFonts w:ascii="Arial" w:hAnsi="Arial" w:cs="Arial"/>
          <w:bCs/>
        </w:rPr>
        <w:t xml:space="preserve"> </w:t>
      </w:r>
      <w:r w:rsidR="00ED7C13">
        <w:rPr>
          <w:rFonts w:ascii="Arial" w:hAnsi="Arial" w:cs="Arial"/>
          <w:b/>
          <w:bCs/>
        </w:rPr>
        <w:t>o d p o r ú č a</w:t>
      </w:r>
    </w:p>
    <w:p w:rsidR="00ED7C13" w:rsidRPr="00ED7C13" w:rsidRDefault="00ED7C13" w:rsidP="00ED7C13">
      <w:pPr>
        <w:pStyle w:val="Normlnywebov"/>
        <w:spacing w:before="0" w:beforeAutospacing="0" w:after="0" w:afterAutospacing="0"/>
        <w:ind w:firstLine="709"/>
        <w:jc w:val="both"/>
        <w:rPr>
          <w:rFonts w:ascii="Arial" w:hAnsi="Arial" w:cs="Arial"/>
          <w:b/>
          <w:bCs/>
        </w:rPr>
      </w:pPr>
      <w:r>
        <w:rPr>
          <w:rFonts w:ascii="Arial" w:hAnsi="Arial" w:cs="Arial"/>
          <w:b/>
          <w:bCs/>
        </w:rPr>
        <w:t xml:space="preserve">     </w:t>
      </w:r>
      <w:r w:rsidRPr="00ED7C13">
        <w:rPr>
          <w:rFonts w:ascii="Arial" w:hAnsi="Arial" w:cs="Arial"/>
          <w:b/>
          <w:bCs/>
        </w:rPr>
        <w:t>Národnej rade Slovenskej republiky</w:t>
      </w:r>
    </w:p>
    <w:p w:rsidR="00ED7C13" w:rsidRDefault="00ED7C13" w:rsidP="00ED7C13">
      <w:pPr>
        <w:pStyle w:val="Zkladntext"/>
        <w:ind w:left="1065"/>
      </w:pPr>
    </w:p>
    <w:p w:rsidR="00AC261F" w:rsidRDefault="00A238FD" w:rsidP="00AC261F">
      <w:pPr>
        <w:pStyle w:val="Zkladntext"/>
      </w:pPr>
      <w:r>
        <w:rPr>
          <w:bCs/>
        </w:rPr>
        <w:tab/>
        <w:t xml:space="preserve">     </w:t>
      </w:r>
      <w:r w:rsidR="00DC1999">
        <w:t>vládny návrh zákona, ktorým sa mení a dopĺňa zákon č. 579/20</w:t>
      </w:r>
      <w:r w:rsidR="00613378">
        <w:t>0</w:t>
      </w:r>
      <w:r w:rsidR="00DC1999">
        <w:t xml:space="preserve">4 Z. z. o záchrannej zdravotnej službe a o zmene a doplnení niektorých zákonov v znení neskorších predpisov a ktorým sa menia a dopĺňajú niektoré zákony (tlač </w:t>
      </w:r>
      <w:r w:rsidR="00613378">
        <w:t>772</w:t>
      </w:r>
      <w:r w:rsidR="00DC1999">
        <w:t xml:space="preserve">) </w:t>
      </w:r>
      <w:r w:rsidR="00ED7C13" w:rsidRPr="00ED7C13">
        <w:t xml:space="preserve">schváliť </w:t>
      </w:r>
      <w:r w:rsidR="00936881">
        <w:t>s pozmeňujúcimi návrhmi:</w:t>
      </w:r>
    </w:p>
    <w:p w:rsidR="00041185" w:rsidRDefault="00041185" w:rsidP="00AC261F">
      <w:pPr>
        <w:pStyle w:val="Zkladntext"/>
      </w:pPr>
    </w:p>
    <w:p w:rsidR="003C5C95" w:rsidRDefault="003C5C95" w:rsidP="003C5C95">
      <w:pPr>
        <w:spacing w:line="240" w:lineRule="auto"/>
        <w:ind w:firstLine="360"/>
        <w:jc w:val="both"/>
      </w:pPr>
    </w:p>
    <w:p w:rsidR="003C5C95" w:rsidRDefault="003C5C95" w:rsidP="003C5C95">
      <w:pPr>
        <w:pStyle w:val="Odsekzoznamu"/>
        <w:numPr>
          <w:ilvl w:val="0"/>
          <w:numId w:val="8"/>
        </w:numPr>
        <w:spacing w:after="0" w:line="240" w:lineRule="auto"/>
        <w:jc w:val="both"/>
        <w:rPr>
          <w:rFonts w:ascii="Arial" w:hAnsi="Arial" w:cs="Arial"/>
          <w:sz w:val="24"/>
          <w:szCs w:val="24"/>
        </w:rPr>
      </w:pPr>
      <w:r>
        <w:rPr>
          <w:rFonts w:ascii="Arial" w:hAnsi="Arial" w:cs="Arial"/>
          <w:b/>
          <w:sz w:val="24"/>
          <w:szCs w:val="24"/>
        </w:rPr>
        <w:t>V čl. I, 3. bode, 7. bode</w:t>
      </w:r>
      <w:r>
        <w:rPr>
          <w:rFonts w:ascii="Arial" w:hAnsi="Arial" w:cs="Arial"/>
          <w:sz w:val="24"/>
          <w:szCs w:val="24"/>
        </w:rPr>
        <w:t xml:space="preserve"> § 3 ods. 3 písm. r), 20. bode a 21. bode sa za slová „o stave“ vkladajú slová „a polohe“.</w:t>
      </w:r>
    </w:p>
    <w:p w:rsidR="003C5C95" w:rsidRDefault="003C5C95" w:rsidP="003C5C95">
      <w:pPr>
        <w:pStyle w:val="Odsekzoznamu"/>
        <w:spacing w:after="0" w:line="240" w:lineRule="auto"/>
        <w:ind w:left="360"/>
        <w:jc w:val="both"/>
        <w:rPr>
          <w:rFonts w:ascii="Arial" w:hAnsi="Arial" w:cs="Arial"/>
          <w:sz w:val="24"/>
          <w:szCs w:val="24"/>
        </w:rPr>
      </w:pPr>
    </w:p>
    <w:p w:rsidR="003C5C95" w:rsidRDefault="003C5C95" w:rsidP="003C5C95">
      <w:pPr>
        <w:spacing w:line="240" w:lineRule="auto"/>
        <w:ind w:left="2835"/>
        <w:jc w:val="both"/>
        <w:rPr>
          <w:lang w:eastAsia="sk-SK"/>
        </w:rPr>
      </w:pPr>
      <w:r>
        <w:rPr>
          <w:lang w:eastAsia="sk-SK"/>
        </w:rPr>
        <w:t xml:space="preserve">Špecifikovanie rozsahu údajov, ktoré musia byť obsahom zmluvy medzi poskytovateľom záchrannej zdravotnej služby a Operačným strediskom záchrannej zdravotnej služby o údaje o polohe vozidla. Tieto údaje potrebuje Operačné stredisko záchrannej zdravotnej služby na </w:t>
      </w:r>
      <w:r>
        <w:rPr>
          <w:lang w:eastAsia="sk-SK"/>
        </w:rPr>
        <w:lastRenderedPageBreak/>
        <w:t>vyhodnocovanie činnosti poskytovateľov záchrannej zdravotnej služby.</w:t>
      </w:r>
    </w:p>
    <w:p w:rsidR="003C5C95" w:rsidRDefault="003C5C95" w:rsidP="003C5C95">
      <w:pPr>
        <w:pStyle w:val="Odsekzoznamu"/>
        <w:spacing w:after="0" w:line="240" w:lineRule="auto"/>
        <w:ind w:left="360"/>
        <w:jc w:val="both"/>
        <w:rPr>
          <w:rFonts w:ascii="Arial" w:hAnsi="Arial" w:cs="Arial"/>
          <w:sz w:val="24"/>
          <w:szCs w:val="24"/>
        </w:rPr>
      </w:pPr>
    </w:p>
    <w:p w:rsidR="003C5C95" w:rsidRDefault="003C5C95" w:rsidP="003C5C95">
      <w:pPr>
        <w:autoSpaceDE w:val="0"/>
        <w:autoSpaceDN w:val="0"/>
        <w:adjustRightInd w:val="0"/>
        <w:spacing w:line="240" w:lineRule="auto"/>
        <w:ind w:left="3402" w:firstLine="2"/>
        <w:jc w:val="both"/>
        <w:rPr>
          <w:b/>
        </w:rPr>
      </w:pPr>
    </w:p>
    <w:p w:rsidR="003C5C95" w:rsidRDefault="003C5C95" w:rsidP="003C5C95">
      <w:pPr>
        <w:pStyle w:val="Odsekzoznamu"/>
        <w:numPr>
          <w:ilvl w:val="0"/>
          <w:numId w:val="8"/>
        </w:numPr>
        <w:spacing w:after="0" w:line="240" w:lineRule="auto"/>
        <w:jc w:val="both"/>
        <w:rPr>
          <w:rFonts w:ascii="Arial" w:hAnsi="Arial" w:cs="Arial"/>
          <w:sz w:val="24"/>
          <w:szCs w:val="24"/>
        </w:rPr>
      </w:pPr>
      <w:r>
        <w:rPr>
          <w:rFonts w:ascii="Arial" w:hAnsi="Arial" w:cs="Arial"/>
          <w:b/>
          <w:sz w:val="24"/>
          <w:szCs w:val="24"/>
        </w:rPr>
        <w:t>V čl. I, 7. bode, § 3 sa odsek 3</w:t>
      </w:r>
      <w:r>
        <w:rPr>
          <w:rFonts w:ascii="Arial" w:hAnsi="Arial" w:cs="Arial"/>
          <w:sz w:val="24"/>
          <w:szCs w:val="24"/>
        </w:rPr>
        <w:t xml:space="preserve"> dopĺňa písmenom t), ktoré znie:</w:t>
      </w:r>
    </w:p>
    <w:p w:rsidR="003C5C95" w:rsidRDefault="003C5C95" w:rsidP="003C5C95">
      <w:pPr>
        <w:pStyle w:val="Odsekzoznamu"/>
        <w:spacing w:after="0" w:line="240" w:lineRule="auto"/>
        <w:ind w:left="360"/>
        <w:jc w:val="both"/>
        <w:rPr>
          <w:rFonts w:ascii="Arial" w:hAnsi="Arial" w:cs="Arial"/>
          <w:sz w:val="24"/>
          <w:szCs w:val="24"/>
        </w:rPr>
      </w:pPr>
    </w:p>
    <w:p w:rsidR="003C5C95" w:rsidRDefault="003C5C95" w:rsidP="003C5C95">
      <w:pPr>
        <w:spacing w:line="240" w:lineRule="auto"/>
        <w:ind w:left="284"/>
        <w:jc w:val="both"/>
        <w:rPr>
          <w:lang w:eastAsia="sk-SK"/>
        </w:rPr>
      </w:pPr>
      <w:r>
        <w:rPr>
          <w:lang w:eastAsia="sk-SK"/>
        </w:rPr>
        <w:t>„t) uskutočňovať výberové konanie o vydanie povolenia na prevádzkovanie ambulancie záchrannej zdravotnej služby podľa osobitného predpisu.</w:t>
      </w:r>
      <w:r>
        <w:rPr>
          <w:vertAlign w:val="superscript"/>
          <w:lang w:eastAsia="sk-SK"/>
        </w:rPr>
        <w:t>6e</w:t>
      </w:r>
      <w:r>
        <w:rPr>
          <w:lang w:eastAsia="sk-SK"/>
        </w:rPr>
        <w:t>)“.</w:t>
      </w:r>
    </w:p>
    <w:p w:rsidR="003C5C95" w:rsidRDefault="003C5C95" w:rsidP="003C5C95">
      <w:pPr>
        <w:spacing w:line="240" w:lineRule="auto"/>
        <w:ind w:left="284"/>
        <w:jc w:val="both"/>
        <w:rPr>
          <w:lang w:eastAsia="sk-SK"/>
        </w:rPr>
      </w:pPr>
      <w:r>
        <w:rPr>
          <w:lang w:eastAsia="sk-SK"/>
        </w:rPr>
        <w:t>Poznámka pod čiarou k odkazu 6e znie:</w:t>
      </w:r>
    </w:p>
    <w:p w:rsidR="003C5C95" w:rsidRDefault="003C5C95" w:rsidP="003C5C95">
      <w:pPr>
        <w:spacing w:line="240" w:lineRule="auto"/>
        <w:ind w:left="284"/>
        <w:jc w:val="both"/>
        <w:rPr>
          <w:lang w:eastAsia="sk-SK"/>
        </w:rPr>
      </w:pPr>
      <w:r>
        <w:rPr>
          <w:lang w:eastAsia="sk-SK"/>
        </w:rPr>
        <w:t>„</w:t>
      </w:r>
      <w:r>
        <w:rPr>
          <w:vertAlign w:val="superscript"/>
          <w:lang w:eastAsia="sk-SK"/>
        </w:rPr>
        <w:t>6e</w:t>
      </w:r>
      <w:r>
        <w:rPr>
          <w:lang w:eastAsia="sk-SK"/>
        </w:rPr>
        <w:t xml:space="preserve">) § 14 zákona č. 578/2004 Z. z. v znení zákona č. .../2025 Z. z.“.   </w:t>
      </w:r>
    </w:p>
    <w:p w:rsidR="003C5C95" w:rsidRDefault="003C5C95" w:rsidP="003C5C95">
      <w:pPr>
        <w:spacing w:line="240" w:lineRule="auto"/>
        <w:ind w:left="0"/>
        <w:jc w:val="both"/>
        <w:rPr>
          <w:lang w:eastAsia="sk-SK"/>
        </w:rPr>
      </w:pPr>
    </w:p>
    <w:p w:rsidR="003C5C95" w:rsidRDefault="003C5C95" w:rsidP="003C5C95">
      <w:pPr>
        <w:spacing w:line="240" w:lineRule="auto"/>
        <w:ind w:left="284"/>
        <w:jc w:val="both"/>
        <w:rPr>
          <w:lang w:eastAsia="sk-SK"/>
        </w:rPr>
      </w:pPr>
      <w:r>
        <w:rPr>
          <w:lang w:eastAsia="sk-SK"/>
        </w:rPr>
        <w:t>V súvislosti s navrhovanou zmenou sa vykoná úprava úvodnej vety v bode 7.</w:t>
      </w:r>
    </w:p>
    <w:p w:rsidR="003C5C95" w:rsidRDefault="003C5C95" w:rsidP="003C5C95">
      <w:pPr>
        <w:spacing w:line="240" w:lineRule="auto"/>
        <w:ind w:left="284"/>
        <w:jc w:val="both"/>
        <w:rPr>
          <w:lang w:eastAsia="sk-SK"/>
        </w:rPr>
      </w:pPr>
    </w:p>
    <w:p w:rsidR="003C5C95" w:rsidRDefault="003C5C95" w:rsidP="003C5C95">
      <w:pPr>
        <w:spacing w:line="240" w:lineRule="auto"/>
        <w:ind w:left="2835"/>
        <w:jc w:val="both"/>
        <w:rPr>
          <w:lang w:eastAsia="sk-SK"/>
        </w:rPr>
      </w:pPr>
      <w:r>
        <w:rPr>
          <w:lang w:eastAsia="sk-SK"/>
        </w:rPr>
        <w:t>V zriaďovateľskej pôsobnosti Ministerstva zdravotníctva SR sú aj žiadatelia o povolenie na prevádzkovanie záchrannej zdravotnej služby. Presunom sa odstráni potenciálny konflikt záujmov.</w:t>
      </w: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b/>
          <w:sz w:val="24"/>
          <w:szCs w:val="24"/>
        </w:rPr>
        <w:t>V čl. I, 31. bode</w:t>
      </w:r>
      <w:r>
        <w:rPr>
          <w:rFonts w:ascii="Arial" w:hAnsi="Arial" w:cs="Arial"/>
          <w:sz w:val="24"/>
          <w:szCs w:val="24"/>
        </w:rPr>
        <w:t>, § 5c ods. 6 písm. b) sa slová „zo sumy“ nahrádzajú slovami „z pevnej ceny za zdravotnú starostlivosť poskytovanú poskytovateľom záchrannej zdravotnej služby“.</w:t>
      </w:r>
    </w:p>
    <w:p w:rsidR="003C5C95" w:rsidRDefault="003C5C95" w:rsidP="003C5C95">
      <w:pPr>
        <w:spacing w:line="240" w:lineRule="auto"/>
        <w:ind w:left="2835"/>
        <w:jc w:val="both"/>
      </w:pPr>
      <w:r>
        <w:rPr>
          <w:lang w:eastAsia="sk-SK"/>
        </w:rPr>
        <w:t>Legislatívno-technická úprava, ktorou sa precizuje ustanovenie upravujúce ukladanie pokút za opakované porušenie povinnosti plniť indikátory kvality poskytovateľom záchrannej zdravotnej služby tak, aby bolo jednoznačne zrejmé, že pokutu možno uložiť až do výšky 100 % z tzv. paušálnej sumy za poskytovanú zdravotnú starostlivosť poskytovateľom záchrannej zdravotnej služby ustanovenej toho času opatrením Ministerstva zdravotníctva Slovenskej republiky z 30. decembra 2003 č. 07045/2003, ktorým sa ustanovuje rozsah regulácie cien v oblasti zdravotníctva v znení neskorších predpisov</w:t>
      </w:r>
    </w:p>
    <w:p w:rsidR="003C5C95" w:rsidRDefault="003C5C95" w:rsidP="003C5C95">
      <w:pPr>
        <w:pStyle w:val="Default"/>
        <w:jc w:val="both"/>
      </w:pPr>
    </w:p>
    <w:p w:rsidR="003C5C95" w:rsidRDefault="003C5C95" w:rsidP="003C5C95">
      <w:pPr>
        <w:pStyle w:val="Default"/>
        <w:jc w:val="both"/>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b/>
          <w:sz w:val="24"/>
          <w:szCs w:val="24"/>
        </w:rPr>
        <w:t>V čl. III sa za 6. bod</w:t>
      </w:r>
      <w:r>
        <w:rPr>
          <w:rFonts w:ascii="Arial" w:hAnsi="Arial" w:cs="Arial"/>
          <w:sz w:val="24"/>
          <w:szCs w:val="24"/>
        </w:rPr>
        <w:t xml:space="preserve"> vkladajú nové body 7 a 8, ktoré znejú:</w:t>
      </w:r>
    </w:p>
    <w:p w:rsidR="003C5C95" w:rsidRDefault="003C5C95" w:rsidP="003C5C95">
      <w:pPr>
        <w:spacing w:line="240" w:lineRule="auto"/>
        <w:ind w:left="284"/>
        <w:jc w:val="both"/>
        <w:rPr>
          <w:lang w:eastAsia="sk-SK"/>
        </w:rPr>
      </w:pPr>
      <w:r>
        <w:rPr>
          <w:lang w:eastAsia="sk-SK"/>
        </w:rPr>
        <w:t>„7. V § 12 ods. 4 písm. b) sa za slovo „bodov“ vkladá čiarka a slová „(§ 14 ods. 10)“ sa nahrádzajú slovami „ak v § 14 ods. 10 nie je ustanovené inak, a“.</w:t>
      </w:r>
    </w:p>
    <w:p w:rsidR="003C5C95" w:rsidRDefault="003C5C95" w:rsidP="003C5C95">
      <w:pPr>
        <w:spacing w:line="240" w:lineRule="auto"/>
        <w:ind w:left="284"/>
        <w:jc w:val="both"/>
        <w:rPr>
          <w:lang w:eastAsia="sk-SK"/>
        </w:rPr>
      </w:pPr>
      <w:r>
        <w:rPr>
          <w:lang w:eastAsia="sk-SK"/>
        </w:rPr>
        <w:t>8. V § 12 sa odsek 4 dopĺňa písmenom c), ktoré znie:</w:t>
      </w:r>
    </w:p>
    <w:p w:rsidR="003C5C95" w:rsidRDefault="003C5C95" w:rsidP="003C5C95">
      <w:pPr>
        <w:spacing w:line="240" w:lineRule="auto"/>
        <w:ind w:left="284"/>
        <w:jc w:val="both"/>
        <w:rPr>
          <w:lang w:eastAsia="sk-SK"/>
        </w:rPr>
      </w:pPr>
      <w:r>
        <w:rPr>
          <w:lang w:eastAsia="sk-SK"/>
        </w:rPr>
        <w:t xml:space="preserve"> „c)  povolením na prevádzkovanie ambulancie záchrannej zdravotnej služby, ktoré jej má byť vydané na základe výsledku výberového konania podľa § 14, súhrnne s jej ďalšími povoleniami na prevádzkovanie ambulancie záchrannej zdravotnej služby vydanými na základe výsledku tohto výberového konania, nepresiahne podiel vo výške 25 % z celkového počtu povolení na prevádzkovanie ambulancie záchrannej zdravotnej služby vydaných na základe výsledku tohto výberového konania (ďalej len „trhový strop“).“.“.</w:t>
      </w:r>
    </w:p>
    <w:p w:rsidR="003C5C95" w:rsidRDefault="003C5C95" w:rsidP="003C5C95">
      <w:pPr>
        <w:spacing w:line="240" w:lineRule="auto"/>
        <w:ind w:left="284"/>
        <w:jc w:val="both"/>
        <w:rPr>
          <w:lang w:eastAsia="sk-SK"/>
        </w:rPr>
      </w:pPr>
      <w:r>
        <w:rPr>
          <w:lang w:eastAsia="sk-SK"/>
        </w:rPr>
        <w:t xml:space="preserve">Tieto body nadobúdajú účinnosť 15. apríla 2025, čo sa premietne aj do ustanovenia o účinnosti zákona. </w:t>
      </w:r>
    </w:p>
    <w:p w:rsidR="003C5C95" w:rsidRDefault="003C5C95" w:rsidP="003C5C95">
      <w:pPr>
        <w:spacing w:line="240" w:lineRule="auto"/>
        <w:jc w:val="both"/>
        <w:rPr>
          <w:lang w:eastAsia="sk-SK"/>
        </w:rPr>
      </w:pPr>
    </w:p>
    <w:p w:rsidR="003C5C95" w:rsidRDefault="003C5C95" w:rsidP="003C5C95">
      <w:pPr>
        <w:spacing w:line="240" w:lineRule="auto"/>
        <w:ind w:left="284"/>
        <w:jc w:val="both"/>
        <w:rPr>
          <w:lang w:eastAsia="sk-SK"/>
        </w:rPr>
      </w:pPr>
      <w:r>
        <w:rPr>
          <w:lang w:eastAsia="sk-SK"/>
        </w:rPr>
        <w:lastRenderedPageBreak/>
        <w:t xml:space="preserve">Nasledujúce body sa primerane preznačia, čo sa premietne aj do ustanovenia o účinnosti zákona. </w:t>
      </w:r>
    </w:p>
    <w:p w:rsidR="003C5C95" w:rsidRDefault="003C5C95" w:rsidP="003C5C95">
      <w:pPr>
        <w:spacing w:line="240" w:lineRule="auto"/>
        <w:ind w:left="2835"/>
        <w:jc w:val="both"/>
        <w:rPr>
          <w:lang w:eastAsia="sk-SK"/>
        </w:rPr>
      </w:pPr>
      <w:r>
        <w:rPr>
          <w:lang w:eastAsia="sk-SK"/>
        </w:rPr>
        <w:t xml:space="preserve">Cieľom ustanovenia je zabezpečiť, aby jeden poskytovateľ nemal dominantné postavenie na trhu. V tomto prípade ide o podmienku pre Ministerstvo zdravotníctva SR, aby nevydalo ďalšie povolenie takému uchádzačovi, ktorý počtom už vydaných povolení v rámci jedného výberového konania dosiahol trhový strop 25% z celého počtu povolení, ktoré sa v tomto výberovom konaní vydávajú. Účelom ustanovenia je tak ustanoviť trhový strop pre jedno tzv. licenčné obdobie; ustanovenie nemá vplyv na povolenia vydané v predchádzajúcom licenčnom období.  </w:t>
      </w: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b/>
          <w:sz w:val="24"/>
          <w:szCs w:val="24"/>
        </w:rPr>
        <w:t>V čl. III, 7. bode</w:t>
      </w:r>
      <w:r>
        <w:rPr>
          <w:rFonts w:ascii="Arial" w:hAnsi="Arial" w:cs="Arial"/>
          <w:sz w:val="24"/>
          <w:szCs w:val="24"/>
        </w:rPr>
        <w:t xml:space="preserve">, § 12 ods. 6 písm. a) sa slová „Európskych spoločenstiev“ nahrádzajú slovami „Európskej únie“. </w:t>
      </w:r>
    </w:p>
    <w:p w:rsidR="003C5C95" w:rsidRDefault="003C5C95" w:rsidP="003C5C95">
      <w:pPr>
        <w:spacing w:line="240" w:lineRule="auto"/>
        <w:ind w:left="2835"/>
        <w:jc w:val="both"/>
        <w:rPr>
          <w:lang w:eastAsia="sk-SK"/>
        </w:rPr>
      </w:pPr>
      <w:r>
        <w:rPr>
          <w:lang w:eastAsia="sk-SK"/>
        </w:rPr>
        <w:t xml:space="preserve">Legislatívno-technická úprava, ktorou sa zosúlaďuje  dotknutá časť s platným pomenovaním uvedeného trestného činu (§ 261 Trestného zákona). </w:t>
      </w:r>
    </w:p>
    <w:p w:rsidR="003C5C95" w:rsidRDefault="003C5C95" w:rsidP="003C5C95">
      <w:pPr>
        <w:spacing w:line="240" w:lineRule="auto"/>
        <w:ind w:left="2835"/>
        <w:jc w:val="both"/>
        <w:rPr>
          <w:lang w:eastAsia="sk-SK"/>
        </w:rPr>
      </w:pPr>
    </w:p>
    <w:p w:rsidR="003C5C95" w:rsidRDefault="003C5C95" w:rsidP="003C5C95">
      <w:pPr>
        <w:pStyle w:val="Odsekzoznamu"/>
        <w:spacing w:line="240" w:lineRule="auto"/>
        <w:ind w:left="360"/>
        <w:jc w:val="both"/>
        <w:rPr>
          <w:rFonts w:ascii="Arial" w:hAnsi="Arial" w:cs="Arial"/>
          <w:sz w:val="24"/>
          <w:szCs w:val="24"/>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b/>
          <w:sz w:val="24"/>
          <w:szCs w:val="24"/>
        </w:rPr>
        <w:t>V čl. III, 7. bode</w:t>
      </w:r>
      <w:r>
        <w:rPr>
          <w:rFonts w:ascii="Arial" w:hAnsi="Arial" w:cs="Arial"/>
          <w:sz w:val="24"/>
          <w:szCs w:val="24"/>
        </w:rPr>
        <w:t xml:space="preserve">, § 12 ods. 6 sa vypúšťa písmeno b). </w:t>
      </w:r>
    </w:p>
    <w:p w:rsidR="003C5C95" w:rsidRDefault="003C5C95" w:rsidP="003C5C95">
      <w:pPr>
        <w:spacing w:line="240" w:lineRule="auto"/>
        <w:jc w:val="both"/>
        <w:rPr>
          <w:lang w:eastAsia="sk-SK"/>
        </w:rPr>
      </w:pPr>
      <w:r>
        <w:rPr>
          <w:lang w:eastAsia="sk-SK"/>
        </w:rPr>
        <w:t xml:space="preserve">     Doterajšie písmená c) až g) sa označujú ako písmená b) až f). </w:t>
      </w:r>
    </w:p>
    <w:p w:rsidR="003C5C95" w:rsidRDefault="003C5C95" w:rsidP="003C5C95">
      <w:pPr>
        <w:spacing w:line="240" w:lineRule="auto"/>
        <w:jc w:val="both"/>
        <w:rPr>
          <w:lang w:eastAsia="sk-SK"/>
        </w:rPr>
      </w:pPr>
    </w:p>
    <w:p w:rsidR="003C5C95" w:rsidRDefault="003C5C95" w:rsidP="003C5C95">
      <w:pPr>
        <w:spacing w:line="240" w:lineRule="auto"/>
        <w:ind w:left="2835"/>
        <w:jc w:val="both"/>
        <w:rPr>
          <w:lang w:eastAsia="sk-SK"/>
        </w:rPr>
      </w:pPr>
      <w:r>
        <w:rPr>
          <w:lang w:eastAsia="sk-SK"/>
        </w:rPr>
        <w:t>Ustanovenie vypúšťa podmienku pre účasť na výberovom konaní týkajúcu sa nedoplatku na sociálnom poistení.</w:t>
      </w:r>
    </w:p>
    <w:p w:rsidR="003C5C95" w:rsidRDefault="003C5C95" w:rsidP="003C5C95">
      <w:pPr>
        <w:pStyle w:val="Odsekzoznamu"/>
        <w:spacing w:after="0" w:line="240" w:lineRule="auto"/>
        <w:ind w:left="360"/>
        <w:jc w:val="both"/>
        <w:rPr>
          <w:rFonts w:ascii="Arial" w:hAnsi="Arial" w:cs="Arial"/>
          <w:sz w:val="24"/>
          <w:szCs w:val="24"/>
        </w:rPr>
      </w:pPr>
    </w:p>
    <w:p w:rsidR="003C5C95" w:rsidRPr="003C5C95" w:rsidRDefault="003C5C95" w:rsidP="003C5C95">
      <w:pPr>
        <w:spacing w:line="240" w:lineRule="auto"/>
        <w:ind w:left="0"/>
        <w:jc w:val="both"/>
      </w:pPr>
    </w:p>
    <w:p w:rsidR="003C5C95" w:rsidRDefault="003C5C95" w:rsidP="003C5C95">
      <w:pPr>
        <w:pStyle w:val="Odsekzoznamu"/>
        <w:numPr>
          <w:ilvl w:val="0"/>
          <w:numId w:val="8"/>
        </w:numPr>
        <w:spacing w:after="0" w:line="240" w:lineRule="auto"/>
        <w:jc w:val="both"/>
        <w:rPr>
          <w:rFonts w:ascii="Arial" w:hAnsi="Arial" w:cs="Arial"/>
          <w:sz w:val="24"/>
          <w:szCs w:val="24"/>
        </w:rPr>
      </w:pPr>
      <w:r>
        <w:rPr>
          <w:rFonts w:ascii="Arial" w:hAnsi="Arial" w:cs="Arial"/>
          <w:b/>
          <w:sz w:val="24"/>
          <w:szCs w:val="24"/>
        </w:rPr>
        <w:t>V čl. III sa za 13. bod</w:t>
      </w:r>
      <w:r>
        <w:rPr>
          <w:rFonts w:ascii="Arial" w:hAnsi="Arial" w:cs="Arial"/>
          <w:sz w:val="24"/>
          <w:szCs w:val="24"/>
        </w:rPr>
        <w:t xml:space="preserve"> vkladajú nové body 14 a 15, ktoré znejú:</w:t>
      </w:r>
    </w:p>
    <w:p w:rsidR="003C5C95" w:rsidRDefault="003C5C95" w:rsidP="003C5C95">
      <w:pPr>
        <w:pStyle w:val="Odsekzoznamu"/>
        <w:spacing w:after="0" w:line="240" w:lineRule="auto"/>
        <w:ind w:left="360"/>
        <w:jc w:val="both"/>
        <w:rPr>
          <w:rFonts w:ascii="Arial" w:hAnsi="Arial" w:cs="Arial"/>
          <w:sz w:val="24"/>
          <w:szCs w:val="24"/>
        </w:rPr>
      </w:pPr>
    </w:p>
    <w:p w:rsidR="003C5C95" w:rsidRDefault="003C5C95" w:rsidP="003C5C95">
      <w:pPr>
        <w:spacing w:line="240" w:lineRule="auto"/>
        <w:ind w:left="426"/>
        <w:jc w:val="both"/>
        <w:rPr>
          <w:lang w:eastAsia="sk-SK"/>
        </w:rPr>
      </w:pPr>
      <w:r>
        <w:rPr>
          <w:lang w:eastAsia="sk-SK"/>
        </w:rPr>
        <w:t>„14. V § 14 ods. 1 až 4, ods. 5 písm. e) a § 102av ods. 2 a 3 sa slová „ministerstvo zdravotníctva“ vo všetkých tvaroch nahrádzajú slovami „operačné stredisko tiesňového volania záchrannej zdravotnej služby“ v príslušnom tvare.</w:t>
      </w:r>
    </w:p>
    <w:p w:rsidR="003C5C95" w:rsidRDefault="003C5C95" w:rsidP="003C5C95">
      <w:pPr>
        <w:spacing w:line="240" w:lineRule="auto"/>
        <w:ind w:left="426"/>
        <w:jc w:val="both"/>
        <w:rPr>
          <w:lang w:eastAsia="sk-SK"/>
        </w:rPr>
      </w:pPr>
      <w:r>
        <w:rPr>
          <w:lang w:eastAsia="sk-SK"/>
        </w:rPr>
        <w:t>15. V § 14 ods. 5 úvodnej vete a ods. 6 a 7 sa slová „minister zdravotníctva“ vo všetkých tvaroch nahrádzajú slovami „riaditeľ operačného strediska tiesňového volania záchrannej zdravotnej služby“ v príslušnom tvare.“.</w:t>
      </w:r>
    </w:p>
    <w:p w:rsidR="003C5C95" w:rsidRDefault="003C5C95" w:rsidP="003C5C95">
      <w:pPr>
        <w:spacing w:line="240" w:lineRule="auto"/>
        <w:ind w:left="426"/>
        <w:jc w:val="both"/>
        <w:rPr>
          <w:lang w:eastAsia="sk-SK"/>
        </w:rPr>
      </w:pPr>
      <w:r>
        <w:rPr>
          <w:lang w:eastAsia="sk-SK"/>
        </w:rPr>
        <w:t xml:space="preserve">Tieto body nadobúdajú účinnosť 15. apríla 2025, čo sa premietne aj do ustanovenia o účinnosti zákona. </w:t>
      </w:r>
    </w:p>
    <w:p w:rsidR="003C5C95" w:rsidRDefault="003C5C95" w:rsidP="003C5C95">
      <w:pPr>
        <w:spacing w:line="240" w:lineRule="auto"/>
        <w:ind w:left="426"/>
        <w:jc w:val="both"/>
        <w:rPr>
          <w:lang w:eastAsia="sk-SK"/>
        </w:rPr>
      </w:pPr>
      <w:r>
        <w:rPr>
          <w:lang w:eastAsia="sk-SK"/>
        </w:rPr>
        <w:t xml:space="preserve">Nasledujúce body sa primerane preznačia, čo sa premietne aj do ustanovenia o účinnosti zákona. </w:t>
      </w:r>
    </w:p>
    <w:p w:rsidR="003C5C95" w:rsidRDefault="003C5C95" w:rsidP="003C5C95">
      <w:pPr>
        <w:spacing w:line="240" w:lineRule="auto"/>
        <w:ind w:left="426"/>
        <w:jc w:val="both"/>
        <w:rPr>
          <w:lang w:eastAsia="sk-SK"/>
        </w:rPr>
      </w:pPr>
    </w:p>
    <w:p w:rsidR="003C5C95" w:rsidRDefault="003C5C95" w:rsidP="003C5C95">
      <w:pPr>
        <w:spacing w:line="240" w:lineRule="auto"/>
        <w:ind w:left="2835"/>
        <w:jc w:val="both"/>
        <w:rPr>
          <w:lang w:eastAsia="sk-SK"/>
        </w:rPr>
      </w:pPr>
      <w:r>
        <w:rPr>
          <w:lang w:eastAsia="sk-SK"/>
        </w:rPr>
        <w:t>V zriaďovateľskej pôsobnosti Ministerstva zdravotníctva SR sú aj žiadatelia o povolenie na prevádzkovanie záchrannej zdravotnej služby. Presunom sa odstráni konflikt záujmov.</w:t>
      </w: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b/>
          <w:sz w:val="24"/>
          <w:szCs w:val="24"/>
        </w:rPr>
        <w:t>V čl. III sa za 15. bod</w:t>
      </w:r>
      <w:r>
        <w:rPr>
          <w:rFonts w:ascii="Arial" w:hAnsi="Arial" w:cs="Arial"/>
          <w:sz w:val="24"/>
          <w:szCs w:val="24"/>
        </w:rPr>
        <w:t xml:space="preserve"> vkladajú nové body 16 až 19, ktoré znejú:</w:t>
      </w:r>
    </w:p>
    <w:p w:rsidR="003C5C95" w:rsidRDefault="003C5C95" w:rsidP="003C5C95">
      <w:pPr>
        <w:spacing w:line="240" w:lineRule="auto"/>
        <w:ind w:left="426"/>
        <w:jc w:val="both"/>
        <w:rPr>
          <w:lang w:eastAsia="sk-SK"/>
        </w:rPr>
      </w:pPr>
      <w:r>
        <w:rPr>
          <w:lang w:eastAsia="sk-SK"/>
        </w:rPr>
        <w:t xml:space="preserve">„16. V § 14 ods. 10 sa slovo „Komisia“ nahrádza slovami „Ak v druhej vete nie je ustanovené inak, komisia“ a za prvú vetu sa vkladá nová druhá veta, ktorá znie: </w:t>
      </w:r>
      <w:r>
        <w:rPr>
          <w:lang w:eastAsia="sk-SK"/>
        </w:rPr>
        <w:lastRenderedPageBreak/>
        <w:t>„Ak komisia zistí, že účastník výberového konania podľa prvej vety dosiahol trhový strop, určí pre toto sídlo stanice záchrannej zdravotnej služby v poradí nasledujúceho účastníka výberového konania, ktorý trhový strop nedosiahol.“.</w:t>
      </w:r>
    </w:p>
    <w:p w:rsidR="003C5C95" w:rsidRDefault="003C5C95" w:rsidP="003C5C95">
      <w:pPr>
        <w:spacing w:line="240" w:lineRule="auto"/>
        <w:ind w:left="426"/>
        <w:jc w:val="both"/>
        <w:rPr>
          <w:lang w:eastAsia="sk-SK"/>
        </w:rPr>
      </w:pPr>
      <w:r>
        <w:rPr>
          <w:lang w:eastAsia="sk-SK"/>
        </w:rPr>
        <w:t>17. V § 14 ods. 11 sa slovo „viazaný“ nahrádza slovom „viazané“.</w:t>
      </w:r>
    </w:p>
    <w:p w:rsidR="003C5C95" w:rsidRDefault="003C5C95" w:rsidP="003C5C95">
      <w:pPr>
        <w:spacing w:line="240" w:lineRule="auto"/>
        <w:ind w:left="426"/>
        <w:jc w:val="both"/>
        <w:rPr>
          <w:lang w:eastAsia="sk-SK"/>
        </w:rPr>
      </w:pPr>
      <w:r>
        <w:rPr>
          <w:lang w:eastAsia="sk-SK"/>
        </w:rPr>
        <w:t>18. V § 14 sa odsek 12 dopĺňa písmenom c), ktoré znie:</w:t>
      </w:r>
    </w:p>
    <w:p w:rsidR="003C5C95" w:rsidRDefault="003C5C95" w:rsidP="003C5C95">
      <w:pPr>
        <w:spacing w:line="240" w:lineRule="auto"/>
        <w:ind w:left="851" w:hanging="425"/>
        <w:jc w:val="both"/>
        <w:rPr>
          <w:lang w:eastAsia="sk-SK"/>
        </w:rPr>
      </w:pPr>
      <w:r>
        <w:rPr>
          <w:lang w:eastAsia="sk-SK"/>
        </w:rPr>
        <w:t>„c)  informáciu o tom, že pre sídlo stanice záchrannej zdravotnej služby bol určený v poradí nasledujúci účastník výberového konania, ktorý nedosiahol trhový strop.“.</w:t>
      </w:r>
    </w:p>
    <w:p w:rsidR="003C5C95" w:rsidRDefault="003C5C95" w:rsidP="003C5C95">
      <w:pPr>
        <w:spacing w:line="240" w:lineRule="auto"/>
        <w:ind w:left="426"/>
        <w:jc w:val="both"/>
        <w:rPr>
          <w:lang w:eastAsia="sk-SK"/>
        </w:rPr>
      </w:pPr>
      <w:r>
        <w:rPr>
          <w:lang w:eastAsia="sk-SK"/>
        </w:rPr>
        <w:t>19. V §14 odsek 14 znie:</w:t>
      </w:r>
    </w:p>
    <w:p w:rsidR="003C5C95" w:rsidRDefault="003C5C95" w:rsidP="003C5C95">
      <w:pPr>
        <w:spacing w:line="240" w:lineRule="auto"/>
        <w:ind w:left="426"/>
        <w:jc w:val="both"/>
        <w:rPr>
          <w:lang w:eastAsia="sk-SK"/>
        </w:rPr>
      </w:pPr>
      <w:r>
        <w:rPr>
          <w:lang w:eastAsia="sk-SK"/>
        </w:rPr>
        <w:t xml:space="preserve">„(14) Ak po výberovom konaní o vydanie povolenia na prevádzkovanie ambulancie záchrannej zdravotnej služby nebolo vydané povolenie na prevádzkovanie ambulancie záchrannej zdravotnej služby alebo ak bolo poskytovateľovi záchrannej zdravotnej služby zrušené povolenie na prevádzkovanie ambulancie záchrannej zdravotnej služby podľa § 19 ods. 1, ministerstvo zdravotníctva určí iného poskytovateľa záchrannej zdravotnej služby a vydá mu poverenie na dočasné prevádzkovanie ambulancie záchrannej zdravotnej služby pre sídlo, pre ktoré nebolo vydané povolenie na prevádzkovanie ambulancie záchrannej zdravotnej služby alebo pre ktoré bolo povolenie na prevádzkovanie ambulancie záchrannej zdravotnej služby zrušené, najdlhšie však do dňa nadobudnutia účinkov nového povolenia na prevádzkovanie ambulancie záchrannej zdravotnej služby; poverenie na dočasné prevádzkovanie ambulancie záchrannej zdravotnej služby sa považuje za povolenie na prevádzkovanie ambulancie záchrannej zdravotnej služby. Pri vydávaní poverenia podľa prvej vety ministerstvo zdravotníctva nie je viazané podmienkou podľa § 12 ods. 4 písm. c).“.“.  </w:t>
      </w:r>
    </w:p>
    <w:p w:rsidR="003C5C95" w:rsidRDefault="003C5C95" w:rsidP="003C5C95">
      <w:pPr>
        <w:spacing w:line="240" w:lineRule="auto"/>
        <w:ind w:left="426"/>
        <w:jc w:val="both"/>
        <w:rPr>
          <w:lang w:eastAsia="sk-SK"/>
        </w:rPr>
      </w:pPr>
      <w:r>
        <w:rPr>
          <w:lang w:eastAsia="sk-SK"/>
        </w:rPr>
        <w:t xml:space="preserve">Tieto body nadobúdajú účinnosť 15. apríla 2025, čo sa premietne aj do ustanovenia o účinnosti zákona. </w:t>
      </w:r>
    </w:p>
    <w:p w:rsidR="003C5C95" w:rsidRDefault="003C5C95" w:rsidP="003C5C95">
      <w:pPr>
        <w:spacing w:line="240" w:lineRule="auto"/>
        <w:ind w:left="426"/>
        <w:jc w:val="both"/>
        <w:rPr>
          <w:lang w:eastAsia="sk-SK"/>
        </w:rPr>
      </w:pPr>
      <w:r>
        <w:rPr>
          <w:lang w:eastAsia="sk-SK"/>
        </w:rPr>
        <w:t xml:space="preserve">Nasledujúce body sa primerane preznačia, čo sa premietne aj do ustanovenia o účinnosti zákona. </w:t>
      </w:r>
    </w:p>
    <w:p w:rsidR="003C5C95" w:rsidRDefault="003C5C95" w:rsidP="003C5C95">
      <w:pPr>
        <w:spacing w:line="240" w:lineRule="auto"/>
        <w:ind w:left="426"/>
        <w:jc w:val="both"/>
        <w:rPr>
          <w:lang w:eastAsia="sk-SK"/>
        </w:rPr>
      </w:pPr>
    </w:p>
    <w:p w:rsidR="003C5C95" w:rsidRDefault="003C5C95" w:rsidP="003C5C95">
      <w:pPr>
        <w:spacing w:line="240" w:lineRule="auto"/>
        <w:ind w:left="2835"/>
        <w:jc w:val="both"/>
        <w:rPr>
          <w:lang w:eastAsia="sk-SK"/>
        </w:rPr>
      </w:pPr>
      <w:r>
        <w:rPr>
          <w:lang w:eastAsia="sk-SK"/>
        </w:rPr>
        <w:t xml:space="preserve">K bodu 16: Ustanovenie definuje proces výberového konania, tak aby žiaden uchádzač nepresiahol trhový strop 25%. </w:t>
      </w:r>
    </w:p>
    <w:p w:rsidR="003C5C95" w:rsidRDefault="003C5C95" w:rsidP="003C5C95">
      <w:pPr>
        <w:spacing w:line="240" w:lineRule="auto"/>
        <w:ind w:left="2835"/>
        <w:jc w:val="both"/>
        <w:rPr>
          <w:lang w:eastAsia="sk-SK"/>
        </w:rPr>
      </w:pPr>
      <w:r>
        <w:rPr>
          <w:lang w:eastAsia="sk-SK"/>
        </w:rPr>
        <w:t xml:space="preserve">K bodu 17: Oprava chyby v písaní; pri novele, ktorou sa preniesla pôsobnosť v rámci vydávania povolení na prevádzkovanie ambulancií záchrannej zdravotnej služby z Úradu pre dohľad nad zdravotnou starostlivosťou  na Ministerstvo zdravotníctva Slovenskej republiky nebol zohľadnený príslušný gramatický tvar viažuci sa na subjekt oprávnený na vydávanie týchto typov povolení.  </w:t>
      </w:r>
    </w:p>
    <w:p w:rsidR="003C5C95" w:rsidRDefault="003C5C95" w:rsidP="003C5C95">
      <w:pPr>
        <w:spacing w:line="240" w:lineRule="auto"/>
        <w:ind w:left="2835"/>
        <w:jc w:val="both"/>
        <w:rPr>
          <w:lang w:eastAsia="sk-SK"/>
        </w:rPr>
      </w:pPr>
      <w:r>
        <w:rPr>
          <w:lang w:eastAsia="sk-SK"/>
        </w:rPr>
        <w:t>K bodu 18: Ustanovenie dopĺňa povinnosti komisie vyhotoviť správu o zdôvodnenie v prípade, že účastník sa síce umiestnil na prvom mieste v danej stanici, ale presiahol stanovený trhový strop 25%.</w:t>
      </w:r>
    </w:p>
    <w:p w:rsidR="003C5C95" w:rsidRDefault="003C5C95" w:rsidP="003C5C95">
      <w:pPr>
        <w:spacing w:line="240" w:lineRule="auto"/>
        <w:ind w:left="2835"/>
        <w:jc w:val="both"/>
        <w:rPr>
          <w:lang w:eastAsia="sk-SK"/>
        </w:rPr>
      </w:pPr>
      <w:r>
        <w:rPr>
          <w:lang w:eastAsia="sk-SK"/>
        </w:rPr>
        <w:t xml:space="preserve">K bodu 19: Ustanovenie definuje postup v prípade, že na danú stanicu nebolo vydané povolenie z dôvodu neprihlásenia sa žiadneho uchádzača alebo z dôvodu, že všetci uchádzači, ktorí sa prihlásili na túto stanicu  už presiahli stanovený trhový strop 25%. V tomto prípade dochádza k povereniu poskytovateľa na prevádzkovanie ambulancie záchrannej zdravotnej služby v tom danom </w:t>
      </w:r>
      <w:r>
        <w:rPr>
          <w:lang w:eastAsia="sk-SK"/>
        </w:rPr>
        <w:lastRenderedPageBreak/>
        <w:t>bode, pričom Ministerstvo zdravotníctva SR môže poveriť aj takého poskytovateľa záchrannej zdravotnej služby, ktorý trhový strop 25% dosiahol.</w:t>
      </w: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b/>
          <w:sz w:val="24"/>
          <w:szCs w:val="24"/>
        </w:rPr>
        <w:t>V čl. III, 17. bode</w:t>
      </w:r>
      <w:r>
        <w:rPr>
          <w:rFonts w:ascii="Arial" w:hAnsi="Arial" w:cs="Arial"/>
          <w:sz w:val="24"/>
          <w:szCs w:val="24"/>
        </w:rPr>
        <w:t xml:space="preserve"> sa slová „na šesť rokov,“ nahrádzajú slovami „služby na šesť rokov,“.</w:t>
      </w:r>
    </w:p>
    <w:p w:rsidR="003C5C95" w:rsidRDefault="003C5C95" w:rsidP="003C5C95">
      <w:pPr>
        <w:spacing w:line="240" w:lineRule="auto"/>
        <w:ind w:left="2835"/>
        <w:jc w:val="both"/>
        <w:rPr>
          <w:lang w:eastAsia="sk-SK"/>
        </w:rPr>
      </w:pPr>
      <w:r>
        <w:rPr>
          <w:lang w:eastAsia="sk-SK"/>
        </w:rPr>
        <w:t>Legislatívno-technická úprava</w:t>
      </w: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V čl. III, 20. bode</w:t>
      </w:r>
      <w:r>
        <w:rPr>
          <w:rFonts w:ascii="Arial" w:hAnsi="Arial" w:cs="Arial"/>
          <w:sz w:val="24"/>
          <w:szCs w:val="24"/>
        </w:rPr>
        <w:t>, § 19 sa odsek 1 dopĺňa písmenom p), ktoré znie:</w:t>
      </w:r>
    </w:p>
    <w:p w:rsidR="003C5C95" w:rsidRDefault="003C5C95" w:rsidP="003C5C95">
      <w:pPr>
        <w:spacing w:line="240" w:lineRule="auto"/>
        <w:ind w:left="426"/>
        <w:jc w:val="both"/>
        <w:rPr>
          <w:lang w:eastAsia="sk-SK"/>
        </w:rPr>
      </w:pPr>
      <w:r>
        <w:rPr>
          <w:lang w:eastAsia="sk-SK"/>
        </w:rPr>
        <w:t>„p) získal povolenie na prevádzkovanie ambulancie záchrannej zdravotnej služby v rozpore s § 12 ods. 4 psím. c).“.</w:t>
      </w:r>
    </w:p>
    <w:p w:rsidR="003C5C95" w:rsidRDefault="003C5C95" w:rsidP="003C5C95">
      <w:pPr>
        <w:spacing w:line="240" w:lineRule="auto"/>
        <w:ind w:left="426"/>
        <w:jc w:val="both"/>
        <w:rPr>
          <w:lang w:eastAsia="sk-SK"/>
        </w:rPr>
      </w:pPr>
    </w:p>
    <w:p w:rsidR="003C5C95" w:rsidRDefault="003C5C95" w:rsidP="003C5C95">
      <w:pPr>
        <w:spacing w:line="240" w:lineRule="auto"/>
        <w:ind w:left="426"/>
        <w:jc w:val="both"/>
        <w:rPr>
          <w:lang w:eastAsia="sk-SK"/>
        </w:rPr>
      </w:pPr>
      <w:r>
        <w:rPr>
          <w:lang w:eastAsia="sk-SK"/>
        </w:rPr>
        <w:t>V súvislosti s navrhovanou zmenou sa vykoná úprava úvodnej vety bodu 20.</w:t>
      </w:r>
    </w:p>
    <w:p w:rsidR="003C5C95" w:rsidRDefault="003C5C95" w:rsidP="003C5C95">
      <w:pPr>
        <w:spacing w:line="240" w:lineRule="auto"/>
        <w:ind w:left="426"/>
        <w:jc w:val="both"/>
        <w:rPr>
          <w:lang w:eastAsia="sk-SK"/>
        </w:rPr>
      </w:pPr>
    </w:p>
    <w:p w:rsidR="003C5C95" w:rsidRDefault="003C5C95" w:rsidP="003C5C95">
      <w:pPr>
        <w:spacing w:line="240" w:lineRule="auto"/>
        <w:ind w:left="2835"/>
        <w:jc w:val="both"/>
        <w:rPr>
          <w:lang w:eastAsia="sk-SK"/>
        </w:rPr>
      </w:pPr>
      <w:r>
        <w:rPr>
          <w:lang w:eastAsia="sk-SK"/>
        </w:rPr>
        <w:t>V prípade že komisia pre výberové konania vyhlásila za úspešného uchádzača takého, ktorý už presiahol stanovený trhový strop 25% a Ministerstvo zdravotníctva SR mu napriek tomu chybne vydalo povolenie aj keď presiahol stanovený trhový strop 25%, toto ustanovenie dáva povinnosť Ministerstvu zdravotníctva SR zrušiť toto povolenie.</w:t>
      </w: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V čl. III sa za 21. bod</w:t>
      </w:r>
      <w:r>
        <w:rPr>
          <w:rFonts w:ascii="Arial" w:hAnsi="Arial" w:cs="Arial"/>
          <w:sz w:val="24"/>
          <w:szCs w:val="24"/>
        </w:rPr>
        <w:t xml:space="preserve"> vkladá nový bod 22, ktorý znie:</w:t>
      </w:r>
    </w:p>
    <w:p w:rsidR="003C5C95" w:rsidRDefault="003C5C95" w:rsidP="003C5C95">
      <w:pPr>
        <w:spacing w:line="240" w:lineRule="auto"/>
        <w:ind w:left="426"/>
        <w:jc w:val="both"/>
        <w:rPr>
          <w:lang w:eastAsia="sk-SK"/>
        </w:rPr>
      </w:pPr>
      <w:r>
        <w:rPr>
          <w:lang w:eastAsia="sk-SK"/>
        </w:rPr>
        <w:t>„22. V § 19 sa odsek 4  dopĺňa písmenom f), ktoré znie:</w:t>
      </w:r>
    </w:p>
    <w:p w:rsidR="003C5C95" w:rsidRDefault="003C5C95" w:rsidP="003C5C95">
      <w:pPr>
        <w:spacing w:line="240" w:lineRule="auto"/>
        <w:ind w:left="426"/>
        <w:jc w:val="both"/>
        <w:rPr>
          <w:lang w:eastAsia="sk-SK"/>
        </w:rPr>
      </w:pPr>
      <w:r>
        <w:rPr>
          <w:lang w:eastAsia="sk-SK"/>
        </w:rPr>
        <w:t>„f) podľa odseku 1 písm. p) v celom rozsahu, ak týmto povolením došlo k prekročeniu trhového stropu.“.“.</w:t>
      </w:r>
    </w:p>
    <w:p w:rsidR="003C5C95" w:rsidRDefault="003C5C95" w:rsidP="003C5C95">
      <w:pPr>
        <w:spacing w:line="240" w:lineRule="auto"/>
        <w:ind w:left="426"/>
        <w:jc w:val="both"/>
        <w:rPr>
          <w:lang w:eastAsia="sk-SK"/>
        </w:rPr>
      </w:pPr>
      <w:r>
        <w:rPr>
          <w:lang w:eastAsia="sk-SK"/>
        </w:rPr>
        <w:t xml:space="preserve">Tento bod nadobúda účinnosť 15. apríla 2025, čo sa premietne aj do ustanovenia o účinnosti zákona. </w:t>
      </w:r>
    </w:p>
    <w:p w:rsidR="003C5C95" w:rsidRDefault="003C5C95" w:rsidP="003C5C95">
      <w:pPr>
        <w:spacing w:line="240" w:lineRule="auto"/>
        <w:ind w:left="567"/>
        <w:jc w:val="both"/>
        <w:rPr>
          <w:lang w:eastAsia="sk-SK"/>
        </w:rPr>
      </w:pPr>
      <w:r>
        <w:rPr>
          <w:lang w:eastAsia="sk-SK"/>
        </w:rPr>
        <w:t xml:space="preserve">Nasledujúce body sa primerane preznačia, čo sa premietne aj do ustanovenia o účinnosti zákona. </w:t>
      </w:r>
    </w:p>
    <w:p w:rsidR="003C5C95" w:rsidRDefault="003C5C95" w:rsidP="003C5C95">
      <w:pPr>
        <w:spacing w:line="240" w:lineRule="auto"/>
        <w:ind w:left="567"/>
        <w:jc w:val="both"/>
        <w:rPr>
          <w:lang w:eastAsia="sk-SK"/>
        </w:rPr>
      </w:pPr>
    </w:p>
    <w:p w:rsidR="003C5C95" w:rsidRDefault="003C5C95" w:rsidP="003C5C95">
      <w:pPr>
        <w:spacing w:line="240" w:lineRule="auto"/>
        <w:ind w:left="2835"/>
        <w:jc w:val="both"/>
        <w:rPr>
          <w:lang w:eastAsia="sk-SK"/>
        </w:rPr>
      </w:pPr>
      <w:r>
        <w:rPr>
          <w:lang w:eastAsia="sk-SK"/>
        </w:rPr>
        <w:t>Legislatívno-technická zmena súvisiaca s bodom 7.</w:t>
      </w:r>
    </w:p>
    <w:p w:rsidR="003C5C95" w:rsidRDefault="003C5C95" w:rsidP="003C5C95">
      <w:pPr>
        <w:autoSpaceDE w:val="0"/>
        <w:autoSpaceDN w:val="0"/>
        <w:adjustRightInd w:val="0"/>
        <w:spacing w:line="240" w:lineRule="auto"/>
        <w:ind w:left="3402" w:firstLine="2"/>
        <w:jc w:val="both"/>
        <w:rPr>
          <w:b/>
        </w:rPr>
      </w:pPr>
    </w:p>
    <w:p w:rsidR="003C5C95" w:rsidRDefault="003C5C95" w:rsidP="003C5C95">
      <w:pPr>
        <w:pStyle w:val="Default"/>
        <w:jc w:val="both"/>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b/>
          <w:sz w:val="24"/>
          <w:szCs w:val="24"/>
        </w:rPr>
        <w:t xml:space="preserve"> V čl. III, 30. bode</w:t>
      </w:r>
      <w:r>
        <w:rPr>
          <w:rFonts w:ascii="Arial" w:hAnsi="Arial" w:cs="Arial"/>
          <w:sz w:val="24"/>
          <w:szCs w:val="24"/>
        </w:rPr>
        <w:t xml:space="preserve"> sa vypúšťajú slová „piateho bodu,“.</w:t>
      </w:r>
    </w:p>
    <w:p w:rsidR="003C5C95" w:rsidRDefault="003C5C95" w:rsidP="003C5C95">
      <w:pPr>
        <w:spacing w:line="240" w:lineRule="auto"/>
        <w:ind w:left="2835"/>
        <w:jc w:val="both"/>
        <w:rPr>
          <w:lang w:eastAsia="sk-SK"/>
        </w:rPr>
      </w:pPr>
      <w:r>
        <w:rPr>
          <w:lang w:eastAsia="sk-SK"/>
        </w:rPr>
        <w:t xml:space="preserve">Legislatívno-technická úprava.  </w:t>
      </w: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V čl. III sa za 31. bod</w:t>
      </w:r>
      <w:r>
        <w:rPr>
          <w:rFonts w:ascii="Arial" w:hAnsi="Arial" w:cs="Arial"/>
          <w:sz w:val="24"/>
          <w:szCs w:val="24"/>
        </w:rPr>
        <w:t xml:space="preserve"> vkladá nový bod 32, ktorý znie:</w:t>
      </w:r>
    </w:p>
    <w:p w:rsidR="003C5C95" w:rsidRDefault="003C5C95" w:rsidP="003C5C95">
      <w:pPr>
        <w:spacing w:line="240" w:lineRule="auto"/>
        <w:ind w:left="426"/>
        <w:jc w:val="both"/>
        <w:rPr>
          <w:lang w:eastAsia="sk-SK"/>
        </w:rPr>
      </w:pPr>
      <w:r>
        <w:rPr>
          <w:lang w:eastAsia="sk-SK"/>
        </w:rPr>
        <w:t>„32. § 91 sa dopĺňa odsekom 3, ktorý znie:</w:t>
      </w:r>
    </w:p>
    <w:p w:rsidR="003C5C95" w:rsidRDefault="003C5C95" w:rsidP="003C5C95">
      <w:pPr>
        <w:spacing w:line="240" w:lineRule="auto"/>
        <w:ind w:left="426"/>
        <w:jc w:val="both"/>
        <w:rPr>
          <w:lang w:eastAsia="sk-SK"/>
        </w:rPr>
      </w:pPr>
      <w:r>
        <w:rPr>
          <w:lang w:eastAsia="sk-SK"/>
        </w:rPr>
        <w:t xml:space="preserve">„(3) Pohľadávku alebo časť pohľadávky veriteľa, ktorého dlžníkom je poskytovateľ zdravotnej starostlivosti, ktorý má vydané povolenie na prevádzkovanie zariadenia ústavnej zdravotnej starostlivosti podľa § 7 ods. 4 písm. a) a ktorý je rozpočtovou organizáciou alebo príspevkovou organizáciou v zriaďovateľskej pôsobnosti ministerstva zdravotníctva, Ministerstva obrany Slovenskej republiky, Ministerstva </w:t>
      </w:r>
      <w:r>
        <w:rPr>
          <w:lang w:eastAsia="sk-SK"/>
        </w:rPr>
        <w:lastRenderedPageBreak/>
        <w:t>vnútra Slovenskej republiky alebo Ministerstva spravodlivosti Slovenskej republiky alebo akciovou spoločnosťou v zakladateľskej pôsobnosti ministerstva zdravotníctva, Ministerstva obrany Slovenskej republiky alebo Ministerstva vnútra Slovenskej republiky, alebo ktorý je rozpočtovou organizáciou alebo príspevkovou organizáciou samosprávneho kraja alebo akciovou spoločnosťou, ktorej jediným akcionárom je samosprávny kraj, možno zabezpečiť ručením</w:t>
      </w:r>
      <w:r>
        <w:rPr>
          <w:vertAlign w:val="superscript"/>
          <w:lang w:eastAsia="sk-SK"/>
        </w:rPr>
        <w:t>80a</w:t>
      </w:r>
      <w:r>
        <w:rPr>
          <w:lang w:eastAsia="sk-SK"/>
        </w:rPr>
        <w:t>) iba na základe písomnej dohody medzi veriteľom a tým, kto sa má stať ručiteľom, inak je ručenie neplatné.</w:t>
      </w:r>
      <w:r>
        <w:rPr>
          <w:vertAlign w:val="superscript"/>
          <w:lang w:eastAsia="sk-SK"/>
        </w:rPr>
        <w:t>80b</w:t>
      </w:r>
      <w:r>
        <w:rPr>
          <w:lang w:eastAsia="sk-SK"/>
        </w:rPr>
        <w:t>) Plnenie poskytnuté veriteľovi v rozpore s prvou vetou je veriteľ povinný vrátiť podľa zásad o bezdôvodnom obohatení.</w:t>
      </w:r>
      <w:r>
        <w:rPr>
          <w:vertAlign w:val="superscript"/>
          <w:lang w:eastAsia="sk-SK"/>
        </w:rPr>
        <w:t>80c</w:t>
      </w:r>
      <w:r>
        <w:rPr>
          <w:lang w:eastAsia="sk-SK"/>
        </w:rPr>
        <w:t>)“.</w:t>
      </w:r>
    </w:p>
    <w:p w:rsidR="003C5C95" w:rsidRDefault="003C5C95" w:rsidP="003C5C95">
      <w:pPr>
        <w:spacing w:line="240" w:lineRule="auto"/>
        <w:ind w:left="426"/>
        <w:jc w:val="both"/>
        <w:rPr>
          <w:lang w:eastAsia="sk-SK"/>
        </w:rPr>
      </w:pPr>
      <w:r>
        <w:rPr>
          <w:lang w:eastAsia="sk-SK"/>
        </w:rPr>
        <w:t>Poznámky pod čiarou k odkazom 80a až 80c znejú:</w:t>
      </w:r>
    </w:p>
    <w:p w:rsidR="003C5C95" w:rsidRDefault="003C5C95" w:rsidP="003C5C95">
      <w:pPr>
        <w:spacing w:line="240" w:lineRule="auto"/>
        <w:ind w:left="426"/>
        <w:jc w:val="both"/>
        <w:rPr>
          <w:lang w:eastAsia="sk-SK"/>
        </w:rPr>
      </w:pPr>
      <w:r>
        <w:rPr>
          <w:lang w:eastAsia="sk-SK"/>
        </w:rPr>
        <w:t>„</w:t>
      </w:r>
      <w:r>
        <w:rPr>
          <w:vertAlign w:val="superscript"/>
          <w:lang w:eastAsia="sk-SK"/>
        </w:rPr>
        <w:t>80a</w:t>
      </w:r>
      <w:r>
        <w:rPr>
          <w:lang w:eastAsia="sk-SK"/>
        </w:rPr>
        <w:t xml:space="preserve">) § 303 Obchodného zákonníka. </w:t>
      </w:r>
    </w:p>
    <w:p w:rsidR="003C5C95" w:rsidRDefault="003C5C95" w:rsidP="003C5C95">
      <w:pPr>
        <w:spacing w:line="240" w:lineRule="auto"/>
        <w:ind w:left="426"/>
        <w:jc w:val="both"/>
        <w:rPr>
          <w:lang w:eastAsia="sk-SK"/>
        </w:rPr>
      </w:pPr>
      <w:r>
        <w:rPr>
          <w:vertAlign w:val="superscript"/>
          <w:lang w:eastAsia="sk-SK"/>
        </w:rPr>
        <w:t>80b</w:t>
      </w:r>
      <w:r>
        <w:rPr>
          <w:lang w:eastAsia="sk-SK"/>
        </w:rPr>
        <w:t>) § 39 Občianskeho zákonníka.</w:t>
      </w:r>
    </w:p>
    <w:p w:rsidR="003C5C95" w:rsidRDefault="003C5C95" w:rsidP="003C5C95">
      <w:pPr>
        <w:spacing w:line="240" w:lineRule="auto"/>
        <w:ind w:left="426"/>
        <w:jc w:val="both"/>
        <w:rPr>
          <w:lang w:eastAsia="sk-SK"/>
        </w:rPr>
      </w:pPr>
      <w:r>
        <w:rPr>
          <w:vertAlign w:val="superscript"/>
          <w:lang w:eastAsia="sk-SK"/>
        </w:rPr>
        <w:t>80c</w:t>
      </w:r>
      <w:r>
        <w:rPr>
          <w:lang w:eastAsia="sk-SK"/>
        </w:rPr>
        <w:t>) § 451 až 459 Občianskeho zákonníka.“.“.</w:t>
      </w:r>
    </w:p>
    <w:p w:rsidR="003C5C95" w:rsidRDefault="003C5C95" w:rsidP="003C5C95">
      <w:pPr>
        <w:spacing w:line="240" w:lineRule="auto"/>
        <w:ind w:left="426"/>
        <w:jc w:val="both"/>
        <w:rPr>
          <w:lang w:eastAsia="sk-SK"/>
        </w:rPr>
      </w:pPr>
      <w:r>
        <w:rPr>
          <w:lang w:eastAsia="sk-SK"/>
        </w:rPr>
        <w:t xml:space="preserve">Tento bod nadobúda účinnosť 15. apríla 2025, čo sa premietne aj do ustanovenia o účinnosti zákona. </w:t>
      </w:r>
    </w:p>
    <w:p w:rsidR="003C5C95" w:rsidRDefault="003C5C95" w:rsidP="003C5C95">
      <w:pPr>
        <w:spacing w:line="240" w:lineRule="auto"/>
        <w:ind w:left="426"/>
        <w:jc w:val="both"/>
        <w:rPr>
          <w:lang w:eastAsia="sk-SK"/>
        </w:rPr>
      </w:pPr>
      <w:r>
        <w:rPr>
          <w:lang w:eastAsia="sk-SK"/>
        </w:rPr>
        <w:t xml:space="preserve">Nasledujúce body sa primerane prečíslujú, čo sa premietne aj do ustanovenia o účinnosti zákona. </w:t>
      </w:r>
    </w:p>
    <w:p w:rsidR="003C5C95" w:rsidRDefault="003C5C95" w:rsidP="003C5C95">
      <w:pPr>
        <w:spacing w:line="240" w:lineRule="auto"/>
        <w:ind w:left="426"/>
        <w:jc w:val="both"/>
        <w:rPr>
          <w:lang w:eastAsia="sk-SK"/>
        </w:rPr>
      </w:pPr>
    </w:p>
    <w:p w:rsidR="003C5C95" w:rsidRDefault="003C5C95" w:rsidP="003C5C95">
      <w:pPr>
        <w:spacing w:line="240" w:lineRule="auto"/>
        <w:ind w:left="2835"/>
        <w:jc w:val="both"/>
        <w:rPr>
          <w:lang w:eastAsia="sk-SK"/>
        </w:rPr>
      </w:pPr>
      <w:r>
        <w:rPr>
          <w:lang w:eastAsia="sk-SK"/>
        </w:rPr>
        <w:t>Zabezpečovacie prostriedky predstavujú právne záruky a nútia subjekty záväzkových vzťahov k splneniu svoji záväzkov riadne a včas. Z hľadiska právnej teórie, účelom zabezpečenia záväzku je najmä posilniť právne postavenie veriteľa v záväzkovom vzťahu tak, že jeho pohľadávka bude uspokojená. Ide o tzv. vedľajšie právne vzťahy, ktoré sa aktivujú až v prípade, ak primárny, zabezpečovaný právny vzťah nie je riadne a včas plnený. Zabezpečenie záväzkov je postavené na dvoch základných zásadách, a to na zásade akcesority a na zásade subsidiarity. Zásada akcesority spočíva v tom, že zabezpečovací vzťah má spravidla vedľajšiu, akcesorickú povahu; čo do vzniku, trvania aj obsahu je závislý od zabezpečovaného, tzv. hlavného záväzku. Zásada subsidiarity spočíva v tom, že zabezpečovací záväzok sa uplatní podporne v prípade, ak hlavný záväzok nemožno realizovať.</w:t>
      </w:r>
    </w:p>
    <w:p w:rsidR="003C5C95" w:rsidRDefault="003C5C95" w:rsidP="003C5C95">
      <w:pPr>
        <w:spacing w:line="240" w:lineRule="auto"/>
        <w:ind w:left="2835"/>
        <w:jc w:val="both"/>
        <w:rPr>
          <w:lang w:eastAsia="sk-SK"/>
        </w:rPr>
      </w:pPr>
      <w:r>
        <w:rPr>
          <w:lang w:eastAsia="sk-SK"/>
        </w:rPr>
        <w:t xml:space="preserve">Inštitút ručenia predstavuje jeden zo zabezpečovacích prostriedkov, účelom ktorého je posilniť postavenie veriteľa tým, že v prípade, ak jeho pohľadávku neuspokojí riadne a včas dlžník, uspokojí ho ručiteľ, ktorý tým vstúpi do postavenia veriteľa voči pôvodnému dlžníkovi. Ručenie predstavuje prostriedok sekundárnej formy uspokojenia pohľadávky veriteľa prostredníctvom subsidiárne zaviazaného subjektu. Ide tak o prostriedok, ktorým sa zabezpečuje primárny vzťah medzi veriteľom a ručiteľom.   </w:t>
      </w:r>
    </w:p>
    <w:p w:rsidR="003C5C95" w:rsidRDefault="003C5C95" w:rsidP="003C5C95">
      <w:pPr>
        <w:spacing w:line="240" w:lineRule="auto"/>
        <w:ind w:left="2835"/>
        <w:jc w:val="both"/>
        <w:rPr>
          <w:lang w:eastAsia="sk-SK"/>
        </w:rPr>
      </w:pPr>
      <w:r>
        <w:rPr>
          <w:lang w:eastAsia="sk-SK"/>
        </w:rPr>
        <w:t>Na vznik ručenia podľa § 303 Obchodného zákonníka sa nevyžaduje súhlas veriteľa ani dlžníka. Ide o jednostranný právny úkon, ktorý sa adresuje veriteľovi. Predmetné ustanovenie Obchodného zákonníka má kogentnú povahu, t. j. nie je možné vylúčiť jeho aplikáciu na základe dohody veriteľa a ručiteľa.</w:t>
      </w:r>
    </w:p>
    <w:p w:rsidR="003C5C95" w:rsidRDefault="003C5C95" w:rsidP="003C5C95">
      <w:pPr>
        <w:spacing w:line="240" w:lineRule="auto"/>
        <w:ind w:left="2835"/>
        <w:jc w:val="both"/>
        <w:rPr>
          <w:lang w:eastAsia="sk-SK"/>
        </w:rPr>
      </w:pPr>
      <w:r>
        <w:rPr>
          <w:lang w:eastAsia="sk-SK"/>
        </w:rPr>
        <w:lastRenderedPageBreak/>
        <w:t>Vyhlásenie ručiteľa je právnym úkonom toho, kto ručenie ponúka, a preto musí spĺňať aj všetky všeobecné požiadavky na platnosť právneho úkonu.</w:t>
      </w:r>
    </w:p>
    <w:p w:rsidR="003C5C95" w:rsidRDefault="003C5C95" w:rsidP="003C5C95">
      <w:pPr>
        <w:spacing w:line="240" w:lineRule="auto"/>
        <w:ind w:left="2835"/>
        <w:jc w:val="both"/>
        <w:rPr>
          <w:lang w:eastAsia="sk-SK"/>
        </w:rPr>
      </w:pPr>
      <w:r>
        <w:rPr>
          <w:lang w:eastAsia="sk-SK"/>
        </w:rPr>
        <w:t>Podľa § 265 Obchodného  zákonníka výkon práva, ktorý je v rozpore so zásadami poctivého obchodného styku, nepožíva právnu ochranu.</w:t>
      </w:r>
    </w:p>
    <w:p w:rsidR="003C5C95" w:rsidRDefault="003C5C95" w:rsidP="003C5C95">
      <w:pPr>
        <w:spacing w:line="240" w:lineRule="auto"/>
        <w:ind w:left="2835"/>
        <w:jc w:val="both"/>
        <w:rPr>
          <w:lang w:eastAsia="sk-SK"/>
        </w:rPr>
      </w:pPr>
      <w:r>
        <w:rPr>
          <w:lang w:eastAsia="sk-SK"/>
        </w:rPr>
        <w:t xml:space="preserve">V rámci záväzkových vzťahov v sektore zdravotníctva existujú indície naznačujúce, že zo strany tretích subjektov môže dochádza ku konaniu majúcemu znaky špekulatívneho uplatňovania práve inštitútu ručenia podľa Obchodného zákonníka, a to predovšetkým v tých záväzkových vzťahoch, kde na strane dlžníka vystupuje poskytovateľ ústavnej zdravotnej starostlivosti v zriaďovateľskej pôsobnosti alebo zakladateľskej pôsobnosti Ministerstva zdravotníctva SR. </w:t>
      </w:r>
    </w:p>
    <w:p w:rsidR="003C5C95" w:rsidRDefault="003C5C95" w:rsidP="003C5C95">
      <w:pPr>
        <w:spacing w:line="240" w:lineRule="auto"/>
        <w:ind w:left="2835"/>
        <w:jc w:val="both"/>
        <w:rPr>
          <w:lang w:eastAsia="sk-SK"/>
        </w:rPr>
      </w:pPr>
      <w:r>
        <w:rPr>
          <w:lang w:eastAsia="sk-SK"/>
        </w:rPr>
        <w:t xml:space="preserve">Z povahy konkrétnych prípadov možno predpokladať, že nejde o reálneho ručiteľa, ktorý má záujem na tom, aby bol záväzok dlžníka splnený, ale ide o zastieraný právny úkon subjektu, resp. subjektov, ktoré majú svoje podnikanie postavené na zisku najmä z úrokov z omeškania. Tieto subjekty využívajú dlhodobo zlú finančnú situáciu najmä ústavných zdravotníckych zariadení a ďalej ju svojim postupom zhoršujú, čo im umožňuje v tejto praxi ďalej opakovane pokračovať.  </w:t>
      </w:r>
    </w:p>
    <w:p w:rsidR="003C5C95" w:rsidRDefault="003C5C95" w:rsidP="003C5C95">
      <w:pPr>
        <w:spacing w:line="240" w:lineRule="auto"/>
        <w:ind w:left="2835"/>
        <w:jc w:val="both"/>
        <w:rPr>
          <w:lang w:eastAsia="sk-SK"/>
        </w:rPr>
      </w:pPr>
      <w:r>
        <w:rPr>
          <w:lang w:eastAsia="sk-SK"/>
        </w:rPr>
        <w:t xml:space="preserve">Nadobúdanie pohľadávok ručiteľom, ako novým veriteľom, so sebou nesie viacero nepriaznivých následkov pre tak špecifický druh dlžníka, akým poskytovateľ ústavnej zdravotnej starostlivosti bezpochyby je, čo spôsobuje najmä to, že i) </w:t>
      </w:r>
      <w:r>
        <w:t xml:space="preserve">nahradenie dlhoročného obchodného vzťahu s pôvodným veriteľom, ktorý „rozumie“ situácii poskytovateľa ústavnej zdravotnej starostlivosti a spravidla si neuplatňuje príslušenstvo pohľadávky v plnej miere, keďže naďalej má záujem s týmto poskytovateľom obchodovať, ii) dochádza k nárastu pohľadávok o desiatky percent z dôvodu uplatňovania príslušenstva pohľadávky ručiteľom, ako novým veriteľom v celom rozsahu (zákonné úroky z omeškania, paušálne náhrady, trovy konania), iii) sa uplatňujú splátkové kalendáre voči poskytovateľom ústavnej zdravotnej starostlivosti na anuitnom princípe (iba časť splátok na istinu). Porušenie zásad poctivého obchodného styku nemusí spočívať iba v konaní contra legem, ale môže ísť aj o konanie, ktoré nemusí na prvý pohľad vykazovať znaky protiprávnosti. Tieto zásady, ako základné spoločenské a etické hodnoty správania, totiž slúžia ako zábrana práve pred takým konaním. V opačnom prípade by bolo možné sofistikovaným zneužitím práv docieliť výsledky, ktoré hoci nie sú v explicitnom rozpore so zákonom, odporujú spravodlivému usporiadaniu spoločenských vzťahov. Zákaz výkonu práva v rozpore so </w:t>
      </w:r>
      <w:r>
        <w:lastRenderedPageBreak/>
        <w:t xml:space="preserve">zásadami poctivého obchodného styku by tak slúžil svojmu účelu iba pro forma. </w:t>
      </w:r>
    </w:p>
    <w:p w:rsidR="003C5C95" w:rsidRDefault="003C5C95" w:rsidP="003C5C95">
      <w:pPr>
        <w:spacing w:line="240" w:lineRule="auto"/>
        <w:ind w:left="2835"/>
        <w:jc w:val="both"/>
        <w:rPr>
          <w:lang w:eastAsia="sk-SK"/>
        </w:rPr>
      </w:pPr>
      <w:r>
        <w:rPr>
          <w:lang w:eastAsia="sk-SK"/>
        </w:rPr>
        <w:t xml:space="preserve">Krajský súd v Banskej Bystrici vo svojom rozhodnutí vedenom pod sp. zn. 43 Cob/92/2018 konštatoval, že prevzatie ručenia za povinnosť dlžníka splatiť veriteľovi jeho dlh nie je právnou povinnosťou ručiteľa, ale záväzkom prevzatým ručiteľom dobrovoľne na základe jeho vlastného rozhodnutia. </w:t>
      </w:r>
    </w:p>
    <w:p w:rsidR="003C5C95" w:rsidRDefault="003C5C95" w:rsidP="003C5C95">
      <w:pPr>
        <w:spacing w:line="240" w:lineRule="auto"/>
        <w:ind w:left="2835"/>
        <w:jc w:val="both"/>
        <w:rPr>
          <w:lang w:eastAsia="sk-SK"/>
        </w:rPr>
      </w:pPr>
      <w:r>
        <w:rPr>
          <w:lang w:eastAsia="sk-SK"/>
        </w:rPr>
        <w:t>S poukazom na vyššie uvedené tak možno konštatovať, že v predmetných prípadoch s vysokou mierou pravdepodobnosti pôjde práve o také konanie vyznačujúce sa úmyslom obchádzať podstatu inštitútu ručenia, ako akcesorického a subsidiárneho právneho vzťahu. Tento šikanózny výkon práva je v rozpore so zásadami poctivého obchodného styku, t. j. výkon uskutočnený v konkrétnom prípade nie za účelom dosiahnutia určitého hospodárskeho cieľa a účelu sledovaného zákonnou normou, ale zámerne (tzv. kvalifikovaný úmysel – dolus coloratus) za účelom poškodenia, či znevýhodnenia iného. Práve takéhoto konania sa tieto subjekty dopúšťajú.</w:t>
      </w:r>
    </w:p>
    <w:p w:rsidR="003C5C95" w:rsidRDefault="003C5C95" w:rsidP="003C5C95">
      <w:pPr>
        <w:spacing w:line="240" w:lineRule="auto"/>
        <w:ind w:left="2835"/>
        <w:jc w:val="both"/>
        <w:rPr>
          <w:lang w:eastAsia="sk-SK"/>
        </w:rPr>
      </w:pPr>
      <w:r>
        <w:rPr>
          <w:lang w:eastAsia="sk-SK"/>
        </w:rPr>
        <w:t xml:space="preserve"> S cieľom zamedziť takémuto šikanóznemu konaniu voči poskytovateľom ústavnej zdravotnej starostlivosti sa navrhuje do ustanovenia § 91 doplniť nový odsek 3, ktorým sa reguluje špeciálne pre záväzky (alebo ich časti) poskytovateľov ústavnej zdravotnej starostlivosti zabezpečenie formou ručenia. Ustanovenie § 91 ods. 3 tak modifikuje existujúcu právnu úpravu Obchodného zákonníka (ako lex specialis) tak, že práve v prípadoch, kde dlžníkom zo záväzkového vzťahu je poskytovateľ ústavnej zdravotnej starostlivosti, ktorý prevádzkuje nemocnicu, pre platný vznik ručenia sa bude vyžadovať písomná dohoda medzi veriteľom z primárneho záväzkového vzťahu a tým, kto sa má stať ručiteľom, a to predovšetkým za účelom zamedziť takému konaniu zo strany tretích subjektov, ktoré by z povahy veci mohlo napĺňať znaky účelového využívania až zneužívania inštitútu ručenia. </w:t>
      </w:r>
    </w:p>
    <w:p w:rsidR="003C5C95" w:rsidRDefault="003C5C95" w:rsidP="003C5C95">
      <w:pPr>
        <w:spacing w:line="240" w:lineRule="auto"/>
        <w:ind w:left="2835"/>
        <w:jc w:val="both"/>
        <w:rPr>
          <w:lang w:eastAsia="sk-SK"/>
        </w:rPr>
      </w:pPr>
      <w:r>
        <w:rPr>
          <w:lang w:eastAsia="sk-SK"/>
        </w:rPr>
        <w:t xml:space="preserve">Uvedené doplnenie sa tiež navrhuje z dôvodu garantovania a ochrany práva občanov na poskytovanie zdravotnej starostlivosti vyplývajúceho z osobitného predpisu a garantovania ústavného práva podľa čl. 40 Ústavy Slovenskej republiky na ochranu zdravia, ktoré vyplýva zároveň z článku 31 Listiny základných práv a slobôd.  </w:t>
      </w:r>
    </w:p>
    <w:p w:rsidR="003C5C95" w:rsidRDefault="003C5C95" w:rsidP="003C5C95">
      <w:pPr>
        <w:spacing w:line="240" w:lineRule="auto"/>
        <w:ind w:left="2835"/>
        <w:jc w:val="both"/>
        <w:rPr>
          <w:lang w:eastAsia="sk-SK"/>
        </w:rPr>
      </w:pPr>
      <w:r>
        <w:rPr>
          <w:lang w:eastAsia="sk-SK"/>
        </w:rPr>
        <w:t>Navrhovaná úprava sa nedotkne uplatnenia všeobecnej úpravy ručenia podľa Obchodného zákonníka na štandardné obchodnoprávne vzťahy, ktorých účastníkom nie je poskytovateľ ústavnej zdravotnej starostlivosti.</w:t>
      </w:r>
    </w:p>
    <w:p w:rsidR="003C5C95" w:rsidRDefault="003C5C95" w:rsidP="003C5C95">
      <w:pPr>
        <w:spacing w:line="240" w:lineRule="auto"/>
        <w:ind w:left="2835"/>
        <w:jc w:val="both"/>
        <w:rPr>
          <w:lang w:eastAsia="sk-SK"/>
        </w:rPr>
      </w:pPr>
      <w:r>
        <w:rPr>
          <w:lang w:eastAsia="sk-SK"/>
        </w:rPr>
        <w:t xml:space="preserve">Navrhovaná úprava nevylučuje možnosť vzniku ručenia, ako takého. Nemá za cieľ ani vylúčiť možnosť veriteľa zabezpečiť uspokojenie svojej pohľadávky, pre prípad, že by ju nedokázal uspokojiť sám dlžník.      </w:t>
      </w:r>
    </w:p>
    <w:p w:rsidR="003C5C95" w:rsidRDefault="003C5C95" w:rsidP="003C5C95">
      <w:pPr>
        <w:spacing w:line="240" w:lineRule="auto"/>
        <w:ind w:left="2835"/>
        <w:jc w:val="both"/>
        <w:rPr>
          <w:lang w:eastAsia="sk-SK"/>
        </w:rPr>
      </w:pPr>
      <w:r>
        <w:rPr>
          <w:lang w:eastAsia="sk-SK"/>
        </w:rPr>
        <w:lastRenderedPageBreak/>
        <w:t>Nedodržanie podmienky písomnej dohody medzi veriteľom a tým, kto sa má stať ručiteľom však bude mať za následok absolútnu neplatnosť ručiteľského vyhlásenia. Plnenie, ktoré bolo veriteľovi poskytnuté na základe absolútne neplatného ručiteľského vyhlásenia, sa vyporiada v zmysle zásad o bezdôvodnom obohatení uvedených v Občianskom zákonníku.</w:t>
      </w:r>
    </w:p>
    <w:p w:rsidR="003C5C95" w:rsidRDefault="003C5C95" w:rsidP="003C5C95">
      <w:pPr>
        <w:spacing w:line="240" w:lineRule="auto"/>
        <w:ind w:left="2835"/>
        <w:jc w:val="both"/>
        <w:rPr>
          <w:lang w:eastAsia="sk-SK"/>
        </w:rPr>
      </w:pPr>
      <w:r>
        <w:rPr>
          <w:lang w:eastAsia="sk-SK"/>
        </w:rPr>
        <w:t xml:space="preserve">Navrhovaná úprava má okrem vyššie uvedeného za cieľ aj nepriamo reflektovať na nedávne rozhodnutie Súdneho dvora Európskej únie vo veci žaloby Komisie voči Slovenskej republike za porušenie </w:t>
      </w:r>
      <w:r>
        <w:t xml:space="preserve">smernice Európskeho parlamentu a Rady 2011/7/EÚ zo 16. februára 2011 o boji proti oneskoreným platbám v obchodných transakciách, a to napríklad aj tým, že zamedzením nárastu pohľadávok o desiatky percent z dôvodu uplatňovania príslušenstva pohľadávky ručiteľom, ako novým veriteľom, v celom rozsahu, sa tieto finančné prostriedky uvoľnia na včasnú úhradu ďalších záväzkov poskytovateľov ústavnej zdravotnej starostlivosti, čo má ambíciu postupom času prispieť k zlepšeniu napĺňania účelu predmetnej smerníc. </w:t>
      </w:r>
    </w:p>
    <w:p w:rsidR="003C5C95" w:rsidRDefault="003C5C95" w:rsidP="003C5C95">
      <w:pPr>
        <w:spacing w:line="240" w:lineRule="auto"/>
        <w:jc w:val="both"/>
        <w:rPr>
          <w:u w:val="single"/>
          <w:lang w:eastAsia="sk-SK"/>
        </w:rPr>
      </w:pPr>
    </w:p>
    <w:p w:rsidR="003C5C95" w:rsidRDefault="003C5C95" w:rsidP="003C5C95">
      <w:pPr>
        <w:spacing w:line="240" w:lineRule="auto"/>
        <w:jc w:val="both"/>
        <w:rPr>
          <w:u w:val="single"/>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V čl. III, 32. bode</w:t>
      </w:r>
      <w:r>
        <w:rPr>
          <w:rFonts w:ascii="Arial" w:hAnsi="Arial" w:cs="Arial"/>
          <w:sz w:val="24"/>
          <w:szCs w:val="24"/>
        </w:rPr>
        <w:t>, § 102bc sa dopĺňa odsekom 3, ktorý znie:</w:t>
      </w:r>
    </w:p>
    <w:p w:rsidR="003C5C95" w:rsidRDefault="003C5C95" w:rsidP="003C5C95">
      <w:pPr>
        <w:spacing w:line="240" w:lineRule="auto"/>
        <w:ind w:left="426"/>
        <w:jc w:val="both"/>
        <w:rPr>
          <w:lang w:eastAsia="sk-SK"/>
        </w:rPr>
      </w:pPr>
      <w:r>
        <w:rPr>
          <w:lang w:eastAsia="sk-SK"/>
        </w:rPr>
        <w:t>„(3) Ustanovenia § 19 ods. 1 písm. p) a ods. 4 písm. f) sa prvýkrát použijú na povolenia na prevádzkovanie ambulancie záchrannej zdravotnej služby vydané podľa predpisov účinných od 15. apríla 2025.“.</w:t>
      </w:r>
    </w:p>
    <w:p w:rsidR="003C5C95" w:rsidRDefault="003C5C95" w:rsidP="003C5C95">
      <w:pPr>
        <w:spacing w:line="240" w:lineRule="auto"/>
        <w:ind w:left="426"/>
        <w:jc w:val="both"/>
        <w:rPr>
          <w:lang w:eastAsia="sk-SK"/>
        </w:rPr>
      </w:pPr>
    </w:p>
    <w:p w:rsidR="003C5C95" w:rsidRDefault="003C5C95" w:rsidP="003C5C95">
      <w:pPr>
        <w:spacing w:line="240" w:lineRule="auto"/>
        <w:ind w:left="2835"/>
        <w:jc w:val="both"/>
        <w:rPr>
          <w:lang w:eastAsia="sk-SK"/>
        </w:rPr>
      </w:pPr>
      <w:r>
        <w:rPr>
          <w:lang w:eastAsia="sk-SK"/>
        </w:rPr>
        <w:t>Ustanovenie špecifikuje, že podmienka neprekročenia trhového stropu 25% z celkovej siete sa aplikuje až od najbližších výberových konaní, respektíve od vydania nových povolení.</w:t>
      </w: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V čl. III, 32. bod</w:t>
      </w:r>
      <w:r>
        <w:rPr>
          <w:rFonts w:ascii="Arial" w:hAnsi="Arial" w:cs="Arial"/>
          <w:sz w:val="24"/>
          <w:szCs w:val="24"/>
        </w:rPr>
        <w:t>, § 102bc sa dopĺňa odsekom 3, ktorý znie:</w:t>
      </w:r>
    </w:p>
    <w:p w:rsidR="003C5C95" w:rsidRDefault="003C5C95" w:rsidP="003C5C95">
      <w:pPr>
        <w:spacing w:line="240" w:lineRule="auto"/>
        <w:ind w:left="426"/>
        <w:jc w:val="both"/>
        <w:rPr>
          <w:lang w:eastAsia="sk-SK"/>
        </w:rPr>
      </w:pPr>
      <w:r>
        <w:rPr>
          <w:lang w:eastAsia="sk-SK"/>
        </w:rPr>
        <w:t xml:space="preserve">„(3) Ustanovenie § 91 ods. 3 sa použije na ručenie, ktoré vznikne po 14. apríli 2025.“.    </w:t>
      </w:r>
    </w:p>
    <w:p w:rsidR="003C5C95" w:rsidRDefault="003C5C95" w:rsidP="003C5C95">
      <w:pPr>
        <w:spacing w:line="240" w:lineRule="auto"/>
        <w:ind w:left="426"/>
        <w:jc w:val="both"/>
        <w:rPr>
          <w:lang w:eastAsia="sk-SK"/>
        </w:rPr>
      </w:pPr>
    </w:p>
    <w:p w:rsidR="003C5C95" w:rsidRDefault="003C5C95" w:rsidP="003C5C95">
      <w:pPr>
        <w:spacing w:line="240" w:lineRule="auto"/>
        <w:ind w:left="2835"/>
        <w:jc w:val="both"/>
        <w:rPr>
          <w:lang w:eastAsia="sk-SK"/>
        </w:rPr>
      </w:pPr>
      <w:r>
        <w:rPr>
          <w:lang w:eastAsia="sk-SK"/>
        </w:rPr>
        <w:t xml:space="preserve">S cieľom zamedziť vzniku právnej neistoty pri aplikácií ustanovenia § 91 ods. 3, nakoľko toto je hmotnoprávnym ustanovením, preto je potrebné upraviť aj prechodné ustanovenie, ktorým sa jednoznačne deklaruje, že dotknuté ustanovenie je možné aplikovať až na  to ručiteľské vyhlásenie, ktoré vznikne po nadobudnutí účinnosti tohto zákona. </w:t>
      </w: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spacing w:line="240" w:lineRule="auto"/>
        <w:ind w:left="2835"/>
        <w:jc w:val="both"/>
        <w:rPr>
          <w:lang w:eastAsia="sk-SK"/>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b/>
          <w:sz w:val="24"/>
          <w:szCs w:val="24"/>
        </w:rPr>
        <w:lastRenderedPageBreak/>
        <w:t xml:space="preserve">  Za čl. III</w:t>
      </w:r>
      <w:r>
        <w:rPr>
          <w:rFonts w:ascii="Arial" w:hAnsi="Arial" w:cs="Arial"/>
          <w:sz w:val="24"/>
          <w:szCs w:val="24"/>
        </w:rPr>
        <w:t xml:space="preserve"> sa vkladá nový čl. IV, ktorý znie:</w:t>
      </w:r>
    </w:p>
    <w:p w:rsidR="003C5C95" w:rsidRDefault="003C5C95" w:rsidP="003C5C95">
      <w:pPr>
        <w:spacing w:line="240" w:lineRule="auto"/>
        <w:jc w:val="center"/>
      </w:pPr>
      <w:r>
        <w:t>„Čl. IV</w:t>
      </w:r>
    </w:p>
    <w:p w:rsidR="003C5C95" w:rsidRDefault="003C5C95" w:rsidP="003C5C95">
      <w:pPr>
        <w:pStyle w:val="Odsekzoznamu"/>
        <w:spacing w:line="240" w:lineRule="auto"/>
        <w:jc w:val="center"/>
        <w:rPr>
          <w:rFonts w:ascii="Arial" w:hAnsi="Arial" w:cs="Arial"/>
          <w:sz w:val="24"/>
          <w:szCs w:val="24"/>
        </w:rPr>
      </w:pPr>
    </w:p>
    <w:p w:rsidR="003C5C95" w:rsidRDefault="003C5C95" w:rsidP="003C5C95">
      <w:pPr>
        <w:pStyle w:val="Odsekzoznamu"/>
        <w:spacing w:line="240" w:lineRule="auto"/>
        <w:ind w:left="567"/>
        <w:jc w:val="both"/>
        <w:rPr>
          <w:rFonts w:ascii="Arial" w:hAnsi="Arial" w:cs="Arial"/>
          <w:sz w:val="24"/>
          <w:szCs w:val="24"/>
        </w:rPr>
      </w:pPr>
      <w:r>
        <w:rPr>
          <w:rFonts w:ascii="Arial" w:hAnsi="Arial" w:cs="Arial"/>
          <w:sz w:val="24"/>
          <w:szCs w:val="24"/>
        </w:rPr>
        <w:t>Zákon č. 361/2024 Z. z., ktorým sa mení a dopĺňa zákon č. 153/2013 Z. z. o národnom zdravotníckom informačnom systéme a o zmene a doplnení niektorých zákonov v znení neskorších predpisov a ktorým sa menia a dopĺňajú niektoré zákony sa mení takto:</w:t>
      </w:r>
    </w:p>
    <w:p w:rsidR="003C5C95" w:rsidRDefault="003C5C95" w:rsidP="003C5C95">
      <w:pPr>
        <w:pStyle w:val="Odsekzoznamu"/>
        <w:spacing w:line="240" w:lineRule="auto"/>
        <w:ind w:left="567"/>
        <w:rPr>
          <w:rFonts w:ascii="Arial" w:hAnsi="Arial" w:cs="Arial"/>
          <w:sz w:val="24"/>
          <w:szCs w:val="24"/>
        </w:rPr>
      </w:pPr>
    </w:p>
    <w:p w:rsidR="003C5C95" w:rsidRDefault="003C5C95" w:rsidP="003C5C95">
      <w:pPr>
        <w:spacing w:line="240" w:lineRule="auto"/>
        <w:ind w:left="567"/>
      </w:pPr>
      <w:r>
        <w:t>V čl. XIII sa slová „1. júna 2025“ nahrádzajú slovami „1. septembra 2025.“.“.</w:t>
      </w:r>
    </w:p>
    <w:p w:rsidR="003C5C95" w:rsidRDefault="003C5C95" w:rsidP="003C5C95">
      <w:pPr>
        <w:spacing w:line="240" w:lineRule="auto"/>
        <w:ind w:left="567"/>
      </w:pPr>
      <w:r>
        <w:t>Nasledujúci článok sa primerane prečísluje.</w:t>
      </w:r>
    </w:p>
    <w:p w:rsidR="003C5C95" w:rsidRDefault="003C5C95" w:rsidP="003C5C95">
      <w:pPr>
        <w:spacing w:line="240" w:lineRule="auto"/>
        <w:ind w:left="567"/>
        <w:jc w:val="both"/>
        <w:rPr>
          <w:lang w:eastAsia="sk-SK"/>
        </w:rPr>
      </w:pPr>
      <w:r>
        <w:rPr>
          <w:lang w:eastAsia="sk-SK"/>
        </w:rPr>
        <w:t xml:space="preserve">Tento článok nadobúda účinnosť 15. apríla 2025, čo sa premietne aj do ustanovenia o účinnosti zákona. </w:t>
      </w:r>
    </w:p>
    <w:p w:rsidR="003C5C95" w:rsidRDefault="003C5C95" w:rsidP="003C5C95">
      <w:pPr>
        <w:pStyle w:val="Odsekzoznamu"/>
        <w:spacing w:line="240" w:lineRule="auto"/>
        <w:rPr>
          <w:rFonts w:ascii="Arial" w:hAnsi="Arial" w:cs="Arial"/>
          <w:sz w:val="24"/>
          <w:szCs w:val="24"/>
        </w:rPr>
      </w:pPr>
    </w:p>
    <w:p w:rsidR="003C5C95" w:rsidRDefault="003C5C95" w:rsidP="003C5C95">
      <w:pPr>
        <w:pStyle w:val="Odsekzoznamu"/>
        <w:spacing w:line="240" w:lineRule="auto"/>
        <w:ind w:left="2835"/>
        <w:jc w:val="both"/>
        <w:rPr>
          <w:rFonts w:ascii="Arial" w:hAnsi="Arial" w:cs="Arial"/>
          <w:sz w:val="24"/>
          <w:szCs w:val="24"/>
        </w:rPr>
      </w:pPr>
      <w:r>
        <w:rPr>
          <w:rFonts w:ascii="Arial" w:hAnsi="Arial" w:cs="Arial"/>
          <w:sz w:val="24"/>
          <w:szCs w:val="24"/>
        </w:rPr>
        <w:t>Na základe § 7 ods. 23 zdravotná poisťovňa uhradí poskytovateľovi zdravotnej starostlivosti paušálnu platbu v dohodnutej výške za dohodnuté obdobie za osobu, s ktorou má poskytovateľ zdravotnej starostlivosti uzatvorenú dohodu o poskytovaní zdravotnej starostlivosti, ktorá sa zapisuje do registra dohôd o poskytovaní zdravotnej starostlivosti vedeného Národným centrom zdravotníckych informácií. Na plnú funkčnosť tejto elektronickej služby má vplyv plne aktualizovaný informačný systém poskytovateľa zdravotnej starostlivosti, ktorý musí prejsť overením zhody informačného systému v Národnom zdravotníckom informačnom systéme. Overenie zhody je proces zdĺhavejší, vymedzený presne zákonom, ktorý uskutočňujú výrobcovia informačných systémov s Národným centrom zdravotníckych informácií. Aby neboli obmedzené tzv. kapitačné platby poskytovateľom zdravotnej starostlivosti, je nutné, aby títo poskytovatelia používali aktualizovaný informačný systém. Z tohto dôvodu sa navrhuje posun účinnosti § 7 ods. 23.</w:t>
      </w:r>
    </w:p>
    <w:p w:rsidR="003C5C95" w:rsidRDefault="003C5C95" w:rsidP="003C5C95">
      <w:pPr>
        <w:pStyle w:val="Odsekzoznamu"/>
        <w:spacing w:line="240" w:lineRule="auto"/>
        <w:ind w:left="2835"/>
        <w:jc w:val="both"/>
        <w:rPr>
          <w:rFonts w:ascii="Arial" w:hAnsi="Arial" w:cs="Arial"/>
          <w:sz w:val="24"/>
          <w:szCs w:val="24"/>
        </w:rPr>
      </w:pPr>
    </w:p>
    <w:p w:rsidR="003C5C95" w:rsidRDefault="003C5C95" w:rsidP="003C5C95">
      <w:pPr>
        <w:pStyle w:val="Odsekzoznamu"/>
        <w:spacing w:line="240" w:lineRule="auto"/>
        <w:ind w:left="360"/>
        <w:jc w:val="both"/>
        <w:rPr>
          <w:rFonts w:ascii="Arial" w:hAnsi="Arial" w:cs="Arial"/>
          <w:sz w:val="24"/>
          <w:szCs w:val="24"/>
        </w:rPr>
      </w:pPr>
    </w:p>
    <w:p w:rsidR="003C5C95" w:rsidRDefault="003C5C95" w:rsidP="003C5C95">
      <w:pPr>
        <w:pStyle w:val="Odsekzoznamu"/>
        <w:numPr>
          <w:ilvl w:val="0"/>
          <w:numId w:val="8"/>
        </w:numPr>
        <w:spacing w:line="24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V čl. IV</w:t>
      </w:r>
      <w:r>
        <w:rPr>
          <w:rFonts w:ascii="Arial" w:hAnsi="Arial" w:cs="Arial"/>
          <w:sz w:val="24"/>
          <w:szCs w:val="24"/>
        </w:rPr>
        <w:t xml:space="preserve"> sa za slová „až 6,“ vkladajú slová „§ 3 ods. 3 písm. s) v bode 7, bodov “  a za slová „13,“ sa vkladajú slová „19,“.</w:t>
      </w:r>
    </w:p>
    <w:p w:rsidR="003C5C95" w:rsidRDefault="003C5C95" w:rsidP="003C5C95">
      <w:pPr>
        <w:spacing w:line="240" w:lineRule="auto"/>
        <w:ind w:left="2835"/>
        <w:jc w:val="both"/>
        <w:rPr>
          <w:lang w:eastAsia="sk-SK"/>
        </w:rPr>
      </w:pPr>
      <w:r>
        <w:rPr>
          <w:lang w:eastAsia="sk-SK"/>
        </w:rPr>
        <w:t>Ustanovenie posúva účinnosť povinnosti Operačného strediska zriadiť register vozidiel a poskytovateľom záchrannej zdravotnej služby poskytnúť údaje na 1. 1. 2026 z dôvodu krátkosti času na prípravu spôsobenú sklzom v legislatívnom procese.</w:t>
      </w:r>
    </w:p>
    <w:p w:rsidR="003C5C95" w:rsidRDefault="003C5C95" w:rsidP="003C5C95">
      <w:pPr>
        <w:pStyle w:val="Default"/>
        <w:jc w:val="both"/>
      </w:pPr>
    </w:p>
    <w:p w:rsidR="00041185" w:rsidRDefault="00041185" w:rsidP="00AC261F">
      <w:pPr>
        <w:pStyle w:val="Zkladntext"/>
      </w:pPr>
    </w:p>
    <w:p w:rsidR="00856411" w:rsidRDefault="00856411" w:rsidP="00AC261F">
      <w:pPr>
        <w:pStyle w:val="Zkladntext"/>
      </w:pPr>
    </w:p>
    <w:p w:rsidR="00856411" w:rsidRDefault="00856411" w:rsidP="00AC261F">
      <w:pPr>
        <w:pStyle w:val="Zkladntext"/>
      </w:pPr>
    </w:p>
    <w:p w:rsidR="00856411" w:rsidRDefault="00856411" w:rsidP="00AC261F">
      <w:pPr>
        <w:pStyle w:val="Zkladntext"/>
      </w:pPr>
    </w:p>
    <w:p w:rsidR="00856411" w:rsidRDefault="00856411" w:rsidP="00AC261F">
      <w:pPr>
        <w:pStyle w:val="Zkladntext"/>
      </w:pPr>
    </w:p>
    <w:p w:rsidR="00856411" w:rsidRDefault="00856411" w:rsidP="00AC261F">
      <w:pPr>
        <w:pStyle w:val="Zkladntext"/>
      </w:pPr>
    </w:p>
    <w:p w:rsidR="00856411" w:rsidRDefault="00856411" w:rsidP="00AC261F">
      <w:pPr>
        <w:pStyle w:val="Zkladntext"/>
      </w:pPr>
    </w:p>
    <w:p w:rsidR="00856411" w:rsidRPr="00ED7C13" w:rsidRDefault="00856411" w:rsidP="00AC261F">
      <w:pPr>
        <w:pStyle w:val="Zkladntext"/>
      </w:pPr>
    </w:p>
    <w:p w:rsidR="00ED7C13" w:rsidRDefault="00ED7C13" w:rsidP="00ED7C13">
      <w:pPr>
        <w:pStyle w:val="Zkladntext"/>
        <w:numPr>
          <w:ilvl w:val="0"/>
          <w:numId w:val="3"/>
        </w:numPr>
        <w:ind w:hanging="356"/>
        <w:rPr>
          <w:b/>
          <w:bCs/>
        </w:rPr>
      </w:pPr>
      <w:r>
        <w:rPr>
          <w:b/>
          <w:bCs/>
        </w:rPr>
        <w:t>p o v e r u j e</w:t>
      </w:r>
    </w:p>
    <w:p w:rsidR="00ED7C13" w:rsidRDefault="00ED7C13" w:rsidP="00ED7C13">
      <w:pPr>
        <w:pStyle w:val="Zkladntext"/>
        <w:ind w:left="705"/>
        <w:rPr>
          <w:b/>
          <w:bCs/>
        </w:rPr>
      </w:pPr>
    </w:p>
    <w:p w:rsidR="00ED7C13" w:rsidRDefault="00ED7C13" w:rsidP="00ED7C13">
      <w:pPr>
        <w:pStyle w:val="Zkladntext"/>
        <w:ind w:firstLine="1065"/>
      </w:pPr>
      <w:r>
        <w:rPr>
          <w:b/>
        </w:rPr>
        <w:t>predsedu výboru</w:t>
      </w:r>
      <w:r>
        <w:t>, aby spracoval výsledky rokovania Výboru Národnej rady Slovenskej republiky pre zdravotníctvo z</w:t>
      </w:r>
      <w:r w:rsidR="00856411">
        <w:t> </w:t>
      </w:r>
      <w:r w:rsidR="00DC1999">
        <w:t>2</w:t>
      </w:r>
      <w:r w:rsidR="00856411">
        <w:t>7.</w:t>
      </w:r>
      <w:r w:rsidR="00825F9B">
        <w:t xml:space="preserve"> </w:t>
      </w:r>
      <w:r w:rsidR="00DC1999">
        <w:t>marca</w:t>
      </w:r>
      <w:r>
        <w:t xml:space="preserve"> 202</w:t>
      </w:r>
      <w:r w:rsidR="00DC1999">
        <w:t>5</w:t>
      </w:r>
      <w:r>
        <w:t xml:space="preserve"> spolu s výsledk</w:t>
      </w:r>
      <w:r w:rsidR="002875ED">
        <w:t>om</w:t>
      </w:r>
      <w:r>
        <w:t xml:space="preserve"> rokovania </w:t>
      </w:r>
      <w:r w:rsidR="002875ED">
        <w:t>Ústavnoprávneho výboru</w:t>
      </w:r>
      <w:r>
        <w:t xml:space="preserve"> Národnej rady Slovenskej republiky do písomnej spoločnej správy výborov Národnej rady Slovenskej republiky a predložil ju na schválenie gestorskému výboru. </w:t>
      </w:r>
    </w:p>
    <w:p w:rsidR="00825F9B" w:rsidRDefault="00825F9B" w:rsidP="00ED7C13">
      <w:pPr>
        <w:pStyle w:val="Zkladntext"/>
      </w:pPr>
    </w:p>
    <w:p w:rsidR="00041185" w:rsidRDefault="00041185" w:rsidP="00ED7C13">
      <w:pPr>
        <w:pStyle w:val="Zkladntext"/>
      </w:pPr>
    </w:p>
    <w:p w:rsidR="00856411" w:rsidRDefault="00856411" w:rsidP="00ED7C13">
      <w:pPr>
        <w:pStyle w:val="Zkladntext"/>
      </w:pPr>
    </w:p>
    <w:p w:rsidR="00856411" w:rsidRDefault="00856411" w:rsidP="00ED7C13">
      <w:pPr>
        <w:pStyle w:val="Zkladntext"/>
      </w:pPr>
      <w:bookmarkStart w:id="0" w:name="_GoBack"/>
      <w:bookmarkEnd w:id="0"/>
    </w:p>
    <w:p w:rsidR="00856411" w:rsidRDefault="00856411" w:rsidP="00ED7C13">
      <w:pPr>
        <w:pStyle w:val="Zkladntext"/>
      </w:pPr>
    </w:p>
    <w:p w:rsidR="00856411" w:rsidRDefault="00856411" w:rsidP="00ED7C13">
      <w:pPr>
        <w:pStyle w:val="Zkladntext"/>
      </w:pPr>
    </w:p>
    <w:p w:rsidR="00ED7C13" w:rsidRDefault="00ED7C13" w:rsidP="00ED7C13">
      <w:pPr>
        <w:pStyle w:val="Zkladntex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Vladimír  B a l á ž</w:t>
      </w:r>
    </w:p>
    <w:p w:rsidR="00825F9B" w:rsidRPr="00A238FD" w:rsidRDefault="00ED7C13" w:rsidP="00ED7C13">
      <w:pPr>
        <w:pStyle w:val="Zkladntext"/>
      </w:pPr>
      <w:r>
        <w:tab/>
      </w:r>
      <w:r>
        <w:tab/>
      </w:r>
      <w:r>
        <w:tab/>
      </w:r>
      <w:r>
        <w:tab/>
      </w:r>
      <w:r>
        <w:tab/>
      </w:r>
      <w:r>
        <w:tab/>
      </w:r>
      <w:r>
        <w:tab/>
      </w:r>
      <w:r>
        <w:tab/>
        <w:t xml:space="preserve">           predseda výboru</w:t>
      </w:r>
    </w:p>
    <w:p w:rsidR="00041185" w:rsidRDefault="00041185" w:rsidP="00ED7C13">
      <w:pPr>
        <w:pStyle w:val="Zkladntext"/>
        <w:rPr>
          <w:b/>
        </w:rPr>
      </w:pPr>
    </w:p>
    <w:p w:rsidR="00041185" w:rsidRDefault="00041185" w:rsidP="00ED7C13">
      <w:pPr>
        <w:pStyle w:val="Zkladntext"/>
        <w:rPr>
          <w:b/>
        </w:rPr>
      </w:pPr>
    </w:p>
    <w:p w:rsidR="00856411" w:rsidRDefault="00856411" w:rsidP="00ED7C13">
      <w:pPr>
        <w:pStyle w:val="Zkladntext"/>
        <w:rPr>
          <w:b/>
        </w:rPr>
      </w:pPr>
    </w:p>
    <w:p w:rsidR="00856411" w:rsidRDefault="00856411" w:rsidP="00ED7C13">
      <w:pPr>
        <w:pStyle w:val="Zkladntext"/>
        <w:rPr>
          <w:b/>
        </w:rPr>
      </w:pPr>
    </w:p>
    <w:p w:rsidR="00ED7C13" w:rsidRDefault="00ED7C13" w:rsidP="00ED7C13">
      <w:pPr>
        <w:pStyle w:val="Zkladntext"/>
        <w:rPr>
          <w:b/>
        </w:rPr>
      </w:pPr>
      <w:r>
        <w:rPr>
          <w:b/>
        </w:rPr>
        <w:t>Jozef  V a l o c k ý</w:t>
      </w:r>
    </w:p>
    <w:p w:rsidR="00ED7C13" w:rsidRDefault="00ED7C13" w:rsidP="00ED7C13">
      <w:pPr>
        <w:pStyle w:val="Zkladntext"/>
      </w:pPr>
      <w:r>
        <w:t>overovateľ výboru</w:t>
      </w:r>
    </w:p>
    <w:sectPr w:rsidR="00ED7C1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B5B" w:rsidRDefault="00D34B5B" w:rsidP="003C5C95">
      <w:pPr>
        <w:spacing w:line="240" w:lineRule="auto"/>
      </w:pPr>
      <w:r>
        <w:separator/>
      </w:r>
    </w:p>
  </w:endnote>
  <w:endnote w:type="continuationSeparator" w:id="0">
    <w:p w:rsidR="00D34B5B" w:rsidRDefault="00D34B5B" w:rsidP="003C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545623"/>
      <w:docPartObj>
        <w:docPartGallery w:val="Page Numbers (Bottom of Page)"/>
        <w:docPartUnique/>
      </w:docPartObj>
    </w:sdtPr>
    <w:sdtContent>
      <w:p w:rsidR="003C5C95" w:rsidRDefault="003C5C95">
        <w:pPr>
          <w:pStyle w:val="Pta"/>
          <w:jc w:val="right"/>
        </w:pPr>
        <w:r>
          <w:fldChar w:fldCharType="begin"/>
        </w:r>
        <w:r>
          <w:instrText>PAGE   \* MERGEFORMAT</w:instrText>
        </w:r>
        <w:r>
          <w:fldChar w:fldCharType="separate"/>
        </w:r>
        <w:r>
          <w:rPr>
            <w:noProof/>
          </w:rPr>
          <w:t>11</w:t>
        </w:r>
        <w:r>
          <w:fldChar w:fldCharType="end"/>
        </w:r>
      </w:p>
    </w:sdtContent>
  </w:sdt>
  <w:p w:rsidR="003C5C95" w:rsidRDefault="003C5C9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B5B" w:rsidRDefault="00D34B5B" w:rsidP="003C5C95">
      <w:pPr>
        <w:spacing w:line="240" w:lineRule="auto"/>
      </w:pPr>
      <w:r>
        <w:separator/>
      </w:r>
    </w:p>
  </w:footnote>
  <w:footnote w:type="continuationSeparator" w:id="0">
    <w:p w:rsidR="00D34B5B" w:rsidRDefault="00D34B5B" w:rsidP="003C5C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C2C"/>
    <w:multiLevelType w:val="hybridMultilevel"/>
    <w:tmpl w:val="7B62BA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EA14F3C"/>
    <w:multiLevelType w:val="hybridMultilevel"/>
    <w:tmpl w:val="96D4D942"/>
    <w:lvl w:ilvl="0" w:tplc="6E6C8D2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 w15:restartNumberingAfterBreak="0">
    <w:nsid w:val="2AE54B44"/>
    <w:multiLevelType w:val="hybridMultilevel"/>
    <w:tmpl w:val="7FAEAF6E"/>
    <w:lvl w:ilvl="0" w:tplc="9BCECE3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4" w15:restartNumberingAfterBreak="0">
    <w:nsid w:val="39D73110"/>
    <w:multiLevelType w:val="hybridMultilevel"/>
    <w:tmpl w:val="E2BA8E6E"/>
    <w:lvl w:ilvl="0" w:tplc="DB2471CA">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AAA3AA1"/>
    <w:multiLevelType w:val="hybridMultilevel"/>
    <w:tmpl w:val="56D6BD6A"/>
    <w:lvl w:ilvl="0" w:tplc="303CE69A">
      <w:start w:val="1"/>
      <w:numFmt w:val="decimal"/>
      <w:lvlText w:val="%1."/>
      <w:lvlJc w:val="left"/>
      <w:pPr>
        <w:ind w:left="752" w:hanging="360"/>
      </w:pPr>
      <w:rPr>
        <w:rFonts w:ascii="Arial" w:hAnsi="Arial" w:cs="Arial" w:hint="default"/>
        <w:b w:val="0"/>
        <w:i w:val="0"/>
        <w:color w:val="auto"/>
        <w:sz w:val="24"/>
        <w:szCs w:val="24"/>
      </w:rPr>
    </w:lvl>
    <w:lvl w:ilvl="1" w:tplc="041B0019">
      <w:start w:val="1"/>
      <w:numFmt w:val="lowerLetter"/>
      <w:lvlText w:val="%2."/>
      <w:lvlJc w:val="left"/>
      <w:pPr>
        <w:ind w:left="1472" w:hanging="360"/>
      </w:pPr>
    </w:lvl>
    <w:lvl w:ilvl="2" w:tplc="041B001B">
      <w:start w:val="1"/>
      <w:numFmt w:val="lowerRoman"/>
      <w:lvlText w:val="%3."/>
      <w:lvlJc w:val="right"/>
      <w:pPr>
        <w:ind w:left="2192" w:hanging="180"/>
      </w:pPr>
    </w:lvl>
    <w:lvl w:ilvl="3" w:tplc="041B000F">
      <w:start w:val="1"/>
      <w:numFmt w:val="decimal"/>
      <w:lvlText w:val="%4."/>
      <w:lvlJc w:val="left"/>
      <w:pPr>
        <w:ind w:left="2912" w:hanging="360"/>
      </w:pPr>
    </w:lvl>
    <w:lvl w:ilvl="4" w:tplc="041B0019">
      <w:start w:val="1"/>
      <w:numFmt w:val="lowerLetter"/>
      <w:lvlText w:val="%5."/>
      <w:lvlJc w:val="left"/>
      <w:pPr>
        <w:ind w:left="3632" w:hanging="360"/>
      </w:pPr>
    </w:lvl>
    <w:lvl w:ilvl="5" w:tplc="041B001B">
      <w:start w:val="1"/>
      <w:numFmt w:val="lowerRoman"/>
      <w:lvlText w:val="%6."/>
      <w:lvlJc w:val="right"/>
      <w:pPr>
        <w:ind w:left="4352" w:hanging="180"/>
      </w:pPr>
    </w:lvl>
    <w:lvl w:ilvl="6" w:tplc="041B000F">
      <w:start w:val="1"/>
      <w:numFmt w:val="decimal"/>
      <w:lvlText w:val="%7."/>
      <w:lvlJc w:val="left"/>
      <w:pPr>
        <w:ind w:left="5072" w:hanging="360"/>
      </w:pPr>
    </w:lvl>
    <w:lvl w:ilvl="7" w:tplc="041B0019">
      <w:start w:val="1"/>
      <w:numFmt w:val="lowerLetter"/>
      <w:lvlText w:val="%8."/>
      <w:lvlJc w:val="left"/>
      <w:pPr>
        <w:ind w:left="5792" w:hanging="360"/>
      </w:pPr>
    </w:lvl>
    <w:lvl w:ilvl="8" w:tplc="041B001B">
      <w:start w:val="1"/>
      <w:numFmt w:val="lowerRoman"/>
      <w:lvlText w:val="%9."/>
      <w:lvlJc w:val="right"/>
      <w:pPr>
        <w:ind w:left="6512" w:hanging="180"/>
      </w:pPr>
    </w:lvl>
  </w:abstractNum>
  <w:abstractNum w:abstractNumId="6" w15:restartNumberingAfterBreak="0">
    <w:nsid w:val="64001F89"/>
    <w:multiLevelType w:val="hybridMultilevel"/>
    <w:tmpl w:val="5F026982"/>
    <w:lvl w:ilvl="0" w:tplc="F0C8BD9A">
      <w:start w:val="1"/>
      <w:numFmt w:val="decimal"/>
      <w:lvlText w:val="%1."/>
      <w:lvlJc w:val="left"/>
      <w:pPr>
        <w:ind w:left="1112" w:hanging="360"/>
      </w:pPr>
    </w:lvl>
    <w:lvl w:ilvl="1" w:tplc="041B0019">
      <w:start w:val="1"/>
      <w:numFmt w:val="lowerLetter"/>
      <w:lvlText w:val="%2."/>
      <w:lvlJc w:val="left"/>
      <w:pPr>
        <w:ind w:left="1832" w:hanging="360"/>
      </w:pPr>
    </w:lvl>
    <w:lvl w:ilvl="2" w:tplc="041B001B">
      <w:start w:val="1"/>
      <w:numFmt w:val="lowerRoman"/>
      <w:lvlText w:val="%3."/>
      <w:lvlJc w:val="right"/>
      <w:pPr>
        <w:ind w:left="2552" w:hanging="180"/>
      </w:pPr>
    </w:lvl>
    <w:lvl w:ilvl="3" w:tplc="041B000F">
      <w:start w:val="1"/>
      <w:numFmt w:val="decimal"/>
      <w:lvlText w:val="%4."/>
      <w:lvlJc w:val="left"/>
      <w:pPr>
        <w:ind w:left="3272" w:hanging="360"/>
      </w:pPr>
    </w:lvl>
    <w:lvl w:ilvl="4" w:tplc="041B0019">
      <w:start w:val="1"/>
      <w:numFmt w:val="lowerLetter"/>
      <w:lvlText w:val="%5."/>
      <w:lvlJc w:val="left"/>
      <w:pPr>
        <w:ind w:left="3992" w:hanging="360"/>
      </w:pPr>
    </w:lvl>
    <w:lvl w:ilvl="5" w:tplc="041B001B">
      <w:start w:val="1"/>
      <w:numFmt w:val="lowerRoman"/>
      <w:lvlText w:val="%6."/>
      <w:lvlJc w:val="right"/>
      <w:pPr>
        <w:ind w:left="4712" w:hanging="180"/>
      </w:pPr>
    </w:lvl>
    <w:lvl w:ilvl="6" w:tplc="041B000F">
      <w:start w:val="1"/>
      <w:numFmt w:val="decimal"/>
      <w:lvlText w:val="%7."/>
      <w:lvlJc w:val="left"/>
      <w:pPr>
        <w:ind w:left="5432" w:hanging="360"/>
      </w:pPr>
    </w:lvl>
    <w:lvl w:ilvl="7" w:tplc="041B0019">
      <w:start w:val="1"/>
      <w:numFmt w:val="lowerLetter"/>
      <w:lvlText w:val="%8."/>
      <w:lvlJc w:val="left"/>
      <w:pPr>
        <w:ind w:left="6152" w:hanging="360"/>
      </w:pPr>
    </w:lvl>
    <w:lvl w:ilvl="8" w:tplc="041B001B">
      <w:start w:val="1"/>
      <w:numFmt w:val="lowerRoman"/>
      <w:lvlText w:val="%9."/>
      <w:lvlJc w:val="right"/>
      <w:pPr>
        <w:ind w:left="6872" w:hanging="180"/>
      </w:pPr>
    </w:lvl>
  </w:abstractNum>
  <w:abstractNum w:abstractNumId="7" w15:restartNumberingAfterBreak="0">
    <w:nsid w:val="7B8B4564"/>
    <w:multiLevelType w:val="hybridMultilevel"/>
    <w:tmpl w:val="8E8C2174"/>
    <w:lvl w:ilvl="0" w:tplc="861C5B78">
      <w:start w:val="1"/>
      <w:numFmt w:val="decimal"/>
      <w:pStyle w:val="slovan"/>
      <w:lvlText w:val="%1."/>
      <w:lvlJc w:val="left"/>
      <w:pPr>
        <w:ind w:left="0" w:firstLine="0"/>
      </w:pPr>
      <w:rPr>
        <w:rFonts w:cs="Times New Roman"/>
        <w:strike w:val="0"/>
        <w:dstrike w:val="0"/>
        <w:color w:val="auto"/>
        <w:u w:val="none"/>
        <w:effect w:val="none"/>
      </w:rPr>
    </w:lvl>
    <w:lvl w:ilvl="1" w:tplc="9FE476D8">
      <w:start w:val="1"/>
      <w:numFmt w:val="lowerLetter"/>
      <w:lvlText w:val="%2."/>
      <w:lvlJc w:val="left"/>
      <w:pPr>
        <w:ind w:left="1440" w:hanging="360"/>
      </w:pPr>
      <w:rPr>
        <w:rFonts w:cs="Times New Roman"/>
      </w:rPr>
    </w:lvl>
    <w:lvl w:ilvl="2" w:tplc="B5483DD4">
      <w:start w:val="1"/>
      <w:numFmt w:val="lowerRoman"/>
      <w:lvlText w:val="%3."/>
      <w:lvlJc w:val="right"/>
      <w:pPr>
        <w:ind w:left="2160" w:hanging="180"/>
      </w:pPr>
      <w:rPr>
        <w:rFonts w:cs="Times New Roman"/>
      </w:rPr>
    </w:lvl>
    <w:lvl w:ilvl="3" w:tplc="56DEF06E">
      <w:start w:val="1"/>
      <w:numFmt w:val="decimal"/>
      <w:lvlText w:val="%4."/>
      <w:lvlJc w:val="left"/>
      <w:pPr>
        <w:ind w:left="2880" w:hanging="360"/>
      </w:pPr>
      <w:rPr>
        <w:rFonts w:cs="Times New Roman"/>
      </w:rPr>
    </w:lvl>
    <w:lvl w:ilvl="4" w:tplc="3BCC57DC">
      <w:start w:val="1"/>
      <w:numFmt w:val="lowerLetter"/>
      <w:lvlText w:val="%5."/>
      <w:lvlJc w:val="left"/>
      <w:pPr>
        <w:ind w:left="3600" w:hanging="360"/>
      </w:pPr>
      <w:rPr>
        <w:rFonts w:cs="Times New Roman"/>
      </w:rPr>
    </w:lvl>
    <w:lvl w:ilvl="5" w:tplc="006479FE">
      <w:start w:val="1"/>
      <w:numFmt w:val="lowerRoman"/>
      <w:lvlText w:val="%6."/>
      <w:lvlJc w:val="right"/>
      <w:pPr>
        <w:ind w:left="4320" w:hanging="180"/>
      </w:pPr>
      <w:rPr>
        <w:rFonts w:cs="Times New Roman"/>
      </w:rPr>
    </w:lvl>
    <w:lvl w:ilvl="6" w:tplc="8806D2A4">
      <w:start w:val="1"/>
      <w:numFmt w:val="decimal"/>
      <w:lvlText w:val="%7."/>
      <w:lvlJc w:val="left"/>
      <w:pPr>
        <w:ind w:left="5040" w:hanging="360"/>
      </w:pPr>
      <w:rPr>
        <w:rFonts w:cs="Times New Roman"/>
      </w:rPr>
    </w:lvl>
    <w:lvl w:ilvl="7" w:tplc="638EC7C4">
      <w:start w:val="1"/>
      <w:numFmt w:val="lowerLetter"/>
      <w:lvlText w:val="%8."/>
      <w:lvlJc w:val="left"/>
      <w:pPr>
        <w:ind w:left="5760" w:hanging="360"/>
      </w:pPr>
      <w:rPr>
        <w:rFonts w:cs="Times New Roman"/>
      </w:rPr>
    </w:lvl>
    <w:lvl w:ilvl="8" w:tplc="1D20C510">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5D"/>
    <w:rsid w:val="00041185"/>
    <w:rsid w:val="00180644"/>
    <w:rsid w:val="002875ED"/>
    <w:rsid w:val="002F2275"/>
    <w:rsid w:val="003C5C95"/>
    <w:rsid w:val="005D62BB"/>
    <w:rsid w:val="00613378"/>
    <w:rsid w:val="00784C46"/>
    <w:rsid w:val="00825F9B"/>
    <w:rsid w:val="00832ED4"/>
    <w:rsid w:val="00856411"/>
    <w:rsid w:val="00936881"/>
    <w:rsid w:val="00A238FD"/>
    <w:rsid w:val="00AC261F"/>
    <w:rsid w:val="00AD755D"/>
    <w:rsid w:val="00CA559C"/>
    <w:rsid w:val="00D20468"/>
    <w:rsid w:val="00D34B5B"/>
    <w:rsid w:val="00D83BF1"/>
    <w:rsid w:val="00DC1999"/>
    <w:rsid w:val="00DE26E7"/>
    <w:rsid w:val="00E20339"/>
    <w:rsid w:val="00ED7C13"/>
    <w:rsid w:val="00F86532"/>
    <w:rsid w:val="00FD00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DD05405"/>
  <w15:chartTrackingRefBased/>
  <w15:docId w15:val="{517092AE-098C-4E59-B074-90E60BE3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7C13"/>
    <w:pPr>
      <w:spacing w:line="360" w:lineRule="auto"/>
      <w:ind w:left="720"/>
      <w:jc w:val="left"/>
    </w:pPr>
    <w:rPr>
      <w:rFonts w:eastAsia="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D7C13"/>
    <w:pPr>
      <w:spacing w:before="100" w:beforeAutospacing="1" w:after="100" w:afterAutospacing="1" w:line="240" w:lineRule="auto"/>
      <w:ind w:left="0"/>
    </w:pPr>
    <w:rPr>
      <w:rFonts w:ascii="Times New Roman" w:hAnsi="Times New Roman" w:cs="Times New Roman"/>
      <w:lang w:eastAsia="sk-SK"/>
    </w:rPr>
  </w:style>
  <w:style w:type="paragraph" w:styleId="Zkladntext">
    <w:name w:val="Body Text"/>
    <w:basedOn w:val="Normlny"/>
    <w:link w:val="ZkladntextChar"/>
    <w:uiPriority w:val="99"/>
    <w:unhideWhenUsed/>
    <w:rsid w:val="00ED7C13"/>
    <w:pPr>
      <w:spacing w:line="240" w:lineRule="auto"/>
      <w:ind w:left="0"/>
      <w:jc w:val="both"/>
    </w:pPr>
    <w:rPr>
      <w:lang w:eastAsia="sk-SK"/>
    </w:rPr>
  </w:style>
  <w:style w:type="character" w:customStyle="1" w:styleId="ZkladntextChar">
    <w:name w:val="Základný text Char"/>
    <w:basedOn w:val="Predvolenpsmoodseku"/>
    <w:link w:val="Zkladntext"/>
    <w:uiPriority w:val="99"/>
    <w:rsid w:val="00ED7C13"/>
    <w:rPr>
      <w:rFonts w:eastAsia="Times New Roman"/>
      <w:lang w:eastAsia="sk-SK"/>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link w:val="Odsekzoznamu"/>
    <w:uiPriority w:val="34"/>
    <w:qFormat/>
    <w:locked/>
    <w:rsid w:val="00ED7C13"/>
    <w:rPr>
      <w:rFonts w:ascii="Calibri" w:hAnsi="Calibri" w:cs="Times New Roman"/>
      <w:sz w:val="22"/>
      <w:szCs w:val="22"/>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ED7C13"/>
    <w:pPr>
      <w:spacing w:after="200" w:line="276" w:lineRule="auto"/>
      <w:contextualSpacing/>
    </w:pPr>
    <w:rPr>
      <w:rFonts w:ascii="Calibri" w:eastAsiaTheme="minorHAnsi" w:hAnsi="Calibri" w:cs="Times New Roman"/>
      <w:sz w:val="22"/>
      <w:szCs w:val="22"/>
      <w:lang w:eastAsia="sk-SK"/>
    </w:rPr>
  </w:style>
  <w:style w:type="character" w:customStyle="1" w:styleId="slovanChar">
    <w:name w:val="Číslovaný Char"/>
    <w:link w:val="slovan"/>
    <w:locked/>
    <w:rsid w:val="00ED7C13"/>
    <w:rPr>
      <w:rFonts w:ascii="Times New Roman" w:hAnsi="Times New Roman" w:cs="Times New Roman"/>
      <w:szCs w:val="20"/>
      <w:lang w:val="x-none"/>
    </w:rPr>
  </w:style>
  <w:style w:type="paragraph" w:customStyle="1" w:styleId="slovan">
    <w:name w:val="Číslovaný"/>
    <w:basedOn w:val="Odsekzoznamu"/>
    <w:link w:val="slovanChar"/>
    <w:qFormat/>
    <w:rsid w:val="00ED7C13"/>
    <w:pPr>
      <w:numPr>
        <w:numId w:val="1"/>
      </w:numPr>
      <w:tabs>
        <w:tab w:val="left" w:pos="454"/>
      </w:tabs>
      <w:autoSpaceDE w:val="0"/>
      <w:autoSpaceDN w:val="0"/>
      <w:spacing w:before="360" w:after="120" w:line="254" w:lineRule="auto"/>
      <w:ind w:left="392" w:hanging="284"/>
      <w:contextualSpacing w:val="0"/>
      <w:jc w:val="both"/>
    </w:pPr>
    <w:rPr>
      <w:rFonts w:ascii="Times New Roman" w:hAnsi="Times New Roman"/>
      <w:sz w:val="24"/>
      <w:szCs w:val="20"/>
      <w:lang w:val="x-none" w:eastAsia="en-US"/>
    </w:rPr>
  </w:style>
  <w:style w:type="paragraph" w:styleId="Textbubliny">
    <w:name w:val="Balloon Text"/>
    <w:basedOn w:val="Normlny"/>
    <w:link w:val="TextbublinyChar"/>
    <w:uiPriority w:val="99"/>
    <w:semiHidden/>
    <w:unhideWhenUsed/>
    <w:rsid w:val="00ED7C13"/>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D7C13"/>
    <w:rPr>
      <w:rFonts w:ascii="Segoe UI" w:eastAsia="Times New Roman" w:hAnsi="Segoe UI" w:cs="Segoe UI"/>
      <w:sz w:val="18"/>
      <w:szCs w:val="18"/>
    </w:rPr>
  </w:style>
  <w:style w:type="paragraph" w:customStyle="1" w:styleId="Default">
    <w:name w:val="Default"/>
    <w:rsid w:val="00041185"/>
    <w:pPr>
      <w:autoSpaceDE w:val="0"/>
      <w:autoSpaceDN w:val="0"/>
      <w:adjustRightInd w:val="0"/>
      <w:jc w:val="left"/>
    </w:pPr>
    <w:rPr>
      <w:color w:val="000000"/>
    </w:rPr>
  </w:style>
  <w:style w:type="paragraph" w:customStyle="1" w:styleId="paragraph">
    <w:name w:val="paragraph"/>
    <w:basedOn w:val="Normlny"/>
    <w:rsid w:val="00041185"/>
    <w:pPr>
      <w:spacing w:before="100" w:beforeAutospacing="1" w:after="100" w:afterAutospacing="1" w:line="240" w:lineRule="auto"/>
      <w:ind w:left="0"/>
    </w:pPr>
    <w:rPr>
      <w:rFonts w:ascii="Times New Roman" w:hAnsi="Times New Roman" w:cs="Times New Roman"/>
      <w:lang w:eastAsia="sk-SK"/>
    </w:rPr>
  </w:style>
  <w:style w:type="character" w:customStyle="1" w:styleId="normaltextrun">
    <w:name w:val="normaltextrun"/>
    <w:basedOn w:val="Predvolenpsmoodseku"/>
    <w:rsid w:val="00041185"/>
  </w:style>
  <w:style w:type="character" w:customStyle="1" w:styleId="eop">
    <w:name w:val="eop"/>
    <w:basedOn w:val="Predvolenpsmoodseku"/>
    <w:rsid w:val="00041185"/>
  </w:style>
  <w:style w:type="paragraph" w:styleId="Hlavika">
    <w:name w:val="header"/>
    <w:basedOn w:val="Normlny"/>
    <w:link w:val="HlavikaChar"/>
    <w:uiPriority w:val="99"/>
    <w:unhideWhenUsed/>
    <w:rsid w:val="003C5C95"/>
    <w:pPr>
      <w:tabs>
        <w:tab w:val="center" w:pos="4536"/>
        <w:tab w:val="right" w:pos="9072"/>
      </w:tabs>
      <w:spacing w:line="240" w:lineRule="auto"/>
    </w:pPr>
  </w:style>
  <w:style w:type="character" w:customStyle="1" w:styleId="HlavikaChar">
    <w:name w:val="Hlavička Char"/>
    <w:basedOn w:val="Predvolenpsmoodseku"/>
    <w:link w:val="Hlavika"/>
    <w:uiPriority w:val="99"/>
    <w:rsid w:val="003C5C95"/>
    <w:rPr>
      <w:rFonts w:eastAsia="Times New Roman"/>
    </w:rPr>
  </w:style>
  <w:style w:type="paragraph" w:styleId="Pta">
    <w:name w:val="footer"/>
    <w:basedOn w:val="Normlny"/>
    <w:link w:val="PtaChar"/>
    <w:uiPriority w:val="99"/>
    <w:unhideWhenUsed/>
    <w:rsid w:val="003C5C95"/>
    <w:pPr>
      <w:tabs>
        <w:tab w:val="center" w:pos="4536"/>
        <w:tab w:val="right" w:pos="9072"/>
      </w:tabs>
      <w:spacing w:line="240" w:lineRule="auto"/>
    </w:pPr>
  </w:style>
  <w:style w:type="character" w:customStyle="1" w:styleId="PtaChar">
    <w:name w:val="Päta Char"/>
    <w:basedOn w:val="Predvolenpsmoodseku"/>
    <w:link w:val="Pta"/>
    <w:uiPriority w:val="99"/>
    <w:rsid w:val="003C5C9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067">
      <w:bodyDiv w:val="1"/>
      <w:marLeft w:val="0"/>
      <w:marRight w:val="0"/>
      <w:marTop w:val="0"/>
      <w:marBottom w:val="0"/>
      <w:divBdr>
        <w:top w:val="none" w:sz="0" w:space="0" w:color="auto"/>
        <w:left w:val="none" w:sz="0" w:space="0" w:color="auto"/>
        <w:bottom w:val="none" w:sz="0" w:space="0" w:color="auto"/>
        <w:right w:val="none" w:sz="0" w:space="0" w:color="auto"/>
      </w:divBdr>
    </w:div>
    <w:div w:id="249433752">
      <w:bodyDiv w:val="1"/>
      <w:marLeft w:val="0"/>
      <w:marRight w:val="0"/>
      <w:marTop w:val="0"/>
      <w:marBottom w:val="0"/>
      <w:divBdr>
        <w:top w:val="none" w:sz="0" w:space="0" w:color="auto"/>
        <w:left w:val="none" w:sz="0" w:space="0" w:color="auto"/>
        <w:bottom w:val="none" w:sz="0" w:space="0" w:color="auto"/>
        <w:right w:val="none" w:sz="0" w:space="0" w:color="auto"/>
      </w:divBdr>
    </w:div>
    <w:div w:id="321156871">
      <w:bodyDiv w:val="1"/>
      <w:marLeft w:val="0"/>
      <w:marRight w:val="0"/>
      <w:marTop w:val="0"/>
      <w:marBottom w:val="0"/>
      <w:divBdr>
        <w:top w:val="none" w:sz="0" w:space="0" w:color="auto"/>
        <w:left w:val="none" w:sz="0" w:space="0" w:color="auto"/>
        <w:bottom w:val="none" w:sz="0" w:space="0" w:color="auto"/>
        <w:right w:val="none" w:sz="0" w:space="0" w:color="auto"/>
      </w:divBdr>
    </w:div>
    <w:div w:id="755052622">
      <w:bodyDiv w:val="1"/>
      <w:marLeft w:val="0"/>
      <w:marRight w:val="0"/>
      <w:marTop w:val="0"/>
      <w:marBottom w:val="0"/>
      <w:divBdr>
        <w:top w:val="none" w:sz="0" w:space="0" w:color="auto"/>
        <w:left w:val="none" w:sz="0" w:space="0" w:color="auto"/>
        <w:bottom w:val="none" w:sz="0" w:space="0" w:color="auto"/>
        <w:right w:val="none" w:sz="0" w:space="0" w:color="auto"/>
      </w:divBdr>
    </w:div>
    <w:div w:id="1075934833">
      <w:bodyDiv w:val="1"/>
      <w:marLeft w:val="0"/>
      <w:marRight w:val="0"/>
      <w:marTop w:val="0"/>
      <w:marBottom w:val="0"/>
      <w:divBdr>
        <w:top w:val="none" w:sz="0" w:space="0" w:color="auto"/>
        <w:left w:val="none" w:sz="0" w:space="0" w:color="auto"/>
        <w:bottom w:val="none" w:sz="0" w:space="0" w:color="auto"/>
        <w:right w:val="none" w:sz="0" w:space="0" w:color="auto"/>
      </w:divBdr>
    </w:div>
    <w:div w:id="1683163307">
      <w:bodyDiv w:val="1"/>
      <w:marLeft w:val="0"/>
      <w:marRight w:val="0"/>
      <w:marTop w:val="0"/>
      <w:marBottom w:val="0"/>
      <w:divBdr>
        <w:top w:val="none" w:sz="0" w:space="0" w:color="auto"/>
        <w:left w:val="none" w:sz="0" w:space="0" w:color="auto"/>
        <w:bottom w:val="none" w:sz="0" w:space="0" w:color="auto"/>
        <w:right w:val="none" w:sz="0" w:space="0" w:color="auto"/>
      </w:divBdr>
    </w:div>
    <w:div w:id="210163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3490</Words>
  <Characters>19893</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24</cp:revision>
  <cp:lastPrinted>2025-03-27T08:23:00Z</cp:lastPrinted>
  <dcterms:created xsi:type="dcterms:W3CDTF">2023-12-05T12:10:00Z</dcterms:created>
  <dcterms:modified xsi:type="dcterms:W3CDTF">2025-03-27T08:23:00Z</dcterms:modified>
</cp:coreProperties>
</file>