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5BB8A9D7" w:rsidR="001F02BF" w:rsidRDefault="00757A17" w:rsidP="0095022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 xml:space="preserve">Návrh </w:t>
      </w:r>
      <w:r w:rsidR="0095022B">
        <w:rPr>
          <w:rFonts w:ascii="Book Antiqua" w:hAnsi="Book Antiqua"/>
        </w:rPr>
        <w:t xml:space="preserve">ústavného </w:t>
      </w:r>
      <w:r w:rsidR="006F7B9F" w:rsidRPr="00911A32">
        <w:rPr>
          <w:rFonts w:ascii="Book Antiqua" w:hAnsi="Book Antiqua"/>
        </w:rPr>
        <w:t>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End w:id="1"/>
      <w:bookmarkEnd w:id="2"/>
      <w:bookmarkEnd w:id="3"/>
      <w:r w:rsidR="0095022B" w:rsidRPr="0095022B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dopĺňa Ústava Slovenskej republiky č. 460/1992 Zb. v znení neskorších predpisov </w:t>
      </w:r>
      <w:r w:rsidR="006F7B9F" w:rsidRPr="00911A32">
        <w:rPr>
          <w:rFonts w:ascii="Book Antiqua" w:hAnsi="Book Antiqua"/>
        </w:rPr>
        <w:t xml:space="preserve">(ďalej len „návrh </w:t>
      </w:r>
      <w:r w:rsidR="0095022B">
        <w:rPr>
          <w:rFonts w:ascii="Book Antiqua" w:hAnsi="Book Antiqua"/>
        </w:rPr>
        <w:t xml:space="preserve">ústavného </w:t>
      </w:r>
      <w:r w:rsidR="006F7B9F" w:rsidRPr="00911A32">
        <w:rPr>
          <w:rFonts w:ascii="Book Antiqua" w:hAnsi="Book Antiqua"/>
        </w:rPr>
        <w:t>zákona“) predklad</w:t>
      </w:r>
      <w:r w:rsidR="00AE0A03" w:rsidRPr="00911A32">
        <w:rPr>
          <w:rFonts w:ascii="Book Antiqua" w:hAnsi="Book Antiqua"/>
        </w:rPr>
        <w:t xml:space="preserve">á </w:t>
      </w:r>
      <w:bookmarkStart w:id="4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4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p w14:paraId="5C22F1AB" w14:textId="721495B4" w:rsidR="004C799B" w:rsidRDefault="004C799B" w:rsidP="0095022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7004D">
        <w:rPr>
          <w:rFonts w:ascii="Book Antiqua" w:hAnsi="Book Antiqua"/>
        </w:rPr>
        <w:t>Rovnaké odmeňovanie mužov a žien za vykonanú prácu je jeden zo základných záväzkov, ku ktorým sa Slovenská republika v</w:t>
      </w:r>
      <w:r w:rsidR="001D04D4">
        <w:rPr>
          <w:rFonts w:ascii="Book Antiqua" w:hAnsi="Book Antiqua"/>
        </w:rPr>
        <w:t> </w:t>
      </w:r>
      <w:r w:rsidR="00D7004D">
        <w:rPr>
          <w:rFonts w:ascii="Book Antiqua" w:hAnsi="Book Antiqua"/>
        </w:rPr>
        <w:t>oblasti</w:t>
      </w:r>
      <w:r w:rsidR="001D04D4">
        <w:rPr>
          <w:rFonts w:ascii="Book Antiqua" w:hAnsi="Book Antiqua"/>
        </w:rPr>
        <w:t xml:space="preserve"> ochrany</w:t>
      </w:r>
      <w:r w:rsidR="00D7004D">
        <w:rPr>
          <w:rFonts w:ascii="Book Antiqua" w:hAnsi="Book Antiqua"/>
        </w:rPr>
        <w:t xml:space="preserve"> ľudských práv zaviazala.</w:t>
      </w:r>
      <w:r w:rsidR="00072EFC">
        <w:rPr>
          <w:rFonts w:ascii="Book Antiqua" w:hAnsi="Book Antiqua"/>
        </w:rPr>
        <w:t xml:space="preserve"> </w:t>
      </w:r>
      <w:r w:rsidR="00072EFC" w:rsidRPr="00D8051B">
        <w:rPr>
          <w:rFonts w:ascii="Book Antiqua" w:hAnsi="Book Antiqua"/>
        </w:rPr>
        <w:t>Rovnosť</w:t>
      </w:r>
      <w:r w:rsidR="00072EFC">
        <w:rPr>
          <w:rFonts w:ascii="Book Antiqua" w:hAnsi="Book Antiqua"/>
        </w:rPr>
        <w:t xml:space="preserve"> vo všeobecnosti</w:t>
      </w:r>
      <w:r w:rsidR="00072EFC" w:rsidRPr="00D8051B">
        <w:rPr>
          <w:rFonts w:ascii="Book Antiqua" w:hAnsi="Book Antiqua"/>
        </w:rPr>
        <w:t xml:space="preserve"> je jednou z</w:t>
      </w:r>
      <w:r w:rsidR="001D04D4">
        <w:rPr>
          <w:rFonts w:ascii="Book Antiqua" w:hAnsi="Book Antiqua"/>
        </w:rPr>
        <w:t xml:space="preserve">o základných </w:t>
      </w:r>
      <w:r w:rsidR="00072EFC" w:rsidRPr="00D8051B">
        <w:rPr>
          <w:rFonts w:ascii="Book Antiqua" w:hAnsi="Book Antiqua"/>
        </w:rPr>
        <w:t xml:space="preserve">hodnôt, na ktorých </w:t>
      </w:r>
      <w:r w:rsidR="001D04D4">
        <w:rPr>
          <w:rFonts w:ascii="Book Antiqua" w:hAnsi="Book Antiqua"/>
        </w:rPr>
        <w:t>bola Európska únia založená</w:t>
      </w:r>
      <w:r w:rsidR="00072EFC">
        <w:rPr>
          <w:rFonts w:ascii="Book Antiqua" w:hAnsi="Book Antiqua"/>
        </w:rPr>
        <w:t xml:space="preserve"> a je aj výslovne stanovená v primárnom práve Európskej únie.</w:t>
      </w:r>
      <w:r w:rsidR="00D7004D">
        <w:rPr>
          <w:rFonts w:ascii="Book Antiqua" w:hAnsi="Book Antiqua"/>
        </w:rPr>
        <w:t xml:space="preserve"> Zmluva o fungovaní Európskej únie v Tretej časti: Vnútorné politiky a činnosti únie, Hlava X: sociálna politika, Článok 157 ods. 1: „</w:t>
      </w:r>
      <w:r w:rsidR="00D7004D" w:rsidRPr="00FC4992">
        <w:rPr>
          <w:rFonts w:ascii="Book Antiqua" w:hAnsi="Book Antiqua"/>
          <w:i/>
          <w:iCs/>
        </w:rPr>
        <w:t>Každý členský štát zabezpečí uplatňovanie zásady rovnakej odmeny pre mužov a ženy za rovnakú prácu alebo prácu rovnakej hodnoty</w:t>
      </w:r>
      <w:r w:rsidR="00D7004D" w:rsidRPr="00D7004D">
        <w:rPr>
          <w:rFonts w:ascii="Book Antiqua" w:hAnsi="Book Antiqua"/>
        </w:rPr>
        <w:t>.</w:t>
      </w:r>
      <w:r w:rsidR="00D7004D">
        <w:rPr>
          <w:rFonts w:ascii="Book Antiqua" w:hAnsi="Book Antiqua"/>
        </w:rPr>
        <w:t>“</w:t>
      </w:r>
      <w:r w:rsidR="00072EFC">
        <w:rPr>
          <w:rFonts w:ascii="Book Antiqua" w:hAnsi="Book Antiqua"/>
        </w:rPr>
        <w:t xml:space="preserve"> </w:t>
      </w:r>
      <w:r w:rsidR="00072EFC" w:rsidRPr="00072EFC">
        <w:rPr>
          <w:rFonts w:ascii="Book Antiqua" w:hAnsi="Book Antiqua"/>
        </w:rPr>
        <w:t xml:space="preserve">Podľa Charty základných práv Európskej únie </w:t>
      </w:r>
      <w:r w:rsidR="00072EFC">
        <w:rPr>
          <w:rFonts w:ascii="Book Antiqua" w:hAnsi="Book Antiqua"/>
        </w:rPr>
        <w:t xml:space="preserve">musí byť </w:t>
      </w:r>
      <w:r w:rsidR="00072EFC" w:rsidRPr="00072EFC">
        <w:rPr>
          <w:rFonts w:ascii="Book Antiqua" w:hAnsi="Book Antiqua"/>
        </w:rPr>
        <w:t>rovnosť medzi ženami a mužmi zabezpečená vo všetkým oblastiach vrátane zamestnania, práce a</w:t>
      </w:r>
      <w:r w:rsidR="00072EFC">
        <w:rPr>
          <w:rFonts w:ascii="Book Antiqua" w:hAnsi="Book Antiqua"/>
        </w:rPr>
        <w:t> </w:t>
      </w:r>
      <w:r w:rsidR="00072EFC" w:rsidRPr="00072EFC">
        <w:rPr>
          <w:rFonts w:ascii="Book Antiqua" w:hAnsi="Book Antiqua"/>
        </w:rPr>
        <w:t>odmeňovania</w:t>
      </w:r>
      <w:r w:rsidR="00072EFC">
        <w:rPr>
          <w:rFonts w:ascii="Book Antiqua" w:hAnsi="Book Antiqua"/>
        </w:rPr>
        <w:t>.</w:t>
      </w:r>
    </w:p>
    <w:p w14:paraId="69B241CC" w14:textId="3CECA6B5" w:rsidR="00D7004D" w:rsidRDefault="00D7004D" w:rsidP="0095022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Rozdielne odmeňovanie mužov a žien nie je problémom len Slovenskej republiky, ale takmer všetkých členských štátov Európskej únie. Podľa posledného merania </w:t>
      </w:r>
      <w:proofErr w:type="spellStart"/>
      <w:r>
        <w:rPr>
          <w:rFonts w:ascii="Book Antiqua" w:hAnsi="Book Antiqua"/>
        </w:rPr>
        <w:t>Eurostatu</w:t>
      </w:r>
      <w:proofErr w:type="spellEnd"/>
      <w:r>
        <w:rPr>
          <w:rStyle w:val="Odkaznapoznmkupodiarou"/>
          <w:rFonts w:ascii="Book Antiqua" w:hAnsi="Book Antiqua"/>
        </w:rPr>
        <w:footnoteReference w:id="1"/>
      </w:r>
      <w:r>
        <w:rPr>
          <w:rFonts w:ascii="Book Antiqua" w:hAnsi="Book Antiqua"/>
        </w:rPr>
        <w:t xml:space="preserve"> bol v roku 2023 priemerný rozdiel v odmeňovaní mužov a žien za všetky členské štáty Európskej únie 12 % v neprospech žien, pričom najvyšší rozdiel bol v Lotyšsku 19 %</w:t>
      </w:r>
      <w:r w:rsidR="000A1A35">
        <w:rPr>
          <w:rFonts w:ascii="Book Antiqua" w:hAnsi="Book Antiqua"/>
        </w:rPr>
        <w:t xml:space="preserve"> a na Slovensku tento rozdiel predstavoval 15,7 %, zatiaľ čo v Belgicku bol rozdiel len 0,7 % a v Luxembursku dokonca ženy zarábali o 0,9 % viac než muži.</w:t>
      </w:r>
    </w:p>
    <w:p w14:paraId="4E1DE257" w14:textId="47287698" w:rsidR="000A1A35" w:rsidRDefault="000A1A35" w:rsidP="0095022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Hlavnými dôvodmi nižšieho odmeňovania žien je starostlivosť žien o</w:t>
      </w:r>
      <w:r w:rsidR="00ED1B7A">
        <w:rPr>
          <w:rFonts w:ascii="Book Antiqua" w:hAnsi="Book Antiqua"/>
        </w:rPr>
        <w:t> </w:t>
      </w:r>
      <w:r>
        <w:rPr>
          <w:rFonts w:ascii="Book Antiqua" w:hAnsi="Book Antiqua"/>
        </w:rPr>
        <w:t>deti</w:t>
      </w:r>
      <w:r w:rsidR="00ED1B7A">
        <w:rPr>
          <w:rFonts w:ascii="Book Antiqua" w:hAnsi="Book Antiqua"/>
        </w:rPr>
        <w:t xml:space="preserve"> a rodinu, kvôli čomu</w:t>
      </w:r>
      <w:r w:rsidR="00ED1B7A" w:rsidRPr="00ED1B7A">
        <w:rPr>
          <w:rFonts w:ascii="Book Antiqua" w:hAnsi="Book Antiqua"/>
        </w:rPr>
        <w:t xml:space="preserve"> </w:t>
      </w:r>
      <w:r w:rsidR="00ED1B7A" w:rsidRPr="000A1A35">
        <w:rPr>
          <w:rFonts w:ascii="Book Antiqua" w:hAnsi="Book Antiqua"/>
        </w:rPr>
        <w:t>ženy častejšie prerušia</w:t>
      </w:r>
      <w:r w:rsidR="00ED1B7A">
        <w:rPr>
          <w:rFonts w:ascii="Book Antiqua" w:hAnsi="Book Antiqua"/>
        </w:rPr>
        <w:t xml:space="preserve"> svoju</w:t>
      </w:r>
      <w:r w:rsidR="00ED1B7A" w:rsidRPr="000A1A35">
        <w:rPr>
          <w:rFonts w:ascii="Book Antiqua" w:hAnsi="Book Antiqua"/>
        </w:rPr>
        <w:t xml:space="preserve"> kariéru</w:t>
      </w:r>
      <w:r>
        <w:rPr>
          <w:rFonts w:ascii="Book Antiqua" w:hAnsi="Book Antiqua"/>
        </w:rPr>
        <w:t xml:space="preserve">. </w:t>
      </w:r>
      <w:r w:rsidRPr="000A1A35">
        <w:rPr>
          <w:rFonts w:ascii="Book Antiqua" w:hAnsi="Book Antiqua"/>
        </w:rPr>
        <w:t xml:space="preserve">Ženy, ktoré sa rozhodnú stať matkami, vedia, že spoločnosť ich za roky venované výchove detí odmení tým, že budú mať výrazne nižšie mzdy ako muži. </w:t>
      </w:r>
    </w:p>
    <w:p w14:paraId="5E297453" w14:textId="183B8E33" w:rsidR="00ED1B7A" w:rsidRPr="00ED1B7A" w:rsidRDefault="00ED1B7A" w:rsidP="0095022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 w:cs="Open Sans"/>
          <w:b/>
          <w:bCs/>
          <w:color w:val="000000"/>
          <w:shd w:val="clear" w:color="auto" w:fill="FFFFFF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>Cieľom návrhu ústavného zákona je zvýšiť garanciu rovnakého odmeňovania mužov a žien na ústavnú úroveň.</w:t>
      </w:r>
    </w:p>
    <w:bookmarkEnd w:id="0"/>
    <w:p w14:paraId="08139216" w14:textId="20F04AFF" w:rsidR="000F1924" w:rsidRPr="000F1924" w:rsidRDefault="000F1924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 w:rsidR="00ED1B7A">
        <w:rPr>
          <w:rFonts w:ascii="Book Antiqua" w:hAnsi="Book Antiqua"/>
        </w:rPr>
        <w:t>ne</w:t>
      </w:r>
      <w:r w:rsidR="00D8092E">
        <w:rPr>
          <w:rFonts w:ascii="Book Antiqua" w:hAnsi="Book Antiqua"/>
        </w:rPr>
        <w:t>má</w:t>
      </w:r>
      <w:r w:rsidR="00D71F3C"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vplyv na rozpočet verejnej správy</w:t>
      </w:r>
      <w:r w:rsidR="00D8092E">
        <w:rPr>
          <w:rFonts w:ascii="Book Antiqua" w:hAnsi="Book Antiqua"/>
        </w:rPr>
        <w:t>,</w:t>
      </w:r>
      <w:r w:rsidR="00D71F3C">
        <w:rPr>
          <w:rFonts w:ascii="Book Antiqua" w:hAnsi="Book Antiqua"/>
        </w:rPr>
        <w:t xml:space="preserve"> má</w:t>
      </w:r>
      <w:r w:rsidR="00ED1B7A">
        <w:rPr>
          <w:rFonts w:ascii="Book Antiqua" w:hAnsi="Book Antiqua"/>
        </w:rPr>
        <w:t xml:space="preserve"> pozitívne</w:t>
      </w:r>
      <w:r w:rsidR="00D8092E"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sociálne vplyvy</w:t>
      </w:r>
      <w:r w:rsidR="00D8092E">
        <w:rPr>
          <w:rFonts w:ascii="Book Antiqua" w:hAnsi="Book Antiqua"/>
        </w:rPr>
        <w:t>, nemá</w:t>
      </w:r>
      <w:r w:rsidRPr="000F1924">
        <w:rPr>
          <w:rFonts w:ascii="Book Antiqua" w:hAnsi="Book Antiqua"/>
        </w:rPr>
        <w:t xml:space="preserve"> vplyv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informatizáciu spoločnosti</w:t>
      </w:r>
      <w:r>
        <w:rPr>
          <w:rFonts w:ascii="Book Antiqua" w:hAnsi="Book Antiqua"/>
        </w:rPr>
        <w:t>, na manželstvo, rodičovstvo a</w:t>
      </w:r>
      <w:r w:rsidR="00F20E0B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F20E0B">
        <w:rPr>
          <w:rFonts w:ascii="Book Antiqua" w:hAnsi="Book Antiqua"/>
        </w:rPr>
        <w:t xml:space="preserve">, </w:t>
      </w:r>
      <w:r w:rsidR="00F20E0B" w:rsidRPr="000F1924">
        <w:rPr>
          <w:rFonts w:ascii="Book Antiqua" w:hAnsi="Book Antiqua"/>
        </w:rPr>
        <w:t>na podnikateľské prostredie</w:t>
      </w:r>
      <w:r>
        <w:rPr>
          <w:rFonts w:ascii="Book Antiqua" w:hAnsi="Book Antiqua"/>
        </w:rPr>
        <w:t xml:space="preserve"> a ani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D8092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18467E1C" w14:textId="2CC09B42" w:rsidR="00D8092E" w:rsidRDefault="00FC4992" w:rsidP="00FC49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ab/>
      </w:r>
      <w:r w:rsidR="007954BA">
        <w:rPr>
          <w:rFonts w:ascii="Book Antiqua" w:eastAsia="Times New Roman" w:hAnsi="Book Antiqua" w:cs="Times New Roman"/>
          <w:bCs/>
          <w:color w:val="000000"/>
        </w:rPr>
        <w:t xml:space="preserve">Navrhuje sa </w:t>
      </w:r>
      <w:r w:rsidR="00ED1B7A">
        <w:rPr>
          <w:rFonts w:ascii="Book Antiqua" w:eastAsia="Times New Roman" w:hAnsi="Book Antiqua" w:cs="Times New Roman"/>
          <w:bCs/>
          <w:color w:val="000000"/>
        </w:rPr>
        <w:t>ústavná garancia rovnakého odmeňovania mužov a žien za rovnakú vykonanú prácu. Navrhovaná právna úprava nadväzuje na Piaty oddiel Ústavy Slovenskej republiky</w:t>
      </w:r>
      <w:r w:rsidR="00947A57">
        <w:rPr>
          <w:rFonts w:ascii="Book Antiqua" w:eastAsia="Times New Roman" w:hAnsi="Book Antiqua" w:cs="Times New Roman"/>
          <w:bCs/>
          <w:color w:val="000000"/>
        </w:rPr>
        <w:t>, konkrétne na ustanovenia upravujúce práva zamestnancov na spravodlivé a uspokojujúce pracovné podmienky</w:t>
      </w:r>
      <w:r w:rsidR="000106B5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FE6F3B">
        <w:rPr>
          <w:rFonts w:ascii="Book Antiqua" w:eastAsia="Times New Roman" w:hAnsi="Book Antiqua" w:cs="Times New Roman"/>
          <w:bCs/>
          <w:color w:val="000000"/>
        </w:rPr>
        <w:t>uvedené</w:t>
      </w:r>
      <w:r w:rsidR="00B561EF">
        <w:rPr>
          <w:rFonts w:ascii="Book Antiqua" w:eastAsia="Times New Roman" w:hAnsi="Book Antiqua" w:cs="Times New Roman"/>
          <w:bCs/>
          <w:color w:val="000000"/>
        </w:rPr>
        <w:t xml:space="preserve"> v </w:t>
      </w:r>
      <w:r w:rsidR="000106B5">
        <w:rPr>
          <w:rFonts w:ascii="Book Antiqua" w:eastAsia="Times New Roman" w:hAnsi="Book Antiqua" w:cs="Times New Roman"/>
          <w:bCs/>
          <w:color w:val="000000"/>
        </w:rPr>
        <w:t>Čl</w:t>
      </w:r>
      <w:r w:rsidR="00FE6F3B">
        <w:rPr>
          <w:rFonts w:ascii="Book Antiqua" w:eastAsia="Times New Roman" w:hAnsi="Book Antiqua" w:cs="Times New Roman"/>
          <w:bCs/>
          <w:color w:val="000000"/>
        </w:rPr>
        <w:t>ánku</w:t>
      </w:r>
      <w:r w:rsidR="000106B5">
        <w:rPr>
          <w:rFonts w:ascii="Book Antiqua" w:eastAsia="Times New Roman" w:hAnsi="Book Antiqua" w:cs="Times New Roman"/>
          <w:bCs/>
          <w:color w:val="000000"/>
        </w:rPr>
        <w:t xml:space="preserve"> 36</w:t>
      </w:r>
      <w:r w:rsidR="00947A57">
        <w:rPr>
          <w:rFonts w:ascii="Book Antiqua" w:eastAsia="Times New Roman" w:hAnsi="Book Antiqua" w:cs="Times New Roman"/>
          <w:bCs/>
          <w:color w:val="000000"/>
        </w:rPr>
        <w:t xml:space="preserve">, </w:t>
      </w:r>
      <w:r w:rsidR="00FE6F3B">
        <w:rPr>
          <w:rFonts w:ascii="Book Antiqua" w:eastAsia="Times New Roman" w:hAnsi="Book Antiqua" w:cs="Times New Roman"/>
          <w:bCs/>
          <w:color w:val="000000"/>
        </w:rPr>
        <w:t>osobitne</w:t>
      </w:r>
      <w:r w:rsidR="00B561EF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947A57">
        <w:rPr>
          <w:rFonts w:ascii="Book Antiqua" w:eastAsia="Times New Roman" w:hAnsi="Book Antiqua" w:cs="Times New Roman"/>
          <w:bCs/>
          <w:color w:val="000000"/>
        </w:rPr>
        <w:t>právo na odmenu za vykonanú prácu</w:t>
      </w:r>
      <w:r w:rsidR="00FE6F3B">
        <w:rPr>
          <w:rFonts w:ascii="Book Antiqua" w:eastAsia="Times New Roman" w:hAnsi="Book Antiqua" w:cs="Times New Roman"/>
          <w:bCs/>
          <w:color w:val="000000"/>
        </w:rPr>
        <w:t xml:space="preserve">, alebo na </w:t>
      </w:r>
      <w:r w:rsidR="00B561EF">
        <w:rPr>
          <w:rFonts w:ascii="Book Antiqua" w:eastAsia="Times New Roman" w:hAnsi="Book Antiqua" w:cs="Times New Roman"/>
          <w:bCs/>
          <w:color w:val="000000"/>
        </w:rPr>
        <w:t>právo na</w:t>
      </w:r>
      <w:r w:rsidR="00947A57" w:rsidRPr="00947A57">
        <w:rPr>
          <w:rFonts w:ascii="Book Antiqua" w:eastAsia="Times New Roman" w:hAnsi="Book Antiqua" w:cs="Times New Roman"/>
          <w:bCs/>
          <w:color w:val="000000"/>
        </w:rPr>
        <w:t xml:space="preserve"> zvýšenú ochranu zdravia</w:t>
      </w:r>
      <w:r w:rsidR="00947A57">
        <w:rPr>
          <w:rFonts w:ascii="Book Antiqua" w:eastAsia="Times New Roman" w:hAnsi="Book Antiqua" w:cs="Times New Roman"/>
          <w:bCs/>
          <w:color w:val="000000"/>
        </w:rPr>
        <w:t xml:space="preserve"> žien</w:t>
      </w:r>
      <w:r w:rsidR="00947A57" w:rsidRPr="00947A57">
        <w:rPr>
          <w:rFonts w:ascii="Book Antiqua" w:eastAsia="Times New Roman" w:hAnsi="Book Antiqua" w:cs="Times New Roman"/>
          <w:bCs/>
          <w:color w:val="000000"/>
        </w:rPr>
        <w:t xml:space="preserve"> pri práci a osobitné pracovné podmienky</w:t>
      </w:r>
      <w:r w:rsidR="00FE6F3B">
        <w:rPr>
          <w:rFonts w:ascii="Book Antiqua" w:eastAsia="Times New Roman" w:hAnsi="Book Antiqua" w:cs="Times New Roman"/>
          <w:bCs/>
          <w:color w:val="000000"/>
        </w:rPr>
        <w:t xml:space="preserve"> definované v Článku 38 ods. 1 Ústavy Slovenskej republiky. </w:t>
      </w:r>
    </w:p>
    <w:p w14:paraId="48F72F69" w14:textId="69FA9EE4" w:rsidR="006B6D93" w:rsidRDefault="00FE6F3B" w:rsidP="006B6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Cieľom predkladaného návrhu zákona je zabezpečiť rovnosť príležitostí na pracovnom trhu.</w:t>
      </w:r>
      <w:r w:rsidR="009B5A83">
        <w:rPr>
          <w:rFonts w:ascii="Book Antiqua" w:eastAsia="Times New Roman" w:hAnsi="Book Antiqua" w:cs="Times New Roman"/>
          <w:bCs/>
          <w:color w:val="000000"/>
        </w:rPr>
        <w:t xml:space="preserve"> V praxi </w:t>
      </w:r>
      <w:r>
        <w:rPr>
          <w:rFonts w:ascii="Book Antiqua" w:eastAsia="Times New Roman" w:hAnsi="Book Antiqua" w:cs="Times New Roman"/>
          <w:bCs/>
          <w:color w:val="000000"/>
        </w:rPr>
        <w:t>stále pretrvávajú rozdiely v odmeňovaní mužov a žien, čo má negatívny vplyv na ekonomické postavenie žien počas ich aktívneho života ako aj v dôchodkovom veku.</w:t>
      </w:r>
      <w:r w:rsidR="006B6D93"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14:paraId="00E90BEB" w14:textId="77777777" w:rsidR="006B6D93" w:rsidRDefault="00FE6F3B" w:rsidP="006B6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Navrhovaná právna úprava je v súlade s medzinárodnými záväzkami Slovenskej republiky, rovnako ako aj s právom Európskej únie. </w:t>
      </w:r>
      <w:r w:rsidRPr="00D8051B">
        <w:rPr>
          <w:rFonts w:ascii="Book Antiqua" w:hAnsi="Book Antiqua"/>
        </w:rPr>
        <w:t>Rovnosť je jednou z hodnôt, na ktorých stálo založenie Európskej únie</w:t>
      </w:r>
      <w:r>
        <w:rPr>
          <w:rFonts w:ascii="Book Antiqua" w:hAnsi="Book Antiqua"/>
        </w:rPr>
        <w:t xml:space="preserve"> a je aj výslovne stanovená v primárnom práve Európskej únie.</w:t>
      </w:r>
      <w:r w:rsidR="009B5A83" w:rsidRPr="009B5A83">
        <w:rPr>
          <w:rFonts w:ascii="Book Antiqua" w:hAnsi="Book Antiqua"/>
        </w:rPr>
        <w:t xml:space="preserve"> </w:t>
      </w:r>
      <w:r w:rsidR="009B5A83">
        <w:rPr>
          <w:rFonts w:ascii="Book Antiqua" w:hAnsi="Book Antiqua"/>
        </w:rPr>
        <w:t>Od roku 1957 je súčasťou zmlúv zásada, že muži a ženy by mali za rovnakú prácu dostávať rovnakú odmenu (článok 157 Zmluvy o fungovaní Európskej únie). Zmluvy zároveň predpokladajú prijímanie opatrení v širšej oblasti rovnakých príležitostí a rovnakého zaobchádzania v otázkach zamestnania (článok 153 Zmluvy o fungovaní Európskej únie).</w:t>
      </w:r>
      <w:r w:rsidR="009B5A83" w:rsidRPr="009B5A83">
        <w:rPr>
          <w:rFonts w:ascii="Book Antiqua" w:hAnsi="Book Antiqua"/>
        </w:rPr>
        <w:t xml:space="preserve"> </w:t>
      </w:r>
      <w:r w:rsidR="009B5A83">
        <w:rPr>
          <w:rFonts w:ascii="Book Antiqua" w:hAnsi="Book Antiqua"/>
        </w:rPr>
        <w:t xml:space="preserve">V sekundárnom práve Európskej únie je táto problematika upravená vo viacerých právnych aktoch. V poslednej dobe je veľmi diskutovanou smernica Európskeho parlamentu a Rady 2023/970/EÚ z 10. mája 2023, ktorou sa posilňuje uplatňovanie zásady rovnakej odmeny pre mužov a ženy za rovnakú prácu alebo prácu rovnakej hodnoty prostredníctvom transparentnosti odmeňovania a mechanizmov presadzovania. Rovnako Súdny dvor Európskej únie rozvíjal túto tému vo svojej početnej judikatúre. </w:t>
      </w:r>
    </w:p>
    <w:p w14:paraId="4942EC58" w14:textId="4883BCA6" w:rsidR="00FE6F3B" w:rsidRDefault="006B6D93" w:rsidP="006B6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Vzhľadom na uvedené argumenty sa navrhuje v Ústave Slovenskej republiky doplniť nový odsek do Článku 36, ktorým sa zaručí rovnosť medzi mužmi a ženami pri odmeňovaní za vykonanú prácu.  </w:t>
      </w:r>
    </w:p>
    <w:p w14:paraId="23C1CA88" w14:textId="77777777" w:rsidR="006B6D93" w:rsidRPr="00D8092E" w:rsidRDefault="006B6D93" w:rsidP="006B6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eastAsia="Times New Roman" w:hAnsi="Book Antiqua" w:cs="Times New Roman"/>
          <w:bCs/>
          <w:color w:val="000000"/>
        </w:rPr>
      </w:pPr>
    </w:p>
    <w:p w14:paraId="22A3FBE0" w14:textId="47F22F2C" w:rsidR="00AC68D6" w:rsidRDefault="00AC68D6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73BC255A" w:rsidR="00386510" w:rsidRPr="00F5232F" w:rsidRDefault="00BB6162" w:rsidP="006B6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947A57">
        <w:rPr>
          <w:rFonts w:ascii="Book Antiqua" w:eastAsia="Times New Roman" w:hAnsi="Book Antiqua" w:cs="Times New Roman"/>
        </w:rPr>
        <w:t>septembra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4E5C1D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4E5C1D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4E5C1D">
      <w:pPr>
        <w:pStyle w:val="Normlnywebov1"/>
        <w:spacing w:before="12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2B15703C" w:rsidR="007954BA" w:rsidRDefault="003B2158" w:rsidP="004E5C1D">
      <w:pPr>
        <w:spacing w:before="120"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7954BA" w:rsidRPr="007954BA">
        <w:rPr>
          <w:rFonts w:ascii="Book Antiqua" w:hAnsi="Book Antiqua"/>
          <w:color w:val="000000" w:themeColor="text1"/>
        </w:rPr>
        <w:t xml:space="preserve">ktorým sa dopĺňa zákon č. 55/2017 Z. z. o štátnej službe a o zmene a doplnení niektorých zákonov v znení neskorších predpisov </w:t>
      </w:r>
    </w:p>
    <w:p w14:paraId="5E7B8419" w14:textId="77777777" w:rsidR="00072EFC" w:rsidRPr="00F85553" w:rsidRDefault="00072EFC" w:rsidP="004E5C1D">
      <w:pPr>
        <w:spacing w:before="120" w:after="120" w:line="276" w:lineRule="auto"/>
        <w:jc w:val="both"/>
        <w:rPr>
          <w:rFonts w:ascii="Book Antiqua" w:hAnsi="Book Antiqua"/>
        </w:rPr>
      </w:pPr>
      <w:r w:rsidRPr="00F85553">
        <w:rPr>
          <w:rFonts w:ascii="Book Antiqua" w:hAnsi="Book Antiqua"/>
          <w:b/>
          <w:bCs/>
        </w:rPr>
        <w:t>3.</w:t>
      </w:r>
      <w:r>
        <w:rPr>
          <w:rFonts w:ascii="Book Antiqua" w:hAnsi="Book Antiqua"/>
          <w:b/>
          <w:bCs/>
        </w:rPr>
        <w:t xml:space="preserve"> </w:t>
      </w:r>
      <w:r w:rsidRPr="00F85553">
        <w:rPr>
          <w:rFonts w:ascii="Book Antiqua" w:hAnsi="Book Antiqua"/>
          <w:b/>
          <w:bCs/>
        </w:rPr>
        <w:t>Predmet návrhu zákona je upravený v práve Európskej únie</w:t>
      </w:r>
      <w:r w:rsidRPr="00F85553">
        <w:rPr>
          <w:rFonts w:ascii="Book Antiqua" w:hAnsi="Book Antiqua"/>
        </w:rPr>
        <w:t xml:space="preserve">: </w:t>
      </w:r>
    </w:p>
    <w:p w14:paraId="2BAC2414" w14:textId="77777777" w:rsidR="00FC4992" w:rsidRDefault="00072EFC" w:rsidP="004E5C1D">
      <w:pPr>
        <w:pStyle w:val="Odsekzoznamu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FC4992">
        <w:rPr>
          <w:rFonts w:ascii="Book Antiqua" w:hAnsi="Book Antiqua"/>
        </w:rPr>
        <w:t>je upravený v primárnom práve:</w:t>
      </w:r>
      <w:r w:rsidR="00FC4992">
        <w:rPr>
          <w:rFonts w:ascii="Book Antiqua" w:hAnsi="Book Antiqua"/>
        </w:rPr>
        <w:t xml:space="preserve"> </w:t>
      </w:r>
      <w:r w:rsidRPr="00FC4992">
        <w:rPr>
          <w:rFonts w:ascii="Book Antiqua" w:hAnsi="Book Antiqua"/>
        </w:rPr>
        <w:t>Články 19,153, 157 Zmluvy o fungovaní Európskej únie,</w:t>
      </w:r>
      <w:r w:rsidR="00FC4992">
        <w:rPr>
          <w:rFonts w:ascii="Book Antiqua" w:hAnsi="Book Antiqua"/>
        </w:rPr>
        <w:t xml:space="preserve"> </w:t>
      </w:r>
      <w:r w:rsidRPr="00FC4992">
        <w:rPr>
          <w:rFonts w:ascii="Book Antiqua" w:hAnsi="Book Antiqua"/>
        </w:rPr>
        <w:t xml:space="preserve">Článok 3 Charty základných práv Európskej únie, </w:t>
      </w:r>
    </w:p>
    <w:p w14:paraId="3560A2C5" w14:textId="77777777" w:rsidR="00FC4992" w:rsidRDefault="00072EFC" w:rsidP="004E5C1D">
      <w:pPr>
        <w:pStyle w:val="Odsekzoznamu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FC4992">
        <w:rPr>
          <w:rFonts w:ascii="Book Antiqua" w:hAnsi="Book Antiqua"/>
        </w:rPr>
        <w:t>je upravený v sekundárnom práve</w:t>
      </w:r>
      <w:r w:rsidR="00FC4992">
        <w:rPr>
          <w:rFonts w:ascii="Book Antiqua" w:hAnsi="Book Antiqua"/>
        </w:rPr>
        <w:t xml:space="preserve">, a to: </w:t>
      </w:r>
    </w:p>
    <w:p w14:paraId="71294387" w14:textId="77777777" w:rsid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FC4992">
        <w:rPr>
          <w:rFonts w:ascii="Book Antiqua" w:hAnsi="Book Antiqua"/>
        </w:rPr>
        <w:t>Smernica Európskeho parlamentu a Rady 2006/54/ES z 5. júla 2006 o vykonávaní zásady rovnosti príležitostí a rovnakého zaobchádzania s mužmi a ženami vo veciach zamestnanosti a povolania (prepracované znenie),</w:t>
      </w:r>
    </w:p>
    <w:p w14:paraId="4338C753" w14:textId="77777777" w:rsid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hyperlink r:id="rId9" w:history="1">
        <w:r w:rsidRPr="004E5C1D">
          <w:rPr>
            <w:rFonts w:ascii="Book Antiqua" w:hAnsi="Book Antiqua"/>
          </w:rPr>
          <w:t>Smernica Európskeho parlamentu a Rady (EÚ) 2019/1158</w:t>
        </w:r>
      </w:hyperlink>
      <w:r w:rsidRPr="004E5C1D">
        <w:rPr>
          <w:rFonts w:ascii="Book Antiqua" w:hAnsi="Book Antiqua"/>
        </w:rPr>
        <w:t> z 20. júna 2019 o rovnováhe medzi pracovným a súkromným životom rodičov a osôb s opatrovateľskými povinnosťami, ktorou sa zrušuje smernica Rady 2010/18/EÚ,</w:t>
      </w:r>
    </w:p>
    <w:p w14:paraId="0F1E6385" w14:textId="77777777" w:rsid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4E5C1D">
        <w:rPr>
          <w:rFonts w:ascii="Book Antiqua" w:hAnsi="Book Antiqua"/>
        </w:rPr>
        <w:t>S</w:t>
      </w:r>
      <w:hyperlink r:id="rId10" w:history="1">
        <w:r w:rsidRPr="004E5C1D">
          <w:rPr>
            <w:rFonts w:ascii="Book Antiqua" w:hAnsi="Book Antiqua"/>
          </w:rPr>
          <w:t>mernica Európskeho parlamentu a Rady (EÚ) 2022/2381</w:t>
        </w:r>
      </w:hyperlink>
      <w:r w:rsidRPr="004E5C1D">
        <w:rPr>
          <w:rFonts w:ascii="Book Antiqua" w:hAnsi="Book Antiqua"/>
        </w:rPr>
        <w:t> z 23. novembra 2022 o zlepšení rodovej vyváženosti medzi riadiacimi pracovníkmi kótovaných spoločností a súvisiacich opatreniach,</w:t>
      </w:r>
    </w:p>
    <w:p w14:paraId="501EFC09" w14:textId="77777777" w:rsid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hyperlink r:id="rId11" w:history="1">
        <w:r w:rsidRPr="004E5C1D">
          <w:rPr>
            <w:rFonts w:ascii="Book Antiqua" w:hAnsi="Book Antiqua"/>
          </w:rPr>
          <w:t>Smernica Európskeho parlamentu a Rady (EÚ) 2023/970</w:t>
        </w:r>
      </w:hyperlink>
      <w:r w:rsidRPr="004E5C1D">
        <w:rPr>
          <w:rFonts w:ascii="Book Antiqua" w:hAnsi="Book Antiqua"/>
        </w:rPr>
        <w:t> z 10. mája 2023, ktorou sa posilňuje uplatňovanie zásady rovnakej odmeny pre mužov a ženy za rovnakú prácu alebo prácu rovnakej hodnoty prostredníctvom transparentnosti odmeňovania a mechanizmov, presadzovania.</w:t>
      </w:r>
    </w:p>
    <w:p w14:paraId="62935A31" w14:textId="77777777" w:rsidR="004E5C1D" w:rsidRDefault="00072EFC" w:rsidP="004E5C1D">
      <w:pPr>
        <w:pStyle w:val="Odsekzoznamu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4E5C1D">
        <w:rPr>
          <w:rFonts w:ascii="Book Antiqua" w:hAnsi="Book Antiqua"/>
        </w:rPr>
        <w:t>je obsiahnutý v judikatúre Súdneho dvora Európskej únie,</w:t>
      </w:r>
      <w:r w:rsidR="004E5C1D">
        <w:rPr>
          <w:rFonts w:ascii="Book Antiqua" w:hAnsi="Book Antiqua"/>
        </w:rPr>
        <w:t xml:space="preserve"> a to: </w:t>
      </w:r>
    </w:p>
    <w:p w14:paraId="78CE5AEC" w14:textId="77777777" w:rsid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4E5C1D">
        <w:rPr>
          <w:rFonts w:ascii="Book Antiqua" w:hAnsi="Book Antiqua"/>
        </w:rPr>
        <w:t xml:space="preserve">rozsudok </w:t>
      </w:r>
      <w:proofErr w:type="spellStart"/>
      <w:r w:rsidRPr="004E5C1D">
        <w:rPr>
          <w:rFonts w:ascii="Book Antiqua" w:hAnsi="Book Antiqua"/>
        </w:rPr>
        <w:t>Defrenne</w:t>
      </w:r>
      <w:proofErr w:type="spellEnd"/>
      <w:r w:rsidRPr="004E5C1D">
        <w:rPr>
          <w:rFonts w:ascii="Book Antiqua" w:hAnsi="Book Antiqua"/>
        </w:rPr>
        <w:t xml:space="preserve"> II z 8. apríla 1976 ( vo veci C-43/75) -  SDEÚ uznal priamy účinok zásady rovnakej odmeny pre mužov a ženy a rozhodol, že táto zásada sa nevzťahuje iba na postup verejných orgánov, ale jej platnosť sa rozširuje aj na všetky dohody, ktoré sa zameriavajú na kolektívnu reguláciu platenej práce</w:t>
      </w:r>
      <w:r w:rsidR="004E5C1D">
        <w:rPr>
          <w:rFonts w:ascii="Book Antiqua" w:hAnsi="Book Antiqua"/>
        </w:rPr>
        <w:t>,</w:t>
      </w:r>
    </w:p>
    <w:p w14:paraId="4BCA94EE" w14:textId="77777777" w:rsid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4E5C1D">
        <w:rPr>
          <w:rFonts w:ascii="Book Antiqua" w:hAnsi="Book Antiqua"/>
        </w:rPr>
        <w:t xml:space="preserve">rozsudok </w:t>
      </w:r>
      <w:proofErr w:type="spellStart"/>
      <w:r w:rsidRPr="004E5C1D">
        <w:rPr>
          <w:rFonts w:ascii="Book Antiqua" w:hAnsi="Book Antiqua"/>
        </w:rPr>
        <w:t>Marchall</w:t>
      </w:r>
      <w:proofErr w:type="spellEnd"/>
      <w:r w:rsidRPr="004E5C1D">
        <w:rPr>
          <w:rFonts w:ascii="Book Antiqua" w:hAnsi="Book Antiqua"/>
        </w:rPr>
        <w:t xml:space="preserve"> z 11. novembra 1997 ( vo veci C-409/95) -  SDEÚ vyhlásil, že vnútroštátny predpis, ktorý v prípade, keď je v určitom odvetví menej žien ako mužov, vyžaduje, aby pri postupe v zamestnaní dostávali prednosť ženské kandidátky („pozitívna diskriminácia“), nie je v rozpore s legislatívou Spoločenstva, ak táto výhoda nie je automatická a mužskí uchádzači nie sú z výberu vopred vylúčení,</w:t>
      </w:r>
    </w:p>
    <w:p w14:paraId="673E658A" w14:textId="35063FCE" w:rsidR="00072EFC" w:rsidRPr="004E5C1D" w:rsidRDefault="00072EFC" w:rsidP="004E5C1D">
      <w:pPr>
        <w:pStyle w:val="Odsekzoznamu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4E5C1D">
        <w:rPr>
          <w:rFonts w:ascii="Book Antiqua" w:hAnsi="Book Antiqua"/>
        </w:rPr>
        <w:t xml:space="preserve">rozsudok Tesco Stores z 3. júna 2021 ( vo veci C- 624/19) - SDEÚ v rozsudku najprv pripomenul svoj rozsudok vo veci </w:t>
      </w:r>
      <w:proofErr w:type="spellStart"/>
      <w:r w:rsidRPr="004E5C1D">
        <w:rPr>
          <w:rFonts w:ascii="Book Antiqua" w:hAnsi="Book Antiqua"/>
        </w:rPr>
        <w:t>Praxair</w:t>
      </w:r>
      <w:proofErr w:type="spellEnd"/>
      <w:r w:rsidRPr="004E5C1D">
        <w:rPr>
          <w:rFonts w:ascii="Book Antiqua" w:hAnsi="Book Antiqua"/>
        </w:rPr>
        <w:t xml:space="preserve"> MRC ( vo veci C-486/18), v ktorom sa zákaz diskriminácie medzi pracovníkmi mužského a ženského pohlavia vzťahuje aj na kolektívne a individuálne zmluvy zamerané na úpravu odmeňovania, ako aj na ďalšiu ustálenú judikatúru, ktorá súdom umožňuje posúdiť iné rodové rozdiely v zaobchádzaní súvisiace s odmeňovaním na základe sporného pravidla. SDEÚ </w:t>
      </w:r>
      <w:r w:rsidRPr="004E5C1D">
        <w:rPr>
          <w:rFonts w:ascii="Book Antiqua" w:hAnsi="Book Antiqua"/>
        </w:rPr>
        <w:lastRenderedPageBreak/>
        <w:t>dospel k záveru, že článok 157 ZFEÚ sa musí vykladať v tom zmysle, že má priamy horizontálny účinok v sporoch medzi jednotlivcami, v ktorých došlo k porušeniu zásady rovnosti odmeňovania pracovníkov mužského a ženského pohlavia za „prácu rovnakej hodnoty“.</w:t>
      </w:r>
    </w:p>
    <w:p w14:paraId="5FCA414A" w14:textId="77777777" w:rsidR="00072EFC" w:rsidRPr="00F85553" w:rsidRDefault="00072EFC" w:rsidP="004E5C1D">
      <w:pPr>
        <w:spacing w:line="276" w:lineRule="auto"/>
        <w:rPr>
          <w:rFonts w:ascii="Book Antiqua" w:hAnsi="Book Antiqua"/>
        </w:rPr>
      </w:pPr>
      <w:r w:rsidRPr="00F85553">
        <w:rPr>
          <w:rFonts w:ascii="Book Antiqua" w:hAnsi="Book Antiqua"/>
          <w:b/>
          <w:bCs/>
        </w:rPr>
        <w:t>4. Záväzky Slovenskej republiky vo vzťahu k Európskej únii:</w:t>
      </w:r>
    </w:p>
    <w:p w14:paraId="1FED7B54" w14:textId="4A620332" w:rsidR="001F7DF0" w:rsidRPr="001F7DF0" w:rsidRDefault="00072EFC" w:rsidP="001F7DF0">
      <w:pPr>
        <w:pStyle w:val="Odsekzoznamu"/>
        <w:numPr>
          <w:ilvl w:val="0"/>
          <w:numId w:val="12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uviesť lehotu na prebranie príslušného právneho aktu Európskej únie, príp. aj osobitnú lehotu účinnosti jeho ustanovení:</w:t>
      </w:r>
    </w:p>
    <w:p w14:paraId="38CB7106" w14:textId="31362FE2" w:rsidR="001F7DF0" w:rsidRDefault="00072EFC" w:rsidP="001F7DF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857402">
        <w:rPr>
          <w:rFonts w:ascii="Book Antiqua" w:hAnsi="Book Antiqua"/>
        </w:rPr>
        <w:t>Transpozičná lehota smernice 2006/54/ES bola stanovená najneskôr do 15. augusta 2008</w:t>
      </w:r>
      <w:r w:rsidR="001F7DF0">
        <w:rPr>
          <w:rFonts w:ascii="Book Antiqua" w:hAnsi="Book Antiqua"/>
        </w:rPr>
        <w:t xml:space="preserve">, </w:t>
      </w:r>
    </w:p>
    <w:p w14:paraId="664785AE" w14:textId="7CF4812F" w:rsidR="001F7DF0" w:rsidRDefault="00072EFC" w:rsidP="001F7DF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Transpozičná lehota smernice 2019/1158/EÚ bola stanovená najneskôr do 2. augusta 2022 (niektoré ustanovenia do 2. augusta 2024)</w:t>
      </w:r>
      <w:r w:rsidR="001F7DF0">
        <w:rPr>
          <w:rFonts w:ascii="Book Antiqua" w:hAnsi="Book Antiqua"/>
        </w:rPr>
        <w:t>,</w:t>
      </w:r>
    </w:p>
    <w:p w14:paraId="714847B9" w14:textId="4B0CE761" w:rsidR="001F7DF0" w:rsidRDefault="00072EFC" w:rsidP="001F7DF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Transpozičná lehota smernice 2022/2381/EÚ bola stanovená najneskôr do 28. decembra 2024</w:t>
      </w:r>
      <w:r w:rsidR="001F7DF0">
        <w:rPr>
          <w:rFonts w:ascii="Book Antiqua" w:hAnsi="Book Antiqua"/>
        </w:rPr>
        <w:t>,</w:t>
      </w:r>
    </w:p>
    <w:p w14:paraId="6A7FB4DA" w14:textId="77777777" w:rsidR="001F7DF0" w:rsidRDefault="00072EFC" w:rsidP="001F7DF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Transpozičná lehota smernice 2023/970/EÚ bola stanovená najneskôr do 7. júna 2026</w:t>
      </w:r>
      <w:r w:rsidR="001F7DF0">
        <w:rPr>
          <w:rFonts w:ascii="Book Antiqua" w:hAnsi="Book Antiqua"/>
        </w:rPr>
        <w:t>.</w:t>
      </w:r>
    </w:p>
    <w:p w14:paraId="4343C080" w14:textId="77777777" w:rsidR="001F7DF0" w:rsidRDefault="00072EFC" w:rsidP="001F7DF0">
      <w:pPr>
        <w:pStyle w:val="Odsekzoznamu"/>
        <w:numPr>
          <w:ilvl w:val="0"/>
          <w:numId w:val="12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Komisie:</w:t>
      </w:r>
      <w:r w:rsidR="001F7DF0">
        <w:rPr>
          <w:rFonts w:ascii="Book Antiqua" w:hAnsi="Book Antiqua"/>
        </w:rPr>
        <w:t xml:space="preserve"> </w:t>
      </w:r>
    </w:p>
    <w:p w14:paraId="7AB2DF64" w14:textId="77777777" w:rsidR="001F7DF0" w:rsidRDefault="001F7DF0" w:rsidP="001F7DF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072EFC" w:rsidRPr="001F7DF0">
        <w:rPr>
          <w:rFonts w:ascii="Book Antiqua" w:hAnsi="Book Antiqua"/>
        </w:rPr>
        <w:t>Proti Slovenskej republike nie je v súvislosti so smernicou 2006/54/ES vedené konanie.</w:t>
      </w:r>
    </w:p>
    <w:p w14:paraId="4E7BED8D" w14:textId="77777777" w:rsidR="001F7DF0" w:rsidRDefault="00072EFC" w:rsidP="001F7DF0">
      <w:pPr>
        <w:pStyle w:val="Odsekzoznamu"/>
        <w:numPr>
          <w:ilvl w:val="0"/>
          <w:numId w:val="12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F85553">
        <w:rPr>
          <w:rFonts w:ascii="Book Antiqua" w:hAnsi="Book Antiqua"/>
        </w:rPr>
        <w:t>uviesť informáciu o právnych predpisoch, v ktorých sú uvádzané právne akty Európskej únie už prebrané, spolu s uvedením rozsahu ich prebrania, príp. potreby prijatia ďalších úprav:</w:t>
      </w:r>
    </w:p>
    <w:p w14:paraId="64131750" w14:textId="77777777" w:rsidR="001F7DF0" w:rsidRDefault="001F7DF0" w:rsidP="001F7DF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072EFC" w:rsidRPr="001F7DF0">
        <w:rPr>
          <w:rFonts w:ascii="Book Antiqua" w:hAnsi="Book Antiqua"/>
        </w:rPr>
        <w:t>Smernica sú transponované/ resp. budú transponované napr. v nasledujúcich právnych predpisoch:</w:t>
      </w:r>
    </w:p>
    <w:p w14:paraId="411BA61E" w14:textId="77777777" w:rsidR="001F7DF0" w:rsidRDefault="00072EFC" w:rsidP="001F7DF0">
      <w:pPr>
        <w:pStyle w:val="Odsekzoznamu"/>
        <w:numPr>
          <w:ilvl w:val="0"/>
          <w:numId w:val="13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F85553">
        <w:rPr>
          <w:rFonts w:ascii="Book Antiqua" w:hAnsi="Book Antiqua"/>
        </w:rPr>
        <w:t>zákon č. 311/2001 Z. z. Zákonník práce,</w:t>
      </w:r>
    </w:p>
    <w:p w14:paraId="2D002763" w14:textId="77777777" w:rsidR="001F7DF0" w:rsidRDefault="00072EFC" w:rsidP="001F7DF0">
      <w:pPr>
        <w:pStyle w:val="Odsekzoznamu"/>
        <w:numPr>
          <w:ilvl w:val="0"/>
          <w:numId w:val="13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zákon č. 552/2003 Z. z. o výkone práce vo verejnom záujme,</w:t>
      </w:r>
    </w:p>
    <w:p w14:paraId="414CB7EA" w14:textId="1845133F" w:rsidR="00072EFC" w:rsidRPr="001F7DF0" w:rsidRDefault="00072EFC" w:rsidP="001F7DF0">
      <w:pPr>
        <w:pStyle w:val="Odsekzoznamu"/>
        <w:numPr>
          <w:ilvl w:val="0"/>
          <w:numId w:val="13"/>
        </w:numPr>
        <w:snapToGrid w:val="0"/>
        <w:spacing w:before="120" w:after="120" w:line="276" w:lineRule="auto"/>
        <w:contextualSpacing w:val="0"/>
        <w:jc w:val="both"/>
        <w:rPr>
          <w:rFonts w:ascii="Book Antiqua" w:hAnsi="Book Antiqua"/>
        </w:rPr>
      </w:pPr>
      <w:r w:rsidRPr="001F7DF0">
        <w:rPr>
          <w:rFonts w:ascii="Book Antiqua" w:hAnsi="Book Antiqua"/>
        </w:rPr>
        <w:t>zákon č. 55/2017 Z. z. o štátnej službe a o zmene a doplnení niektorých zákonov.</w:t>
      </w:r>
    </w:p>
    <w:p w14:paraId="37386E2A" w14:textId="77777777" w:rsidR="00072EFC" w:rsidRPr="00F85553" w:rsidRDefault="00072EFC" w:rsidP="001F7DF0">
      <w:pPr>
        <w:snapToGrid w:val="0"/>
        <w:spacing w:before="120" w:after="120" w:line="276" w:lineRule="auto"/>
        <w:jc w:val="both"/>
        <w:rPr>
          <w:rFonts w:ascii="Book Antiqua" w:hAnsi="Book Antiqua"/>
        </w:rPr>
      </w:pPr>
      <w:r w:rsidRPr="00F85553">
        <w:rPr>
          <w:rFonts w:ascii="Book Antiqua" w:hAnsi="Book Antiqua"/>
          <w:b/>
          <w:bCs/>
        </w:rPr>
        <w:t>5. Návrh zákona je zlučiteľný s právom Európskej únie:</w:t>
      </w:r>
    </w:p>
    <w:p w14:paraId="0AE71927" w14:textId="1982D501" w:rsidR="00072EFC" w:rsidRPr="00F85553" w:rsidRDefault="001F7DF0" w:rsidP="001F7DF0">
      <w:pPr>
        <w:snapToGrid w:val="0"/>
        <w:spacing w:before="120" w:after="12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072EFC" w:rsidRPr="00F85553">
        <w:rPr>
          <w:rFonts w:ascii="Book Antiqua" w:hAnsi="Book Antiqua"/>
        </w:rPr>
        <w:t>úplne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252F386B" w:rsidR="00AD7716" w:rsidRPr="00D524FA" w:rsidRDefault="00947A57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7A5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Návrh ústavného zákona, ktorým sa dopĺňa Ústava Slovenskej republiky č. 460/1992 Zb.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65C95BEE" w:rsidR="00AD7716" w:rsidRPr="00214D57" w:rsidRDefault="00947A57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Rozdielne odmeňovanie mužov a žien za rovnakú prácu.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390F6BEA" w:rsidR="00AD7716" w:rsidRPr="00D524FA" w:rsidRDefault="00947A57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Rovnaké odmeňovanie mužov a žien za rovnakú prácu.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1FE879C" w14:textId="77777777" w:rsidR="0033340C" w:rsidRDefault="00947A57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Zamestnanci,</w:t>
            </w:r>
          </w:p>
          <w:p w14:paraId="772B2638" w14:textId="731AFF95" w:rsidR="00947A57" w:rsidRPr="0071270C" w:rsidRDefault="00947A57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Zamestnávatelia.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4F6A885E" w:rsidR="00AD7716" w:rsidRPr="00D524FA" w:rsidRDefault="000C4C3A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Neprijatím právnej úpravy bude naďalej </w:t>
            </w:r>
            <w:r w:rsidR="00947A57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trvať problém rozdielneho odmeňovania mužov a žien za rovnakú prácu.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6BE15DD2" w14:textId="77777777" w:rsidR="00947A57" w:rsidRDefault="00947A57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CB81044" w14:textId="3F648E8E" w:rsidR="00947A57" w:rsidRPr="00947A57" w:rsidRDefault="00947A57" w:rsidP="00AC02BC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Do 5 rokov od nadobudnutia účinnosti ústavného zákona.</w:t>
            </w:r>
          </w:p>
          <w:p w14:paraId="44093C58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797E130" w14:textId="77777777" w:rsidR="00AD7716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7D0D1870" w14:textId="77777777" w:rsidR="00947A57" w:rsidRDefault="00947A57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1ADC837" w14:textId="47137FB4" w:rsidR="00947A57" w:rsidRPr="00947A57" w:rsidRDefault="00947A57" w:rsidP="00AC02BC">
            <w:pP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Porovnanie odmeňovania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mužov a žien za rovnakú prácu.</w:t>
            </w:r>
          </w:p>
          <w:p w14:paraId="202E57BE" w14:textId="4C122A4B" w:rsidR="0077388C" w:rsidRPr="0077388C" w:rsidRDefault="0077388C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01F499D1" w:rsidR="00AD7716" w:rsidRPr="00D524FA" w:rsidRDefault="00947A5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548F7703" w:rsidR="00AD7716" w:rsidRPr="00D524FA" w:rsidRDefault="00947A5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D524FA" w:rsidRDefault="0077388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4D64DC35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47691823" w:rsidR="00AD7716" w:rsidRPr="00D524FA" w:rsidRDefault="00947A5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2F38F801" w:rsidR="00AD7716" w:rsidRPr="00D524FA" w:rsidRDefault="00947A57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1281" w14:textId="5C155782" w:rsidR="00A64B28" w:rsidRPr="00D62CD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7DC75F74" w14:textId="3F1D6990" w:rsidR="00947A57" w:rsidRPr="009E7CAA" w:rsidRDefault="00947A57" w:rsidP="0071270C">
            <w:pPr>
              <w:spacing w:before="120"/>
              <w:jc w:val="both"/>
              <w:rPr>
                <w:rFonts w:ascii="Book Antiqua" w:hAnsi="Book Antiqua"/>
                <w:sz w:val="20"/>
                <w:szCs w:val="20"/>
                <w:lang w:eastAsia="ar-SA"/>
              </w:rPr>
            </w:pPr>
            <w:r w:rsidRPr="009E7CAA">
              <w:rPr>
                <w:rFonts w:ascii="Book Antiqua" w:hAnsi="Book Antiqua"/>
                <w:sz w:val="20"/>
                <w:szCs w:val="20"/>
                <w:lang w:eastAsia="ar-SA"/>
              </w:rPr>
              <w:t>Pozitívne vplyvy je možné identifikovať najmä vzhľadom na sociálnu inklúziu žien, zlepšenie pracovných podmienok a</w:t>
            </w:r>
            <w:r w:rsidR="009E7CAA" w:rsidRPr="009E7CAA">
              <w:rPr>
                <w:rFonts w:ascii="Book Antiqua" w:hAnsi="Book Antiqua"/>
                <w:sz w:val="20"/>
                <w:szCs w:val="20"/>
                <w:lang w:eastAsia="ar-SA"/>
              </w:rPr>
              <w:t> zníženie sociálnych rozdielov medzi mužmi a ženami.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583F53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A527C7F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763A18F4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764DDEF0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1318751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AA7E43A" w14:textId="369FF4E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4295" w14:textId="77777777" w:rsidR="000101E4" w:rsidRDefault="000101E4" w:rsidP="00C97949">
      <w:pPr>
        <w:spacing w:after="0" w:line="240" w:lineRule="auto"/>
      </w:pPr>
      <w:r>
        <w:separator/>
      </w:r>
    </w:p>
  </w:endnote>
  <w:endnote w:type="continuationSeparator" w:id="0">
    <w:p w14:paraId="0E957CD0" w14:textId="77777777" w:rsidR="000101E4" w:rsidRDefault="000101E4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51EFF6DE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FA">
          <w:rPr>
            <w:noProof/>
          </w:rPr>
          <w:t>6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F437" w14:textId="77777777" w:rsidR="000101E4" w:rsidRDefault="000101E4" w:rsidP="00C97949">
      <w:pPr>
        <w:spacing w:after="0" w:line="240" w:lineRule="auto"/>
      </w:pPr>
      <w:r>
        <w:separator/>
      </w:r>
    </w:p>
  </w:footnote>
  <w:footnote w:type="continuationSeparator" w:id="0">
    <w:p w14:paraId="5478F1B3" w14:textId="77777777" w:rsidR="000101E4" w:rsidRDefault="000101E4" w:rsidP="00C97949">
      <w:pPr>
        <w:spacing w:after="0" w:line="240" w:lineRule="auto"/>
      </w:pPr>
      <w:r>
        <w:continuationSeparator/>
      </w:r>
    </w:p>
  </w:footnote>
  <w:footnote w:id="1">
    <w:p w14:paraId="1E2177F1" w14:textId="5079866E" w:rsidR="00D7004D" w:rsidRDefault="00D7004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="00FC4992" w:rsidRPr="00E45339">
          <w:rPr>
            <w:rStyle w:val="Hypertextovprepojenie"/>
            <w:rFonts w:ascii="Book Antiqua" w:hAnsi="Book Antiqua"/>
          </w:rPr>
          <w:t>https://www.europarl.europa.eu/topics/sk/article/20200109STO69925/preco-zeny-zarabaju-menej-ako-muzi</w:t>
        </w:r>
      </w:hyperlink>
      <w:r w:rsidR="00FC4992">
        <w:rPr>
          <w:rFonts w:ascii="Book Antiqua" w:hAnsi="Book Antiq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7F14FF"/>
    <w:multiLevelType w:val="hybridMultilevel"/>
    <w:tmpl w:val="3B78E6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1E61"/>
    <w:multiLevelType w:val="hybridMultilevel"/>
    <w:tmpl w:val="0B02B4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3479E"/>
    <w:multiLevelType w:val="hybridMultilevel"/>
    <w:tmpl w:val="7F960E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960F9"/>
    <w:multiLevelType w:val="hybridMultilevel"/>
    <w:tmpl w:val="3572BC42"/>
    <w:lvl w:ilvl="0" w:tplc="E10AB9A2">
      <w:start w:val="3"/>
      <w:numFmt w:val="bullet"/>
      <w:lvlText w:val="-"/>
      <w:lvlJc w:val="left"/>
      <w:pPr>
        <w:ind w:left="1080" w:hanging="360"/>
      </w:pPr>
      <w:rPr>
        <w:rFonts w:ascii="Book Antiqua" w:eastAsia="Calibri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971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285218">
    <w:abstractNumId w:val="6"/>
  </w:num>
  <w:num w:numId="3" w16cid:durableId="757874542">
    <w:abstractNumId w:val="3"/>
  </w:num>
  <w:num w:numId="4" w16cid:durableId="1054037629">
    <w:abstractNumId w:val="10"/>
  </w:num>
  <w:num w:numId="5" w16cid:durableId="206718863">
    <w:abstractNumId w:val="2"/>
  </w:num>
  <w:num w:numId="6" w16cid:durableId="718170193">
    <w:abstractNumId w:val="4"/>
  </w:num>
  <w:num w:numId="7" w16cid:durableId="249700771">
    <w:abstractNumId w:val="11"/>
  </w:num>
  <w:num w:numId="8" w16cid:durableId="2089030956">
    <w:abstractNumId w:val="7"/>
  </w:num>
  <w:num w:numId="9" w16cid:durableId="1829708111">
    <w:abstractNumId w:val="12"/>
  </w:num>
  <w:num w:numId="10" w16cid:durableId="1318682496">
    <w:abstractNumId w:val="5"/>
  </w:num>
  <w:num w:numId="11" w16cid:durableId="814105767">
    <w:abstractNumId w:val="9"/>
  </w:num>
  <w:num w:numId="12" w16cid:durableId="1802377525">
    <w:abstractNumId w:val="8"/>
  </w:num>
  <w:num w:numId="13" w16cid:durableId="16359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01E4"/>
    <w:rsid w:val="000106B5"/>
    <w:rsid w:val="00011B96"/>
    <w:rsid w:val="00023FB8"/>
    <w:rsid w:val="00046726"/>
    <w:rsid w:val="00072EFC"/>
    <w:rsid w:val="00074EE2"/>
    <w:rsid w:val="00083D31"/>
    <w:rsid w:val="000A1A35"/>
    <w:rsid w:val="000B4307"/>
    <w:rsid w:val="000B7209"/>
    <w:rsid w:val="000C4C3A"/>
    <w:rsid w:val="000C544E"/>
    <w:rsid w:val="000D7AAE"/>
    <w:rsid w:val="000F1924"/>
    <w:rsid w:val="00126C54"/>
    <w:rsid w:val="001338D5"/>
    <w:rsid w:val="00191F05"/>
    <w:rsid w:val="00194A04"/>
    <w:rsid w:val="001A3650"/>
    <w:rsid w:val="001A762C"/>
    <w:rsid w:val="001C14F4"/>
    <w:rsid w:val="001D0445"/>
    <w:rsid w:val="001D04D4"/>
    <w:rsid w:val="001F02BF"/>
    <w:rsid w:val="001F7DF0"/>
    <w:rsid w:val="00214D57"/>
    <w:rsid w:val="00231ECB"/>
    <w:rsid w:val="002339BE"/>
    <w:rsid w:val="00240C85"/>
    <w:rsid w:val="0025249C"/>
    <w:rsid w:val="00255EB4"/>
    <w:rsid w:val="00290DFE"/>
    <w:rsid w:val="00293814"/>
    <w:rsid w:val="002A1B31"/>
    <w:rsid w:val="002A6D03"/>
    <w:rsid w:val="00323127"/>
    <w:rsid w:val="00323776"/>
    <w:rsid w:val="0033340C"/>
    <w:rsid w:val="00334D0C"/>
    <w:rsid w:val="0034333E"/>
    <w:rsid w:val="00343651"/>
    <w:rsid w:val="00353DA2"/>
    <w:rsid w:val="00374C8B"/>
    <w:rsid w:val="00381EC0"/>
    <w:rsid w:val="00386510"/>
    <w:rsid w:val="0038768A"/>
    <w:rsid w:val="003B2158"/>
    <w:rsid w:val="003C18E1"/>
    <w:rsid w:val="003C66F7"/>
    <w:rsid w:val="003D3E6B"/>
    <w:rsid w:val="00404AB4"/>
    <w:rsid w:val="004064CE"/>
    <w:rsid w:val="00430AB9"/>
    <w:rsid w:val="00471083"/>
    <w:rsid w:val="004777CE"/>
    <w:rsid w:val="004819F6"/>
    <w:rsid w:val="00487E4E"/>
    <w:rsid w:val="004A3D51"/>
    <w:rsid w:val="004B6E67"/>
    <w:rsid w:val="004C799B"/>
    <w:rsid w:val="004E0F11"/>
    <w:rsid w:val="004E58DE"/>
    <w:rsid w:val="004E5C1D"/>
    <w:rsid w:val="00517DFD"/>
    <w:rsid w:val="005439BC"/>
    <w:rsid w:val="005C1297"/>
    <w:rsid w:val="005F0011"/>
    <w:rsid w:val="005F0557"/>
    <w:rsid w:val="006036BB"/>
    <w:rsid w:val="0061371A"/>
    <w:rsid w:val="006540D6"/>
    <w:rsid w:val="00662B02"/>
    <w:rsid w:val="00664FFE"/>
    <w:rsid w:val="00674F9D"/>
    <w:rsid w:val="00687DAD"/>
    <w:rsid w:val="0069020B"/>
    <w:rsid w:val="0069302A"/>
    <w:rsid w:val="006B6D93"/>
    <w:rsid w:val="006D1C1F"/>
    <w:rsid w:val="006D485C"/>
    <w:rsid w:val="006F2637"/>
    <w:rsid w:val="006F7B9F"/>
    <w:rsid w:val="007013DA"/>
    <w:rsid w:val="00711499"/>
    <w:rsid w:val="0071270C"/>
    <w:rsid w:val="007253B8"/>
    <w:rsid w:val="0074382E"/>
    <w:rsid w:val="00757A17"/>
    <w:rsid w:val="007651A7"/>
    <w:rsid w:val="0077388C"/>
    <w:rsid w:val="007838BE"/>
    <w:rsid w:val="007954BA"/>
    <w:rsid w:val="007E522F"/>
    <w:rsid w:val="008003F2"/>
    <w:rsid w:val="00802C5B"/>
    <w:rsid w:val="00844FFC"/>
    <w:rsid w:val="00857402"/>
    <w:rsid w:val="00857EEE"/>
    <w:rsid w:val="00865E4C"/>
    <w:rsid w:val="008756DD"/>
    <w:rsid w:val="00886970"/>
    <w:rsid w:val="008956BC"/>
    <w:rsid w:val="008A1A9C"/>
    <w:rsid w:val="008A5E46"/>
    <w:rsid w:val="008B1E22"/>
    <w:rsid w:val="00911A32"/>
    <w:rsid w:val="0091753B"/>
    <w:rsid w:val="00930F9F"/>
    <w:rsid w:val="00942E2D"/>
    <w:rsid w:val="00947A57"/>
    <w:rsid w:val="0095022B"/>
    <w:rsid w:val="00962AEC"/>
    <w:rsid w:val="00964F40"/>
    <w:rsid w:val="00982FFB"/>
    <w:rsid w:val="00983F2C"/>
    <w:rsid w:val="00986280"/>
    <w:rsid w:val="00986EEF"/>
    <w:rsid w:val="0099219C"/>
    <w:rsid w:val="00993083"/>
    <w:rsid w:val="009A375B"/>
    <w:rsid w:val="009B5A83"/>
    <w:rsid w:val="009E7CAA"/>
    <w:rsid w:val="009E7FCC"/>
    <w:rsid w:val="00A03F00"/>
    <w:rsid w:val="00A10234"/>
    <w:rsid w:val="00A208D0"/>
    <w:rsid w:val="00A64B28"/>
    <w:rsid w:val="00A75AE5"/>
    <w:rsid w:val="00A77F33"/>
    <w:rsid w:val="00A81002"/>
    <w:rsid w:val="00A94421"/>
    <w:rsid w:val="00AB2C2A"/>
    <w:rsid w:val="00AC68D6"/>
    <w:rsid w:val="00AC7CDE"/>
    <w:rsid w:val="00AD7716"/>
    <w:rsid w:val="00AE0A03"/>
    <w:rsid w:val="00AF0B6F"/>
    <w:rsid w:val="00B01103"/>
    <w:rsid w:val="00B03694"/>
    <w:rsid w:val="00B14A4C"/>
    <w:rsid w:val="00B16F89"/>
    <w:rsid w:val="00B4515D"/>
    <w:rsid w:val="00B561EF"/>
    <w:rsid w:val="00B576F5"/>
    <w:rsid w:val="00B63A0B"/>
    <w:rsid w:val="00B73C72"/>
    <w:rsid w:val="00B76A1E"/>
    <w:rsid w:val="00B7736A"/>
    <w:rsid w:val="00BA694A"/>
    <w:rsid w:val="00BB6162"/>
    <w:rsid w:val="00BB6AD9"/>
    <w:rsid w:val="00BC652D"/>
    <w:rsid w:val="00BD15FC"/>
    <w:rsid w:val="00BD6F41"/>
    <w:rsid w:val="00C03F8F"/>
    <w:rsid w:val="00C44D52"/>
    <w:rsid w:val="00C45583"/>
    <w:rsid w:val="00C71033"/>
    <w:rsid w:val="00C7368E"/>
    <w:rsid w:val="00C81A8B"/>
    <w:rsid w:val="00C95B0A"/>
    <w:rsid w:val="00C97949"/>
    <w:rsid w:val="00CA1C34"/>
    <w:rsid w:val="00CA480F"/>
    <w:rsid w:val="00CA6BEB"/>
    <w:rsid w:val="00CD344A"/>
    <w:rsid w:val="00D04475"/>
    <w:rsid w:val="00D52442"/>
    <w:rsid w:val="00D524FA"/>
    <w:rsid w:val="00D53140"/>
    <w:rsid w:val="00D62CD7"/>
    <w:rsid w:val="00D6657D"/>
    <w:rsid w:val="00D7004D"/>
    <w:rsid w:val="00D71F3C"/>
    <w:rsid w:val="00D756C8"/>
    <w:rsid w:val="00D76788"/>
    <w:rsid w:val="00D8092E"/>
    <w:rsid w:val="00D81B13"/>
    <w:rsid w:val="00DF0CE7"/>
    <w:rsid w:val="00DF1BCB"/>
    <w:rsid w:val="00DF2B12"/>
    <w:rsid w:val="00E01592"/>
    <w:rsid w:val="00E064DE"/>
    <w:rsid w:val="00E22E81"/>
    <w:rsid w:val="00E372F7"/>
    <w:rsid w:val="00E37FD8"/>
    <w:rsid w:val="00E47CE0"/>
    <w:rsid w:val="00E76879"/>
    <w:rsid w:val="00EA1244"/>
    <w:rsid w:val="00EB20F0"/>
    <w:rsid w:val="00EB4C93"/>
    <w:rsid w:val="00ED1B7A"/>
    <w:rsid w:val="00ED6DB9"/>
    <w:rsid w:val="00F20E0B"/>
    <w:rsid w:val="00F46465"/>
    <w:rsid w:val="00F5232F"/>
    <w:rsid w:val="00F61493"/>
    <w:rsid w:val="00F70678"/>
    <w:rsid w:val="00F75DFA"/>
    <w:rsid w:val="00F82401"/>
    <w:rsid w:val="00F850E0"/>
    <w:rsid w:val="00F87FA8"/>
    <w:rsid w:val="00F900C7"/>
    <w:rsid w:val="00FB4833"/>
    <w:rsid w:val="00FC4992"/>
    <w:rsid w:val="00FD059A"/>
    <w:rsid w:val="00FD3A84"/>
    <w:rsid w:val="00FE1125"/>
    <w:rsid w:val="00FE1E56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7004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7004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7004D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4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SK/TXT/?uri=CELEX%3A32023L09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-lex.europa.eu/legal-content/SK/TXT/?uri=CELEX:32022L2381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SK/TXT/?uri=CELEX%3A32019L1158&amp;lang1=SK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arl.europa.eu/topics/sk/article/20200109STO69925/preco-zeny-zarabaju-menej-ako-muzi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DB63F1AB-EBD5-40EC-B44B-DE14DC9A1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myoffice3867</cp:lastModifiedBy>
  <cp:revision>6</cp:revision>
  <dcterms:created xsi:type="dcterms:W3CDTF">2025-03-24T12:53:00Z</dcterms:created>
  <dcterms:modified xsi:type="dcterms:W3CDTF">2025-03-24T15:33:00Z</dcterms:modified>
</cp:coreProperties>
</file>