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67C1" w14:textId="77777777" w:rsidR="00562D65" w:rsidRPr="000B3CB2" w:rsidRDefault="001718E7" w:rsidP="000B3CB2">
      <w:pPr>
        <w:pStyle w:val="Nzov"/>
        <w:pBdr>
          <w:bottom w:val="single" w:sz="12" w:space="1" w:color="00000A"/>
        </w:pBdr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3AA12AE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</w:p>
    <w:p w14:paraId="6E9B868F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IX. volebné obdobie</w:t>
      </w:r>
    </w:p>
    <w:p w14:paraId="5F86049F" w14:textId="77777777" w:rsidR="00562D65" w:rsidRPr="000B3CB2" w:rsidRDefault="001718E7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</w:p>
    <w:p w14:paraId="336C3E86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5AA770B2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649B4A95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N á v r h</w:t>
      </w:r>
    </w:p>
    <w:p w14:paraId="348921E0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b/>
          <w:sz w:val="22"/>
          <w:szCs w:val="22"/>
        </w:rPr>
      </w:pPr>
    </w:p>
    <w:p w14:paraId="0BE56FDC" w14:textId="77777777" w:rsidR="00562D65" w:rsidRPr="000B3CB2" w:rsidRDefault="001718E7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7C010A75" w14:textId="77777777" w:rsidR="00562D65" w:rsidRPr="000B3CB2" w:rsidRDefault="00562D65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</w:p>
    <w:p w14:paraId="4EFB2BE8" w14:textId="77777777" w:rsidR="00562D65" w:rsidRPr="000B3CB2" w:rsidRDefault="00562D65" w:rsidP="000B3CB2">
      <w:pPr>
        <w:spacing w:line="276" w:lineRule="auto"/>
        <w:rPr>
          <w:rFonts w:ascii="Book Antiqua" w:hAnsi="Book Antiqua"/>
          <w:sz w:val="22"/>
          <w:szCs w:val="22"/>
        </w:rPr>
      </w:pPr>
    </w:p>
    <w:p w14:paraId="14D0316F" w14:textId="7777777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Cs/>
          <w:sz w:val="22"/>
          <w:szCs w:val="22"/>
        </w:rPr>
        <w:t>n a  p r i j a t i e</w:t>
      </w:r>
    </w:p>
    <w:p w14:paraId="1205341D" w14:textId="77777777" w:rsidR="00562D65" w:rsidRPr="000B3CB2" w:rsidRDefault="00562D65" w:rsidP="000B3CB2">
      <w:pPr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0AC593" w14:textId="3F2BEA4F" w:rsidR="00562D65" w:rsidRPr="00684E27" w:rsidRDefault="001718E7" w:rsidP="00684E27">
      <w:pPr>
        <w:tabs>
          <w:tab w:val="left" w:pos="1095"/>
        </w:tabs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200235"/>
      <w:r w:rsidRPr="000B3CB2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End w:id="0"/>
      <w:r w:rsidR="003E3D0B" w:rsidRPr="000B3CB2">
        <w:rPr>
          <w:rFonts w:ascii="Book Antiqua" w:hAnsi="Book Antiqua"/>
          <w:b/>
          <w:bCs/>
          <w:sz w:val="22"/>
          <w:szCs w:val="22"/>
        </w:rPr>
        <w:t>k</w:t>
      </w:r>
      <w:r w:rsidR="00837443">
        <w:rPr>
          <w:rFonts w:ascii="Book Antiqua" w:hAnsi="Book Antiqua"/>
          <w:b/>
          <w:bCs/>
          <w:sz w:val="22"/>
          <w:szCs w:val="22"/>
        </w:rPr>
        <w:t> výskytu slintačky a krívačky</w:t>
      </w:r>
      <w:r w:rsidR="003E3D0B" w:rsidRPr="000B3CB2">
        <w:rPr>
          <w:rFonts w:ascii="Book Antiqua" w:hAnsi="Book Antiqua"/>
          <w:b/>
          <w:bCs/>
          <w:sz w:val="22"/>
          <w:szCs w:val="22"/>
        </w:rPr>
        <w:t xml:space="preserve"> </w:t>
      </w:r>
      <w:r w:rsidR="00087D51">
        <w:rPr>
          <w:rFonts w:ascii="Book Antiqua" w:hAnsi="Book Antiqua"/>
          <w:b/>
          <w:bCs/>
          <w:sz w:val="22"/>
          <w:szCs w:val="22"/>
        </w:rPr>
        <w:t>na území Slovenskej republiky</w:t>
      </w:r>
    </w:p>
    <w:p w14:paraId="1256E0BF" w14:textId="3ACED005" w:rsidR="00684E27" w:rsidRPr="00684E27" w:rsidRDefault="00684E27" w:rsidP="00684E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29F8C30C" w14:textId="77777777" w:rsidR="00684E27" w:rsidRPr="007A22E7" w:rsidRDefault="00684E27" w:rsidP="00684E27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84E27" w:rsidRPr="007A22E7" w14:paraId="0E2AF7D4" w14:textId="77777777" w:rsidTr="00EE4611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7E06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27DC7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00DB8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684E27" w:rsidRPr="007A22E7" w14:paraId="40EE616E" w14:textId="77777777" w:rsidTr="00EE4611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4B65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8C33131" w14:textId="3A32770E" w:rsidR="00684E27" w:rsidRPr="007A22E7" w:rsidRDefault="001C5BD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Rastislav Krátky</w:t>
            </w:r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</w:rPr>
              <w:t>.</w:t>
            </w:r>
          </w:p>
          <w:p w14:paraId="3342F3ED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A949DBF" w14:textId="12CB7474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</w:t>
            </w:r>
            <w:proofErr w:type="spellStart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Bužo</w:t>
            </w:r>
            <w:proofErr w:type="spellEnd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4121E0D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BBAC336" w14:textId="317E1E4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Július </w:t>
            </w:r>
            <w:proofErr w:type="spellStart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Jakab</w:t>
            </w:r>
            <w:proofErr w:type="spellEnd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56DFD02C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34214DA" w14:textId="68361123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</w:t>
            </w:r>
            <w:proofErr w:type="spellStart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Krajčí</w:t>
            </w:r>
            <w:proofErr w:type="spellEnd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7926EC79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54AD2C5" w14:textId="4DF5EC0F" w:rsidR="00684E27" w:rsidRPr="007A22E7" w:rsidRDefault="001C5BD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Igor Matovič</w:t>
            </w:r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7CD28914" w14:textId="77777777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6C408E" w14:textId="48635196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Roman </w:t>
            </w:r>
            <w:proofErr w:type="spellStart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Mikulec</w:t>
            </w:r>
            <w:proofErr w:type="spellEnd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4EF56579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42B44A" w14:textId="596BA62B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Peter Pollák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150B52DA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E76321C" w14:textId="0D440812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</w:t>
            </w:r>
            <w:proofErr w:type="spellStart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Pročko</w:t>
            </w:r>
            <w:proofErr w:type="spellEnd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0395E08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6B38CF5" w14:textId="66F06026" w:rsidR="00087D51" w:rsidRDefault="00087D51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Veronika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Remišová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59DADA73" w14:textId="18673083" w:rsidR="00684E27" w:rsidRPr="007A22E7" w:rsidRDefault="00684E27" w:rsidP="00EE4611">
            <w:pPr>
              <w:spacing w:after="120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v.r</w:t>
            </w:r>
            <w:proofErr w:type="spellEnd"/>
            <w:r w:rsidR="00E777D0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5481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5B3D4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0E309320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7888F48F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91B0C28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DAE3E42" w14:textId="77777777" w:rsidR="00684E27" w:rsidRPr="007A22E7" w:rsidRDefault="00684E27" w:rsidP="00EE4611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097611E" w14:textId="77777777" w:rsidR="00684E27" w:rsidRPr="007A22E7" w:rsidRDefault="00684E27" w:rsidP="00EE4611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bookmarkStart w:id="1" w:name="__DdeLink__1042_3691294648"/>
            <w:bookmarkEnd w:id="1"/>
          </w:p>
          <w:p w14:paraId="4A756808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7A22E7">
              <w:rPr>
                <w:rStyle w:val="awspan"/>
                <w:rFonts w:ascii="Book Antiqua" w:eastAsia="Times New Roman" w:hAnsi="Book Antiqua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524D43A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527B77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2574AD0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9DDEB72" w14:textId="7777777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Bratislava </w:t>
      </w:r>
      <w:r w:rsidR="003E3D0B" w:rsidRPr="000B3CB2">
        <w:rPr>
          <w:rFonts w:ascii="Book Antiqua" w:hAnsi="Book Antiqua"/>
          <w:sz w:val="22"/>
          <w:szCs w:val="22"/>
        </w:rPr>
        <w:t>marec</w:t>
      </w:r>
      <w:r w:rsidRPr="000B3CB2">
        <w:rPr>
          <w:rFonts w:ascii="Book Antiqua" w:hAnsi="Book Antiqua"/>
          <w:sz w:val="22"/>
          <w:szCs w:val="22"/>
        </w:rPr>
        <w:t xml:space="preserve"> 202</w:t>
      </w:r>
      <w:r w:rsidR="003E3D0B" w:rsidRPr="000B3CB2">
        <w:rPr>
          <w:rFonts w:ascii="Book Antiqua" w:hAnsi="Book Antiqua"/>
          <w:sz w:val="22"/>
          <w:szCs w:val="22"/>
        </w:rPr>
        <w:t>5</w:t>
      </w:r>
      <w:r w:rsidRPr="000B3CB2">
        <w:rPr>
          <w:rFonts w:ascii="Book Antiqua" w:hAnsi="Book Antiqua"/>
          <w:sz w:val="22"/>
          <w:szCs w:val="22"/>
        </w:rPr>
        <w:br w:type="page"/>
      </w:r>
    </w:p>
    <w:p w14:paraId="519E651B" w14:textId="77777777" w:rsidR="00562D65" w:rsidRPr="000B3CB2" w:rsidRDefault="001718E7" w:rsidP="000B3CB2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2" w:name="_Hlk89090507"/>
      <w:bookmarkEnd w:id="2"/>
    </w:p>
    <w:p w14:paraId="461682B8" w14:textId="77777777" w:rsidR="00684E27" w:rsidRDefault="00684E27" w:rsidP="00684E2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68A1B451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1E8F81B6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026FE762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0C39ED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216E9BA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1170F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C2893B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 2025,</w:t>
      </w:r>
    </w:p>
    <w:p w14:paraId="48A72A5E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</w:p>
    <w:p w14:paraId="1975E763" w14:textId="4F656652" w:rsidR="00562D65" w:rsidRDefault="003E3D0B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k</w:t>
      </w:r>
      <w:r w:rsidR="00087D51">
        <w:rPr>
          <w:rFonts w:ascii="Book Antiqua" w:hAnsi="Book Antiqua"/>
          <w:b/>
          <w:bCs/>
          <w:sz w:val="22"/>
          <w:szCs w:val="22"/>
        </w:rPr>
        <w:t> výskytu slintačky a krívačky na území Slovenskej republiky</w:t>
      </w:r>
      <w:r w:rsidRPr="000B3CB2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47232A58" w14:textId="77777777" w:rsidR="00684E27" w:rsidRPr="000B3CB2" w:rsidRDefault="00684E27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4C281E58" w14:textId="77777777" w:rsidR="00087D51" w:rsidRDefault="00087D51" w:rsidP="000B3CB2">
      <w:pPr>
        <w:tabs>
          <w:tab w:val="left" w:pos="1095"/>
        </w:tabs>
        <w:spacing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5B3A73B1" w14:textId="15C54656" w:rsidR="0076585C" w:rsidRPr="000B3CB2" w:rsidRDefault="0076585C" w:rsidP="000B3CB2">
      <w:pPr>
        <w:tabs>
          <w:tab w:val="left" w:pos="1095"/>
        </w:tabs>
        <w:spacing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Národná rada Slovenskej republiky:</w:t>
      </w:r>
    </w:p>
    <w:p w14:paraId="14D6C256" w14:textId="77777777" w:rsidR="00087D51" w:rsidRDefault="00087D51" w:rsidP="00087D51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68AA46D3" w14:textId="4AB3F6FB" w:rsidR="00D059B6" w:rsidRPr="00087D51" w:rsidRDefault="00087D51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087D51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vzhľadom 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 xml:space="preserve">na niekoľkokrát potvrdený </w:t>
      </w:r>
      <w:r w:rsidRPr="00087D51"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  <w:t>výskyt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vírusového ochorenia </w:t>
      </w:r>
      <w:r w:rsidRPr="00087D5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slintačky a krívačky u </w:t>
      </w:r>
      <w:r w:rsidRPr="00087D51">
        <w:rPr>
          <w:rFonts w:ascii="Book Antiqua" w:hAnsi="Book Antiqua"/>
          <w:sz w:val="22"/>
          <w:szCs w:val="22"/>
        </w:rPr>
        <w:t xml:space="preserve">hovädzieho dobytka, oviec, kôz, ošípaných a iných párnokopytníkov vrátane farmovej zveri </w:t>
      </w:r>
      <w:r w:rsidRPr="00087D5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na území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Slovenskej republiky</w:t>
      </w:r>
    </w:p>
    <w:p w14:paraId="4C3CF333" w14:textId="77777777" w:rsidR="00087D51" w:rsidRDefault="00087D51" w:rsidP="00087D51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38C5E6BD" w14:textId="51733820" w:rsidR="00CD4B83" w:rsidRDefault="00087D51" w:rsidP="00087D51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žiada</w:t>
      </w:r>
    </w:p>
    <w:p w14:paraId="23F2BF4A" w14:textId="77777777" w:rsidR="00087D51" w:rsidRDefault="00087D51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6D08B40B" w14:textId="69BDFE8C" w:rsidR="009A51A3" w:rsidRPr="000B3CB2" w:rsidRDefault="00087D51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vládu Slovenskej republiky, aby predložila Národnej rade Slovenskej republiky harmonogram opatrení v súvislosti s výskytom slintačky a krívačky na území Slovenskej republiky do 5 dní odo dňa prijatia tohto uznesenia. </w:t>
      </w:r>
    </w:p>
    <w:p w14:paraId="01EFE8DC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6BC4F1BF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D7B2492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836F34A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F2060A1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417B9A60" w14:textId="77777777" w:rsidR="00562D65" w:rsidRPr="000B3CB2" w:rsidRDefault="001718E7" w:rsidP="000B3CB2">
      <w:pPr>
        <w:pageBreakBefore/>
        <w:tabs>
          <w:tab w:val="left" w:pos="1095"/>
        </w:tabs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DDE32B0" w14:textId="77777777" w:rsidR="00562D65" w:rsidRPr="000B3CB2" w:rsidRDefault="00562D65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5F3F75B" w14:textId="77777777" w:rsidR="0041443F" w:rsidRPr="000B3CB2" w:rsidRDefault="001718E7" w:rsidP="0041443F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 w:rsidRPr="000B3CB2">
        <w:rPr>
          <w:rFonts w:ascii="Book Antiqua" w:hAnsi="Book Antiqua" w:cs="Times New Roman"/>
          <w:sz w:val="22"/>
          <w:szCs w:val="22"/>
        </w:rPr>
        <w:tab/>
      </w:r>
      <w:r w:rsidR="001C5BD7">
        <w:rPr>
          <w:rFonts w:ascii="Book Antiqua" w:hAnsi="Book Antiqua" w:cs="Times New Roman"/>
          <w:sz w:val="22"/>
          <w:szCs w:val="22"/>
        </w:rPr>
        <w:t xml:space="preserve">Dňa 10. januára 2025 sa prvýkrát potvrdil výskyt slintačky a krívačky </w:t>
      </w:r>
      <w:r w:rsidR="0041443F">
        <w:rPr>
          <w:rFonts w:ascii="Book Antiqua" w:hAnsi="Book Antiqua" w:cs="Times New Roman"/>
          <w:sz w:val="22"/>
          <w:szCs w:val="22"/>
        </w:rPr>
        <w:t xml:space="preserve">v Nemecku. Okolité štáty už niekoľko týždňov prijímajú príslušné opatrenia, zatiaľ čo vláda Slovenskej republiky sa tvári, že nášho územia sa to netýka. </w:t>
      </w:r>
      <w:r w:rsidRPr="000B3CB2">
        <w:rPr>
          <w:rFonts w:ascii="Book Antiqua" w:hAnsi="Book Antiqua" w:cs="Times New Roman"/>
          <w:sz w:val="22"/>
          <w:szCs w:val="22"/>
        </w:rPr>
        <w:t xml:space="preserve">Navrhuje sa prijatie uznesenia Národnou radou Slovenskej republiky, </w:t>
      </w:r>
      <w:r w:rsidR="0041443F">
        <w:rPr>
          <w:rFonts w:ascii="Book Antiqua" w:hAnsi="Book Antiqua" w:cs="Times New Roman"/>
          <w:sz w:val="22"/>
          <w:szCs w:val="22"/>
        </w:rPr>
        <w:t xml:space="preserve">ktorou sa žiada vláda Slovenskej republiky na predloženie harmonogramu opatrení </w:t>
      </w:r>
      <w:r w:rsidR="0041443F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s výskytom slintačky a krívačky na území Slovenskej republiky do 5 dní odo dňa prijatia tohto uznesenia. </w:t>
      </w:r>
    </w:p>
    <w:p w14:paraId="104B4D4D" w14:textId="7B650F0F" w:rsidR="0063672D" w:rsidRPr="0041443F" w:rsidRDefault="0063672D" w:rsidP="00CC376E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69F3FE28" w14:textId="6144D01F" w:rsidR="00225DC9" w:rsidRDefault="0063672D" w:rsidP="0041443F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0B3CB2">
        <w:rPr>
          <w:rFonts w:ascii="Book Antiqua" w:hAnsi="Book Antiqua" w:cs="Times New Roman"/>
          <w:sz w:val="22"/>
          <w:szCs w:val="22"/>
        </w:rPr>
        <w:tab/>
      </w:r>
    </w:p>
    <w:p w14:paraId="57F2B6A0" w14:textId="3C845EB2" w:rsidR="008A381F" w:rsidRPr="000B3CB2" w:rsidRDefault="008A381F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</w:p>
    <w:sectPr w:rsidR="008A381F" w:rsidRPr="000B3CB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BE94" w14:textId="77777777" w:rsidR="00651A71" w:rsidRDefault="00651A71" w:rsidP="00CD5F7A">
      <w:pPr>
        <w:rPr>
          <w:rFonts w:hint="eastAsia"/>
        </w:rPr>
      </w:pPr>
      <w:r>
        <w:separator/>
      </w:r>
    </w:p>
  </w:endnote>
  <w:endnote w:type="continuationSeparator" w:id="0">
    <w:p w14:paraId="2D3F4248" w14:textId="77777777" w:rsidR="00651A71" w:rsidRDefault="00651A71" w:rsidP="00CD5F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BA15" w14:textId="77777777" w:rsidR="00651A71" w:rsidRDefault="00651A71" w:rsidP="00CD5F7A">
      <w:pPr>
        <w:rPr>
          <w:rFonts w:hint="eastAsia"/>
        </w:rPr>
      </w:pPr>
      <w:r>
        <w:separator/>
      </w:r>
    </w:p>
  </w:footnote>
  <w:footnote w:type="continuationSeparator" w:id="0">
    <w:p w14:paraId="382B9A48" w14:textId="77777777" w:rsidR="00651A71" w:rsidRDefault="00651A71" w:rsidP="00CD5F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-360" w:firstLine="0"/>
      </w:pPr>
    </w:lvl>
    <w:lvl w:ilvl="1">
      <w:start w:val="1"/>
      <w:numFmt w:val="none"/>
      <w:suff w:val="nothing"/>
      <w:lvlText w:val=""/>
      <w:lvlJc w:val="left"/>
      <w:pPr>
        <w:ind w:left="-360" w:firstLine="0"/>
      </w:pPr>
    </w:lvl>
    <w:lvl w:ilvl="2">
      <w:start w:val="1"/>
      <w:numFmt w:val="none"/>
      <w:suff w:val="nothing"/>
      <w:lvlText w:val=""/>
      <w:lvlJc w:val="left"/>
      <w:pPr>
        <w:ind w:left="-360" w:firstLine="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7346"/>
    <w:multiLevelType w:val="hybridMultilevel"/>
    <w:tmpl w:val="5EB84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928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5452">
    <w:abstractNumId w:val="1"/>
  </w:num>
  <w:num w:numId="2" w16cid:durableId="512374977">
    <w:abstractNumId w:val="6"/>
  </w:num>
  <w:num w:numId="3" w16cid:durableId="1109013029">
    <w:abstractNumId w:val="0"/>
  </w:num>
  <w:num w:numId="4" w16cid:durableId="1610354155">
    <w:abstractNumId w:val="3"/>
  </w:num>
  <w:num w:numId="5" w16cid:durableId="151914234">
    <w:abstractNumId w:val="5"/>
  </w:num>
  <w:num w:numId="6" w16cid:durableId="865679678">
    <w:abstractNumId w:val="2"/>
  </w:num>
  <w:num w:numId="7" w16cid:durableId="629938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65"/>
    <w:rsid w:val="00002870"/>
    <w:rsid w:val="00033415"/>
    <w:rsid w:val="00087D51"/>
    <w:rsid w:val="000B3CB2"/>
    <w:rsid w:val="000E3538"/>
    <w:rsid w:val="00156A29"/>
    <w:rsid w:val="001718E7"/>
    <w:rsid w:val="00174C7F"/>
    <w:rsid w:val="001831E4"/>
    <w:rsid w:val="0019466D"/>
    <w:rsid w:val="001C5BD7"/>
    <w:rsid w:val="001F75BA"/>
    <w:rsid w:val="002231C8"/>
    <w:rsid w:val="00225D68"/>
    <w:rsid w:val="00225DC9"/>
    <w:rsid w:val="00256F6C"/>
    <w:rsid w:val="00267A9F"/>
    <w:rsid w:val="003B1015"/>
    <w:rsid w:val="003D34D7"/>
    <w:rsid w:val="003E3D0B"/>
    <w:rsid w:val="0041443F"/>
    <w:rsid w:val="00432E41"/>
    <w:rsid w:val="004B6E67"/>
    <w:rsid w:val="004E3C67"/>
    <w:rsid w:val="004F5B75"/>
    <w:rsid w:val="00521A6F"/>
    <w:rsid w:val="00562D65"/>
    <w:rsid w:val="005A45EF"/>
    <w:rsid w:val="005D0C5A"/>
    <w:rsid w:val="005E4DC6"/>
    <w:rsid w:val="0060535C"/>
    <w:rsid w:val="00635EAA"/>
    <w:rsid w:val="0063672D"/>
    <w:rsid w:val="00650AF3"/>
    <w:rsid w:val="00651A71"/>
    <w:rsid w:val="00684E27"/>
    <w:rsid w:val="0076585C"/>
    <w:rsid w:val="00780C1D"/>
    <w:rsid w:val="00781A22"/>
    <w:rsid w:val="007823DB"/>
    <w:rsid w:val="007B4EF6"/>
    <w:rsid w:val="00837443"/>
    <w:rsid w:val="008424C0"/>
    <w:rsid w:val="00851662"/>
    <w:rsid w:val="00891D72"/>
    <w:rsid w:val="008A342E"/>
    <w:rsid w:val="008A381F"/>
    <w:rsid w:val="009415D9"/>
    <w:rsid w:val="00974435"/>
    <w:rsid w:val="009A51A3"/>
    <w:rsid w:val="009E3A97"/>
    <w:rsid w:val="00A847B2"/>
    <w:rsid w:val="00A91DC0"/>
    <w:rsid w:val="00AB0FB4"/>
    <w:rsid w:val="00B01DA9"/>
    <w:rsid w:val="00B2589F"/>
    <w:rsid w:val="00B360FF"/>
    <w:rsid w:val="00B53C0B"/>
    <w:rsid w:val="00B85025"/>
    <w:rsid w:val="00BC3B96"/>
    <w:rsid w:val="00C34C8D"/>
    <w:rsid w:val="00C97B6B"/>
    <w:rsid w:val="00CB14A9"/>
    <w:rsid w:val="00CC376E"/>
    <w:rsid w:val="00CD4B83"/>
    <w:rsid w:val="00CD5F7A"/>
    <w:rsid w:val="00CF0A32"/>
    <w:rsid w:val="00D059B6"/>
    <w:rsid w:val="00D17CF2"/>
    <w:rsid w:val="00DD7C02"/>
    <w:rsid w:val="00DE1451"/>
    <w:rsid w:val="00DF0345"/>
    <w:rsid w:val="00E01114"/>
    <w:rsid w:val="00E37E1C"/>
    <w:rsid w:val="00E673AA"/>
    <w:rsid w:val="00E777D0"/>
    <w:rsid w:val="00EC2744"/>
    <w:rsid w:val="00F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9C5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F7A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F7A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F7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CD5F7A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684E27"/>
  </w:style>
  <w:style w:type="paragraph" w:styleId="Revzia">
    <w:name w:val="Revision"/>
    <w:hidden/>
    <w:uiPriority w:val="99"/>
    <w:semiHidden/>
    <w:rsid w:val="00D059B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6B0E-0632-4676-A769-8659945B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myoffice3867</cp:lastModifiedBy>
  <cp:revision>5</cp:revision>
  <dcterms:created xsi:type="dcterms:W3CDTF">2025-03-25T11:36:00Z</dcterms:created>
  <dcterms:modified xsi:type="dcterms:W3CDTF">2025-03-25T11:57:00Z</dcterms:modified>
  <dc:language>sk-SK</dc:language>
</cp:coreProperties>
</file>