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81" w:rsidRDefault="00AD5D81" w:rsidP="00AD5D81">
      <w:pPr>
        <w:pStyle w:val="Nzov"/>
      </w:pPr>
      <w:bookmarkStart w:id="0" w:name="_GoBack"/>
      <w:bookmarkEnd w:id="0"/>
      <w:r>
        <w:t>NÁRODNÁ RADA SLOVENSKEJ REPUBLIKY</w:t>
      </w:r>
    </w:p>
    <w:p w:rsidR="00AD5D81" w:rsidRDefault="00AD5D81" w:rsidP="00AD5D81">
      <w:pPr>
        <w:pStyle w:val="Podtitul"/>
      </w:pPr>
      <w:r>
        <w:t>IX. volebné obdobie</w:t>
      </w:r>
    </w:p>
    <w:p w:rsidR="00AD5D81" w:rsidRDefault="00AD5D81" w:rsidP="00AD5D81">
      <w:r>
        <w:t>___________________________________________________________________________</w:t>
      </w:r>
    </w:p>
    <w:p w:rsidR="00AD5D81" w:rsidRDefault="00AD5D81" w:rsidP="00AD5D81">
      <w:r>
        <w:t>K číslu: KNR-VFR-37860/2025-5</w:t>
      </w:r>
      <w:r>
        <w:tab/>
      </w:r>
      <w:r>
        <w:tab/>
      </w:r>
      <w:r>
        <w:tab/>
      </w:r>
      <w:r>
        <w:tab/>
      </w:r>
    </w:p>
    <w:p w:rsidR="00AD5D81" w:rsidRDefault="00AD5D81" w:rsidP="00AD5D81"/>
    <w:p w:rsidR="00AD5D81" w:rsidRDefault="00AD5D81" w:rsidP="00AD5D81"/>
    <w:p w:rsidR="00BC3730" w:rsidRDefault="00BC3730" w:rsidP="00AD5D81"/>
    <w:p w:rsidR="00AD5D81" w:rsidRDefault="00AD5D81" w:rsidP="00AD5D81">
      <w:pPr>
        <w:jc w:val="center"/>
        <w:rPr>
          <w:b/>
          <w:bCs/>
          <w:sz w:val="28"/>
        </w:rPr>
      </w:pPr>
      <w:r>
        <w:rPr>
          <w:b/>
          <w:bCs/>
          <w:sz w:val="28"/>
        </w:rPr>
        <w:t>445a</w:t>
      </w:r>
    </w:p>
    <w:p w:rsidR="00AD5D81" w:rsidRDefault="00AD5D81" w:rsidP="00AD5D81">
      <w:pPr>
        <w:pStyle w:val="Nadpis1"/>
      </w:pPr>
      <w:r>
        <w:t xml:space="preserve">S p o l o č n á    s p r á v a </w:t>
      </w:r>
    </w:p>
    <w:p w:rsidR="00AD5D81" w:rsidRDefault="00AD5D81" w:rsidP="00AD5D81"/>
    <w:p w:rsidR="00AD5D81" w:rsidRDefault="00AD5D81" w:rsidP="00AD5D81">
      <w:pPr>
        <w:jc w:val="both"/>
      </w:pPr>
      <w:r>
        <w:rPr>
          <w:b/>
        </w:rPr>
        <w:t xml:space="preserve">výborov Národnej rady Slovenskej republiky o  výsledku prerokovania návrhu </w:t>
      </w:r>
      <w:r w:rsidRPr="00832BA9">
        <w:rPr>
          <w:b/>
          <w:color w:val="000000"/>
        </w:rPr>
        <w:t>poslancov Národnej rady Slovenskej republiky Romana MICHELKA, Andreja DANKA a Dagmar KRAMPLOVEJ na vydanie zákona, ktorým sa mení a dopĺňa zákon č. 595/2003 Z. z. o dani z príjmov v znení neskorších predpisov (tlač 445)</w:t>
      </w:r>
      <w:r>
        <w:rPr>
          <w:b/>
        </w:rPr>
        <w:t xml:space="preserve"> vo výboroch Národnej rady Slovenskej republiky v druhom čítaní</w:t>
      </w:r>
      <w:r>
        <w:t xml:space="preserve"> </w:t>
      </w:r>
    </w:p>
    <w:p w:rsidR="00AD5D81" w:rsidRDefault="00AD5D81" w:rsidP="00AD5D81">
      <w:pPr>
        <w:jc w:val="both"/>
        <w:rPr>
          <w:b/>
        </w:rPr>
      </w:pPr>
      <w:r>
        <w:rPr>
          <w:b/>
        </w:rPr>
        <w:t>___________________________________________________________________________</w:t>
      </w:r>
    </w:p>
    <w:p w:rsidR="00AD5D81" w:rsidRDefault="00AD5D81" w:rsidP="00AD5D81">
      <w:pPr>
        <w:rPr>
          <w:b/>
        </w:rPr>
      </w:pPr>
    </w:p>
    <w:p w:rsidR="00AD5D81" w:rsidRDefault="00AD5D81" w:rsidP="00AD5D81">
      <w:pPr>
        <w:jc w:val="both"/>
      </w:pPr>
      <w:r>
        <w:t>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 návrhu zákona.</w:t>
      </w:r>
    </w:p>
    <w:p w:rsidR="00AD5D81" w:rsidRDefault="00AD5D81" w:rsidP="00AD5D81">
      <w:pPr>
        <w:jc w:val="both"/>
      </w:pPr>
      <w:r>
        <w:tab/>
      </w:r>
      <w:r>
        <w:tab/>
      </w:r>
      <w:r>
        <w:tab/>
      </w:r>
      <w:r>
        <w:tab/>
      </w:r>
      <w:r>
        <w:tab/>
      </w:r>
    </w:p>
    <w:p w:rsidR="00AD5D81" w:rsidRDefault="00AD5D81" w:rsidP="00AD5D81">
      <w:pPr>
        <w:jc w:val="center"/>
        <w:rPr>
          <w:b/>
          <w:bCs/>
        </w:rPr>
      </w:pPr>
      <w:r>
        <w:rPr>
          <w:b/>
          <w:bCs/>
        </w:rPr>
        <w:t>I.</w:t>
      </w:r>
    </w:p>
    <w:p w:rsidR="00AD5D81" w:rsidRDefault="00AD5D81" w:rsidP="00AD5D81">
      <w:pPr>
        <w:jc w:val="center"/>
        <w:rPr>
          <w:b/>
          <w:bCs/>
        </w:rPr>
      </w:pPr>
    </w:p>
    <w:p w:rsidR="00AD5D81" w:rsidRDefault="00AD5D81" w:rsidP="00AD5D81">
      <w:pPr>
        <w:pStyle w:val="Zkladntext"/>
        <w:rPr>
          <w:b w:val="0"/>
        </w:rPr>
      </w:pPr>
      <w:r>
        <w:rPr>
          <w:b w:val="0"/>
        </w:rPr>
        <w:t xml:space="preserve">Národná rada Slovenskej republiky uznesením č. 707 z 3. decembra 2024 pridelila  </w:t>
      </w:r>
      <w:r w:rsidRPr="00832BA9">
        <w:t>návrh</w:t>
      </w:r>
      <w:r>
        <w:rPr>
          <w:b w:val="0"/>
        </w:rPr>
        <w:t xml:space="preserve">  </w:t>
      </w:r>
      <w:r w:rsidRPr="00794964">
        <w:rPr>
          <w:color w:val="000000"/>
        </w:rPr>
        <w:t>poslancov Národnej rady Slovenskej republiky Romana MICHELKA, Andreja DANKA a Dagmar KRAMPLOVEJ na vydanie zákona, ktorým sa mení a dopĺňa zákon č. 595/2003 Z. z. o dani z príjmov v znení neskorších predpisov (tlač 445)</w:t>
      </w:r>
      <w:r>
        <w:rPr>
          <w:b w:val="0"/>
        </w:rPr>
        <w:t xml:space="preserve"> týmto výborom Národnej rady Slovenskej republiky :</w:t>
      </w:r>
    </w:p>
    <w:p w:rsidR="00AD5D81" w:rsidRDefault="00AD5D81" w:rsidP="00AD5D81">
      <w:pPr>
        <w:pStyle w:val="Zkladntext2"/>
        <w:jc w:val="left"/>
      </w:pPr>
    </w:p>
    <w:p w:rsidR="00AD5D81" w:rsidRDefault="00AD5D81" w:rsidP="00AD5D81">
      <w:pPr>
        <w:pStyle w:val="Zkladntext2"/>
        <w:numPr>
          <w:ilvl w:val="0"/>
          <w:numId w:val="1"/>
        </w:numPr>
      </w:pPr>
      <w:r>
        <w:t xml:space="preserve">Výboru Národnej rady Slovenskej republiky pre financie a rozpočet, </w:t>
      </w:r>
    </w:p>
    <w:p w:rsidR="00AD5D81" w:rsidRDefault="00AD5D81" w:rsidP="00AD5D81">
      <w:pPr>
        <w:pStyle w:val="Zkladntext2"/>
        <w:numPr>
          <w:ilvl w:val="0"/>
          <w:numId w:val="1"/>
        </w:numPr>
      </w:pPr>
      <w:r>
        <w:t>Výboru Národnej rady Slovenskej republiky pre hospodárske záležitosti,</w:t>
      </w:r>
    </w:p>
    <w:p w:rsidR="00AD5D81" w:rsidRDefault="00AD5D81" w:rsidP="00AD5D81">
      <w:pPr>
        <w:pStyle w:val="Zkladntext2"/>
        <w:numPr>
          <w:ilvl w:val="0"/>
          <w:numId w:val="1"/>
        </w:numPr>
      </w:pPr>
      <w:r>
        <w:t xml:space="preserve">Ústavnoprávnemu výboru Národnej rady Slovenskej republiky. </w:t>
      </w:r>
    </w:p>
    <w:p w:rsidR="00AD5D81" w:rsidRDefault="00AD5D81" w:rsidP="00AD5D81">
      <w:pPr>
        <w:tabs>
          <w:tab w:val="left" w:pos="-1985"/>
          <w:tab w:val="left" w:pos="709"/>
        </w:tabs>
        <w:jc w:val="both"/>
        <w:rPr>
          <w:bCs/>
        </w:rPr>
      </w:pPr>
    </w:p>
    <w:p w:rsidR="00AD5D81" w:rsidRDefault="00AD5D81" w:rsidP="00AD5D81">
      <w:pPr>
        <w:tabs>
          <w:tab w:val="left" w:pos="-1985"/>
          <w:tab w:val="left" w:pos="709"/>
        </w:tabs>
        <w:jc w:val="both"/>
      </w:pPr>
      <w:r>
        <w:rPr>
          <w:bCs/>
        </w:rPr>
        <w:t>Určila zároveň Výbor Národnej rady Slovenskej republiky pre financie a rozpočet ako gestorský výbor a lehotu na prerokovanie predmetného návrhu zákona v druhom čítaní vo výboroch.</w:t>
      </w:r>
    </w:p>
    <w:p w:rsidR="00AD5D81" w:rsidRDefault="00AD5D81" w:rsidP="00AD5D81">
      <w:pPr>
        <w:pStyle w:val="Zkladntext2"/>
        <w:jc w:val="center"/>
        <w:rPr>
          <w:b/>
        </w:rPr>
      </w:pPr>
      <w:r>
        <w:rPr>
          <w:b/>
        </w:rPr>
        <w:t>II.</w:t>
      </w:r>
    </w:p>
    <w:p w:rsidR="00AD5D81" w:rsidRDefault="00AD5D81" w:rsidP="00AD5D81">
      <w:pPr>
        <w:pStyle w:val="Zkladntext2"/>
        <w:jc w:val="center"/>
        <w:rPr>
          <w:b/>
        </w:rPr>
      </w:pPr>
    </w:p>
    <w:p w:rsidR="00AD5D81" w:rsidRDefault="00AD5D81" w:rsidP="00AD5D81">
      <w:pPr>
        <w:tabs>
          <w:tab w:val="left" w:pos="-1985"/>
          <w:tab w:val="left" w:pos="709"/>
          <w:tab w:val="left" w:pos="1077"/>
        </w:tabs>
        <w:jc w:val="both"/>
      </w:pPr>
      <w:r>
        <w:t xml:space="preserve">Poslanci Národnej rady Slovenskej republiky, ktorí nie sú členmi výborov, ktorým bol návrh zákona pridelený, </w:t>
      </w:r>
      <w:r>
        <w:rPr>
          <w:bCs/>
        </w:rPr>
        <w:t>neoznámili v určenej lehote</w:t>
      </w:r>
      <w:r>
        <w:t xml:space="preserve"> gestorskému výboru </w:t>
      </w:r>
      <w:r>
        <w:rPr>
          <w:bCs/>
        </w:rPr>
        <w:t>žiadne stanovisko</w:t>
      </w:r>
      <w:r>
        <w:t xml:space="preserve"> k predmetnému  návrhu zákona (§ 75 ods. 2 zákona o rokovacom poriadku Národnej rady Slovenskej republiky).</w:t>
      </w:r>
    </w:p>
    <w:p w:rsidR="00AD5D81" w:rsidRDefault="00AD5D81" w:rsidP="00AD5D81">
      <w:pPr>
        <w:jc w:val="both"/>
      </w:pPr>
    </w:p>
    <w:p w:rsidR="00AD5D81" w:rsidRDefault="00AD5D81" w:rsidP="00AD5D81">
      <w:pPr>
        <w:pStyle w:val="Zkladntext2"/>
        <w:ind w:firstLine="3"/>
        <w:jc w:val="center"/>
        <w:rPr>
          <w:b/>
        </w:rPr>
      </w:pPr>
      <w:r>
        <w:rPr>
          <w:b/>
        </w:rPr>
        <w:t>III.</w:t>
      </w:r>
    </w:p>
    <w:p w:rsidR="00AD5D81" w:rsidRDefault="00AD5D81" w:rsidP="00AD5D81">
      <w:pPr>
        <w:pStyle w:val="Zkladntext2"/>
        <w:ind w:left="705"/>
        <w:jc w:val="center"/>
        <w:rPr>
          <w:b/>
        </w:rPr>
      </w:pPr>
    </w:p>
    <w:p w:rsidR="00AD5D81" w:rsidRDefault="00AD5D81" w:rsidP="00AD5D81">
      <w:pPr>
        <w:pStyle w:val="Zkladntext2"/>
        <w:ind w:firstLine="720"/>
      </w:pPr>
      <w:r>
        <w:t>K predmetnému návrhu zákona zaujali výbory Národnej rady Slovenskej republiky tieto stanoviská:</w:t>
      </w:r>
    </w:p>
    <w:p w:rsidR="00AD5D81" w:rsidRDefault="00AD5D81" w:rsidP="00AD5D81">
      <w:pPr>
        <w:pStyle w:val="Zkladntext2"/>
        <w:ind w:left="720"/>
        <w:rPr>
          <w:b/>
          <w:bCs/>
        </w:rPr>
      </w:pPr>
      <w:r>
        <w:lastRenderedPageBreak/>
        <w:t xml:space="preserve">Odporúčanie pre Národnú radu Slovenskej republiky návrh </w:t>
      </w:r>
      <w:r>
        <w:rPr>
          <w:b/>
          <w:bCs/>
        </w:rPr>
        <w:t>schváliť:</w:t>
      </w:r>
    </w:p>
    <w:p w:rsidR="00AD5D81" w:rsidRDefault="00AD5D81" w:rsidP="00AD5D81">
      <w:pPr>
        <w:pStyle w:val="Zkladntext2"/>
        <w:ind w:left="1065"/>
        <w:rPr>
          <w:b/>
          <w:bCs/>
        </w:rPr>
      </w:pPr>
    </w:p>
    <w:p w:rsidR="00AD5D81" w:rsidRDefault="00AD5D81" w:rsidP="00AD5D81">
      <w:pPr>
        <w:pStyle w:val="Zkladntext2"/>
        <w:numPr>
          <w:ilvl w:val="0"/>
          <w:numId w:val="3"/>
        </w:numPr>
        <w:tabs>
          <w:tab w:val="left" w:pos="993"/>
        </w:tabs>
      </w:pPr>
      <w:r>
        <w:rPr>
          <w:b/>
        </w:rPr>
        <w:t>Ústavnoprávny výbor</w:t>
      </w:r>
      <w:r>
        <w:t xml:space="preserve"> Národnej rady Slovenskej repu</w:t>
      </w:r>
      <w:r w:rsidR="00725317">
        <w:t>bliky (</w:t>
      </w:r>
      <w:proofErr w:type="spellStart"/>
      <w:r w:rsidR="00725317">
        <w:t>uzn</w:t>
      </w:r>
      <w:proofErr w:type="spellEnd"/>
      <w:r w:rsidR="00725317">
        <w:t xml:space="preserve">. č. 274 zo dňa </w:t>
      </w:r>
      <w:r>
        <w:t xml:space="preserve">25. marca 2025) </w:t>
      </w:r>
      <w:r w:rsidRPr="00E20855">
        <w:rPr>
          <w:b/>
        </w:rPr>
        <w:t>s pozmeňujúcimi a doplňujúcimi návrhmi</w:t>
      </w:r>
      <w:r>
        <w:t>;</w:t>
      </w:r>
    </w:p>
    <w:p w:rsidR="00AD5D81" w:rsidRPr="00143276" w:rsidRDefault="00AD5D81" w:rsidP="00AD5D81">
      <w:pPr>
        <w:pStyle w:val="Zkladntext2"/>
        <w:tabs>
          <w:tab w:val="left" w:pos="993"/>
        </w:tabs>
        <w:ind w:left="360"/>
      </w:pPr>
    </w:p>
    <w:p w:rsidR="00AD5D81" w:rsidRDefault="00AD5D81" w:rsidP="00AD5D81">
      <w:pPr>
        <w:pStyle w:val="Zkladntext2"/>
        <w:numPr>
          <w:ilvl w:val="0"/>
          <w:numId w:val="3"/>
        </w:numPr>
        <w:tabs>
          <w:tab w:val="left" w:pos="993"/>
        </w:tabs>
      </w:pPr>
      <w:r>
        <w:rPr>
          <w:b/>
        </w:rPr>
        <w:t>Výbor</w:t>
      </w:r>
      <w:r>
        <w:t xml:space="preserve"> Národnej rady Slovenskej republiky </w:t>
      </w:r>
      <w:r>
        <w:rPr>
          <w:b/>
        </w:rPr>
        <w:t>pre financie a rozpočet</w:t>
      </w:r>
      <w:r>
        <w:t xml:space="preserve"> (</w:t>
      </w:r>
      <w:proofErr w:type="spellStart"/>
      <w:r>
        <w:t>uzn</w:t>
      </w:r>
      <w:proofErr w:type="spellEnd"/>
      <w:r>
        <w:t>. č. 194 zo dňa</w:t>
      </w:r>
      <w:r>
        <w:rPr>
          <w:b/>
        </w:rPr>
        <w:t xml:space="preserve"> </w:t>
      </w:r>
      <w:r w:rsidRPr="00C528A0">
        <w:t xml:space="preserve">20. </w:t>
      </w:r>
      <w:r w:rsidRPr="001F249B">
        <w:t>marca</w:t>
      </w:r>
      <w:r>
        <w:t xml:space="preserve"> 2025);</w:t>
      </w:r>
    </w:p>
    <w:p w:rsidR="00AD5D81" w:rsidRDefault="00AD5D81" w:rsidP="00AD5D81">
      <w:pPr>
        <w:pStyle w:val="Zkladntext2"/>
        <w:ind w:left="1065"/>
      </w:pPr>
    </w:p>
    <w:p w:rsidR="00AD5D81" w:rsidRDefault="00AD5D81" w:rsidP="00725317">
      <w:pPr>
        <w:pStyle w:val="Zkladntext2"/>
        <w:numPr>
          <w:ilvl w:val="0"/>
          <w:numId w:val="3"/>
        </w:numPr>
        <w:tabs>
          <w:tab w:val="left" w:pos="993"/>
        </w:tabs>
      </w:pPr>
      <w:r>
        <w:rPr>
          <w:b/>
        </w:rPr>
        <w:t xml:space="preserve">Výbor </w:t>
      </w:r>
      <w:r>
        <w:t>Národnej rady Slovenskej republiky</w:t>
      </w:r>
      <w:r>
        <w:rPr>
          <w:b/>
        </w:rPr>
        <w:t xml:space="preserve"> pre hospodárske záležitosti </w:t>
      </w:r>
      <w:r w:rsidRPr="00143276">
        <w:t>(</w:t>
      </w:r>
      <w:proofErr w:type="spellStart"/>
      <w:r w:rsidRPr="00143276">
        <w:t>uzn</w:t>
      </w:r>
      <w:proofErr w:type="spellEnd"/>
      <w:r w:rsidRPr="00143276">
        <w:t>.</w:t>
      </w:r>
      <w:r>
        <w:rPr>
          <w:b/>
        </w:rPr>
        <w:t xml:space="preserve"> </w:t>
      </w:r>
      <w:r w:rsidR="00494E2D" w:rsidRPr="00494E2D">
        <w:t>č.</w:t>
      </w:r>
      <w:r w:rsidR="00494E2D">
        <w:rPr>
          <w:b/>
        </w:rPr>
        <w:t xml:space="preserve"> </w:t>
      </w:r>
      <w:r w:rsidRPr="00143276">
        <w:t>150 zo dňa 25. marca 2025</w:t>
      </w:r>
      <w:r w:rsidR="00725317">
        <w:t>)</w:t>
      </w:r>
      <w:r w:rsidRPr="00143276">
        <w:t xml:space="preserve">. </w:t>
      </w:r>
    </w:p>
    <w:p w:rsidR="00AD5D81" w:rsidRDefault="00AD5D81" w:rsidP="00AD5D81">
      <w:pPr>
        <w:pStyle w:val="Zkladntext2"/>
        <w:jc w:val="center"/>
        <w:rPr>
          <w:b/>
        </w:rPr>
      </w:pPr>
      <w:r>
        <w:rPr>
          <w:b/>
        </w:rPr>
        <w:t>IV.</w:t>
      </w:r>
    </w:p>
    <w:p w:rsidR="00AD5D81" w:rsidRDefault="00AD5D81" w:rsidP="00AD5D81">
      <w:pPr>
        <w:pStyle w:val="Zkladntext2"/>
        <w:ind w:left="1065"/>
        <w:jc w:val="center"/>
        <w:rPr>
          <w:b/>
        </w:rPr>
      </w:pPr>
    </w:p>
    <w:p w:rsidR="00AD5D81" w:rsidRDefault="00AD5D81" w:rsidP="00AD5D81">
      <w:pPr>
        <w:pStyle w:val="Zkladntext2"/>
        <w:ind w:firstLine="708"/>
      </w:pPr>
      <w:r>
        <w:t xml:space="preserve">Z uznesení výborov Národnej rady Slovenskej republiky uvedených pod bodom III. tejto správy vyplynuli tieto pozmeňujúce a doplňujúce návrhy:  </w:t>
      </w:r>
    </w:p>
    <w:p w:rsidR="00AD5D81" w:rsidRDefault="00AD5D81" w:rsidP="00725317">
      <w:pPr>
        <w:pStyle w:val="Zkladntext2"/>
      </w:pPr>
    </w:p>
    <w:p w:rsidR="00AD5D81" w:rsidRPr="00143276" w:rsidRDefault="00AD5D81" w:rsidP="00AD5D81">
      <w:pPr>
        <w:pStyle w:val="Odsekzoznamu"/>
        <w:numPr>
          <w:ilvl w:val="0"/>
          <w:numId w:val="7"/>
        </w:numPr>
        <w:spacing w:after="0" w:line="240" w:lineRule="auto"/>
        <w:jc w:val="both"/>
        <w:rPr>
          <w:rFonts w:ascii="Times New Roman" w:hAnsi="Times New Roman" w:cs="Times New Roman"/>
          <w:sz w:val="24"/>
          <w:szCs w:val="24"/>
        </w:rPr>
      </w:pPr>
      <w:r w:rsidRPr="00143276">
        <w:rPr>
          <w:rFonts w:ascii="Times New Roman" w:hAnsi="Times New Roman" w:cs="Times New Roman"/>
          <w:sz w:val="24"/>
          <w:szCs w:val="24"/>
        </w:rPr>
        <w:t>V čl. I doterajší  bod 1 znie:</w:t>
      </w:r>
    </w:p>
    <w:p w:rsidR="00AD5D81" w:rsidRPr="00143276" w:rsidRDefault="00AD5D81" w:rsidP="00AD5D81">
      <w:pPr>
        <w:pStyle w:val="Odsekzoznamu"/>
        <w:rPr>
          <w:rFonts w:ascii="Times New Roman" w:hAnsi="Times New Roman" w:cs="Times New Roman"/>
          <w:sz w:val="24"/>
          <w:szCs w:val="24"/>
        </w:rPr>
      </w:pPr>
      <w:r w:rsidRPr="00143276">
        <w:rPr>
          <w:rFonts w:ascii="Times New Roman" w:hAnsi="Times New Roman" w:cs="Times New Roman"/>
          <w:sz w:val="24"/>
          <w:szCs w:val="24"/>
        </w:rPr>
        <w:t>„1. V § 22 sa odsek 6 dopĺňa písmenami f) a g), ktoré znejú:</w:t>
      </w:r>
    </w:p>
    <w:p w:rsidR="00AD5D81" w:rsidRPr="00143276" w:rsidRDefault="00AD5D81" w:rsidP="00AD5D81">
      <w:pPr>
        <w:pStyle w:val="Odsekzoznamu"/>
        <w:tabs>
          <w:tab w:val="left" w:pos="1134"/>
        </w:tabs>
        <w:rPr>
          <w:rFonts w:ascii="Times New Roman" w:hAnsi="Times New Roman" w:cs="Times New Roman"/>
          <w:sz w:val="24"/>
          <w:szCs w:val="24"/>
        </w:rPr>
      </w:pPr>
      <w:r w:rsidRPr="00143276">
        <w:rPr>
          <w:rFonts w:ascii="Times New Roman" w:hAnsi="Times New Roman" w:cs="Times New Roman"/>
          <w:sz w:val="24"/>
          <w:szCs w:val="24"/>
        </w:rPr>
        <w:t>„f)</w:t>
      </w:r>
      <w:r w:rsidRPr="00143276">
        <w:rPr>
          <w:rFonts w:ascii="Times New Roman" w:hAnsi="Times New Roman" w:cs="Times New Roman"/>
          <w:sz w:val="24"/>
          <w:szCs w:val="24"/>
        </w:rPr>
        <w:tab/>
        <w:t xml:space="preserve">úhrn technického zhodnotenia a opráv vykonaných na budove zatriedenej do kódu Klasifikácie stavieb 121 </w:t>
      </w:r>
      <w:bookmarkStart w:id="1" w:name="_Hlk181817830"/>
      <w:r w:rsidRPr="00143276">
        <w:rPr>
          <w:rFonts w:ascii="Times New Roman" w:hAnsi="Times New Roman" w:cs="Times New Roman"/>
          <w:sz w:val="24"/>
          <w:szCs w:val="24"/>
        </w:rPr>
        <w:t>podľa osobitného predpisu,</w:t>
      </w:r>
      <w:r w:rsidRPr="00143276">
        <w:rPr>
          <w:rFonts w:ascii="Times New Roman" w:hAnsi="Times New Roman" w:cs="Times New Roman"/>
          <w:sz w:val="24"/>
          <w:szCs w:val="24"/>
          <w:vertAlign w:val="superscript"/>
        </w:rPr>
        <w:t>106</w:t>
      </w:r>
      <w:r w:rsidRPr="00143276">
        <w:rPr>
          <w:rFonts w:ascii="Times New Roman" w:hAnsi="Times New Roman" w:cs="Times New Roman"/>
          <w:sz w:val="24"/>
          <w:szCs w:val="24"/>
        </w:rPr>
        <w:t xml:space="preserve">) </w:t>
      </w:r>
      <w:bookmarkEnd w:id="1"/>
      <w:r w:rsidRPr="00143276">
        <w:rPr>
          <w:rFonts w:ascii="Times New Roman" w:hAnsi="Times New Roman" w:cs="Times New Roman"/>
          <w:sz w:val="24"/>
          <w:szCs w:val="24"/>
        </w:rPr>
        <w:t>využívanej na účely poskytovania ubytovacích služieb na základe zmluvy o ubytovaní</w:t>
      </w:r>
      <w:r w:rsidRPr="00143276">
        <w:rPr>
          <w:rFonts w:ascii="Times New Roman" w:hAnsi="Times New Roman" w:cs="Times New Roman"/>
          <w:sz w:val="24"/>
          <w:szCs w:val="24"/>
          <w:vertAlign w:val="superscript"/>
        </w:rPr>
        <w:t>109a</w:t>
      </w:r>
      <w:r w:rsidRPr="00143276">
        <w:rPr>
          <w:rFonts w:ascii="Times New Roman" w:hAnsi="Times New Roman" w:cs="Times New Roman"/>
          <w:sz w:val="24"/>
          <w:szCs w:val="24"/>
        </w:rPr>
        <w:t>) a s nimi spojených služieb, ktorý je najmenej 10 % vstupnej ceny tejto budovy; rovnako sa postupuje, ak ide o budovu prenajatú na tento účel na základe nájomnej zmluvy,</w:t>
      </w:r>
    </w:p>
    <w:p w:rsidR="00AD5D81" w:rsidRPr="00143276" w:rsidRDefault="00AD5D81" w:rsidP="00AD5D81">
      <w:pPr>
        <w:pStyle w:val="Odsekzoznamu"/>
        <w:tabs>
          <w:tab w:val="left" w:pos="1134"/>
        </w:tabs>
        <w:rPr>
          <w:rFonts w:ascii="Times New Roman" w:hAnsi="Times New Roman" w:cs="Times New Roman"/>
          <w:sz w:val="24"/>
          <w:szCs w:val="24"/>
        </w:rPr>
      </w:pPr>
    </w:p>
    <w:p w:rsidR="00AD5D81" w:rsidRPr="00143276" w:rsidRDefault="00AD5D81" w:rsidP="00AD5D81">
      <w:pPr>
        <w:pStyle w:val="Odsekzoznamu"/>
        <w:tabs>
          <w:tab w:val="left" w:pos="1134"/>
        </w:tabs>
        <w:rPr>
          <w:rFonts w:ascii="Times New Roman" w:hAnsi="Times New Roman" w:cs="Times New Roman"/>
          <w:sz w:val="24"/>
          <w:szCs w:val="24"/>
        </w:rPr>
      </w:pPr>
      <w:r w:rsidRPr="00143276">
        <w:rPr>
          <w:rFonts w:ascii="Times New Roman" w:hAnsi="Times New Roman" w:cs="Times New Roman"/>
          <w:sz w:val="24"/>
          <w:szCs w:val="24"/>
        </w:rPr>
        <w:t>g) úhrn technického zhodnotenia a opráv vykonaných na budove alebo na stavbe zatriedenej do kódu Klasifikácie stavieb 1265 a 241 podľa osobitného predpisu</w:t>
      </w:r>
      <w:r w:rsidRPr="00143276">
        <w:rPr>
          <w:rFonts w:ascii="Times New Roman" w:hAnsi="Times New Roman" w:cs="Times New Roman"/>
          <w:sz w:val="24"/>
          <w:szCs w:val="24"/>
          <w:vertAlign w:val="superscript"/>
        </w:rPr>
        <w:t>106</w:t>
      </w:r>
      <w:r w:rsidRPr="00143276">
        <w:rPr>
          <w:rFonts w:ascii="Times New Roman" w:hAnsi="Times New Roman" w:cs="Times New Roman"/>
          <w:sz w:val="24"/>
          <w:szCs w:val="24"/>
        </w:rPr>
        <w:t>) využívanej na účel výkonu športu, ktorý je najmenej 10 % vstupnej ceny tejto budovy alebo stavby; rovnako sa postupuje, ak ide o budovu alebo stavbu prenajatú na tento účel na základe nájomnej zmluvy.“.</w:t>
      </w:r>
    </w:p>
    <w:p w:rsidR="00AD5D81" w:rsidRPr="00143276" w:rsidRDefault="00AD5D81" w:rsidP="00AD5D81">
      <w:pPr>
        <w:pStyle w:val="Odsekzoznamu"/>
        <w:tabs>
          <w:tab w:val="left" w:pos="1134"/>
        </w:tabs>
        <w:rPr>
          <w:rFonts w:ascii="Times New Roman" w:hAnsi="Times New Roman" w:cs="Times New Roman"/>
          <w:sz w:val="24"/>
          <w:szCs w:val="24"/>
        </w:rPr>
      </w:pPr>
    </w:p>
    <w:p w:rsidR="00AD5D81" w:rsidRPr="00143276" w:rsidRDefault="00AD5D81" w:rsidP="00AD5D81">
      <w:pPr>
        <w:pStyle w:val="Odsekzoznamu"/>
        <w:tabs>
          <w:tab w:val="left" w:pos="1134"/>
        </w:tabs>
        <w:rPr>
          <w:rFonts w:ascii="Times New Roman" w:hAnsi="Times New Roman" w:cs="Times New Roman"/>
          <w:sz w:val="24"/>
          <w:szCs w:val="24"/>
        </w:rPr>
      </w:pPr>
      <w:r w:rsidRPr="00143276">
        <w:rPr>
          <w:rFonts w:ascii="Times New Roman" w:hAnsi="Times New Roman" w:cs="Times New Roman"/>
          <w:sz w:val="24"/>
          <w:szCs w:val="24"/>
        </w:rPr>
        <w:t>Poznámka pod čiarou k odkazu 109a znie:</w:t>
      </w:r>
    </w:p>
    <w:p w:rsidR="00AD5D81" w:rsidRPr="00725317" w:rsidRDefault="00AD5D81" w:rsidP="00725317">
      <w:pPr>
        <w:pStyle w:val="Odsekzoznamu"/>
        <w:tabs>
          <w:tab w:val="left" w:pos="1134"/>
        </w:tabs>
        <w:rPr>
          <w:rFonts w:ascii="Times New Roman" w:hAnsi="Times New Roman" w:cs="Times New Roman"/>
          <w:sz w:val="24"/>
          <w:szCs w:val="24"/>
        </w:rPr>
      </w:pPr>
      <w:r w:rsidRPr="00143276">
        <w:rPr>
          <w:rFonts w:ascii="Times New Roman" w:hAnsi="Times New Roman" w:cs="Times New Roman"/>
          <w:sz w:val="24"/>
          <w:szCs w:val="24"/>
        </w:rPr>
        <w:t>„</w:t>
      </w:r>
      <w:r w:rsidRPr="00143276">
        <w:rPr>
          <w:rFonts w:ascii="Times New Roman" w:hAnsi="Times New Roman" w:cs="Times New Roman"/>
          <w:sz w:val="24"/>
          <w:szCs w:val="24"/>
          <w:vertAlign w:val="superscript"/>
        </w:rPr>
        <w:t>109a</w:t>
      </w:r>
      <w:r w:rsidRPr="00143276">
        <w:rPr>
          <w:rFonts w:ascii="Times New Roman" w:hAnsi="Times New Roman" w:cs="Times New Roman"/>
          <w:sz w:val="24"/>
          <w:szCs w:val="24"/>
        </w:rPr>
        <w:t>) § 754 až 759 Občianskeho zákonníka.“.“.</w:t>
      </w:r>
    </w:p>
    <w:p w:rsidR="00AD5D81" w:rsidRPr="00E20855" w:rsidRDefault="00AD5D81" w:rsidP="00AD5D81">
      <w:pPr>
        <w:ind w:left="3540"/>
        <w:jc w:val="both"/>
        <w:rPr>
          <w:rFonts w:eastAsia="Calibri"/>
          <w:bCs/>
          <w:iCs/>
        </w:rPr>
      </w:pPr>
      <w:r w:rsidRPr="00E20855">
        <w:rPr>
          <w:rFonts w:eastAsia="Calibri"/>
          <w:iCs/>
        </w:rPr>
        <w:t>Z dôvodu právnej istoty sa navrhovanou úpravou dopĺňajú konkrétne kódy Štatistickej klasifikácie stavieb, ktoré sa týkajú športových stavieb a budov pre šport a budov, v ktorých sa poskytujú ubytovacie služby a s nimi spojené služby, podľa prílohy k vyhláške Štatistického úradu Slovenskej republiky č. 323/2010 Z. z., ktorou sa vydáva Štatistická klasifikácia stavieb.</w:t>
      </w:r>
      <w:r w:rsidRPr="00E20855">
        <w:rPr>
          <w:rFonts w:eastAsia="Calibri"/>
          <w:b/>
          <w:bCs/>
          <w:iCs/>
        </w:rPr>
        <w:t xml:space="preserve"> </w:t>
      </w:r>
      <w:r w:rsidRPr="00E20855">
        <w:rPr>
          <w:rFonts w:eastAsia="Calibri"/>
          <w:bCs/>
          <w:iCs/>
        </w:rPr>
        <w:t xml:space="preserve">Osobitný spôsob uplatňovania daňových odpisov a odpisovanie úhrnu technického zhodnotenia a opráv budov a stavieb zatriedených do kódu Klasifikácie stavieb 241 sa vzťahujú na tie budovy, ktoré sú využívané na účel výkonu športu. To znamená, že napríklad zábavné parky a oddychové parky, verejné záhrady a parky, zoologické a botanické záhrady nie sú využívané za účelom výkonu športu a na nich sa ustanovenie § 22 ods. 6 písm. g) a § 26 ods. 14 </w:t>
      </w:r>
      <w:r w:rsidRPr="00E20855">
        <w:rPr>
          <w:rFonts w:eastAsia="Calibri"/>
          <w:bCs/>
          <w:iCs/>
        </w:rPr>
        <w:lastRenderedPageBreak/>
        <w:t>zákona nevzťahuje. Súčasne sa navrhuje legislatívno-technická úprava.</w:t>
      </w:r>
    </w:p>
    <w:p w:rsidR="00AD5D81" w:rsidRPr="00E20855" w:rsidRDefault="00AD5D81" w:rsidP="00AD5D81">
      <w:pPr>
        <w:tabs>
          <w:tab w:val="left" w:pos="1134"/>
        </w:tabs>
      </w:pPr>
    </w:p>
    <w:p w:rsidR="00AD5D81" w:rsidRPr="00E20855" w:rsidRDefault="00AD5D81" w:rsidP="00AD5D81">
      <w:pPr>
        <w:tabs>
          <w:tab w:val="left" w:pos="1134"/>
        </w:tabs>
      </w:pPr>
      <w:r>
        <w:tab/>
      </w:r>
      <w:r>
        <w:tab/>
      </w:r>
      <w:r>
        <w:tab/>
      </w:r>
      <w:r>
        <w:tab/>
      </w:r>
      <w:r>
        <w:tab/>
      </w:r>
      <w:r>
        <w:tab/>
      </w:r>
      <w:r w:rsidRPr="00E20855">
        <w:t>Ústavnoprávny výbor NR SR</w:t>
      </w:r>
    </w:p>
    <w:p w:rsidR="00AD5D81" w:rsidRDefault="00AD5D81" w:rsidP="00AD5D81">
      <w:pPr>
        <w:pStyle w:val="Odsekzoznamu"/>
        <w:tabs>
          <w:tab w:val="left" w:pos="1134"/>
        </w:tabs>
        <w:ind w:left="4956"/>
        <w:rPr>
          <w:rFonts w:ascii="Times New Roman" w:hAnsi="Times New Roman" w:cs="Times New Roman"/>
          <w:sz w:val="24"/>
          <w:szCs w:val="24"/>
        </w:rPr>
      </w:pPr>
    </w:p>
    <w:p w:rsidR="00AD5D81" w:rsidRDefault="00AD5D81" w:rsidP="00AD5D81">
      <w:pPr>
        <w:pStyle w:val="Odsekzoznamu"/>
        <w:tabs>
          <w:tab w:val="left" w:pos="1134"/>
        </w:tabs>
        <w:ind w:left="4956"/>
        <w:rPr>
          <w:rFonts w:ascii="Times New Roman" w:hAnsi="Times New Roman" w:cs="Times New Roman"/>
          <w:b/>
          <w:sz w:val="24"/>
          <w:szCs w:val="24"/>
        </w:rPr>
      </w:pPr>
      <w:r w:rsidRPr="00143276">
        <w:rPr>
          <w:rFonts w:ascii="Times New Roman" w:hAnsi="Times New Roman" w:cs="Times New Roman"/>
          <w:b/>
          <w:sz w:val="24"/>
          <w:szCs w:val="24"/>
        </w:rPr>
        <w:t xml:space="preserve">Gestorský výbor odporúča schváliť. </w:t>
      </w:r>
    </w:p>
    <w:p w:rsidR="00AD5D81" w:rsidRPr="00143276" w:rsidRDefault="00AD5D81" w:rsidP="00AD5D81">
      <w:pPr>
        <w:pStyle w:val="Odsekzoznamu"/>
        <w:tabs>
          <w:tab w:val="left" w:pos="1134"/>
        </w:tabs>
        <w:rPr>
          <w:rFonts w:ascii="Times New Roman" w:hAnsi="Times New Roman" w:cs="Times New Roman"/>
          <w:b/>
          <w:sz w:val="24"/>
          <w:szCs w:val="24"/>
        </w:rPr>
      </w:pPr>
    </w:p>
    <w:p w:rsidR="00AD5D81" w:rsidRPr="00143276" w:rsidRDefault="00AD5D81" w:rsidP="00AD5D81">
      <w:pPr>
        <w:pStyle w:val="Odsekzoznamu"/>
        <w:numPr>
          <w:ilvl w:val="0"/>
          <w:numId w:val="7"/>
        </w:numPr>
        <w:tabs>
          <w:tab w:val="left" w:pos="1134"/>
        </w:tabs>
        <w:spacing w:after="0" w:line="240" w:lineRule="auto"/>
        <w:jc w:val="both"/>
        <w:rPr>
          <w:rFonts w:ascii="Times New Roman" w:hAnsi="Times New Roman" w:cs="Times New Roman"/>
          <w:sz w:val="24"/>
          <w:szCs w:val="24"/>
        </w:rPr>
      </w:pPr>
      <w:bookmarkStart w:id="2" w:name="_Hlk181819207"/>
      <w:r w:rsidRPr="00143276">
        <w:rPr>
          <w:rFonts w:ascii="Times New Roman" w:hAnsi="Times New Roman" w:cs="Times New Roman"/>
          <w:sz w:val="24"/>
          <w:szCs w:val="24"/>
        </w:rPr>
        <w:t>V čl. I doterajší bod 2 znie:</w:t>
      </w:r>
    </w:p>
    <w:p w:rsidR="00AD5D81" w:rsidRPr="00143276" w:rsidRDefault="00AD5D81" w:rsidP="00AD5D81">
      <w:pPr>
        <w:pStyle w:val="Odsekzoznamu"/>
        <w:tabs>
          <w:tab w:val="left" w:pos="1134"/>
        </w:tabs>
        <w:rPr>
          <w:rFonts w:ascii="Times New Roman" w:hAnsi="Times New Roman" w:cs="Times New Roman"/>
          <w:sz w:val="24"/>
          <w:szCs w:val="24"/>
        </w:rPr>
      </w:pPr>
      <w:r w:rsidRPr="00143276">
        <w:rPr>
          <w:rFonts w:ascii="Times New Roman" w:hAnsi="Times New Roman" w:cs="Times New Roman"/>
          <w:sz w:val="24"/>
          <w:szCs w:val="24"/>
        </w:rPr>
        <w:t>„2. § 26 sa dopĺňa odsekom 14, ktorý znie:</w:t>
      </w:r>
    </w:p>
    <w:p w:rsidR="00AD5D81" w:rsidRPr="00143276" w:rsidRDefault="00AD5D81" w:rsidP="00AD5D81">
      <w:pPr>
        <w:pStyle w:val="Odsekzoznamu"/>
        <w:tabs>
          <w:tab w:val="left" w:pos="1134"/>
        </w:tabs>
        <w:rPr>
          <w:rFonts w:ascii="Times New Roman" w:hAnsi="Times New Roman" w:cs="Times New Roman"/>
          <w:sz w:val="24"/>
          <w:szCs w:val="24"/>
        </w:rPr>
      </w:pPr>
      <w:r w:rsidRPr="00143276">
        <w:rPr>
          <w:rFonts w:ascii="Times New Roman" w:hAnsi="Times New Roman" w:cs="Times New Roman"/>
          <w:sz w:val="24"/>
          <w:szCs w:val="24"/>
        </w:rPr>
        <w:t>„(14) Ročný odpis budovy podľa § 22 ods. 6 písm. f) a ročný odpis budovy alebo  stavby podľa § 22 ods. 6 písm. g) sa určí najviac počas doby odpisovania podľa odseku 1 a najmenej počas polovice doby odpisovania ustanovenej pre odpisovú skupinu 6 podľa § 27.“.“.</w:t>
      </w:r>
    </w:p>
    <w:bookmarkEnd w:id="2"/>
    <w:p w:rsidR="00AD5D81" w:rsidRPr="00E20855" w:rsidRDefault="00AD5D81" w:rsidP="00AD5D81">
      <w:pPr>
        <w:ind w:left="3540"/>
        <w:jc w:val="both"/>
        <w:rPr>
          <w:rFonts w:eastAsia="Calibri"/>
          <w:bCs/>
          <w:iCs/>
        </w:rPr>
      </w:pPr>
      <w:r w:rsidRPr="00E20855">
        <w:rPr>
          <w:rFonts w:eastAsia="Calibri"/>
          <w:iCs/>
        </w:rPr>
        <w:t>Z dôvodu právnej istoty sa navrhovanou úpravou dopĺňajú konkrétne kódy Štatistickej klasifikácie stavieb, ktoré sa týkajú športových stavieb a budov pre šport a budov, v ktorých sa poskytujú ubytovacie služby a s nimi spojené služby, podľa prílohy k vyhláške Štatistického úradu Slovenskej republiky č. 323/2010 Z. z., ktorou sa vydáva Štatistická klasifikácia stavieb.</w:t>
      </w:r>
      <w:r w:rsidRPr="00E20855">
        <w:rPr>
          <w:rFonts w:eastAsia="Calibri"/>
          <w:b/>
          <w:bCs/>
          <w:iCs/>
        </w:rPr>
        <w:t xml:space="preserve"> </w:t>
      </w:r>
      <w:r w:rsidRPr="00E20855">
        <w:rPr>
          <w:rFonts w:eastAsia="Calibri"/>
          <w:bCs/>
          <w:iCs/>
        </w:rPr>
        <w:t>Osobitný spôsob uplatňovania daňových odpisov a odpisovanie úhrnu technického zhodnotenia a opráv budov a stavieb zatriedených do kódu Klasifikácie stavieb 241 sa vzťahujú na tie budovy, ktoré sú využívané na účel výkonu športu. To znamená, že napríklad zábavné parky a oddychové parky, verejné záhrady a parky, zoologické a botanické záhrady nie sú využívané za účelom výkonu športu a na nich sa ustanovenie § 22 ods. 6 písm. g) a § 26 ods. 14 zákona nevzťahuje. Súčasne sa navrhuje legislatívno-technická úprava.</w:t>
      </w:r>
    </w:p>
    <w:p w:rsidR="00AD5D81" w:rsidRPr="00E20855" w:rsidRDefault="00AD5D81" w:rsidP="00AD5D81">
      <w:pPr>
        <w:rPr>
          <w:b/>
          <w:bCs/>
          <w:i/>
          <w:iCs/>
        </w:rPr>
      </w:pPr>
    </w:p>
    <w:p w:rsidR="00AD5D81" w:rsidRPr="00E20855" w:rsidRDefault="00AD5D81" w:rsidP="00AD5D81">
      <w:pPr>
        <w:tabs>
          <w:tab w:val="left" w:pos="1134"/>
        </w:tabs>
      </w:pPr>
      <w:r>
        <w:tab/>
      </w:r>
      <w:r>
        <w:tab/>
      </w:r>
      <w:r>
        <w:tab/>
      </w:r>
      <w:r>
        <w:tab/>
      </w:r>
      <w:r>
        <w:tab/>
      </w:r>
      <w:r>
        <w:tab/>
      </w:r>
      <w:r w:rsidRPr="00E20855">
        <w:t>Ústavnoprávny výbor NR SR</w:t>
      </w:r>
    </w:p>
    <w:p w:rsidR="00AD5D81" w:rsidRDefault="00AD5D81" w:rsidP="00AD5D81">
      <w:pPr>
        <w:pStyle w:val="Odsekzoznamu"/>
        <w:tabs>
          <w:tab w:val="left" w:pos="1134"/>
        </w:tabs>
        <w:ind w:left="4956"/>
        <w:rPr>
          <w:rFonts w:ascii="Times New Roman" w:hAnsi="Times New Roman" w:cs="Times New Roman"/>
          <w:sz w:val="24"/>
          <w:szCs w:val="24"/>
        </w:rPr>
      </w:pPr>
    </w:p>
    <w:p w:rsidR="00AD5D81" w:rsidRDefault="00AD5D81" w:rsidP="00725317">
      <w:pPr>
        <w:pStyle w:val="Odsekzoznamu"/>
        <w:tabs>
          <w:tab w:val="left" w:pos="1134"/>
        </w:tabs>
        <w:ind w:left="4956"/>
        <w:rPr>
          <w:rFonts w:ascii="Times New Roman" w:hAnsi="Times New Roman" w:cs="Times New Roman"/>
          <w:b/>
          <w:sz w:val="24"/>
          <w:szCs w:val="24"/>
        </w:rPr>
      </w:pPr>
      <w:r w:rsidRPr="00143276">
        <w:rPr>
          <w:rFonts w:ascii="Times New Roman" w:hAnsi="Times New Roman" w:cs="Times New Roman"/>
          <w:b/>
          <w:sz w:val="24"/>
          <w:szCs w:val="24"/>
        </w:rPr>
        <w:t xml:space="preserve">Gestorský výbor odporúča schváliť. </w:t>
      </w:r>
    </w:p>
    <w:p w:rsidR="00725317" w:rsidRPr="00725317" w:rsidRDefault="00725317" w:rsidP="00725317">
      <w:pPr>
        <w:pStyle w:val="Odsekzoznamu"/>
        <w:tabs>
          <w:tab w:val="left" w:pos="1134"/>
        </w:tabs>
        <w:ind w:left="4956"/>
        <w:rPr>
          <w:rFonts w:ascii="Times New Roman" w:hAnsi="Times New Roman" w:cs="Times New Roman"/>
          <w:b/>
          <w:sz w:val="24"/>
          <w:szCs w:val="24"/>
        </w:rPr>
      </w:pPr>
    </w:p>
    <w:p w:rsidR="00AD5D81" w:rsidRPr="00143276" w:rsidRDefault="00AD5D81" w:rsidP="00AD5D81">
      <w:pPr>
        <w:pStyle w:val="Odsekzoznamu"/>
        <w:numPr>
          <w:ilvl w:val="0"/>
          <w:numId w:val="7"/>
        </w:numPr>
        <w:tabs>
          <w:tab w:val="left" w:pos="1134"/>
        </w:tabs>
        <w:spacing w:after="0" w:line="240" w:lineRule="auto"/>
        <w:jc w:val="both"/>
        <w:rPr>
          <w:rFonts w:ascii="Times New Roman" w:hAnsi="Times New Roman" w:cs="Times New Roman"/>
          <w:sz w:val="24"/>
          <w:szCs w:val="24"/>
        </w:rPr>
      </w:pPr>
      <w:r w:rsidRPr="00143276">
        <w:rPr>
          <w:rFonts w:ascii="Times New Roman" w:hAnsi="Times New Roman" w:cs="Times New Roman"/>
          <w:sz w:val="24"/>
          <w:szCs w:val="24"/>
        </w:rPr>
        <w:t>V čl. I doterajší bod 3 znie:</w:t>
      </w:r>
    </w:p>
    <w:p w:rsidR="00AD5D81" w:rsidRPr="00143276" w:rsidRDefault="00AD5D81" w:rsidP="00AD5D81">
      <w:pPr>
        <w:pStyle w:val="Odsekzoznamu"/>
        <w:tabs>
          <w:tab w:val="left" w:pos="1134"/>
        </w:tabs>
        <w:rPr>
          <w:rFonts w:ascii="Times New Roman" w:hAnsi="Times New Roman" w:cs="Times New Roman"/>
          <w:sz w:val="24"/>
          <w:szCs w:val="24"/>
        </w:rPr>
      </w:pPr>
      <w:r w:rsidRPr="00143276">
        <w:rPr>
          <w:rFonts w:ascii="Times New Roman" w:hAnsi="Times New Roman" w:cs="Times New Roman"/>
          <w:sz w:val="24"/>
          <w:szCs w:val="24"/>
        </w:rPr>
        <w:t>„3. Za § 52zzze sa vkladá § 52zzzf, ktorý vrátane nadpisu znie:</w:t>
      </w:r>
    </w:p>
    <w:p w:rsidR="00AD5D81" w:rsidRPr="00143276" w:rsidRDefault="00AD5D81" w:rsidP="00AD5D81">
      <w:pPr>
        <w:pStyle w:val="Odsekzoznamu"/>
        <w:tabs>
          <w:tab w:val="left" w:pos="1134"/>
        </w:tabs>
        <w:jc w:val="center"/>
        <w:rPr>
          <w:rFonts w:ascii="Times New Roman" w:hAnsi="Times New Roman" w:cs="Times New Roman"/>
          <w:sz w:val="24"/>
          <w:szCs w:val="24"/>
        </w:rPr>
      </w:pPr>
    </w:p>
    <w:p w:rsidR="00AD5D81" w:rsidRPr="00143276" w:rsidRDefault="00AD5D81" w:rsidP="00AD5D81">
      <w:pPr>
        <w:pStyle w:val="Odsekzoznamu"/>
        <w:tabs>
          <w:tab w:val="left" w:pos="1134"/>
        </w:tabs>
        <w:jc w:val="center"/>
        <w:rPr>
          <w:rFonts w:ascii="Times New Roman" w:hAnsi="Times New Roman" w:cs="Times New Roman"/>
          <w:b/>
          <w:bCs/>
          <w:sz w:val="24"/>
          <w:szCs w:val="24"/>
        </w:rPr>
      </w:pPr>
      <w:r w:rsidRPr="00143276">
        <w:rPr>
          <w:rFonts w:ascii="Times New Roman" w:hAnsi="Times New Roman" w:cs="Times New Roman"/>
          <w:b/>
          <w:bCs/>
          <w:sz w:val="24"/>
          <w:szCs w:val="24"/>
        </w:rPr>
        <w:t>„§ 52zzzf</w:t>
      </w:r>
    </w:p>
    <w:p w:rsidR="00AD5D81" w:rsidRPr="00143276" w:rsidRDefault="00AD5D81" w:rsidP="00AD5D81">
      <w:pPr>
        <w:pStyle w:val="Odsekzoznamu"/>
        <w:spacing w:after="240"/>
        <w:jc w:val="center"/>
        <w:rPr>
          <w:rFonts w:ascii="Times New Roman" w:hAnsi="Times New Roman" w:cs="Times New Roman"/>
          <w:b/>
          <w:bCs/>
          <w:sz w:val="24"/>
          <w:szCs w:val="24"/>
        </w:rPr>
      </w:pPr>
      <w:r w:rsidRPr="00143276">
        <w:rPr>
          <w:rFonts w:ascii="Times New Roman" w:hAnsi="Times New Roman" w:cs="Times New Roman"/>
          <w:b/>
          <w:bCs/>
          <w:sz w:val="24"/>
          <w:szCs w:val="24"/>
        </w:rPr>
        <w:t>Prechodné ustanovenia k úpravám účinným od 1. januára 2026</w:t>
      </w:r>
    </w:p>
    <w:p w:rsidR="00AD5D81" w:rsidRDefault="00AD5D81" w:rsidP="00AD5D81">
      <w:pPr>
        <w:pStyle w:val="Odsekzoznamu"/>
        <w:numPr>
          <w:ilvl w:val="0"/>
          <w:numId w:val="8"/>
        </w:numPr>
        <w:spacing w:after="240" w:line="240" w:lineRule="auto"/>
        <w:jc w:val="both"/>
        <w:rPr>
          <w:rFonts w:ascii="Times New Roman" w:hAnsi="Times New Roman" w:cs="Times New Roman"/>
          <w:sz w:val="24"/>
          <w:szCs w:val="24"/>
        </w:rPr>
      </w:pPr>
      <w:r w:rsidRPr="00143276">
        <w:rPr>
          <w:rFonts w:ascii="Times New Roman" w:hAnsi="Times New Roman" w:cs="Times New Roman"/>
          <w:sz w:val="24"/>
          <w:szCs w:val="24"/>
        </w:rPr>
        <w:t>Ustanovenia § 22 ods. 6 písm. f) a g) a príloha č. 1 v znení účinnom od 1. januára 2026 sa použijú prvýkrát na technické zhodnotenie zaradené do užívania alebo do obchodného majetku a opravy zaúčtované alebo zaevidované do daňovej evidencie podľa § 6 ods. 11 v zdaňovacom období, za ktoré sa podáva daňové priznanie po 31. decembri 2025.</w:t>
      </w:r>
    </w:p>
    <w:p w:rsidR="00AD5D81" w:rsidRPr="00143276" w:rsidRDefault="00AD5D81" w:rsidP="00AD5D81">
      <w:pPr>
        <w:pStyle w:val="Odsekzoznamu"/>
        <w:spacing w:after="240" w:line="240" w:lineRule="auto"/>
        <w:ind w:left="1080"/>
        <w:jc w:val="both"/>
        <w:rPr>
          <w:rFonts w:ascii="Times New Roman" w:hAnsi="Times New Roman" w:cs="Times New Roman"/>
          <w:sz w:val="24"/>
          <w:szCs w:val="24"/>
        </w:rPr>
      </w:pPr>
    </w:p>
    <w:p w:rsidR="00AD5D81" w:rsidRPr="00E20855" w:rsidRDefault="00AD5D81" w:rsidP="00AD5D81">
      <w:pPr>
        <w:pStyle w:val="Odsekzoznamu"/>
        <w:numPr>
          <w:ilvl w:val="0"/>
          <w:numId w:val="8"/>
        </w:numPr>
        <w:spacing w:after="240" w:line="240" w:lineRule="auto"/>
        <w:jc w:val="both"/>
        <w:rPr>
          <w:rFonts w:ascii="Times New Roman" w:hAnsi="Times New Roman" w:cs="Times New Roman"/>
          <w:sz w:val="24"/>
          <w:szCs w:val="24"/>
        </w:rPr>
      </w:pPr>
      <w:r w:rsidRPr="00143276">
        <w:rPr>
          <w:rFonts w:ascii="Times New Roman" w:hAnsi="Times New Roman" w:cs="Times New Roman"/>
          <w:sz w:val="24"/>
          <w:szCs w:val="24"/>
        </w:rPr>
        <w:lastRenderedPageBreak/>
        <w:t>Ustanovenie § 26 ods. 14 v znení účinnom od 1. januára 2026 sa prvýkrát použije v zdaňovacom období, za ktoré sa podáva daňové priznanie po 31. decembri 2025. Pri zmene odpisovej skupiny, pri zmene doby odpisovania alebo pri zmene ročnej odpisovej sadzby je daňovník povinný vykonať zmeny aj pri tom majetku, ktorý bol odpisovaný v zdaňovacích obdobiach predchádzajúcich zdaňovaciemu obdobiu, za ktoré sa podáva daňové priznanie po 31. decembri 2025, pričom už uplatnené odpisy sa spätne neupravujú.“.“.</w:t>
      </w:r>
    </w:p>
    <w:p w:rsidR="00AD5D81" w:rsidRDefault="00AD5D81" w:rsidP="00AD5D81">
      <w:pPr>
        <w:ind w:left="3540"/>
        <w:jc w:val="both"/>
        <w:rPr>
          <w:bCs/>
          <w:iCs/>
        </w:rPr>
      </w:pPr>
      <w:r w:rsidRPr="00E20855">
        <w:rPr>
          <w:iCs/>
        </w:rPr>
        <w:t>Ide o legislatívno-technickú úpravu.</w:t>
      </w:r>
      <w:r w:rsidRPr="00E20855">
        <w:rPr>
          <w:b/>
          <w:bCs/>
          <w:iCs/>
        </w:rPr>
        <w:t xml:space="preserve"> </w:t>
      </w:r>
      <w:r w:rsidRPr="00E20855">
        <w:rPr>
          <w:bCs/>
          <w:iCs/>
        </w:rPr>
        <w:t>Zároveň sa doplnilo prechodné ustanovenie, podľa ktorého sa uplatnenie daňového odpisu na úhrn technického zhodnotenia a opráv bude vzťahovať na technické zhodnotenie, ktoré bude zaradené do užívania alebo do obchodného majetku a na opravy zaúčtované alebo zaevidované do daňovej evidencie podľa § 6 ods. 11 zákona v zdaňovacom období, za ktoré sa podáva daňové priznanie po 31. 12. 2025. Zmena spôsobu odpisovania sa uplatní aj na budovy a stavby, ktoré boli odpisované v zdaňovacích obdobiach predchádzajúcich zdaňovaciemu obdobiu, za ktoré sa podáva daňové priznanie po 31. 12. 2025, pričom zmena odpisovej skupiny, zmena doby odpisovania ani zmena ročnej odpisovej sadzby sa v týchto predchádzajúcich zdaňovacích obdobiach neupravuje.</w:t>
      </w:r>
    </w:p>
    <w:p w:rsidR="00AD5D81" w:rsidRPr="00E20855" w:rsidRDefault="00AD5D81" w:rsidP="00AD5D81">
      <w:pPr>
        <w:ind w:left="3540"/>
        <w:jc w:val="both"/>
        <w:rPr>
          <w:bCs/>
          <w:iCs/>
        </w:rPr>
      </w:pPr>
    </w:p>
    <w:p w:rsidR="00AD5D81" w:rsidRPr="00E20855" w:rsidRDefault="00AD5D81" w:rsidP="00AD5D81">
      <w:pPr>
        <w:tabs>
          <w:tab w:val="left" w:pos="1134"/>
        </w:tabs>
      </w:pPr>
      <w:r>
        <w:tab/>
      </w:r>
      <w:r>
        <w:tab/>
      </w:r>
      <w:r>
        <w:tab/>
      </w:r>
      <w:r>
        <w:tab/>
      </w:r>
      <w:r>
        <w:tab/>
      </w:r>
      <w:r>
        <w:tab/>
      </w:r>
      <w:r w:rsidRPr="00E20855">
        <w:t>Ústavnoprávny výbor NR SR</w:t>
      </w:r>
    </w:p>
    <w:p w:rsidR="00AD5D81" w:rsidRDefault="00AD5D81" w:rsidP="00AD5D81">
      <w:pPr>
        <w:pStyle w:val="Odsekzoznamu"/>
        <w:tabs>
          <w:tab w:val="left" w:pos="1134"/>
        </w:tabs>
        <w:ind w:left="4956"/>
        <w:rPr>
          <w:rFonts w:ascii="Times New Roman" w:hAnsi="Times New Roman" w:cs="Times New Roman"/>
          <w:sz w:val="24"/>
          <w:szCs w:val="24"/>
        </w:rPr>
      </w:pPr>
    </w:p>
    <w:p w:rsidR="00AD5D81" w:rsidRDefault="00AD5D81" w:rsidP="00AD5D81">
      <w:pPr>
        <w:pStyle w:val="Odsekzoznamu"/>
        <w:tabs>
          <w:tab w:val="left" w:pos="1134"/>
        </w:tabs>
        <w:ind w:left="4956"/>
        <w:rPr>
          <w:rFonts w:ascii="Times New Roman" w:hAnsi="Times New Roman" w:cs="Times New Roman"/>
          <w:b/>
          <w:sz w:val="24"/>
          <w:szCs w:val="24"/>
        </w:rPr>
      </w:pPr>
      <w:r w:rsidRPr="00143276">
        <w:rPr>
          <w:rFonts w:ascii="Times New Roman" w:hAnsi="Times New Roman" w:cs="Times New Roman"/>
          <w:b/>
          <w:sz w:val="24"/>
          <w:szCs w:val="24"/>
        </w:rPr>
        <w:t xml:space="preserve">Gestorský výbor odporúča schváliť. </w:t>
      </w:r>
    </w:p>
    <w:p w:rsidR="00AD5D81" w:rsidRPr="00143276" w:rsidRDefault="00AD5D81" w:rsidP="00AD5D81">
      <w:pPr>
        <w:pStyle w:val="Odsekzoznamu"/>
        <w:ind w:left="4536"/>
        <w:rPr>
          <w:rFonts w:ascii="Times New Roman" w:hAnsi="Times New Roman" w:cs="Times New Roman"/>
          <w:bCs/>
          <w:i/>
          <w:iCs/>
          <w:sz w:val="24"/>
          <w:szCs w:val="24"/>
        </w:rPr>
      </w:pPr>
    </w:p>
    <w:p w:rsidR="00AD5D81" w:rsidRPr="00143276" w:rsidRDefault="00AD5D81" w:rsidP="00AD5D81">
      <w:pPr>
        <w:pStyle w:val="Odsekzoznamu"/>
        <w:numPr>
          <w:ilvl w:val="0"/>
          <w:numId w:val="7"/>
        </w:numPr>
        <w:tabs>
          <w:tab w:val="left" w:pos="1134"/>
        </w:tabs>
        <w:spacing w:after="0" w:line="240" w:lineRule="auto"/>
        <w:jc w:val="both"/>
        <w:rPr>
          <w:rFonts w:ascii="Times New Roman" w:hAnsi="Times New Roman" w:cs="Times New Roman"/>
          <w:sz w:val="24"/>
          <w:szCs w:val="24"/>
        </w:rPr>
      </w:pPr>
      <w:bookmarkStart w:id="3" w:name="_Hlk181820225"/>
      <w:r w:rsidRPr="00143276">
        <w:rPr>
          <w:rFonts w:ascii="Times New Roman" w:hAnsi="Times New Roman" w:cs="Times New Roman"/>
          <w:sz w:val="24"/>
          <w:szCs w:val="24"/>
        </w:rPr>
        <w:t>V čl. I doterajší bod 4 znie:</w:t>
      </w:r>
    </w:p>
    <w:p w:rsidR="00AD5D81" w:rsidRPr="00143276" w:rsidRDefault="00AD5D81" w:rsidP="00AD5D81">
      <w:pPr>
        <w:pStyle w:val="Odsekzoznamu"/>
        <w:tabs>
          <w:tab w:val="left" w:pos="1134"/>
        </w:tabs>
        <w:rPr>
          <w:rFonts w:ascii="Times New Roman" w:hAnsi="Times New Roman" w:cs="Times New Roman"/>
          <w:sz w:val="24"/>
          <w:szCs w:val="24"/>
        </w:rPr>
      </w:pPr>
      <w:r w:rsidRPr="00143276">
        <w:rPr>
          <w:rFonts w:ascii="Times New Roman" w:hAnsi="Times New Roman" w:cs="Times New Roman"/>
          <w:sz w:val="24"/>
          <w:szCs w:val="24"/>
        </w:rPr>
        <w:t>„4. V prílohe č. 1 sa odpisová skupina 2 dopĺňa položkami 2-40 a 2-41, ktoré znejú:</w:t>
      </w:r>
    </w:p>
    <w:tbl>
      <w:tblPr>
        <w:tblStyle w:val="Mriekatabuky"/>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381"/>
      </w:tblGrid>
      <w:tr w:rsidR="00AD5D81" w:rsidRPr="00143276" w:rsidTr="004712F1">
        <w:tc>
          <w:tcPr>
            <w:tcW w:w="2835" w:type="dxa"/>
          </w:tcPr>
          <w:p w:rsidR="00AD5D81" w:rsidRPr="00143276" w:rsidRDefault="00AD5D81" w:rsidP="004712F1">
            <w:pPr>
              <w:pStyle w:val="Odsekzoznamu"/>
              <w:tabs>
                <w:tab w:val="left" w:pos="1134"/>
              </w:tabs>
              <w:ind w:left="0"/>
              <w:rPr>
                <w:rFonts w:ascii="Times New Roman" w:hAnsi="Times New Roman" w:cs="Times New Roman"/>
                <w:sz w:val="24"/>
                <w:szCs w:val="24"/>
              </w:rPr>
            </w:pPr>
            <w:r w:rsidRPr="00143276">
              <w:rPr>
                <w:rFonts w:ascii="Times New Roman" w:hAnsi="Times New Roman" w:cs="Times New Roman"/>
                <w:sz w:val="24"/>
                <w:szCs w:val="24"/>
              </w:rPr>
              <w:t>„2-40</w:t>
            </w:r>
          </w:p>
        </w:tc>
        <w:tc>
          <w:tcPr>
            <w:tcW w:w="5381" w:type="dxa"/>
          </w:tcPr>
          <w:p w:rsidR="00AD5D81" w:rsidRPr="00143276" w:rsidRDefault="00AD5D81" w:rsidP="004712F1">
            <w:pPr>
              <w:pStyle w:val="Odsekzoznamu"/>
              <w:tabs>
                <w:tab w:val="left" w:pos="1134"/>
              </w:tabs>
              <w:ind w:left="0"/>
              <w:rPr>
                <w:rFonts w:ascii="Times New Roman" w:hAnsi="Times New Roman" w:cs="Times New Roman"/>
                <w:sz w:val="24"/>
                <w:szCs w:val="24"/>
              </w:rPr>
            </w:pPr>
            <w:r w:rsidRPr="00143276">
              <w:rPr>
                <w:rFonts w:ascii="Times New Roman" w:hAnsi="Times New Roman" w:cs="Times New Roman"/>
                <w:sz w:val="24"/>
                <w:szCs w:val="24"/>
              </w:rPr>
              <w:t>Úhrn technického zhodnotenia a opráv vykonaných na budove podľa § 22 ods. 6 písm. f)</w:t>
            </w:r>
          </w:p>
        </w:tc>
      </w:tr>
      <w:tr w:rsidR="00AD5D81" w:rsidRPr="00143276" w:rsidTr="004712F1">
        <w:tc>
          <w:tcPr>
            <w:tcW w:w="2835" w:type="dxa"/>
          </w:tcPr>
          <w:p w:rsidR="00AD5D81" w:rsidRPr="00143276" w:rsidRDefault="00AD5D81" w:rsidP="004712F1">
            <w:pPr>
              <w:pStyle w:val="Odsekzoznamu"/>
              <w:tabs>
                <w:tab w:val="left" w:pos="1134"/>
              </w:tabs>
              <w:ind w:left="0"/>
              <w:rPr>
                <w:rFonts w:ascii="Times New Roman" w:hAnsi="Times New Roman" w:cs="Times New Roman"/>
                <w:sz w:val="24"/>
                <w:szCs w:val="24"/>
              </w:rPr>
            </w:pPr>
            <w:r w:rsidRPr="00143276">
              <w:rPr>
                <w:rFonts w:ascii="Times New Roman" w:hAnsi="Times New Roman" w:cs="Times New Roman"/>
                <w:sz w:val="24"/>
                <w:szCs w:val="24"/>
              </w:rPr>
              <w:t xml:space="preserve">  2-41</w:t>
            </w:r>
          </w:p>
        </w:tc>
        <w:tc>
          <w:tcPr>
            <w:tcW w:w="5381" w:type="dxa"/>
          </w:tcPr>
          <w:p w:rsidR="00AD5D81" w:rsidRPr="00143276" w:rsidRDefault="00AD5D81" w:rsidP="004712F1">
            <w:pPr>
              <w:pStyle w:val="Odsekzoznamu"/>
              <w:tabs>
                <w:tab w:val="left" w:pos="1134"/>
              </w:tabs>
              <w:ind w:left="0"/>
              <w:rPr>
                <w:rFonts w:ascii="Times New Roman" w:hAnsi="Times New Roman" w:cs="Times New Roman"/>
                <w:sz w:val="24"/>
                <w:szCs w:val="24"/>
              </w:rPr>
            </w:pPr>
            <w:r w:rsidRPr="00143276">
              <w:rPr>
                <w:rFonts w:ascii="Times New Roman" w:hAnsi="Times New Roman" w:cs="Times New Roman"/>
                <w:sz w:val="24"/>
                <w:szCs w:val="24"/>
              </w:rPr>
              <w:t>Úhrn technického zhodnotenia a opráv vykonaných na budove a stavbe podľa § 22 ods. 6 písm. g)“.“.</w:t>
            </w:r>
          </w:p>
        </w:tc>
      </w:tr>
    </w:tbl>
    <w:p w:rsidR="00AD5D81" w:rsidRDefault="00AD5D81" w:rsidP="00AD5D81">
      <w:pPr>
        <w:rPr>
          <w:rFonts w:eastAsia="Calibri"/>
          <w:b/>
          <w:bCs/>
          <w:i/>
          <w:iCs/>
        </w:rPr>
      </w:pPr>
    </w:p>
    <w:p w:rsidR="00AD5D81" w:rsidRDefault="00725317" w:rsidP="00AD5D81">
      <w:pPr>
        <w:tabs>
          <w:tab w:val="left" w:pos="1134"/>
        </w:tabs>
        <w:rPr>
          <w:iCs/>
        </w:rPr>
      </w:pPr>
      <w:r>
        <w:rPr>
          <w:iCs/>
        </w:rPr>
        <w:tab/>
      </w:r>
      <w:r>
        <w:rPr>
          <w:iCs/>
        </w:rPr>
        <w:tab/>
      </w:r>
      <w:r>
        <w:rPr>
          <w:iCs/>
        </w:rPr>
        <w:tab/>
      </w:r>
      <w:r>
        <w:rPr>
          <w:iCs/>
        </w:rPr>
        <w:tab/>
      </w:r>
      <w:r>
        <w:rPr>
          <w:iCs/>
        </w:rPr>
        <w:tab/>
      </w:r>
      <w:r w:rsidR="00AD5D81" w:rsidRPr="00143276">
        <w:rPr>
          <w:iCs/>
        </w:rPr>
        <w:t>Ide o legislatívno-</w:t>
      </w:r>
      <w:r w:rsidR="00AD5D81" w:rsidRPr="00143276">
        <w:rPr>
          <w:bCs/>
          <w:iCs/>
        </w:rPr>
        <w:t>technickú</w:t>
      </w:r>
      <w:r w:rsidR="00AD5D81" w:rsidRPr="00143276">
        <w:rPr>
          <w:iCs/>
        </w:rPr>
        <w:t xml:space="preserve"> úpravu v nadväznosti na </w:t>
      </w:r>
      <w:r w:rsidR="00AD5D81">
        <w:rPr>
          <w:iCs/>
        </w:rPr>
        <w:t xml:space="preserve">              </w:t>
      </w:r>
    </w:p>
    <w:p w:rsidR="00AD5D81" w:rsidRPr="00143276" w:rsidRDefault="00AD5D81" w:rsidP="00AD5D81">
      <w:pPr>
        <w:tabs>
          <w:tab w:val="left" w:pos="1134"/>
        </w:tabs>
        <w:rPr>
          <w:rFonts w:eastAsia="Calibri"/>
        </w:rPr>
      </w:pPr>
      <w:r>
        <w:rPr>
          <w:iCs/>
        </w:rPr>
        <w:t xml:space="preserve">                                                           </w:t>
      </w:r>
      <w:r w:rsidRPr="00143276">
        <w:rPr>
          <w:iCs/>
        </w:rPr>
        <w:t>novelizačné body 1 až 3.</w:t>
      </w:r>
    </w:p>
    <w:bookmarkEnd w:id="3"/>
    <w:p w:rsidR="00AD5D81" w:rsidRPr="00E20855" w:rsidRDefault="00AD5D81" w:rsidP="00AD5D81">
      <w:pPr>
        <w:rPr>
          <w:b/>
          <w:bCs/>
          <w:i/>
          <w:iCs/>
        </w:rPr>
      </w:pPr>
    </w:p>
    <w:p w:rsidR="00AD5D81" w:rsidRPr="00E20855" w:rsidRDefault="00AD5D81" w:rsidP="00AD5D81">
      <w:pPr>
        <w:tabs>
          <w:tab w:val="left" w:pos="1134"/>
        </w:tabs>
      </w:pPr>
      <w:r>
        <w:tab/>
      </w:r>
      <w:r>
        <w:tab/>
      </w:r>
      <w:r>
        <w:tab/>
      </w:r>
      <w:r>
        <w:tab/>
      </w:r>
      <w:r>
        <w:tab/>
      </w:r>
      <w:r>
        <w:tab/>
      </w:r>
      <w:r w:rsidRPr="00E20855">
        <w:t>Ústavnoprávny výbor NR SR</w:t>
      </w:r>
    </w:p>
    <w:p w:rsidR="00AD5D81" w:rsidRDefault="00AD5D81" w:rsidP="00AD5D81">
      <w:pPr>
        <w:pStyle w:val="Odsekzoznamu"/>
        <w:tabs>
          <w:tab w:val="left" w:pos="1134"/>
        </w:tabs>
        <w:ind w:left="4956"/>
        <w:rPr>
          <w:rFonts w:ascii="Times New Roman" w:hAnsi="Times New Roman" w:cs="Times New Roman"/>
          <w:sz w:val="24"/>
          <w:szCs w:val="24"/>
        </w:rPr>
      </w:pPr>
    </w:p>
    <w:p w:rsidR="00AD5D81" w:rsidRDefault="00AD5D81" w:rsidP="00AD5D81">
      <w:pPr>
        <w:pStyle w:val="Odsekzoznamu"/>
        <w:tabs>
          <w:tab w:val="left" w:pos="1134"/>
        </w:tabs>
        <w:ind w:left="4956"/>
        <w:rPr>
          <w:rFonts w:ascii="Times New Roman" w:hAnsi="Times New Roman" w:cs="Times New Roman"/>
          <w:b/>
          <w:sz w:val="24"/>
          <w:szCs w:val="24"/>
        </w:rPr>
      </w:pPr>
      <w:r w:rsidRPr="00143276">
        <w:rPr>
          <w:rFonts w:ascii="Times New Roman" w:hAnsi="Times New Roman" w:cs="Times New Roman"/>
          <w:b/>
          <w:sz w:val="24"/>
          <w:szCs w:val="24"/>
        </w:rPr>
        <w:t xml:space="preserve">Gestorský výbor odporúča schváliť. </w:t>
      </w:r>
    </w:p>
    <w:p w:rsidR="00AD5D81" w:rsidRPr="003A50D8" w:rsidRDefault="00AD5D81" w:rsidP="00AD5D81">
      <w:pPr>
        <w:pStyle w:val="Odsekzoznamu"/>
        <w:tabs>
          <w:tab w:val="left" w:pos="1134"/>
        </w:tabs>
        <w:ind w:left="4956"/>
        <w:rPr>
          <w:rFonts w:ascii="Times New Roman" w:hAnsi="Times New Roman" w:cs="Times New Roman"/>
          <w:b/>
          <w:sz w:val="24"/>
          <w:szCs w:val="24"/>
        </w:rPr>
      </w:pPr>
    </w:p>
    <w:p w:rsidR="00AD5D81" w:rsidRPr="00143276" w:rsidRDefault="00AD5D81" w:rsidP="00AD5D81">
      <w:pPr>
        <w:pStyle w:val="Odsekzoznamu"/>
        <w:numPr>
          <w:ilvl w:val="0"/>
          <w:numId w:val="7"/>
        </w:numPr>
        <w:tabs>
          <w:tab w:val="left" w:pos="1134"/>
        </w:tabs>
        <w:spacing w:after="0" w:line="240" w:lineRule="auto"/>
        <w:jc w:val="both"/>
        <w:rPr>
          <w:rFonts w:ascii="Times New Roman" w:hAnsi="Times New Roman" w:cs="Times New Roman"/>
          <w:sz w:val="24"/>
          <w:szCs w:val="24"/>
        </w:rPr>
      </w:pPr>
      <w:r w:rsidRPr="00143276">
        <w:rPr>
          <w:rFonts w:ascii="Times New Roman" w:hAnsi="Times New Roman" w:cs="Times New Roman"/>
          <w:sz w:val="24"/>
          <w:szCs w:val="24"/>
        </w:rPr>
        <w:t>V čl. I sa doterajší bod 5 vypúšťa.</w:t>
      </w:r>
    </w:p>
    <w:p w:rsidR="00AD5D81" w:rsidRDefault="00AD5D81" w:rsidP="00AD5D81">
      <w:pPr>
        <w:rPr>
          <w:rFonts w:eastAsia="Calibri"/>
          <w:b/>
          <w:bCs/>
          <w:iCs/>
        </w:rPr>
      </w:pPr>
    </w:p>
    <w:p w:rsidR="00AD5D81" w:rsidRPr="00E20855" w:rsidRDefault="00AD5D81" w:rsidP="00AD5D81">
      <w:pPr>
        <w:ind w:left="3540"/>
        <w:rPr>
          <w:iCs/>
        </w:rPr>
      </w:pPr>
      <w:r w:rsidRPr="00E20855">
        <w:rPr>
          <w:iCs/>
        </w:rPr>
        <w:t>Ide o legislatívno-</w:t>
      </w:r>
      <w:r w:rsidRPr="00E20855">
        <w:rPr>
          <w:bCs/>
          <w:iCs/>
        </w:rPr>
        <w:t>technickú</w:t>
      </w:r>
      <w:r w:rsidRPr="00E20855">
        <w:rPr>
          <w:iCs/>
        </w:rPr>
        <w:t xml:space="preserve"> úpravu v nadväznosti na novelizačné body 1 až 3. </w:t>
      </w:r>
    </w:p>
    <w:p w:rsidR="00AD5D81" w:rsidRDefault="00AD5D81" w:rsidP="00AD5D81">
      <w:pPr>
        <w:tabs>
          <w:tab w:val="left" w:pos="1134"/>
        </w:tabs>
      </w:pPr>
      <w:r>
        <w:tab/>
      </w:r>
      <w:r>
        <w:tab/>
      </w:r>
      <w:r>
        <w:tab/>
      </w:r>
      <w:r>
        <w:tab/>
      </w:r>
      <w:r>
        <w:tab/>
      </w:r>
    </w:p>
    <w:p w:rsidR="00AD5D81" w:rsidRPr="00E20855" w:rsidRDefault="00AD5D81" w:rsidP="00AD5D81">
      <w:pPr>
        <w:tabs>
          <w:tab w:val="left" w:pos="1134"/>
        </w:tabs>
      </w:pPr>
      <w:r>
        <w:lastRenderedPageBreak/>
        <w:tab/>
      </w:r>
      <w:r>
        <w:tab/>
      </w:r>
      <w:r>
        <w:tab/>
      </w:r>
      <w:r>
        <w:tab/>
      </w:r>
      <w:r>
        <w:tab/>
      </w:r>
      <w:r>
        <w:tab/>
      </w:r>
      <w:r w:rsidRPr="00E20855">
        <w:t>Ústavnoprávny výbor NR SR</w:t>
      </w:r>
    </w:p>
    <w:p w:rsidR="00AD5D81" w:rsidRDefault="00AD5D81" w:rsidP="00AD5D81">
      <w:pPr>
        <w:pStyle w:val="Odsekzoznamu"/>
        <w:tabs>
          <w:tab w:val="left" w:pos="1134"/>
        </w:tabs>
        <w:ind w:left="4956"/>
        <w:rPr>
          <w:rFonts w:ascii="Times New Roman" w:hAnsi="Times New Roman" w:cs="Times New Roman"/>
          <w:sz w:val="24"/>
          <w:szCs w:val="24"/>
        </w:rPr>
      </w:pPr>
    </w:p>
    <w:p w:rsidR="00AD5D81" w:rsidRDefault="00AD5D81" w:rsidP="00AD5D81">
      <w:pPr>
        <w:pStyle w:val="Odsekzoznamu"/>
        <w:tabs>
          <w:tab w:val="left" w:pos="1134"/>
        </w:tabs>
        <w:ind w:left="4956"/>
        <w:rPr>
          <w:rFonts w:ascii="Times New Roman" w:hAnsi="Times New Roman" w:cs="Times New Roman"/>
          <w:b/>
          <w:sz w:val="24"/>
          <w:szCs w:val="24"/>
        </w:rPr>
      </w:pPr>
      <w:r w:rsidRPr="00143276">
        <w:rPr>
          <w:rFonts w:ascii="Times New Roman" w:hAnsi="Times New Roman" w:cs="Times New Roman"/>
          <w:b/>
          <w:sz w:val="24"/>
          <w:szCs w:val="24"/>
        </w:rPr>
        <w:t xml:space="preserve">Gestorský výbor odporúča schváliť. </w:t>
      </w:r>
    </w:p>
    <w:p w:rsidR="00AD5D81" w:rsidRPr="00143276" w:rsidRDefault="00AD5D81" w:rsidP="00AD5D81">
      <w:pPr>
        <w:pStyle w:val="Odsekzoznamu"/>
        <w:ind w:left="4253"/>
        <w:rPr>
          <w:rFonts w:ascii="Times New Roman" w:hAnsi="Times New Roman" w:cs="Times New Roman"/>
          <w:iCs/>
          <w:sz w:val="24"/>
          <w:szCs w:val="24"/>
        </w:rPr>
      </w:pPr>
    </w:p>
    <w:p w:rsidR="00AD5D81" w:rsidRPr="00143276" w:rsidRDefault="00AD5D81" w:rsidP="00AD5D81">
      <w:pPr>
        <w:pStyle w:val="Odsekzoznamu"/>
        <w:numPr>
          <w:ilvl w:val="0"/>
          <w:numId w:val="7"/>
        </w:numPr>
        <w:tabs>
          <w:tab w:val="left" w:pos="1134"/>
        </w:tabs>
        <w:spacing w:after="0" w:line="240" w:lineRule="auto"/>
        <w:jc w:val="both"/>
        <w:rPr>
          <w:rFonts w:ascii="Times New Roman" w:hAnsi="Times New Roman" w:cs="Times New Roman"/>
          <w:sz w:val="24"/>
          <w:szCs w:val="24"/>
        </w:rPr>
      </w:pPr>
      <w:r w:rsidRPr="00143276">
        <w:rPr>
          <w:rFonts w:ascii="Times New Roman" w:hAnsi="Times New Roman" w:cs="Times New Roman"/>
          <w:sz w:val="24"/>
          <w:szCs w:val="24"/>
        </w:rPr>
        <w:t>V čl. II sa slová „1. januára 2025“ nahrádzajú slovami „1. januára 2026“.</w:t>
      </w:r>
    </w:p>
    <w:p w:rsidR="00AD5D81" w:rsidRDefault="00AD5D81" w:rsidP="00AD5D81">
      <w:pPr>
        <w:rPr>
          <w:rFonts w:eastAsia="Calibri"/>
          <w:lang w:eastAsia="en-US"/>
        </w:rPr>
      </w:pPr>
    </w:p>
    <w:p w:rsidR="00AD5D81" w:rsidRPr="00143276" w:rsidRDefault="00AD5D81" w:rsidP="00AD5D81">
      <w:pPr>
        <w:pStyle w:val="Zkladntext2"/>
        <w:ind w:left="3540"/>
        <w:rPr>
          <w:szCs w:val="24"/>
        </w:rPr>
      </w:pPr>
      <w:r w:rsidRPr="00143276">
        <w:rPr>
          <w:iCs/>
          <w:szCs w:val="24"/>
        </w:rPr>
        <w:t>Navrhuje sa posunutie účinnosti návrhu zákona vzhľadom na termín prerokovania návrhu zákona na schôdzi Národnej rady Slovenskej republiky tak, aby zákon v prípade jeho schválenia nebol retroaktívny.</w:t>
      </w:r>
    </w:p>
    <w:p w:rsidR="00AD5D81" w:rsidRPr="00E20855" w:rsidRDefault="00AD5D81" w:rsidP="00AD5D81">
      <w:pPr>
        <w:rPr>
          <w:b/>
          <w:bCs/>
          <w:i/>
          <w:iCs/>
        </w:rPr>
      </w:pPr>
    </w:p>
    <w:p w:rsidR="00AD5D81" w:rsidRPr="00E20855" w:rsidRDefault="00AD5D81" w:rsidP="00AD5D81">
      <w:pPr>
        <w:tabs>
          <w:tab w:val="left" w:pos="1134"/>
        </w:tabs>
      </w:pPr>
      <w:r>
        <w:tab/>
      </w:r>
      <w:r>
        <w:tab/>
      </w:r>
      <w:r>
        <w:tab/>
      </w:r>
      <w:r>
        <w:tab/>
      </w:r>
      <w:r>
        <w:tab/>
      </w:r>
      <w:r>
        <w:tab/>
      </w:r>
      <w:r w:rsidRPr="00E20855">
        <w:t>Ústavnoprávny výbor NR SR</w:t>
      </w:r>
    </w:p>
    <w:p w:rsidR="00AD5D81" w:rsidRDefault="00AD5D81" w:rsidP="00AD5D81">
      <w:pPr>
        <w:pStyle w:val="Odsekzoznamu"/>
        <w:tabs>
          <w:tab w:val="left" w:pos="1134"/>
        </w:tabs>
        <w:ind w:left="4956"/>
        <w:rPr>
          <w:rFonts w:ascii="Times New Roman" w:hAnsi="Times New Roman" w:cs="Times New Roman"/>
          <w:sz w:val="24"/>
          <w:szCs w:val="24"/>
        </w:rPr>
      </w:pPr>
    </w:p>
    <w:p w:rsidR="00AD5D81" w:rsidRDefault="00AD5D81" w:rsidP="00725317">
      <w:pPr>
        <w:pStyle w:val="Odsekzoznamu"/>
        <w:tabs>
          <w:tab w:val="left" w:pos="1134"/>
        </w:tabs>
        <w:ind w:left="4956"/>
        <w:rPr>
          <w:rFonts w:ascii="Times New Roman" w:hAnsi="Times New Roman" w:cs="Times New Roman"/>
          <w:b/>
          <w:sz w:val="24"/>
          <w:szCs w:val="24"/>
        </w:rPr>
      </w:pPr>
      <w:r w:rsidRPr="00143276">
        <w:rPr>
          <w:rFonts w:ascii="Times New Roman" w:hAnsi="Times New Roman" w:cs="Times New Roman"/>
          <w:b/>
          <w:sz w:val="24"/>
          <w:szCs w:val="24"/>
        </w:rPr>
        <w:t xml:space="preserve">Gestorský výbor odporúča schváliť. </w:t>
      </w:r>
    </w:p>
    <w:p w:rsidR="00725317" w:rsidRPr="00725317" w:rsidRDefault="00725317" w:rsidP="00725317">
      <w:pPr>
        <w:pStyle w:val="Odsekzoznamu"/>
        <w:tabs>
          <w:tab w:val="left" w:pos="1134"/>
        </w:tabs>
        <w:ind w:left="4956"/>
        <w:rPr>
          <w:rFonts w:ascii="Times New Roman" w:hAnsi="Times New Roman" w:cs="Times New Roman"/>
          <w:b/>
          <w:sz w:val="24"/>
          <w:szCs w:val="24"/>
        </w:rPr>
      </w:pPr>
    </w:p>
    <w:p w:rsidR="00AD5D81" w:rsidRDefault="00AD5D81" w:rsidP="00AD5D81">
      <w:pPr>
        <w:pStyle w:val="Zkladntext2"/>
        <w:ind w:firstLine="708"/>
      </w:pPr>
      <w:r>
        <w:t>Gestorský výbor odporúča o návrhoch výborov Národnej rady Slovenskej republiky, ktoré sú uvedené v spoločnej správe, hlasovať takto :</w:t>
      </w:r>
    </w:p>
    <w:p w:rsidR="00AD5D81" w:rsidRDefault="00AD5D81" w:rsidP="00AD5D81">
      <w:pPr>
        <w:pStyle w:val="Zkladntext2"/>
        <w:rPr>
          <w:color w:val="FF0000"/>
        </w:rPr>
      </w:pPr>
    </w:p>
    <w:p w:rsidR="00AD5D81" w:rsidRPr="00725317" w:rsidRDefault="00AD5D81" w:rsidP="00725317">
      <w:pPr>
        <w:pStyle w:val="Zkladntext2"/>
        <w:ind w:firstLine="708"/>
        <w:rPr>
          <w:b/>
        </w:rPr>
      </w:pPr>
      <w:r>
        <w:t xml:space="preserve">O bodoch spoločnej správy č. </w:t>
      </w:r>
      <w:r>
        <w:rPr>
          <w:b/>
        </w:rPr>
        <w:t>1 až 6</w:t>
      </w:r>
      <w:r>
        <w:t xml:space="preserve"> hlasovať spoločne s návrhom gestorského výboru </w:t>
      </w:r>
      <w:r>
        <w:rPr>
          <w:b/>
        </w:rPr>
        <w:t>schváliť.</w:t>
      </w:r>
    </w:p>
    <w:p w:rsidR="00AD5D81" w:rsidRDefault="00AD5D81" w:rsidP="00AD5D81">
      <w:pPr>
        <w:pStyle w:val="Zkladntext2"/>
        <w:jc w:val="center"/>
        <w:rPr>
          <w:b/>
        </w:rPr>
      </w:pPr>
      <w:r>
        <w:rPr>
          <w:b/>
        </w:rPr>
        <w:t>V.</w:t>
      </w:r>
    </w:p>
    <w:p w:rsidR="00AD5D81" w:rsidRDefault="00AD5D81" w:rsidP="00AD5D81"/>
    <w:p w:rsidR="00AD5D81" w:rsidRPr="00832BA9" w:rsidRDefault="00AD5D81" w:rsidP="00AD5D81">
      <w:pPr>
        <w:jc w:val="both"/>
        <w:rPr>
          <w:b/>
          <w:bCs/>
          <w:color w:val="333333"/>
          <w:shd w:val="clear" w:color="auto" w:fill="FFFFFF"/>
        </w:rPr>
      </w:pPr>
      <w:r>
        <w:tab/>
      </w:r>
      <w:r>
        <w:rPr>
          <w:bCs/>
        </w:rPr>
        <w:t>Gestorský výbor</w:t>
      </w:r>
      <w:r>
        <w:t xml:space="preserve"> na základe stanovísk výborov k </w:t>
      </w:r>
      <w:r>
        <w:rPr>
          <w:b/>
        </w:rPr>
        <w:t xml:space="preserve">návrhu </w:t>
      </w:r>
      <w:r w:rsidRPr="00832BA9">
        <w:rPr>
          <w:b/>
          <w:color w:val="000000"/>
        </w:rPr>
        <w:t>poslancov Národnej rady Slovenskej republiky Romana MICHELKA, Andreja DANKA a Dagmar KRAMPLOVEJ na vydanie zákona, ktorým sa mení a dopĺňa zákon č. 595/2003 Z. z. o dani z príjmov v znení neskorších predpisov (tlač 445)</w:t>
      </w:r>
      <w:r>
        <w:rPr>
          <w:b/>
          <w:bCs/>
          <w:color w:val="333333"/>
          <w:shd w:val="clear" w:color="auto" w:fill="FFFFFF"/>
        </w:rPr>
        <w:t xml:space="preserve"> </w:t>
      </w:r>
      <w:r>
        <w:t xml:space="preserve">odporúča Národnej rade Slovenskej republiky predmetný návrh zákona </w:t>
      </w:r>
      <w:r>
        <w:rPr>
          <w:b/>
        </w:rPr>
        <w:t>schváliť s pozmeňujúcimi a doplňujúcimi návrhmi</w:t>
      </w:r>
      <w:r>
        <w:rPr>
          <w:b/>
          <w:bCs/>
        </w:rPr>
        <w:t xml:space="preserve">. </w:t>
      </w:r>
    </w:p>
    <w:p w:rsidR="00AD5D81" w:rsidRDefault="00AD5D81" w:rsidP="00AD5D81">
      <w:pPr>
        <w:keepNext/>
        <w:shd w:val="clear" w:color="auto" w:fill="FFFFFF"/>
        <w:ind w:firstLine="708"/>
        <w:jc w:val="both"/>
        <w:outlineLvl w:val="1"/>
        <w:rPr>
          <w:bCs/>
        </w:rPr>
      </w:pPr>
    </w:p>
    <w:p w:rsidR="00AD5D81" w:rsidRDefault="00AD5D81" w:rsidP="00AD5D81">
      <w:pPr>
        <w:keepNext/>
        <w:shd w:val="clear" w:color="auto" w:fill="FFFFFF"/>
        <w:ind w:firstLine="708"/>
        <w:jc w:val="both"/>
        <w:outlineLvl w:val="1"/>
      </w:pPr>
      <w:r>
        <w:rPr>
          <w:bCs/>
        </w:rPr>
        <w:t>Spoločná správa</w:t>
      </w:r>
      <w:r>
        <w:t xml:space="preserve"> výborov Národnej rady Slovenskej republiky o prerokovaní  návrhu </w:t>
      </w:r>
      <w:r w:rsidRPr="00794964">
        <w:rPr>
          <w:color w:val="000000"/>
        </w:rPr>
        <w:t>poslancov Národnej rady Slovenskej republiky Romana MICHELKA, Andreja DANKA a Dagmar KRAMPLOVEJ na vydanie zákona, ktorým sa mení a dopĺňa zákon č. 595/2003 Z. z. o dani z príjmov v znení neskorších predpisov (tlač 445</w:t>
      </w:r>
      <w:r>
        <w:rPr>
          <w:color w:val="000000"/>
        </w:rPr>
        <w:t>a</w:t>
      </w:r>
      <w:r w:rsidRPr="00794964">
        <w:rPr>
          <w:color w:val="000000"/>
        </w:rPr>
        <w:t>)</w:t>
      </w:r>
      <w:r>
        <w:rPr>
          <w:b/>
          <w:bCs/>
          <w:color w:val="333333"/>
          <w:shd w:val="clear" w:color="auto" w:fill="FFFFFF"/>
        </w:rPr>
        <w:t xml:space="preserve"> </w:t>
      </w:r>
      <w:r>
        <w:rPr>
          <w:bCs/>
        </w:rPr>
        <w:t>bola schválená uznesením gestorského výboru</w:t>
      </w:r>
      <w:r>
        <w:rPr>
          <w:b/>
          <w:bCs/>
        </w:rPr>
        <w:t xml:space="preserve"> č. 196 z 25. marca 2025.</w:t>
      </w:r>
    </w:p>
    <w:p w:rsidR="00AD5D81" w:rsidRDefault="00AD5D81" w:rsidP="00AD5D81">
      <w:pPr>
        <w:ind w:firstLine="708"/>
        <w:jc w:val="both"/>
        <w:rPr>
          <w:bCs/>
        </w:rPr>
      </w:pPr>
    </w:p>
    <w:p w:rsidR="00AD5D81" w:rsidRDefault="00AD5D81" w:rsidP="00AD5D81">
      <w:pPr>
        <w:ind w:firstLine="708"/>
        <w:jc w:val="both"/>
      </w:pPr>
      <w:r>
        <w:rPr>
          <w:bCs/>
        </w:rPr>
        <w:t xml:space="preserve">Týmto uznesením výbor zároveň poveril spoločného spravodajcu </w:t>
      </w:r>
      <w:r>
        <w:rPr>
          <w:b/>
          <w:bCs/>
        </w:rPr>
        <w:t xml:space="preserve">Igora </w:t>
      </w:r>
      <w:proofErr w:type="spellStart"/>
      <w:r>
        <w:rPr>
          <w:b/>
          <w:bCs/>
        </w:rPr>
        <w:t>Váleka</w:t>
      </w:r>
      <w:proofErr w:type="spellEnd"/>
      <w:r>
        <w:rPr>
          <w:bCs/>
        </w:rPr>
        <w:t xml:space="preserve">, </w:t>
      </w:r>
      <w:r>
        <w:t>aby na schôdzi Národnej rady Slovenskej republiky informoval o výsledku rokovania výborov a navrhol Národnej rade Slovenskej republiky postup pri hlasovaní podľa príslušných ustanovení zákona č. 350/1996 Z. z. o rokovacom poriadku Národnej rady Slovenskej republiky znení neskorších predpisov.</w:t>
      </w:r>
      <w:r>
        <w:tab/>
        <w:t xml:space="preserve"> A</w:t>
      </w:r>
      <w:r>
        <w:rPr>
          <w:b/>
        </w:rPr>
        <w:t> </w:t>
      </w:r>
      <w:r>
        <w:t>zároveň určil poslancov</w:t>
      </w:r>
      <w:r>
        <w:rPr>
          <w:b/>
        </w:rPr>
        <w:t xml:space="preserve"> Pavla Ľuptáka, Zdenka Svobodu a   Daniela Karasa, </w:t>
      </w:r>
      <w:r>
        <w:t>aby plnili úlohu spravodajcov.</w:t>
      </w:r>
    </w:p>
    <w:p w:rsidR="00AD5D81" w:rsidRDefault="00AD5D81" w:rsidP="00AD5D81">
      <w:pPr>
        <w:ind w:firstLine="708"/>
        <w:jc w:val="both"/>
      </w:pPr>
    </w:p>
    <w:p w:rsidR="00AD5D81" w:rsidRDefault="00AD5D81" w:rsidP="00725317">
      <w:pPr>
        <w:jc w:val="both"/>
      </w:pPr>
    </w:p>
    <w:p w:rsidR="00AD5D81" w:rsidRDefault="00AD5D81" w:rsidP="00725317">
      <w:pPr>
        <w:pStyle w:val="Zkladntext2"/>
        <w:jc w:val="center"/>
      </w:pPr>
      <w:r>
        <w:t>Bratislava, 25. marca 2025</w:t>
      </w:r>
    </w:p>
    <w:p w:rsidR="00725317" w:rsidRDefault="00725317" w:rsidP="00725317">
      <w:pPr>
        <w:pStyle w:val="Zkladntext2"/>
      </w:pPr>
    </w:p>
    <w:p w:rsidR="00725317" w:rsidRDefault="00725317" w:rsidP="00725317">
      <w:pPr>
        <w:pStyle w:val="Zkladntext2"/>
      </w:pPr>
    </w:p>
    <w:p w:rsidR="00725317" w:rsidRDefault="00725317" w:rsidP="00725317">
      <w:pPr>
        <w:pStyle w:val="Zkladntext2"/>
      </w:pPr>
    </w:p>
    <w:p w:rsidR="00AD5D81" w:rsidRDefault="003120A1" w:rsidP="00725317">
      <w:pPr>
        <w:pStyle w:val="Zkladntext2"/>
        <w:jc w:val="center"/>
        <w:rPr>
          <w:b/>
          <w:bCs/>
        </w:rPr>
      </w:pPr>
      <w:r>
        <w:rPr>
          <w:b/>
          <w:bCs/>
        </w:rPr>
        <w:t xml:space="preserve">Ján </w:t>
      </w:r>
      <w:proofErr w:type="spellStart"/>
      <w:r>
        <w:rPr>
          <w:b/>
          <w:bCs/>
        </w:rPr>
        <w:t>Blcháč</w:t>
      </w:r>
      <w:proofErr w:type="spellEnd"/>
      <w:r>
        <w:rPr>
          <w:b/>
          <w:bCs/>
        </w:rPr>
        <w:t xml:space="preserve">, v. r. </w:t>
      </w:r>
    </w:p>
    <w:p w:rsidR="00AD5D81" w:rsidRDefault="00AD5D81" w:rsidP="00725317">
      <w:pPr>
        <w:pStyle w:val="Zkladntext2"/>
        <w:jc w:val="center"/>
        <w:rPr>
          <w:b/>
          <w:bCs/>
        </w:rPr>
      </w:pPr>
      <w:r>
        <w:rPr>
          <w:b/>
          <w:bCs/>
        </w:rPr>
        <w:t>predseda</w:t>
      </w:r>
    </w:p>
    <w:p w:rsidR="00AD5D81" w:rsidRDefault="00AD5D81" w:rsidP="00725317">
      <w:pPr>
        <w:jc w:val="center"/>
      </w:pPr>
      <w:r>
        <w:rPr>
          <w:b/>
          <w:bCs/>
        </w:rPr>
        <w:t>Výboru NR SR pre financie a rozpočet</w:t>
      </w:r>
    </w:p>
    <w:sectPr w:rsidR="00AD5D81" w:rsidSect="00494E2D">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E2D" w:rsidRDefault="00494E2D" w:rsidP="00494E2D">
      <w:r>
        <w:separator/>
      </w:r>
    </w:p>
  </w:endnote>
  <w:endnote w:type="continuationSeparator" w:id="0">
    <w:p w:rsidR="00494E2D" w:rsidRDefault="00494E2D" w:rsidP="0049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338314"/>
      <w:docPartObj>
        <w:docPartGallery w:val="Page Numbers (Bottom of Page)"/>
        <w:docPartUnique/>
      </w:docPartObj>
    </w:sdtPr>
    <w:sdtEndPr/>
    <w:sdtContent>
      <w:p w:rsidR="00494E2D" w:rsidRDefault="00494E2D">
        <w:pPr>
          <w:pStyle w:val="Pta"/>
          <w:jc w:val="right"/>
        </w:pPr>
        <w:r>
          <w:fldChar w:fldCharType="begin"/>
        </w:r>
        <w:r>
          <w:instrText>PAGE   \* MERGEFORMAT</w:instrText>
        </w:r>
        <w:r>
          <w:fldChar w:fldCharType="separate"/>
        </w:r>
        <w:r w:rsidR="003120A1">
          <w:rPr>
            <w:noProof/>
          </w:rPr>
          <w:t>5</w:t>
        </w:r>
        <w:r>
          <w:fldChar w:fldCharType="end"/>
        </w:r>
      </w:p>
    </w:sdtContent>
  </w:sdt>
  <w:p w:rsidR="00494E2D" w:rsidRDefault="00494E2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E2D" w:rsidRDefault="00494E2D" w:rsidP="00494E2D">
      <w:r>
        <w:separator/>
      </w:r>
    </w:p>
  </w:footnote>
  <w:footnote w:type="continuationSeparator" w:id="0">
    <w:p w:rsidR="00494E2D" w:rsidRDefault="00494E2D" w:rsidP="00494E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2AA41D75"/>
    <w:multiLevelType w:val="hybridMultilevel"/>
    <w:tmpl w:val="421EE0D0"/>
    <w:lvl w:ilvl="0" w:tplc="7F56856C">
      <w:start w:val="1"/>
      <w:numFmt w:val="decimal"/>
      <w:lvlText w:val="%1."/>
      <w:lvlJc w:val="left"/>
      <w:pPr>
        <w:ind w:left="720" w:hanging="360"/>
      </w:pPr>
      <w:rPr>
        <w:rFonts w:hint="default"/>
        <w:b/>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F12B1B"/>
    <w:multiLevelType w:val="hybridMultilevel"/>
    <w:tmpl w:val="C08AF182"/>
    <w:lvl w:ilvl="0" w:tplc="C9904ED6">
      <w:start w:val="1"/>
      <w:numFmt w:val="decimal"/>
      <w:lvlText w:val="%1."/>
      <w:lvlJc w:val="left"/>
      <w:pPr>
        <w:ind w:left="720" w:hanging="360"/>
      </w:pPr>
      <w:rPr>
        <w:b/>
      </w:rPr>
    </w:lvl>
    <w:lvl w:ilvl="1" w:tplc="3D380DE2">
      <w:start w:val="1"/>
      <w:numFmt w:val="lowerLetter"/>
      <w:lvlText w:val="%2."/>
      <w:lvlJc w:val="left"/>
      <w:pPr>
        <w:ind w:left="1440" w:hanging="360"/>
      </w:pPr>
    </w:lvl>
    <w:lvl w:ilvl="2" w:tplc="0360F202">
      <w:start w:val="1"/>
      <w:numFmt w:val="lowerRoman"/>
      <w:lvlText w:val="%3."/>
      <w:lvlJc w:val="right"/>
      <w:pPr>
        <w:ind w:left="2160" w:hanging="180"/>
      </w:pPr>
    </w:lvl>
    <w:lvl w:ilvl="3" w:tplc="DC20608C">
      <w:start w:val="1"/>
      <w:numFmt w:val="decimal"/>
      <w:lvlText w:val="%4."/>
      <w:lvlJc w:val="left"/>
      <w:pPr>
        <w:ind w:left="2880" w:hanging="360"/>
      </w:pPr>
    </w:lvl>
    <w:lvl w:ilvl="4" w:tplc="47DE9FDE">
      <w:start w:val="1"/>
      <w:numFmt w:val="lowerLetter"/>
      <w:lvlText w:val="%5."/>
      <w:lvlJc w:val="left"/>
      <w:pPr>
        <w:ind w:left="3600" w:hanging="360"/>
      </w:pPr>
    </w:lvl>
    <w:lvl w:ilvl="5" w:tplc="B3EC0BE0">
      <w:start w:val="1"/>
      <w:numFmt w:val="lowerRoman"/>
      <w:lvlText w:val="%6."/>
      <w:lvlJc w:val="right"/>
      <w:pPr>
        <w:ind w:left="4320" w:hanging="180"/>
      </w:pPr>
    </w:lvl>
    <w:lvl w:ilvl="6" w:tplc="F9782662">
      <w:start w:val="1"/>
      <w:numFmt w:val="decimal"/>
      <w:lvlText w:val="%7."/>
      <w:lvlJc w:val="left"/>
      <w:pPr>
        <w:ind w:left="5040" w:hanging="360"/>
      </w:pPr>
    </w:lvl>
    <w:lvl w:ilvl="7" w:tplc="FA320B56">
      <w:start w:val="1"/>
      <w:numFmt w:val="lowerLetter"/>
      <w:lvlText w:val="%8."/>
      <w:lvlJc w:val="left"/>
      <w:pPr>
        <w:ind w:left="5760" w:hanging="360"/>
      </w:pPr>
    </w:lvl>
    <w:lvl w:ilvl="8" w:tplc="3BE8BAB6">
      <w:start w:val="1"/>
      <w:numFmt w:val="lowerRoman"/>
      <w:lvlText w:val="%9."/>
      <w:lvlJc w:val="right"/>
      <w:pPr>
        <w:ind w:left="6480" w:hanging="180"/>
      </w:pPr>
    </w:lvl>
  </w:abstractNum>
  <w:abstractNum w:abstractNumId="3" w15:restartNumberingAfterBreak="0">
    <w:nsid w:val="6289796D"/>
    <w:multiLevelType w:val="hybridMultilevel"/>
    <w:tmpl w:val="25F240DC"/>
    <w:lvl w:ilvl="0" w:tplc="C93A5B08">
      <w:start w:val="1"/>
      <w:numFmt w:val="bullet"/>
      <w:lvlText w:val="-"/>
      <w:lvlJc w:val="left"/>
      <w:pPr>
        <w:ind w:left="720" w:hanging="360"/>
      </w:pPr>
    </w:lvl>
    <w:lvl w:ilvl="1" w:tplc="CA5815B6">
      <w:start w:val="1"/>
      <w:numFmt w:val="bullet"/>
      <w:lvlText w:val="o"/>
      <w:lvlJc w:val="left"/>
      <w:pPr>
        <w:ind w:left="1440" w:hanging="360"/>
      </w:pPr>
      <w:rPr>
        <w:rFonts w:ascii="Courier New" w:hAnsi="Courier New" w:cs="Courier New" w:hint="default"/>
      </w:rPr>
    </w:lvl>
    <w:lvl w:ilvl="2" w:tplc="5E8CA990">
      <w:start w:val="1"/>
      <w:numFmt w:val="bullet"/>
      <w:lvlText w:val=""/>
      <w:lvlJc w:val="left"/>
      <w:pPr>
        <w:ind w:left="2160" w:hanging="360"/>
      </w:pPr>
      <w:rPr>
        <w:rFonts w:ascii="Wingdings" w:hAnsi="Wingdings" w:hint="default"/>
      </w:rPr>
    </w:lvl>
    <w:lvl w:ilvl="3" w:tplc="7ABCE20A">
      <w:start w:val="1"/>
      <w:numFmt w:val="bullet"/>
      <w:lvlText w:val=""/>
      <w:lvlJc w:val="left"/>
      <w:pPr>
        <w:ind w:left="2880" w:hanging="360"/>
      </w:pPr>
      <w:rPr>
        <w:rFonts w:ascii="Symbol" w:hAnsi="Symbol" w:hint="default"/>
      </w:rPr>
    </w:lvl>
    <w:lvl w:ilvl="4" w:tplc="1D9EB700">
      <w:start w:val="1"/>
      <w:numFmt w:val="bullet"/>
      <w:lvlText w:val="o"/>
      <w:lvlJc w:val="left"/>
      <w:pPr>
        <w:ind w:left="3600" w:hanging="360"/>
      </w:pPr>
      <w:rPr>
        <w:rFonts w:ascii="Courier New" w:hAnsi="Courier New" w:cs="Courier New" w:hint="default"/>
      </w:rPr>
    </w:lvl>
    <w:lvl w:ilvl="5" w:tplc="FD08DD1E">
      <w:start w:val="1"/>
      <w:numFmt w:val="bullet"/>
      <w:lvlText w:val=""/>
      <w:lvlJc w:val="left"/>
      <w:pPr>
        <w:ind w:left="4320" w:hanging="360"/>
      </w:pPr>
      <w:rPr>
        <w:rFonts w:ascii="Wingdings" w:hAnsi="Wingdings" w:hint="default"/>
      </w:rPr>
    </w:lvl>
    <w:lvl w:ilvl="6" w:tplc="56FC9A82">
      <w:start w:val="1"/>
      <w:numFmt w:val="bullet"/>
      <w:lvlText w:val=""/>
      <w:lvlJc w:val="left"/>
      <w:pPr>
        <w:ind w:left="5040" w:hanging="360"/>
      </w:pPr>
      <w:rPr>
        <w:rFonts w:ascii="Symbol" w:hAnsi="Symbol" w:hint="default"/>
      </w:rPr>
    </w:lvl>
    <w:lvl w:ilvl="7" w:tplc="1A6E6C16">
      <w:start w:val="1"/>
      <w:numFmt w:val="bullet"/>
      <w:lvlText w:val="o"/>
      <w:lvlJc w:val="left"/>
      <w:pPr>
        <w:ind w:left="5760" w:hanging="360"/>
      </w:pPr>
      <w:rPr>
        <w:rFonts w:ascii="Courier New" w:hAnsi="Courier New" w:cs="Courier New" w:hint="default"/>
      </w:rPr>
    </w:lvl>
    <w:lvl w:ilvl="8" w:tplc="E9BEAEA6">
      <w:start w:val="1"/>
      <w:numFmt w:val="bullet"/>
      <w:lvlText w:val=""/>
      <w:lvlJc w:val="left"/>
      <w:pPr>
        <w:ind w:left="6480" w:hanging="360"/>
      </w:pPr>
      <w:rPr>
        <w:rFonts w:ascii="Wingdings" w:hAnsi="Wingdings" w:hint="default"/>
      </w:rPr>
    </w:lvl>
  </w:abstractNum>
  <w:abstractNum w:abstractNumId="4" w15:restartNumberingAfterBreak="0">
    <w:nsid w:val="62937482"/>
    <w:multiLevelType w:val="hybridMultilevel"/>
    <w:tmpl w:val="4B42B7C2"/>
    <w:lvl w:ilvl="0" w:tplc="116EFFDC">
      <w:start w:val="1"/>
      <w:numFmt w:val="decimal"/>
      <w:lvlText w:val="%1."/>
      <w:lvlJc w:val="left"/>
      <w:pPr>
        <w:ind w:left="927" w:hanging="360"/>
      </w:pPr>
      <w:rPr>
        <w:b/>
      </w:rPr>
    </w:lvl>
    <w:lvl w:ilvl="1" w:tplc="5D004120">
      <w:start w:val="1"/>
      <w:numFmt w:val="lowerLetter"/>
      <w:lvlText w:val="%2."/>
      <w:lvlJc w:val="left"/>
      <w:pPr>
        <w:ind w:left="1647" w:hanging="360"/>
      </w:pPr>
    </w:lvl>
    <w:lvl w:ilvl="2" w:tplc="D5F01358">
      <w:start w:val="1"/>
      <w:numFmt w:val="lowerRoman"/>
      <w:lvlText w:val="%3."/>
      <w:lvlJc w:val="right"/>
      <w:pPr>
        <w:ind w:left="2367" w:hanging="180"/>
      </w:pPr>
    </w:lvl>
    <w:lvl w:ilvl="3" w:tplc="6AAA8032">
      <w:start w:val="1"/>
      <w:numFmt w:val="decimal"/>
      <w:lvlText w:val="%4."/>
      <w:lvlJc w:val="left"/>
      <w:pPr>
        <w:ind w:left="3087" w:hanging="360"/>
      </w:pPr>
    </w:lvl>
    <w:lvl w:ilvl="4" w:tplc="7020183C">
      <w:start w:val="1"/>
      <w:numFmt w:val="lowerLetter"/>
      <w:lvlText w:val="%5."/>
      <w:lvlJc w:val="left"/>
      <w:pPr>
        <w:ind w:left="3807" w:hanging="360"/>
      </w:pPr>
    </w:lvl>
    <w:lvl w:ilvl="5" w:tplc="10C81B6A">
      <w:start w:val="1"/>
      <w:numFmt w:val="lowerRoman"/>
      <w:lvlText w:val="%6."/>
      <w:lvlJc w:val="right"/>
      <w:pPr>
        <w:ind w:left="4527" w:hanging="180"/>
      </w:pPr>
    </w:lvl>
    <w:lvl w:ilvl="6" w:tplc="37B80F80">
      <w:start w:val="1"/>
      <w:numFmt w:val="decimal"/>
      <w:lvlText w:val="%7."/>
      <w:lvlJc w:val="left"/>
      <w:pPr>
        <w:ind w:left="5247" w:hanging="360"/>
      </w:pPr>
    </w:lvl>
    <w:lvl w:ilvl="7" w:tplc="1586380C">
      <w:start w:val="1"/>
      <w:numFmt w:val="lowerLetter"/>
      <w:lvlText w:val="%8."/>
      <w:lvlJc w:val="left"/>
      <w:pPr>
        <w:ind w:left="5967" w:hanging="360"/>
      </w:pPr>
    </w:lvl>
    <w:lvl w:ilvl="8" w:tplc="8CF6373C">
      <w:start w:val="1"/>
      <w:numFmt w:val="lowerRoman"/>
      <w:lvlText w:val="%9."/>
      <w:lvlJc w:val="right"/>
      <w:pPr>
        <w:ind w:left="6687" w:hanging="180"/>
      </w:pPr>
    </w:lvl>
  </w:abstractNum>
  <w:abstractNum w:abstractNumId="5" w15:restartNumberingAfterBreak="0">
    <w:nsid w:val="6A8C4556"/>
    <w:multiLevelType w:val="hybridMultilevel"/>
    <w:tmpl w:val="730CF880"/>
    <w:lvl w:ilvl="0" w:tplc="0206FC74">
      <w:start w:val="1"/>
      <w:numFmt w:val="decimal"/>
      <w:lvlText w:val="(%1)"/>
      <w:lvlJc w:val="left"/>
      <w:pPr>
        <w:ind w:left="720" w:hanging="360"/>
      </w:pPr>
    </w:lvl>
    <w:lvl w:ilvl="1" w:tplc="A7AE6302">
      <w:start w:val="1"/>
      <w:numFmt w:val="lowerLetter"/>
      <w:lvlText w:val="%2."/>
      <w:lvlJc w:val="left"/>
      <w:pPr>
        <w:ind w:left="1440" w:hanging="360"/>
      </w:pPr>
    </w:lvl>
    <w:lvl w:ilvl="2" w:tplc="AB80EC86">
      <w:start w:val="1"/>
      <w:numFmt w:val="lowerRoman"/>
      <w:lvlText w:val="%3."/>
      <w:lvlJc w:val="right"/>
      <w:pPr>
        <w:ind w:left="2160" w:hanging="180"/>
      </w:pPr>
    </w:lvl>
    <w:lvl w:ilvl="3" w:tplc="79CC1614">
      <w:start w:val="1"/>
      <w:numFmt w:val="decimal"/>
      <w:lvlText w:val="%4."/>
      <w:lvlJc w:val="left"/>
      <w:pPr>
        <w:ind w:left="2880" w:hanging="360"/>
      </w:pPr>
    </w:lvl>
    <w:lvl w:ilvl="4" w:tplc="50F41052">
      <w:start w:val="1"/>
      <w:numFmt w:val="lowerLetter"/>
      <w:lvlText w:val="%5."/>
      <w:lvlJc w:val="left"/>
      <w:pPr>
        <w:ind w:left="3600" w:hanging="360"/>
      </w:pPr>
    </w:lvl>
    <w:lvl w:ilvl="5" w:tplc="7DCA1DA0">
      <w:start w:val="1"/>
      <w:numFmt w:val="lowerRoman"/>
      <w:lvlText w:val="%6."/>
      <w:lvlJc w:val="right"/>
      <w:pPr>
        <w:ind w:left="4320" w:hanging="180"/>
      </w:pPr>
    </w:lvl>
    <w:lvl w:ilvl="6" w:tplc="DE0AC3AC">
      <w:start w:val="1"/>
      <w:numFmt w:val="decimal"/>
      <w:lvlText w:val="%7."/>
      <w:lvlJc w:val="left"/>
      <w:pPr>
        <w:ind w:left="5040" w:hanging="360"/>
      </w:pPr>
    </w:lvl>
    <w:lvl w:ilvl="7" w:tplc="4768C622">
      <w:start w:val="1"/>
      <w:numFmt w:val="lowerLetter"/>
      <w:lvlText w:val="%8."/>
      <w:lvlJc w:val="left"/>
      <w:pPr>
        <w:ind w:left="5760" w:hanging="360"/>
      </w:pPr>
    </w:lvl>
    <w:lvl w:ilvl="8" w:tplc="A956B57A">
      <w:start w:val="1"/>
      <w:numFmt w:val="lowerRoman"/>
      <w:lvlText w:val="%9."/>
      <w:lvlJc w:val="right"/>
      <w:pPr>
        <w:ind w:left="6480" w:hanging="180"/>
      </w:pPr>
    </w:lvl>
  </w:abstractNum>
  <w:abstractNum w:abstractNumId="6" w15:restartNumberingAfterBreak="0">
    <w:nsid w:val="6B25450E"/>
    <w:multiLevelType w:val="hybridMultilevel"/>
    <w:tmpl w:val="020A93E0"/>
    <w:lvl w:ilvl="0" w:tplc="D1541E34">
      <w:start w:val="1"/>
      <w:numFmt w:val="bullet"/>
      <w:lvlText w:val="-"/>
      <w:lvlJc w:val="left"/>
      <w:pPr>
        <w:ind w:left="1080" w:hanging="360"/>
      </w:pPr>
    </w:lvl>
    <w:lvl w:ilvl="1" w:tplc="FF54E2BC">
      <w:start w:val="1"/>
      <w:numFmt w:val="bullet"/>
      <w:lvlText w:val="o"/>
      <w:lvlJc w:val="left"/>
      <w:pPr>
        <w:ind w:left="1800" w:hanging="360"/>
      </w:pPr>
      <w:rPr>
        <w:rFonts w:ascii="Courier New" w:hAnsi="Courier New" w:cs="Courier New" w:hint="default"/>
      </w:rPr>
    </w:lvl>
    <w:lvl w:ilvl="2" w:tplc="DFF4265C">
      <w:start w:val="1"/>
      <w:numFmt w:val="bullet"/>
      <w:lvlText w:val=""/>
      <w:lvlJc w:val="left"/>
      <w:pPr>
        <w:ind w:left="2520" w:hanging="360"/>
      </w:pPr>
      <w:rPr>
        <w:rFonts w:ascii="Wingdings" w:hAnsi="Wingdings" w:hint="default"/>
      </w:rPr>
    </w:lvl>
    <w:lvl w:ilvl="3" w:tplc="0106B520">
      <w:start w:val="1"/>
      <w:numFmt w:val="bullet"/>
      <w:lvlText w:val=""/>
      <w:lvlJc w:val="left"/>
      <w:pPr>
        <w:ind w:left="3240" w:hanging="360"/>
      </w:pPr>
      <w:rPr>
        <w:rFonts w:ascii="Symbol" w:hAnsi="Symbol" w:hint="default"/>
      </w:rPr>
    </w:lvl>
    <w:lvl w:ilvl="4" w:tplc="0FDCE46A">
      <w:start w:val="1"/>
      <w:numFmt w:val="bullet"/>
      <w:lvlText w:val="o"/>
      <w:lvlJc w:val="left"/>
      <w:pPr>
        <w:ind w:left="3960" w:hanging="360"/>
      </w:pPr>
      <w:rPr>
        <w:rFonts w:ascii="Courier New" w:hAnsi="Courier New" w:cs="Courier New" w:hint="default"/>
      </w:rPr>
    </w:lvl>
    <w:lvl w:ilvl="5" w:tplc="6A68A210">
      <w:start w:val="1"/>
      <w:numFmt w:val="bullet"/>
      <w:lvlText w:val=""/>
      <w:lvlJc w:val="left"/>
      <w:pPr>
        <w:ind w:left="4680" w:hanging="360"/>
      </w:pPr>
      <w:rPr>
        <w:rFonts w:ascii="Wingdings" w:hAnsi="Wingdings" w:hint="default"/>
      </w:rPr>
    </w:lvl>
    <w:lvl w:ilvl="6" w:tplc="CBA40242">
      <w:start w:val="1"/>
      <w:numFmt w:val="bullet"/>
      <w:lvlText w:val=""/>
      <w:lvlJc w:val="left"/>
      <w:pPr>
        <w:ind w:left="5400" w:hanging="360"/>
      </w:pPr>
      <w:rPr>
        <w:rFonts w:ascii="Symbol" w:hAnsi="Symbol" w:hint="default"/>
      </w:rPr>
    </w:lvl>
    <w:lvl w:ilvl="7" w:tplc="066CD006">
      <w:start w:val="1"/>
      <w:numFmt w:val="bullet"/>
      <w:lvlText w:val="o"/>
      <w:lvlJc w:val="left"/>
      <w:pPr>
        <w:ind w:left="6120" w:hanging="360"/>
      </w:pPr>
      <w:rPr>
        <w:rFonts w:ascii="Courier New" w:hAnsi="Courier New" w:cs="Courier New" w:hint="default"/>
      </w:rPr>
    </w:lvl>
    <w:lvl w:ilvl="8" w:tplc="370AFDCE">
      <w:start w:val="1"/>
      <w:numFmt w:val="bullet"/>
      <w:lvlText w:val=""/>
      <w:lvlJc w:val="left"/>
      <w:pPr>
        <w:ind w:left="6840" w:hanging="360"/>
      </w:pPr>
      <w:rPr>
        <w:rFonts w:ascii="Wingdings" w:hAnsi="Wingdings" w:hint="default"/>
      </w:rPr>
    </w:lvl>
  </w:abstractNum>
  <w:abstractNum w:abstractNumId="7" w15:restartNumberingAfterBreak="0">
    <w:nsid w:val="6C584880"/>
    <w:multiLevelType w:val="hybridMultilevel"/>
    <w:tmpl w:val="26C4928C"/>
    <w:lvl w:ilvl="0" w:tplc="384E72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59"/>
    <w:rsid w:val="00151F55"/>
    <w:rsid w:val="001730FB"/>
    <w:rsid w:val="001F249B"/>
    <w:rsid w:val="003120A1"/>
    <w:rsid w:val="00494E2D"/>
    <w:rsid w:val="00537A59"/>
    <w:rsid w:val="00644BFE"/>
    <w:rsid w:val="0070348A"/>
    <w:rsid w:val="00725317"/>
    <w:rsid w:val="00785950"/>
    <w:rsid w:val="00832BA9"/>
    <w:rsid w:val="00AD5D81"/>
    <w:rsid w:val="00BC3730"/>
    <w:rsid w:val="00C528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F9B0"/>
  <w15:chartTrackingRefBased/>
  <w15:docId w15:val="{34BD9116-529B-4E64-AA31-A34114B7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2BA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832BA9"/>
    <w:pPr>
      <w:keepNext/>
      <w:jc w:val="center"/>
      <w:outlineLvl w:val="0"/>
    </w:pPr>
    <w:rPr>
      <w:rFonts w:eastAsia="Arial Unicode MS"/>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32BA9"/>
    <w:rPr>
      <w:rFonts w:ascii="Times New Roman" w:eastAsia="Arial Unicode MS" w:hAnsi="Times New Roman" w:cs="Times New Roman"/>
      <w:b/>
      <w:sz w:val="28"/>
      <w:szCs w:val="24"/>
      <w:lang w:eastAsia="sk-SK"/>
    </w:rPr>
  </w:style>
  <w:style w:type="character" w:styleId="Hypertextovprepojenie">
    <w:name w:val="Hyperlink"/>
    <w:uiPriority w:val="99"/>
    <w:semiHidden/>
    <w:unhideWhenUsed/>
    <w:rsid w:val="00832BA9"/>
    <w:rPr>
      <w:rFonts w:ascii="Times New Roman" w:hAnsi="Times New Roman" w:cs="Times New Roman" w:hint="default"/>
      <w:color w:val="0563C1"/>
      <w:u w:val="single"/>
    </w:rPr>
  </w:style>
  <w:style w:type="paragraph" w:styleId="Nzov">
    <w:name w:val="Title"/>
    <w:basedOn w:val="Normlny"/>
    <w:link w:val="NzovChar"/>
    <w:qFormat/>
    <w:rsid w:val="00832BA9"/>
    <w:pPr>
      <w:jc w:val="center"/>
    </w:pPr>
    <w:rPr>
      <w:b/>
      <w:sz w:val="32"/>
      <w:szCs w:val="20"/>
    </w:rPr>
  </w:style>
  <w:style w:type="character" w:customStyle="1" w:styleId="NzovChar">
    <w:name w:val="Názov Char"/>
    <w:basedOn w:val="Predvolenpsmoodseku"/>
    <w:link w:val="Nzov"/>
    <w:rsid w:val="00832BA9"/>
    <w:rPr>
      <w:rFonts w:ascii="Times New Roman" w:eastAsia="Times New Roman" w:hAnsi="Times New Roman" w:cs="Times New Roman"/>
      <w:b/>
      <w:sz w:val="32"/>
      <w:szCs w:val="20"/>
      <w:lang w:eastAsia="sk-SK"/>
    </w:rPr>
  </w:style>
  <w:style w:type="paragraph" w:styleId="Zkladntext">
    <w:name w:val="Body Text"/>
    <w:basedOn w:val="Normlny"/>
    <w:link w:val="ZkladntextChar"/>
    <w:semiHidden/>
    <w:unhideWhenUsed/>
    <w:rsid w:val="00832BA9"/>
    <w:pPr>
      <w:jc w:val="both"/>
    </w:pPr>
    <w:rPr>
      <w:b/>
      <w:bCs/>
    </w:rPr>
  </w:style>
  <w:style w:type="character" w:customStyle="1" w:styleId="ZkladntextChar">
    <w:name w:val="Základný text Char"/>
    <w:basedOn w:val="Predvolenpsmoodseku"/>
    <w:link w:val="Zkladntext"/>
    <w:semiHidden/>
    <w:rsid w:val="00832BA9"/>
    <w:rPr>
      <w:rFonts w:ascii="Times New Roman" w:eastAsia="Times New Roman" w:hAnsi="Times New Roman" w:cs="Times New Roman"/>
      <w:b/>
      <w:bCs/>
      <w:sz w:val="24"/>
      <w:szCs w:val="24"/>
      <w:lang w:eastAsia="sk-SK"/>
    </w:rPr>
  </w:style>
  <w:style w:type="paragraph" w:styleId="Podtitul">
    <w:name w:val="Subtitle"/>
    <w:basedOn w:val="Normlny"/>
    <w:link w:val="PodtitulChar"/>
    <w:qFormat/>
    <w:rsid w:val="00832BA9"/>
    <w:pPr>
      <w:jc w:val="center"/>
    </w:pPr>
    <w:rPr>
      <w:b/>
      <w:sz w:val="28"/>
      <w:szCs w:val="20"/>
    </w:rPr>
  </w:style>
  <w:style w:type="character" w:customStyle="1" w:styleId="PodtitulChar">
    <w:name w:val="Podtitul Char"/>
    <w:basedOn w:val="Predvolenpsmoodseku"/>
    <w:link w:val="Podtitul"/>
    <w:rsid w:val="00832BA9"/>
    <w:rPr>
      <w:rFonts w:ascii="Times New Roman" w:eastAsia="Times New Roman" w:hAnsi="Times New Roman" w:cs="Times New Roman"/>
      <w:b/>
      <w:sz w:val="28"/>
      <w:szCs w:val="20"/>
      <w:lang w:eastAsia="sk-SK"/>
    </w:rPr>
  </w:style>
  <w:style w:type="paragraph" w:styleId="Zkladntext2">
    <w:name w:val="Body Text 2"/>
    <w:basedOn w:val="Normlny"/>
    <w:link w:val="Zkladntext2Char"/>
    <w:semiHidden/>
    <w:unhideWhenUsed/>
    <w:rsid w:val="00832BA9"/>
    <w:pPr>
      <w:jc w:val="both"/>
    </w:pPr>
    <w:rPr>
      <w:szCs w:val="20"/>
    </w:rPr>
  </w:style>
  <w:style w:type="character" w:customStyle="1" w:styleId="Zkladntext2Char">
    <w:name w:val="Základný text 2 Char"/>
    <w:basedOn w:val="Predvolenpsmoodseku"/>
    <w:link w:val="Zkladntext2"/>
    <w:semiHidden/>
    <w:rsid w:val="00832BA9"/>
    <w:rPr>
      <w:rFonts w:ascii="Times New Roman" w:eastAsia="Times New Roman" w:hAnsi="Times New Roman" w:cs="Times New Roman"/>
      <w:sz w:val="24"/>
      <w:szCs w:val="20"/>
      <w:lang w:eastAsia="sk-SK"/>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832BA9"/>
    <w:rPr>
      <w:rFonts w:ascii="Calibri" w:eastAsia="Calibri" w:hAnsi="Calibri" w:cs="Calibri"/>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832BA9"/>
    <w:pPr>
      <w:spacing w:after="200" w:line="276" w:lineRule="auto"/>
      <w:ind w:left="720"/>
      <w:contextualSpacing/>
    </w:pPr>
    <w:rPr>
      <w:rFonts w:ascii="Calibri" w:eastAsia="Calibri" w:hAnsi="Calibri" w:cs="Calibri"/>
      <w:sz w:val="22"/>
      <w:szCs w:val="22"/>
      <w:lang w:eastAsia="en-US"/>
    </w:rPr>
  </w:style>
  <w:style w:type="character" w:customStyle="1" w:styleId="awspan1">
    <w:name w:val="awspan1"/>
    <w:rsid w:val="00832BA9"/>
    <w:rPr>
      <w:color w:val="000000"/>
      <w:sz w:val="24"/>
      <w:szCs w:val="24"/>
    </w:rPr>
  </w:style>
  <w:style w:type="paragraph" w:styleId="Textbubliny">
    <w:name w:val="Balloon Text"/>
    <w:basedOn w:val="Normlny"/>
    <w:link w:val="TextbublinyChar"/>
    <w:uiPriority w:val="99"/>
    <w:semiHidden/>
    <w:unhideWhenUsed/>
    <w:rsid w:val="001F249B"/>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249B"/>
    <w:rPr>
      <w:rFonts w:ascii="Segoe UI" w:eastAsia="Times New Roman" w:hAnsi="Segoe UI" w:cs="Segoe UI"/>
      <w:sz w:val="18"/>
      <w:szCs w:val="18"/>
      <w:lang w:eastAsia="sk-SK"/>
    </w:rPr>
  </w:style>
  <w:style w:type="table" w:styleId="Mriekatabuky">
    <w:name w:val="Table Grid"/>
    <w:basedOn w:val="Normlnatabuka"/>
    <w:uiPriority w:val="39"/>
    <w:rsid w:val="00AD5D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94E2D"/>
    <w:pPr>
      <w:tabs>
        <w:tab w:val="center" w:pos="4536"/>
        <w:tab w:val="right" w:pos="9072"/>
      </w:tabs>
    </w:pPr>
  </w:style>
  <w:style w:type="character" w:customStyle="1" w:styleId="HlavikaChar">
    <w:name w:val="Hlavička Char"/>
    <w:basedOn w:val="Predvolenpsmoodseku"/>
    <w:link w:val="Hlavika"/>
    <w:uiPriority w:val="99"/>
    <w:rsid w:val="00494E2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94E2D"/>
    <w:pPr>
      <w:tabs>
        <w:tab w:val="center" w:pos="4536"/>
        <w:tab w:val="right" w:pos="9072"/>
      </w:tabs>
    </w:pPr>
  </w:style>
  <w:style w:type="character" w:customStyle="1" w:styleId="PtaChar">
    <w:name w:val="Päta Char"/>
    <w:basedOn w:val="Predvolenpsmoodseku"/>
    <w:link w:val="Pta"/>
    <w:uiPriority w:val="99"/>
    <w:rsid w:val="00494E2D"/>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9069">
      <w:bodyDiv w:val="1"/>
      <w:marLeft w:val="0"/>
      <w:marRight w:val="0"/>
      <w:marTop w:val="0"/>
      <w:marBottom w:val="0"/>
      <w:divBdr>
        <w:top w:val="none" w:sz="0" w:space="0" w:color="auto"/>
        <w:left w:val="none" w:sz="0" w:space="0" w:color="auto"/>
        <w:bottom w:val="none" w:sz="0" w:space="0" w:color="auto"/>
        <w:right w:val="none" w:sz="0" w:space="0" w:color="auto"/>
      </w:divBdr>
    </w:div>
    <w:div w:id="3526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1557</Words>
  <Characters>8875</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11</cp:revision>
  <cp:lastPrinted>2025-03-25T08:44:00Z</cp:lastPrinted>
  <dcterms:created xsi:type="dcterms:W3CDTF">2025-01-29T06:15:00Z</dcterms:created>
  <dcterms:modified xsi:type="dcterms:W3CDTF">2025-03-25T08:45:00Z</dcterms:modified>
</cp:coreProperties>
</file>