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A7317" w14:textId="77777777" w:rsidR="008B25A6" w:rsidRPr="009768A3" w:rsidRDefault="008B25A6" w:rsidP="008B25A6">
      <w:pPr>
        <w:widowControl/>
        <w:jc w:val="center"/>
        <w:rPr>
          <w:b/>
          <w:caps/>
          <w:spacing w:val="30"/>
          <w:sz w:val="22"/>
          <w:szCs w:val="22"/>
        </w:rPr>
      </w:pPr>
      <w:r w:rsidRPr="009768A3">
        <w:rPr>
          <w:b/>
          <w:caps/>
          <w:spacing w:val="30"/>
          <w:sz w:val="22"/>
          <w:szCs w:val="22"/>
        </w:rPr>
        <w:t>Dôvodová správa</w:t>
      </w:r>
    </w:p>
    <w:p w14:paraId="4DCE0FF9" w14:textId="77777777" w:rsidR="008B25A6" w:rsidRPr="009768A3" w:rsidRDefault="008B25A6" w:rsidP="008B25A6">
      <w:pPr>
        <w:widowControl/>
        <w:jc w:val="both"/>
        <w:rPr>
          <w:sz w:val="22"/>
          <w:szCs w:val="22"/>
        </w:rPr>
      </w:pPr>
    </w:p>
    <w:p w14:paraId="75479C65" w14:textId="77777777" w:rsidR="008B25A6" w:rsidRPr="009768A3" w:rsidRDefault="008B25A6" w:rsidP="008B25A6">
      <w:pPr>
        <w:widowControl/>
        <w:jc w:val="both"/>
        <w:rPr>
          <w:b/>
          <w:sz w:val="22"/>
          <w:szCs w:val="22"/>
        </w:rPr>
      </w:pPr>
      <w:r w:rsidRPr="009768A3">
        <w:rPr>
          <w:b/>
          <w:sz w:val="22"/>
          <w:szCs w:val="22"/>
        </w:rPr>
        <w:t>A. Všeobecná časť</w:t>
      </w:r>
    </w:p>
    <w:p w14:paraId="5747BFD5" w14:textId="77777777" w:rsidR="008B25A6" w:rsidRPr="009768A3" w:rsidRDefault="008B25A6" w:rsidP="008B25A6">
      <w:pPr>
        <w:widowControl/>
        <w:jc w:val="both"/>
        <w:rPr>
          <w:sz w:val="22"/>
          <w:szCs w:val="22"/>
        </w:rPr>
      </w:pPr>
    </w:p>
    <w:p w14:paraId="76973301" w14:textId="3566E80A" w:rsidR="00D32789" w:rsidRPr="009768A3" w:rsidRDefault="00D32789" w:rsidP="00C23862">
      <w:pPr>
        <w:ind w:firstLine="709"/>
        <w:jc w:val="both"/>
        <w:rPr>
          <w:sz w:val="22"/>
          <w:szCs w:val="22"/>
        </w:rPr>
      </w:pPr>
      <w:r w:rsidRPr="009768A3">
        <w:rPr>
          <w:sz w:val="22"/>
          <w:szCs w:val="22"/>
        </w:rPr>
        <w:t>Návrh zákona, ktorým sa mení a dopĺňa zákon č. 150/2013 Z. z. o Štátnom fonde rozvoja bývania v</w:t>
      </w:r>
      <w:r w:rsidR="00676B8C" w:rsidRPr="009768A3">
        <w:rPr>
          <w:sz w:val="22"/>
          <w:szCs w:val="22"/>
        </w:rPr>
        <w:t> </w:t>
      </w:r>
      <w:r w:rsidRPr="009768A3">
        <w:rPr>
          <w:sz w:val="22"/>
          <w:szCs w:val="22"/>
        </w:rPr>
        <w:t>znení neskorších predpisov</w:t>
      </w:r>
      <w:r w:rsidRPr="009768A3">
        <w:rPr>
          <w:bCs/>
          <w:sz w:val="22"/>
          <w:szCs w:val="22"/>
        </w:rPr>
        <w:t xml:space="preserve"> </w:t>
      </w:r>
      <w:r w:rsidR="00080361" w:rsidRPr="009768A3">
        <w:rPr>
          <w:bCs/>
          <w:sz w:val="22"/>
          <w:szCs w:val="22"/>
        </w:rPr>
        <w:t xml:space="preserve">a ktorým sa </w:t>
      </w:r>
      <w:r w:rsidR="00676B8C" w:rsidRPr="009768A3">
        <w:rPr>
          <w:bCs/>
          <w:sz w:val="22"/>
          <w:szCs w:val="22"/>
        </w:rPr>
        <w:t>mení zákon č. 443/2010 Z. z. o dotáciách na rozvoj bývania a o sociálnom bývaní v znení neskorších predpisov</w:t>
      </w:r>
      <w:r w:rsidR="00D1006D" w:rsidRPr="009768A3">
        <w:rPr>
          <w:bCs/>
          <w:sz w:val="22"/>
          <w:szCs w:val="22"/>
        </w:rPr>
        <w:t>,</w:t>
      </w:r>
      <w:r w:rsidR="00080361" w:rsidRPr="009768A3">
        <w:rPr>
          <w:bCs/>
          <w:sz w:val="22"/>
          <w:szCs w:val="22"/>
        </w:rPr>
        <w:t xml:space="preserve"> </w:t>
      </w:r>
      <w:r w:rsidRPr="009768A3">
        <w:rPr>
          <w:bCs/>
          <w:sz w:val="22"/>
          <w:szCs w:val="22"/>
        </w:rPr>
        <w:t xml:space="preserve">bol vypracovaný </w:t>
      </w:r>
      <w:r w:rsidRPr="009768A3">
        <w:rPr>
          <w:sz w:val="22"/>
          <w:szCs w:val="22"/>
        </w:rPr>
        <w:t>ako iniciatívny materiál.</w:t>
      </w:r>
    </w:p>
    <w:p w14:paraId="218CAB65" w14:textId="77777777" w:rsidR="00C23862" w:rsidRPr="009768A3" w:rsidRDefault="00C23862" w:rsidP="00C23862">
      <w:pPr>
        <w:ind w:firstLine="709"/>
        <w:jc w:val="both"/>
        <w:rPr>
          <w:sz w:val="22"/>
          <w:szCs w:val="22"/>
        </w:rPr>
      </w:pPr>
    </w:p>
    <w:p w14:paraId="2C980940" w14:textId="77777777" w:rsidR="00A312C6" w:rsidRPr="009768A3" w:rsidRDefault="00D32789" w:rsidP="00C23862">
      <w:pPr>
        <w:ind w:firstLine="720"/>
        <w:jc w:val="both"/>
        <w:rPr>
          <w:sz w:val="22"/>
          <w:szCs w:val="22"/>
        </w:rPr>
      </w:pPr>
      <w:r w:rsidRPr="009768A3">
        <w:rPr>
          <w:rStyle w:val="Zstupntext"/>
          <w:color w:val="auto"/>
          <w:sz w:val="22"/>
          <w:szCs w:val="22"/>
        </w:rPr>
        <w:t>Bytová politika Sl</w:t>
      </w:r>
      <w:r w:rsidR="00C23862" w:rsidRPr="009768A3">
        <w:rPr>
          <w:rStyle w:val="Zstupntext"/>
          <w:color w:val="auto"/>
          <w:sz w:val="22"/>
          <w:szCs w:val="22"/>
        </w:rPr>
        <w:t>ovenskej republiky do roku 2030</w:t>
      </w:r>
      <w:r w:rsidRPr="009768A3">
        <w:rPr>
          <w:rStyle w:val="Zstupntext"/>
          <w:color w:val="auto"/>
          <w:sz w:val="22"/>
          <w:szCs w:val="22"/>
        </w:rPr>
        <w:t xml:space="preserve"> ako rámcový dokument štátu definuje víziu a</w:t>
      </w:r>
      <w:r w:rsidR="00C23862" w:rsidRPr="009768A3">
        <w:rPr>
          <w:rStyle w:val="Zstupntext"/>
          <w:color w:val="auto"/>
          <w:sz w:val="22"/>
          <w:szCs w:val="22"/>
        </w:rPr>
        <w:t> </w:t>
      </w:r>
      <w:r w:rsidRPr="009768A3">
        <w:rPr>
          <w:rStyle w:val="Zstupntext"/>
          <w:color w:val="auto"/>
          <w:sz w:val="22"/>
          <w:szCs w:val="22"/>
        </w:rPr>
        <w:t>ciele</w:t>
      </w:r>
      <w:r w:rsidR="00C23862" w:rsidRPr="009768A3">
        <w:rPr>
          <w:rStyle w:val="Zstupntext"/>
          <w:color w:val="auto"/>
          <w:sz w:val="22"/>
          <w:szCs w:val="22"/>
        </w:rPr>
        <w:t xml:space="preserve"> </w:t>
      </w:r>
      <w:r w:rsidRPr="009768A3">
        <w:rPr>
          <w:rStyle w:val="Zstupntext"/>
          <w:color w:val="auto"/>
          <w:sz w:val="22"/>
          <w:szCs w:val="22"/>
        </w:rPr>
        <w:t xml:space="preserve">v oblasti bývania. Na ich dosiahnutie </w:t>
      </w:r>
      <w:r w:rsidR="00BF1467" w:rsidRPr="009768A3">
        <w:rPr>
          <w:rStyle w:val="Zstupntext"/>
          <w:color w:val="auto"/>
          <w:sz w:val="22"/>
          <w:szCs w:val="22"/>
        </w:rPr>
        <w:t>navrhuje</w:t>
      </w:r>
      <w:r w:rsidRPr="009768A3">
        <w:rPr>
          <w:sz w:val="22"/>
          <w:szCs w:val="22"/>
        </w:rPr>
        <w:t xml:space="preserve"> nástroje </w:t>
      </w:r>
      <w:r w:rsidR="00BF1467" w:rsidRPr="009768A3">
        <w:rPr>
          <w:sz w:val="22"/>
          <w:szCs w:val="22"/>
        </w:rPr>
        <w:t xml:space="preserve">a </w:t>
      </w:r>
      <w:r w:rsidRPr="009768A3">
        <w:rPr>
          <w:sz w:val="22"/>
          <w:szCs w:val="22"/>
        </w:rPr>
        <w:t>súčasne formuluje zodpovednosť jednotlivcov, štátu, obcí, vyšších územných celkov a súkromného sektora pri zabezpečovaní bývania.</w:t>
      </w:r>
      <w:r w:rsidR="00C23862" w:rsidRPr="009768A3">
        <w:rPr>
          <w:sz w:val="22"/>
          <w:szCs w:val="22"/>
        </w:rPr>
        <w:t xml:space="preserve"> </w:t>
      </w:r>
      <w:r w:rsidR="00A312C6" w:rsidRPr="009768A3">
        <w:rPr>
          <w:sz w:val="22"/>
          <w:szCs w:val="22"/>
        </w:rPr>
        <w:t>Jedným z najvýznamnejších nástrojov podpory rozvoja bývania je Štátny fond rozvoja bývania</w:t>
      </w:r>
      <w:r w:rsidR="00FF06C7" w:rsidRPr="009768A3">
        <w:rPr>
          <w:sz w:val="22"/>
          <w:szCs w:val="22"/>
        </w:rPr>
        <w:t xml:space="preserve"> (ďalej len „ŠFRB“)</w:t>
      </w:r>
      <w:r w:rsidR="00A312C6" w:rsidRPr="009768A3">
        <w:rPr>
          <w:sz w:val="22"/>
          <w:szCs w:val="22"/>
        </w:rPr>
        <w:t xml:space="preserve">. Prostredníctvom tohto nástroja štát dlhodobo podporuje financovanie priorít, ktoré sú premietnuté v štátnej bytovej politike pri rozširovaní a zveľaďovaní bytového fondu. V súčasnosti  jeho podpora smeruje predovšetkým do oblasti podpory obstarávania nájomných bytov a do obnovy bytových budov. Na základe pretrvávajúceho záujmu o tento nástroj možno konštatovať, že </w:t>
      </w:r>
      <w:r w:rsidR="00FF06C7" w:rsidRPr="009768A3">
        <w:rPr>
          <w:sz w:val="22"/>
          <w:szCs w:val="22"/>
        </w:rPr>
        <w:t>ŠFRB</w:t>
      </w:r>
      <w:r w:rsidR="00A312C6" w:rsidRPr="009768A3">
        <w:rPr>
          <w:sz w:val="22"/>
          <w:szCs w:val="22"/>
        </w:rPr>
        <w:t xml:space="preserve"> patrí k významným prvkom zvyšovania kvality a dostupnosti bývania pre široký okruh žiadateľov. </w:t>
      </w:r>
      <w:r w:rsidR="002E0C03" w:rsidRPr="009768A3">
        <w:rPr>
          <w:sz w:val="22"/>
          <w:szCs w:val="22"/>
        </w:rPr>
        <w:t>Ročná výška prevádzkových výdavkov ŠFRB je stanovená pri schvaľovaní rozpočtu verejnej správy, ktorý stanovuje rozpočet príjmov a výdavkov ŠFRB.</w:t>
      </w:r>
    </w:p>
    <w:p w14:paraId="5FA7A1A2" w14:textId="77777777" w:rsidR="00C23862" w:rsidRPr="009768A3" w:rsidRDefault="00C23862" w:rsidP="00C23862">
      <w:pPr>
        <w:ind w:firstLine="720"/>
        <w:jc w:val="both"/>
        <w:rPr>
          <w:sz w:val="22"/>
          <w:szCs w:val="22"/>
        </w:rPr>
      </w:pPr>
    </w:p>
    <w:p w14:paraId="3CF0A555" w14:textId="40075AF2" w:rsidR="004F0FCD" w:rsidRPr="009768A3" w:rsidRDefault="004F0FCD" w:rsidP="00C23862">
      <w:pPr>
        <w:ind w:firstLine="708"/>
        <w:jc w:val="both"/>
        <w:rPr>
          <w:sz w:val="22"/>
          <w:szCs w:val="22"/>
        </w:rPr>
      </w:pPr>
      <w:r w:rsidRPr="009768A3">
        <w:rPr>
          <w:sz w:val="22"/>
          <w:szCs w:val="22"/>
        </w:rPr>
        <w:t xml:space="preserve">Navrhovaným zákonom sa rozširujú účely, na ktoré je možné poskytnúť podporu zo ŠFRB na obstaranie a obnovu internátu pre </w:t>
      </w:r>
      <w:r w:rsidR="004D3D06">
        <w:rPr>
          <w:sz w:val="22"/>
          <w:szCs w:val="22"/>
        </w:rPr>
        <w:t xml:space="preserve">žiakov </w:t>
      </w:r>
      <w:r w:rsidRPr="009768A3">
        <w:rPr>
          <w:sz w:val="22"/>
          <w:szCs w:val="22"/>
        </w:rPr>
        <w:t xml:space="preserve">stredných </w:t>
      </w:r>
      <w:r w:rsidR="004D3D06">
        <w:rPr>
          <w:sz w:val="22"/>
          <w:szCs w:val="22"/>
        </w:rPr>
        <w:t xml:space="preserve">škôl </w:t>
      </w:r>
      <w:r w:rsidRPr="009768A3">
        <w:rPr>
          <w:sz w:val="22"/>
          <w:szCs w:val="22"/>
        </w:rPr>
        <w:t>a </w:t>
      </w:r>
      <w:r w:rsidR="004D3D06" w:rsidRPr="009768A3">
        <w:rPr>
          <w:sz w:val="22"/>
          <w:szCs w:val="22"/>
        </w:rPr>
        <w:t xml:space="preserve">študentov </w:t>
      </w:r>
      <w:r w:rsidRPr="009768A3">
        <w:rPr>
          <w:sz w:val="22"/>
          <w:szCs w:val="22"/>
        </w:rPr>
        <w:t>vysokých škôl.</w:t>
      </w:r>
    </w:p>
    <w:p w14:paraId="770393C7" w14:textId="77777777" w:rsidR="004F0FCD" w:rsidRPr="009768A3" w:rsidRDefault="004F0FCD" w:rsidP="00C23862">
      <w:pPr>
        <w:ind w:firstLine="708"/>
        <w:jc w:val="both"/>
        <w:rPr>
          <w:sz w:val="22"/>
          <w:szCs w:val="22"/>
        </w:rPr>
      </w:pPr>
    </w:p>
    <w:p w14:paraId="5F493AB1" w14:textId="77777777" w:rsidR="00C23862" w:rsidRPr="009768A3" w:rsidRDefault="00C23862" w:rsidP="00C23862">
      <w:pPr>
        <w:ind w:firstLine="708"/>
        <w:jc w:val="both"/>
        <w:rPr>
          <w:sz w:val="22"/>
          <w:szCs w:val="22"/>
        </w:rPr>
      </w:pPr>
      <w:r w:rsidRPr="009768A3">
        <w:rPr>
          <w:sz w:val="22"/>
          <w:szCs w:val="22"/>
        </w:rPr>
        <w:t>Cieľom návrhu zákona je potreba reflektovať niektoré otázky aplikačnej praxe a upraviť vzťahy v</w:t>
      </w:r>
      <w:r w:rsidR="007D2BF2" w:rsidRPr="009768A3">
        <w:rPr>
          <w:sz w:val="22"/>
          <w:szCs w:val="22"/>
        </w:rPr>
        <w:t> </w:t>
      </w:r>
      <w:r w:rsidRPr="009768A3">
        <w:rPr>
          <w:sz w:val="22"/>
          <w:szCs w:val="22"/>
        </w:rPr>
        <w:t xml:space="preserve">súlade s identifikovanými potrebami </w:t>
      </w:r>
      <w:r w:rsidR="00FF06C7" w:rsidRPr="009768A3">
        <w:rPr>
          <w:sz w:val="22"/>
          <w:szCs w:val="22"/>
        </w:rPr>
        <w:t>ŠFRB</w:t>
      </w:r>
      <w:r w:rsidRPr="009768A3">
        <w:rPr>
          <w:sz w:val="22"/>
          <w:szCs w:val="22"/>
        </w:rPr>
        <w:t xml:space="preserve"> ako poskytovateľa podpory.</w:t>
      </w:r>
    </w:p>
    <w:p w14:paraId="175D8CD1" w14:textId="77777777" w:rsidR="00C23862" w:rsidRPr="009768A3" w:rsidRDefault="00C23862" w:rsidP="00C23862">
      <w:pPr>
        <w:ind w:firstLine="708"/>
        <w:jc w:val="both"/>
        <w:rPr>
          <w:sz w:val="22"/>
          <w:szCs w:val="22"/>
        </w:rPr>
      </w:pPr>
    </w:p>
    <w:p w14:paraId="7AEFF2B5" w14:textId="77777777" w:rsidR="00A36968" w:rsidRPr="009768A3" w:rsidRDefault="00A36968" w:rsidP="00C23862">
      <w:pPr>
        <w:ind w:firstLine="708"/>
        <w:jc w:val="both"/>
        <w:rPr>
          <w:sz w:val="22"/>
          <w:szCs w:val="22"/>
        </w:rPr>
      </w:pPr>
      <w:r w:rsidRPr="009768A3">
        <w:rPr>
          <w:sz w:val="22"/>
          <w:szCs w:val="22"/>
        </w:rPr>
        <w:t>Návrh zákona precizuje a dopĺňa právnu úpravu k zriaďovaniu záložného práva v prospech fondu v jednotlivých účeloch podpory</w:t>
      </w:r>
      <w:r w:rsidR="00E03CCC" w:rsidRPr="009768A3">
        <w:rPr>
          <w:sz w:val="22"/>
          <w:szCs w:val="22"/>
        </w:rPr>
        <w:t xml:space="preserve">. </w:t>
      </w:r>
    </w:p>
    <w:p w14:paraId="623F0037" w14:textId="77777777" w:rsidR="00C23862" w:rsidRPr="009768A3" w:rsidRDefault="00C23862" w:rsidP="00C23862">
      <w:pPr>
        <w:ind w:firstLine="708"/>
        <w:jc w:val="both"/>
        <w:rPr>
          <w:sz w:val="22"/>
          <w:szCs w:val="22"/>
        </w:rPr>
      </w:pPr>
    </w:p>
    <w:p w14:paraId="25F81E91" w14:textId="77777777" w:rsidR="003F3619" w:rsidRPr="009768A3" w:rsidRDefault="003F3619" w:rsidP="00C23862">
      <w:pPr>
        <w:ind w:firstLine="720"/>
        <w:jc w:val="both"/>
        <w:rPr>
          <w:sz w:val="22"/>
          <w:szCs w:val="22"/>
        </w:rPr>
      </w:pPr>
      <w:r w:rsidRPr="009768A3">
        <w:rPr>
          <w:sz w:val="22"/>
          <w:szCs w:val="22"/>
        </w:rPr>
        <w:t xml:space="preserve">Súčasťou návrhu </w:t>
      </w:r>
      <w:r w:rsidR="00193F6C" w:rsidRPr="009768A3">
        <w:rPr>
          <w:sz w:val="22"/>
          <w:szCs w:val="22"/>
        </w:rPr>
        <w:t>je</w:t>
      </w:r>
      <w:r w:rsidRPr="009768A3">
        <w:rPr>
          <w:sz w:val="22"/>
          <w:szCs w:val="22"/>
        </w:rPr>
        <w:t xml:space="preserve"> aj legislatívn</w:t>
      </w:r>
      <w:r w:rsidR="00465AF2" w:rsidRPr="009768A3">
        <w:rPr>
          <w:sz w:val="22"/>
          <w:szCs w:val="22"/>
        </w:rPr>
        <w:t>a</w:t>
      </w:r>
      <w:r w:rsidRPr="009768A3">
        <w:rPr>
          <w:sz w:val="22"/>
          <w:szCs w:val="22"/>
        </w:rPr>
        <w:t xml:space="preserve"> úprav</w:t>
      </w:r>
      <w:r w:rsidR="00193F6C" w:rsidRPr="009768A3">
        <w:rPr>
          <w:sz w:val="22"/>
          <w:szCs w:val="22"/>
        </w:rPr>
        <w:t xml:space="preserve">a </w:t>
      </w:r>
      <w:r w:rsidRPr="009768A3">
        <w:rPr>
          <w:sz w:val="22"/>
          <w:szCs w:val="22"/>
        </w:rPr>
        <w:t>zákona č. 443/2010 Z. z. o dotáciách na rozvoj bývania a o sociálnom bývaní v znení neskorších predpisov</w:t>
      </w:r>
      <w:r w:rsidR="00E03CCC" w:rsidRPr="009768A3">
        <w:rPr>
          <w:sz w:val="22"/>
          <w:szCs w:val="22"/>
        </w:rPr>
        <w:t>.</w:t>
      </w:r>
      <w:r w:rsidRPr="009768A3">
        <w:rPr>
          <w:sz w:val="22"/>
          <w:szCs w:val="22"/>
        </w:rPr>
        <w:t xml:space="preserve"> </w:t>
      </w:r>
    </w:p>
    <w:p w14:paraId="3AB95952" w14:textId="77777777" w:rsidR="00C23862" w:rsidRPr="009768A3" w:rsidRDefault="00C23862" w:rsidP="00C23862">
      <w:pPr>
        <w:ind w:firstLine="720"/>
        <w:jc w:val="both"/>
        <w:rPr>
          <w:sz w:val="22"/>
          <w:szCs w:val="22"/>
        </w:rPr>
      </w:pPr>
    </w:p>
    <w:p w14:paraId="73A484EA" w14:textId="313331B9" w:rsidR="000E6E59" w:rsidRPr="009768A3" w:rsidRDefault="000E6E59" w:rsidP="00C23862">
      <w:pPr>
        <w:ind w:firstLine="708"/>
        <w:jc w:val="both"/>
        <w:rPr>
          <w:rStyle w:val="Zstupntext"/>
          <w:color w:val="auto"/>
          <w:sz w:val="22"/>
          <w:szCs w:val="22"/>
        </w:rPr>
      </w:pPr>
      <w:r w:rsidRPr="009768A3">
        <w:rPr>
          <w:rStyle w:val="Zstupntext"/>
          <w:color w:val="auto"/>
          <w:sz w:val="22"/>
          <w:szCs w:val="22"/>
        </w:rPr>
        <w:t xml:space="preserve">Predloženým návrhom nevzniknú nové požiadavky na štátny rozpočet, </w:t>
      </w:r>
      <w:r w:rsidR="009D546A" w:rsidRPr="009768A3">
        <w:rPr>
          <w:rStyle w:val="Zstupntext"/>
          <w:color w:val="auto"/>
          <w:sz w:val="22"/>
          <w:szCs w:val="22"/>
        </w:rPr>
        <w:t xml:space="preserve">pretože </w:t>
      </w:r>
      <w:r w:rsidRPr="009768A3">
        <w:rPr>
          <w:rStyle w:val="Zstupntext"/>
          <w:color w:val="auto"/>
          <w:sz w:val="22"/>
          <w:szCs w:val="22"/>
        </w:rPr>
        <w:t>ide o finančné prostriedky vyčlenené zo štátneho rozpočtu v rámci existujúceho programu podpory rozvoja bývania.</w:t>
      </w:r>
      <w:r w:rsidR="00D32789" w:rsidRPr="009768A3">
        <w:rPr>
          <w:sz w:val="22"/>
          <w:szCs w:val="22"/>
        </w:rPr>
        <w:t xml:space="preserve"> Nároky na financovanie poskytovanej podpory sú zabezpečené v rozpočte </w:t>
      </w:r>
      <w:r w:rsidR="00676B8C" w:rsidRPr="009768A3">
        <w:rPr>
          <w:sz w:val="22"/>
          <w:szCs w:val="22"/>
        </w:rPr>
        <w:t>ŠFRB</w:t>
      </w:r>
      <w:r w:rsidR="00D32789" w:rsidRPr="009768A3">
        <w:rPr>
          <w:sz w:val="22"/>
          <w:szCs w:val="22"/>
        </w:rPr>
        <w:t>.</w:t>
      </w:r>
    </w:p>
    <w:p w14:paraId="098BF4F4" w14:textId="77777777" w:rsidR="00C23862" w:rsidRPr="009768A3" w:rsidRDefault="00C23862" w:rsidP="00C23862">
      <w:pPr>
        <w:widowControl/>
        <w:adjustRightInd/>
        <w:ind w:firstLine="708"/>
        <w:jc w:val="both"/>
        <w:rPr>
          <w:sz w:val="22"/>
          <w:szCs w:val="22"/>
        </w:rPr>
      </w:pPr>
    </w:p>
    <w:p w14:paraId="5940F680" w14:textId="41801E3D" w:rsidR="00D32789" w:rsidRPr="009768A3" w:rsidRDefault="00D32789" w:rsidP="00C23862">
      <w:pPr>
        <w:widowControl/>
        <w:adjustRightInd/>
        <w:ind w:firstLine="708"/>
        <w:jc w:val="both"/>
        <w:rPr>
          <w:sz w:val="22"/>
          <w:szCs w:val="22"/>
        </w:rPr>
      </w:pPr>
      <w:r w:rsidRPr="009768A3">
        <w:rPr>
          <w:sz w:val="22"/>
          <w:szCs w:val="22"/>
        </w:rPr>
        <w:t>Návrh zákona nemá žiadny vplyv na rozpočet verejnej správy. Predložený návrh zákona nemá žiadne sociálne vplyvy a nemá vplyvy na životné prostredie, na informatizáciu spoločnosti, na manželstvo, rodičovstvo a rodinu a na služby verejnej správy pre občana.</w:t>
      </w:r>
    </w:p>
    <w:p w14:paraId="2C3D7FBE" w14:textId="77777777" w:rsidR="00C23862" w:rsidRPr="009768A3" w:rsidRDefault="00C23862" w:rsidP="00C23862">
      <w:pPr>
        <w:widowControl/>
        <w:adjustRightInd/>
        <w:ind w:firstLine="708"/>
        <w:jc w:val="both"/>
        <w:rPr>
          <w:sz w:val="22"/>
          <w:szCs w:val="22"/>
        </w:rPr>
      </w:pPr>
    </w:p>
    <w:p w14:paraId="77176809" w14:textId="77777777" w:rsidR="00D32789" w:rsidRPr="009768A3" w:rsidRDefault="00D32789" w:rsidP="00C23862">
      <w:pPr>
        <w:widowControl/>
        <w:adjustRightInd/>
        <w:ind w:firstLine="708"/>
        <w:jc w:val="both"/>
        <w:rPr>
          <w:sz w:val="22"/>
          <w:szCs w:val="22"/>
        </w:rPr>
      </w:pPr>
      <w:r w:rsidRPr="009768A3">
        <w:rPr>
          <w:sz w:val="22"/>
          <w:szCs w:val="22"/>
        </w:rPr>
        <w:t>Návrh zákona je v súlade s Ústavou Slovenskej republiky, ústavnými zákonmi a nálezmi Ústavného súdu Slovenskej republiky, s inými zákonmi a medzinárodnými zmluvami a inými medzinárodnými dokumentmi, ktorými je Slovenská republika viazaná a s právom Európskej únie.</w:t>
      </w:r>
    </w:p>
    <w:p w14:paraId="57FF0EE3" w14:textId="77777777" w:rsidR="000B64EA" w:rsidRPr="009768A3" w:rsidRDefault="000B64EA" w:rsidP="00C23862">
      <w:pPr>
        <w:widowControl/>
        <w:adjustRightInd/>
        <w:ind w:firstLine="708"/>
        <w:jc w:val="both"/>
        <w:rPr>
          <w:sz w:val="22"/>
          <w:szCs w:val="22"/>
        </w:rPr>
      </w:pPr>
    </w:p>
    <w:p w14:paraId="6EEB10C6" w14:textId="77777777" w:rsidR="000B64EA" w:rsidRPr="009768A3" w:rsidRDefault="000B64EA" w:rsidP="00C23862">
      <w:pPr>
        <w:widowControl/>
        <w:adjustRightInd/>
        <w:ind w:firstLine="708"/>
        <w:jc w:val="both"/>
        <w:rPr>
          <w:sz w:val="22"/>
          <w:szCs w:val="22"/>
        </w:rPr>
      </w:pPr>
      <w:r w:rsidRPr="009768A3">
        <w:rPr>
          <w:sz w:val="22"/>
          <w:szCs w:val="22"/>
        </w:rPr>
        <w:t xml:space="preserve">Návrh zákona nie je predmetom </w:t>
      </w:r>
      <w:proofErr w:type="spellStart"/>
      <w:r w:rsidRPr="009768A3">
        <w:rPr>
          <w:sz w:val="22"/>
          <w:szCs w:val="22"/>
        </w:rPr>
        <w:t>vnútrokomunitárneho</w:t>
      </w:r>
      <w:proofErr w:type="spellEnd"/>
      <w:r w:rsidRPr="009768A3">
        <w:rPr>
          <w:sz w:val="22"/>
          <w:szCs w:val="22"/>
        </w:rPr>
        <w:t xml:space="preserve"> pripomienkového konania.</w:t>
      </w:r>
    </w:p>
    <w:p w14:paraId="4AEF74DD" w14:textId="77777777" w:rsidR="00E03CCC" w:rsidRPr="009768A3" w:rsidRDefault="00E03CCC" w:rsidP="00C23862">
      <w:pPr>
        <w:spacing w:before="120" w:line="276" w:lineRule="auto"/>
        <w:jc w:val="both"/>
        <w:rPr>
          <w:b/>
          <w:sz w:val="22"/>
          <w:szCs w:val="22"/>
        </w:rPr>
      </w:pPr>
    </w:p>
    <w:p w14:paraId="5F6322B7" w14:textId="77777777" w:rsidR="00D47A44" w:rsidRPr="009768A3" w:rsidRDefault="00D47A44" w:rsidP="00C23862">
      <w:pPr>
        <w:spacing w:before="120" w:line="276" w:lineRule="auto"/>
        <w:jc w:val="both"/>
        <w:rPr>
          <w:b/>
          <w:sz w:val="22"/>
          <w:szCs w:val="22"/>
        </w:rPr>
      </w:pPr>
    </w:p>
    <w:p w14:paraId="7937BDEA" w14:textId="4C0E3B62" w:rsidR="00D47A44" w:rsidRPr="009768A3" w:rsidRDefault="00D47A44" w:rsidP="00C23862">
      <w:pPr>
        <w:spacing w:before="120" w:line="276" w:lineRule="auto"/>
        <w:jc w:val="both"/>
        <w:rPr>
          <w:b/>
          <w:sz w:val="22"/>
          <w:szCs w:val="22"/>
        </w:rPr>
      </w:pPr>
    </w:p>
    <w:p w14:paraId="5908EB8D" w14:textId="475D9FA5" w:rsidR="00961C31" w:rsidRPr="009768A3" w:rsidRDefault="00961C31" w:rsidP="00C23862">
      <w:pPr>
        <w:spacing w:before="120" w:line="276" w:lineRule="auto"/>
        <w:jc w:val="both"/>
        <w:rPr>
          <w:b/>
          <w:sz w:val="22"/>
          <w:szCs w:val="22"/>
        </w:rPr>
      </w:pPr>
    </w:p>
    <w:p w14:paraId="6DC25488" w14:textId="77777777" w:rsidR="00961C31" w:rsidRPr="009768A3" w:rsidRDefault="00961C31" w:rsidP="00C23862">
      <w:pPr>
        <w:spacing w:before="120" w:line="276" w:lineRule="auto"/>
        <w:jc w:val="both"/>
        <w:rPr>
          <w:b/>
          <w:sz w:val="22"/>
          <w:szCs w:val="22"/>
        </w:rPr>
      </w:pPr>
    </w:p>
    <w:p w14:paraId="6A7DA860" w14:textId="28511F06" w:rsidR="00076DAE" w:rsidRDefault="00076DAE">
      <w:pPr>
        <w:widowControl/>
        <w:adjustRightInd/>
        <w:spacing w:after="200" w:line="276" w:lineRule="auto"/>
        <w:rPr>
          <w:b/>
          <w:sz w:val="22"/>
          <w:szCs w:val="22"/>
        </w:rPr>
      </w:pPr>
      <w:r>
        <w:rPr>
          <w:b/>
          <w:sz w:val="22"/>
          <w:szCs w:val="22"/>
        </w:rPr>
        <w:br w:type="page"/>
      </w:r>
    </w:p>
    <w:p w14:paraId="02F9BE1E" w14:textId="77777777" w:rsidR="00076DAE" w:rsidRPr="00076DAE" w:rsidRDefault="00076DAE" w:rsidP="00076DAE">
      <w:pPr>
        <w:widowControl/>
        <w:adjustRightInd/>
        <w:jc w:val="center"/>
        <w:rPr>
          <w:b/>
          <w:sz w:val="28"/>
          <w:szCs w:val="28"/>
        </w:rPr>
      </w:pPr>
      <w:r w:rsidRPr="00076DAE">
        <w:rPr>
          <w:b/>
          <w:sz w:val="28"/>
          <w:szCs w:val="28"/>
        </w:rPr>
        <w:lastRenderedPageBreak/>
        <w:t>Doložka vybraných vplyvov</w:t>
      </w: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76DAE" w:rsidRPr="00076DAE" w14:paraId="74766B53" w14:textId="77777777" w:rsidTr="0093572E">
        <w:tc>
          <w:tcPr>
            <w:tcW w:w="9180" w:type="dxa"/>
            <w:gridSpan w:val="11"/>
            <w:tcBorders>
              <w:bottom w:val="single" w:sz="4" w:space="0" w:color="FFFFFF"/>
            </w:tcBorders>
            <w:shd w:val="clear" w:color="auto" w:fill="E2E2E2"/>
          </w:tcPr>
          <w:p w14:paraId="41FF268B"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Základné údaje</w:t>
            </w:r>
          </w:p>
        </w:tc>
      </w:tr>
      <w:tr w:rsidR="00076DAE" w:rsidRPr="00076DAE" w14:paraId="6DD43DA9" w14:textId="77777777" w:rsidTr="0093572E">
        <w:tc>
          <w:tcPr>
            <w:tcW w:w="9180" w:type="dxa"/>
            <w:gridSpan w:val="11"/>
            <w:tcBorders>
              <w:bottom w:val="single" w:sz="4" w:space="0" w:color="FFFFFF"/>
            </w:tcBorders>
            <w:shd w:val="clear" w:color="auto" w:fill="E2E2E2"/>
          </w:tcPr>
          <w:p w14:paraId="7E005545" w14:textId="77777777" w:rsidR="00076DAE" w:rsidRPr="00076DAE" w:rsidRDefault="00076DAE" w:rsidP="00076DAE">
            <w:pPr>
              <w:widowControl/>
              <w:adjustRightInd/>
              <w:spacing w:after="200" w:line="276" w:lineRule="auto"/>
              <w:ind w:left="142"/>
              <w:contextualSpacing/>
              <w:rPr>
                <w:b/>
                <w:sz w:val="22"/>
                <w:szCs w:val="22"/>
              </w:rPr>
            </w:pPr>
            <w:r w:rsidRPr="00076DAE">
              <w:rPr>
                <w:b/>
                <w:sz w:val="22"/>
                <w:szCs w:val="22"/>
              </w:rPr>
              <w:t>Názov materiálu</w:t>
            </w:r>
          </w:p>
        </w:tc>
      </w:tr>
      <w:tr w:rsidR="00076DAE" w:rsidRPr="00076DAE" w14:paraId="174B5420" w14:textId="77777777" w:rsidTr="0093572E">
        <w:tc>
          <w:tcPr>
            <w:tcW w:w="9180" w:type="dxa"/>
            <w:gridSpan w:val="11"/>
            <w:tcBorders>
              <w:top w:val="single" w:sz="4" w:space="0" w:color="FFFFFF"/>
              <w:bottom w:val="single" w:sz="4" w:space="0" w:color="auto"/>
            </w:tcBorders>
          </w:tcPr>
          <w:p w14:paraId="024E7781" w14:textId="67E73BE6" w:rsidR="00076DAE" w:rsidRPr="00076DAE" w:rsidRDefault="0093572E" w:rsidP="0093572E">
            <w:pPr>
              <w:widowControl/>
              <w:adjustRightInd/>
              <w:jc w:val="both"/>
              <w:rPr>
                <w:sz w:val="20"/>
                <w:szCs w:val="20"/>
              </w:rPr>
            </w:pPr>
            <w:r>
              <w:rPr>
                <w:sz w:val="20"/>
                <w:szCs w:val="20"/>
              </w:rPr>
              <w:t>Vládny n</w:t>
            </w:r>
            <w:r w:rsidR="00076DAE" w:rsidRPr="00076DAE">
              <w:rPr>
                <w:sz w:val="20"/>
                <w:szCs w:val="20"/>
              </w:rPr>
              <w:t>ávrh zákona, ktorým sa mení a dopĺňa zákon č. 150/2013 Z. z. o Štátnom fonde rozvoja bývania v znení neskorších predpisov a ktorým sa mení zákon č. 443/2010 Z. z. o dotáciách na rozvoj bývania a o sociálnom bývaní v znení neskorších predpisov</w:t>
            </w:r>
          </w:p>
        </w:tc>
      </w:tr>
      <w:tr w:rsidR="00076DAE" w:rsidRPr="00076DAE" w14:paraId="1F2965B2" w14:textId="77777777" w:rsidTr="0093572E">
        <w:tc>
          <w:tcPr>
            <w:tcW w:w="9180" w:type="dxa"/>
            <w:gridSpan w:val="11"/>
            <w:tcBorders>
              <w:top w:val="single" w:sz="4" w:space="0" w:color="auto"/>
              <w:left w:val="single" w:sz="4" w:space="0" w:color="auto"/>
              <w:bottom w:val="single" w:sz="4" w:space="0" w:color="FFFFFF"/>
            </w:tcBorders>
            <w:shd w:val="clear" w:color="auto" w:fill="E2E2E2"/>
          </w:tcPr>
          <w:p w14:paraId="3FE71550" w14:textId="77777777" w:rsidR="00076DAE" w:rsidRPr="00076DAE" w:rsidRDefault="00076DAE" w:rsidP="00076DAE">
            <w:pPr>
              <w:widowControl/>
              <w:adjustRightInd/>
              <w:spacing w:after="200" w:line="276" w:lineRule="auto"/>
              <w:ind w:left="142"/>
              <w:contextualSpacing/>
              <w:rPr>
                <w:b/>
                <w:sz w:val="22"/>
                <w:szCs w:val="22"/>
              </w:rPr>
            </w:pPr>
            <w:r w:rsidRPr="00076DAE">
              <w:rPr>
                <w:b/>
                <w:sz w:val="22"/>
                <w:szCs w:val="22"/>
              </w:rPr>
              <w:t>Predkladateľ (a spolupredkladateľ)</w:t>
            </w:r>
          </w:p>
        </w:tc>
      </w:tr>
      <w:tr w:rsidR="00076DAE" w:rsidRPr="00076DAE" w14:paraId="366BB8D1" w14:textId="77777777" w:rsidTr="0093572E">
        <w:tc>
          <w:tcPr>
            <w:tcW w:w="9180" w:type="dxa"/>
            <w:gridSpan w:val="11"/>
            <w:tcBorders>
              <w:top w:val="single" w:sz="4" w:space="0" w:color="FFFFFF"/>
              <w:left w:val="single" w:sz="4" w:space="0" w:color="auto"/>
              <w:bottom w:val="single" w:sz="4" w:space="0" w:color="auto"/>
            </w:tcBorders>
            <w:shd w:val="clear" w:color="auto" w:fill="FFFFFF"/>
          </w:tcPr>
          <w:p w14:paraId="122F2A05" w14:textId="5F96FE5E" w:rsidR="00076DAE" w:rsidRPr="00076DAE" w:rsidRDefault="0093572E" w:rsidP="0093572E">
            <w:pPr>
              <w:widowControl/>
              <w:adjustRightInd/>
              <w:rPr>
                <w:sz w:val="20"/>
                <w:szCs w:val="20"/>
              </w:rPr>
            </w:pPr>
            <w:r>
              <w:rPr>
                <w:sz w:val="20"/>
                <w:szCs w:val="20"/>
              </w:rPr>
              <w:t xml:space="preserve">Vláda </w:t>
            </w:r>
            <w:r w:rsidR="00076DAE" w:rsidRPr="00076DAE">
              <w:rPr>
                <w:sz w:val="20"/>
                <w:szCs w:val="20"/>
              </w:rPr>
              <w:t>Slovenskej republiky</w:t>
            </w:r>
          </w:p>
        </w:tc>
      </w:tr>
      <w:tr w:rsidR="00076DAE" w:rsidRPr="00076DAE" w14:paraId="729C0845" w14:textId="77777777" w:rsidTr="0093572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D9DE9D7" w14:textId="77777777" w:rsidR="00076DAE" w:rsidRPr="00076DAE" w:rsidRDefault="00076DAE" w:rsidP="00076DAE">
            <w:pPr>
              <w:widowControl/>
              <w:adjustRightInd/>
              <w:spacing w:after="200" w:line="276" w:lineRule="auto"/>
              <w:ind w:left="142"/>
              <w:contextualSpacing/>
              <w:rPr>
                <w:b/>
                <w:sz w:val="22"/>
                <w:szCs w:val="22"/>
              </w:rPr>
            </w:pPr>
            <w:r w:rsidRPr="00076DAE">
              <w:rPr>
                <w:b/>
                <w:sz w:val="22"/>
                <w:szCs w:val="22"/>
              </w:rPr>
              <w:t>Charakter predkladaného materiálu</w:t>
            </w:r>
          </w:p>
        </w:tc>
        <w:sdt>
          <w:sdtPr>
            <w:rPr>
              <w:sz w:val="20"/>
              <w:szCs w:val="20"/>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E20B4A0"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7BE1799" w14:textId="77777777" w:rsidR="00076DAE" w:rsidRPr="00076DAE" w:rsidRDefault="00076DAE" w:rsidP="00076DAE">
            <w:pPr>
              <w:widowControl/>
              <w:adjustRightInd/>
              <w:rPr>
                <w:sz w:val="20"/>
                <w:szCs w:val="20"/>
              </w:rPr>
            </w:pPr>
            <w:r w:rsidRPr="00076DAE">
              <w:rPr>
                <w:sz w:val="20"/>
                <w:szCs w:val="20"/>
              </w:rPr>
              <w:t>Materiál nelegislatívnej povahy</w:t>
            </w:r>
          </w:p>
        </w:tc>
      </w:tr>
      <w:tr w:rsidR="00076DAE" w:rsidRPr="00076DAE" w14:paraId="0C26AAFC" w14:textId="77777777" w:rsidTr="0093572E">
        <w:tc>
          <w:tcPr>
            <w:tcW w:w="4212" w:type="dxa"/>
            <w:gridSpan w:val="2"/>
            <w:vMerge/>
            <w:tcBorders>
              <w:top w:val="nil"/>
              <w:left w:val="single" w:sz="4" w:space="0" w:color="auto"/>
              <w:bottom w:val="single" w:sz="4" w:space="0" w:color="FFFFFF"/>
            </w:tcBorders>
            <w:shd w:val="clear" w:color="auto" w:fill="E2E2E2"/>
          </w:tcPr>
          <w:p w14:paraId="66F6280A" w14:textId="77777777" w:rsidR="00076DAE" w:rsidRPr="00076DAE" w:rsidRDefault="00076DAE" w:rsidP="00076DAE">
            <w:pPr>
              <w:widowControl/>
              <w:adjustRightInd/>
              <w:rPr>
                <w:sz w:val="20"/>
                <w:szCs w:val="20"/>
              </w:rPr>
            </w:pPr>
          </w:p>
        </w:tc>
        <w:sdt>
          <w:sdtPr>
            <w:rPr>
              <w:sz w:val="20"/>
              <w:szCs w:val="20"/>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C6AF3E8"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7E1BD0D0" w14:textId="77777777" w:rsidR="00076DAE" w:rsidRPr="00076DAE" w:rsidRDefault="00076DAE" w:rsidP="00076DAE">
            <w:pPr>
              <w:widowControl/>
              <w:adjustRightInd/>
              <w:ind w:left="175" w:hanging="175"/>
              <w:rPr>
                <w:sz w:val="20"/>
                <w:szCs w:val="20"/>
              </w:rPr>
            </w:pPr>
            <w:r w:rsidRPr="00076DAE">
              <w:rPr>
                <w:sz w:val="20"/>
                <w:szCs w:val="20"/>
              </w:rPr>
              <w:t>Materiál legislatívnej povahy</w:t>
            </w:r>
          </w:p>
        </w:tc>
      </w:tr>
      <w:tr w:rsidR="00076DAE" w:rsidRPr="00076DAE" w14:paraId="128F5344" w14:textId="77777777" w:rsidTr="0093572E">
        <w:tc>
          <w:tcPr>
            <w:tcW w:w="4212" w:type="dxa"/>
            <w:gridSpan w:val="2"/>
            <w:vMerge/>
            <w:tcBorders>
              <w:top w:val="nil"/>
              <w:left w:val="single" w:sz="4" w:space="0" w:color="auto"/>
              <w:bottom w:val="single" w:sz="4" w:space="0" w:color="auto"/>
            </w:tcBorders>
            <w:shd w:val="clear" w:color="auto" w:fill="E2E2E2"/>
          </w:tcPr>
          <w:p w14:paraId="427A3CEB" w14:textId="77777777" w:rsidR="00076DAE" w:rsidRPr="00076DAE" w:rsidRDefault="00076DAE" w:rsidP="00076DAE">
            <w:pPr>
              <w:widowControl/>
              <w:adjustRightInd/>
              <w:rPr>
                <w:sz w:val="20"/>
                <w:szCs w:val="20"/>
              </w:rPr>
            </w:pPr>
          </w:p>
        </w:tc>
        <w:sdt>
          <w:sdtPr>
            <w:rPr>
              <w:sz w:val="20"/>
              <w:szCs w:val="20"/>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667FE620"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53AC42E6" w14:textId="77777777" w:rsidR="00076DAE" w:rsidRPr="00076DAE" w:rsidRDefault="00076DAE" w:rsidP="00076DAE">
            <w:pPr>
              <w:widowControl/>
              <w:adjustRightInd/>
              <w:rPr>
                <w:sz w:val="20"/>
                <w:szCs w:val="20"/>
              </w:rPr>
            </w:pPr>
            <w:r w:rsidRPr="00076DAE">
              <w:rPr>
                <w:sz w:val="20"/>
                <w:szCs w:val="20"/>
              </w:rPr>
              <w:t>Transpozícia/ implementácia práva EÚ</w:t>
            </w:r>
          </w:p>
        </w:tc>
      </w:tr>
      <w:tr w:rsidR="00076DAE" w:rsidRPr="00076DAE" w14:paraId="606C81DD" w14:textId="77777777" w:rsidTr="0093572E">
        <w:tc>
          <w:tcPr>
            <w:tcW w:w="9180" w:type="dxa"/>
            <w:gridSpan w:val="11"/>
            <w:tcBorders>
              <w:top w:val="single" w:sz="4" w:space="0" w:color="auto"/>
              <w:left w:val="single" w:sz="4" w:space="0" w:color="auto"/>
              <w:bottom w:val="single" w:sz="4" w:space="0" w:color="FFFFFF"/>
            </w:tcBorders>
            <w:shd w:val="clear" w:color="auto" w:fill="FFFFFF"/>
          </w:tcPr>
          <w:p w14:paraId="1F7A05C9" w14:textId="77777777" w:rsidR="00076DAE" w:rsidRPr="00076DAE" w:rsidRDefault="00076DAE" w:rsidP="00076DAE">
            <w:pPr>
              <w:widowControl/>
              <w:adjustRightInd/>
              <w:rPr>
                <w:i/>
                <w:sz w:val="20"/>
                <w:szCs w:val="20"/>
              </w:rPr>
            </w:pPr>
            <w:r w:rsidRPr="00076DAE">
              <w:rPr>
                <w:i/>
                <w:sz w:val="20"/>
                <w:szCs w:val="20"/>
              </w:rPr>
              <w:t>V prípade transpozície/implementácie uveďte zoznam transponovaných/implementovaných predpisov:</w:t>
            </w:r>
          </w:p>
          <w:p w14:paraId="273CBEB2" w14:textId="77777777" w:rsidR="00076DAE" w:rsidRPr="00076DAE" w:rsidRDefault="00076DAE" w:rsidP="00076DAE">
            <w:pPr>
              <w:widowControl/>
              <w:adjustRightInd/>
              <w:rPr>
                <w:sz w:val="20"/>
                <w:szCs w:val="20"/>
              </w:rPr>
            </w:pPr>
            <w:r w:rsidRPr="00076DAE">
              <w:rPr>
                <w:sz w:val="20"/>
                <w:szCs w:val="20"/>
              </w:rPr>
              <w:t>Žiadne.</w:t>
            </w:r>
          </w:p>
        </w:tc>
      </w:tr>
      <w:tr w:rsidR="00076DAE" w:rsidRPr="00076DAE" w14:paraId="0C0F4555" w14:textId="77777777" w:rsidTr="0093572E">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DBED4E6" w14:textId="77777777" w:rsidR="00076DAE" w:rsidRPr="00076DAE" w:rsidRDefault="00076DAE" w:rsidP="00076DAE">
            <w:pPr>
              <w:widowControl/>
              <w:adjustRightInd/>
              <w:spacing w:after="200" w:line="276" w:lineRule="auto"/>
              <w:ind w:left="142"/>
              <w:contextualSpacing/>
              <w:rPr>
                <w:b/>
                <w:sz w:val="22"/>
                <w:szCs w:val="22"/>
              </w:rPr>
            </w:pPr>
            <w:r w:rsidRPr="00076DAE">
              <w:rPr>
                <w:b/>
                <w:sz w:val="22"/>
                <w:szCs w:val="22"/>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CFA5EAF" w14:textId="77777777" w:rsidR="00076DAE" w:rsidRPr="00076DAE" w:rsidRDefault="00076DAE" w:rsidP="00076DAE">
            <w:pPr>
              <w:widowControl/>
              <w:adjustRightInd/>
              <w:rPr>
                <w:i/>
                <w:sz w:val="20"/>
                <w:szCs w:val="20"/>
              </w:rPr>
            </w:pPr>
            <w:r w:rsidRPr="00076DAE">
              <w:rPr>
                <w:i/>
                <w:sz w:val="20"/>
                <w:szCs w:val="20"/>
              </w:rPr>
              <w:t>-</w:t>
            </w:r>
          </w:p>
        </w:tc>
      </w:tr>
      <w:tr w:rsidR="00076DAE" w:rsidRPr="00076DAE" w14:paraId="4E17FAE9" w14:textId="77777777" w:rsidTr="0093572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0E3749E" w14:textId="77777777" w:rsidR="00076DAE" w:rsidRPr="00076DAE" w:rsidRDefault="00076DAE" w:rsidP="00076DAE">
            <w:pPr>
              <w:widowControl/>
              <w:adjustRightInd/>
              <w:spacing w:after="200" w:line="276" w:lineRule="auto"/>
              <w:ind w:left="142"/>
              <w:contextualSpacing/>
              <w:rPr>
                <w:b/>
                <w:sz w:val="22"/>
                <w:szCs w:val="22"/>
              </w:rPr>
            </w:pPr>
            <w:r w:rsidRPr="00076DAE">
              <w:rPr>
                <w:b/>
                <w:sz w:val="22"/>
                <w:szCs w:val="22"/>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0FDA7B7" w14:textId="77777777" w:rsidR="00076DAE" w:rsidRPr="00076DAE" w:rsidRDefault="00076DAE" w:rsidP="00076DAE">
            <w:pPr>
              <w:widowControl/>
              <w:adjustRightInd/>
              <w:rPr>
                <w:i/>
                <w:sz w:val="20"/>
                <w:szCs w:val="20"/>
              </w:rPr>
            </w:pPr>
            <w:r w:rsidRPr="00076DAE">
              <w:rPr>
                <w:i/>
                <w:sz w:val="20"/>
                <w:szCs w:val="20"/>
              </w:rPr>
              <w:t>Október 2024</w:t>
            </w:r>
          </w:p>
        </w:tc>
      </w:tr>
      <w:tr w:rsidR="00076DAE" w:rsidRPr="00076DAE" w14:paraId="6431860B" w14:textId="77777777" w:rsidTr="0093572E">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90197FC" w14:textId="77777777" w:rsidR="00076DAE" w:rsidRPr="00076DAE" w:rsidRDefault="00076DAE" w:rsidP="00076DAE">
            <w:pPr>
              <w:widowControl/>
              <w:adjustRightInd/>
              <w:spacing w:line="276" w:lineRule="auto"/>
              <w:ind w:left="142"/>
              <w:contextualSpacing/>
              <w:rPr>
                <w:rFonts w:ascii="Calibri" w:hAnsi="Calibri"/>
                <w:b/>
                <w:sz w:val="22"/>
                <w:szCs w:val="22"/>
              </w:rPr>
            </w:pPr>
            <w:r w:rsidRPr="00076DAE">
              <w:rPr>
                <w:b/>
                <w:sz w:val="22"/>
                <w:szCs w:val="22"/>
              </w:rPr>
              <w:t>Predpokladaný termín začiatku a ukončenia ZP**</w:t>
            </w:r>
            <w:r w:rsidRPr="00076DAE">
              <w:rPr>
                <w:rFonts w:ascii="Calibri" w:hAnsi="Calibri"/>
                <w:b/>
                <w:sz w:val="22"/>
                <w:szCs w:val="22"/>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D306222" w14:textId="77777777" w:rsidR="00076DAE" w:rsidRPr="00076DAE" w:rsidRDefault="00076DAE" w:rsidP="00076DAE">
            <w:pPr>
              <w:widowControl/>
              <w:adjustRightInd/>
              <w:rPr>
                <w:i/>
                <w:sz w:val="20"/>
                <w:szCs w:val="20"/>
              </w:rPr>
            </w:pPr>
          </w:p>
        </w:tc>
      </w:tr>
      <w:tr w:rsidR="00076DAE" w:rsidRPr="00076DAE" w14:paraId="4A9C8FEE" w14:textId="77777777" w:rsidTr="0093572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AF05013" w14:textId="77777777" w:rsidR="00076DAE" w:rsidRPr="00076DAE" w:rsidRDefault="00076DAE" w:rsidP="00076DAE">
            <w:pPr>
              <w:widowControl/>
              <w:adjustRightInd/>
              <w:spacing w:after="200" w:line="276" w:lineRule="auto"/>
              <w:ind w:left="142"/>
              <w:contextualSpacing/>
              <w:jc w:val="both"/>
              <w:rPr>
                <w:b/>
                <w:sz w:val="22"/>
                <w:szCs w:val="22"/>
              </w:rPr>
            </w:pPr>
            <w:r w:rsidRPr="00076DAE">
              <w:rPr>
                <w:b/>
                <w:sz w:val="22"/>
                <w:szCs w:val="22"/>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503CE150" w14:textId="77777777" w:rsidR="00076DAE" w:rsidRPr="00076DAE" w:rsidRDefault="00076DAE" w:rsidP="00076DAE">
            <w:pPr>
              <w:widowControl/>
              <w:adjustRightInd/>
              <w:rPr>
                <w:i/>
                <w:sz w:val="20"/>
                <w:szCs w:val="20"/>
              </w:rPr>
            </w:pPr>
            <w:r w:rsidRPr="00076DAE">
              <w:rPr>
                <w:i/>
                <w:sz w:val="20"/>
                <w:szCs w:val="20"/>
              </w:rPr>
              <w:t>Január 2025</w:t>
            </w:r>
          </w:p>
        </w:tc>
      </w:tr>
      <w:tr w:rsidR="00076DAE" w:rsidRPr="00076DAE" w14:paraId="0BBB4C0B" w14:textId="77777777" w:rsidTr="0093572E">
        <w:tc>
          <w:tcPr>
            <w:tcW w:w="9180" w:type="dxa"/>
            <w:gridSpan w:val="11"/>
            <w:tcBorders>
              <w:top w:val="single" w:sz="4" w:space="0" w:color="auto"/>
              <w:left w:val="nil"/>
              <w:bottom w:val="single" w:sz="4" w:space="0" w:color="auto"/>
              <w:right w:val="nil"/>
            </w:tcBorders>
            <w:shd w:val="clear" w:color="auto" w:fill="FFFFFF"/>
          </w:tcPr>
          <w:p w14:paraId="734A7D71" w14:textId="77777777" w:rsidR="00076DAE" w:rsidRPr="00076DAE" w:rsidRDefault="00076DAE" w:rsidP="00076DAE">
            <w:pPr>
              <w:widowControl/>
              <w:adjustRightInd/>
              <w:rPr>
                <w:sz w:val="20"/>
                <w:szCs w:val="20"/>
              </w:rPr>
            </w:pPr>
          </w:p>
        </w:tc>
      </w:tr>
      <w:tr w:rsidR="00076DAE" w:rsidRPr="00076DAE" w14:paraId="42BE68BB" w14:textId="77777777" w:rsidTr="0093572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B60FC5E"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Definovanie problému</w:t>
            </w:r>
          </w:p>
        </w:tc>
      </w:tr>
      <w:tr w:rsidR="00076DAE" w:rsidRPr="00076DAE" w14:paraId="32ADCB6F" w14:textId="77777777" w:rsidTr="0093572E">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DC4ABD2" w14:textId="77777777" w:rsidR="00076DAE" w:rsidRPr="00076DAE" w:rsidRDefault="00076DAE" w:rsidP="00076DAE">
            <w:pPr>
              <w:widowControl/>
              <w:adjustRightInd/>
              <w:jc w:val="both"/>
              <w:rPr>
                <w:i/>
                <w:sz w:val="20"/>
                <w:szCs w:val="20"/>
              </w:rPr>
            </w:pPr>
            <w:r w:rsidRPr="00076DAE">
              <w:rPr>
                <w:i/>
                <w:sz w:val="20"/>
                <w:szCs w:val="20"/>
              </w:rPr>
              <w:t>Uveďte základné problémy, ktoré sú dôvodom vypracovania predkladaného  materiálu (dôvody majú presne poukázať na problém, ktorý existuje a je nutné ho predloženým materiálom riešiť).</w:t>
            </w:r>
          </w:p>
          <w:p w14:paraId="1D00619F" w14:textId="77777777" w:rsidR="00076DAE" w:rsidRPr="00076DAE" w:rsidRDefault="00076DAE" w:rsidP="00076DAE">
            <w:pPr>
              <w:widowControl/>
              <w:adjustRightInd/>
              <w:jc w:val="both"/>
              <w:rPr>
                <w:sz w:val="20"/>
                <w:szCs w:val="20"/>
              </w:rPr>
            </w:pPr>
            <w:r w:rsidRPr="00076DAE">
              <w:rPr>
                <w:sz w:val="20"/>
                <w:szCs w:val="20"/>
              </w:rPr>
              <w:t>Významnou formou podpory štátu v oblasti rozvoja bývania je poskytovanie podpory prostredníctvom Štátneho fondu rozvoja bývania. Podmienky poskytovania podpory na rozširovanie a zveľaďovanie bytového fondu sú ustanovené zákonom č. 150/2013 Z. z. o Štátnom fonde rozvoja bývania v znení neskorších predpisov. Potreba úpravy a doplnenia zákona vyplynula z aplikácie platného znenia zákona v praxi a z nutnosti stanovenia spresňujúcich podmienok pri poskytovaní podpory.</w:t>
            </w:r>
          </w:p>
        </w:tc>
      </w:tr>
      <w:tr w:rsidR="00076DAE" w:rsidRPr="00076DAE" w14:paraId="5F0F5F45" w14:textId="77777777" w:rsidTr="0093572E">
        <w:tc>
          <w:tcPr>
            <w:tcW w:w="9180" w:type="dxa"/>
            <w:gridSpan w:val="11"/>
            <w:tcBorders>
              <w:top w:val="single" w:sz="4" w:space="0" w:color="auto"/>
              <w:left w:val="single" w:sz="4" w:space="0" w:color="auto"/>
              <w:bottom w:val="nil"/>
              <w:right w:val="single" w:sz="4" w:space="0" w:color="auto"/>
            </w:tcBorders>
            <w:shd w:val="clear" w:color="auto" w:fill="E2E2E2"/>
          </w:tcPr>
          <w:p w14:paraId="50621D6B"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Ciele a výsledný stav</w:t>
            </w:r>
          </w:p>
        </w:tc>
      </w:tr>
      <w:tr w:rsidR="00076DAE" w:rsidRPr="00076DAE" w14:paraId="69268491" w14:textId="77777777" w:rsidTr="0093572E">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6BC6CC41" w14:textId="77777777" w:rsidR="00076DAE" w:rsidRPr="00076DAE" w:rsidRDefault="00076DAE" w:rsidP="00076DAE">
            <w:pPr>
              <w:widowControl/>
              <w:adjustRightInd/>
              <w:rPr>
                <w:i/>
                <w:sz w:val="20"/>
                <w:szCs w:val="20"/>
              </w:rPr>
            </w:pPr>
            <w:r w:rsidRPr="00076DAE">
              <w:rPr>
                <w:i/>
                <w:sz w:val="20"/>
                <w:szCs w:val="20"/>
              </w:rPr>
              <w:t xml:space="preserve">Uveďte hlavné ciele predkladaného materiálu (aký výsledný stav má byť prijatím materiálu dosiahnutý, pričom dosiahnutý stav musí byť odlišný od stavu popísaného v bode 2. Definovanie problému). </w:t>
            </w:r>
          </w:p>
          <w:p w14:paraId="4496D2EC" w14:textId="77777777" w:rsidR="00076DAE" w:rsidRPr="00076DAE" w:rsidRDefault="00076DAE" w:rsidP="00076DAE">
            <w:pPr>
              <w:widowControl/>
              <w:adjustRightInd/>
              <w:jc w:val="both"/>
              <w:rPr>
                <w:sz w:val="20"/>
                <w:szCs w:val="20"/>
              </w:rPr>
            </w:pPr>
            <w:r w:rsidRPr="00076DAE">
              <w:rPr>
                <w:sz w:val="20"/>
                <w:szCs w:val="20"/>
              </w:rPr>
              <w:t>Navrhovaným zákonom sa rozširujú účely, na ktoré je možné poskytnúť podporu zo ŠFRB na obstaranie a obnovu internátu pre študentov stredných a vysokých škôl. Návrh zákona obsahuje aj úpravy a doplnenia, ktorých potreba vyplynula  z aplikačnej praxe, ktorými sú najmä upresnenie rozsahu aktivít spadajúcich pod definíciu modernizácie bytového domu, spresnenie podmienok žiadateľa, ku ktorým sa zaväzuje v zmluve o poskytnutí úveru a pod. Cieľom novely je aj zjednodušenie a urýchlenie postupu pri poskytovaní podpory zo ŠFRB aj napríklad prostredníctvom odstránenia duplicitnej kontroly týkajúcej sa technických požiadaviek na stavby v oblasti minimálnych technických požiadaviek na energetickú hospodárnosť budov podľa zákona č. 555/2005 Z. z. o energetickej hospodárnosti budov a o zmene a doplnení niektorých zákonov v znení neskorších predpisov, ktorá je predmetom konania o povolení, resp. kolaudovaní stavby.</w:t>
            </w:r>
          </w:p>
        </w:tc>
      </w:tr>
      <w:tr w:rsidR="00076DAE" w:rsidRPr="00076DAE" w14:paraId="19675BEC" w14:textId="77777777" w:rsidTr="0093572E">
        <w:tc>
          <w:tcPr>
            <w:tcW w:w="9180" w:type="dxa"/>
            <w:gridSpan w:val="11"/>
            <w:tcBorders>
              <w:top w:val="single" w:sz="4" w:space="0" w:color="auto"/>
              <w:left w:val="single" w:sz="4" w:space="0" w:color="auto"/>
              <w:bottom w:val="nil"/>
              <w:right w:val="single" w:sz="4" w:space="0" w:color="auto"/>
            </w:tcBorders>
            <w:shd w:val="clear" w:color="auto" w:fill="E2E2E2"/>
          </w:tcPr>
          <w:p w14:paraId="05B8B0E8"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Dotknuté subjekty</w:t>
            </w:r>
          </w:p>
        </w:tc>
      </w:tr>
      <w:tr w:rsidR="00076DAE" w:rsidRPr="00076DAE" w14:paraId="320E525A" w14:textId="77777777" w:rsidTr="0093572E">
        <w:tc>
          <w:tcPr>
            <w:tcW w:w="9180" w:type="dxa"/>
            <w:gridSpan w:val="11"/>
            <w:tcBorders>
              <w:top w:val="nil"/>
              <w:left w:val="single" w:sz="4" w:space="0" w:color="auto"/>
              <w:bottom w:val="single" w:sz="4" w:space="0" w:color="auto"/>
              <w:right w:val="single" w:sz="4" w:space="0" w:color="auto"/>
            </w:tcBorders>
            <w:shd w:val="clear" w:color="auto" w:fill="FFFFFF"/>
          </w:tcPr>
          <w:p w14:paraId="2D3E2395" w14:textId="77777777" w:rsidR="00076DAE" w:rsidRPr="00076DAE" w:rsidRDefault="00076DAE" w:rsidP="00076DAE">
            <w:pPr>
              <w:widowControl/>
              <w:adjustRightInd/>
              <w:rPr>
                <w:b/>
                <w:sz w:val="20"/>
                <w:szCs w:val="20"/>
              </w:rPr>
            </w:pPr>
            <w:r w:rsidRPr="00076DAE">
              <w:rPr>
                <w:i/>
                <w:sz w:val="20"/>
                <w:szCs w:val="20"/>
              </w:rPr>
              <w:t xml:space="preserve">Uveďte subjekty, ktorých sa zmeny predkladaného materiálu dotknú priamo aj nepriamo: </w:t>
            </w:r>
          </w:p>
          <w:p w14:paraId="43E7E378" w14:textId="77777777" w:rsidR="00076DAE" w:rsidRPr="00076DAE" w:rsidRDefault="00076DAE" w:rsidP="00076DAE">
            <w:pPr>
              <w:widowControl/>
              <w:adjustRightInd/>
              <w:jc w:val="both"/>
              <w:rPr>
                <w:sz w:val="20"/>
                <w:szCs w:val="20"/>
              </w:rPr>
            </w:pPr>
            <w:r w:rsidRPr="00076DAE">
              <w:rPr>
                <w:sz w:val="20"/>
                <w:szCs w:val="20"/>
              </w:rPr>
              <w:t>Fyzická osoba, obec, samosprávny kraj, spoločenstvo vlastníkov bytov a nebytových priestorov v bytovom dome, vlastníci bytov a nebytových priestorov v bytovom dome zastúpení správcom, nezisková organizácia poskytujúca všeobecne prospešné služby na zabezpečovania bývania, správy, údržby a obnovy bytového fondu a iná právnická osoba.</w:t>
            </w:r>
          </w:p>
        </w:tc>
      </w:tr>
      <w:tr w:rsidR="00076DAE" w:rsidRPr="00076DAE" w14:paraId="6B083063" w14:textId="77777777" w:rsidTr="0093572E">
        <w:tc>
          <w:tcPr>
            <w:tcW w:w="9180" w:type="dxa"/>
            <w:gridSpan w:val="11"/>
            <w:tcBorders>
              <w:top w:val="single" w:sz="4" w:space="0" w:color="auto"/>
              <w:left w:val="single" w:sz="4" w:space="0" w:color="auto"/>
              <w:bottom w:val="nil"/>
              <w:right w:val="single" w:sz="4" w:space="0" w:color="auto"/>
            </w:tcBorders>
            <w:shd w:val="clear" w:color="auto" w:fill="E2E2E2"/>
          </w:tcPr>
          <w:p w14:paraId="6A7A25C7"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Alternatívne riešenia</w:t>
            </w:r>
          </w:p>
        </w:tc>
      </w:tr>
      <w:tr w:rsidR="00076DAE" w:rsidRPr="00076DAE" w14:paraId="64F61369" w14:textId="77777777" w:rsidTr="0093572E">
        <w:trPr>
          <w:trHeight w:val="1229"/>
        </w:trPr>
        <w:tc>
          <w:tcPr>
            <w:tcW w:w="9180" w:type="dxa"/>
            <w:gridSpan w:val="11"/>
            <w:tcBorders>
              <w:top w:val="nil"/>
              <w:left w:val="single" w:sz="4" w:space="0" w:color="auto"/>
              <w:bottom w:val="single" w:sz="4" w:space="0" w:color="auto"/>
              <w:right w:val="single" w:sz="4" w:space="0" w:color="auto"/>
            </w:tcBorders>
            <w:shd w:val="clear" w:color="auto" w:fill="FFFFFF"/>
          </w:tcPr>
          <w:p w14:paraId="343531CA" w14:textId="77777777" w:rsidR="00076DAE" w:rsidRPr="00076DAE" w:rsidRDefault="00076DAE" w:rsidP="00076DAE">
            <w:pPr>
              <w:widowControl/>
              <w:adjustRightInd/>
              <w:jc w:val="both"/>
              <w:rPr>
                <w:i/>
                <w:sz w:val="20"/>
                <w:szCs w:val="20"/>
              </w:rPr>
            </w:pPr>
            <w:r w:rsidRPr="00076DAE">
              <w:rPr>
                <w:i/>
                <w:sz w:val="20"/>
                <w:szCs w:val="20"/>
              </w:rPr>
              <w:t>Aké alternatívne riešenia vedúce k stanovenému cieľu boli identifikované a posudzované pre riešenie definovaného problému?</w:t>
            </w:r>
          </w:p>
          <w:p w14:paraId="77C3D48B" w14:textId="77777777" w:rsidR="00076DAE" w:rsidRPr="00076DAE" w:rsidRDefault="00076DAE" w:rsidP="00076DAE">
            <w:pPr>
              <w:widowControl/>
              <w:adjustRightInd/>
              <w:jc w:val="both"/>
              <w:rPr>
                <w:i/>
                <w:sz w:val="20"/>
                <w:szCs w:val="20"/>
              </w:rPr>
            </w:pPr>
            <w:r w:rsidRPr="00076DAE">
              <w:rPr>
                <w:i/>
                <w:sz w:val="20"/>
                <w:szCs w:val="20"/>
              </w:rPr>
              <w:t>Nulový variant - uveďte dôsledky, ku ktorým by došlo v prípade nevykonania úprav v predkladanom materiáli a alternatívne riešenia/spôsoby dosiahnutia cieľov uvedených v bode 3.</w:t>
            </w:r>
          </w:p>
          <w:p w14:paraId="2EBDC13F" w14:textId="77777777" w:rsidR="00076DAE" w:rsidRPr="00076DAE" w:rsidRDefault="00076DAE" w:rsidP="00076DAE">
            <w:pPr>
              <w:widowControl/>
              <w:adjustRightInd/>
              <w:jc w:val="both"/>
              <w:rPr>
                <w:sz w:val="20"/>
                <w:szCs w:val="20"/>
              </w:rPr>
            </w:pPr>
            <w:r w:rsidRPr="00076DAE">
              <w:rPr>
                <w:sz w:val="20"/>
                <w:szCs w:val="20"/>
              </w:rPr>
              <w:t xml:space="preserve">Zavedením nových účelov podpory zo Štátneho fondu rozvoja bývania (obstaranie a obnova internátov) pre žiadateľa – samosprávny kraj alebo iná právnická osoba (verejná vysoká škola) by sa umožnilo získanie výhodného úveru na rozšírenie a skvalitnenie ubytovacích kapacít pre študentov stredných a vysokých škôl.  </w:t>
            </w:r>
          </w:p>
          <w:p w14:paraId="40AB6554" w14:textId="77777777" w:rsidR="00076DAE" w:rsidRPr="00076DAE" w:rsidRDefault="00076DAE" w:rsidP="00076DAE">
            <w:pPr>
              <w:widowControl/>
              <w:adjustRightInd/>
              <w:jc w:val="both"/>
              <w:rPr>
                <w:sz w:val="20"/>
                <w:szCs w:val="20"/>
              </w:rPr>
            </w:pPr>
            <w:r w:rsidRPr="00076DAE">
              <w:rPr>
                <w:sz w:val="20"/>
                <w:szCs w:val="20"/>
              </w:rPr>
              <w:t xml:space="preserve">Ponechanie pôvodnej úpravy zákona by znamenalo, že potenciálni žiadatelia by museli na obstaranie a obnovu internátov získať iný finančný zdroj, napr. komerčný úver s vyššou úrokovou sadzbou a kratšou lehotou splatnosti, čo by mohlo byť pre mnohých žiadateľov neprekonateľnou prekážkou. </w:t>
            </w:r>
          </w:p>
          <w:p w14:paraId="0A5B2062" w14:textId="77777777" w:rsidR="00076DAE" w:rsidRPr="00076DAE" w:rsidRDefault="00076DAE" w:rsidP="00076DAE">
            <w:pPr>
              <w:widowControl/>
              <w:adjustRightInd/>
              <w:jc w:val="both"/>
              <w:rPr>
                <w:sz w:val="20"/>
                <w:szCs w:val="20"/>
              </w:rPr>
            </w:pPr>
          </w:p>
        </w:tc>
      </w:tr>
      <w:tr w:rsidR="00076DAE" w:rsidRPr="00076DAE" w14:paraId="5324E7BE" w14:textId="77777777" w:rsidTr="0093572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F538BBE"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lastRenderedPageBreak/>
              <w:t>Vykonávacie predpisy</w:t>
            </w:r>
          </w:p>
        </w:tc>
      </w:tr>
      <w:tr w:rsidR="00076DAE" w:rsidRPr="00076DAE" w14:paraId="436936DF" w14:textId="77777777" w:rsidTr="0093572E">
        <w:tc>
          <w:tcPr>
            <w:tcW w:w="6203" w:type="dxa"/>
            <w:gridSpan w:val="7"/>
            <w:tcBorders>
              <w:top w:val="single" w:sz="4" w:space="0" w:color="FFFFFF"/>
              <w:left w:val="single" w:sz="4" w:space="0" w:color="auto"/>
              <w:bottom w:val="nil"/>
              <w:right w:val="nil"/>
            </w:tcBorders>
            <w:shd w:val="clear" w:color="auto" w:fill="FFFFFF"/>
          </w:tcPr>
          <w:p w14:paraId="49DB3732" w14:textId="77777777" w:rsidR="00076DAE" w:rsidRPr="00076DAE" w:rsidRDefault="00076DAE" w:rsidP="00076DAE">
            <w:pPr>
              <w:widowControl/>
              <w:adjustRightInd/>
              <w:rPr>
                <w:i/>
                <w:sz w:val="20"/>
                <w:szCs w:val="20"/>
              </w:rPr>
            </w:pPr>
            <w:r w:rsidRPr="00076DAE">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9E14477" w14:textId="77777777" w:rsidR="00076DAE" w:rsidRPr="00076DAE" w:rsidRDefault="0093572E" w:rsidP="00076DAE">
            <w:pPr>
              <w:widowControl/>
              <w:adjustRightInd/>
              <w:jc w:val="center"/>
              <w:rPr>
                <w:b/>
                <w:sz w:val="20"/>
                <w:szCs w:val="20"/>
              </w:rPr>
            </w:pPr>
            <w:sdt>
              <w:sdtPr>
                <w:rPr>
                  <w:b/>
                  <w:sz w:val="20"/>
                  <w:szCs w:val="20"/>
                </w:rPr>
                <w:id w:val="1929613764"/>
                <w14:checkbox>
                  <w14:checked w14:val="1"/>
                  <w14:checkedState w14:val="2612" w14:font="MS Gothic"/>
                  <w14:uncheckedState w14:val="2610" w14:font="MS Gothic"/>
                </w14:checkbox>
              </w:sdtPr>
              <w:sdtContent>
                <w:r w:rsidR="00076DAE" w:rsidRPr="00076DAE">
                  <w:rPr>
                    <w:rFonts w:ascii="Segoe UI Symbol" w:hAnsi="Segoe UI Symbol" w:cs="Segoe UI Symbol"/>
                    <w:b/>
                    <w:sz w:val="20"/>
                    <w:szCs w:val="20"/>
                  </w:rPr>
                  <w:t>☒</w:t>
                </w:r>
              </w:sdtContent>
            </w:sdt>
            <w:r w:rsidR="00076DAE" w:rsidRPr="00076DAE">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20C7820" w14:textId="77777777" w:rsidR="00076DAE" w:rsidRPr="00076DAE" w:rsidRDefault="0093572E" w:rsidP="00076DAE">
            <w:pPr>
              <w:widowControl/>
              <w:adjustRightInd/>
              <w:jc w:val="center"/>
              <w:rPr>
                <w:b/>
                <w:sz w:val="20"/>
                <w:szCs w:val="20"/>
              </w:rPr>
            </w:pPr>
            <w:sdt>
              <w:sdtPr>
                <w:rPr>
                  <w:b/>
                  <w:sz w:val="20"/>
                  <w:szCs w:val="20"/>
                </w:rPr>
                <w:id w:val="-1594626508"/>
                <w14:checkbox>
                  <w14:checked w14:val="0"/>
                  <w14:checkedState w14:val="2612" w14:font="MS Gothic"/>
                  <w14:uncheckedState w14:val="2610" w14:font="MS Gothic"/>
                </w14:checkbox>
              </w:sdtPr>
              <w:sdtContent>
                <w:r w:rsidR="00076DAE" w:rsidRPr="00076DAE">
                  <w:rPr>
                    <w:rFonts w:ascii="Segoe UI Symbol" w:hAnsi="Segoe UI Symbol" w:cs="Segoe UI Symbol"/>
                    <w:b/>
                    <w:sz w:val="20"/>
                    <w:szCs w:val="20"/>
                  </w:rPr>
                  <w:t>☐</w:t>
                </w:r>
              </w:sdtContent>
            </w:sdt>
            <w:r w:rsidR="00076DAE" w:rsidRPr="00076DAE">
              <w:rPr>
                <w:b/>
                <w:sz w:val="20"/>
                <w:szCs w:val="20"/>
              </w:rPr>
              <w:t xml:space="preserve">  Nie</w:t>
            </w:r>
          </w:p>
        </w:tc>
      </w:tr>
      <w:tr w:rsidR="00076DAE" w:rsidRPr="00076DAE" w14:paraId="7A19D514" w14:textId="77777777" w:rsidTr="0093572E">
        <w:tc>
          <w:tcPr>
            <w:tcW w:w="9180" w:type="dxa"/>
            <w:gridSpan w:val="11"/>
            <w:tcBorders>
              <w:top w:val="nil"/>
              <w:left w:val="single" w:sz="4" w:space="0" w:color="auto"/>
              <w:bottom w:val="single" w:sz="4" w:space="0" w:color="auto"/>
              <w:right w:val="single" w:sz="4" w:space="0" w:color="auto"/>
            </w:tcBorders>
            <w:shd w:val="clear" w:color="auto" w:fill="FFFFFF"/>
          </w:tcPr>
          <w:p w14:paraId="366ADB49" w14:textId="77777777" w:rsidR="00076DAE" w:rsidRPr="00076DAE" w:rsidRDefault="00076DAE" w:rsidP="00076DAE">
            <w:pPr>
              <w:widowControl/>
              <w:adjustRightInd/>
              <w:rPr>
                <w:i/>
                <w:sz w:val="20"/>
                <w:szCs w:val="20"/>
              </w:rPr>
            </w:pPr>
            <w:r w:rsidRPr="00076DAE">
              <w:rPr>
                <w:i/>
                <w:sz w:val="20"/>
                <w:szCs w:val="20"/>
              </w:rPr>
              <w:t>Ak áno, uveďte ktoré oblasti budú nimi upravené, resp. ktorých vykonávacích predpisov sa zmena dotkne:</w:t>
            </w:r>
          </w:p>
          <w:p w14:paraId="3C6B43EE" w14:textId="77777777" w:rsidR="00076DAE" w:rsidRPr="00076DAE" w:rsidRDefault="00076DAE" w:rsidP="00076DAE">
            <w:pPr>
              <w:widowControl/>
              <w:adjustRightInd/>
              <w:jc w:val="both"/>
              <w:rPr>
                <w:sz w:val="20"/>
                <w:szCs w:val="20"/>
              </w:rPr>
            </w:pPr>
            <w:r w:rsidRPr="00076DAE">
              <w:rPr>
                <w:sz w:val="20"/>
                <w:szCs w:val="20"/>
              </w:rPr>
              <w:t>V nadväznosti na zmenu zákona bude nutné zmeniť niektoré ustanovenia vyhlášky Ministerstva dopravy, výstavby a regionálneho rozvoja Slovenskej republiky č. 284/2013 Z. z. o podrobnostiach o výške poskytovanej podpory zo Štátneho fondu rozvoja bývania, o všeobecných podmienkach poskytnutia podpory a o obsahu žiadosti v znení neskorších predpisov (ďalej len „vyhláška“). Návrh zmien vyhlášky je prílohou materiálu.</w:t>
            </w:r>
          </w:p>
        </w:tc>
      </w:tr>
      <w:tr w:rsidR="00076DAE" w:rsidRPr="00076DAE" w14:paraId="29A8407C" w14:textId="77777777" w:rsidTr="0093572E">
        <w:trPr>
          <w:trHeight w:val="70"/>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C105561"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 xml:space="preserve">Transpozícia/implementácia práva EÚ </w:t>
            </w:r>
          </w:p>
        </w:tc>
      </w:tr>
      <w:tr w:rsidR="00076DAE" w:rsidRPr="00076DAE" w14:paraId="24591BA0" w14:textId="77777777" w:rsidTr="0093572E">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76DAE" w:rsidRPr="00076DAE" w14:paraId="46ECE9D3" w14:textId="77777777" w:rsidTr="0093572E">
              <w:trPr>
                <w:trHeight w:val="90"/>
              </w:trPr>
              <w:tc>
                <w:tcPr>
                  <w:tcW w:w="8643" w:type="dxa"/>
                </w:tcPr>
                <w:p w14:paraId="36BE8B25" w14:textId="77777777" w:rsidR="00076DAE" w:rsidRPr="00076DAE" w:rsidRDefault="00076DAE" w:rsidP="00076DAE">
                  <w:pPr>
                    <w:widowControl/>
                    <w:autoSpaceDE w:val="0"/>
                    <w:autoSpaceDN w:val="0"/>
                    <w:rPr>
                      <w:rFonts w:eastAsia="Calibri"/>
                      <w:sz w:val="20"/>
                      <w:szCs w:val="20"/>
                      <w:lang w:eastAsia="en-US"/>
                    </w:rPr>
                  </w:pPr>
                  <w:r w:rsidRPr="00076DAE">
                    <w:rPr>
                      <w:rFonts w:eastAsia="Calibri"/>
                      <w:i/>
                      <w:iCs/>
                      <w:sz w:val="20"/>
                      <w:szCs w:val="20"/>
                      <w:lang w:eastAsia="en-US"/>
                    </w:rPr>
                    <w:t xml:space="preserve">Uveďte, či v predkladanom návrhu právneho predpisu dochádza ku </w:t>
                  </w:r>
                  <w:proofErr w:type="spellStart"/>
                  <w:r w:rsidRPr="00076DAE">
                    <w:rPr>
                      <w:rFonts w:eastAsia="Calibri"/>
                      <w:i/>
                      <w:iCs/>
                      <w:sz w:val="20"/>
                      <w:szCs w:val="20"/>
                      <w:lang w:eastAsia="en-US"/>
                    </w:rPr>
                    <w:t>goldplatingu</w:t>
                  </w:r>
                  <w:proofErr w:type="spellEnd"/>
                  <w:r w:rsidRPr="00076DAE">
                    <w:rPr>
                      <w:rFonts w:eastAsia="Calibri"/>
                      <w:i/>
                      <w:iCs/>
                      <w:sz w:val="20"/>
                      <w:szCs w:val="20"/>
                      <w:lang w:eastAsia="en-US"/>
                    </w:rPr>
                    <w:t xml:space="preserve"> podľa tabuľky zhody, resp. či ku </w:t>
                  </w:r>
                  <w:proofErr w:type="spellStart"/>
                  <w:r w:rsidRPr="00076DAE">
                    <w:rPr>
                      <w:rFonts w:eastAsia="Calibri"/>
                      <w:i/>
                      <w:iCs/>
                      <w:sz w:val="20"/>
                      <w:szCs w:val="20"/>
                      <w:lang w:eastAsia="en-US"/>
                    </w:rPr>
                    <w:t>goldplatingu</w:t>
                  </w:r>
                  <w:proofErr w:type="spellEnd"/>
                  <w:r w:rsidRPr="00076DAE">
                    <w:rPr>
                      <w:rFonts w:eastAsia="Calibri"/>
                      <w:i/>
                      <w:iCs/>
                      <w:sz w:val="20"/>
                      <w:szCs w:val="20"/>
                      <w:lang w:eastAsia="en-US"/>
                    </w:rPr>
                    <w:t xml:space="preserve"> dochádza pri implementácii práva EÚ. </w:t>
                  </w:r>
                </w:p>
              </w:tc>
            </w:tr>
            <w:tr w:rsidR="00076DAE" w:rsidRPr="00076DAE" w14:paraId="468D2003" w14:textId="77777777" w:rsidTr="0093572E">
              <w:trPr>
                <w:trHeight w:val="296"/>
              </w:trPr>
              <w:tc>
                <w:tcPr>
                  <w:tcW w:w="8643" w:type="dxa"/>
                </w:tcPr>
                <w:p w14:paraId="09D32643" w14:textId="77777777" w:rsidR="00076DAE" w:rsidRPr="00076DAE" w:rsidRDefault="00076DAE" w:rsidP="00076DAE">
                  <w:pPr>
                    <w:widowControl/>
                    <w:autoSpaceDE w:val="0"/>
                    <w:autoSpaceDN w:val="0"/>
                    <w:rPr>
                      <w:rFonts w:eastAsia="Calibri"/>
                      <w:b/>
                      <w:iCs/>
                      <w:sz w:val="20"/>
                      <w:szCs w:val="20"/>
                      <w:lang w:eastAsia="en-US"/>
                    </w:rPr>
                  </w:pPr>
                  <w:r w:rsidRPr="00076DAE">
                    <w:rPr>
                      <w:rFonts w:eastAsia="Calibri"/>
                      <w:b/>
                      <w:iCs/>
                      <w:sz w:val="20"/>
                      <w:szCs w:val="20"/>
                      <w:lang w:eastAsia="en-US"/>
                    </w:rPr>
                    <w:t xml:space="preserve">                                                                                                                               </w:t>
                  </w:r>
                  <w:sdt>
                    <w:sdtPr>
                      <w:rPr>
                        <w:rFonts w:eastAsia="Calibri"/>
                        <w:b/>
                        <w:iCs/>
                        <w:sz w:val="20"/>
                        <w:szCs w:val="20"/>
                        <w:lang w:eastAsia="en-US"/>
                      </w:rPr>
                      <w:id w:val="1614706761"/>
                      <w14:checkbox>
                        <w14:checked w14:val="0"/>
                        <w14:checkedState w14:val="2612" w14:font="MS Gothic"/>
                        <w14:uncheckedState w14:val="2610" w14:font="MS Gothic"/>
                      </w14:checkbox>
                    </w:sdtPr>
                    <w:sdtContent>
                      <w:r w:rsidRPr="00076DAE">
                        <w:rPr>
                          <w:rFonts w:ascii="Segoe UI Symbol" w:eastAsia="Calibri" w:hAnsi="Segoe UI Symbol" w:cs="Segoe UI Symbol"/>
                          <w:b/>
                          <w:iCs/>
                          <w:sz w:val="20"/>
                          <w:szCs w:val="20"/>
                          <w:lang w:eastAsia="en-US"/>
                        </w:rPr>
                        <w:t>☐</w:t>
                      </w:r>
                    </w:sdtContent>
                  </w:sdt>
                  <w:r w:rsidRPr="00076DAE">
                    <w:rPr>
                      <w:rFonts w:eastAsia="Calibri"/>
                      <w:b/>
                      <w:iCs/>
                      <w:sz w:val="20"/>
                      <w:szCs w:val="20"/>
                      <w:lang w:eastAsia="en-US"/>
                    </w:rPr>
                    <w:t xml:space="preserve"> Áno                  </w:t>
                  </w:r>
                  <w:sdt>
                    <w:sdtPr>
                      <w:rPr>
                        <w:rFonts w:eastAsia="Calibri"/>
                        <w:b/>
                        <w:iCs/>
                        <w:sz w:val="20"/>
                        <w:szCs w:val="20"/>
                        <w:lang w:eastAsia="en-US"/>
                      </w:rPr>
                      <w:id w:val="-155225922"/>
                      <w14:checkbox>
                        <w14:checked w14:val="1"/>
                        <w14:checkedState w14:val="2612" w14:font="MS Gothic"/>
                        <w14:uncheckedState w14:val="2610" w14:font="MS Gothic"/>
                      </w14:checkbox>
                    </w:sdtPr>
                    <w:sdtContent>
                      <w:r w:rsidRPr="00076DAE">
                        <w:rPr>
                          <w:rFonts w:ascii="Segoe UI Symbol" w:eastAsia="Calibri" w:hAnsi="Segoe UI Symbol" w:cs="Segoe UI Symbol"/>
                          <w:b/>
                          <w:iCs/>
                          <w:sz w:val="20"/>
                          <w:szCs w:val="20"/>
                          <w:lang w:eastAsia="en-US"/>
                        </w:rPr>
                        <w:t>☒</w:t>
                      </w:r>
                    </w:sdtContent>
                  </w:sdt>
                  <w:r w:rsidRPr="00076DAE">
                    <w:rPr>
                      <w:rFonts w:eastAsia="Calibri"/>
                      <w:b/>
                      <w:iCs/>
                      <w:sz w:val="20"/>
                      <w:szCs w:val="20"/>
                      <w:lang w:eastAsia="en-US"/>
                    </w:rPr>
                    <w:t xml:space="preserve"> Nie</w:t>
                  </w:r>
                </w:p>
                <w:p w14:paraId="046F8D51" w14:textId="77777777" w:rsidR="00076DAE" w:rsidRPr="00076DAE" w:rsidRDefault="00076DAE" w:rsidP="00076DAE">
                  <w:pPr>
                    <w:widowControl/>
                    <w:autoSpaceDE w:val="0"/>
                    <w:autoSpaceDN w:val="0"/>
                    <w:rPr>
                      <w:rFonts w:eastAsia="Calibri"/>
                      <w:sz w:val="20"/>
                      <w:szCs w:val="20"/>
                      <w:lang w:eastAsia="en-US"/>
                    </w:rPr>
                  </w:pPr>
                  <w:r w:rsidRPr="00076DAE">
                    <w:rPr>
                      <w:rFonts w:eastAsia="Calibri"/>
                      <w:i/>
                      <w:iCs/>
                      <w:sz w:val="20"/>
                      <w:szCs w:val="20"/>
                      <w:lang w:eastAsia="en-US"/>
                    </w:rPr>
                    <w:t xml:space="preserve">Ak áno, uveďte, ktorých vplyvov podľa bodu 9 sa </w:t>
                  </w:r>
                  <w:proofErr w:type="spellStart"/>
                  <w:r w:rsidRPr="00076DAE">
                    <w:rPr>
                      <w:rFonts w:eastAsia="Calibri"/>
                      <w:i/>
                      <w:iCs/>
                      <w:sz w:val="20"/>
                      <w:szCs w:val="20"/>
                      <w:lang w:eastAsia="en-US"/>
                    </w:rPr>
                    <w:t>goldplating</w:t>
                  </w:r>
                  <w:proofErr w:type="spellEnd"/>
                  <w:r w:rsidRPr="00076DAE">
                    <w:rPr>
                      <w:rFonts w:eastAsia="Calibri"/>
                      <w:i/>
                      <w:iCs/>
                      <w:sz w:val="20"/>
                      <w:szCs w:val="20"/>
                      <w:lang w:eastAsia="en-US"/>
                    </w:rPr>
                    <w:t xml:space="preserve"> týka: </w:t>
                  </w:r>
                </w:p>
              </w:tc>
            </w:tr>
            <w:tr w:rsidR="00076DAE" w:rsidRPr="00076DAE" w14:paraId="5CCF82BC" w14:textId="77777777" w:rsidTr="0093572E">
              <w:trPr>
                <w:trHeight w:val="296"/>
              </w:trPr>
              <w:tc>
                <w:tcPr>
                  <w:tcW w:w="8643" w:type="dxa"/>
                </w:tcPr>
                <w:p w14:paraId="2F11E6C9" w14:textId="77777777" w:rsidR="00076DAE" w:rsidRPr="00076DAE" w:rsidRDefault="00076DAE" w:rsidP="00076DAE">
                  <w:pPr>
                    <w:widowControl/>
                    <w:autoSpaceDE w:val="0"/>
                    <w:autoSpaceDN w:val="0"/>
                    <w:rPr>
                      <w:rFonts w:ascii="Segoe UI Symbol" w:eastAsia="Calibri" w:hAnsi="Segoe UI Symbol" w:cs="Segoe UI Symbol"/>
                      <w:sz w:val="20"/>
                      <w:szCs w:val="20"/>
                      <w:lang w:eastAsia="en-US"/>
                    </w:rPr>
                  </w:pPr>
                </w:p>
              </w:tc>
            </w:tr>
          </w:tbl>
          <w:p w14:paraId="1FD75EB5" w14:textId="77777777" w:rsidR="00076DAE" w:rsidRPr="00076DAE" w:rsidRDefault="00076DAE" w:rsidP="00076DAE">
            <w:pPr>
              <w:widowControl/>
              <w:adjustRightInd/>
              <w:jc w:val="both"/>
              <w:rPr>
                <w:i/>
                <w:sz w:val="20"/>
                <w:szCs w:val="20"/>
              </w:rPr>
            </w:pPr>
          </w:p>
        </w:tc>
      </w:tr>
      <w:tr w:rsidR="00076DAE" w:rsidRPr="00076DAE" w14:paraId="61F5A703" w14:textId="77777777" w:rsidTr="0093572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98582C0"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Preskúmanie účelnosti</w:t>
            </w:r>
          </w:p>
        </w:tc>
      </w:tr>
      <w:tr w:rsidR="00076DAE" w:rsidRPr="00076DAE" w14:paraId="30DED5E8" w14:textId="77777777" w:rsidTr="0093572E">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814FED3" w14:textId="77777777" w:rsidR="00076DAE" w:rsidRPr="00076DAE" w:rsidRDefault="00076DAE" w:rsidP="00076DAE">
            <w:pPr>
              <w:widowControl/>
              <w:adjustRightInd/>
              <w:rPr>
                <w:i/>
                <w:sz w:val="20"/>
                <w:szCs w:val="20"/>
              </w:rPr>
            </w:pPr>
            <w:r w:rsidRPr="00076DAE">
              <w:rPr>
                <w:i/>
                <w:sz w:val="20"/>
                <w:szCs w:val="20"/>
              </w:rPr>
              <w:t>Uveďte termín, kedy by malo dôjsť k preskúmaniu účinnosti a účelnosti predkladaného materiálu.</w:t>
            </w:r>
          </w:p>
          <w:p w14:paraId="4880AB3C" w14:textId="77777777" w:rsidR="00076DAE" w:rsidRPr="00076DAE" w:rsidRDefault="00076DAE" w:rsidP="00076DAE">
            <w:pPr>
              <w:widowControl/>
              <w:adjustRightInd/>
              <w:rPr>
                <w:i/>
                <w:sz w:val="20"/>
                <w:szCs w:val="20"/>
              </w:rPr>
            </w:pPr>
            <w:r w:rsidRPr="00076DAE">
              <w:rPr>
                <w:i/>
                <w:sz w:val="20"/>
                <w:szCs w:val="20"/>
              </w:rPr>
              <w:t>Uveďte kritériá, na základe ktorých bude preskúmanie vykonané.</w:t>
            </w:r>
          </w:p>
          <w:p w14:paraId="0B35FAB0" w14:textId="77777777" w:rsidR="00076DAE" w:rsidRPr="00076DAE" w:rsidRDefault="00076DAE" w:rsidP="00076DAE">
            <w:pPr>
              <w:widowControl/>
              <w:adjustRightInd/>
              <w:jc w:val="both"/>
              <w:rPr>
                <w:sz w:val="20"/>
                <w:szCs w:val="20"/>
              </w:rPr>
            </w:pPr>
            <w:r w:rsidRPr="00076DAE">
              <w:rPr>
                <w:rFonts w:ascii="Times" w:hAnsi="Times" w:cs="Times"/>
                <w:sz w:val="20"/>
                <w:szCs w:val="20"/>
              </w:rPr>
              <w:t>Žiadosti sa v súlade so zákonom č. 150/2013 Z. z. predkladajú v termíne od 15. januára do 30. septembra (podľa návrhu skrátenie termínu do 31. augusta) kalendárneho roka. Ú</w:t>
            </w:r>
            <w:r w:rsidRPr="00076DAE">
              <w:rPr>
                <w:sz w:val="20"/>
                <w:szCs w:val="20"/>
              </w:rPr>
              <w:t xml:space="preserve">činnosť a účelnosť predkladaného materiálu môže byť posúdená až po ukončení obdobia predkladania žiadostí, nakoľko ide o zavedenie nových účelov podpory a nie je možné vopred </w:t>
            </w:r>
            <w:proofErr w:type="spellStart"/>
            <w:r w:rsidRPr="00076DAE">
              <w:rPr>
                <w:sz w:val="20"/>
                <w:szCs w:val="20"/>
              </w:rPr>
              <w:t>predikovať</w:t>
            </w:r>
            <w:proofErr w:type="spellEnd"/>
            <w:r w:rsidRPr="00076DAE">
              <w:rPr>
                <w:sz w:val="20"/>
                <w:szCs w:val="20"/>
              </w:rPr>
              <w:t xml:space="preserve"> počet predložených žiadostí o poskytnutie podpory na účel obstaranie internátu alebo obnova internátu.</w:t>
            </w:r>
            <w:r w:rsidRPr="00076DAE">
              <w:rPr>
                <w:rFonts w:ascii="Times" w:hAnsi="Times" w:cs="Times"/>
                <w:sz w:val="20"/>
                <w:szCs w:val="20"/>
              </w:rPr>
              <w:t xml:space="preserve"> Kritériom na preskúmanie je počet predložených žiadostí.</w:t>
            </w:r>
          </w:p>
        </w:tc>
      </w:tr>
      <w:tr w:rsidR="00076DAE" w:rsidRPr="00076DAE" w14:paraId="7618EA48" w14:textId="77777777" w:rsidTr="0093572E">
        <w:tc>
          <w:tcPr>
            <w:tcW w:w="9180" w:type="dxa"/>
            <w:gridSpan w:val="11"/>
            <w:tcBorders>
              <w:top w:val="nil"/>
              <w:left w:val="nil"/>
              <w:bottom w:val="single" w:sz="4" w:space="0" w:color="auto"/>
              <w:right w:val="nil"/>
            </w:tcBorders>
            <w:shd w:val="clear" w:color="auto" w:fill="FFFFFF"/>
          </w:tcPr>
          <w:p w14:paraId="6FC0DFF3" w14:textId="77777777" w:rsidR="00076DAE" w:rsidRPr="00076DAE" w:rsidRDefault="00076DAE" w:rsidP="00076DAE">
            <w:pPr>
              <w:widowControl/>
              <w:adjustRightInd/>
              <w:ind w:left="142" w:hanging="142"/>
              <w:jc w:val="both"/>
              <w:rPr>
                <w:sz w:val="20"/>
                <w:szCs w:val="20"/>
              </w:rPr>
            </w:pPr>
            <w:r w:rsidRPr="00076DAE">
              <w:rPr>
                <w:sz w:val="20"/>
                <w:szCs w:val="20"/>
              </w:rPr>
              <w:t xml:space="preserve">* vyplniť iba v prípade, ak materiál nie je zahrnutý do Plánu práce vlády Slovenskej republiky alebo Plánu        legislatívnych úloh vlády Slovenskej republiky. </w:t>
            </w:r>
          </w:p>
          <w:p w14:paraId="555C4FBB" w14:textId="77777777" w:rsidR="00076DAE" w:rsidRPr="00076DAE" w:rsidRDefault="00076DAE" w:rsidP="00076DAE">
            <w:pPr>
              <w:widowControl/>
              <w:adjustRightInd/>
              <w:jc w:val="both"/>
              <w:rPr>
                <w:sz w:val="20"/>
                <w:szCs w:val="20"/>
              </w:rPr>
            </w:pPr>
            <w:r w:rsidRPr="00076DAE">
              <w:rPr>
                <w:sz w:val="20"/>
                <w:szCs w:val="20"/>
              </w:rPr>
              <w:t>** vyplniť iba v prípade, ak sa záverečné posúdenie vybraných vplyvov uskutočnilo v zmysle bodu 9.1. jednotnej metodiky.</w:t>
            </w:r>
          </w:p>
          <w:p w14:paraId="516BACD9" w14:textId="77777777" w:rsidR="00076DAE" w:rsidRPr="00076DAE" w:rsidRDefault="00076DAE" w:rsidP="00076DAE">
            <w:pPr>
              <w:widowControl/>
              <w:adjustRightInd/>
              <w:jc w:val="both"/>
              <w:rPr>
                <w:sz w:val="20"/>
                <w:szCs w:val="20"/>
              </w:rPr>
            </w:pPr>
            <w:r w:rsidRPr="00076DAE">
              <w:rPr>
                <w:sz w:val="20"/>
                <w:szCs w:val="20"/>
              </w:rPr>
              <w:t>*** posudzovanie sa týka len zmien v I. a II. pilieri univerzálneho systému dôchodkového zabezpečenia s identifikovaným dopadom od 0,1 % HDP (vrátane) na dlhodobom horizonte.</w:t>
            </w:r>
          </w:p>
          <w:p w14:paraId="2AD2DA99" w14:textId="77777777" w:rsidR="00076DAE" w:rsidRPr="00076DAE" w:rsidRDefault="00076DAE" w:rsidP="00076DAE">
            <w:pPr>
              <w:widowControl/>
              <w:adjustRightInd/>
              <w:jc w:val="both"/>
              <w:rPr>
                <w:b/>
                <w:sz w:val="20"/>
                <w:szCs w:val="20"/>
              </w:rPr>
            </w:pPr>
          </w:p>
        </w:tc>
      </w:tr>
      <w:tr w:rsidR="00076DAE" w:rsidRPr="00076DAE" w14:paraId="2F9990C2" w14:textId="77777777" w:rsidTr="0093572E">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34E0D008"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Vybrané vplyvy  materiálu</w:t>
            </w:r>
          </w:p>
        </w:tc>
      </w:tr>
      <w:tr w:rsidR="00076DAE" w:rsidRPr="00076DAE" w14:paraId="5F3EE0E4" w14:textId="77777777" w:rsidTr="0093572E">
        <w:tc>
          <w:tcPr>
            <w:tcW w:w="3812" w:type="dxa"/>
            <w:tcBorders>
              <w:top w:val="single" w:sz="4" w:space="0" w:color="auto"/>
              <w:left w:val="single" w:sz="4" w:space="0" w:color="auto"/>
              <w:bottom w:val="nil"/>
              <w:right w:val="single" w:sz="4" w:space="0" w:color="auto"/>
            </w:tcBorders>
            <w:shd w:val="clear" w:color="auto" w:fill="E2E2E2"/>
          </w:tcPr>
          <w:p w14:paraId="315331C0" w14:textId="77777777" w:rsidR="00076DAE" w:rsidRPr="00076DAE" w:rsidRDefault="00076DAE" w:rsidP="00076DAE">
            <w:pPr>
              <w:widowControl/>
              <w:adjustRightInd/>
              <w:rPr>
                <w:b/>
                <w:sz w:val="20"/>
                <w:szCs w:val="20"/>
              </w:rPr>
            </w:pPr>
            <w:r w:rsidRPr="00076DAE">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5FA87355"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tcPr>
          <w:p w14:paraId="5C5D62E3" w14:textId="77777777" w:rsidR="00076DAE" w:rsidRPr="00076DAE" w:rsidRDefault="00076DAE" w:rsidP="00076DAE">
            <w:pPr>
              <w:widowControl/>
              <w:adjustRightInd/>
              <w:rPr>
                <w:b/>
                <w:sz w:val="20"/>
                <w:szCs w:val="20"/>
              </w:rPr>
            </w:pPr>
            <w:r w:rsidRPr="00076DAE">
              <w:rPr>
                <w:b/>
                <w:sz w:val="20"/>
                <w:szCs w:val="20"/>
              </w:rPr>
              <w:t>Pozitívne</w:t>
            </w:r>
          </w:p>
        </w:tc>
        <w:sdt>
          <w:sdtPr>
            <w:rPr>
              <w:b/>
              <w:sz w:val="20"/>
              <w:szCs w:val="20"/>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05A78499"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14:paraId="069684CD" w14:textId="77777777" w:rsidR="00076DAE" w:rsidRPr="00076DAE" w:rsidRDefault="00076DAE" w:rsidP="00076DAE">
            <w:pPr>
              <w:widowControl/>
              <w:adjustRightInd/>
              <w:rPr>
                <w:b/>
                <w:sz w:val="20"/>
                <w:szCs w:val="20"/>
              </w:rPr>
            </w:pPr>
            <w:r w:rsidRPr="00076DAE">
              <w:rPr>
                <w:b/>
                <w:sz w:val="20"/>
                <w:szCs w:val="20"/>
              </w:rPr>
              <w:t>Žiadne</w:t>
            </w:r>
          </w:p>
        </w:tc>
        <w:sdt>
          <w:sdtPr>
            <w:rPr>
              <w:b/>
              <w:sz w:val="20"/>
              <w:szCs w:val="20"/>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57716E2F" w14:textId="77777777" w:rsidR="00076DAE" w:rsidRPr="00076DAE" w:rsidRDefault="00076DAE" w:rsidP="00076DAE">
                <w:pPr>
                  <w:widowControl/>
                  <w:adjustRightInd/>
                  <w:ind w:left="-107" w:right="-108"/>
                  <w:jc w:val="center"/>
                  <w:rPr>
                    <w:b/>
                    <w:sz w:val="20"/>
                    <w:szCs w:val="20"/>
                  </w:rPr>
                </w:pPr>
                <w:r w:rsidRPr="00076DAE">
                  <w:rPr>
                    <w:rFonts w:ascii="Segoe UI Symbol"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14:paraId="359CE661" w14:textId="77777777" w:rsidR="00076DAE" w:rsidRPr="00076DAE" w:rsidRDefault="00076DAE" w:rsidP="00076DAE">
            <w:pPr>
              <w:widowControl/>
              <w:adjustRightInd/>
              <w:ind w:left="34"/>
              <w:rPr>
                <w:b/>
                <w:sz w:val="20"/>
                <w:szCs w:val="20"/>
              </w:rPr>
            </w:pPr>
            <w:r w:rsidRPr="00076DAE">
              <w:rPr>
                <w:b/>
                <w:sz w:val="20"/>
                <w:szCs w:val="20"/>
              </w:rPr>
              <w:t>Negatívne</w:t>
            </w:r>
          </w:p>
        </w:tc>
      </w:tr>
      <w:tr w:rsidR="00076DAE" w:rsidRPr="00076DAE" w14:paraId="08D9EE96" w14:textId="77777777" w:rsidTr="0093572E">
        <w:tc>
          <w:tcPr>
            <w:tcW w:w="3812" w:type="dxa"/>
            <w:tcBorders>
              <w:top w:val="nil"/>
              <w:left w:val="single" w:sz="4" w:space="0" w:color="auto"/>
              <w:bottom w:val="nil"/>
              <w:right w:val="single" w:sz="4" w:space="0" w:color="auto"/>
            </w:tcBorders>
            <w:shd w:val="clear" w:color="auto" w:fill="E2E2E2"/>
          </w:tcPr>
          <w:p w14:paraId="0A4679E0" w14:textId="77777777" w:rsidR="00076DAE" w:rsidRPr="00076DAE" w:rsidRDefault="00076DAE" w:rsidP="00076DAE">
            <w:pPr>
              <w:widowControl/>
              <w:adjustRightInd/>
              <w:rPr>
                <w:sz w:val="20"/>
                <w:szCs w:val="20"/>
              </w:rPr>
            </w:pPr>
            <w:r w:rsidRPr="00076DAE">
              <w:rPr>
                <w:sz w:val="20"/>
                <w:szCs w:val="20"/>
              </w:rPr>
              <w:t xml:space="preserve">    z toho rozpočtovo zabezpečené vplyvy,         </w:t>
            </w:r>
          </w:p>
          <w:p w14:paraId="4CBE4131" w14:textId="77777777" w:rsidR="00076DAE" w:rsidRPr="00076DAE" w:rsidRDefault="00076DAE" w:rsidP="00076DAE">
            <w:pPr>
              <w:widowControl/>
              <w:adjustRightInd/>
              <w:rPr>
                <w:sz w:val="20"/>
                <w:szCs w:val="20"/>
              </w:rPr>
            </w:pPr>
            <w:r w:rsidRPr="00076DAE">
              <w:rPr>
                <w:sz w:val="20"/>
                <w:szCs w:val="20"/>
              </w:rPr>
              <w:t xml:space="preserve">    v prípade identifikovaného negatívneho </w:t>
            </w:r>
          </w:p>
          <w:p w14:paraId="39D7E532" w14:textId="77777777" w:rsidR="00076DAE" w:rsidRPr="00076DAE" w:rsidRDefault="00076DAE" w:rsidP="00076DAE">
            <w:pPr>
              <w:widowControl/>
              <w:adjustRightInd/>
              <w:rPr>
                <w:sz w:val="20"/>
                <w:szCs w:val="20"/>
              </w:rPr>
            </w:pPr>
            <w:r w:rsidRPr="00076DAE">
              <w:rPr>
                <w:sz w:val="20"/>
                <w:szCs w:val="20"/>
              </w:rPr>
              <w:t xml:space="preserve">    vplyvu</w:t>
            </w:r>
          </w:p>
        </w:tc>
        <w:sdt>
          <w:sdtPr>
            <w:rPr>
              <w:sz w:val="20"/>
              <w:szCs w:val="20"/>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2A807453"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1CFB60BB" w14:textId="77777777" w:rsidR="00076DAE" w:rsidRPr="00076DAE" w:rsidRDefault="00076DAE" w:rsidP="00076DAE">
            <w:pPr>
              <w:widowControl/>
              <w:adjustRightInd/>
              <w:rPr>
                <w:sz w:val="20"/>
                <w:szCs w:val="20"/>
              </w:rPr>
            </w:pPr>
            <w:r w:rsidRPr="00076DAE">
              <w:rPr>
                <w:sz w:val="20"/>
                <w:szCs w:val="20"/>
              </w:rPr>
              <w:t>Áno</w:t>
            </w:r>
          </w:p>
        </w:tc>
        <w:sdt>
          <w:sdtPr>
            <w:rPr>
              <w:sz w:val="20"/>
              <w:szCs w:val="20"/>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72BAB1D5"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7F4538A7" w14:textId="77777777" w:rsidR="00076DAE" w:rsidRPr="00076DAE" w:rsidRDefault="00076DAE" w:rsidP="00076DAE">
            <w:pPr>
              <w:widowControl/>
              <w:adjustRightInd/>
              <w:rPr>
                <w:sz w:val="20"/>
                <w:szCs w:val="20"/>
              </w:rPr>
            </w:pPr>
            <w:r w:rsidRPr="00076DAE">
              <w:rPr>
                <w:sz w:val="20"/>
                <w:szCs w:val="20"/>
              </w:rPr>
              <w:t>Nie</w:t>
            </w:r>
          </w:p>
        </w:tc>
        <w:sdt>
          <w:sdtPr>
            <w:rPr>
              <w:sz w:val="20"/>
              <w:szCs w:val="20"/>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1D9B5DAD" w14:textId="77777777" w:rsidR="00076DAE" w:rsidRPr="00076DAE" w:rsidRDefault="00076DAE" w:rsidP="00076DAE">
                <w:pPr>
                  <w:widowControl/>
                  <w:adjustRightInd/>
                  <w:ind w:left="-107" w:right="-108"/>
                  <w:jc w:val="center"/>
                  <w:rPr>
                    <w:sz w:val="20"/>
                    <w:szCs w:val="20"/>
                  </w:rPr>
                </w:pPr>
                <w:r w:rsidRPr="00076DAE">
                  <w:rPr>
                    <w:rFonts w:ascii="Segoe UI Symbol"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6C6564D3" w14:textId="77777777" w:rsidR="00076DAE" w:rsidRPr="00076DAE" w:rsidRDefault="00076DAE" w:rsidP="00076DAE">
            <w:pPr>
              <w:widowControl/>
              <w:adjustRightInd/>
              <w:ind w:left="34"/>
              <w:rPr>
                <w:sz w:val="20"/>
                <w:szCs w:val="20"/>
              </w:rPr>
            </w:pPr>
            <w:r w:rsidRPr="00076DAE">
              <w:rPr>
                <w:sz w:val="20"/>
                <w:szCs w:val="20"/>
              </w:rPr>
              <w:t>Čiastočne</w:t>
            </w:r>
          </w:p>
        </w:tc>
      </w:tr>
      <w:tr w:rsidR="00076DAE" w:rsidRPr="00076DAE" w14:paraId="0098779B" w14:textId="77777777" w:rsidTr="0093572E">
        <w:tc>
          <w:tcPr>
            <w:tcW w:w="3812" w:type="dxa"/>
            <w:tcBorders>
              <w:top w:val="nil"/>
              <w:left w:val="single" w:sz="4" w:space="0" w:color="auto"/>
              <w:bottom w:val="nil"/>
              <w:right w:val="single" w:sz="4" w:space="0" w:color="auto"/>
            </w:tcBorders>
            <w:shd w:val="clear" w:color="auto" w:fill="E2E2E2"/>
          </w:tcPr>
          <w:p w14:paraId="2BA2B4C1" w14:textId="77777777" w:rsidR="00076DAE" w:rsidRPr="00076DAE" w:rsidRDefault="00076DAE" w:rsidP="00076DAE">
            <w:pPr>
              <w:widowControl/>
              <w:adjustRightInd/>
              <w:rPr>
                <w:b/>
                <w:sz w:val="20"/>
                <w:szCs w:val="20"/>
              </w:rPr>
            </w:pPr>
            <w:r w:rsidRPr="00076DAE">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1BFD15CD"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tcPr>
          <w:p w14:paraId="573A0A1A" w14:textId="77777777" w:rsidR="00076DAE" w:rsidRPr="00076DAE" w:rsidRDefault="00076DAE" w:rsidP="00076DAE">
            <w:pPr>
              <w:widowControl/>
              <w:adjustRightInd/>
              <w:rPr>
                <w:b/>
                <w:sz w:val="20"/>
                <w:szCs w:val="20"/>
              </w:rPr>
            </w:pPr>
            <w:r w:rsidRPr="00076DAE">
              <w:rPr>
                <w:b/>
                <w:sz w:val="20"/>
                <w:szCs w:val="20"/>
              </w:rPr>
              <w:t>Pozitívne</w:t>
            </w:r>
          </w:p>
        </w:tc>
        <w:sdt>
          <w:sdtPr>
            <w:rPr>
              <w:b/>
              <w:sz w:val="20"/>
              <w:szCs w:val="20"/>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68A25CDD"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14:paraId="37D166D3" w14:textId="77777777" w:rsidR="00076DAE" w:rsidRPr="00076DAE" w:rsidRDefault="00076DAE" w:rsidP="00076DAE">
            <w:pPr>
              <w:widowControl/>
              <w:adjustRightInd/>
              <w:rPr>
                <w:b/>
                <w:sz w:val="20"/>
                <w:szCs w:val="20"/>
              </w:rPr>
            </w:pPr>
            <w:r w:rsidRPr="00076DAE">
              <w:rPr>
                <w:b/>
                <w:sz w:val="20"/>
                <w:szCs w:val="20"/>
              </w:rPr>
              <w:t>Žiadne</w:t>
            </w:r>
          </w:p>
        </w:tc>
        <w:sdt>
          <w:sdtPr>
            <w:rPr>
              <w:b/>
              <w:sz w:val="20"/>
              <w:szCs w:val="20"/>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77626CA3" w14:textId="77777777" w:rsidR="00076DAE" w:rsidRPr="00076DAE" w:rsidRDefault="00076DAE" w:rsidP="00076DAE">
                <w:pPr>
                  <w:widowControl/>
                  <w:adjustRightInd/>
                  <w:ind w:left="-107" w:right="-108"/>
                  <w:jc w:val="center"/>
                  <w:rPr>
                    <w:b/>
                    <w:sz w:val="20"/>
                    <w:szCs w:val="20"/>
                  </w:rPr>
                </w:pPr>
                <w:r w:rsidRPr="00076DAE">
                  <w:rPr>
                    <w:rFonts w:ascii="Segoe UI Symbol"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14:paraId="15EEAE11" w14:textId="77777777" w:rsidR="00076DAE" w:rsidRPr="00076DAE" w:rsidRDefault="00076DAE" w:rsidP="00076DAE">
            <w:pPr>
              <w:widowControl/>
              <w:adjustRightInd/>
              <w:ind w:left="34"/>
              <w:rPr>
                <w:b/>
                <w:sz w:val="20"/>
                <w:szCs w:val="20"/>
              </w:rPr>
            </w:pPr>
            <w:r w:rsidRPr="00076DAE">
              <w:rPr>
                <w:b/>
                <w:sz w:val="20"/>
                <w:szCs w:val="20"/>
              </w:rPr>
              <w:t>Negatívne</w:t>
            </w:r>
          </w:p>
        </w:tc>
      </w:tr>
      <w:tr w:rsidR="00076DAE" w:rsidRPr="00076DAE" w14:paraId="22BB0B86" w14:textId="77777777" w:rsidTr="0093572E">
        <w:tc>
          <w:tcPr>
            <w:tcW w:w="3812" w:type="dxa"/>
            <w:tcBorders>
              <w:top w:val="nil"/>
              <w:left w:val="single" w:sz="4" w:space="0" w:color="auto"/>
              <w:bottom w:val="single" w:sz="4" w:space="0" w:color="auto"/>
              <w:right w:val="single" w:sz="4" w:space="0" w:color="auto"/>
            </w:tcBorders>
            <w:shd w:val="clear" w:color="auto" w:fill="E2E2E2"/>
          </w:tcPr>
          <w:p w14:paraId="743115F9" w14:textId="77777777" w:rsidR="00076DAE" w:rsidRPr="00076DAE" w:rsidRDefault="00076DAE" w:rsidP="00076DAE">
            <w:pPr>
              <w:widowControl/>
              <w:adjustRightInd/>
              <w:ind w:left="171"/>
              <w:rPr>
                <w:sz w:val="20"/>
                <w:szCs w:val="20"/>
              </w:rPr>
            </w:pPr>
            <w:r w:rsidRPr="00076DAE">
              <w:rPr>
                <w:sz w:val="20"/>
                <w:szCs w:val="20"/>
              </w:rPr>
              <w:t>z toho rozpočtovo zabezpečené vplyvy,</w:t>
            </w:r>
          </w:p>
          <w:p w14:paraId="1A24F928" w14:textId="77777777" w:rsidR="00076DAE" w:rsidRPr="00076DAE" w:rsidRDefault="00076DAE" w:rsidP="00076DAE">
            <w:pPr>
              <w:widowControl/>
              <w:adjustRightInd/>
              <w:ind w:left="171"/>
              <w:rPr>
                <w:sz w:val="20"/>
                <w:szCs w:val="20"/>
              </w:rPr>
            </w:pPr>
            <w:r w:rsidRPr="00076DAE">
              <w:rPr>
                <w:sz w:val="20"/>
                <w:szCs w:val="20"/>
              </w:rPr>
              <w:t>v prípade identifikovaného negatívneho vplyvu</w:t>
            </w:r>
          </w:p>
        </w:tc>
        <w:sdt>
          <w:sdtPr>
            <w:rPr>
              <w:sz w:val="20"/>
              <w:szCs w:val="20"/>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177730C0"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5295F896" w14:textId="77777777" w:rsidR="00076DAE" w:rsidRPr="00076DAE" w:rsidRDefault="00076DAE" w:rsidP="00076DAE">
            <w:pPr>
              <w:widowControl/>
              <w:adjustRightInd/>
              <w:rPr>
                <w:sz w:val="20"/>
                <w:szCs w:val="20"/>
              </w:rPr>
            </w:pPr>
            <w:r w:rsidRPr="00076DAE">
              <w:rPr>
                <w:sz w:val="20"/>
                <w:szCs w:val="20"/>
              </w:rPr>
              <w:t>Áno</w:t>
            </w:r>
          </w:p>
        </w:tc>
        <w:sdt>
          <w:sdtPr>
            <w:rPr>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5E6E6D3B"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1133" w:type="dxa"/>
            <w:tcBorders>
              <w:top w:val="dotted" w:sz="4" w:space="0" w:color="auto"/>
              <w:left w:val="nil"/>
              <w:bottom w:val="single" w:sz="4" w:space="0" w:color="auto"/>
              <w:right w:val="nil"/>
            </w:tcBorders>
            <w:vAlign w:val="center"/>
          </w:tcPr>
          <w:p w14:paraId="4D614900" w14:textId="77777777" w:rsidR="00076DAE" w:rsidRPr="00076DAE" w:rsidRDefault="00076DAE" w:rsidP="00076DAE">
            <w:pPr>
              <w:widowControl/>
              <w:adjustRightInd/>
              <w:rPr>
                <w:sz w:val="20"/>
                <w:szCs w:val="20"/>
              </w:rPr>
            </w:pPr>
            <w:r w:rsidRPr="00076DAE">
              <w:rPr>
                <w:sz w:val="20"/>
                <w:szCs w:val="20"/>
              </w:rPr>
              <w:t>Nie</w:t>
            </w:r>
          </w:p>
        </w:tc>
        <w:sdt>
          <w:sdtPr>
            <w:rPr>
              <w:sz w:val="20"/>
              <w:szCs w:val="20"/>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283A534D" w14:textId="77777777" w:rsidR="00076DAE" w:rsidRPr="00076DAE" w:rsidRDefault="00076DAE" w:rsidP="00076DAE">
                <w:pPr>
                  <w:widowControl/>
                  <w:adjustRightInd/>
                  <w:ind w:left="-107" w:right="-108"/>
                  <w:jc w:val="center"/>
                  <w:rPr>
                    <w:sz w:val="20"/>
                    <w:szCs w:val="20"/>
                  </w:rPr>
                </w:pPr>
                <w:r w:rsidRPr="00076DAE">
                  <w:rPr>
                    <w:rFonts w:ascii="Segoe UI Symbol"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609A83B1" w14:textId="77777777" w:rsidR="00076DAE" w:rsidRPr="00076DAE" w:rsidRDefault="00076DAE" w:rsidP="00076DAE">
            <w:pPr>
              <w:widowControl/>
              <w:adjustRightInd/>
              <w:ind w:left="34"/>
              <w:rPr>
                <w:sz w:val="20"/>
                <w:szCs w:val="20"/>
              </w:rPr>
            </w:pPr>
            <w:r w:rsidRPr="00076DAE">
              <w:rPr>
                <w:sz w:val="20"/>
                <w:szCs w:val="20"/>
              </w:rPr>
              <w:t>Čiastočne</w:t>
            </w:r>
          </w:p>
        </w:tc>
      </w:tr>
      <w:tr w:rsidR="00076DAE" w:rsidRPr="00076DAE" w14:paraId="78C4FDFA" w14:textId="77777777" w:rsidTr="0093572E">
        <w:tc>
          <w:tcPr>
            <w:tcW w:w="3812" w:type="dxa"/>
            <w:tcBorders>
              <w:top w:val="single" w:sz="4" w:space="0" w:color="auto"/>
              <w:left w:val="single" w:sz="4" w:space="0" w:color="auto"/>
              <w:bottom w:val="single" w:sz="4" w:space="0" w:color="auto"/>
              <w:right w:val="single" w:sz="4" w:space="0" w:color="auto"/>
            </w:tcBorders>
            <w:shd w:val="clear" w:color="auto" w:fill="E2E2E2"/>
          </w:tcPr>
          <w:p w14:paraId="7CB5CE92" w14:textId="77777777" w:rsidR="00076DAE" w:rsidRPr="00076DAE" w:rsidRDefault="00076DAE" w:rsidP="00076DAE">
            <w:pPr>
              <w:widowControl/>
              <w:adjustRightInd/>
              <w:ind w:left="171"/>
              <w:rPr>
                <w:sz w:val="20"/>
                <w:szCs w:val="20"/>
              </w:rPr>
            </w:pPr>
            <w:r w:rsidRPr="00076DAE">
              <w:rPr>
                <w:sz w:val="20"/>
                <w:szCs w:val="20"/>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65C2AE66"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78A96687" w14:textId="77777777" w:rsidR="00076DAE" w:rsidRPr="00076DAE" w:rsidRDefault="00076DAE" w:rsidP="00076DAE">
            <w:pPr>
              <w:widowControl/>
              <w:adjustRightInd/>
              <w:rPr>
                <w:sz w:val="20"/>
                <w:szCs w:val="20"/>
              </w:rPr>
            </w:pPr>
            <w:r w:rsidRPr="00076DAE">
              <w:rPr>
                <w:sz w:val="20"/>
                <w:szCs w:val="20"/>
              </w:rPr>
              <w:t>Áno</w:t>
            </w:r>
          </w:p>
        </w:tc>
        <w:tc>
          <w:tcPr>
            <w:tcW w:w="538" w:type="dxa"/>
            <w:gridSpan w:val="2"/>
            <w:tcBorders>
              <w:top w:val="single" w:sz="4" w:space="0" w:color="auto"/>
              <w:left w:val="nil"/>
              <w:bottom w:val="single" w:sz="4" w:space="0" w:color="auto"/>
              <w:right w:val="nil"/>
            </w:tcBorders>
            <w:vAlign w:val="center"/>
          </w:tcPr>
          <w:p w14:paraId="15CF4354" w14:textId="77777777" w:rsidR="00076DAE" w:rsidRPr="00076DAE" w:rsidRDefault="00076DAE" w:rsidP="00076DAE">
            <w:pPr>
              <w:widowControl/>
              <w:adjustRightInd/>
              <w:jc w:val="center"/>
              <w:rPr>
                <w:sz w:val="20"/>
                <w:szCs w:val="20"/>
              </w:rPr>
            </w:pPr>
          </w:p>
        </w:tc>
        <w:tc>
          <w:tcPr>
            <w:tcW w:w="1133" w:type="dxa"/>
            <w:tcBorders>
              <w:top w:val="single" w:sz="4" w:space="0" w:color="auto"/>
              <w:left w:val="nil"/>
              <w:bottom w:val="single" w:sz="4" w:space="0" w:color="auto"/>
              <w:right w:val="nil"/>
            </w:tcBorders>
            <w:vAlign w:val="center"/>
          </w:tcPr>
          <w:p w14:paraId="4B56B1C6" w14:textId="77777777" w:rsidR="00076DAE" w:rsidRPr="00076DAE" w:rsidRDefault="00076DAE" w:rsidP="00076DAE">
            <w:pPr>
              <w:widowControl/>
              <w:adjustRightInd/>
              <w:rPr>
                <w:sz w:val="20"/>
                <w:szCs w:val="20"/>
              </w:rPr>
            </w:pPr>
          </w:p>
        </w:tc>
        <w:sdt>
          <w:sdtPr>
            <w:rPr>
              <w:sz w:val="20"/>
              <w:szCs w:val="20"/>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57EEE4FA" w14:textId="77777777" w:rsidR="00076DAE" w:rsidRPr="00076DAE" w:rsidRDefault="00076DAE" w:rsidP="00076DAE">
                <w:pPr>
                  <w:widowControl/>
                  <w:adjustRightInd/>
                  <w:ind w:left="-107" w:right="-108"/>
                  <w:jc w:val="center"/>
                  <w:rPr>
                    <w:sz w:val="20"/>
                    <w:szCs w:val="20"/>
                  </w:rPr>
                </w:pPr>
                <w:r w:rsidRPr="00076DAE">
                  <w:rPr>
                    <w:rFonts w:ascii="Segoe UI Symbol"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02D321D1" w14:textId="77777777" w:rsidR="00076DAE" w:rsidRPr="00076DAE" w:rsidRDefault="00076DAE" w:rsidP="00076DAE">
            <w:pPr>
              <w:widowControl/>
              <w:adjustRightInd/>
              <w:ind w:left="34"/>
              <w:rPr>
                <w:sz w:val="20"/>
                <w:szCs w:val="20"/>
              </w:rPr>
            </w:pPr>
            <w:r w:rsidRPr="00076DAE">
              <w:rPr>
                <w:sz w:val="20"/>
                <w:szCs w:val="20"/>
              </w:rPr>
              <w:t>Nie</w:t>
            </w:r>
          </w:p>
        </w:tc>
      </w:tr>
      <w:tr w:rsidR="00076DAE" w:rsidRPr="00076DAE" w14:paraId="6740A88C" w14:textId="77777777" w:rsidTr="0093572E">
        <w:tc>
          <w:tcPr>
            <w:tcW w:w="3812" w:type="dxa"/>
            <w:tcBorders>
              <w:top w:val="single" w:sz="4" w:space="0" w:color="auto"/>
              <w:left w:val="single" w:sz="4" w:space="0" w:color="auto"/>
              <w:bottom w:val="single" w:sz="4" w:space="0" w:color="auto"/>
              <w:right w:val="single" w:sz="4" w:space="0" w:color="auto"/>
            </w:tcBorders>
            <w:shd w:val="clear" w:color="auto" w:fill="E2E2E2"/>
          </w:tcPr>
          <w:p w14:paraId="385062B9" w14:textId="77777777" w:rsidR="00076DAE" w:rsidRPr="00076DAE" w:rsidRDefault="00076DAE" w:rsidP="00076DAE">
            <w:pPr>
              <w:widowControl/>
              <w:adjustRightInd/>
              <w:rPr>
                <w:b/>
                <w:sz w:val="20"/>
                <w:szCs w:val="20"/>
              </w:rPr>
            </w:pPr>
            <w:r w:rsidRPr="00076DAE">
              <w:rPr>
                <w:b/>
                <w:sz w:val="20"/>
                <w:szCs w:val="20"/>
              </w:rPr>
              <w:t>Vplyvy na limit verejných výdavkov</w:t>
            </w:r>
          </w:p>
        </w:tc>
        <w:sdt>
          <w:sdtPr>
            <w:rPr>
              <w:b/>
              <w:sz w:val="20"/>
              <w:szCs w:val="20"/>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7EE82A32" w14:textId="77777777" w:rsidR="00076DAE" w:rsidRPr="00076DAE" w:rsidRDefault="00076DAE" w:rsidP="00076DAE">
                <w:pPr>
                  <w:widowControl/>
                  <w:adjustRightInd/>
                  <w:jc w:val="center"/>
                  <w:rPr>
                    <w:sz w:val="20"/>
                    <w:szCs w:val="20"/>
                  </w:rPr>
                </w:pPr>
                <w:r w:rsidRPr="00076DAE">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2BA7BBF2" w14:textId="77777777" w:rsidR="00076DAE" w:rsidRPr="00076DAE" w:rsidRDefault="00076DAE" w:rsidP="00076DAE">
            <w:pPr>
              <w:widowControl/>
              <w:adjustRightInd/>
              <w:rPr>
                <w:sz w:val="20"/>
                <w:szCs w:val="20"/>
              </w:rPr>
            </w:pPr>
            <w:r w:rsidRPr="00076DAE">
              <w:rPr>
                <w:b/>
                <w:sz w:val="20"/>
                <w:szCs w:val="20"/>
              </w:rPr>
              <w:t>Pozitívne</w:t>
            </w:r>
          </w:p>
        </w:tc>
        <w:sdt>
          <w:sdtPr>
            <w:rPr>
              <w:b/>
              <w:sz w:val="20"/>
              <w:szCs w:val="20"/>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5CE20F73" w14:textId="77777777" w:rsidR="00076DAE" w:rsidRPr="00076DAE" w:rsidRDefault="00076DAE" w:rsidP="00076DAE">
                <w:pPr>
                  <w:widowControl/>
                  <w:adjustRightInd/>
                  <w:jc w:val="center"/>
                  <w:rPr>
                    <w:sz w:val="20"/>
                    <w:szCs w:val="20"/>
                  </w:rPr>
                </w:pPr>
                <w:r w:rsidRPr="00076DAE">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67779521" w14:textId="77777777" w:rsidR="00076DAE" w:rsidRPr="00076DAE" w:rsidRDefault="00076DAE" w:rsidP="00076DAE">
            <w:pPr>
              <w:widowControl/>
              <w:adjustRightInd/>
              <w:rPr>
                <w:sz w:val="20"/>
                <w:szCs w:val="20"/>
              </w:rPr>
            </w:pPr>
            <w:r w:rsidRPr="00076DAE">
              <w:rPr>
                <w:b/>
                <w:sz w:val="20"/>
                <w:szCs w:val="20"/>
              </w:rPr>
              <w:t>Žiadne</w:t>
            </w:r>
          </w:p>
        </w:tc>
        <w:sdt>
          <w:sdtPr>
            <w:rPr>
              <w:b/>
              <w:sz w:val="20"/>
              <w:szCs w:val="20"/>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71A0F178" w14:textId="77777777" w:rsidR="00076DAE" w:rsidRPr="00076DAE" w:rsidRDefault="00076DAE" w:rsidP="00076DAE">
                <w:pPr>
                  <w:widowControl/>
                  <w:adjustRightInd/>
                  <w:ind w:left="-107" w:right="-108"/>
                  <w:jc w:val="center"/>
                  <w:rPr>
                    <w:sz w:val="20"/>
                    <w:szCs w:val="20"/>
                  </w:rPr>
                </w:pPr>
                <w:r w:rsidRPr="00076DA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465C8AAB" w14:textId="77777777" w:rsidR="00076DAE" w:rsidRPr="00076DAE" w:rsidRDefault="00076DAE" w:rsidP="00076DAE">
            <w:pPr>
              <w:widowControl/>
              <w:adjustRightInd/>
              <w:ind w:left="34"/>
              <w:rPr>
                <w:sz w:val="20"/>
                <w:szCs w:val="20"/>
              </w:rPr>
            </w:pPr>
            <w:r w:rsidRPr="00076DAE">
              <w:rPr>
                <w:b/>
                <w:sz w:val="20"/>
                <w:szCs w:val="20"/>
              </w:rPr>
              <w:t>Negatívne</w:t>
            </w:r>
          </w:p>
        </w:tc>
      </w:tr>
      <w:tr w:rsidR="00076DAE" w:rsidRPr="00076DAE" w14:paraId="60C1382B" w14:textId="77777777" w:rsidTr="0093572E">
        <w:tc>
          <w:tcPr>
            <w:tcW w:w="3812" w:type="dxa"/>
            <w:tcBorders>
              <w:top w:val="single" w:sz="4" w:space="0" w:color="auto"/>
              <w:left w:val="single" w:sz="4" w:space="0" w:color="auto"/>
              <w:bottom w:val="nil"/>
              <w:right w:val="single" w:sz="4" w:space="0" w:color="auto"/>
            </w:tcBorders>
            <w:shd w:val="clear" w:color="auto" w:fill="E2E2E2"/>
          </w:tcPr>
          <w:p w14:paraId="368EE850" w14:textId="77777777" w:rsidR="00076DAE" w:rsidRPr="00076DAE" w:rsidRDefault="00076DAE" w:rsidP="00076DAE">
            <w:pPr>
              <w:widowControl/>
              <w:adjustRightInd/>
              <w:rPr>
                <w:b/>
                <w:sz w:val="20"/>
                <w:szCs w:val="20"/>
              </w:rPr>
            </w:pPr>
            <w:r w:rsidRPr="00076DAE">
              <w:rPr>
                <w:b/>
                <w:sz w:val="20"/>
                <w:szCs w:val="20"/>
              </w:rPr>
              <w:t>Vplyvy na podnikateľské prostredie</w:t>
            </w:r>
          </w:p>
        </w:tc>
        <w:sdt>
          <w:sdtPr>
            <w:rPr>
              <w:b/>
              <w:sz w:val="20"/>
              <w:szCs w:val="20"/>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23731CA8"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121F1979" w14:textId="77777777" w:rsidR="00076DAE" w:rsidRPr="00076DAE" w:rsidRDefault="00076DAE" w:rsidP="00076DAE">
            <w:pPr>
              <w:widowControl/>
              <w:adjustRightInd/>
              <w:ind w:right="-108"/>
              <w:rPr>
                <w:b/>
                <w:sz w:val="20"/>
                <w:szCs w:val="20"/>
              </w:rPr>
            </w:pPr>
            <w:r w:rsidRPr="00076DAE">
              <w:rPr>
                <w:b/>
                <w:sz w:val="20"/>
                <w:szCs w:val="20"/>
              </w:rPr>
              <w:t>Pozitívne</w:t>
            </w:r>
          </w:p>
        </w:tc>
        <w:sdt>
          <w:sdtPr>
            <w:rPr>
              <w:b/>
              <w:sz w:val="20"/>
              <w:szCs w:val="20"/>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4E20F286"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14:paraId="6104E807" w14:textId="77777777" w:rsidR="00076DAE" w:rsidRPr="00076DAE" w:rsidRDefault="00076DAE" w:rsidP="00076DAE">
            <w:pPr>
              <w:widowControl/>
              <w:adjustRightInd/>
              <w:rPr>
                <w:b/>
                <w:sz w:val="20"/>
                <w:szCs w:val="20"/>
              </w:rPr>
            </w:pPr>
            <w:r w:rsidRPr="00076DAE">
              <w:rPr>
                <w:b/>
                <w:sz w:val="20"/>
                <w:szCs w:val="20"/>
              </w:rPr>
              <w:t>Žiadne</w:t>
            </w:r>
          </w:p>
        </w:tc>
        <w:sdt>
          <w:sdtPr>
            <w:rPr>
              <w:b/>
              <w:sz w:val="20"/>
              <w:szCs w:val="20"/>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14463D39"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65A75DAA" w14:textId="77777777" w:rsidR="00076DAE" w:rsidRPr="00076DAE" w:rsidRDefault="00076DAE" w:rsidP="00076DAE">
            <w:pPr>
              <w:widowControl/>
              <w:adjustRightInd/>
              <w:ind w:left="54"/>
              <w:rPr>
                <w:b/>
                <w:sz w:val="20"/>
                <w:szCs w:val="20"/>
              </w:rPr>
            </w:pPr>
            <w:r w:rsidRPr="00076DAE">
              <w:rPr>
                <w:b/>
                <w:sz w:val="20"/>
                <w:szCs w:val="20"/>
              </w:rPr>
              <w:t>Negatívne</w:t>
            </w:r>
          </w:p>
        </w:tc>
      </w:tr>
      <w:tr w:rsidR="00076DAE" w:rsidRPr="00076DAE" w14:paraId="5AC1D27D" w14:textId="77777777" w:rsidTr="0093572E">
        <w:tc>
          <w:tcPr>
            <w:tcW w:w="3812" w:type="dxa"/>
            <w:tcBorders>
              <w:top w:val="nil"/>
              <w:left w:val="single" w:sz="4" w:space="0" w:color="000000"/>
              <w:bottom w:val="nil"/>
              <w:right w:val="single" w:sz="4" w:space="0" w:color="000000"/>
            </w:tcBorders>
            <w:shd w:val="clear" w:color="auto" w:fill="E2E2E2"/>
          </w:tcPr>
          <w:p w14:paraId="6F94BBA9" w14:textId="77777777" w:rsidR="00076DAE" w:rsidRPr="00076DAE" w:rsidRDefault="00076DAE" w:rsidP="00076DAE">
            <w:pPr>
              <w:widowControl/>
              <w:adjustRightInd/>
              <w:rPr>
                <w:sz w:val="20"/>
                <w:szCs w:val="20"/>
              </w:rPr>
            </w:pPr>
            <w:r w:rsidRPr="00076DAE">
              <w:rPr>
                <w:sz w:val="20"/>
                <w:szCs w:val="20"/>
              </w:rPr>
              <w:t xml:space="preserve">    z toho vplyvy na MSP</w:t>
            </w:r>
          </w:p>
          <w:p w14:paraId="37F02DC5" w14:textId="77777777" w:rsidR="00076DAE" w:rsidRPr="00076DAE" w:rsidRDefault="00076DAE" w:rsidP="00076DAE">
            <w:pPr>
              <w:widowControl/>
              <w:adjustRightInd/>
              <w:rPr>
                <w:sz w:val="20"/>
                <w:szCs w:val="20"/>
              </w:rPr>
            </w:pPr>
          </w:p>
        </w:tc>
        <w:sdt>
          <w:sdtPr>
            <w:rPr>
              <w:sz w:val="20"/>
              <w:szCs w:val="20"/>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14189D49"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0F56AE46" w14:textId="77777777" w:rsidR="00076DAE" w:rsidRPr="00076DAE" w:rsidRDefault="00076DAE" w:rsidP="00076DAE">
            <w:pPr>
              <w:widowControl/>
              <w:adjustRightInd/>
              <w:ind w:right="-108"/>
              <w:rPr>
                <w:sz w:val="20"/>
                <w:szCs w:val="20"/>
              </w:rPr>
            </w:pPr>
            <w:r w:rsidRPr="00076DAE">
              <w:rPr>
                <w:sz w:val="20"/>
                <w:szCs w:val="20"/>
              </w:rPr>
              <w:t>Pozitívne</w:t>
            </w:r>
          </w:p>
        </w:tc>
        <w:sdt>
          <w:sdtPr>
            <w:rPr>
              <w:sz w:val="20"/>
              <w:szCs w:val="20"/>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0B68621D"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3E88AC3B" w14:textId="77777777" w:rsidR="00076DAE" w:rsidRPr="00076DAE" w:rsidRDefault="00076DAE" w:rsidP="00076DAE">
            <w:pPr>
              <w:widowControl/>
              <w:adjustRightInd/>
              <w:rPr>
                <w:sz w:val="20"/>
                <w:szCs w:val="20"/>
              </w:rPr>
            </w:pPr>
            <w:r w:rsidRPr="00076DAE">
              <w:rPr>
                <w:sz w:val="20"/>
                <w:szCs w:val="20"/>
              </w:rPr>
              <w:t>Žiadne</w:t>
            </w:r>
          </w:p>
        </w:tc>
        <w:sdt>
          <w:sdtPr>
            <w:rPr>
              <w:sz w:val="20"/>
              <w:szCs w:val="20"/>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1C442808" w14:textId="77777777" w:rsidR="00076DAE" w:rsidRPr="00076DAE" w:rsidRDefault="00076DAE" w:rsidP="00076DAE">
                <w:pPr>
                  <w:widowControl/>
                  <w:adjustRightInd/>
                  <w:jc w:val="center"/>
                  <w:rPr>
                    <w:sz w:val="20"/>
                    <w:szCs w:val="20"/>
                  </w:rPr>
                </w:pPr>
                <w:r w:rsidRPr="00076DAE">
                  <w:rPr>
                    <w:rFonts w:ascii="Segoe UI Symbol"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7DC07127" w14:textId="77777777" w:rsidR="00076DAE" w:rsidRPr="00076DAE" w:rsidRDefault="00076DAE" w:rsidP="00076DAE">
            <w:pPr>
              <w:widowControl/>
              <w:adjustRightInd/>
              <w:ind w:left="54"/>
              <w:rPr>
                <w:sz w:val="20"/>
                <w:szCs w:val="20"/>
              </w:rPr>
            </w:pPr>
            <w:r w:rsidRPr="00076DAE">
              <w:rPr>
                <w:sz w:val="20"/>
                <w:szCs w:val="20"/>
              </w:rPr>
              <w:t>Negatívne</w:t>
            </w:r>
          </w:p>
        </w:tc>
      </w:tr>
      <w:tr w:rsidR="00076DAE" w:rsidRPr="00076DAE" w14:paraId="779CAA42" w14:textId="77777777" w:rsidTr="0093572E">
        <w:tc>
          <w:tcPr>
            <w:tcW w:w="3812" w:type="dxa"/>
            <w:tcBorders>
              <w:top w:val="nil"/>
              <w:left w:val="single" w:sz="4" w:space="0" w:color="auto"/>
              <w:bottom w:val="single" w:sz="4" w:space="0" w:color="auto"/>
              <w:right w:val="single" w:sz="4" w:space="0" w:color="auto"/>
            </w:tcBorders>
            <w:shd w:val="clear" w:color="auto" w:fill="E2E2E2"/>
          </w:tcPr>
          <w:p w14:paraId="58B4DFD9" w14:textId="77777777" w:rsidR="00076DAE" w:rsidRPr="00076DAE" w:rsidRDefault="00076DAE" w:rsidP="00076DAE">
            <w:pPr>
              <w:widowControl/>
              <w:adjustRightInd/>
              <w:rPr>
                <w:sz w:val="20"/>
                <w:szCs w:val="20"/>
              </w:rPr>
            </w:pPr>
            <w:r w:rsidRPr="00076DAE">
              <w:rPr>
                <w:sz w:val="20"/>
                <w:szCs w:val="20"/>
              </w:rPr>
              <w:t xml:space="preserve">    Mechanizmus znižovania byrokracie    </w:t>
            </w:r>
          </w:p>
          <w:p w14:paraId="2DFC6AE3" w14:textId="77777777" w:rsidR="00076DAE" w:rsidRPr="00076DAE" w:rsidRDefault="00076DAE" w:rsidP="00076DAE">
            <w:pPr>
              <w:widowControl/>
              <w:adjustRightInd/>
              <w:rPr>
                <w:b/>
                <w:sz w:val="20"/>
                <w:szCs w:val="20"/>
              </w:rPr>
            </w:pPr>
            <w:r w:rsidRPr="00076DAE">
              <w:rPr>
                <w:sz w:val="20"/>
                <w:szCs w:val="20"/>
              </w:rPr>
              <w:t xml:space="preserve">    a nákladov sa uplatňuje:</w:t>
            </w:r>
          </w:p>
        </w:tc>
        <w:sdt>
          <w:sdtPr>
            <w:rPr>
              <w:b/>
              <w:sz w:val="20"/>
              <w:szCs w:val="20"/>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479D6540"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7C421978" w14:textId="77777777" w:rsidR="00076DAE" w:rsidRPr="00076DAE" w:rsidRDefault="00076DAE" w:rsidP="00076DAE">
            <w:pPr>
              <w:widowControl/>
              <w:adjustRightInd/>
              <w:ind w:right="-108"/>
              <w:rPr>
                <w:b/>
                <w:sz w:val="20"/>
                <w:szCs w:val="20"/>
              </w:rPr>
            </w:pPr>
            <w:r w:rsidRPr="00076DAE">
              <w:rPr>
                <w:sz w:val="20"/>
                <w:szCs w:val="20"/>
              </w:rPr>
              <w:t>Áno</w:t>
            </w:r>
          </w:p>
        </w:tc>
        <w:tc>
          <w:tcPr>
            <w:tcW w:w="254" w:type="dxa"/>
            <w:tcBorders>
              <w:top w:val="dotted" w:sz="4" w:space="0" w:color="auto"/>
              <w:left w:val="nil"/>
              <w:bottom w:val="single" w:sz="4" w:space="0" w:color="auto"/>
              <w:right w:val="nil"/>
            </w:tcBorders>
            <w:vAlign w:val="center"/>
          </w:tcPr>
          <w:p w14:paraId="0ED80CE7" w14:textId="77777777" w:rsidR="00076DAE" w:rsidRPr="00076DAE" w:rsidRDefault="00076DAE" w:rsidP="00076DAE">
            <w:pPr>
              <w:widowControl/>
              <w:adjustRightInd/>
              <w:jc w:val="center"/>
              <w:rPr>
                <w:b/>
                <w:sz w:val="20"/>
                <w:szCs w:val="20"/>
              </w:rPr>
            </w:pPr>
          </w:p>
        </w:tc>
        <w:tc>
          <w:tcPr>
            <w:tcW w:w="1133" w:type="dxa"/>
            <w:tcBorders>
              <w:top w:val="dotted" w:sz="4" w:space="0" w:color="auto"/>
              <w:left w:val="nil"/>
              <w:bottom w:val="single" w:sz="4" w:space="0" w:color="auto"/>
              <w:right w:val="nil"/>
            </w:tcBorders>
            <w:vAlign w:val="center"/>
          </w:tcPr>
          <w:p w14:paraId="1173BA96" w14:textId="77777777" w:rsidR="00076DAE" w:rsidRPr="00076DAE" w:rsidRDefault="00076DAE" w:rsidP="00076DAE">
            <w:pPr>
              <w:widowControl/>
              <w:adjustRightInd/>
              <w:jc w:val="center"/>
              <w:rPr>
                <w:b/>
                <w:sz w:val="20"/>
                <w:szCs w:val="20"/>
              </w:rPr>
            </w:pPr>
          </w:p>
        </w:tc>
        <w:sdt>
          <w:sdtPr>
            <w:rPr>
              <w:b/>
              <w:sz w:val="20"/>
              <w:szCs w:val="20"/>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1FC9B69B"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186F0EEF" w14:textId="77777777" w:rsidR="00076DAE" w:rsidRPr="00076DAE" w:rsidRDefault="00076DAE" w:rsidP="00076DAE">
            <w:pPr>
              <w:widowControl/>
              <w:adjustRightInd/>
              <w:ind w:left="54"/>
              <w:rPr>
                <w:b/>
                <w:sz w:val="20"/>
                <w:szCs w:val="20"/>
              </w:rPr>
            </w:pPr>
            <w:r w:rsidRPr="00076DAE">
              <w:rPr>
                <w:sz w:val="20"/>
                <w:szCs w:val="20"/>
              </w:rPr>
              <w:t>Nie</w:t>
            </w:r>
          </w:p>
        </w:tc>
      </w:tr>
      <w:tr w:rsidR="00076DAE" w:rsidRPr="00076DAE" w14:paraId="01DDB9F2" w14:textId="77777777" w:rsidTr="0093572E">
        <w:tc>
          <w:tcPr>
            <w:tcW w:w="3812" w:type="dxa"/>
            <w:tcBorders>
              <w:top w:val="single" w:sz="4" w:space="0" w:color="000000"/>
              <w:left w:val="single" w:sz="4" w:space="0" w:color="auto"/>
              <w:bottom w:val="single" w:sz="4" w:space="0" w:color="auto"/>
              <w:right w:val="single" w:sz="4" w:space="0" w:color="auto"/>
            </w:tcBorders>
            <w:shd w:val="clear" w:color="auto" w:fill="E2E2E2"/>
          </w:tcPr>
          <w:p w14:paraId="503C9219" w14:textId="77777777" w:rsidR="00076DAE" w:rsidRPr="00076DAE" w:rsidRDefault="00076DAE" w:rsidP="00076DAE">
            <w:pPr>
              <w:widowControl/>
              <w:adjustRightInd/>
              <w:rPr>
                <w:b/>
                <w:sz w:val="20"/>
                <w:szCs w:val="20"/>
              </w:rPr>
            </w:pPr>
            <w:r w:rsidRPr="00076DAE">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3EBDA71E"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0CC1022B" w14:textId="77777777" w:rsidR="00076DAE" w:rsidRPr="00076DAE" w:rsidRDefault="00076DAE" w:rsidP="00076DAE">
            <w:pPr>
              <w:widowControl/>
              <w:adjustRightInd/>
              <w:ind w:right="-108"/>
              <w:rPr>
                <w:b/>
                <w:sz w:val="20"/>
                <w:szCs w:val="20"/>
              </w:rPr>
            </w:pPr>
            <w:r w:rsidRPr="00076DAE">
              <w:rPr>
                <w:b/>
                <w:sz w:val="20"/>
                <w:szCs w:val="20"/>
              </w:rPr>
              <w:t>Pozitívne</w:t>
            </w:r>
          </w:p>
        </w:tc>
        <w:sdt>
          <w:sdtPr>
            <w:rPr>
              <w:b/>
              <w:sz w:val="20"/>
              <w:szCs w:val="20"/>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637CDE0C"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485F5590" w14:textId="77777777" w:rsidR="00076DAE" w:rsidRPr="00076DAE" w:rsidRDefault="00076DAE" w:rsidP="00076DAE">
            <w:pPr>
              <w:widowControl/>
              <w:adjustRightInd/>
              <w:rPr>
                <w:b/>
                <w:sz w:val="20"/>
                <w:szCs w:val="20"/>
              </w:rPr>
            </w:pPr>
            <w:r w:rsidRPr="00076DAE">
              <w:rPr>
                <w:b/>
                <w:sz w:val="20"/>
                <w:szCs w:val="20"/>
              </w:rPr>
              <w:t>Žiadne</w:t>
            </w:r>
          </w:p>
        </w:tc>
        <w:sdt>
          <w:sdtPr>
            <w:rPr>
              <w:b/>
              <w:sz w:val="20"/>
              <w:szCs w:val="20"/>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0C626209"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3557BC40" w14:textId="77777777" w:rsidR="00076DAE" w:rsidRPr="00076DAE" w:rsidRDefault="00076DAE" w:rsidP="00076DAE">
            <w:pPr>
              <w:widowControl/>
              <w:adjustRightInd/>
              <w:ind w:left="54"/>
              <w:rPr>
                <w:b/>
                <w:sz w:val="20"/>
                <w:szCs w:val="20"/>
              </w:rPr>
            </w:pPr>
            <w:r w:rsidRPr="00076DAE">
              <w:rPr>
                <w:b/>
                <w:sz w:val="20"/>
                <w:szCs w:val="20"/>
              </w:rPr>
              <w:t>Negatívne</w:t>
            </w:r>
          </w:p>
        </w:tc>
      </w:tr>
      <w:tr w:rsidR="00076DAE" w:rsidRPr="00076DAE" w14:paraId="155AC83B" w14:textId="77777777" w:rsidTr="0093572E">
        <w:tc>
          <w:tcPr>
            <w:tcW w:w="3812" w:type="dxa"/>
            <w:tcBorders>
              <w:top w:val="single" w:sz="4" w:space="0" w:color="auto"/>
              <w:left w:val="single" w:sz="4" w:space="0" w:color="auto"/>
              <w:bottom w:val="nil"/>
              <w:right w:val="single" w:sz="4" w:space="0" w:color="auto"/>
            </w:tcBorders>
            <w:shd w:val="clear" w:color="auto" w:fill="E2E2E2"/>
          </w:tcPr>
          <w:p w14:paraId="32333276" w14:textId="77777777" w:rsidR="00076DAE" w:rsidRPr="00076DAE" w:rsidRDefault="00076DAE" w:rsidP="00076DAE">
            <w:pPr>
              <w:widowControl/>
              <w:adjustRightInd/>
              <w:rPr>
                <w:b/>
                <w:sz w:val="20"/>
                <w:szCs w:val="20"/>
              </w:rPr>
            </w:pPr>
            <w:r w:rsidRPr="00076DAE">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71239F86"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7EABD388" w14:textId="77777777" w:rsidR="00076DAE" w:rsidRPr="00076DAE" w:rsidRDefault="00076DAE" w:rsidP="00076DAE">
            <w:pPr>
              <w:widowControl/>
              <w:adjustRightInd/>
              <w:ind w:right="-108"/>
              <w:rPr>
                <w:b/>
                <w:sz w:val="20"/>
                <w:szCs w:val="20"/>
              </w:rPr>
            </w:pPr>
            <w:r w:rsidRPr="00076DAE">
              <w:rPr>
                <w:b/>
                <w:sz w:val="20"/>
                <w:szCs w:val="20"/>
              </w:rPr>
              <w:t>Pozitívne</w:t>
            </w:r>
          </w:p>
        </w:tc>
        <w:sdt>
          <w:sdtPr>
            <w:rPr>
              <w:b/>
              <w:sz w:val="20"/>
              <w:szCs w:val="20"/>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0DF125A"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28CFC99C" w14:textId="77777777" w:rsidR="00076DAE" w:rsidRPr="00076DAE" w:rsidRDefault="00076DAE" w:rsidP="00076DAE">
            <w:pPr>
              <w:widowControl/>
              <w:adjustRightInd/>
              <w:rPr>
                <w:b/>
                <w:sz w:val="20"/>
                <w:szCs w:val="20"/>
              </w:rPr>
            </w:pPr>
            <w:r w:rsidRPr="00076DAE">
              <w:rPr>
                <w:b/>
                <w:sz w:val="20"/>
                <w:szCs w:val="20"/>
              </w:rPr>
              <w:t>Žiadne</w:t>
            </w:r>
          </w:p>
        </w:tc>
        <w:sdt>
          <w:sdtPr>
            <w:rPr>
              <w:b/>
              <w:sz w:val="20"/>
              <w:szCs w:val="20"/>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46762104"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3CDD6AE6" w14:textId="77777777" w:rsidR="00076DAE" w:rsidRPr="00076DAE" w:rsidRDefault="00076DAE" w:rsidP="00076DAE">
            <w:pPr>
              <w:widowControl/>
              <w:adjustRightInd/>
              <w:ind w:left="54"/>
              <w:rPr>
                <w:b/>
                <w:sz w:val="20"/>
                <w:szCs w:val="20"/>
              </w:rPr>
            </w:pPr>
            <w:r w:rsidRPr="00076DAE">
              <w:rPr>
                <w:b/>
                <w:sz w:val="20"/>
                <w:szCs w:val="20"/>
              </w:rPr>
              <w:t>Negatívne</w:t>
            </w:r>
          </w:p>
        </w:tc>
      </w:tr>
      <w:tr w:rsidR="00076DAE" w:rsidRPr="00076DAE" w14:paraId="48248228" w14:textId="77777777" w:rsidTr="0093572E">
        <w:tc>
          <w:tcPr>
            <w:tcW w:w="3812" w:type="dxa"/>
            <w:tcBorders>
              <w:top w:val="nil"/>
              <w:left w:val="single" w:sz="4" w:space="0" w:color="auto"/>
              <w:bottom w:val="single" w:sz="4" w:space="0" w:color="auto"/>
              <w:right w:val="single" w:sz="4" w:space="0" w:color="auto"/>
            </w:tcBorders>
            <w:shd w:val="clear" w:color="auto" w:fill="E2E2E2"/>
          </w:tcPr>
          <w:p w14:paraId="56C04EA2" w14:textId="77777777" w:rsidR="00076DAE" w:rsidRPr="00076DAE" w:rsidRDefault="00076DAE" w:rsidP="00076DAE">
            <w:pPr>
              <w:widowControl/>
              <w:adjustRightInd/>
              <w:rPr>
                <w:sz w:val="20"/>
                <w:szCs w:val="20"/>
              </w:rPr>
            </w:pPr>
          </w:p>
          <w:p w14:paraId="2A957678" w14:textId="77777777" w:rsidR="00076DAE" w:rsidRPr="00076DAE" w:rsidRDefault="00076DAE" w:rsidP="00076DAE">
            <w:pPr>
              <w:widowControl/>
              <w:adjustRightInd/>
              <w:ind w:left="164"/>
              <w:rPr>
                <w:b/>
                <w:sz w:val="20"/>
                <w:szCs w:val="20"/>
              </w:rPr>
            </w:pPr>
            <w:r w:rsidRPr="00076DAE">
              <w:rPr>
                <w:sz w:val="20"/>
                <w:szCs w:val="20"/>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42EE965C"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560B2D2C" w14:textId="77777777" w:rsidR="00076DAE" w:rsidRPr="00076DAE" w:rsidRDefault="00076DAE" w:rsidP="00076DAE">
            <w:pPr>
              <w:widowControl/>
              <w:adjustRightInd/>
              <w:ind w:right="-108"/>
              <w:rPr>
                <w:b/>
                <w:sz w:val="20"/>
                <w:szCs w:val="20"/>
              </w:rPr>
            </w:pPr>
            <w:r w:rsidRPr="00076DAE">
              <w:rPr>
                <w:sz w:val="20"/>
                <w:szCs w:val="20"/>
              </w:rPr>
              <w:t>Áno</w:t>
            </w:r>
          </w:p>
        </w:tc>
        <w:tc>
          <w:tcPr>
            <w:tcW w:w="538" w:type="dxa"/>
            <w:gridSpan w:val="2"/>
            <w:tcBorders>
              <w:top w:val="single" w:sz="4" w:space="0" w:color="auto"/>
              <w:left w:val="nil"/>
              <w:bottom w:val="single" w:sz="4" w:space="0" w:color="auto"/>
              <w:right w:val="nil"/>
            </w:tcBorders>
            <w:vAlign w:val="center"/>
          </w:tcPr>
          <w:p w14:paraId="05D0E474" w14:textId="77777777" w:rsidR="00076DAE" w:rsidRPr="00076DAE" w:rsidRDefault="00076DAE" w:rsidP="00076DAE">
            <w:pPr>
              <w:widowControl/>
              <w:adjustRightInd/>
              <w:jc w:val="center"/>
              <w:rPr>
                <w:b/>
                <w:sz w:val="20"/>
                <w:szCs w:val="20"/>
              </w:rPr>
            </w:pPr>
          </w:p>
        </w:tc>
        <w:tc>
          <w:tcPr>
            <w:tcW w:w="1133" w:type="dxa"/>
            <w:tcBorders>
              <w:top w:val="single" w:sz="4" w:space="0" w:color="auto"/>
              <w:left w:val="nil"/>
              <w:bottom w:val="single" w:sz="4" w:space="0" w:color="auto"/>
              <w:right w:val="nil"/>
            </w:tcBorders>
            <w:vAlign w:val="center"/>
          </w:tcPr>
          <w:p w14:paraId="39D8E618" w14:textId="77777777" w:rsidR="00076DAE" w:rsidRPr="00076DAE" w:rsidRDefault="00076DAE" w:rsidP="00076DAE">
            <w:pPr>
              <w:widowControl/>
              <w:adjustRightInd/>
              <w:jc w:val="center"/>
              <w:rPr>
                <w:b/>
                <w:sz w:val="20"/>
                <w:szCs w:val="20"/>
              </w:rPr>
            </w:pPr>
          </w:p>
        </w:tc>
        <w:sdt>
          <w:sdtPr>
            <w:rPr>
              <w:b/>
              <w:sz w:val="20"/>
              <w:szCs w:val="20"/>
            </w:rPr>
            <w:id w:val="1786776775"/>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51000A26"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09922F12" w14:textId="77777777" w:rsidR="00076DAE" w:rsidRPr="00076DAE" w:rsidRDefault="00076DAE" w:rsidP="00076DAE">
            <w:pPr>
              <w:widowControl/>
              <w:adjustRightInd/>
              <w:ind w:left="54"/>
              <w:rPr>
                <w:b/>
                <w:sz w:val="20"/>
                <w:szCs w:val="20"/>
              </w:rPr>
            </w:pPr>
            <w:r w:rsidRPr="00076DAE">
              <w:rPr>
                <w:sz w:val="20"/>
                <w:szCs w:val="20"/>
              </w:rPr>
              <w:t>Nie</w:t>
            </w:r>
          </w:p>
        </w:tc>
      </w:tr>
      <w:tr w:rsidR="00076DAE" w:rsidRPr="00076DAE" w14:paraId="3DBFC347" w14:textId="77777777" w:rsidTr="0093572E">
        <w:tc>
          <w:tcPr>
            <w:tcW w:w="3812" w:type="dxa"/>
            <w:tcBorders>
              <w:top w:val="single" w:sz="4" w:space="0" w:color="auto"/>
              <w:left w:val="single" w:sz="4" w:space="0" w:color="auto"/>
              <w:bottom w:val="single" w:sz="4" w:space="0" w:color="auto"/>
              <w:right w:val="single" w:sz="4" w:space="0" w:color="auto"/>
            </w:tcBorders>
            <w:shd w:val="clear" w:color="auto" w:fill="E2E2E2"/>
          </w:tcPr>
          <w:p w14:paraId="3BA21059" w14:textId="77777777" w:rsidR="00076DAE" w:rsidRPr="00076DAE" w:rsidRDefault="00076DAE" w:rsidP="00076DAE">
            <w:pPr>
              <w:widowControl/>
              <w:adjustRightInd/>
              <w:rPr>
                <w:b/>
                <w:sz w:val="20"/>
                <w:szCs w:val="20"/>
              </w:rPr>
            </w:pPr>
            <w:r w:rsidRPr="00076DAE">
              <w:rPr>
                <w:b/>
                <w:sz w:val="20"/>
                <w:szCs w:val="20"/>
              </w:rPr>
              <w:t>Vplyvy na informatizáciu spoločnosti</w:t>
            </w:r>
          </w:p>
        </w:tc>
        <w:sdt>
          <w:sdtPr>
            <w:rPr>
              <w:b/>
              <w:sz w:val="20"/>
              <w:szCs w:val="20"/>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5359FBAD"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3E18F16B" w14:textId="77777777" w:rsidR="00076DAE" w:rsidRPr="00076DAE" w:rsidRDefault="00076DAE" w:rsidP="00076DAE">
            <w:pPr>
              <w:widowControl/>
              <w:adjustRightInd/>
              <w:ind w:right="-108"/>
              <w:rPr>
                <w:b/>
                <w:sz w:val="20"/>
                <w:szCs w:val="20"/>
              </w:rPr>
            </w:pPr>
            <w:r w:rsidRPr="00076DAE">
              <w:rPr>
                <w:b/>
                <w:sz w:val="20"/>
                <w:szCs w:val="20"/>
              </w:rPr>
              <w:t>Pozitívne</w:t>
            </w:r>
          </w:p>
        </w:tc>
        <w:sdt>
          <w:sdtPr>
            <w:rPr>
              <w:b/>
              <w:sz w:val="20"/>
              <w:szCs w:val="20"/>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5DF259FB"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3572D04B" w14:textId="77777777" w:rsidR="00076DAE" w:rsidRPr="00076DAE" w:rsidRDefault="00076DAE" w:rsidP="00076DAE">
            <w:pPr>
              <w:widowControl/>
              <w:adjustRightInd/>
              <w:rPr>
                <w:b/>
                <w:sz w:val="20"/>
                <w:szCs w:val="20"/>
              </w:rPr>
            </w:pPr>
            <w:r w:rsidRPr="00076DAE">
              <w:rPr>
                <w:b/>
                <w:sz w:val="20"/>
                <w:szCs w:val="20"/>
              </w:rPr>
              <w:t>Žiadne</w:t>
            </w:r>
          </w:p>
        </w:tc>
        <w:sdt>
          <w:sdtPr>
            <w:rPr>
              <w:b/>
              <w:sz w:val="20"/>
              <w:szCs w:val="20"/>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10ADAC7C"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71BEBF5A" w14:textId="77777777" w:rsidR="00076DAE" w:rsidRPr="00076DAE" w:rsidRDefault="00076DAE" w:rsidP="00076DAE">
            <w:pPr>
              <w:widowControl/>
              <w:adjustRightInd/>
              <w:ind w:left="54"/>
              <w:rPr>
                <w:b/>
                <w:sz w:val="20"/>
                <w:szCs w:val="20"/>
              </w:rPr>
            </w:pPr>
            <w:r w:rsidRPr="00076DAE">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76DAE" w:rsidRPr="00076DAE" w14:paraId="4D69D06B" w14:textId="77777777" w:rsidTr="0093572E">
        <w:tc>
          <w:tcPr>
            <w:tcW w:w="3812" w:type="dxa"/>
            <w:tcBorders>
              <w:top w:val="single" w:sz="4" w:space="0" w:color="auto"/>
              <w:left w:val="single" w:sz="4" w:space="0" w:color="auto"/>
              <w:bottom w:val="nil"/>
              <w:right w:val="single" w:sz="4" w:space="0" w:color="auto"/>
            </w:tcBorders>
            <w:shd w:val="clear" w:color="auto" w:fill="E2E2E2"/>
          </w:tcPr>
          <w:p w14:paraId="00B33DB5" w14:textId="77777777" w:rsidR="00076DAE" w:rsidRPr="00076DAE" w:rsidRDefault="00076DAE" w:rsidP="00076DAE">
            <w:pPr>
              <w:widowControl/>
              <w:adjustRightInd/>
              <w:rPr>
                <w:b/>
                <w:sz w:val="20"/>
                <w:szCs w:val="20"/>
              </w:rPr>
            </w:pPr>
            <w:r w:rsidRPr="00076DAE">
              <w:rPr>
                <w:rFonts w:eastAsia="Calibri"/>
                <w:b/>
                <w:sz w:val="20"/>
                <w:szCs w:val="20"/>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77530418" w14:textId="77777777" w:rsidR="00076DAE" w:rsidRPr="00076DAE" w:rsidRDefault="00076DAE" w:rsidP="00076DAE">
            <w:pPr>
              <w:widowControl/>
              <w:adjustRightInd/>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46D10787" w14:textId="77777777" w:rsidR="00076DAE" w:rsidRPr="00076DAE" w:rsidRDefault="00076DAE" w:rsidP="00076DAE">
            <w:pPr>
              <w:widowControl/>
              <w:adjustRightInd/>
              <w:ind w:right="-108"/>
              <w:rPr>
                <w:b/>
                <w:sz w:val="20"/>
                <w:szCs w:val="20"/>
              </w:rPr>
            </w:pPr>
          </w:p>
        </w:tc>
        <w:tc>
          <w:tcPr>
            <w:tcW w:w="569" w:type="dxa"/>
            <w:gridSpan w:val="2"/>
            <w:tcBorders>
              <w:top w:val="single" w:sz="4" w:space="0" w:color="auto"/>
              <w:left w:val="nil"/>
              <w:bottom w:val="nil"/>
              <w:right w:val="nil"/>
            </w:tcBorders>
            <w:shd w:val="clear" w:color="auto" w:fill="auto"/>
          </w:tcPr>
          <w:p w14:paraId="5C1AA055" w14:textId="77777777" w:rsidR="00076DAE" w:rsidRPr="00076DAE" w:rsidRDefault="00076DAE" w:rsidP="00076DAE">
            <w:pPr>
              <w:widowControl/>
              <w:adjustRightInd/>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0485B200" w14:textId="77777777" w:rsidR="00076DAE" w:rsidRPr="00076DAE" w:rsidRDefault="00076DAE" w:rsidP="00076DAE">
            <w:pPr>
              <w:widowControl/>
              <w:adjustRightInd/>
              <w:rPr>
                <w:b/>
                <w:sz w:val="20"/>
                <w:szCs w:val="20"/>
              </w:rPr>
            </w:pPr>
          </w:p>
        </w:tc>
        <w:tc>
          <w:tcPr>
            <w:tcW w:w="547" w:type="dxa"/>
            <w:tcBorders>
              <w:top w:val="single" w:sz="4" w:space="0" w:color="auto"/>
              <w:left w:val="nil"/>
              <w:bottom w:val="nil"/>
              <w:right w:val="nil"/>
            </w:tcBorders>
            <w:shd w:val="clear" w:color="auto" w:fill="auto"/>
          </w:tcPr>
          <w:p w14:paraId="180A6AAA" w14:textId="77777777" w:rsidR="00076DAE" w:rsidRPr="00076DAE" w:rsidRDefault="00076DAE" w:rsidP="00076DAE">
            <w:pPr>
              <w:widowControl/>
              <w:adjustRightInd/>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62AACC3B" w14:textId="77777777" w:rsidR="00076DAE" w:rsidRPr="00076DAE" w:rsidRDefault="00076DAE" w:rsidP="00076DAE">
            <w:pPr>
              <w:widowControl/>
              <w:adjustRightInd/>
              <w:ind w:left="54"/>
              <w:rPr>
                <w:b/>
                <w:sz w:val="20"/>
                <w:szCs w:val="20"/>
              </w:rPr>
            </w:pPr>
          </w:p>
        </w:tc>
      </w:tr>
      <w:tr w:rsidR="00076DAE" w:rsidRPr="00076DAE" w14:paraId="01C1E3DE" w14:textId="77777777" w:rsidTr="0093572E">
        <w:tc>
          <w:tcPr>
            <w:tcW w:w="3812" w:type="dxa"/>
            <w:tcBorders>
              <w:top w:val="nil"/>
              <w:left w:val="single" w:sz="4" w:space="0" w:color="auto"/>
              <w:bottom w:val="nil"/>
              <w:right w:val="single" w:sz="4" w:space="0" w:color="auto"/>
            </w:tcBorders>
            <w:shd w:val="clear" w:color="auto" w:fill="E2E2E2"/>
          </w:tcPr>
          <w:p w14:paraId="6F6D82AB" w14:textId="77777777" w:rsidR="00076DAE" w:rsidRPr="00076DAE" w:rsidRDefault="00076DAE" w:rsidP="00076DAE">
            <w:pPr>
              <w:widowControl/>
              <w:adjustRightInd/>
              <w:ind w:left="196" w:hanging="196"/>
              <w:rPr>
                <w:rFonts w:eastAsia="Calibri"/>
                <w:b/>
                <w:sz w:val="20"/>
                <w:szCs w:val="20"/>
                <w:lang w:eastAsia="en-US"/>
              </w:rPr>
            </w:pPr>
            <w:r w:rsidRPr="00076DAE">
              <w:rPr>
                <w:rFonts w:eastAsia="Calibri"/>
                <w:b/>
                <w:sz w:val="20"/>
                <w:szCs w:val="20"/>
                <w:lang w:eastAsia="en-US"/>
              </w:rPr>
              <w:lastRenderedPageBreak/>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573AC63E" w14:textId="77777777" w:rsidR="00076DAE" w:rsidRPr="00076DAE" w:rsidRDefault="00076DAE" w:rsidP="00076DAE">
                <w:pPr>
                  <w:widowControl/>
                  <w:adjustRightInd/>
                  <w:jc w:val="center"/>
                  <w:rPr>
                    <w:b/>
                    <w:sz w:val="20"/>
                    <w:szCs w:val="20"/>
                  </w:rPr>
                </w:pPr>
                <w:r w:rsidRPr="00076DAE">
                  <w:rPr>
                    <w:rFonts w:eastAsia="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14:paraId="04D41690" w14:textId="77777777" w:rsidR="00076DAE" w:rsidRPr="00076DAE" w:rsidRDefault="00076DAE" w:rsidP="00076DAE">
            <w:pPr>
              <w:widowControl/>
              <w:adjustRightInd/>
              <w:ind w:right="-108"/>
              <w:rPr>
                <w:b/>
                <w:sz w:val="20"/>
                <w:szCs w:val="20"/>
              </w:rPr>
            </w:pPr>
            <w:r w:rsidRPr="00076DAE">
              <w:rPr>
                <w:b/>
                <w:sz w:val="20"/>
                <w:szCs w:val="20"/>
              </w:rPr>
              <w:t>Pozitívne</w:t>
            </w:r>
          </w:p>
        </w:tc>
        <w:sdt>
          <w:sdtPr>
            <w:rPr>
              <w:b/>
              <w:sz w:val="20"/>
              <w:szCs w:val="20"/>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57724437" w14:textId="77777777" w:rsidR="00076DAE" w:rsidRPr="00076DAE" w:rsidRDefault="00076DAE" w:rsidP="00076DAE">
                <w:pPr>
                  <w:widowControl/>
                  <w:adjustRightInd/>
                  <w:jc w:val="center"/>
                  <w:rPr>
                    <w:b/>
                    <w:sz w:val="20"/>
                    <w:szCs w:val="20"/>
                  </w:rPr>
                </w:pPr>
                <w:r w:rsidRPr="00076DAE">
                  <w:rPr>
                    <w:rFonts w:eastAsia="MS Gothic" w:hint="eastAsia"/>
                    <w:b/>
                    <w:sz w:val="20"/>
                    <w:szCs w:val="20"/>
                  </w:rPr>
                  <w:t>☒</w:t>
                </w:r>
              </w:p>
            </w:tc>
          </w:sdtContent>
        </w:sdt>
        <w:tc>
          <w:tcPr>
            <w:tcW w:w="1133" w:type="dxa"/>
            <w:tcBorders>
              <w:top w:val="nil"/>
              <w:left w:val="nil"/>
              <w:bottom w:val="dotted" w:sz="4" w:space="0" w:color="auto"/>
              <w:right w:val="nil"/>
            </w:tcBorders>
            <w:shd w:val="clear" w:color="auto" w:fill="auto"/>
          </w:tcPr>
          <w:p w14:paraId="55AFCAC5" w14:textId="77777777" w:rsidR="00076DAE" w:rsidRPr="00076DAE" w:rsidRDefault="00076DAE" w:rsidP="00076DAE">
            <w:pPr>
              <w:widowControl/>
              <w:adjustRightInd/>
              <w:rPr>
                <w:b/>
                <w:sz w:val="20"/>
                <w:szCs w:val="20"/>
              </w:rPr>
            </w:pPr>
            <w:r w:rsidRPr="00076DAE">
              <w:rPr>
                <w:b/>
                <w:sz w:val="20"/>
                <w:szCs w:val="20"/>
              </w:rPr>
              <w:t>Žiadne</w:t>
            </w:r>
          </w:p>
        </w:tc>
        <w:sdt>
          <w:sdtPr>
            <w:rPr>
              <w:b/>
              <w:sz w:val="20"/>
              <w:szCs w:val="20"/>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5402CAC5" w14:textId="77777777" w:rsidR="00076DAE" w:rsidRPr="00076DAE" w:rsidRDefault="00076DAE" w:rsidP="00076DAE">
                <w:pPr>
                  <w:widowControl/>
                  <w:adjustRightInd/>
                  <w:jc w:val="center"/>
                  <w:rPr>
                    <w:b/>
                    <w:sz w:val="20"/>
                    <w:szCs w:val="20"/>
                  </w:rPr>
                </w:pPr>
                <w:r w:rsidRPr="00076DAE">
                  <w:rPr>
                    <w:rFonts w:eastAsia="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0A29D44A" w14:textId="77777777" w:rsidR="00076DAE" w:rsidRPr="00076DAE" w:rsidRDefault="00076DAE" w:rsidP="00076DAE">
            <w:pPr>
              <w:widowControl/>
              <w:adjustRightInd/>
              <w:ind w:left="54"/>
              <w:rPr>
                <w:b/>
                <w:sz w:val="20"/>
                <w:szCs w:val="20"/>
              </w:rPr>
            </w:pPr>
            <w:r w:rsidRPr="00076DAE">
              <w:rPr>
                <w:b/>
                <w:sz w:val="20"/>
                <w:szCs w:val="20"/>
              </w:rPr>
              <w:t>Negatívne</w:t>
            </w:r>
          </w:p>
        </w:tc>
      </w:tr>
      <w:tr w:rsidR="00076DAE" w:rsidRPr="00076DAE" w14:paraId="09F032FF" w14:textId="77777777" w:rsidTr="0093572E">
        <w:tc>
          <w:tcPr>
            <w:tcW w:w="3812" w:type="dxa"/>
            <w:tcBorders>
              <w:top w:val="nil"/>
              <w:left w:val="single" w:sz="4" w:space="0" w:color="auto"/>
              <w:bottom w:val="nil"/>
              <w:right w:val="single" w:sz="4" w:space="0" w:color="auto"/>
            </w:tcBorders>
            <w:shd w:val="clear" w:color="auto" w:fill="E2E2E2"/>
          </w:tcPr>
          <w:p w14:paraId="064F6BFB" w14:textId="77777777" w:rsidR="00076DAE" w:rsidRPr="00076DAE" w:rsidRDefault="00076DAE" w:rsidP="00076DAE">
            <w:pPr>
              <w:widowControl/>
              <w:adjustRightInd/>
              <w:ind w:left="168" w:hanging="168"/>
              <w:rPr>
                <w:rFonts w:eastAsia="Calibri"/>
                <w:b/>
                <w:sz w:val="20"/>
                <w:szCs w:val="20"/>
                <w:lang w:eastAsia="en-US"/>
              </w:rPr>
            </w:pPr>
            <w:r w:rsidRPr="00076DAE">
              <w:rPr>
                <w:rFonts w:eastAsia="Calibri"/>
                <w:b/>
                <w:sz w:val="20"/>
                <w:szCs w:val="20"/>
                <w:lang w:eastAsia="en-US"/>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FEE35BB" w14:textId="77777777" w:rsidR="00076DAE" w:rsidRPr="00076DAE" w:rsidRDefault="00076DAE" w:rsidP="00076DAE">
                <w:pPr>
                  <w:widowControl/>
                  <w:adjustRightInd/>
                  <w:jc w:val="center"/>
                  <w:rPr>
                    <w:b/>
                    <w:sz w:val="20"/>
                    <w:szCs w:val="20"/>
                  </w:rPr>
                </w:pPr>
                <w:r w:rsidRPr="00076DAE">
                  <w:rPr>
                    <w:rFonts w:eastAsia="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0902495" w14:textId="77777777" w:rsidR="00076DAE" w:rsidRPr="00076DAE" w:rsidRDefault="00076DAE" w:rsidP="00076DAE">
            <w:pPr>
              <w:widowControl/>
              <w:adjustRightInd/>
              <w:ind w:right="-108"/>
              <w:rPr>
                <w:b/>
                <w:sz w:val="20"/>
                <w:szCs w:val="20"/>
              </w:rPr>
            </w:pPr>
            <w:r w:rsidRPr="00076DAE">
              <w:rPr>
                <w:b/>
                <w:sz w:val="20"/>
                <w:szCs w:val="20"/>
              </w:rPr>
              <w:t>Pozitívne</w:t>
            </w:r>
          </w:p>
        </w:tc>
        <w:sdt>
          <w:sdtPr>
            <w:rPr>
              <w:b/>
              <w:sz w:val="20"/>
              <w:szCs w:val="20"/>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14D85B09" w14:textId="77777777" w:rsidR="00076DAE" w:rsidRPr="00076DAE" w:rsidRDefault="00076DAE" w:rsidP="00076DAE">
                <w:pPr>
                  <w:widowControl/>
                  <w:adjustRightInd/>
                  <w:jc w:val="center"/>
                  <w:rPr>
                    <w:b/>
                    <w:sz w:val="20"/>
                    <w:szCs w:val="20"/>
                  </w:rPr>
                </w:pPr>
                <w:r w:rsidRPr="00076DAE">
                  <w:rPr>
                    <w:rFonts w:eastAsia="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4B291D78" w14:textId="77777777" w:rsidR="00076DAE" w:rsidRPr="00076DAE" w:rsidRDefault="00076DAE" w:rsidP="00076DAE">
            <w:pPr>
              <w:widowControl/>
              <w:adjustRightInd/>
              <w:rPr>
                <w:b/>
                <w:sz w:val="20"/>
                <w:szCs w:val="20"/>
              </w:rPr>
            </w:pPr>
            <w:r w:rsidRPr="00076DAE">
              <w:rPr>
                <w:b/>
                <w:sz w:val="20"/>
                <w:szCs w:val="20"/>
              </w:rPr>
              <w:t>Žiadne</w:t>
            </w:r>
          </w:p>
        </w:tc>
        <w:sdt>
          <w:sdtPr>
            <w:rPr>
              <w:b/>
              <w:sz w:val="20"/>
              <w:szCs w:val="20"/>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035C5D17" w14:textId="77777777" w:rsidR="00076DAE" w:rsidRPr="00076DAE" w:rsidRDefault="00076DAE" w:rsidP="00076DAE">
                <w:pPr>
                  <w:widowControl/>
                  <w:adjustRightInd/>
                  <w:jc w:val="center"/>
                  <w:rPr>
                    <w:b/>
                    <w:sz w:val="20"/>
                    <w:szCs w:val="20"/>
                  </w:rPr>
                </w:pPr>
                <w:r w:rsidRPr="00076DAE">
                  <w:rPr>
                    <w:rFonts w:eastAsia="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96BDC54" w14:textId="77777777" w:rsidR="00076DAE" w:rsidRPr="00076DAE" w:rsidRDefault="00076DAE" w:rsidP="00076DAE">
            <w:pPr>
              <w:widowControl/>
              <w:adjustRightInd/>
              <w:ind w:left="54"/>
              <w:rPr>
                <w:b/>
                <w:sz w:val="20"/>
                <w:szCs w:val="20"/>
              </w:rPr>
            </w:pPr>
            <w:r w:rsidRPr="00076DAE">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76DAE" w:rsidRPr="00076DAE" w14:paraId="14752142" w14:textId="77777777" w:rsidTr="0093572E">
        <w:tc>
          <w:tcPr>
            <w:tcW w:w="3812" w:type="dxa"/>
            <w:tcBorders>
              <w:top w:val="single" w:sz="4" w:space="0" w:color="000000"/>
              <w:left w:val="single" w:sz="4" w:space="0" w:color="auto"/>
              <w:bottom w:val="single" w:sz="4" w:space="0" w:color="auto"/>
              <w:right w:val="single" w:sz="4" w:space="0" w:color="auto"/>
            </w:tcBorders>
            <w:shd w:val="clear" w:color="auto" w:fill="E2E2E2"/>
          </w:tcPr>
          <w:p w14:paraId="5EE1281E" w14:textId="77777777" w:rsidR="00076DAE" w:rsidRPr="00076DAE" w:rsidRDefault="00076DAE" w:rsidP="00076DAE">
            <w:pPr>
              <w:widowControl/>
              <w:adjustRightInd/>
              <w:rPr>
                <w:b/>
                <w:sz w:val="20"/>
                <w:szCs w:val="20"/>
              </w:rPr>
            </w:pPr>
            <w:r w:rsidRPr="00076DAE">
              <w:rPr>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7ECCEBAC"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14:paraId="167A3174" w14:textId="77777777" w:rsidR="00076DAE" w:rsidRPr="00076DAE" w:rsidRDefault="00076DAE" w:rsidP="00076DAE">
            <w:pPr>
              <w:widowControl/>
              <w:adjustRightInd/>
              <w:ind w:right="-108"/>
              <w:rPr>
                <w:b/>
                <w:sz w:val="20"/>
                <w:szCs w:val="20"/>
              </w:rPr>
            </w:pPr>
            <w:r w:rsidRPr="00076DAE">
              <w:rPr>
                <w:b/>
                <w:sz w:val="20"/>
                <w:szCs w:val="20"/>
              </w:rPr>
              <w:t>Pozitívne</w:t>
            </w:r>
          </w:p>
        </w:tc>
        <w:sdt>
          <w:sdtPr>
            <w:rPr>
              <w:b/>
              <w:sz w:val="20"/>
              <w:szCs w:val="20"/>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68C7EE4E"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590E04E5" w14:textId="77777777" w:rsidR="00076DAE" w:rsidRPr="00076DAE" w:rsidRDefault="00076DAE" w:rsidP="00076DAE">
            <w:pPr>
              <w:widowControl/>
              <w:adjustRightInd/>
              <w:rPr>
                <w:b/>
                <w:sz w:val="20"/>
                <w:szCs w:val="20"/>
              </w:rPr>
            </w:pPr>
            <w:r w:rsidRPr="00076DAE">
              <w:rPr>
                <w:b/>
                <w:sz w:val="20"/>
                <w:szCs w:val="20"/>
              </w:rPr>
              <w:t>Žiadne</w:t>
            </w:r>
          </w:p>
        </w:tc>
        <w:sdt>
          <w:sdtPr>
            <w:rPr>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09DEA7E0" w14:textId="77777777" w:rsidR="00076DAE" w:rsidRPr="00076DAE" w:rsidRDefault="00076DAE" w:rsidP="00076DAE">
                <w:pPr>
                  <w:widowControl/>
                  <w:adjustRightInd/>
                  <w:jc w:val="center"/>
                  <w:rPr>
                    <w:b/>
                    <w:sz w:val="20"/>
                    <w:szCs w:val="20"/>
                  </w:rPr>
                </w:pPr>
                <w:r w:rsidRPr="00076DA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3DDAF851" w14:textId="77777777" w:rsidR="00076DAE" w:rsidRPr="00076DAE" w:rsidRDefault="00076DAE" w:rsidP="00076DAE">
            <w:pPr>
              <w:widowControl/>
              <w:adjustRightInd/>
              <w:ind w:left="54"/>
              <w:rPr>
                <w:b/>
                <w:sz w:val="20"/>
                <w:szCs w:val="20"/>
              </w:rPr>
            </w:pPr>
            <w:r w:rsidRPr="00076DAE">
              <w:rPr>
                <w:b/>
                <w:sz w:val="20"/>
                <w:szCs w:val="20"/>
              </w:rPr>
              <w:t>Negatívne</w:t>
            </w:r>
          </w:p>
        </w:tc>
      </w:tr>
    </w:tbl>
    <w:p w14:paraId="6C898EAE" w14:textId="77777777" w:rsidR="00076DAE" w:rsidRPr="00076DAE" w:rsidRDefault="00076DAE" w:rsidP="00076DAE">
      <w:pPr>
        <w:widowControl/>
        <w:adjustRightInd/>
        <w:ind w:right="141"/>
        <w:rPr>
          <w:b/>
          <w:sz w:val="20"/>
          <w:szCs w:val="20"/>
        </w:rPr>
      </w:pPr>
    </w:p>
    <w:p w14:paraId="7433A1C5" w14:textId="77777777" w:rsidR="00076DAE" w:rsidRPr="00076DAE" w:rsidRDefault="00076DAE" w:rsidP="00076DAE">
      <w:pPr>
        <w:widowControl/>
        <w:adjustRightInd/>
        <w:ind w:right="141"/>
        <w:rPr>
          <w:b/>
          <w:sz w:val="20"/>
          <w:szCs w:val="20"/>
        </w:rPr>
      </w:pPr>
    </w:p>
    <w:p w14:paraId="7BD1E671" w14:textId="77777777" w:rsidR="00076DAE" w:rsidRPr="00076DAE" w:rsidRDefault="00076DAE" w:rsidP="00076DAE">
      <w:pPr>
        <w:widowControl/>
        <w:adjustRightInd/>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076DAE" w:rsidRPr="00076DAE" w14:paraId="2FC9AFD3" w14:textId="77777777" w:rsidTr="0093572E">
        <w:tc>
          <w:tcPr>
            <w:tcW w:w="9176" w:type="dxa"/>
            <w:tcBorders>
              <w:top w:val="single" w:sz="4" w:space="0" w:color="auto"/>
              <w:left w:val="single" w:sz="4" w:space="0" w:color="auto"/>
              <w:bottom w:val="nil"/>
              <w:right w:val="single" w:sz="4" w:space="0" w:color="auto"/>
            </w:tcBorders>
            <w:shd w:val="clear" w:color="auto" w:fill="E2E2E2"/>
          </w:tcPr>
          <w:p w14:paraId="3E828233"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Poznámky</w:t>
            </w:r>
          </w:p>
        </w:tc>
      </w:tr>
      <w:tr w:rsidR="00076DAE" w:rsidRPr="00076DAE" w14:paraId="1DEAD7D2" w14:textId="77777777" w:rsidTr="0093572E">
        <w:trPr>
          <w:trHeight w:val="713"/>
        </w:trPr>
        <w:tc>
          <w:tcPr>
            <w:tcW w:w="9176" w:type="dxa"/>
            <w:tcBorders>
              <w:top w:val="nil"/>
              <w:left w:val="single" w:sz="4" w:space="0" w:color="auto"/>
              <w:bottom w:val="single" w:sz="4" w:space="0" w:color="FFFFFF"/>
              <w:right w:val="single" w:sz="4" w:space="0" w:color="auto"/>
            </w:tcBorders>
            <w:shd w:val="clear" w:color="auto" w:fill="auto"/>
          </w:tcPr>
          <w:p w14:paraId="676B0E90" w14:textId="77777777" w:rsidR="00076DAE" w:rsidRPr="00076DAE" w:rsidRDefault="00076DAE" w:rsidP="00076DAE">
            <w:pPr>
              <w:widowControl/>
              <w:adjustRightInd/>
              <w:jc w:val="both"/>
              <w:rPr>
                <w:i/>
                <w:sz w:val="20"/>
                <w:szCs w:val="20"/>
              </w:rPr>
            </w:pPr>
            <w:r w:rsidRPr="00076DAE">
              <w:rPr>
                <w:i/>
                <w:sz w:val="20"/>
                <w:szCs w:val="20"/>
              </w:rPr>
              <w:t xml:space="preserve">V prípade potreby uveďte doplňujúce informácie k identifikovaným vplyvom a ich analýzam. </w:t>
            </w:r>
          </w:p>
          <w:p w14:paraId="111A8D25" w14:textId="77777777" w:rsidR="00076DAE" w:rsidRPr="00076DAE" w:rsidRDefault="00076DAE" w:rsidP="00076DAE">
            <w:pPr>
              <w:widowControl/>
              <w:adjustRightInd/>
              <w:jc w:val="both"/>
              <w:rPr>
                <w:i/>
                <w:sz w:val="20"/>
                <w:szCs w:val="20"/>
              </w:rPr>
            </w:pPr>
            <w:r w:rsidRPr="00076DAE">
              <w:rPr>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42A58E52" w14:textId="77777777" w:rsidR="00076DAE" w:rsidRPr="00076DAE" w:rsidRDefault="00076DAE" w:rsidP="00076DAE">
            <w:pPr>
              <w:widowControl/>
              <w:adjustRightInd/>
              <w:jc w:val="both"/>
              <w:rPr>
                <w:i/>
                <w:sz w:val="20"/>
                <w:szCs w:val="20"/>
              </w:rPr>
            </w:pPr>
            <w:r w:rsidRPr="00076DAE">
              <w:rPr>
                <w:i/>
                <w:sz w:val="20"/>
                <w:szCs w:val="20"/>
              </w:rPr>
              <w:t>Informácie v tejto časti slúžia na zhrnutie vplyvov alebo aj na vyjadrenie sa k marginálnym vplyvom a nie ako náhrada za vypracovanie príslušných analýz vybraných vplyvov.</w:t>
            </w:r>
          </w:p>
          <w:p w14:paraId="6451BD5F" w14:textId="77777777" w:rsidR="00076DAE" w:rsidRPr="00076DAE" w:rsidRDefault="00076DAE" w:rsidP="00076DAE">
            <w:pPr>
              <w:widowControl/>
              <w:adjustRightInd/>
              <w:jc w:val="both"/>
              <w:rPr>
                <w:i/>
                <w:sz w:val="20"/>
                <w:szCs w:val="20"/>
              </w:rPr>
            </w:pPr>
            <w:r w:rsidRPr="00076DAE">
              <w:rPr>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14:paraId="2EDAE0B2" w14:textId="77777777" w:rsidR="00076DAE" w:rsidRPr="00076DAE" w:rsidRDefault="00076DAE" w:rsidP="00076DAE">
            <w:pPr>
              <w:widowControl/>
              <w:adjustRightInd/>
              <w:jc w:val="both"/>
              <w:rPr>
                <w:sz w:val="20"/>
                <w:szCs w:val="20"/>
              </w:rPr>
            </w:pPr>
            <w:r w:rsidRPr="00076DAE">
              <w:rPr>
                <w:sz w:val="20"/>
                <w:szCs w:val="20"/>
              </w:rPr>
              <w:t>Ročná výška prevádzkových výdavkov ŠFRB je stanovená pri schvaľovaní rozpočtu verejnej správy, ktorý stanovuje rozpočet príjmov a výdavkov ŠFRB.</w:t>
            </w:r>
          </w:p>
        </w:tc>
      </w:tr>
      <w:tr w:rsidR="00076DAE" w:rsidRPr="00076DAE" w14:paraId="50C6B297" w14:textId="77777777" w:rsidTr="0093572E">
        <w:tc>
          <w:tcPr>
            <w:tcW w:w="9176" w:type="dxa"/>
            <w:tcBorders>
              <w:top w:val="single" w:sz="4" w:space="0" w:color="auto"/>
              <w:left w:val="single" w:sz="4" w:space="0" w:color="auto"/>
              <w:bottom w:val="single" w:sz="4" w:space="0" w:color="FFFFFF"/>
              <w:right w:val="single" w:sz="4" w:space="0" w:color="auto"/>
            </w:tcBorders>
            <w:shd w:val="clear" w:color="auto" w:fill="E2E2E2"/>
          </w:tcPr>
          <w:p w14:paraId="55664DE2"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Kontakt na spracovateľa</w:t>
            </w:r>
          </w:p>
        </w:tc>
      </w:tr>
      <w:tr w:rsidR="00076DAE" w:rsidRPr="00076DAE" w14:paraId="0F7CDCD9" w14:textId="77777777" w:rsidTr="0093572E">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1BE1C60" w14:textId="77777777" w:rsidR="00076DAE" w:rsidRPr="00076DAE" w:rsidRDefault="00076DAE" w:rsidP="00076DAE">
            <w:pPr>
              <w:widowControl/>
              <w:adjustRightInd/>
              <w:rPr>
                <w:i/>
                <w:sz w:val="20"/>
                <w:szCs w:val="20"/>
              </w:rPr>
            </w:pPr>
            <w:r w:rsidRPr="00076DAE">
              <w:rPr>
                <w:i/>
                <w:sz w:val="20"/>
                <w:szCs w:val="20"/>
              </w:rPr>
              <w:t>Uveďte údaje na kontaktnú osobu, ktorú je možné kontaktovať v súvislosti s posúdením vybraných vplyvov.</w:t>
            </w:r>
          </w:p>
          <w:p w14:paraId="255380B1" w14:textId="77777777" w:rsidR="00076DAE" w:rsidRPr="00076DAE" w:rsidRDefault="00076DAE" w:rsidP="00076DAE">
            <w:pPr>
              <w:widowControl/>
              <w:adjustRightInd/>
              <w:rPr>
                <w:i/>
                <w:sz w:val="20"/>
                <w:szCs w:val="20"/>
              </w:rPr>
            </w:pPr>
            <w:r w:rsidRPr="00076DAE">
              <w:rPr>
                <w:sz w:val="20"/>
                <w:szCs w:val="20"/>
              </w:rPr>
              <w:t xml:space="preserve">MD SR –  PhDr. Veronika Reháková,02/594 94 574, riaditeľka odboru bytovej politiky </w:t>
            </w:r>
            <w:hyperlink r:id="rId7" w:history="1">
              <w:r w:rsidRPr="00076DAE">
                <w:rPr>
                  <w:color w:val="0563C1"/>
                  <w:sz w:val="20"/>
                  <w:szCs w:val="20"/>
                  <w:u w:val="single"/>
                </w:rPr>
                <w:t>veronika.rehakova@mindop.sk</w:t>
              </w:r>
            </w:hyperlink>
            <w:r w:rsidRPr="00076DAE">
              <w:rPr>
                <w:color w:val="0563C1"/>
                <w:sz w:val="20"/>
                <w:szCs w:val="20"/>
                <w:u w:val="single"/>
              </w:rPr>
              <w:t xml:space="preserve"> </w:t>
            </w:r>
            <w:r w:rsidRPr="00076DAE">
              <w:rPr>
                <w:sz w:val="20"/>
                <w:szCs w:val="20"/>
              </w:rPr>
              <w:t xml:space="preserve">, Ing. Jana Čerňanská, 02/594 94 585, hlavný štátny radca,  </w:t>
            </w:r>
            <w:hyperlink r:id="rId8" w:history="1">
              <w:r w:rsidRPr="00076DAE">
                <w:rPr>
                  <w:color w:val="0563C1"/>
                  <w:sz w:val="20"/>
                  <w:szCs w:val="20"/>
                  <w:u w:val="single"/>
                </w:rPr>
                <w:t>jana.cernanska@mindop.sk</w:t>
              </w:r>
            </w:hyperlink>
            <w:r w:rsidRPr="00076DAE">
              <w:rPr>
                <w:sz w:val="20"/>
                <w:szCs w:val="20"/>
              </w:rPr>
              <w:t xml:space="preserve"> </w:t>
            </w:r>
            <w:r w:rsidRPr="00076DAE">
              <w:rPr>
                <w:color w:val="0563C1"/>
                <w:sz w:val="20"/>
                <w:szCs w:val="20"/>
                <w:u w:val="single"/>
              </w:rPr>
              <w:t xml:space="preserve">                  </w:t>
            </w:r>
          </w:p>
        </w:tc>
      </w:tr>
      <w:tr w:rsidR="00076DAE" w:rsidRPr="00076DAE" w14:paraId="2B1CE9F4" w14:textId="77777777" w:rsidTr="0093572E">
        <w:tc>
          <w:tcPr>
            <w:tcW w:w="9176" w:type="dxa"/>
            <w:tcBorders>
              <w:top w:val="single" w:sz="4" w:space="0" w:color="auto"/>
              <w:left w:val="single" w:sz="4" w:space="0" w:color="auto"/>
              <w:bottom w:val="single" w:sz="4" w:space="0" w:color="FFFFFF"/>
              <w:right w:val="single" w:sz="4" w:space="0" w:color="auto"/>
            </w:tcBorders>
            <w:shd w:val="clear" w:color="auto" w:fill="E2E2E2"/>
          </w:tcPr>
          <w:p w14:paraId="44311C71" w14:textId="77777777" w:rsidR="00076DAE" w:rsidRPr="00076DAE" w:rsidRDefault="00076DAE" w:rsidP="00076DAE">
            <w:pPr>
              <w:widowControl/>
              <w:numPr>
                <w:ilvl w:val="0"/>
                <w:numId w:val="1"/>
              </w:numPr>
              <w:adjustRightInd/>
              <w:ind w:left="426"/>
              <w:contextualSpacing/>
              <w:rPr>
                <w:b/>
                <w:sz w:val="22"/>
                <w:szCs w:val="22"/>
              </w:rPr>
            </w:pPr>
            <w:r w:rsidRPr="00076DAE">
              <w:rPr>
                <w:b/>
                <w:sz w:val="22"/>
                <w:szCs w:val="22"/>
              </w:rPr>
              <w:t>Zdroje</w:t>
            </w:r>
          </w:p>
        </w:tc>
      </w:tr>
      <w:tr w:rsidR="00076DAE" w:rsidRPr="00076DAE" w14:paraId="73766672" w14:textId="77777777" w:rsidTr="0093572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F47F363" w14:textId="77777777" w:rsidR="00076DAE" w:rsidRPr="00076DAE" w:rsidRDefault="00076DAE" w:rsidP="00076DAE">
            <w:pPr>
              <w:widowControl/>
              <w:adjustRightInd/>
              <w:jc w:val="both"/>
              <w:rPr>
                <w:i/>
                <w:sz w:val="20"/>
                <w:szCs w:val="20"/>
              </w:rPr>
            </w:pPr>
            <w:r w:rsidRPr="00076DAE">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076DAE">
              <w:t xml:space="preserve"> </w:t>
            </w:r>
          </w:p>
          <w:p w14:paraId="5650C3DA" w14:textId="77777777" w:rsidR="00076DAE" w:rsidRPr="00076DAE" w:rsidRDefault="00076DAE" w:rsidP="00076DAE">
            <w:pPr>
              <w:widowControl/>
              <w:adjustRightInd/>
              <w:rPr>
                <w:sz w:val="20"/>
                <w:szCs w:val="20"/>
              </w:rPr>
            </w:pPr>
            <w:r w:rsidRPr="00076DAE">
              <w:rPr>
                <w:sz w:val="20"/>
                <w:szCs w:val="20"/>
              </w:rPr>
              <w:t>MD SR, ŠÚ SR</w:t>
            </w:r>
          </w:p>
        </w:tc>
      </w:tr>
      <w:tr w:rsidR="00076DAE" w:rsidRPr="00076DAE" w14:paraId="21417BD5" w14:textId="77777777" w:rsidTr="0093572E">
        <w:tc>
          <w:tcPr>
            <w:tcW w:w="9176" w:type="dxa"/>
            <w:tcBorders>
              <w:top w:val="single" w:sz="4" w:space="0" w:color="auto"/>
              <w:left w:val="single" w:sz="4" w:space="0" w:color="auto"/>
              <w:bottom w:val="single" w:sz="4" w:space="0" w:color="FFFFFF"/>
              <w:right w:val="single" w:sz="4" w:space="0" w:color="auto"/>
            </w:tcBorders>
            <w:shd w:val="clear" w:color="auto" w:fill="E2E2E2"/>
          </w:tcPr>
          <w:p w14:paraId="204524F8" w14:textId="77777777" w:rsidR="00076DAE" w:rsidRPr="00076DAE" w:rsidRDefault="00076DAE" w:rsidP="00076DAE">
            <w:pPr>
              <w:widowControl/>
              <w:numPr>
                <w:ilvl w:val="0"/>
                <w:numId w:val="1"/>
              </w:numPr>
              <w:adjustRightInd/>
              <w:ind w:left="447" w:hanging="425"/>
              <w:contextualSpacing/>
              <w:rPr>
                <w:b/>
                <w:sz w:val="22"/>
                <w:szCs w:val="22"/>
              </w:rPr>
            </w:pPr>
            <w:r w:rsidRPr="00076DAE">
              <w:rPr>
                <w:b/>
                <w:sz w:val="22"/>
                <w:szCs w:val="22"/>
              </w:rPr>
              <w:t xml:space="preserve">Stanovisko Komisie na posudzovanie vybraných vplyvov z PPK č. </w:t>
            </w:r>
          </w:p>
          <w:p w14:paraId="17A7F3D2" w14:textId="77777777" w:rsidR="00076DAE" w:rsidRPr="00076DAE" w:rsidRDefault="00076DAE" w:rsidP="00076DAE">
            <w:pPr>
              <w:widowControl/>
              <w:adjustRightInd/>
              <w:ind w:left="502"/>
              <w:rPr>
                <w:b/>
                <w:sz w:val="20"/>
                <w:szCs w:val="20"/>
              </w:rPr>
            </w:pPr>
            <w:r w:rsidRPr="00076DAE">
              <w:rPr>
                <w:sz w:val="22"/>
                <w:szCs w:val="22"/>
              </w:rPr>
              <w:t>(v prípade, ak sa uskutočnilo v zmysle bodu 8.1 Jednotnej metodiky)</w:t>
            </w:r>
          </w:p>
        </w:tc>
      </w:tr>
      <w:tr w:rsidR="00076DAE" w:rsidRPr="00076DAE" w14:paraId="4C8D089F" w14:textId="77777777" w:rsidTr="0093572E">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8386B39" w14:textId="77777777" w:rsidR="00076DAE" w:rsidRPr="00076DAE" w:rsidRDefault="00076DAE" w:rsidP="00076DAE">
            <w:pPr>
              <w:widowControl/>
              <w:adjustRightInd/>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76DAE" w:rsidRPr="00076DAE" w14:paraId="34C8C423" w14:textId="77777777" w:rsidTr="0093572E">
              <w:trPr>
                <w:trHeight w:val="396"/>
              </w:trPr>
              <w:tc>
                <w:tcPr>
                  <w:tcW w:w="2552" w:type="dxa"/>
                </w:tcPr>
                <w:p w14:paraId="57766989" w14:textId="77777777" w:rsidR="00076DAE" w:rsidRPr="00076DAE" w:rsidRDefault="0093572E" w:rsidP="00076DAE">
                  <w:pPr>
                    <w:widowControl/>
                    <w:adjustRightInd/>
                    <w:rPr>
                      <w:b/>
                      <w:sz w:val="20"/>
                      <w:szCs w:val="20"/>
                    </w:rPr>
                  </w:pPr>
                  <w:sdt>
                    <w:sdtPr>
                      <w:rPr>
                        <w:b/>
                        <w:sz w:val="20"/>
                        <w:szCs w:val="20"/>
                      </w:rPr>
                      <w:id w:val="-1874910888"/>
                      <w14:checkbox>
                        <w14:checked w14:val="1"/>
                        <w14:checkedState w14:val="2612" w14:font="MS Gothic"/>
                        <w14:uncheckedState w14:val="2610" w14:font="MS Gothic"/>
                      </w14:checkbox>
                    </w:sdtPr>
                    <w:sdtContent>
                      <w:r w:rsidR="00076DAE" w:rsidRPr="00076DAE">
                        <w:rPr>
                          <w:rFonts w:ascii="Segoe UI Symbol" w:hAnsi="Segoe UI Symbol" w:cs="Segoe UI Symbol"/>
                          <w:b/>
                          <w:sz w:val="20"/>
                          <w:szCs w:val="20"/>
                        </w:rPr>
                        <w:t>☒</w:t>
                      </w:r>
                    </w:sdtContent>
                  </w:sdt>
                  <w:r w:rsidR="00076DAE" w:rsidRPr="00076DAE">
                    <w:rPr>
                      <w:b/>
                      <w:sz w:val="20"/>
                      <w:szCs w:val="20"/>
                    </w:rPr>
                    <w:t xml:space="preserve">  Súhlasné </w:t>
                  </w:r>
                </w:p>
              </w:tc>
              <w:tc>
                <w:tcPr>
                  <w:tcW w:w="3827" w:type="dxa"/>
                </w:tcPr>
                <w:p w14:paraId="74BB81F6" w14:textId="77777777" w:rsidR="00076DAE" w:rsidRPr="00076DAE" w:rsidRDefault="0093572E" w:rsidP="00076DAE">
                  <w:pPr>
                    <w:widowControl/>
                    <w:adjustRightInd/>
                    <w:rPr>
                      <w:b/>
                      <w:sz w:val="20"/>
                      <w:szCs w:val="20"/>
                    </w:rPr>
                  </w:pPr>
                  <w:sdt>
                    <w:sdtPr>
                      <w:rPr>
                        <w:b/>
                        <w:sz w:val="20"/>
                        <w:szCs w:val="20"/>
                      </w:rPr>
                      <w:id w:val="1697888127"/>
                      <w14:checkbox>
                        <w14:checked w14:val="0"/>
                        <w14:checkedState w14:val="2612" w14:font="MS Gothic"/>
                        <w14:uncheckedState w14:val="2610" w14:font="MS Gothic"/>
                      </w14:checkbox>
                    </w:sdtPr>
                    <w:sdtContent>
                      <w:r w:rsidR="00076DAE" w:rsidRPr="00076DAE">
                        <w:rPr>
                          <w:rFonts w:ascii="Segoe UI Symbol" w:hAnsi="Segoe UI Symbol" w:cs="Segoe UI Symbol"/>
                          <w:b/>
                          <w:sz w:val="20"/>
                          <w:szCs w:val="20"/>
                        </w:rPr>
                        <w:t>☐</w:t>
                      </w:r>
                    </w:sdtContent>
                  </w:sdt>
                  <w:r w:rsidR="00076DAE" w:rsidRPr="00076DAE">
                    <w:rPr>
                      <w:b/>
                      <w:sz w:val="20"/>
                      <w:szCs w:val="20"/>
                    </w:rPr>
                    <w:t xml:space="preserve">  Súhlasné s návrhom na dopracovanie</w:t>
                  </w:r>
                </w:p>
              </w:tc>
              <w:tc>
                <w:tcPr>
                  <w:tcW w:w="2534" w:type="dxa"/>
                </w:tcPr>
                <w:p w14:paraId="5875A85C" w14:textId="77777777" w:rsidR="00076DAE" w:rsidRPr="00076DAE" w:rsidRDefault="0093572E" w:rsidP="00076DAE">
                  <w:pPr>
                    <w:widowControl/>
                    <w:adjustRightInd/>
                    <w:ind w:right="459"/>
                    <w:rPr>
                      <w:b/>
                      <w:sz w:val="20"/>
                      <w:szCs w:val="20"/>
                    </w:rPr>
                  </w:pPr>
                  <w:sdt>
                    <w:sdtPr>
                      <w:rPr>
                        <w:b/>
                        <w:sz w:val="20"/>
                        <w:szCs w:val="20"/>
                      </w:rPr>
                      <w:id w:val="-647822913"/>
                      <w14:checkbox>
                        <w14:checked w14:val="0"/>
                        <w14:checkedState w14:val="2612" w14:font="MS Gothic"/>
                        <w14:uncheckedState w14:val="2610" w14:font="MS Gothic"/>
                      </w14:checkbox>
                    </w:sdtPr>
                    <w:sdtContent>
                      <w:r w:rsidR="00076DAE" w:rsidRPr="00076DAE">
                        <w:rPr>
                          <w:rFonts w:ascii="Segoe UI Symbol" w:hAnsi="Segoe UI Symbol" w:cs="Segoe UI Symbol"/>
                          <w:b/>
                          <w:sz w:val="20"/>
                          <w:szCs w:val="20"/>
                        </w:rPr>
                        <w:t>☐</w:t>
                      </w:r>
                    </w:sdtContent>
                  </w:sdt>
                  <w:r w:rsidR="00076DAE" w:rsidRPr="00076DAE">
                    <w:rPr>
                      <w:b/>
                      <w:sz w:val="20"/>
                      <w:szCs w:val="20"/>
                    </w:rPr>
                    <w:t xml:space="preserve">  Nesúhlasné</w:t>
                  </w:r>
                </w:p>
              </w:tc>
            </w:tr>
          </w:tbl>
          <w:p w14:paraId="15195014" w14:textId="77777777" w:rsidR="00076DAE" w:rsidRPr="00076DAE" w:rsidRDefault="00076DAE" w:rsidP="00076DAE">
            <w:pPr>
              <w:widowControl/>
              <w:adjustRightInd/>
              <w:jc w:val="both"/>
              <w:rPr>
                <w:b/>
                <w:sz w:val="20"/>
                <w:szCs w:val="20"/>
              </w:rPr>
            </w:pPr>
            <w:r w:rsidRPr="00076DAE">
              <w:rPr>
                <w:b/>
                <w:sz w:val="20"/>
                <w:szCs w:val="20"/>
              </w:rPr>
              <w:t>Uveďte pripomienky zo stanoviska Komisie z časti II. spolu s Vaším vyhodnotením:</w:t>
            </w:r>
          </w:p>
          <w:p w14:paraId="0721CF2F" w14:textId="77777777" w:rsidR="00076DAE" w:rsidRPr="00076DAE" w:rsidRDefault="00076DAE" w:rsidP="00076DAE">
            <w:pPr>
              <w:widowControl/>
              <w:adjustRightInd/>
              <w:jc w:val="both"/>
              <w:rPr>
                <w:b/>
                <w:sz w:val="20"/>
                <w:szCs w:val="20"/>
              </w:rPr>
            </w:pPr>
          </w:p>
          <w:p w14:paraId="3715EF3A" w14:textId="77777777" w:rsidR="00076DAE" w:rsidRPr="00076DAE" w:rsidRDefault="00076DAE" w:rsidP="00076DAE">
            <w:pPr>
              <w:widowControl/>
              <w:suppressAutoHyphens/>
              <w:adjustRightInd/>
              <w:spacing w:line="100" w:lineRule="atLeast"/>
              <w:jc w:val="both"/>
              <w:rPr>
                <w:bCs/>
                <w:sz w:val="20"/>
                <w:szCs w:val="20"/>
                <w:lang w:eastAsia="ar-SA"/>
              </w:rPr>
            </w:pPr>
            <w:r w:rsidRPr="00076DAE">
              <w:rPr>
                <w:b/>
                <w:bCs/>
                <w:sz w:val="20"/>
                <w:szCs w:val="20"/>
                <w:lang w:eastAsia="ar-SA"/>
              </w:rPr>
              <w:t>II. P</w:t>
            </w:r>
            <w:r w:rsidRPr="00076DAE">
              <w:rPr>
                <w:b/>
                <w:sz w:val="20"/>
                <w:szCs w:val="20"/>
                <w:lang w:eastAsia="ar-SA"/>
              </w:rPr>
              <w:t>r</w:t>
            </w:r>
            <w:r w:rsidRPr="00076DAE">
              <w:rPr>
                <w:b/>
                <w:bCs/>
                <w:sz w:val="20"/>
                <w:szCs w:val="20"/>
                <w:lang w:eastAsia="ar-SA"/>
              </w:rPr>
              <w:t>ipomienky a návrhy zm</w:t>
            </w:r>
            <w:r w:rsidRPr="00076DAE">
              <w:rPr>
                <w:b/>
                <w:sz w:val="20"/>
                <w:szCs w:val="20"/>
                <w:lang w:eastAsia="ar-SA"/>
              </w:rPr>
              <w:t>ie</w:t>
            </w:r>
            <w:r w:rsidRPr="00076DAE">
              <w:rPr>
                <w:b/>
                <w:bCs/>
                <w:sz w:val="20"/>
                <w:szCs w:val="20"/>
                <w:lang w:eastAsia="ar-SA"/>
              </w:rPr>
              <w:t xml:space="preserve">n: </w:t>
            </w:r>
            <w:r w:rsidRPr="00076DAE">
              <w:rPr>
                <w:bCs/>
                <w:sz w:val="20"/>
                <w:szCs w:val="20"/>
                <w:lang w:eastAsia="ar-SA"/>
              </w:rPr>
              <w:t>Komisia uplatňuje k materiálu nasledovné pripomienky a odporúčania:</w:t>
            </w:r>
          </w:p>
          <w:p w14:paraId="5F8763E7" w14:textId="77777777" w:rsidR="00076DAE" w:rsidRPr="00076DAE" w:rsidRDefault="00076DAE" w:rsidP="00076DAE">
            <w:pPr>
              <w:widowControl/>
              <w:suppressAutoHyphens/>
              <w:adjustRightInd/>
              <w:jc w:val="both"/>
              <w:rPr>
                <w:b/>
                <w:bCs/>
                <w:sz w:val="20"/>
                <w:szCs w:val="20"/>
                <w:lang w:eastAsia="ar-SA"/>
              </w:rPr>
            </w:pPr>
          </w:p>
          <w:p w14:paraId="68107AF8" w14:textId="77777777" w:rsidR="00076DAE" w:rsidRPr="00076DAE" w:rsidRDefault="00076DAE" w:rsidP="00076DAE">
            <w:pPr>
              <w:widowControl/>
              <w:suppressAutoHyphens/>
              <w:adjustRightInd/>
              <w:jc w:val="both"/>
              <w:rPr>
                <w:b/>
                <w:bCs/>
                <w:sz w:val="20"/>
                <w:szCs w:val="20"/>
                <w:lang w:eastAsia="ar-SA"/>
              </w:rPr>
            </w:pPr>
            <w:r w:rsidRPr="00076DAE">
              <w:rPr>
                <w:b/>
                <w:bCs/>
                <w:sz w:val="20"/>
                <w:szCs w:val="20"/>
                <w:lang w:eastAsia="ar-SA"/>
              </w:rPr>
              <w:t>K sociálnym vplyvom</w:t>
            </w:r>
          </w:p>
          <w:p w14:paraId="5B4A6511" w14:textId="77777777" w:rsidR="00076DAE" w:rsidRPr="00076DAE" w:rsidRDefault="00076DAE" w:rsidP="00076DAE">
            <w:pPr>
              <w:widowControl/>
              <w:suppressAutoHyphens/>
              <w:adjustRightInd/>
              <w:jc w:val="both"/>
              <w:rPr>
                <w:bCs/>
                <w:sz w:val="20"/>
                <w:szCs w:val="20"/>
                <w:lang w:eastAsia="ar-SA"/>
              </w:rPr>
            </w:pPr>
            <w:r w:rsidRPr="00076DAE">
              <w:rPr>
                <w:bCs/>
                <w:sz w:val="20"/>
                <w:szCs w:val="20"/>
                <w:lang w:eastAsia="ar-SA"/>
              </w:rPr>
              <w:t xml:space="preserve">Komisia odporúča v bode 9 doložky vybraných vplyvov označiť pozitívne a negatívne sociálne vplyvy predloženého materiálu a vypracovať analýzu sociálnych vplyvov s bližším kvalitatívnym a pokiaľ je to možné aj kvantitatívnym zhodnotením sociálnych vplyvov. </w:t>
            </w:r>
          </w:p>
          <w:p w14:paraId="5014295F" w14:textId="77777777" w:rsidR="00076DAE" w:rsidRPr="00076DAE" w:rsidRDefault="00076DAE" w:rsidP="00076DAE">
            <w:pPr>
              <w:widowControl/>
              <w:suppressAutoHyphens/>
              <w:adjustRightInd/>
              <w:jc w:val="both"/>
              <w:rPr>
                <w:bCs/>
                <w:sz w:val="20"/>
                <w:szCs w:val="20"/>
                <w:lang w:eastAsia="ar-SA"/>
              </w:rPr>
            </w:pPr>
            <w:r w:rsidRPr="00076DAE">
              <w:rPr>
                <w:bCs/>
                <w:sz w:val="20"/>
                <w:szCs w:val="20"/>
                <w:u w:val="single"/>
                <w:lang w:eastAsia="ar-SA"/>
              </w:rPr>
              <w:t>Odôvodnenie:</w:t>
            </w:r>
            <w:r w:rsidRPr="00076DAE">
              <w:rPr>
                <w:bCs/>
                <w:sz w:val="20"/>
                <w:szCs w:val="20"/>
                <w:lang w:eastAsia="ar-SA"/>
              </w:rPr>
              <w:t xml:space="preserve"> Predložený materiál v porovnaní so súčasným stavom napr. rozširuje účely, na ktoré je možné poskytnúť podporu zo ŠFRB na obstaranie a obnovu internátu pre študentov stredných a vysokých škôl, rozširuje možnosť poskytnúť príspevok na „</w:t>
            </w:r>
            <w:proofErr w:type="spellStart"/>
            <w:r w:rsidRPr="00076DAE">
              <w:rPr>
                <w:bCs/>
                <w:sz w:val="20"/>
                <w:szCs w:val="20"/>
                <w:lang w:eastAsia="ar-SA"/>
              </w:rPr>
              <w:t>dozateplenie</w:t>
            </w:r>
            <w:proofErr w:type="spellEnd"/>
            <w:r w:rsidRPr="00076DAE">
              <w:rPr>
                <w:bCs/>
                <w:sz w:val="20"/>
                <w:szCs w:val="20"/>
                <w:lang w:eastAsia="ar-SA"/>
              </w:rPr>
              <w:t xml:space="preserve">“, predpokladá zvýšenie počtu zamestnancov ŠFRB. Ďalej napr. sa navrhuje zavedenie sankcie vo výške vrátenia nesplatenej časti úveru a odvod až do výšky 100 % poskytnutého úveru v závislosti od dĺžky obdobia, počas ktorého došlo k porušeniu tejto podmienky. Na základe vyššie uvedeného Komisia odporúča v bode 9 doložky vybraných vplyvov označiť pozitívne a negatívne sociálne vplyvy predloženého materiálu a súčasne ich bližšie kvalitatívne a kvantitatívne zhodnotiť v analýze sociálnych vplyvov predovšetkým v bode 4.1 vplyvy na hospodárenie domácností, v bode 4.2 vplyvy na prístup k zdrojom, právam, tovarom a službám a v bode 4.4 vplyvy na zamestnanosť a na trh práce.   </w:t>
            </w:r>
          </w:p>
          <w:p w14:paraId="30840671" w14:textId="77777777" w:rsidR="00076DAE" w:rsidRPr="00076DAE" w:rsidRDefault="00076DAE" w:rsidP="00076DAE">
            <w:pPr>
              <w:widowControl/>
              <w:suppressAutoHyphens/>
              <w:adjustRightInd/>
              <w:jc w:val="both"/>
              <w:rPr>
                <w:bCs/>
                <w:sz w:val="20"/>
                <w:szCs w:val="20"/>
                <w:lang w:eastAsia="ar-SA"/>
              </w:rPr>
            </w:pPr>
            <w:r w:rsidRPr="00076DAE">
              <w:rPr>
                <w:bCs/>
                <w:sz w:val="20"/>
                <w:szCs w:val="20"/>
                <w:u w:val="single"/>
                <w:lang w:eastAsia="ar-SA"/>
              </w:rPr>
              <w:t>Vyhodnotenie pripomienky</w:t>
            </w:r>
            <w:r w:rsidRPr="00076DAE">
              <w:rPr>
                <w:bCs/>
                <w:sz w:val="20"/>
                <w:szCs w:val="20"/>
                <w:lang w:eastAsia="ar-SA"/>
              </w:rPr>
              <w:t xml:space="preserve">: </w:t>
            </w:r>
            <w:proofErr w:type="spellStart"/>
            <w:r w:rsidRPr="00076DAE">
              <w:rPr>
                <w:bCs/>
                <w:sz w:val="20"/>
                <w:szCs w:val="20"/>
                <w:lang w:eastAsia="ar-SA"/>
              </w:rPr>
              <w:t>Dozateplenie</w:t>
            </w:r>
            <w:proofErr w:type="spellEnd"/>
            <w:r w:rsidRPr="00076DAE">
              <w:rPr>
                <w:bCs/>
                <w:sz w:val="20"/>
                <w:szCs w:val="20"/>
                <w:lang w:eastAsia="ar-SA"/>
              </w:rPr>
              <w:t xml:space="preserve"> nie je novým </w:t>
            </w:r>
            <w:proofErr w:type="spellStart"/>
            <w:r w:rsidRPr="00076DAE">
              <w:rPr>
                <w:bCs/>
                <w:sz w:val="20"/>
                <w:szCs w:val="20"/>
                <w:lang w:eastAsia="ar-SA"/>
              </w:rPr>
              <w:t>podúčelom</w:t>
            </w:r>
            <w:proofErr w:type="spellEnd"/>
            <w:r w:rsidRPr="00076DAE">
              <w:rPr>
                <w:bCs/>
                <w:sz w:val="20"/>
                <w:szCs w:val="20"/>
                <w:lang w:eastAsia="ar-SA"/>
              </w:rPr>
              <w:t xml:space="preserve"> v rámci obnovy bytového domu, </w:t>
            </w:r>
            <w:proofErr w:type="spellStart"/>
            <w:r w:rsidRPr="00076DAE">
              <w:rPr>
                <w:bCs/>
                <w:sz w:val="20"/>
                <w:szCs w:val="20"/>
                <w:lang w:eastAsia="ar-SA"/>
              </w:rPr>
              <w:t>t.j</w:t>
            </w:r>
            <w:proofErr w:type="spellEnd"/>
            <w:r w:rsidRPr="00076DAE">
              <w:rPr>
                <w:bCs/>
                <w:sz w:val="20"/>
                <w:szCs w:val="20"/>
                <w:lang w:eastAsia="ar-SA"/>
              </w:rPr>
              <w:t xml:space="preserve">. nejde o rozšíreniu účelov podpory zo ŠFRB. Ide iba o legislatívne spresnenie rozsahu stavebných práv v rámci existujúceho </w:t>
            </w:r>
            <w:proofErr w:type="spellStart"/>
            <w:r w:rsidRPr="00076DAE">
              <w:rPr>
                <w:bCs/>
                <w:sz w:val="20"/>
                <w:szCs w:val="20"/>
                <w:lang w:eastAsia="ar-SA"/>
              </w:rPr>
              <w:t>podúčelu</w:t>
            </w:r>
            <w:proofErr w:type="spellEnd"/>
            <w:r w:rsidRPr="00076DAE">
              <w:rPr>
                <w:bCs/>
                <w:sz w:val="20"/>
                <w:szCs w:val="20"/>
                <w:lang w:eastAsia="ar-SA"/>
              </w:rPr>
              <w:t xml:space="preserve"> – iná modernizácia bytového domu. Sankcie za nedodržanie napr. nájomného charakteru alebo minimálneho času poskytovania sociálnych služieb v ZSS, resp. ubytovania v ubytovacích domoch vo forme vrátenia nesplatenej časti úveru a odvod vo výške 20 % zo sumy poskytnutého úveru sú upravené v platnom a účinnom znení zákona č. 150/2013 Z. z. Novelou sa upravuje iba výška odvodu z 20 % až do výšky 100 %. Týka sa to účelov, kde žiadateľmi môže byť obec, samosprávny kraj, nezisková organizácia podľa zákona č. 443/2010 Z. z. a iná právnická osoba. To znamená, že uvedená sankcia za porušenie podmienok poskytnutia podpory nemá dopad na domácnosti a fyzické osoby.</w:t>
            </w:r>
          </w:p>
          <w:p w14:paraId="53F7EA3A" w14:textId="77777777" w:rsidR="00076DAE" w:rsidRPr="00076DAE" w:rsidRDefault="00076DAE" w:rsidP="00076DAE">
            <w:pPr>
              <w:widowControl/>
              <w:suppressAutoHyphens/>
              <w:adjustRightInd/>
              <w:jc w:val="both"/>
              <w:rPr>
                <w:bCs/>
                <w:sz w:val="20"/>
                <w:szCs w:val="20"/>
                <w:lang w:eastAsia="ar-SA"/>
              </w:rPr>
            </w:pPr>
            <w:r w:rsidRPr="00076DAE">
              <w:rPr>
                <w:bCs/>
                <w:sz w:val="20"/>
                <w:szCs w:val="20"/>
                <w:lang w:eastAsia="ar-SA"/>
              </w:rPr>
              <w:lastRenderedPageBreak/>
              <w:t>Čo sa týka zavedenia nového účelu podpory – obstaranie a obnova internátu – v tomto prípade sa navrhuje, že  žiadateľom môže byť iba samosprávny kraj a verejná vysoká škola. Vzhľadom na to, že nie je možné vopred určiť záujem o tento účel, nie je možné vyčísliť sociálny dopad.</w:t>
            </w:r>
          </w:p>
          <w:p w14:paraId="68E1905B" w14:textId="77777777" w:rsidR="00076DAE" w:rsidRPr="00076DAE" w:rsidRDefault="00076DAE" w:rsidP="00076DAE">
            <w:pPr>
              <w:widowControl/>
              <w:suppressAutoHyphens/>
              <w:adjustRightInd/>
              <w:jc w:val="both"/>
              <w:rPr>
                <w:bCs/>
                <w:sz w:val="20"/>
                <w:szCs w:val="20"/>
                <w:lang w:eastAsia="ar-SA"/>
              </w:rPr>
            </w:pPr>
            <w:r w:rsidRPr="00076DAE">
              <w:rPr>
                <w:bCs/>
                <w:sz w:val="20"/>
                <w:szCs w:val="20"/>
                <w:lang w:eastAsia="ar-SA"/>
              </w:rPr>
              <w:t xml:space="preserve">Ak vývoj v počte </w:t>
            </w:r>
            <w:r w:rsidRPr="00076DAE">
              <w:rPr>
                <w:rFonts w:hint="cs"/>
                <w:bCs/>
                <w:sz w:val="20"/>
                <w:szCs w:val="20"/>
                <w:lang w:eastAsia="ar-SA"/>
              </w:rPr>
              <w:t>ž</w:t>
            </w:r>
            <w:r w:rsidRPr="00076DAE">
              <w:rPr>
                <w:bCs/>
                <w:sz w:val="20"/>
                <w:szCs w:val="20"/>
                <w:lang w:eastAsia="ar-SA"/>
              </w:rPr>
              <w:t xml:space="preserve">iadostí o poskytnutie podpory zo </w:t>
            </w:r>
            <w:r w:rsidRPr="00076DAE">
              <w:rPr>
                <w:rFonts w:hint="cs"/>
                <w:bCs/>
                <w:sz w:val="20"/>
                <w:szCs w:val="20"/>
                <w:lang w:eastAsia="ar-SA"/>
              </w:rPr>
              <w:t>Š</w:t>
            </w:r>
            <w:r w:rsidRPr="00076DAE">
              <w:rPr>
                <w:bCs/>
                <w:sz w:val="20"/>
                <w:szCs w:val="20"/>
                <w:lang w:eastAsia="ar-SA"/>
              </w:rPr>
              <w:t xml:space="preserve">FRB a počte </w:t>
            </w:r>
            <w:r w:rsidRPr="00076DAE">
              <w:rPr>
                <w:rFonts w:hint="cs"/>
                <w:bCs/>
                <w:sz w:val="20"/>
                <w:szCs w:val="20"/>
                <w:lang w:eastAsia="ar-SA"/>
              </w:rPr>
              <w:t>ž</w:t>
            </w:r>
            <w:r w:rsidRPr="00076DAE">
              <w:rPr>
                <w:bCs/>
                <w:sz w:val="20"/>
                <w:szCs w:val="20"/>
                <w:lang w:eastAsia="ar-SA"/>
              </w:rPr>
              <w:t>iadostí o navý</w:t>
            </w:r>
            <w:r w:rsidRPr="00076DAE">
              <w:rPr>
                <w:rFonts w:hint="cs"/>
                <w:bCs/>
                <w:sz w:val="20"/>
                <w:szCs w:val="20"/>
                <w:lang w:eastAsia="ar-SA"/>
              </w:rPr>
              <w:t>š</w:t>
            </w:r>
            <w:r w:rsidRPr="00076DAE">
              <w:rPr>
                <w:bCs/>
                <w:sz w:val="20"/>
                <w:szCs w:val="20"/>
                <w:lang w:eastAsia="ar-SA"/>
              </w:rPr>
              <w:t xml:space="preserve">enie úveru v súvislosti s legislatívnymi úpravami iných právnych predpisov bude vysoký, </w:t>
            </w:r>
            <w:r w:rsidRPr="00076DAE">
              <w:rPr>
                <w:rFonts w:hint="cs"/>
                <w:bCs/>
                <w:sz w:val="20"/>
                <w:szCs w:val="20"/>
                <w:lang w:eastAsia="ar-SA"/>
              </w:rPr>
              <w:t>Š</w:t>
            </w:r>
            <w:r w:rsidRPr="00076DAE">
              <w:rPr>
                <w:bCs/>
                <w:sz w:val="20"/>
                <w:szCs w:val="20"/>
                <w:lang w:eastAsia="ar-SA"/>
              </w:rPr>
              <w:t>FRB v roku 2025 predpokladá mo</w:t>
            </w:r>
            <w:r w:rsidRPr="00076DAE">
              <w:rPr>
                <w:rFonts w:hint="cs"/>
                <w:bCs/>
                <w:sz w:val="20"/>
                <w:szCs w:val="20"/>
                <w:lang w:eastAsia="ar-SA"/>
              </w:rPr>
              <w:t>ž</w:t>
            </w:r>
            <w:r w:rsidRPr="00076DAE">
              <w:rPr>
                <w:bCs/>
                <w:sz w:val="20"/>
                <w:szCs w:val="20"/>
                <w:lang w:eastAsia="ar-SA"/>
              </w:rPr>
              <w:t>nosť zvý</w:t>
            </w:r>
            <w:r w:rsidRPr="00076DAE">
              <w:rPr>
                <w:rFonts w:hint="cs"/>
                <w:bCs/>
                <w:sz w:val="20"/>
                <w:szCs w:val="20"/>
                <w:lang w:eastAsia="ar-SA"/>
              </w:rPr>
              <w:t>š</w:t>
            </w:r>
            <w:r w:rsidRPr="00076DAE">
              <w:rPr>
                <w:bCs/>
                <w:sz w:val="20"/>
                <w:szCs w:val="20"/>
                <w:lang w:eastAsia="ar-SA"/>
              </w:rPr>
              <w:t>enia počtu zamestnancov najviac 4. V súčasnosti v</w:t>
            </w:r>
            <w:r w:rsidRPr="00076DAE">
              <w:rPr>
                <w:rFonts w:hint="cs"/>
                <w:bCs/>
                <w:sz w:val="20"/>
                <w:szCs w:val="20"/>
                <w:lang w:eastAsia="ar-SA"/>
              </w:rPr>
              <w:t>š</w:t>
            </w:r>
            <w:r w:rsidRPr="00076DAE">
              <w:rPr>
                <w:bCs/>
                <w:sz w:val="20"/>
                <w:szCs w:val="20"/>
                <w:lang w:eastAsia="ar-SA"/>
              </w:rPr>
              <w:t>ak nie je mo</w:t>
            </w:r>
            <w:r w:rsidRPr="00076DAE">
              <w:rPr>
                <w:rFonts w:hint="cs"/>
                <w:bCs/>
                <w:sz w:val="20"/>
                <w:szCs w:val="20"/>
                <w:lang w:eastAsia="ar-SA"/>
              </w:rPr>
              <w:t>ž</w:t>
            </w:r>
            <w:r w:rsidRPr="00076DAE">
              <w:rPr>
                <w:bCs/>
                <w:sz w:val="20"/>
                <w:szCs w:val="20"/>
                <w:lang w:eastAsia="ar-SA"/>
              </w:rPr>
              <w:t>n</w:t>
            </w:r>
            <w:r w:rsidRPr="00076DAE">
              <w:rPr>
                <w:rFonts w:hint="eastAsia"/>
                <w:bCs/>
                <w:sz w:val="20"/>
                <w:szCs w:val="20"/>
                <w:lang w:eastAsia="ar-SA"/>
              </w:rPr>
              <w:t>é</w:t>
            </w:r>
            <w:r w:rsidRPr="00076DAE">
              <w:rPr>
                <w:bCs/>
                <w:sz w:val="20"/>
                <w:szCs w:val="20"/>
                <w:lang w:eastAsia="ar-SA"/>
              </w:rPr>
              <w:t xml:space="preserve"> určiť, či k tak</w:t>
            </w:r>
            <w:r w:rsidRPr="00076DAE">
              <w:rPr>
                <w:rFonts w:hint="eastAsia"/>
                <w:bCs/>
                <w:sz w:val="20"/>
                <w:szCs w:val="20"/>
                <w:lang w:eastAsia="ar-SA"/>
              </w:rPr>
              <w:t>é</w:t>
            </w:r>
            <w:r w:rsidRPr="00076DAE">
              <w:rPr>
                <w:bCs/>
                <w:sz w:val="20"/>
                <w:szCs w:val="20"/>
                <w:lang w:eastAsia="ar-SA"/>
              </w:rPr>
              <w:t>muto enormn</w:t>
            </w:r>
            <w:r w:rsidRPr="00076DAE">
              <w:rPr>
                <w:rFonts w:hint="eastAsia"/>
                <w:bCs/>
                <w:sz w:val="20"/>
                <w:szCs w:val="20"/>
                <w:lang w:eastAsia="ar-SA"/>
              </w:rPr>
              <w:t>é</w:t>
            </w:r>
            <w:r w:rsidRPr="00076DAE">
              <w:rPr>
                <w:bCs/>
                <w:sz w:val="20"/>
                <w:szCs w:val="20"/>
                <w:lang w:eastAsia="ar-SA"/>
              </w:rPr>
              <w:t>mu</w:t>
            </w:r>
          </w:p>
          <w:p w14:paraId="306BD25E" w14:textId="77777777" w:rsidR="00076DAE" w:rsidRPr="00076DAE" w:rsidRDefault="00076DAE" w:rsidP="00076DAE">
            <w:pPr>
              <w:widowControl/>
              <w:suppressAutoHyphens/>
              <w:adjustRightInd/>
              <w:jc w:val="both"/>
              <w:rPr>
                <w:bCs/>
                <w:sz w:val="20"/>
                <w:szCs w:val="20"/>
                <w:lang w:eastAsia="ar-SA"/>
              </w:rPr>
            </w:pPr>
            <w:r w:rsidRPr="00076DAE">
              <w:rPr>
                <w:bCs/>
                <w:sz w:val="20"/>
                <w:szCs w:val="20"/>
                <w:lang w:eastAsia="ar-SA"/>
              </w:rPr>
              <w:t>nárastu d</w:t>
            </w:r>
            <w:r w:rsidRPr="00076DAE">
              <w:rPr>
                <w:rFonts w:hint="eastAsia"/>
                <w:bCs/>
                <w:sz w:val="20"/>
                <w:szCs w:val="20"/>
                <w:lang w:eastAsia="ar-SA"/>
              </w:rPr>
              <w:t>ô</w:t>
            </w:r>
            <w:r w:rsidRPr="00076DAE">
              <w:rPr>
                <w:bCs/>
                <w:sz w:val="20"/>
                <w:szCs w:val="20"/>
                <w:lang w:eastAsia="ar-SA"/>
              </w:rPr>
              <w:t>jde. Z uvedeného dôvodu neboli identifikované žiadne sociálne vplyvy.</w:t>
            </w:r>
          </w:p>
          <w:p w14:paraId="33723BC9" w14:textId="77777777" w:rsidR="00076DAE" w:rsidRPr="00076DAE" w:rsidRDefault="00076DAE" w:rsidP="00076DAE">
            <w:pPr>
              <w:widowControl/>
              <w:suppressAutoHyphens/>
              <w:adjustRightInd/>
              <w:jc w:val="both"/>
              <w:rPr>
                <w:bCs/>
                <w:sz w:val="20"/>
                <w:szCs w:val="20"/>
                <w:lang w:eastAsia="ar-SA"/>
              </w:rPr>
            </w:pPr>
          </w:p>
          <w:p w14:paraId="406C6D7A" w14:textId="77777777" w:rsidR="00076DAE" w:rsidRPr="00076DAE" w:rsidRDefault="00076DAE" w:rsidP="00076DAE">
            <w:pPr>
              <w:widowControl/>
              <w:suppressAutoHyphens/>
              <w:adjustRightInd/>
              <w:jc w:val="both"/>
              <w:rPr>
                <w:bCs/>
                <w:sz w:val="20"/>
                <w:szCs w:val="20"/>
                <w:lang w:eastAsia="ar-SA"/>
              </w:rPr>
            </w:pPr>
            <w:r w:rsidRPr="00076DAE">
              <w:rPr>
                <w:b/>
                <w:bCs/>
                <w:sz w:val="20"/>
                <w:szCs w:val="20"/>
                <w:lang w:eastAsia="ar-SA"/>
              </w:rPr>
              <w:t xml:space="preserve">III. Záver: </w:t>
            </w:r>
            <w:r w:rsidRPr="00076DAE">
              <w:rPr>
                <w:bCs/>
                <w:sz w:val="20"/>
                <w:szCs w:val="20"/>
                <w:lang w:eastAsia="ar-SA"/>
              </w:rPr>
              <w:t xml:space="preserve">Stála pracovná komisia na posudzovanie vybraných vplyvov vyjadruje </w:t>
            </w:r>
          </w:p>
          <w:p w14:paraId="1AB0CAE6" w14:textId="77777777" w:rsidR="00076DAE" w:rsidRPr="00076DAE" w:rsidRDefault="00076DAE" w:rsidP="00076DAE">
            <w:pPr>
              <w:widowControl/>
              <w:adjustRightInd/>
              <w:jc w:val="center"/>
              <w:rPr>
                <w:b/>
                <w:sz w:val="20"/>
                <w:szCs w:val="20"/>
              </w:rPr>
            </w:pPr>
          </w:p>
          <w:p w14:paraId="0B648A69" w14:textId="77777777" w:rsidR="00076DAE" w:rsidRPr="00076DAE" w:rsidRDefault="00076DAE" w:rsidP="00076DAE">
            <w:pPr>
              <w:widowControl/>
              <w:adjustRightInd/>
              <w:jc w:val="center"/>
              <w:rPr>
                <w:b/>
                <w:sz w:val="20"/>
                <w:szCs w:val="20"/>
              </w:rPr>
            </w:pPr>
          </w:p>
          <w:p w14:paraId="2B1EA21B" w14:textId="77777777" w:rsidR="00076DAE" w:rsidRPr="00076DAE" w:rsidRDefault="00076DAE" w:rsidP="00076DAE">
            <w:pPr>
              <w:widowControl/>
              <w:adjustRightInd/>
              <w:jc w:val="center"/>
              <w:rPr>
                <w:sz w:val="20"/>
                <w:szCs w:val="20"/>
              </w:rPr>
            </w:pPr>
            <w:r w:rsidRPr="00076DAE">
              <w:rPr>
                <w:b/>
                <w:bCs/>
                <w:sz w:val="20"/>
                <w:szCs w:val="20"/>
              </w:rPr>
              <w:t>súhlasné stanovisko s návrhom na dopracovanie</w:t>
            </w:r>
          </w:p>
          <w:p w14:paraId="513DB5FB" w14:textId="77777777" w:rsidR="00076DAE" w:rsidRPr="00076DAE" w:rsidRDefault="00076DAE" w:rsidP="00076DAE">
            <w:pPr>
              <w:widowControl/>
              <w:adjustRightInd/>
              <w:jc w:val="both"/>
              <w:rPr>
                <w:sz w:val="20"/>
                <w:szCs w:val="20"/>
              </w:rPr>
            </w:pPr>
          </w:p>
          <w:p w14:paraId="477B45A9" w14:textId="77777777" w:rsidR="00076DAE" w:rsidRPr="00076DAE" w:rsidRDefault="00076DAE" w:rsidP="00076DAE">
            <w:pPr>
              <w:widowControl/>
              <w:adjustRightInd/>
              <w:jc w:val="both"/>
              <w:rPr>
                <w:sz w:val="20"/>
                <w:szCs w:val="20"/>
              </w:rPr>
            </w:pPr>
          </w:p>
          <w:p w14:paraId="5F2C3850" w14:textId="77777777" w:rsidR="00076DAE" w:rsidRPr="00076DAE" w:rsidRDefault="00076DAE" w:rsidP="00076DAE">
            <w:pPr>
              <w:widowControl/>
              <w:adjustRightInd/>
              <w:jc w:val="both"/>
              <w:rPr>
                <w:sz w:val="20"/>
                <w:szCs w:val="20"/>
              </w:rPr>
            </w:pPr>
            <w:r w:rsidRPr="00076DAE">
              <w:rPr>
                <w:sz w:val="20"/>
                <w:szCs w:val="20"/>
              </w:rPr>
              <w:t>s materiálom predloženým na predbežné pripomienkové konanie s odporúčaním na jeho dopracovanie podľa pripomienok v bode II.</w:t>
            </w:r>
          </w:p>
          <w:p w14:paraId="3E793FB0" w14:textId="77777777" w:rsidR="00076DAE" w:rsidRPr="00076DAE" w:rsidRDefault="00076DAE" w:rsidP="00076DAE">
            <w:pPr>
              <w:widowControl/>
              <w:adjustRightInd/>
              <w:jc w:val="both"/>
              <w:rPr>
                <w:b/>
                <w:sz w:val="20"/>
                <w:szCs w:val="20"/>
              </w:rPr>
            </w:pPr>
          </w:p>
        </w:tc>
      </w:tr>
      <w:tr w:rsidR="00076DAE" w:rsidRPr="00076DAE" w14:paraId="1A5ACB89" w14:textId="77777777" w:rsidTr="0093572E">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99092C1" w14:textId="77777777" w:rsidR="00076DAE" w:rsidRPr="00076DAE" w:rsidRDefault="00076DAE" w:rsidP="00076DAE">
            <w:pPr>
              <w:widowControl/>
              <w:numPr>
                <w:ilvl w:val="0"/>
                <w:numId w:val="1"/>
              </w:numPr>
              <w:adjustRightInd/>
              <w:ind w:left="450" w:hanging="425"/>
              <w:contextualSpacing/>
              <w:jc w:val="both"/>
              <w:rPr>
                <w:b/>
                <w:sz w:val="22"/>
                <w:szCs w:val="22"/>
              </w:rPr>
            </w:pPr>
            <w:r w:rsidRPr="00076DAE">
              <w:rPr>
                <w:b/>
                <w:sz w:val="22"/>
                <w:szCs w:val="22"/>
              </w:rPr>
              <w:lastRenderedPageBreak/>
              <w:t>Stanovisko Komisie na posudzovanie vybraných vplyvov zo záverečného posúdenia č. ..........</w:t>
            </w:r>
            <w:r w:rsidRPr="00076DAE">
              <w:rPr>
                <w:sz w:val="22"/>
                <w:szCs w:val="22"/>
              </w:rPr>
              <w:t xml:space="preserve"> (v prípade, ak sa uskutočnilo v zmysle bodu 9.1. Jednotnej metodiky) </w:t>
            </w:r>
          </w:p>
        </w:tc>
      </w:tr>
      <w:tr w:rsidR="00076DAE" w:rsidRPr="00076DAE" w14:paraId="494EE0B2" w14:textId="77777777" w:rsidTr="0093572E">
        <w:tblPrEx>
          <w:tblBorders>
            <w:insideH w:val="single" w:sz="4" w:space="0" w:color="FFFFFF"/>
            <w:insideV w:val="single" w:sz="4" w:space="0" w:color="FFFFFF"/>
          </w:tblBorders>
        </w:tblPrEx>
        <w:tc>
          <w:tcPr>
            <w:tcW w:w="9176" w:type="dxa"/>
            <w:shd w:val="clear" w:color="auto" w:fill="FFFFFF"/>
          </w:tcPr>
          <w:p w14:paraId="283EFCF2" w14:textId="77777777" w:rsidR="00076DAE" w:rsidRPr="00076DAE" w:rsidRDefault="00076DAE" w:rsidP="00076DAE">
            <w:pPr>
              <w:widowControl/>
              <w:adjustRightInd/>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76DAE" w:rsidRPr="00076DAE" w14:paraId="106C3E6B" w14:textId="77777777" w:rsidTr="0093572E">
              <w:trPr>
                <w:trHeight w:val="396"/>
              </w:trPr>
              <w:tc>
                <w:tcPr>
                  <w:tcW w:w="2552" w:type="dxa"/>
                </w:tcPr>
                <w:p w14:paraId="137A8FE8" w14:textId="77777777" w:rsidR="00076DAE" w:rsidRPr="00076DAE" w:rsidRDefault="0093572E" w:rsidP="00076DAE">
                  <w:pPr>
                    <w:widowControl/>
                    <w:adjustRightInd/>
                    <w:rPr>
                      <w:b/>
                      <w:sz w:val="20"/>
                      <w:szCs w:val="20"/>
                    </w:rPr>
                  </w:pPr>
                  <w:sdt>
                    <w:sdtPr>
                      <w:rPr>
                        <w:b/>
                        <w:sz w:val="20"/>
                        <w:szCs w:val="20"/>
                      </w:rPr>
                      <w:id w:val="888232876"/>
                      <w14:checkbox>
                        <w14:checked w14:val="0"/>
                        <w14:checkedState w14:val="2612" w14:font="MS Gothic"/>
                        <w14:uncheckedState w14:val="2610" w14:font="MS Gothic"/>
                      </w14:checkbox>
                    </w:sdtPr>
                    <w:sdtContent>
                      <w:r w:rsidR="00076DAE" w:rsidRPr="00076DAE">
                        <w:rPr>
                          <w:rFonts w:ascii="Segoe UI Symbol" w:hAnsi="Segoe UI Symbol" w:cs="Segoe UI Symbol"/>
                          <w:b/>
                          <w:sz w:val="20"/>
                          <w:szCs w:val="20"/>
                        </w:rPr>
                        <w:t>☐</w:t>
                      </w:r>
                    </w:sdtContent>
                  </w:sdt>
                  <w:r w:rsidR="00076DAE" w:rsidRPr="00076DAE">
                    <w:rPr>
                      <w:b/>
                      <w:sz w:val="20"/>
                      <w:szCs w:val="20"/>
                    </w:rPr>
                    <w:t xml:space="preserve">   Súhlasné </w:t>
                  </w:r>
                </w:p>
              </w:tc>
              <w:tc>
                <w:tcPr>
                  <w:tcW w:w="3827" w:type="dxa"/>
                </w:tcPr>
                <w:p w14:paraId="5FEF6F67" w14:textId="77777777" w:rsidR="00076DAE" w:rsidRPr="00076DAE" w:rsidRDefault="0093572E" w:rsidP="00076DAE">
                  <w:pPr>
                    <w:widowControl/>
                    <w:adjustRightInd/>
                    <w:rPr>
                      <w:b/>
                      <w:sz w:val="20"/>
                      <w:szCs w:val="20"/>
                    </w:rPr>
                  </w:pPr>
                  <w:sdt>
                    <w:sdtPr>
                      <w:rPr>
                        <w:b/>
                        <w:sz w:val="20"/>
                        <w:szCs w:val="20"/>
                      </w:rPr>
                      <w:id w:val="953831761"/>
                      <w14:checkbox>
                        <w14:checked w14:val="0"/>
                        <w14:checkedState w14:val="2612" w14:font="MS Gothic"/>
                        <w14:uncheckedState w14:val="2610" w14:font="MS Gothic"/>
                      </w14:checkbox>
                    </w:sdtPr>
                    <w:sdtContent>
                      <w:r w:rsidR="00076DAE" w:rsidRPr="00076DAE">
                        <w:rPr>
                          <w:rFonts w:ascii="Segoe UI Symbol" w:hAnsi="Segoe UI Symbol" w:cs="Segoe UI Symbol"/>
                          <w:b/>
                          <w:sz w:val="20"/>
                          <w:szCs w:val="20"/>
                        </w:rPr>
                        <w:t>☐</w:t>
                      </w:r>
                    </w:sdtContent>
                  </w:sdt>
                  <w:r w:rsidR="00076DAE" w:rsidRPr="00076DAE">
                    <w:rPr>
                      <w:b/>
                      <w:sz w:val="20"/>
                      <w:szCs w:val="20"/>
                    </w:rPr>
                    <w:t xml:space="preserve">  Súhlasné s  návrhom na dopracovanie</w:t>
                  </w:r>
                </w:p>
              </w:tc>
              <w:tc>
                <w:tcPr>
                  <w:tcW w:w="2534" w:type="dxa"/>
                </w:tcPr>
                <w:p w14:paraId="7F919E20" w14:textId="77777777" w:rsidR="00076DAE" w:rsidRPr="00076DAE" w:rsidRDefault="0093572E" w:rsidP="00076DAE">
                  <w:pPr>
                    <w:widowControl/>
                    <w:adjustRightInd/>
                    <w:ind w:right="459"/>
                    <w:rPr>
                      <w:b/>
                      <w:sz w:val="20"/>
                      <w:szCs w:val="20"/>
                    </w:rPr>
                  </w:pPr>
                  <w:sdt>
                    <w:sdtPr>
                      <w:rPr>
                        <w:b/>
                        <w:sz w:val="20"/>
                        <w:szCs w:val="20"/>
                      </w:rPr>
                      <w:id w:val="-361740452"/>
                      <w14:checkbox>
                        <w14:checked w14:val="0"/>
                        <w14:checkedState w14:val="2612" w14:font="MS Gothic"/>
                        <w14:uncheckedState w14:val="2610" w14:font="MS Gothic"/>
                      </w14:checkbox>
                    </w:sdtPr>
                    <w:sdtContent>
                      <w:r w:rsidR="00076DAE" w:rsidRPr="00076DAE">
                        <w:rPr>
                          <w:rFonts w:ascii="Segoe UI Symbol" w:hAnsi="Segoe UI Symbol" w:cs="Segoe UI Symbol"/>
                          <w:b/>
                          <w:sz w:val="20"/>
                          <w:szCs w:val="20"/>
                        </w:rPr>
                        <w:t>☐</w:t>
                      </w:r>
                    </w:sdtContent>
                  </w:sdt>
                  <w:r w:rsidR="00076DAE" w:rsidRPr="00076DAE">
                    <w:rPr>
                      <w:b/>
                      <w:sz w:val="20"/>
                      <w:szCs w:val="20"/>
                    </w:rPr>
                    <w:t xml:space="preserve">  Nesúhlasné</w:t>
                  </w:r>
                </w:p>
              </w:tc>
            </w:tr>
          </w:tbl>
          <w:p w14:paraId="23A34E0A" w14:textId="77777777" w:rsidR="00076DAE" w:rsidRPr="00076DAE" w:rsidRDefault="00076DAE" w:rsidP="00076DAE">
            <w:pPr>
              <w:widowControl/>
              <w:adjustRightInd/>
              <w:jc w:val="both"/>
              <w:rPr>
                <w:b/>
                <w:sz w:val="20"/>
                <w:szCs w:val="20"/>
              </w:rPr>
            </w:pPr>
            <w:r w:rsidRPr="00076DAE">
              <w:rPr>
                <w:b/>
                <w:sz w:val="20"/>
                <w:szCs w:val="20"/>
              </w:rPr>
              <w:t>Uveďte pripomienky zo stanoviska Komisie z časti II. spolu s Vaším vyhodnotením:</w:t>
            </w:r>
          </w:p>
          <w:p w14:paraId="4AF58DD4" w14:textId="77777777" w:rsidR="00076DAE" w:rsidRPr="00076DAE" w:rsidRDefault="00076DAE" w:rsidP="00076DAE">
            <w:pPr>
              <w:widowControl/>
              <w:adjustRightInd/>
              <w:rPr>
                <w:b/>
                <w:sz w:val="20"/>
                <w:szCs w:val="20"/>
              </w:rPr>
            </w:pPr>
          </w:p>
        </w:tc>
      </w:tr>
    </w:tbl>
    <w:p w14:paraId="720EEEF8" w14:textId="77777777" w:rsidR="00076DAE" w:rsidRPr="00076DAE" w:rsidRDefault="00076DAE" w:rsidP="00076DAE">
      <w:pPr>
        <w:widowControl/>
        <w:adjustRightInd/>
        <w:spacing w:after="160" w:line="259" w:lineRule="auto"/>
        <w:rPr>
          <w:rFonts w:ascii="Calibri" w:eastAsia="Calibri" w:hAnsi="Calibri"/>
          <w:sz w:val="22"/>
          <w:szCs w:val="22"/>
          <w:lang w:eastAsia="en-US"/>
        </w:rPr>
      </w:pPr>
    </w:p>
    <w:p w14:paraId="4B1FF41C" w14:textId="1FFF497C" w:rsidR="00D47A44" w:rsidRDefault="00D47A44" w:rsidP="00C23862">
      <w:pPr>
        <w:spacing w:before="120" w:line="276" w:lineRule="auto"/>
        <w:jc w:val="both"/>
        <w:rPr>
          <w:b/>
          <w:sz w:val="22"/>
          <w:szCs w:val="22"/>
        </w:rPr>
      </w:pPr>
    </w:p>
    <w:p w14:paraId="1FB2E67A" w14:textId="68EDFFAC" w:rsidR="00076DAE" w:rsidRDefault="00076DAE" w:rsidP="00C23862">
      <w:pPr>
        <w:spacing w:before="120" w:line="276" w:lineRule="auto"/>
        <w:jc w:val="both"/>
        <w:rPr>
          <w:b/>
          <w:sz w:val="22"/>
          <w:szCs w:val="22"/>
        </w:rPr>
      </w:pPr>
    </w:p>
    <w:p w14:paraId="0D765CA7" w14:textId="11DC8B83" w:rsidR="00076DAE" w:rsidRDefault="00076DAE" w:rsidP="00C23862">
      <w:pPr>
        <w:spacing w:before="120" w:line="276" w:lineRule="auto"/>
        <w:jc w:val="both"/>
        <w:rPr>
          <w:b/>
          <w:sz w:val="22"/>
          <w:szCs w:val="22"/>
        </w:rPr>
      </w:pPr>
    </w:p>
    <w:p w14:paraId="54E0E17A" w14:textId="783B6D13" w:rsidR="00076DAE" w:rsidRDefault="00076DAE" w:rsidP="00C23862">
      <w:pPr>
        <w:spacing w:before="120" w:line="276" w:lineRule="auto"/>
        <w:jc w:val="both"/>
        <w:rPr>
          <w:b/>
          <w:sz w:val="22"/>
          <w:szCs w:val="22"/>
        </w:rPr>
      </w:pPr>
    </w:p>
    <w:p w14:paraId="1AD459D5" w14:textId="50C9787F" w:rsidR="00076DAE" w:rsidRDefault="00076DAE" w:rsidP="00C23862">
      <w:pPr>
        <w:spacing w:before="120" w:line="276" w:lineRule="auto"/>
        <w:jc w:val="both"/>
        <w:rPr>
          <w:b/>
          <w:sz w:val="22"/>
          <w:szCs w:val="22"/>
        </w:rPr>
      </w:pPr>
    </w:p>
    <w:p w14:paraId="5C2091F4" w14:textId="0FBC03F4" w:rsidR="00076DAE" w:rsidRDefault="00076DAE" w:rsidP="00C23862">
      <w:pPr>
        <w:spacing w:before="120" w:line="276" w:lineRule="auto"/>
        <w:jc w:val="both"/>
        <w:rPr>
          <w:b/>
          <w:sz w:val="22"/>
          <w:szCs w:val="22"/>
        </w:rPr>
      </w:pPr>
    </w:p>
    <w:p w14:paraId="3AF06934" w14:textId="0A91D073" w:rsidR="00076DAE" w:rsidRDefault="00076DAE" w:rsidP="00C23862">
      <w:pPr>
        <w:spacing w:before="120" w:line="276" w:lineRule="auto"/>
        <w:jc w:val="both"/>
        <w:rPr>
          <w:b/>
          <w:sz w:val="22"/>
          <w:szCs w:val="22"/>
        </w:rPr>
      </w:pPr>
    </w:p>
    <w:p w14:paraId="16F6900A" w14:textId="437D1054" w:rsidR="00076DAE" w:rsidRDefault="00076DAE" w:rsidP="00C23862">
      <w:pPr>
        <w:spacing w:before="120" w:line="276" w:lineRule="auto"/>
        <w:jc w:val="both"/>
        <w:rPr>
          <w:b/>
          <w:sz w:val="22"/>
          <w:szCs w:val="22"/>
        </w:rPr>
      </w:pPr>
    </w:p>
    <w:p w14:paraId="2FE83D22" w14:textId="4DEE70BD" w:rsidR="00076DAE" w:rsidRDefault="00076DAE" w:rsidP="00C23862">
      <w:pPr>
        <w:spacing w:before="120" w:line="276" w:lineRule="auto"/>
        <w:jc w:val="both"/>
        <w:rPr>
          <w:b/>
          <w:sz w:val="22"/>
          <w:szCs w:val="22"/>
        </w:rPr>
      </w:pPr>
    </w:p>
    <w:p w14:paraId="4F67F47A" w14:textId="1773BAF7" w:rsidR="00076DAE" w:rsidRDefault="00076DAE" w:rsidP="00C23862">
      <w:pPr>
        <w:spacing w:before="120" w:line="276" w:lineRule="auto"/>
        <w:jc w:val="both"/>
        <w:rPr>
          <w:b/>
          <w:sz w:val="22"/>
          <w:szCs w:val="22"/>
        </w:rPr>
      </w:pPr>
    </w:p>
    <w:p w14:paraId="4DD85A5D" w14:textId="08188C32" w:rsidR="00076DAE" w:rsidRDefault="00076DAE" w:rsidP="00C23862">
      <w:pPr>
        <w:spacing w:before="120" w:line="276" w:lineRule="auto"/>
        <w:jc w:val="both"/>
        <w:rPr>
          <w:b/>
          <w:sz w:val="22"/>
          <w:szCs w:val="22"/>
        </w:rPr>
      </w:pPr>
    </w:p>
    <w:p w14:paraId="30C70300" w14:textId="35F97ACC" w:rsidR="00076DAE" w:rsidRDefault="00076DAE">
      <w:pPr>
        <w:widowControl/>
        <w:adjustRightInd/>
        <w:spacing w:after="200" w:line="276" w:lineRule="auto"/>
        <w:rPr>
          <w:b/>
          <w:sz w:val="22"/>
          <w:szCs w:val="22"/>
        </w:rPr>
      </w:pPr>
      <w:r>
        <w:rPr>
          <w:b/>
          <w:sz w:val="22"/>
          <w:szCs w:val="22"/>
        </w:rPr>
        <w:br w:type="page"/>
      </w:r>
    </w:p>
    <w:p w14:paraId="37F6E531" w14:textId="77777777" w:rsidR="00076DAE" w:rsidRPr="00076DAE" w:rsidRDefault="00076DAE" w:rsidP="00076DAE">
      <w:pPr>
        <w:widowControl/>
        <w:adjustRightInd/>
        <w:spacing w:after="160" w:line="259" w:lineRule="auto"/>
        <w:jc w:val="center"/>
        <w:rPr>
          <w:rFonts w:eastAsia="Calibri"/>
          <w:b/>
          <w:sz w:val="28"/>
          <w:szCs w:val="28"/>
          <w:lang w:eastAsia="en-US"/>
        </w:rPr>
      </w:pPr>
      <w:r w:rsidRPr="00076DAE">
        <w:rPr>
          <w:rFonts w:eastAsia="Calibri"/>
          <w:b/>
          <w:sz w:val="28"/>
          <w:szCs w:val="28"/>
          <w:lang w:eastAsia="en-US"/>
        </w:rPr>
        <w:lastRenderedPageBreak/>
        <w:t>Analýza vplyvov na podnikateľské prostredie</w:t>
      </w:r>
    </w:p>
    <w:p w14:paraId="15C357B4" w14:textId="77777777" w:rsidR="00076DAE" w:rsidRPr="00076DAE" w:rsidRDefault="00076DAE" w:rsidP="00076DAE">
      <w:pPr>
        <w:widowControl/>
        <w:adjustRightInd/>
        <w:spacing w:after="160" w:line="259" w:lineRule="auto"/>
        <w:jc w:val="both"/>
        <w:rPr>
          <w:rFonts w:eastAsia="Calibri"/>
          <w:b/>
          <w:lang w:eastAsia="en-US"/>
        </w:rPr>
      </w:pPr>
      <w:r w:rsidRPr="00076DAE">
        <w:rPr>
          <w:rFonts w:eastAsia="Calibri"/>
          <w:b/>
          <w:lang w:eastAsia="en-US"/>
        </w:rPr>
        <w:t>Názov materiálu:</w:t>
      </w:r>
    </w:p>
    <w:p w14:paraId="02085223" w14:textId="70E18544" w:rsidR="00076DAE" w:rsidRPr="00076DAE" w:rsidRDefault="0093572E" w:rsidP="00076DAE">
      <w:pPr>
        <w:widowControl/>
        <w:tabs>
          <w:tab w:val="num" w:pos="1288"/>
        </w:tabs>
        <w:adjustRightInd/>
        <w:spacing w:after="160" w:line="259" w:lineRule="auto"/>
        <w:jc w:val="both"/>
      </w:pPr>
      <w:r>
        <w:rPr>
          <w:rFonts w:eastAsia="Calibri"/>
          <w:bCs/>
        </w:rPr>
        <w:t>Vládny n</w:t>
      </w:r>
      <w:r w:rsidR="00076DAE" w:rsidRPr="00076DAE">
        <w:rPr>
          <w:rFonts w:eastAsia="Calibri"/>
          <w:bCs/>
        </w:rPr>
        <w:t xml:space="preserve">ávrh zákona, </w:t>
      </w:r>
      <w:r w:rsidR="00076DAE" w:rsidRPr="00076DAE">
        <w:t xml:space="preserve">ktorým sa mení a dopĺňa zákon č. 150/2013 Z. z. o Štátnom fonde rozvoja bývania v znení neskorších predpisov a ktorým sa mení zákon č. 443/2010 Z. z. o dotáciách na rozvoj bývania a o sociálnom bývaní v znení neskorších predpisov </w:t>
      </w:r>
    </w:p>
    <w:p w14:paraId="1443AF9B" w14:textId="77777777" w:rsidR="00076DAE" w:rsidRPr="00076DAE" w:rsidRDefault="00076DAE" w:rsidP="00076DAE">
      <w:pPr>
        <w:widowControl/>
        <w:tabs>
          <w:tab w:val="num" w:pos="1288"/>
        </w:tabs>
        <w:adjustRightInd/>
        <w:spacing w:after="160" w:line="259" w:lineRule="auto"/>
        <w:jc w:val="both"/>
        <w:rPr>
          <w:rFonts w:eastAsia="Calibri"/>
          <w:b/>
          <w:lang w:eastAsia="en-US"/>
        </w:rPr>
      </w:pPr>
      <w:r w:rsidRPr="00076DAE">
        <w:rPr>
          <w:rFonts w:eastAsia="Calibri"/>
          <w:b/>
          <w:lang w:eastAsia="en-US"/>
        </w:rPr>
        <w:t>Predkladateľ:</w:t>
      </w:r>
    </w:p>
    <w:p w14:paraId="03B48B35" w14:textId="4608CFD0" w:rsidR="00076DAE" w:rsidRPr="00076DAE" w:rsidRDefault="0093572E" w:rsidP="00076DAE">
      <w:pPr>
        <w:widowControl/>
        <w:adjustRightInd/>
        <w:spacing w:after="160" w:line="259" w:lineRule="auto"/>
        <w:jc w:val="both"/>
        <w:rPr>
          <w:rFonts w:eastAsia="Calibri"/>
          <w:bCs/>
          <w:lang w:eastAsia="en-US"/>
        </w:rPr>
      </w:pPr>
      <w:r>
        <w:rPr>
          <w:rFonts w:eastAsia="Calibri"/>
          <w:bCs/>
          <w:lang w:eastAsia="en-US"/>
        </w:rPr>
        <w:t>Vláda</w:t>
      </w:r>
      <w:r w:rsidR="00076DAE" w:rsidRPr="00076DAE">
        <w:rPr>
          <w:rFonts w:eastAsia="Calibri"/>
          <w:bCs/>
          <w:lang w:eastAsia="en-US"/>
        </w:rPr>
        <w:t xml:space="preserve"> Slovenskej republiky</w:t>
      </w:r>
    </w:p>
    <w:p w14:paraId="404D15B8" w14:textId="77777777" w:rsidR="00076DAE" w:rsidRPr="00076DAE" w:rsidRDefault="00076DAE" w:rsidP="00076DAE">
      <w:pPr>
        <w:widowControl/>
        <w:adjustRightInd/>
        <w:spacing w:after="160" w:line="259" w:lineRule="auto"/>
        <w:jc w:val="both"/>
        <w:rPr>
          <w:rFonts w:eastAsia="Calibri"/>
          <w:b/>
          <w:lang w:eastAsia="en-US"/>
        </w:rPr>
      </w:pPr>
      <w:r w:rsidRPr="00076DAE">
        <w:rPr>
          <w:rFonts w:eastAsia="Calibri"/>
          <w:b/>
          <w:lang w:eastAsia="en-US"/>
        </w:rPr>
        <w:t>3.1 Náklady regulácie</w:t>
      </w:r>
    </w:p>
    <w:p w14:paraId="684706CA" w14:textId="77777777" w:rsidR="00076DAE" w:rsidRPr="00076DAE" w:rsidRDefault="00076DAE" w:rsidP="00076DAE">
      <w:pPr>
        <w:widowControl/>
        <w:tabs>
          <w:tab w:val="left" w:pos="8025"/>
        </w:tabs>
        <w:adjustRightInd/>
        <w:spacing w:after="160" w:line="259" w:lineRule="auto"/>
        <w:rPr>
          <w:rFonts w:eastAsia="Calibri"/>
          <w:bCs/>
          <w:i/>
          <w:iCs/>
          <w:lang w:eastAsia="en-US"/>
        </w:rPr>
      </w:pPr>
      <w:r w:rsidRPr="00076DAE">
        <w:rPr>
          <w:rFonts w:eastAsia="Calibri"/>
          <w:b/>
          <w:i/>
          <w:iCs/>
          <w:lang w:eastAsia="en-US"/>
        </w:rPr>
        <w:t xml:space="preserve">3.1.1 Súhrnná tabuľka nákladov regulácie </w:t>
      </w:r>
      <w:r w:rsidRPr="00076DAE">
        <w:rPr>
          <w:rFonts w:eastAsia="Calibri"/>
          <w:b/>
          <w:i/>
          <w:iCs/>
          <w:lang w:eastAsia="en-US"/>
        </w:rPr>
        <w:tab/>
      </w:r>
    </w:p>
    <w:p w14:paraId="07DC5026" w14:textId="77777777" w:rsidR="00076DAE" w:rsidRPr="00076DAE" w:rsidRDefault="00076DAE" w:rsidP="00076DAE">
      <w:pPr>
        <w:widowControl/>
        <w:adjustRightInd/>
        <w:spacing w:after="160" w:line="259" w:lineRule="auto"/>
        <w:jc w:val="both"/>
        <w:rPr>
          <w:rFonts w:eastAsia="Calibri"/>
          <w:i/>
          <w:lang w:eastAsia="en-US"/>
        </w:rPr>
      </w:pPr>
      <w:r w:rsidRPr="00076DAE">
        <w:rPr>
          <w:rFonts w:eastAsia="Calibri"/>
          <w:i/>
          <w:lang w:eastAsia="en-US"/>
        </w:rPr>
        <w:t xml:space="preserve">Tabuľka č. 1: Zmeny nákladov (ročne) v prepočte na podnikateľské prostredie (PP), vyhodnotenie mechanizmu znižovania byrokracie a nákladov, náklady </w:t>
      </w:r>
      <w:proofErr w:type="spellStart"/>
      <w:r w:rsidRPr="00076DAE">
        <w:rPr>
          <w:rFonts w:eastAsia="Calibri"/>
          <w:i/>
          <w:lang w:eastAsia="en-US"/>
        </w:rPr>
        <w:t>goldplatingu</w:t>
      </w:r>
      <w:proofErr w:type="spellEnd"/>
      <w:r w:rsidRPr="00076DAE">
        <w:rPr>
          <w:rFonts w:eastAsia="Calibri"/>
          <w:i/>
          <w:vertAlign w:val="superscript"/>
          <w:lang w:eastAsia="en-US"/>
        </w:rPr>
        <w:footnoteReference w:id="1"/>
      </w:r>
      <w:r w:rsidRPr="00076DAE">
        <w:rPr>
          <w:rFonts w:eastAsia="Calibri"/>
          <w:i/>
          <w:lang w:eastAsia="en-US"/>
        </w:rPr>
        <w:t xml:space="preserve"> na podnikateľské prostredie. </w:t>
      </w:r>
    </w:p>
    <w:p w14:paraId="29FB7056"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Nahraďte rovnakou tabuľkou po vyplnení Kalkulačky nákladov podnikateľského prostredia, ktorá je povinnou prílohou tejto analýzy a nájdete ju na </w:t>
      </w:r>
      <w:hyperlink r:id="rId9" w:history="1">
        <w:r w:rsidRPr="00076DAE">
          <w:rPr>
            <w:rFonts w:eastAsia="Calibri"/>
            <w:i/>
            <w:color w:val="0563C1"/>
            <w:u w:val="single"/>
            <w:lang w:eastAsia="en-US"/>
          </w:rPr>
          <w:t>webovom sídle MH SR</w:t>
        </w:r>
      </w:hyperlink>
      <w:r w:rsidRPr="00076DAE">
        <w:rPr>
          <w:rFonts w:eastAsia="Calibri"/>
          <w:i/>
          <w:lang w:eastAsia="en-US"/>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076DAE" w:rsidRPr="00076DAE" w14:paraId="3D500FCB" w14:textId="77777777" w:rsidTr="0093572E">
        <w:trPr>
          <w:trHeight w:val="270"/>
        </w:trPr>
        <w:tc>
          <w:tcPr>
            <w:tcW w:w="146" w:type="dxa"/>
            <w:tcBorders>
              <w:top w:val="nil"/>
              <w:left w:val="nil"/>
              <w:bottom w:val="nil"/>
              <w:right w:val="nil"/>
            </w:tcBorders>
            <w:shd w:val="clear" w:color="auto" w:fill="auto"/>
            <w:noWrap/>
            <w:vAlign w:val="bottom"/>
            <w:hideMark/>
          </w:tcPr>
          <w:p w14:paraId="2E11655D" w14:textId="77777777" w:rsidR="00076DAE" w:rsidRPr="00076DAE" w:rsidRDefault="00076DAE" w:rsidP="00076DAE">
            <w:pPr>
              <w:widowControl/>
              <w:adjustRightInd/>
              <w:rPr>
                <w:color w:val="000000"/>
                <w:sz w:val="20"/>
                <w:szCs w:val="20"/>
              </w:rPr>
            </w:pPr>
          </w:p>
        </w:tc>
        <w:tc>
          <w:tcPr>
            <w:tcW w:w="3540" w:type="dxa"/>
            <w:tcBorders>
              <w:top w:val="nil"/>
              <w:left w:val="nil"/>
              <w:bottom w:val="nil"/>
              <w:right w:val="nil"/>
            </w:tcBorders>
            <w:shd w:val="clear" w:color="auto" w:fill="auto"/>
            <w:noWrap/>
            <w:vAlign w:val="bottom"/>
            <w:hideMark/>
          </w:tcPr>
          <w:p w14:paraId="6C6A7D9E" w14:textId="77777777" w:rsidR="00076DAE" w:rsidRPr="00076DAE" w:rsidRDefault="00076DAE" w:rsidP="00076DAE">
            <w:pPr>
              <w:widowControl/>
              <w:adjustRightInd/>
              <w:rPr>
                <w:color w:val="000000"/>
                <w:sz w:val="20"/>
                <w:szCs w:val="20"/>
              </w:rPr>
            </w:pPr>
          </w:p>
        </w:tc>
        <w:tc>
          <w:tcPr>
            <w:tcW w:w="2792" w:type="dxa"/>
            <w:gridSpan w:val="2"/>
            <w:tcBorders>
              <w:top w:val="nil"/>
              <w:left w:val="nil"/>
              <w:bottom w:val="nil"/>
              <w:right w:val="nil"/>
            </w:tcBorders>
            <w:shd w:val="clear" w:color="auto" w:fill="auto"/>
            <w:noWrap/>
            <w:vAlign w:val="bottom"/>
            <w:hideMark/>
          </w:tcPr>
          <w:p w14:paraId="4C6218A0" w14:textId="77777777" w:rsidR="00076DAE" w:rsidRPr="00076DAE" w:rsidRDefault="00076DAE" w:rsidP="00076DAE">
            <w:pPr>
              <w:widowControl/>
              <w:adjustRightInd/>
              <w:rPr>
                <w:color w:val="000000"/>
                <w:sz w:val="20"/>
                <w:szCs w:val="20"/>
              </w:rPr>
            </w:pPr>
          </w:p>
        </w:tc>
        <w:tc>
          <w:tcPr>
            <w:tcW w:w="160" w:type="dxa"/>
            <w:tcBorders>
              <w:top w:val="nil"/>
              <w:left w:val="nil"/>
              <w:bottom w:val="nil"/>
              <w:right w:val="nil"/>
            </w:tcBorders>
            <w:shd w:val="clear" w:color="auto" w:fill="auto"/>
            <w:noWrap/>
            <w:vAlign w:val="bottom"/>
            <w:hideMark/>
          </w:tcPr>
          <w:p w14:paraId="6A578046" w14:textId="77777777" w:rsidR="00076DAE" w:rsidRPr="00076DAE" w:rsidRDefault="00076DAE" w:rsidP="00076DAE">
            <w:pPr>
              <w:widowControl/>
              <w:adjustRightInd/>
              <w:rPr>
                <w:color w:val="000000"/>
                <w:sz w:val="20"/>
                <w:szCs w:val="20"/>
              </w:rPr>
            </w:pPr>
          </w:p>
        </w:tc>
        <w:tc>
          <w:tcPr>
            <w:tcW w:w="2716" w:type="dxa"/>
            <w:gridSpan w:val="2"/>
            <w:tcBorders>
              <w:top w:val="nil"/>
              <w:left w:val="nil"/>
              <w:bottom w:val="nil"/>
              <w:right w:val="nil"/>
            </w:tcBorders>
            <w:shd w:val="clear" w:color="auto" w:fill="auto"/>
            <w:noWrap/>
            <w:vAlign w:val="bottom"/>
            <w:hideMark/>
          </w:tcPr>
          <w:p w14:paraId="39E0E894" w14:textId="77777777" w:rsidR="00076DAE" w:rsidRPr="00076DAE" w:rsidRDefault="00076DAE" w:rsidP="00076DAE">
            <w:pPr>
              <w:widowControl/>
              <w:adjustRightInd/>
              <w:rPr>
                <w:color w:val="000000"/>
                <w:sz w:val="20"/>
                <w:szCs w:val="20"/>
              </w:rPr>
            </w:pPr>
          </w:p>
        </w:tc>
        <w:tc>
          <w:tcPr>
            <w:tcW w:w="160" w:type="dxa"/>
            <w:tcBorders>
              <w:top w:val="nil"/>
              <w:left w:val="nil"/>
              <w:bottom w:val="nil"/>
              <w:right w:val="nil"/>
            </w:tcBorders>
            <w:shd w:val="clear" w:color="auto" w:fill="auto"/>
            <w:noWrap/>
            <w:vAlign w:val="bottom"/>
            <w:hideMark/>
          </w:tcPr>
          <w:p w14:paraId="044745DE" w14:textId="77777777" w:rsidR="00076DAE" w:rsidRPr="00076DAE" w:rsidRDefault="00076DAE" w:rsidP="00076DAE">
            <w:pPr>
              <w:widowControl/>
              <w:adjustRightInd/>
              <w:jc w:val="center"/>
              <w:rPr>
                <w:color w:val="000000"/>
                <w:sz w:val="20"/>
                <w:szCs w:val="20"/>
              </w:rPr>
            </w:pPr>
          </w:p>
        </w:tc>
      </w:tr>
      <w:tr w:rsidR="00076DAE" w:rsidRPr="00076DAE" w14:paraId="66752A4D" w14:textId="77777777" w:rsidTr="0093572E">
        <w:trPr>
          <w:gridAfter w:val="2"/>
          <w:wAfter w:w="583" w:type="dxa"/>
          <w:trHeight w:val="451"/>
        </w:trPr>
        <w:tc>
          <w:tcPr>
            <w:tcW w:w="146" w:type="dxa"/>
            <w:tcBorders>
              <w:top w:val="nil"/>
              <w:left w:val="nil"/>
              <w:bottom w:val="nil"/>
              <w:right w:val="nil"/>
            </w:tcBorders>
            <w:shd w:val="clear" w:color="auto" w:fill="auto"/>
            <w:noWrap/>
            <w:vAlign w:val="bottom"/>
            <w:hideMark/>
          </w:tcPr>
          <w:p w14:paraId="437AB6C9" w14:textId="77777777" w:rsidR="00076DAE" w:rsidRPr="00076DAE" w:rsidRDefault="00076DAE" w:rsidP="00076DAE">
            <w:pPr>
              <w:widowControl/>
              <w:adjustRightInd/>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C32744" w14:textId="77777777" w:rsidR="00076DAE" w:rsidRPr="00076DAE" w:rsidRDefault="00076DAE" w:rsidP="00076DAE">
            <w:pPr>
              <w:widowControl/>
              <w:adjustRightInd/>
              <w:jc w:val="center"/>
              <w:rPr>
                <w:b/>
                <w:bCs/>
                <w:i/>
                <w:iCs/>
                <w:color w:val="000000"/>
                <w:sz w:val="20"/>
                <w:szCs w:val="20"/>
              </w:rPr>
            </w:pPr>
            <w:r w:rsidRPr="00076DAE">
              <w:rPr>
                <w:b/>
                <w:bCs/>
                <w:i/>
                <w:iCs/>
                <w:color w:val="000000"/>
                <w:sz w:val="20"/>
                <w:szCs w:val="20"/>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AC64B46"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44281A9"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Zníženie nákladov v € na PP</w:t>
            </w:r>
          </w:p>
        </w:tc>
      </w:tr>
      <w:tr w:rsidR="00076DAE" w:rsidRPr="00076DAE" w14:paraId="66FA5A82" w14:textId="77777777" w:rsidTr="0093572E">
        <w:trPr>
          <w:gridAfter w:val="2"/>
          <w:wAfter w:w="583" w:type="dxa"/>
          <w:trHeight w:val="600"/>
        </w:trPr>
        <w:tc>
          <w:tcPr>
            <w:tcW w:w="146" w:type="dxa"/>
            <w:tcBorders>
              <w:top w:val="nil"/>
              <w:left w:val="nil"/>
              <w:bottom w:val="nil"/>
              <w:right w:val="nil"/>
            </w:tcBorders>
            <w:shd w:val="clear" w:color="auto" w:fill="auto"/>
            <w:noWrap/>
            <w:vAlign w:val="bottom"/>
            <w:hideMark/>
          </w:tcPr>
          <w:p w14:paraId="37E4BA1E" w14:textId="77777777" w:rsidR="00076DAE" w:rsidRPr="00076DAE" w:rsidRDefault="00076DAE" w:rsidP="00076DAE">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CC4EB30" w14:textId="77777777" w:rsidR="00076DAE" w:rsidRPr="00076DAE" w:rsidRDefault="00076DAE" w:rsidP="00076DAE">
            <w:pPr>
              <w:widowControl/>
              <w:adjustRightInd/>
              <w:rPr>
                <w:b/>
                <w:bCs/>
                <w:i/>
                <w:iCs/>
                <w:color w:val="000000"/>
                <w:sz w:val="20"/>
                <w:szCs w:val="20"/>
              </w:rPr>
            </w:pPr>
            <w:r w:rsidRPr="00076DAE">
              <w:rPr>
                <w:b/>
                <w:bCs/>
                <w:i/>
                <w:iCs/>
                <w:color w:val="000000"/>
                <w:sz w:val="20"/>
                <w:szCs w:val="20"/>
              </w:rPr>
              <w:t xml:space="preserve">A. Dane, odvody, clá a poplatky, ktorých cieľom je znižovať negatívne </w:t>
            </w:r>
            <w:proofErr w:type="spellStart"/>
            <w:r w:rsidRPr="00076DAE">
              <w:rPr>
                <w:b/>
                <w:bCs/>
                <w:i/>
                <w:iCs/>
                <w:color w:val="000000"/>
                <w:sz w:val="20"/>
                <w:szCs w:val="20"/>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7F658F"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767DF9C"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r>
      <w:tr w:rsidR="00076DAE" w:rsidRPr="00076DAE" w14:paraId="0A15EED1" w14:textId="77777777" w:rsidTr="0093572E">
        <w:trPr>
          <w:gridAfter w:val="2"/>
          <w:wAfter w:w="583" w:type="dxa"/>
          <w:trHeight w:val="420"/>
        </w:trPr>
        <w:tc>
          <w:tcPr>
            <w:tcW w:w="146" w:type="dxa"/>
            <w:tcBorders>
              <w:top w:val="nil"/>
              <w:left w:val="nil"/>
              <w:bottom w:val="nil"/>
              <w:right w:val="nil"/>
            </w:tcBorders>
            <w:shd w:val="clear" w:color="auto" w:fill="auto"/>
            <w:noWrap/>
            <w:vAlign w:val="bottom"/>
            <w:hideMark/>
          </w:tcPr>
          <w:p w14:paraId="2D6F0A5D" w14:textId="77777777" w:rsidR="00076DAE" w:rsidRPr="00076DAE" w:rsidRDefault="00076DAE" w:rsidP="00076DAE">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17ED6329" w14:textId="77777777" w:rsidR="00076DAE" w:rsidRPr="00076DAE" w:rsidRDefault="00076DAE" w:rsidP="00076DAE">
            <w:pPr>
              <w:widowControl/>
              <w:adjustRightInd/>
              <w:rPr>
                <w:b/>
                <w:bCs/>
                <w:i/>
                <w:iCs/>
                <w:color w:val="000000"/>
                <w:sz w:val="20"/>
                <w:szCs w:val="20"/>
              </w:rPr>
            </w:pPr>
            <w:r w:rsidRPr="00076DAE">
              <w:rPr>
                <w:b/>
                <w:bCs/>
                <w:i/>
                <w:iCs/>
                <w:color w:val="000000"/>
                <w:sz w:val="20"/>
                <w:szCs w:val="20"/>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01D96A"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6FE6FDB"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r>
      <w:tr w:rsidR="00076DAE" w:rsidRPr="00076DAE" w14:paraId="56C904F8" w14:textId="77777777" w:rsidTr="0093572E">
        <w:trPr>
          <w:gridAfter w:val="2"/>
          <w:wAfter w:w="583" w:type="dxa"/>
          <w:trHeight w:val="435"/>
        </w:trPr>
        <w:tc>
          <w:tcPr>
            <w:tcW w:w="146" w:type="dxa"/>
            <w:tcBorders>
              <w:top w:val="nil"/>
              <w:left w:val="nil"/>
              <w:bottom w:val="nil"/>
              <w:right w:val="nil"/>
            </w:tcBorders>
            <w:shd w:val="clear" w:color="auto" w:fill="auto"/>
            <w:noWrap/>
            <w:vAlign w:val="bottom"/>
            <w:hideMark/>
          </w:tcPr>
          <w:p w14:paraId="06777BA1" w14:textId="77777777" w:rsidR="00076DAE" w:rsidRPr="00076DAE" w:rsidRDefault="00076DAE" w:rsidP="00076DAE">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0CE8FB4" w14:textId="77777777" w:rsidR="00076DAE" w:rsidRPr="00076DAE" w:rsidRDefault="00076DAE" w:rsidP="00076DAE">
            <w:pPr>
              <w:widowControl/>
              <w:adjustRightInd/>
              <w:rPr>
                <w:b/>
                <w:bCs/>
                <w:i/>
                <w:iCs/>
                <w:color w:val="000000"/>
                <w:sz w:val="20"/>
                <w:szCs w:val="20"/>
              </w:rPr>
            </w:pPr>
            <w:r w:rsidRPr="00076DAE">
              <w:rPr>
                <w:b/>
                <w:bCs/>
                <w:i/>
                <w:iCs/>
                <w:color w:val="000000"/>
                <w:sz w:val="20"/>
                <w:szCs w:val="20"/>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7F6BB96A"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2B50D38"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r>
      <w:tr w:rsidR="00076DAE" w:rsidRPr="00076DAE" w14:paraId="33AAB010" w14:textId="77777777" w:rsidTr="0093572E">
        <w:trPr>
          <w:gridAfter w:val="2"/>
          <w:wAfter w:w="583" w:type="dxa"/>
          <w:trHeight w:val="480"/>
        </w:trPr>
        <w:tc>
          <w:tcPr>
            <w:tcW w:w="146" w:type="dxa"/>
            <w:tcBorders>
              <w:top w:val="nil"/>
              <w:left w:val="nil"/>
              <w:bottom w:val="nil"/>
              <w:right w:val="nil"/>
            </w:tcBorders>
            <w:shd w:val="clear" w:color="auto" w:fill="auto"/>
            <w:noWrap/>
            <w:vAlign w:val="bottom"/>
            <w:hideMark/>
          </w:tcPr>
          <w:p w14:paraId="78D07FF2" w14:textId="77777777" w:rsidR="00076DAE" w:rsidRPr="00076DAE" w:rsidRDefault="00076DAE" w:rsidP="00076DAE">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1C96FA8" w14:textId="77777777" w:rsidR="00076DAE" w:rsidRPr="00076DAE" w:rsidRDefault="00076DAE" w:rsidP="00076DAE">
            <w:pPr>
              <w:widowControl/>
              <w:adjustRightInd/>
              <w:rPr>
                <w:b/>
                <w:bCs/>
                <w:i/>
                <w:iCs/>
                <w:color w:val="000000"/>
                <w:sz w:val="20"/>
                <w:szCs w:val="20"/>
              </w:rPr>
            </w:pPr>
            <w:r w:rsidRPr="00076DAE">
              <w:rPr>
                <w:b/>
                <w:bCs/>
                <w:i/>
                <w:iCs/>
                <w:color w:val="000000"/>
                <w:sz w:val="20"/>
                <w:szCs w:val="20"/>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7CD6CE7"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ED7B0E8"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r>
      <w:tr w:rsidR="00076DAE" w:rsidRPr="00076DAE" w14:paraId="07A6B053" w14:textId="77777777" w:rsidTr="0093572E">
        <w:trPr>
          <w:gridAfter w:val="2"/>
          <w:wAfter w:w="583" w:type="dxa"/>
          <w:trHeight w:val="480"/>
        </w:trPr>
        <w:tc>
          <w:tcPr>
            <w:tcW w:w="146" w:type="dxa"/>
            <w:tcBorders>
              <w:top w:val="nil"/>
              <w:left w:val="nil"/>
              <w:bottom w:val="nil"/>
              <w:right w:val="nil"/>
            </w:tcBorders>
            <w:shd w:val="clear" w:color="auto" w:fill="auto"/>
            <w:noWrap/>
            <w:vAlign w:val="bottom"/>
          </w:tcPr>
          <w:p w14:paraId="3631325A" w14:textId="77777777" w:rsidR="00076DAE" w:rsidRPr="00076DAE" w:rsidRDefault="00076DAE" w:rsidP="00076DAE">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186566B0" w14:textId="77777777" w:rsidR="00076DAE" w:rsidRPr="00076DAE" w:rsidRDefault="00076DAE" w:rsidP="00076DAE">
            <w:pPr>
              <w:widowControl/>
              <w:adjustRightInd/>
              <w:rPr>
                <w:b/>
                <w:bCs/>
                <w:i/>
                <w:iCs/>
                <w:color w:val="000000"/>
                <w:sz w:val="20"/>
                <w:szCs w:val="20"/>
              </w:rPr>
            </w:pPr>
            <w:r w:rsidRPr="00076DAE">
              <w:rPr>
                <w:b/>
                <w:bCs/>
                <w:i/>
                <w:iCs/>
                <w:color w:val="000000"/>
                <w:sz w:val="20"/>
                <w:szCs w:val="20"/>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05212610" w14:textId="77777777" w:rsidR="00076DAE" w:rsidRPr="00076DAE" w:rsidRDefault="00076DAE" w:rsidP="00076DAE">
            <w:pPr>
              <w:widowControl/>
              <w:adjustRightInd/>
              <w:jc w:val="center"/>
              <w:rPr>
                <w:b/>
                <w:bCs/>
                <w:color w:val="000000"/>
                <w:sz w:val="20"/>
                <w:szCs w:val="20"/>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63BDE929" w14:textId="77777777" w:rsidR="00076DAE" w:rsidRPr="00076DAE" w:rsidRDefault="00076DAE" w:rsidP="00076DAE">
            <w:pPr>
              <w:widowControl/>
              <w:adjustRightInd/>
              <w:jc w:val="center"/>
              <w:rPr>
                <w:b/>
                <w:bCs/>
                <w:color w:val="000000"/>
                <w:sz w:val="20"/>
                <w:szCs w:val="20"/>
              </w:rPr>
            </w:pPr>
          </w:p>
        </w:tc>
      </w:tr>
      <w:tr w:rsidR="00076DAE" w:rsidRPr="00076DAE" w14:paraId="5BC38255" w14:textId="77777777" w:rsidTr="0093572E">
        <w:trPr>
          <w:gridAfter w:val="2"/>
          <w:wAfter w:w="583" w:type="dxa"/>
          <w:trHeight w:val="600"/>
        </w:trPr>
        <w:tc>
          <w:tcPr>
            <w:tcW w:w="146" w:type="dxa"/>
            <w:tcBorders>
              <w:top w:val="nil"/>
              <w:left w:val="nil"/>
              <w:bottom w:val="nil"/>
              <w:right w:val="nil"/>
            </w:tcBorders>
            <w:shd w:val="clear" w:color="auto" w:fill="auto"/>
            <w:noWrap/>
            <w:vAlign w:val="bottom"/>
            <w:hideMark/>
          </w:tcPr>
          <w:p w14:paraId="20C71F3F" w14:textId="77777777" w:rsidR="00076DAE" w:rsidRPr="00076DAE" w:rsidRDefault="00076DAE" w:rsidP="00076DAE">
            <w:pPr>
              <w:widowControl/>
              <w:adjustRightInd/>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1206651E" w14:textId="77777777" w:rsidR="00076DAE" w:rsidRPr="00076DAE" w:rsidRDefault="00076DAE" w:rsidP="00076DAE">
            <w:pPr>
              <w:widowControl/>
              <w:adjustRightInd/>
              <w:rPr>
                <w:b/>
                <w:bCs/>
                <w:i/>
                <w:iCs/>
                <w:color w:val="000000"/>
                <w:sz w:val="20"/>
                <w:szCs w:val="20"/>
              </w:rPr>
            </w:pPr>
            <w:r w:rsidRPr="00076DAE">
              <w:rPr>
                <w:b/>
                <w:bCs/>
                <w:i/>
                <w:iCs/>
                <w:color w:val="000000"/>
                <w:sz w:val="20"/>
                <w:szCs w:val="20"/>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1A61F057"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A4DF52D"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r>
      <w:tr w:rsidR="00076DAE" w:rsidRPr="00076DAE" w14:paraId="179488CD" w14:textId="77777777" w:rsidTr="0093572E">
        <w:trPr>
          <w:trHeight w:val="270"/>
        </w:trPr>
        <w:tc>
          <w:tcPr>
            <w:tcW w:w="146" w:type="dxa"/>
            <w:tcBorders>
              <w:top w:val="nil"/>
              <w:left w:val="nil"/>
              <w:bottom w:val="nil"/>
              <w:right w:val="nil"/>
            </w:tcBorders>
            <w:shd w:val="clear" w:color="auto" w:fill="auto"/>
            <w:noWrap/>
            <w:vAlign w:val="bottom"/>
            <w:hideMark/>
          </w:tcPr>
          <w:p w14:paraId="766BDF8D" w14:textId="77777777" w:rsidR="00076DAE" w:rsidRPr="00076DAE" w:rsidRDefault="00076DAE" w:rsidP="00076DAE">
            <w:pPr>
              <w:widowControl/>
              <w:adjustRightInd/>
              <w:rPr>
                <w:color w:val="000000"/>
                <w:sz w:val="20"/>
                <w:szCs w:val="20"/>
              </w:rPr>
            </w:pPr>
          </w:p>
        </w:tc>
        <w:tc>
          <w:tcPr>
            <w:tcW w:w="3540" w:type="dxa"/>
            <w:tcBorders>
              <w:top w:val="nil"/>
              <w:left w:val="nil"/>
              <w:bottom w:val="nil"/>
              <w:right w:val="nil"/>
            </w:tcBorders>
            <w:shd w:val="clear" w:color="auto" w:fill="auto"/>
            <w:noWrap/>
            <w:vAlign w:val="bottom"/>
            <w:hideMark/>
          </w:tcPr>
          <w:p w14:paraId="236C1AE9" w14:textId="77777777" w:rsidR="00076DAE" w:rsidRPr="00076DAE" w:rsidRDefault="00076DAE" w:rsidP="00076DAE">
            <w:pPr>
              <w:widowControl/>
              <w:adjustRightInd/>
              <w:rPr>
                <w:color w:val="000000"/>
                <w:sz w:val="20"/>
                <w:szCs w:val="20"/>
              </w:rPr>
            </w:pPr>
          </w:p>
        </w:tc>
        <w:tc>
          <w:tcPr>
            <w:tcW w:w="2792" w:type="dxa"/>
            <w:gridSpan w:val="2"/>
            <w:tcBorders>
              <w:top w:val="nil"/>
              <w:left w:val="nil"/>
              <w:bottom w:val="nil"/>
              <w:right w:val="nil"/>
            </w:tcBorders>
            <w:shd w:val="clear" w:color="auto" w:fill="auto"/>
            <w:vAlign w:val="center"/>
            <w:hideMark/>
          </w:tcPr>
          <w:p w14:paraId="05512BB3" w14:textId="77777777" w:rsidR="00076DAE" w:rsidRPr="00076DAE" w:rsidRDefault="00076DAE" w:rsidP="00076DAE">
            <w:pPr>
              <w:widowControl/>
              <w:adjustRightInd/>
              <w:rPr>
                <w:i/>
                <w:iCs/>
                <w:color w:val="000000"/>
                <w:sz w:val="20"/>
                <w:szCs w:val="20"/>
              </w:rPr>
            </w:pPr>
          </w:p>
        </w:tc>
        <w:tc>
          <w:tcPr>
            <w:tcW w:w="160" w:type="dxa"/>
            <w:tcBorders>
              <w:top w:val="nil"/>
              <w:left w:val="nil"/>
              <w:bottom w:val="nil"/>
              <w:right w:val="nil"/>
            </w:tcBorders>
            <w:shd w:val="clear" w:color="auto" w:fill="auto"/>
            <w:vAlign w:val="center"/>
            <w:hideMark/>
          </w:tcPr>
          <w:p w14:paraId="16061758" w14:textId="77777777" w:rsidR="00076DAE" w:rsidRPr="00076DAE" w:rsidRDefault="00076DAE" w:rsidP="00076DAE">
            <w:pPr>
              <w:widowControl/>
              <w:adjustRightInd/>
              <w:rPr>
                <w:i/>
                <w:iCs/>
                <w:color w:val="000000"/>
                <w:sz w:val="20"/>
                <w:szCs w:val="20"/>
              </w:rPr>
            </w:pPr>
          </w:p>
        </w:tc>
        <w:tc>
          <w:tcPr>
            <w:tcW w:w="2716" w:type="dxa"/>
            <w:gridSpan w:val="2"/>
            <w:tcBorders>
              <w:top w:val="nil"/>
              <w:left w:val="nil"/>
              <w:bottom w:val="nil"/>
              <w:right w:val="nil"/>
            </w:tcBorders>
            <w:shd w:val="clear" w:color="auto" w:fill="auto"/>
            <w:vAlign w:val="center"/>
            <w:hideMark/>
          </w:tcPr>
          <w:p w14:paraId="02BA4FFB" w14:textId="77777777" w:rsidR="00076DAE" w:rsidRPr="00076DAE" w:rsidRDefault="00076DAE" w:rsidP="00076DAE">
            <w:pPr>
              <w:widowControl/>
              <w:adjustRightInd/>
              <w:rPr>
                <w:i/>
                <w:iCs/>
                <w:color w:val="000000"/>
                <w:sz w:val="20"/>
                <w:szCs w:val="20"/>
              </w:rPr>
            </w:pPr>
          </w:p>
        </w:tc>
        <w:tc>
          <w:tcPr>
            <w:tcW w:w="160" w:type="dxa"/>
            <w:tcBorders>
              <w:top w:val="nil"/>
              <w:left w:val="nil"/>
              <w:bottom w:val="nil"/>
              <w:right w:val="nil"/>
            </w:tcBorders>
            <w:shd w:val="clear" w:color="auto" w:fill="auto"/>
            <w:vAlign w:val="center"/>
            <w:hideMark/>
          </w:tcPr>
          <w:p w14:paraId="409B0ED3" w14:textId="77777777" w:rsidR="00076DAE" w:rsidRPr="00076DAE" w:rsidRDefault="00076DAE" w:rsidP="00076DAE">
            <w:pPr>
              <w:widowControl/>
              <w:adjustRightInd/>
              <w:rPr>
                <w:i/>
                <w:iCs/>
                <w:color w:val="000000"/>
                <w:sz w:val="20"/>
                <w:szCs w:val="20"/>
              </w:rPr>
            </w:pPr>
          </w:p>
        </w:tc>
      </w:tr>
      <w:tr w:rsidR="00076DAE" w:rsidRPr="00076DAE" w14:paraId="16B2D133" w14:textId="77777777" w:rsidTr="0093572E">
        <w:trPr>
          <w:gridAfter w:val="2"/>
          <w:wAfter w:w="583" w:type="dxa"/>
          <w:trHeight w:val="412"/>
        </w:trPr>
        <w:tc>
          <w:tcPr>
            <w:tcW w:w="146" w:type="dxa"/>
            <w:tcBorders>
              <w:top w:val="nil"/>
              <w:left w:val="nil"/>
              <w:bottom w:val="nil"/>
              <w:right w:val="nil"/>
            </w:tcBorders>
            <w:shd w:val="clear" w:color="auto" w:fill="auto"/>
            <w:noWrap/>
            <w:vAlign w:val="bottom"/>
            <w:hideMark/>
          </w:tcPr>
          <w:p w14:paraId="3850EA47" w14:textId="77777777" w:rsidR="00076DAE" w:rsidRPr="00076DAE" w:rsidRDefault="00076DAE" w:rsidP="00076DAE">
            <w:pPr>
              <w:widowControl/>
              <w:adjustRightInd/>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3387C6A" w14:textId="77777777" w:rsidR="00076DAE" w:rsidRPr="00076DAE" w:rsidRDefault="00076DAE" w:rsidP="00076DAE">
            <w:pPr>
              <w:widowControl/>
              <w:adjustRightInd/>
              <w:rPr>
                <w:i/>
                <w:iCs/>
                <w:color w:val="000000"/>
                <w:sz w:val="22"/>
                <w:szCs w:val="22"/>
              </w:rPr>
            </w:pPr>
            <w:r w:rsidRPr="00076DAE">
              <w:rPr>
                <w:i/>
                <w:iCs/>
                <w:color w:val="000000"/>
                <w:sz w:val="22"/>
                <w:szCs w:val="22"/>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7909A115"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017593C6"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Zníženie nákladov v € na PP</w:t>
            </w:r>
          </w:p>
        </w:tc>
      </w:tr>
      <w:tr w:rsidR="00076DAE" w:rsidRPr="00076DAE" w14:paraId="182CF1E3" w14:textId="77777777" w:rsidTr="0093572E">
        <w:trPr>
          <w:gridAfter w:val="2"/>
          <w:wAfter w:w="583" w:type="dxa"/>
          <w:trHeight w:val="840"/>
        </w:trPr>
        <w:tc>
          <w:tcPr>
            <w:tcW w:w="146" w:type="dxa"/>
            <w:tcBorders>
              <w:top w:val="nil"/>
              <w:left w:val="nil"/>
              <w:bottom w:val="nil"/>
              <w:right w:val="nil"/>
            </w:tcBorders>
            <w:shd w:val="clear" w:color="auto" w:fill="auto"/>
            <w:noWrap/>
            <w:vAlign w:val="bottom"/>
            <w:hideMark/>
          </w:tcPr>
          <w:p w14:paraId="651042D4" w14:textId="77777777" w:rsidR="00076DAE" w:rsidRPr="00076DAE" w:rsidRDefault="00076DAE" w:rsidP="00076DAE">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BE0B84A" w14:textId="77777777" w:rsidR="00076DAE" w:rsidRPr="00076DAE" w:rsidRDefault="00076DAE" w:rsidP="00076DAE">
            <w:pPr>
              <w:widowControl/>
              <w:adjustRightInd/>
              <w:rPr>
                <w:b/>
                <w:bCs/>
                <w:i/>
                <w:iCs/>
                <w:color w:val="000000"/>
                <w:sz w:val="20"/>
                <w:szCs w:val="20"/>
              </w:rPr>
            </w:pPr>
            <w:r w:rsidRPr="00076DAE">
              <w:rPr>
                <w:b/>
                <w:bCs/>
                <w:i/>
                <w:iCs/>
                <w:color w:val="000000"/>
                <w:sz w:val="20"/>
                <w:szCs w:val="20"/>
              </w:rPr>
              <w:t>F. Úplná harmonizácia práva EÚ</w:t>
            </w:r>
            <w:r w:rsidRPr="00076DAE">
              <w:rPr>
                <w:b/>
                <w:bCs/>
                <w:i/>
                <w:iCs/>
                <w:color w:val="000000"/>
                <w:sz w:val="20"/>
                <w:szCs w:val="20"/>
              </w:rPr>
              <w:br/>
            </w:r>
            <w:r w:rsidRPr="00076DAE">
              <w:rPr>
                <w:i/>
                <w:iCs/>
                <w:color w:val="000000"/>
                <w:sz w:val="16"/>
                <w:szCs w:val="16"/>
              </w:rPr>
              <w:t xml:space="preserve">(okrem daní, odvodov, ciel a poplatkov, ktorých cieľom je znižovať negatívne </w:t>
            </w:r>
            <w:proofErr w:type="spellStart"/>
            <w:r w:rsidRPr="00076DAE">
              <w:rPr>
                <w:i/>
                <w:iCs/>
                <w:color w:val="000000"/>
                <w:sz w:val="16"/>
                <w:szCs w:val="16"/>
              </w:rPr>
              <w:t>externality</w:t>
            </w:r>
            <w:proofErr w:type="spellEnd"/>
            <w:r w:rsidRPr="00076DAE">
              <w:rPr>
                <w:i/>
                <w:iCs/>
                <w:color w:val="000000"/>
                <w:sz w:val="16"/>
                <w:szCs w:val="16"/>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70AB504"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0CF34E5"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r>
      <w:tr w:rsidR="00076DAE" w:rsidRPr="00076DAE" w14:paraId="122914CF" w14:textId="77777777" w:rsidTr="0093572E">
        <w:trPr>
          <w:gridAfter w:val="2"/>
          <w:wAfter w:w="583" w:type="dxa"/>
          <w:trHeight w:val="486"/>
        </w:trPr>
        <w:tc>
          <w:tcPr>
            <w:tcW w:w="146" w:type="dxa"/>
            <w:tcBorders>
              <w:top w:val="nil"/>
              <w:left w:val="nil"/>
              <w:bottom w:val="nil"/>
              <w:right w:val="nil"/>
            </w:tcBorders>
            <w:shd w:val="clear" w:color="auto" w:fill="auto"/>
            <w:noWrap/>
            <w:vAlign w:val="bottom"/>
            <w:hideMark/>
          </w:tcPr>
          <w:p w14:paraId="0F4849E4" w14:textId="77777777" w:rsidR="00076DAE" w:rsidRPr="00076DAE" w:rsidRDefault="00076DAE" w:rsidP="00076DAE">
            <w:pPr>
              <w:widowControl/>
              <w:adjustRightInd/>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475AAF" w14:textId="77777777" w:rsidR="00076DAE" w:rsidRPr="00076DAE" w:rsidRDefault="00076DAE" w:rsidP="00076DAE">
            <w:pPr>
              <w:widowControl/>
              <w:adjustRightInd/>
              <w:rPr>
                <w:b/>
                <w:bCs/>
                <w:i/>
                <w:iCs/>
                <w:color w:val="000000"/>
                <w:sz w:val="20"/>
                <w:szCs w:val="20"/>
              </w:rPr>
            </w:pPr>
            <w:r w:rsidRPr="00076DAE">
              <w:rPr>
                <w:b/>
                <w:bCs/>
                <w:i/>
                <w:iCs/>
                <w:color w:val="000000"/>
                <w:sz w:val="20"/>
                <w:szCs w:val="20"/>
              </w:rPr>
              <w:t xml:space="preserve">G. </w:t>
            </w:r>
            <w:proofErr w:type="spellStart"/>
            <w:r w:rsidRPr="00076DAE">
              <w:rPr>
                <w:b/>
                <w:bCs/>
                <w:i/>
                <w:iCs/>
                <w:color w:val="000000"/>
                <w:sz w:val="20"/>
                <w:szCs w:val="20"/>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436EE7E1"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10C289B1"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r>
      <w:tr w:rsidR="00076DAE" w:rsidRPr="00076DAE" w14:paraId="7B0B7444" w14:textId="77777777" w:rsidTr="0093572E">
        <w:trPr>
          <w:trHeight w:val="360"/>
        </w:trPr>
        <w:tc>
          <w:tcPr>
            <w:tcW w:w="146" w:type="dxa"/>
            <w:tcBorders>
              <w:top w:val="nil"/>
              <w:left w:val="nil"/>
              <w:bottom w:val="nil"/>
              <w:right w:val="nil"/>
            </w:tcBorders>
            <w:shd w:val="clear" w:color="auto" w:fill="auto"/>
            <w:noWrap/>
            <w:vAlign w:val="bottom"/>
            <w:hideMark/>
          </w:tcPr>
          <w:p w14:paraId="4D1003F1" w14:textId="77777777" w:rsidR="00076DAE" w:rsidRPr="00076DAE" w:rsidRDefault="00076DAE" w:rsidP="00076DAE">
            <w:pPr>
              <w:widowControl/>
              <w:adjustRightInd/>
              <w:rPr>
                <w:color w:val="000000"/>
                <w:sz w:val="20"/>
                <w:szCs w:val="20"/>
              </w:rPr>
            </w:pPr>
          </w:p>
        </w:tc>
        <w:tc>
          <w:tcPr>
            <w:tcW w:w="3540" w:type="dxa"/>
            <w:tcBorders>
              <w:top w:val="nil"/>
              <w:left w:val="nil"/>
              <w:bottom w:val="nil"/>
              <w:right w:val="nil"/>
            </w:tcBorders>
            <w:shd w:val="clear" w:color="auto" w:fill="auto"/>
            <w:noWrap/>
            <w:vAlign w:val="bottom"/>
            <w:hideMark/>
          </w:tcPr>
          <w:p w14:paraId="7A741DF9" w14:textId="77777777" w:rsidR="00076DAE" w:rsidRPr="00076DAE" w:rsidRDefault="00076DAE" w:rsidP="00076DAE">
            <w:pPr>
              <w:widowControl/>
              <w:adjustRightInd/>
              <w:rPr>
                <w:color w:val="000000"/>
                <w:sz w:val="20"/>
                <w:szCs w:val="20"/>
              </w:rPr>
            </w:pPr>
          </w:p>
        </w:tc>
        <w:tc>
          <w:tcPr>
            <w:tcW w:w="2792" w:type="dxa"/>
            <w:gridSpan w:val="2"/>
            <w:tcBorders>
              <w:top w:val="nil"/>
              <w:left w:val="nil"/>
              <w:bottom w:val="nil"/>
              <w:right w:val="nil"/>
            </w:tcBorders>
            <w:shd w:val="clear" w:color="auto" w:fill="auto"/>
            <w:vAlign w:val="center"/>
            <w:hideMark/>
          </w:tcPr>
          <w:p w14:paraId="53AEC919" w14:textId="77777777" w:rsidR="00076DAE" w:rsidRPr="00076DAE" w:rsidRDefault="00076DAE" w:rsidP="00076DAE">
            <w:pPr>
              <w:widowControl/>
              <w:adjustRightInd/>
              <w:rPr>
                <w:i/>
                <w:iCs/>
                <w:color w:val="000000"/>
                <w:sz w:val="20"/>
                <w:szCs w:val="20"/>
              </w:rPr>
            </w:pPr>
          </w:p>
        </w:tc>
        <w:tc>
          <w:tcPr>
            <w:tcW w:w="160" w:type="dxa"/>
            <w:tcBorders>
              <w:top w:val="nil"/>
              <w:left w:val="nil"/>
              <w:bottom w:val="nil"/>
              <w:right w:val="nil"/>
            </w:tcBorders>
            <w:shd w:val="clear" w:color="auto" w:fill="auto"/>
            <w:vAlign w:val="center"/>
            <w:hideMark/>
          </w:tcPr>
          <w:p w14:paraId="7365B6CB" w14:textId="77777777" w:rsidR="00076DAE" w:rsidRPr="00076DAE" w:rsidRDefault="00076DAE" w:rsidP="00076DAE">
            <w:pPr>
              <w:widowControl/>
              <w:adjustRightInd/>
              <w:rPr>
                <w:i/>
                <w:iCs/>
                <w:color w:val="000000"/>
                <w:sz w:val="20"/>
                <w:szCs w:val="20"/>
              </w:rPr>
            </w:pPr>
          </w:p>
        </w:tc>
        <w:tc>
          <w:tcPr>
            <w:tcW w:w="2716" w:type="dxa"/>
            <w:gridSpan w:val="2"/>
            <w:tcBorders>
              <w:top w:val="nil"/>
              <w:left w:val="nil"/>
              <w:bottom w:val="nil"/>
              <w:right w:val="nil"/>
            </w:tcBorders>
            <w:shd w:val="clear" w:color="auto" w:fill="auto"/>
            <w:vAlign w:val="center"/>
            <w:hideMark/>
          </w:tcPr>
          <w:p w14:paraId="20228D79" w14:textId="77777777" w:rsidR="00076DAE" w:rsidRPr="00076DAE" w:rsidRDefault="00076DAE" w:rsidP="00076DAE">
            <w:pPr>
              <w:widowControl/>
              <w:adjustRightInd/>
              <w:rPr>
                <w:i/>
                <w:iCs/>
                <w:color w:val="000000"/>
                <w:sz w:val="20"/>
                <w:szCs w:val="20"/>
              </w:rPr>
            </w:pPr>
          </w:p>
        </w:tc>
        <w:tc>
          <w:tcPr>
            <w:tcW w:w="160" w:type="dxa"/>
            <w:tcBorders>
              <w:top w:val="nil"/>
              <w:left w:val="nil"/>
              <w:bottom w:val="nil"/>
              <w:right w:val="nil"/>
            </w:tcBorders>
            <w:shd w:val="clear" w:color="auto" w:fill="auto"/>
            <w:vAlign w:val="center"/>
            <w:hideMark/>
          </w:tcPr>
          <w:p w14:paraId="689A1B05" w14:textId="77777777" w:rsidR="00076DAE" w:rsidRPr="00076DAE" w:rsidRDefault="00076DAE" w:rsidP="00076DAE">
            <w:pPr>
              <w:widowControl/>
              <w:adjustRightInd/>
              <w:rPr>
                <w:i/>
                <w:iCs/>
                <w:color w:val="000000"/>
                <w:sz w:val="20"/>
                <w:szCs w:val="20"/>
              </w:rPr>
            </w:pPr>
          </w:p>
        </w:tc>
      </w:tr>
      <w:tr w:rsidR="00076DAE" w:rsidRPr="00076DAE" w14:paraId="4CE73284" w14:textId="77777777" w:rsidTr="0093572E">
        <w:trPr>
          <w:gridAfter w:val="2"/>
          <w:wAfter w:w="583" w:type="dxa"/>
          <w:trHeight w:val="390"/>
        </w:trPr>
        <w:tc>
          <w:tcPr>
            <w:tcW w:w="146" w:type="dxa"/>
            <w:tcBorders>
              <w:top w:val="nil"/>
              <w:left w:val="nil"/>
              <w:bottom w:val="nil"/>
              <w:right w:val="nil"/>
            </w:tcBorders>
            <w:shd w:val="clear" w:color="auto" w:fill="auto"/>
            <w:noWrap/>
            <w:vAlign w:val="bottom"/>
            <w:hideMark/>
          </w:tcPr>
          <w:p w14:paraId="017852A9" w14:textId="77777777" w:rsidR="00076DAE" w:rsidRPr="00076DAE" w:rsidRDefault="00076DAE" w:rsidP="00076DAE">
            <w:pPr>
              <w:widowControl/>
              <w:adjustRightInd/>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007DDE9" w14:textId="77777777" w:rsidR="00076DAE" w:rsidRPr="00076DAE" w:rsidRDefault="00076DAE" w:rsidP="00076DAE">
            <w:pPr>
              <w:widowControl/>
              <w:adjustRightInd/>
              <w:rPr>
                <w:i/>
                <w:iCs/>
                <w:color w:val="000000"/>
                <w:sz w:val="20"/>
                <w:szCs w:val="20"/>
              </w:rPr>
            </w:pPr>
            <w:r w:rsidRPr="00076DAE">
              <w:rPr>
                <w:i/>
                <w:iCs/>
                <w:color w:val="000000"/>
                <w:sz w:val="20"/>
                <w:szCs w:val="20"/>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8D8F62F" w14:textId="77777777" w:rsidR="00076DAE" w:rsidRPr="00076DAE" w:rsidRDefault="00076DAE" w:rsidP="00076DAE">
            <w:pPr>
              <w:widowControl/>
              <w:adjustRightInd/>
              <w:jc w:val="center"/>
              <w:rPr>
                <w:color w:val="000000"/>
                <w:sz w:val="20"/>
                <w:szCs w:val="20"/>
              </w:rPr>
            </w:pPr>
            <w:r w:rsidRPr="00076DAE">
              <w:rPr>
                <w:color w:val="000000"/>
                <w:sz w:val="20"/>
                <w:szCs w:val="20"/>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6693370" w14:textId="77777777" w:rsidR="00076DAE" w:rsidRPr="00076DAE" w:rsidRDefault="00076DAE" w:rsidP="00076DAE">
            <w:pPr>
              <w:widowControl/>
              <w:adjustRightInd/>
              <w:jc w:val="center"/>
              <w:rPr>
                <w:color w:val="000000"/>
                <w:sz w:val="20"/>
                <w:szCs w:val="20"/>
              </w:rPr>
            </w:pPr>
            <w:r w:rsidRPr="00076DAE">
              <w:rPr>
                <w:color w:val="000000"/>
                <w:sz w:val="20"/>
                <w:szCs w:val="20"/>
              </w:rPr>
              <w:t>OUT</w:t>
            </w:r>
          </w:p>
        </w:tc>
      </w:tr>
      <w:tr w:rsidR="00076DAE" w:rsidRPr="00076DAE" w14:paraId="428DE7C2" w14:textId="77777777" w:rsidTr="0093572E">
        <w:trPr>
          <w:gridAfter w:val="2"/>
          <w:wAfter w:w="583" w:type="dxa"/>
          <w:trHeight w:val="390"/>
        </w:trPr>
        <w:tc>
          <w:tcPr>
            <w:tcW w:w="146" w:type="dxa"/>
            <w:tcBorders>
              <w:top w:val="nil"/>
              <w:left w:val="nil"/>
              <w:bottom w:val="nil"/>
              <w:right w:val="nil"/>
            </w:tcBorders>
            <w:shd w:val="clear" w:color="auto" w:fill="auto"/>
            <w:noWrap/>
            <w:vAlign w:val="bottom"/>
            <w:hideMark/>
          </w:tcPr>
          <w:p w14:paraId="5C89E232" w14:textId="77777777" w:rsidR="00076DAE" w:rsidRPr="00076DAE" w:rsidRDefault="00076DAE" w:rsidP="00076DAE">
            <w:pPr>
              <w:widowControl/>
              <w:adjustRightInd/>
              <w:rPr>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30B775C0" w14:textId="77777777" w:rsidR="00076DAE" w:rsidRPr="00076DAE" w:rsidRDefault="00076DAE" w:rsidP="00076DAE">
            <w:pPr>
              <w:widowControl/>
              <w:adjustRightInd/>
              <w:rPr>
                <w:i/>
                <w:iCs/>
                <w:color w:val="000000"/>
                <w:sz w:val="20"/>
                <w:szCs w:val="20"/>
              </w:rPr>
            </w:pPr>
            <w:r w:rsidRPr="00076DAE">
              <w:rPr>
                <w:b/>
                <w:i/>
                <w:iCs/>
                <w:color w:val="000000"/>
                <w:sz w:val="20"/>
                <w:szCs w:val="20"/>
              </w:rPr>
              <w:t>H.</w:t>
            </w:r>
            <w:r w:rsidRPr="00076DAE">
              <w:rPr>
                <w:i/>
                <w:iCs/>
                <w:color w:val="000000"/>
                <w:sz w:val="20"/>
                <w:szCs w:val="20"/>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92D1B93"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2877B32"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w:t>
            </w:r>
          </w:p>
        </w:tc>
      </w:tr>
    </w:tbl>
    <w:p w14:paraId="5900D8F6" w14:textId="77777777" w:rsidR="00076DAE" w:rsidRPr="00076DAE" w:rsidRDefault="00076DAE" w:rsidP="00076DAE">
      <w:pPr>
        <w:widowControl/>
        <w:adjustRightInd/>
        <w:spacing w:after="160" w:line="259" w:lineRule="auto"/>
        <w:rPr>
          <w:rFonts w:eastAsia="Calibri"/>
          <w:b/>
          <w:lang w:eastAsia="en-US"/>
        </w:rPr>
        <w:sectPr w:rsidR="00076DAE" w:rsidRPr="00076DAE" w:rsidSect="0093572E">
          <w:footerReference w:type="default" r:id="rId10"/>
          <w:pgSz w:w="11906" w:h="16838"/>
          <w:pgMar w:top="993" w:right="1417" w:bottom="1417" w:left="1417" w:header="708" w:footer="708" w:gutter="0"/>
          <w:pgNumType w:start="1"/>
          <w:cols w:space="708"/>
          <w:docGrid w:linePitch="360"/>
        </w:sectPr>
      </w:pPr>
    </w:p>
    <w:p w14:paraId="10904D41" w14:textId="77777777" w:rsidR="00076DAE" w:rsidRPr="00076DAE" w:rsidRDefault="00076DAE" w:rsidP="00076DAE">
      <w:pPr>
        <w:widowControl/>
        <w:adjustRightInd/>
        <w:spacing w:after="160" w:line="259" w:lineRule="auto"/>
        <w:rPr>
          <w:rFonts w:eastAsia="Calibri"/>
          <w:b/>
          <w:i/>
          <w:iCs/>
          <w:lang w:eastAsia="en-US"/>
        </w:rPr>
      </w:pPr>
      <w:r w:rsidRPr="00076DAE">
        <w:rPr>
          <w:rFonts w:eastAsia="Calibri"/>
          <w:b/>
          <w:i/>
          <w:iCs/>
          <w:lang w:eastAsia="en-US"/>
        </w:rPr>
        <w:lastRenderedPageBreak/>
        <w:t>3.1.2 Výpočty vplyvov jednotlivých regulácií na zmeny v nákladoch podnikateľov</w:t>
      </w:r>
      <w:r w:rsidRPr="00076DAE">
        <w:rPr>
          <w:rFonts w:eastAsia="Calibri"/>
          <w:i/>
          <w:lang w:eastAsia="en-US"/>
        </w:rPr>
        <w:tab/>
      </w:r>
      <w:r w:rsidRPr="00076DAE">
        <w:rPr>
          <w:rFonts w:eastAsia="Calibri"/>
          <w:i/>
          <w:lang w:eastAsia="en-US"/>
        </w:rPr>
        <w:tab/>
      </w:r>
      <w:r w:rsidRPr="00076DAE">
        <w:rPr>
          <w:rFonts w:eastAsia="Calibri"/>
          <w:i/>
          <w:lang w:eastAsia="en-US"/>
        </w:rPr>
        <w:tab/>
      </w:r>
      <w:r w:rsidRPr="00076DAE">
        <w:rPr>
          <w:rFonts w:eastAsia="Calibri"/>
          <w:i/>
          <w:lang w:eastAsia="en-US"/>
        </w:rPr>
        <w:tab/>
      </w:r>
      <w:r w:rsidRPr="00076DAE">
        <w:rPr>
          <w:rFonts w:eastAsia="Calibri"/>
          <w:i/>
          <w:lang w:eastAsia="en-US"/>
        </w:rPr>
        <w:tab/>
      </w:r>
      <w:r w:rsidRPr="00076DAE">
        <w:rPr>
          <w:rFonts w:eastAsia="Calibri"/>
          <w:i/>
          <w:lang w:eastAsia="en-US"/>
        </w:rPr>
        <w:tab/>
      </w:r>
      <w:r w:rsidRPr="00076DAE">
        <w:rPr>
          <w:rFonts w:eastAsia="Calibri"/>
          <w:i/>
          <w:lang w:eastAsia="en-US"/>
        </w:rPr>
        <w:tab/>
      </w:r>
      <w:r w:rsidRPr="00076DAE">
        <w:rPr>
          <w:rFonts w:eastAsia="Calibri"/>
          <w:i/>
          <w:lang w:eastAsia="en-US"/>
        </w:rPr>
        <w:tab/>
      </w:r>
    </w:p>
    <w:p w14:paraId="0AF08212" w14:textId="77777777" w:rsidR="00076DAE" w:rsidRPr="00076DAE" w:rsidRDefault="00076DAE" w:rsidP="00076DAE">
      <w:pPr>
        <w:widowControl/>
        <w:adjustRightInd/>
        <w:spacing w:after="160" w:line="259" w:lineRule="auto"/>
        <w:jc w:val="both"/>
        <w:rPr>
          <w:rFonts w:eastAsia="Calibri"/>
          <w:i/>
          <w:lang w:eastAsia="en-US"/>
        </w:rPr>
      </w:pPr>
      <w:r w:rsidRPr="00076DAE">
        <w:rPr>
          <w:rFonts w:eastAsia="Calibri"/>
          <w:i/>
          <w:lang w:eastAsia="en-US"/>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076DAE" w:rsidRPr="00076DAE" w14:paraId="0E56F07C" w14:textId="77777777" w:rsidTr="00076DAE">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7BA9CA5" w14:textId="77777777" w:rsidR="00076DAE" w:rsidRPr="00076DAE" w:rsidRDefault="00076DAE" w:rsidP="00076DAE">
            <w:pPr>
              <w:widowControl/>
              <w:adjustRightInd/>
              <w:jc w:val="center"/>
              <w:rPr>
                <w:b/>
                <w:bCs/>
                <w:color w:val="000000"/>
                <w:sz w:val="20"/>
                <w:szCs w:val="20"/>
              </w:rPr>
            </w:pPr>
            <w:proofErr w:type="spellStart"/>
            <w:r w:rsidRPr="00076DAE">
              <w:rPr>
                <w:b/>
                <w:bCs/>
                <w:color w:val="000000"/>
                <w:sz w:val="20"/>
                <w:szCs w:val="20"/>
              </w:rPr>
              <w:t>P.č</w:t>
            </w:r>
            <w:proofErr w:type="spellEnd"/>
            <w:r w:rsidRPr="00076DAE">
              <w:rPr>
                <w:b/>
                <w:bCs/>
                <w:color w:val="000000"/>
                <w:sz w:val="20"/>
                <w:szCs w:val="20"/>
              </w:rPr>
              <w:t>.</w:t>
            </w:r>
          </w:p>
        </w:tc>
        <w:tc>
          <w:tcPr>
            <w:tcW w:w="174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D1830F1"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xml:space="preserve">Zrozumiteľný a stručný opis regulácie </w:t>
            </w:r>
            <w:r w:rsidRPr="00076DAE">
              <w:rPr>
                <w:b/>
                <w:bCs/>
                <w:color w:val="000000"/>
                <w:sz w:val="20"/>
                <w:szCs w:val="20"/>
              </w:rPr>
              <w:br/>
              <w:t xml:space="preserve">(dôvod zvýšenia/zníženia nákladov na PP a dôvod ponechania nákladov na PP, ktoré sú </w:t>
            </w:r>
            <w:proofErr w:type="spellStart"/>
            <w:r w:rsidRPr="00076DAE">
              <w:rPr>
                <w:b/>
                <w:bCs/>
                <w:color w:val="000000"/>
                <w:sz w:val="20"/>
                <w:szCs w:val="20"/>
              </w:rPr>
              <w:t>goldplatngom</w:t>
            </w:r>
            <w:proofErr w:type="spellEnd"/>
            <w:r w:rsidRPr="00076DAE">
              <w:rPr>
                <w:b/>
                <w:bCs/>
                <w:color w:val="000000"/>
                <w:sz w:val="20"/>
                <w:szCs w:val="20"/>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vAlign w:val="center"/>
            <w:hideMark/>
          </w:tcPr>
          <w:p w14:paraId="041A86F0"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Číslo normy</w:t>
            </w:r>
            <w:r w:rsidRPr="00076DAE">
              <w:rPr>
                <w:b/>
                <w:bCs/>
                <w:color w:val="000000"/>
                <w:sz w:val="20"/>
                <w:szCs w:val="20"/>
              </w:rPr>
              <w:br/>
            </w:r>
            <w:r w:rsidRPr="00076DAE">
              <w:rPr>
                <w:color w:val="000000"/>
                <w:sz w:val="20"/>
                <w:szCs w:val="20"/>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vAlign w:val="center"/>
            <w:hideMark/>
          </w:tcPr>
          <w:p w14:paraId="08B7628F"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Lokalizácia</w:t>
            </w:r>
            <w:r w:rsidRPr="00076DAE">
              <w:rPr>
                <w:b/>
                <w:bCs/>
                <w:color w:val="000000"/>
                <w:sz w:val="20"/>
                <w:szCs w:val="20"/>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E4CB25B" w14:textId="77777777" w:rsidR="00076DAE" w:rsidRPr="00076DAE" w:rsidRDefault="00076DAE" w:rsidP="00076DAE">
            <w:pPr>
              <w:widowControl/>
              <w:adjustRightInd/>
              <w:jc w:val="center"/>
              <w:rPr>
                <w:color w:val="000000"/>
                <w:sz w:val="20"/>
                <w:szCs w:val="20"/>
              </w:rPr>
            </w:pPr>
            <w:r w:rsidRPr="00076DAE">
              <w:rPr>
                <w:b/>
                <w:bCs/>
                <w:color w:val="000000"/>
                <w:sz w:val="20"/>
                <w:szCs w:val="20"/>
              </w:rPr>
              <w:t xml:space="preserve">Pôvod regulácie: </w:t>
            </w:r>
            <w:r w:rsidRPr="00076DAE">
              <w:rPr>
                <w:b/>
                <w:bCs/>
                <w:color w:val="000000"/>
                <w:sz w:val="20"/>
                <w:szCs w:val="20"/>
              </w:rPr>
              <w:br/>
            </w:r>
            <w:r w:rsidRPr="00076DAE">
              <w:rPr>
                <w:color w:val="000000"/>
                <w:sz w:val="20"/>
                <w:szCs w:val="20"/>
              </w:rPr>
              <w:t xml:space="preserve">SK/EÚ úplná </w:t>
            </w:r>
            <w:proofErr w:type="spellStart"/>
            <w:r w:rsidRPr="00076DAE">
              <w:rPr>
                <w:color w:val="000000"/>
                <w:sz w:val="20"/>
                <w:szCs w:val="20"/>
              </w:rPr>
              <w:t>harm</w:t>
            </w:r>
            <w:proofErr w:type="spellEnd"/>
            <w:r w:rsidRPr="00076DAE">
              <w:rPr>
                <w:color w:val="000000"/>
                <w:sz w:val="20"/>
                <w:szCs w:val="20"/>
              </w:rPr>
              <w:t>./</w:t>
            </w:r>
          </w:p>
          <w:p w14:paraId="5F6345EB" w14:textId="77777777" w:rsidR="00076DAE" w:rsidRPr="00076DAE" w:rsidRDefault="00076DAE" w:rsidP="00076DAE">
            <w:pPr>
              <w:widowControl/>
              <w:adjustRightInd/>
              <w:jc w:val="center"/>
              <w:rPr>
                <w:b/>
                <w:bCs/>
                <w:color w:val="000000"/>
                <w:sz w:val="20"/>
                <w:szCs w:val="20"/>
              </w:rPr>
            </w:pPr>
            <w:proofErr w:type="spellStart"/>
            <w:r w:rsidRPr="00076DAE">
              <w:rPr>
                <w:color w:val="000000"/>
                <w:sz w:val="20"/>
                <w:szCs w:val="20"/>
              </w:rPr>
              <w:t>Goldplating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E7E21C2"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7E20411"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xml:space="preserve">Kategória </w:t>
            </w:r>
            <w:proofErr w:type="spellStart"/>
            <w:r w:rsidRPr="00076DAE">
              <w:rPr>
                <w:b/>
                <w:bCs/>
                <w:color w:val="000000"/>
                <w:sz w:val="20"/>
                <w:szCs w:val="20"/>
              </w:rPr>
              <w:t>dotk</w:t>
            </w:r>
            <w:proofErr w:type="spellEnd"/>
            <w:r w:rsidRPr="00076DAE">
              <w:rPr>
                <w:b/>
                <w:bCs/>
                <w:color w:val="000000"/>
                <w:sz w:val="20"/>
                <w:szCs w:val="20"/>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vAlign w:val="center"/>
          </w:tcPr>
          <w:p w14:paraId="44C2CBEE"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xml:space="preserve">Počet </w:t>
            </w:r>
          </w:p>
          <w:p w14:paraId="00163571" w14:textId="77777777" w:rsidR="00076DAE" w:rsidRPr="00076DAE" w:rsidRDefault="00076DAE" w:rsidP="00076DAE">
            <w:pPr>
              <w:widowControl/>
              <w:adjustRightInd/>
              <w:jc w:val="center"/>
              <w:rPr>
                <w:b/>
                <w:bCs/>
                <w:color w:val="000000"/>
                <w:sz w:val="20"/>
                <w:szCs w:val="20"/>
              </w:rPr>
            </w:pPr>
            <w:proofErr w:type="spellStart"/>
            <w:r w:rsidRPr="00076DAE">
              <w:rPr>
                <w:b/>
                <w:bCs/>
                <w:color w:val="000000"/>
                <w:sz w:val="20"/>
                <w:szCs w:val="20"/>
              </w:rPr>
              <w:t>dotk</w:t>
            </w:r>
            <w:proofErr w:type="spellEnd"/>
            <w:r w:rsidRPr="00076DAE">
              <w:rPr>
                <w:b/>
                <w:bCs/>
                <w:color w:val="000000"/>
                <w:sz w:val="20"/>
                <w:szCs w:val="20"/>
              </w:rPr>
              <w:t xml:space="preserve">.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F0CEA91"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D8FB78F" w14:textId="77777777" w:rsidR="00076DAE" w:rsidRPr="00076DAE" w:rsidRDefault="00076DAE" w:rsidP="00076DAE">
            <w:pPr>
              <w:widowControl/>
              <w:adjustRightInd/>
              <w:jc w:val="center"/>
              <w:rPr>
                <w:b/>
                <w:bCs/>
                <w:color w:val="000000"/>
                <w:sz w:val="20"/>
                <w:szCs w:val="20"/>
              </w:rPr>
            </w:pPr>
            <w:r w:rsidRPr="00076DAE">
              <w:rPr>
                <w:b/>
                <w:bCs/>
                <w:color w:val="000000"/>
                <w:sz w:val="20"/>
                <w:szCs w:val="20"/>
              </w:rPr>
              <w:t xml:space="preserve">Vplyv na </w:t>
            </w:r>
            <w:proofErr w:type="spellStart"/>
            <w:r w:rsidRPr="00076DAE">
              <w:rPr>
                <w:b/>
                <w:bCs/>
                <w:color w:val="000000"/>
                <w:sz w:val="20"/>
                <w:szCs w:val="20"/>
              </w:rPr>
              <w:t>kateg</w:t>
            </w:r>
            <w:proofErr w:type="spellEnd"/>
            <w:r w:rsidRPr="00076DAE">
              <w:rPr>
                <w:b/>
                <w:bCs/>
                <w:color w:val="000000"/>
                <w:sz w:val="20"/>
                <w:szCs w:val="20"/>
              </w:rPr>
              <w:t xml:space="preserve">. </w:t>
            </w:r>
            <w:proofErr w:type="spellStart"/>
            <w:r w:rsidRPr="00076DAE">
              <w:rPr>
                <w:b/>
                <w:bCs/>
                <w:color w:val="000000"/>
                <w:sz w:val="20"/>
                <w:szCs w:val="20"/>
              </w:rPr>
              <w:t>dotk</w:t>
            </w:r>
            <w:proofErr w:type="spellEnd"/>
            <w:r w:rsidRPr="00076DAE">
              <w:rPr>
                <w:b/>
                <w:bCs/>
                <w:color w:val="000000"/>
                <w:sz w:val="20"/>
                <w:szCs w:val="20"/>
              </w:rPr>
              <w:t>.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D81CC60" w14:textId="77777777" w:rsidR="00076DAE" w:rsidRPr="00076DAE" w:rsidRDefault="00076DAE" w:rsidP="00076DAE">
            <w:pPr>
              <w:widowControl/>
              <w:adjustRightInd/>
              <w:jc w:val="center"/>
              <w:rPr>
                <w:bCs/>
                <w:color w:val="000000"/>
                <w:sz w:val="20"/>
                <w:szCs w:val="20"/>
              </w:rPr>
            </w:pPr>
            <w:r w:rsidRPr="00076DAE">
              <w:rPr>
                <w:b/>
                <w:bCs/>
                <w:color w:val="000000"/>
                <w:sz w:val="20"/>
                <w:szCs w:val="20"/>
              </w:rPr>
              <w:t>Druh vplyvu</w:t>
            </w:r>
            <w:r w:rsidRPr="00076DAE">
              <w:rPr>
                <w:b/>
                <w:bCs/>
                <w:color w:val="000000"/>
                <w:sz w:val="20"/>
                <w:szCs w:val="20"/>
              </w:rPr>
              <w:br/>
            </w:r>
            <w:r w:rsidRPr="00076DAE">
              <w:rPr>
                <w:bCs/>
                <w:color w:val="000000"/>
                <w:sz w:val="20"/>
                <w:szCs w:val="20"/>
              </w:rPr>
              <w:t xml:space="preserve">In (zvyšuje náklady) / </w:t>
            </w:r>
          </w:p>
          <w:p w14:paraId="278A8081" w14:textId="77777777" w:rsidR="00076DAE" w:rsidRPr="00076DAE" w:rsidRDefault="00076DAE" w:rsidP="00076DAE">
            <w:pPr>
              <w:widowControl/>
              <w:adjustRightInd/>
              <w:jc w:val="center"/>
              <w:rPr>
                <w:b/>
                <w:bCs/>
                <w:color w:val="000000"/>
                <w:sz w:val="20"/>
                <w:szCs w:val="20"/>
              </w:rPr>
            </w:pPr>
            <w:proofErr w:type="spellStart"/>
            <w:r w:rsidRPr="00076DAE">
              <w:rPr>
                <w:bCs/>
                <w:color w:val="000000"/>
                <w:sz w:val="20"/>
                <w:szCs w:val="20"/>
              </w:rPr>
              <w:t>Out</w:t>
            </w:r>
            <w:proofErr w:type="spellEnd"/>
            <w:r w:rsidRPr="00076DAE">
              <w:rPr>
                <w:bCs/>
                <w:color w:val="000000"/>
                <w:sz w:val="20"/>
                <w:szCs w:val="20"/>
              </w:rPr>
              <w:t xml:space="preserve"> (znižuje náklady</w:t>
            </w:r>
            <w:r w:rsidRPr="00076DAE">
              <w:rPr>
                <w:b/>
                <w:bCs/>
                <w:color w:val="000000"/>
                <w:sz w:val="20"/>
                <w:szCs w:val="20"/>
              </w:rPr>
              <w:t>)</w:t>
            </w:r>
          </w:p>
          <w:p w14:paraId="077091A2" w14:textId="77777777" w:rsidR="00076DAE" w:rsidRPr="00076DAE" w:rsidRDefault="00076DAE" w:rsidP="00076DAE">
            <w:pPr>
              <w:widowControl/>
              <w:adjustRightInd/>
              <w:jc w:val="center"/>
              <w:rPr>
                <w:b/>
                <w:bCs/>
                <w:color w:val="000000"/>
                <w:sz w:val="20"/>
                <w:szCs w:val="20"/>
              </w:rPr>
            </w:pPr>
            <w:r w:rsidRPr="00076DAE">
              <w:rPr>
                <w:color w:val="000000"/>
                <w:sz w:val="20"/>
                <w:szCs w:val="20"/>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48FB33F" w14:textId="77777777" w:rsidR="00076DAE" w:rsidRPr="00076DAE" w:rsidRDefault="00076DAE" w:rsidP="00076DAE">
            <w:pPr>
              <w:widowControl/>
              <w:adjustRightInd/>
              <w:jc w:val="center"/>
              <w:rPr>
                <w:b/>
                <w:bCs/>
                <w:color w:val="000000"/>
                <w:sz w:val="18"/>
                <w:szCs w:val="18"/>
              </w:rPr>
            </w:pPr>
            <w:r w:rsidRPr="00076DAE">
              <w:rPr>
                <w:b/>
                <w:bCs/>
                <w:color w:val="000000"/>
                <w:sz w:val="18"/>
                <w:szCs w:val="18"/>
              </w:rPr>
              <w:t>1in</w:t>
            </w:r>
          </w:p>
          <w:p w14:paraId="17DC1EA1" w14:textId="77777777" w:rsidR="00076DAE" w:rsidRPr="00076DAE" w:rsidRDefault="00076DAE" w:rsidP="00076DAE">
            <w:pPr>
              <w:widowControl/>
              <w:adjustRightInd/>
              <w:jc w:val="center"/>
              <w:rPr>
                <w:b/>
                <w:bCs/>
                <w:color w:val="000000"/>
                <w:sz w:val="18"/>
                <w:szCs w:val="18"/>
              </w:rPr>
            </w:pPr>
            <w:r w:rsidRPr="00076DAE">
              <w:rPr>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28FB671" w14:textId="77777777" w:rsidR="00076DAE" w:rsidRPr="00076DAE" w:rsidRDefault="00076DAE" w:rsidP="00076DAE">
            <w:pPr>
              <w:widowControl/>
              <w:adjustRightInd/>
              <w:jc w:val="center"/>
              <w:rPr>
                <w:b/>
                <w:bCs/>
                <w:color w:val="000000"/>
                <w:sz w:val="18"/>
                <w:szCs w:val="18"/>
              </w:rPr>
            </w:pPr>
            <w:proofErr w:type="spellStart"/>
            <w:r w:rsidRPr="00076DAE">
              <w:rPr>
                <w:b/>
                <w:bCs/>
                <w:color w:val="000000"/>
                <w:sz w:val="18"/>
                <w:szCs w:val="18"/>
              </w:rPr>
              <w:t>Goldplating</w:t>
            </w:r>
            <w:proofErr w:type="spellEnd"/>
            <w:r w:rsidRPr="00076DAE">
              <w:rPr>
                <w:b/>
                <w:bCs/>
                <w:color w:val="000000"/>
                <w:sz w:val="18"/>
                <w:szCs w:val="18"/>
              </w:rPr>
              <w:t xml:space="preserve"> celkom</w:t>
            </w:r>
          </w:p>
        </w:tc>
      </w:tr>
      <w:tr w:rsidR="00076DAE" w:rsidRPr="00076DAE" w14:paraId="63DDE157" w14:textId="77777777" w:rsidTr="00935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8547A06" w14:textId="77777777" w:rsidR="00076DAE" w:rsidRPr="00076DAE" w:rsidRDefault="00076DAE" w:rsidP="00076DAE">
            <w:pPr>
              <w:widowControl/>
              <w:adjustRightInd/>
              <w:rPr>
                <w:sz w:val="20"/>
                <w:szCs w:val="20"/>
              </w:rPr>
            </w:pPr>
          </w:p>
        </w:tc>
        <w:tc>
          <w:tcPr>
            <w:tcW w:w="1740" w:type="dxa"/>
            <w:shd w:val="clear" w:color="auto" w:fill="auto"/>
            <w:vAlign w:val="center"/>
          </w:tcPr>
          <w:p w14:paraId="1BD9FBC4" w14:textId="77777777" w:rsidR="00076DAE" w:rsidRPr="00076DAE" w:rsidRDefault="00076DAE" w:rsidP="00076DAE">
            <w:pPr>
              <w:widowControl/>
              <w:adjustRightInd/>
              <w:rPr>
                <w:sz w:val="20"/>
                <w:szCs w:val="20"/>
              </w:rPr>
            </w:pPr>
          </w:p>
        </w:tc>
        <w:tc>
          <w:tcPr>
            <w:tcW w:w="992" w:type="dxa"/>
          </w:tcPr>
          <w:p w14:paraId="149C61E7" w14:textId="77777777" w:rsidR="00076DAE" w:rsidRPr="00076DAE" w:rsidRDefault="00076DAE" w:rsidP="00076DAE">
            <w:pPr>
              <w:widowControl/>
              <w:adjustRightInd/>
              <w:rPr>
                <w:sz w:val="20"/>
                <w:szCs w:val="20"/>
              </w:rPr>
            </w:pPr>
          </w:p>
        </w:tc>
        <w:tc>
          <w:tcPr>
            <w:tcW w:w="1134" w:type="dxa"/>
          </w:tcPr>
          <w:p w14:paraId="4E648A46" w14:textId="77777777" w:rsidR="00076DAE" w:rsidRPr="00076DAE" w:rsidRDefault="00076DAE" w:rsidP="00076DAE">
            <w:pPr>
              <w:widowControl/>
              <w:adjustRightInd/>
              <w:rPr>
                <w:sz w:val="20"/>
                <w:szCs w:val="20"/>
              </w:rPr>
            </w:pPr>
          </w:p>
        </w:tc>
        <w:tc>
          <w:tcPr>
            <w:tcW w:w="1843" w:type="dxa"/>
            <w:shd w:val="clear" w:color="auto" w:fill="auto"/>
            <w:vAlign w:val="center"/>
          </w:tcPr>
          <w:p w14:paraId="0219717B" w14:textId="77777777" w:rsidR="00076DAE" w:rsidRPr="00076DAE" w:rsidRDefault="00076DAE" w:rsidP="00076DAE">
            <w:pPr>
              <w:widowControl/>
              <w:adjustRightInd/>
              <w:jc w:val="both"/>
              <w:rPr>
                <w:sz w:val="20"/>
                <w:szCs w:val="20"/>
              </w:rPr>
            </w:pPr>
          </w:p>
        </w:tc>
        <w:tc>
          <w:tcPr>
            <w:tcW w:w="992" w:type="dxa"/>
            <w:vAlign w:val="center"/>
          </w:tcPr>
          <w:p w14:paraId="25232B31" w14:textId="77777777" w:rsidR="00076DAE" w:rsidRPr="00076DAE" w:rsidRDefault="00076DAE" w:rsidP="00076DAE">
            <w:pPr>
              <w:widowControl/>
              <w:adjustRightInd/>
              <w:rPr>
                <w:color w:val="000000"/>
                <w:sz w:val="20"/>
                <w:szCs w:val="20"/>
              </w:rPr>
            </w:pPr>
          </w:p>
        </w:tc>
        <w:tc>
          <w:tcPr>
            <w:tcW w:w="1160" w:type="dxa"/>
            <w:shd w:val="clear" w:color="auto" w:fill="auto"/>
            <w:noWrap/>
            <w:vAlign w:val="center"/>
          </w:tcPr>
          <w:p w14:paraId="513CB06C" w14:textId="77777777" w:rsidR="00076DAE" w:rsidRPr="00076DAE" w:rsidRDefault="00076DAE" w:rsidP="00076DAE">
            <w:pPr>
              <w:widowControl/>
              <w:adjustRightInd/>
              <w:rPr>
                <w:color w:val="000000"/>
                <w:sz w:val="20"/>
                <w:szCs w:val="20"/>
              </w:rPr>
            </w:pPr>
          </w:p>
        </w:tc>
        <w:tc>
          <w:tcPr>
            <w:tcW w:w="1108" w:type="dxa"/>
          </w:tcPr>
          <w:p w14:paraId="204903DE" w14:textId="77777777" w:rsidR="00076DAE" w:rsidRPr="00076DAE" w:rsidRDefault="00076DAE" w:rsidP="00076DAE">
            <w:pPr>
              <w:widowControl/>
              <w:adjustRightInd/>
              <w:rPr>
                <w:sz w:val="20"/>
                <w:szCs w:val="20"/>
              </w:rPr>
            </w:pPr>
          </w:p>
        </w:tc>
        <w:tc>
          <w:tcPr>
            <w:tcW w:w="851" w:type="dxa"/>
            <w:shd w:val="clear" w:color="auto" w:fill="auto"/>
            <w:noWrap/>
            <w:vAlign w:val="center"/>
          </w:tcPr>
          <w:p w14:paraId="2C260CF4" w14:textId="77777777" w:rsidR="00076DAE" w:rsidRPr="00076DAE" w:rsidRDefault="00076DAE" w:rsidP="00076DAE">
            <w:pPr>
              <w:widowControl/>
              <w:adjustRightInd/>
              <w:rPr>
                <w:sz w:val="20"/>
                <w:szCs w:val="20"/>
              </w:rPr>
            </w:pPr>
          </w:p>
        </w:tc>
        <w:tc>
          <w:tcPr>
            <w:tcW w:w="843" w:type="dxa"/>
            <w:shd w:val="clear" w:color="auto" w:fill="auto"/>
            <w:noWrap/>
            <w:vAlign w:val="center"/>
          </w:tcPr>
          <w:p w14:paraId="4ACBB40C" w14:textId="77777777" w:rsidR="00076DAE" w:rsidRPr="00076DAE" w:rsidRDefault="00076DAE" w:rsidP="00076DAE">
            <w:pPr>
              <w:widowControl/>
              <w:adjustRightInd/>
              <w:rPr>
                <w:color w:val="000000"/>
                <w:sz w:val="20"/>
                <w:szCs w:val="20"/>
              </w:rPr>
            </w:pPr>
          </w:p>
        </w:tc>
        <w:tc>
          <w:tcPr>
            <w:tcW w:w="1000" w:type="dxa"/>
            <w:shd w:val="clear" w:color="auto" w:fill="auto"/>
            <w:noWrap/>
            <w:vAlign w:val="center"/>
          </w:tcPr>
          <w:p w14:paraId="03C70E2C" w14:textId="77777777" w:rsidR="00076DAE" w:rsidRPr="00076DAE" w:rsidRDefault="00076DAE" w:rsidP="00076DAE">
            <w:pPr>
              <w:widowControl/>
              <w:adjustRightInd/>
              <w:rPr>
                <w:sz w:val="20"/>
                <w:szCs w:val="20"/>
              </w:rPr>
            </w:pPr>
          </w:p>
        </w:tc>
        <w:tc>
          <w:tcPr>
            <w:tcW w:w="708" w:type="dxa"/>
            <w:shd w:val="clear" w:color="auto" w:fill="auto"/>
            <w:noWrap/>
            <w:vAlign w:val="center"/>
          </w:tcPr>
          <w:p w14:paraId="06777159" w14:textId="77777777" w:rsidR="00076DAE" w:rsidRPr="00076DAE" w:rsidRDefault="00076DAE" w:rsidP="00076DAE">
            <w:pPr>
              <w:widowControl/>
              <w:adjustRightInd/>
              <w:rPr>
                <w:color w:val="000000"/>
                <w:sz w:val="20"/>
                <w:szCs w:val="20"/>
              </w:rPr>
            </w:pPr>
          </w:p>
        </w:tc>
        <w:tc>
          <w:tcPr>
            <w:tcW w:w="1134" w:type="dxa"/>
            <w:vAlign w:val="center"/>
          </w:tcPr>
          <w:p w14:paraId="2F442220" w14:textId="77777777" w:rsidR="00076DAE" w:rsidRPr="00076DAE" w:rsidRDefault="00076DAE" w:rsidP="00076DAE">
            <w:pPr>
              <w:widowControl/>
              <w:adjustRightInd/>
              <w:rPr>
                <w:sz w:val="20"/>
                <w:szCs w:val="20"/>
              </w:rPr>
            </w:pPr>
          </w:p>
        </w:tc>
      </w:tr>
      <w:tr w:rsidR="00076DAE" w:rsidRPr="00076DAE" w14:paraId="52D23B30" w14:textId="77777777" w:rsidTr="00935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21ABDE4" w14:textId="77777777" w:rsidR="00076DAE" w:rsidRPr="00076DAE" w:rsidRDefault="00076DAE" w:rsidP="00076DAE">
            <w:pPr>
              <w:widowControl/>
              <w:adjustRightInd/>
              <w:rPr>
                <w:sz w:val="20"/>
                <w:szCs w:val="20"/>
              </w:rPr>
            </w:pPr>
          </w:p>
        </w:tc>
        <w:tc>
          <w:tcPr>
            <w:tcW w:w="1740" w:type="dxa"/>
            <w:shd w:val="clear" w:color="auto" w:fill="auto"/>
            <w:vAlign w:val="center"/>
          </w:tcPr>
          <w:p w14:paraId="66F3B442" w14:textId="77777777" w:rsidR="00076DAE" w:rsidRPr="00076DAE" w:rsidRDefault="00076DAE" w:rsidP="00076DAE">
            <w:pPr>
              <w:widowControl/>
              <w:adjustRightInd/>
              <w:rPr>
                <w:sz w:val="20"/>
                <w:szCs w:val="20"/>
              </w:rPr>
            </w:pPr>
          </w:p>
        </w:tc>
        <w:tc>
          <w:tcPr>
            <w:tcW w:w="992" w:type="dxa"/>
          </w:tcPr>
          <w:p w14:paraId="2E573F6A" w14:textId="77777777" w:rsidR="00076DAE" w:rsidRPr="00076DAE" w:rsidRDefault="00076DAE" w:rsidP="00076DAE">
            <w:pPr>
              <w:widowControl/>
              <w:adjustRightInd/>
              <w:rPr>
                <w:sz w:val="20"/>
                <w:szCs w:val="20"/>
              </w:rPr>
            </w:pPr>
          </w:p>
        </w:tc>
        <w:tc>
          <w:tcPr>
            <w:tcW w:w="1134" w:type="dxa"/>
          </w:tcPr>
          <w:p w14:paraId="64288D83" w14:textId="77777777" w:rsidR="00076DAE" w:rsidRPr="00076DAE" w:rsidRDefault="00076DAE" w:rsidP="00076DAE">
            <w:pPr>
              <w:widowControl/>
              <w:adjustRightInd/>
              <w:rPr>
                <w:sz w:val="20"/>
                <w:szCs w:val="20"/>
              </w:rPr>
            </w:pPr>
          </w:p>
        </w:tc>
        <w:tc>
          <w:tcPr>
            <w:tcW w:w="1843" w:type="dxa"/>
            <w:shd w:val="clear" w:color="auto" w:fill="auto"/>
            <w:vAlign w:val="center"/>
          </w:tcPr>
          <w:p w14:paraId="02C9C9CA" w14:textId="77777777" w:rsidR="00076DAE" w:rsidRPr="00076DAE" w:rsidDel="00801596" w:rsidRDefault="00076DAE" w:rsidP="00076DAE">
            <w:pPr>
              <w:widowControl/>
              <w:adjustRightInd/>
              <w:jc w:val="both"/>
              <w:rPr>
                <w:sz w:val="20"/>
                <w:szCs w:val="20"/>
              </w:rPr>
            </w:pPr>
          </w:p>
        </w:tc>
        <w:tc>
          <w:tcPr>
            <w:tcW w:w="992" w:type="dxa"/>
            <w:vAlign w:val="center"/>
          </w:tcPr>
          <w:p w14:paraId="124EECC7" w14:textId="77777777" w:rsidR="00076DAE" w:rsidRPr="00076DAE" w:rsidRDefault="00076DAE" w:rsidP="00076DAE">
            <w:pPr>
              <w:widowControl/>
              <w:adjustRightInd/>
              <w:rPr>
                <w:color w:val="000000"/>
                <w:sz w:val="20"/>
                <w:szCs w:val="20"/>
              </w:rPr>
            </w:pPr>
          </w:p>
        </w:tc>
        <w:tc>
          <w:tcPr>
            <w:tcW w:w="1160" w:type="dxa"/>
            <w:shd w:val="clear" w:color="auto" w:fill="auto"/>
            <w:noWrap/>
            <w:vAlign w:val="center"/>
          </w:tcPr>
          <w:p w14:paraId="78DE5014" w14:textId="77777777" w:rsidR="00076DAE" w:rsidRPr="00076DAE" w:rsidRDefault="00076DAE" w:rsidP="00076DAE">
            <w:pPr>
              <w:widowControl/>
              <w:adjustRightInd/>
              <w:rPr>
                <w:color w:val="000000"/>
                <w:sz w:val="20"/>
                <w:szCs w:val="20"/>
              </w:rPr>
            </w:pPr>
          </w:p>
        </w:tc>
        <w:tc>
          <w:tcPr>
            <w:tcW w:w="1108" w:type="dxa"/>
          </w:tcPr>
          <w:p w14:paraId="03B3128B" w14:textId="77777777" w:rsidR="00076DAE" w:rsidRPr="00076DAE" w:rsidRDefault="00076DAE" w:rsidP="00076DAE">
            <w:pPr>
              <w:widowControl/>
              <w:adjustRightInd/>
              <w:rPr>
                <w:sz w:val="20"/>
                <w:szCs w:val="20"/>
              </w:rPr>
            </w:pPr>
          </w:p>
        </w:tc>
        <w:tc>
          <w:tcPr>
            <w:tcW w:w="851" w:type="dxa"/>
            <w:shd w:val="clear" w:color="auto" w:fill="auto"/>
            <w:noWrap/>
            <w:vAlign w:val="center"/>
          </w:tcPr>
          <w:p w14:paraId="07DB1AF8" w14:textId="77777777" w:rsidR="00076DAE" w:rsidRPr="00076DAE" w:rsidRDefault="00076DAE" w:rsidP="00076DAE">
            <w:pPr>
              <w:widowControl/>
              <w:adjustRightInd/>
              <w:rPr>
                <w:sz w:val="20"/>
                <w:szCs w:val="20"/>
              </w:rPr>
            </w:pPr>
          </w:p>
        </w:tc>
        <w:tc>
          <w:tcPr>
            <w:tcW w:w="843" w:type="dxa"/>
            <w:shd w:val="clear" w:color="auto" w:fill="auto"/>
            <w:noWrap/>
            <w:vAlign w:val="center"/>
          </w:tcPr>
          <w:p w14:paraId="7BA63F9B" w14:textId="77777777" w:rsidR="00076DAE" w:rsidRPr="00076DAE" w:rsidRDefault="00076DAE" w:rsidP="00076DAE">
            <w:pPr>
              <w:widowControl/>
              <w:adjustRightInd/>
              <w:rPr>
                <w:color w:val="000000"/>
                <w:sz w:val="20"/>
                <w:szCs w:val="20"/>
              </w:rPr>
            </w:pPr>
          </w:p>
        </w:tc>
        <w:tc>
          <w:tcPr>
            <w:tcW w:w="1000" w:type="dxa"/>
            <w:shd w:val="clear" w:color="auto" w:fill="auto"/>
            <w:noWrap/>
            <w:vAlign w:val="center"/>
          </w:tcPr>
          <w:p w14:paraId="33E32142" w14:textId="77777777" w:rsidR="00076DAE" w:rsidRPr="00076DAE" w:rsidRDefault="00076DAE" w:rsidP="00076DAE">
            <w:pPr>
              <w:widowControl/>
              <w:adjustRightInd/>
              <w:rPr>
                <w:sz w:val="20"/>
                <w:szCs w:val="20"/>
              </w:rPr>
            </w:pPr>
          </w:p>
        </w:tc>
        <w:tc>
          <w:tcPr>
            <w:tcW w:w="708" w:type="dxa"/>
            <w:shd w:val="clear" w:color="auto" w:fill="auto"/>
            <w:noWrap/>
            <w:vAlign w:val="center"/>
          </w:tcPr>
          <w:p w14:paraId="2B7FB5DF" w14:textId="77777777" w:rsidR="00076DAE" w:rsidRPr="00076DAE" w:rsidRDefault="00076DAE" w:rsidP="00076DAE">
            <w:pPr>
              <w:widowControl/>
              <w:adjustRightInd/>
              <w:rPr>
                <w:color w:val="000000"/>
                <w:sz w:val="20"/>
                <w:szCs w:val="20"/>
              </w:rPr>
            </w:pPr>
          </w:p>
        </w:tc>
        <w:tc>
          <w:tcPr>
            <w:tcW w:w="1134" w:type="dxa"/>
            <w:vAlign w:val="center"/>
          </w:tcPr>
          <w:p w14:paraId="5D70FE22" w14:textId="77777777" w:rsidR="00076DAE" w:rsidRPr="00076DAE" w:rsidRDefault="00076DAE" w:rsidP="00076DAE">
            <w:pPr>
              <w:widowControl/>
              <w:adjustRightInd/>
              <w:rPr>
                <w:sz w:val="20"/>
                <w:szCs w:val="20"/>
              </w:rPr>
            </w:pPr>
          </w:p>
        </w:tc>
      </w:tr>
      <w:tr w:rsidR="00076DAE" w:rsidRPr="00076DAE" w14:paraId="1C550F0D" w14:textId="77777777" w:rsidTr="00935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6357C4C" w14:textId="77777777" w:rsidR="00076DAE" w:rsidRPr="00076DAE" w:rsidRDefault="00076DAE" w:rsidP="00076DAE">
            <w:pPr>
              <w:widowControl/>
              <w:adjustRightInd/>
              <w:rPr>
                <w:sz w:val="20"/>
                <w:szCs w:val="20"/>
              </w:rPr>
            </w:pPr>
          </w:p>
        </w:tc>
        <w:tc>
          <w:tcPr>
            <w:tcW w:w="1740" w:type="dxa"/>
            <w:shd w:val="clear" w:color="auto" w:fill="auto"/>
            <w:vAlign w:val="center"/>
          </w:tcPr>
          <w:p w14:paraId="2CEE63F9" w14:textId="77777777" w:rsidR="00076DAE" w:rsidRPr="00076DAE" w:rsidRDefault="00076DAE" w:rsidP="00076DAE">
            <w:pPr>
              <w:widowControl/>
              <w:adjustRightInd/>
              <w:rPr>
                <w:sz w:val="20"/>
                <w:szCs w:val="20"/>
              </w:rPr>
            </w:pPr>
          </w:p>
        </w:tc>
        <w:tc>
          <w:tcPr>
            <w:tcW w:w="992" w:type="dxa"/>
          </w:tcPr>
          <w:p w14:paraId="507E24AB" w14:textId="77777777" w:rsidR="00076DAE" w:rsidRPr="00076DAE" w:rsidRDefault="00076DAE" w:rsidP="00076DAE">
            <w:pPr>
              <w:widowControl/>
              <w:adjustRightInd/>
              <w:rPr>
                <w:sz w:val="20"/>
                <w:szCs w:val="20"/>
              </w:rPr>
            </w:pPr>
          </w:p>
        </w:tc>
        <w:tc>
          <w:tcPr>
            <w:tcW w:w="1134" w:type="dxa"/>
          </w:tcPr>
          <w:p w14:paraId="12518C77" w14:textId="77777777" w:rsidR="00076DAE" w:rsidRPr="00076DAE" w:rsidRDefault="00076DAE" w:rsidP="00076DAE">
            <w:pPr>
              <w:widowControl/>
              <w:adjustRightInd/>
              <w:rPr>
                <w:sz w:val="20"/>
                <w:szCs w:val="20"/>
              </w:rPr>
            </w:pPr>
          </w:p>
        </w:tc>
        <w:tc>
          <w:tcPr>
            <w:tcW w:w="1843" w:type="dxa"/>
            <w:shd w:val="clear" w:color="auto" w:fill="auto"/>
            <w:vAlign w:val="center"/>
          </w:tcPr>
          <w:p w14:paraId="5D866AA0" w14:textId="77777777" w:rsidR="00076DAE" w:rsidRPr="00076DAE" w:rsidDel="00801596" w:rsidRDefault="00076DAE" w:rsidP="00076DAE">
            <w:pPr>
              <w:widowControl/>
              <w:adjustRightInd/>
              <w:jc w:val="both"/>
              <w:rPr>
                <w:sz w:val="20"/>
                <w:szCs w:val="20"/>
              </w:rPr>
            </w:pPr>
          </w:p>
        </w:tc>
        <w:tc>
          <w:tcPr>
            <w:tcW w:w="992" w:type="dxa"/>
            <w:vAlign w:val="center"/>
          </w:tcPr>
          <w:p w14:paraId="08B55B36" w14:textId="77777777" w:rsidR="00076DAE" w:rsidRPr="00076DAE" w:rsidRDefault="00076DAE" w:rsidP="00076DAE">
            <w:pPr>
              <w:widowControl/>
              <w:adjustRightInd/>
              <w:rPr>
                <w:color w:val="000000"/>
                <w:sz w:val="20"/>
                <w:szCs w:val="20"/>
              </w:rPr>
            </w:pPr>
          </w:p>
        </w:tc>
        <w:tc>
          <w:tcPr>
            <w:tcW w:w="1160" w:type="dxa"/>
            <w:shd w:val="clear" w:color="auto" w:fill="auto"/>
            <w:noWrap/>
            <w:vAlign w:val="center"/>
          </w:tcPr>
          <w:p w14:paraId="3078ED5A" w14:textId="77777777" w:rsidR="00076DAE" w:rsidRPr="00076DAE" w:rsidRDefault="00076DAE" w:rsidP="00076DAE">
            <w:pPr>
              <w:widowControl/>
              <w:adjustRightInd/>
              <w:rPr>
                <w:color w:val="000000"/>
                <w:sz w:val="20"/>
                <w:szCs w:val="20"/>
              </w:rPr>
            </w:pPr>
          </w:p>
        </w:tc>
        <w:tc>
          <w:tcPr>
            <w:tcW w:w="1108" w:type="dxa"/>
          </w:tcPr>
          <w:p w14:paraId="2A365B28" w14:textId="77777777" w:rsidR="00076DAE" w:rsidRPr="00076DAE" w:rsidRDefault="00076DAE" w:rsidP="00076DAE">
            <w:pPr>
              <w:widowControl/>
              <w:adjustRightInd/>
              <w:rPr>
                <w:sz w:val="20"/>
                <w:szCs w:val="20"/>
              </w:rPr>
            </w:pPr>
          </w:p>
        </w:tc>
        <w:tc>
          <w:tcPr>
            <w:tcW w:w="851" w:type="dxa"/>
            <w:shd w:val="clear" w:color="auto" w:fill="auto"/>
            <w:noWrap/>
            <w:vAlign w:val="center"/>
          </w:tcPr>
          <w:p w14:paraId="0253CF9F" w14:textId="77777777" w:rsidR="00076DAE" w:rsidRPr="00076DAE" w:rsidRDefault="00076DAE" w:rsidP="00076DAE">
            <w:pPr>
              <w:widowControl/>
              <w:adjustRightInd/>
              <w:rPr>
                <w:sz w:val="20"/>
                <w:szCs w:val="20"/>
              </w:rPr>
            </w:pPr>
          </w:p>
        </w:tc>
        <w:tc>
          <w:tcPr>
            <w:tcW w:w="843" w:type="dxa"/>
            <w:shd w:val="clear" w:color="auto" w:fill="auto"/>
            <w:noWrap/>
            <w:vAlign w:val="center"/>
          </w:tcPr>
          <w:p w14:paraId="6450C22E" w14:textId="77777777" w:rsidR="00076DAE" w:rsidRPr="00076DAE" w:rsidRDefault="00076DAE" w:rsidP="00076DAE">
            <w:pPr>
              <w:widowControl/>
              <w:adjustRightInd/>
              <w:rPr>
                <w:color w:val="000000"/>
                <w:sz w:val="20"/>
                <w:szCs w:val="20"/>
              </w:rPr>
            </w:pPr>
          </w:p>
        </w:tc>
        <w:tc>
          <w:tcPr>
            <w:tcW w:w="1000" w:type="dxa"/>
            <w:shd w:val="clear" w:color="auto" w:fill="auto"/>
            <w:noWrap/>
            <w:vAlign w:val="center"/>
          </w:tcPr>
          <w:p w14:paraId="09363A21" w14:textId="77777777" w:rsidR="00076DAE" w:rsidRPr="00076DAE" w:rsidRDefault="00076DAE" w:rsidP="00076DAE">
            <w:pPr>
              <w:widowControl/>
              <w:adjustRightInd/>
              <w:rPr>
                <w:sz w:val="20"/>
                <w:szCs w:val="20"/>
              </w:rPr>
            </w:pPr>
          </w:p>
        </w:tc>
        <w:tc>
          <w:tcPr>
            <w:tcW w:w="708" w:type="dxa"/>
            <w:shd w:val="clear" w:color="auto" w:fill="auto"/>
            <w:noWrap/>
            <w:vAlign w:val="center"/>
          </w:tcPr>
          <w:p w14:paraId="0060BF30" w14:textId="77777777" w:rsidR="00076DAE" w:rsidRPr="00076DAE" w:rsidRDefault="00076DAE" w:rsidP="00076DAE">
            <w:pPr>
              <w:widowControl/>
              <w:adjustRightInd/>
              <w:rPr>
                <w:color w:val="000000"/>
                <w:sz w:val="20"/>
                <w:szCs w:val="20"/>
              </w:rPr>
            </w:pPr>
          </w:p>
        </w:tc>
        <w:tc>
          <w:tcPr>
            <w:tcW w:w="1134" w:type="dxa"/>
            <w:vAlign w:val="center"/>
          </w:tcPr>
          <w:p w14:paraId="1A933496" w14:textId="77777777" w:rsidR="00076DAE" w:rsidRPr="00076DAE" w:rsidRDefault="00076DAE" w:rsidP="00076DAE">
            <w:pPr>
              <w:widowControl/>
              <w:adjustRightInd/>
              <w:rPr>
                <w:sz w:val="20"/>
                <w:szCs w:val="20"/>
              </w:rPr>
            </w:pPr>
          </w:p>
        </w:tc>
      </w:tr>
      <w:tr w:rsidR="00076DAE" w:rsidRPr="00076DAE" w14:paraId="1475C433" w14:textId="77777777" w:rsidTr="00935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62F1C2E" w14:textId="77777777" w:rsidR="00076DAE" w:rsidRPr="00076DAE" w:rsidRDefault="00076DAE" w:rsidP="00076DAE">
            <w:pPr>
              <w:widowControl/>
              <w:adjustRightInd/>
              <w:rPr>
                <w:sz w:val="20"/>
                <w:szCs w:val="20"/>
              </w:rPr>
            </w:pPr>
          </w:p>
        </w:tc>
        <w:tc>
          <w:tcPr>
            <w:tcW w:w="1740" w:type="dxa"/>
            <w:shd w:val="clear" w:color="auto" w:fill="auto"/>
            <w:vAlign w:val="center"/>
          </w:tcPr>
          <w:p w14:paraId="5858CE13" w14:textId="77777777" w:rsidR="00076DAE" w:rsidRPr="00076DAE" w:rsidRDefault="00076DAE" w:rsidP="00076DAE">
            <w:pPr>
              <w:widowControl/>
              <w:adjustRightInd/>
              <w:rPr>
                <w:sz w:val="20"/>
                <w:szCs w:val="20"/>
              </w:rPr>
            </w:pPr>
          </w:p>
        </w:tc>
        <w:tc>
          <w:tcPr>
            <w:tcW w:w="992" w:type="dxa"/>
          </w:tcPr>
          <w:p w14:paraId="61E6A609" w14:textId="77777777" w:rsidR="00076DAE" w:rsidRPr="00076DAE" w:rsidRDefault="00076DAE" w:rsidP="00076DAE">
            <w:pPr>
              <w:widowControl/>
              <w:adjustRightInd/>
              <w:rPr>
                <w:sz w:val="20"/>
                <w:szCs w:val="20"/>
              </w:rPr>
            </w:pPr>
          </w:p>
        </w:tc>
        <w:tc>
          <w:tcPr>
            <w:tcW w:w="1134" w:type="dxa"/>
          </w:tcPr>
          <w:p w14:paraId="687CA020" w14:textId="77777777" w:rsidR="00076DAE" w:rsidRPr="00076DAE" w:rsidRDefault="00076DAE" w:rsidP="00076DAE">
            <w:pPr>
              <w:widowControl/>
              <w:adjustRightInd/>
              <w:rPr>
                <w:sz w:val="20"/>
                <w:szCs w:val="20"/>
              </w:rPr>
            </w:pPr>
          </w:p>
        </w:tc>
        <w:tc>
          <w:tcPr>
            <w:tcW w:w="1843" w:type="dxa"/>
            <w:shd w:val="clear" w:color="auto" w:fill="auto"/>
            <w:vAlign w:val="center"/>
          </w:tcPr>
          <w:p w14:paraId="1017EB4E" w14:textId="77777777" w:rsidR="00076DAE" w:rsidRPr="00076DAE" w:rsidDel="00801596" w:rsidRDefault="00076DAE" w:rsidP="00076DAE">
            <w:pPr>
              <w:widowControl/>
              <w:adjustRightInd/>
              <w:jc w:val="both"/>
              <w:rPr>
                <w:sz w:val="20"/>
                <w:szCs w:val="20"/>
              </w:rPr>
            </w:pPr>
          </w:p>
        </w:tc>
        <w:tc>
          <w:tcPr>
            <w:tcW w:w="992" w:type="dxa"/>
            <w:vAlign w:val="center"/>
          </w:tcPr>
          <w:p w14:paraId="00AAD699" w14:textId="77777777" w:rsidR="00076DAE" w:rsidRPr="00076DAE" w:rsidRDefault="00076DAE" w:rsidP="00076DAE">
            <w:pPr>
              <w:widowControl/>
              <w:adjustRightInd/>
              <w:rPr>
                <w:color w:val="000000"/>
                <w:sz w:val="20"/>
                <w:szCs w:val="20"/>
              </w:rPr>
            </w:pPr>
          </w:p>
        </w:tc>
        <w:tc>
          <w:tcPr>
            <w:tcW w:w="1160" w:type="dxa"/>
            <w:shd w:val="clear" w:color="auto" w:fill="auto"/>
            <w:noWrap/>
            <w:vAlign w:val="center"/>
          </w:tcPr>
          <w:p w14:paraId="34F75518" w14:textId="77777777" w:rsidR="00076DAE" w:rsidRPr="00076DAE" w:rsidRDefault="00076DAE" w:rsidP="00076DAE">
            <w:pPr>
              <w:widowControl/>
              <w:adjustRightInd/>
              <w:rPr>
                <w:color w:val="000000"/>
                <w:sz w:val="20"/>
                <w:szCs w:val="20"/>
              </w:rPr>
            </w:pPr>
          </w:p>
        </w:tc>
        <w:tc>
          <w:tcPr>
            <w:tcW w:w="1108" w:type="dxa"/>
          </w:tcPr>
          <w:p w14:paraId="0F884553" w14:textId="77777777" w:rsidR="00076DAE" w:rsidRPr="00076DAE" w:rsidRDefault="00076DAE" w:rsidP="00076DAE">
            <w:pPr>
              <w:widowControl/>
              <w:adjustRightInd/>
              <w:rPr>
                <w:sz w:val="20"/>
                <w:szCs w:val="20"/>
              </w:rPr>
            </w:pPr>
          </w:p>
        </w:tc>
        <w:tc>
          <w:tcPr>
            <w:tcW w:w="851" w:type="dxa"/>
            <w:shd w:val="clear" w:color="auto" w:fill="auto"/>
            <w:noWrap/>
            <w:vAlign w:val="center"/>
          </w:tcPr>
          <w:p w14:paraId="79D84AB1" w14:textId="77777777" w:rsidR="00076DAE" w:rsidRPr="00076DAE" w:rsidRDefault="00076DAE" w:rsidP="00076DAE">
            <w:pPr>
              <w:widowControl/>
              <w:adjustRightInd/>
              <w:rPr>
                <w:sz w:val="20"/>
                <w:szCs w:val="20"/>
              </w:rPr>
            </w:pPr>
          </w:p>
        </w:tc>
        <w:tc>
          <w:tcPr>
            <w:tcW w:w="843" w:type="dxa"/>
            <w:shd w:val="clear" w:color="auto" w:fill="auto"/>
            <w:noWrap/>
            <w:vAlign w:val="center"/>
          </w:tcPr>
          <w:p w14:paraId="79B66012" w14:textId="77777777" w:rsidR="00076DAE" w:rsidRPr="00076DAE" w:rsidRDefault="00076DAE" w:rsidP="00076DAE">
            <w:pPr>
              <w:widowControl/>
              <w:adjustRightInd/>
              <w:rPr>
                <w:color w:val="000000"/>
                <w:sz w:val="20"/>
                <w:szCs w:val="20"/>
              </w:rPr>
            </w:pPr>
          </w:p>
        </w:tc>
        <w:tc>
          <w:tcPr>
            <w:tcW w:w="1000" w:type="dxa"/>
            <w:shd w:val="clear" w:color="auto" w:fill="auto"/>
            <w:noWrap/>
            <w:vAlign w:val="center"/>
          </w:tcPr>
          <w:p w14:paraId="64908D32" w14:textId="77777777" w:rsidR="00076DAE" w:rsidRPr="00076DAE" w:rsidRDefault="00076DAE" w:rsidP="00076DAE">
            <w:pPr>
              <w:widowControl/>
              <w:adjustRightInd/>
              <w:rPr>
                <w:sz w:val="20"/>
                <w:szCs w:val="20"/>
              </w:rPr>
            </w:pPr>
          </w:p>
        </w:tc>
        <w:tc>
          <w:tcPr>
            <w:tcW w:w="708" w:type="dxa"/>
            <w:shd w:val="clear" w:color="auto" w:fill="auto"/>
            <w:noWrap/>
            <w:vAlign w:val="center"/>
          </w:tcPr>
          <w:p w14:paraId="18859E58" w14:textId="77777777" w:rsidR="00076DAE" w:rsidRPr="00076DAE" w:rsidRDefault="00076DAE" w:rsidP="00076DAE">
            <w:pPr>
              <w:widowControl/>
              <w:adjustRightInd/>
              <w:rPr>
                <w:color w:val="000000"/>
                <w:sz w:val="20"/>
                <w:szCs w:val="20"/>
              </w:rPr>
            </w:pPr>
          </w:p>
        </w:tc>
        <w:tc>
          <w:tcPr>
            <w:tcW w:w="1134" w:type="dxa"/>
            <w:vAlign w:val="center"/>
          </w:tcPr>
          <w:p w14:paraId="59184E04" w14:textId="77777777" w:rsidR="00076DAE" w:rsidRPr="00076DAE" w:rsidRDefault="00076DAE" w:rsidP="00076DAE">
            <w:pPr>
              <w:widowControl/>
              <w:adjustRightInd/>
              <w:rPr>
                <w:sz w:val="20"/>
                <w:szCs w:val="20"/>
              </w:rPr>
            </w:pPr>
          </w:p>
        </w:tc>
      </w:tr>
      <w:tr w:rsidR="00076DAE" w:rsidRPr="00076DAE" w14:paraId="7BC4C8CF" w14:textId="77777777" w:rsidTr="00935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4F49CB7" w14:textId="77777777" w:rsidR="00076DAE" w:rsidRPr="00076DAE" w:rsidRDefault="00076DAE" w:rsidP="00076DAE">
            <w:pPr>
              <w:widowControl/>
              <w:adjustRightInd/>
              <w:rPr>
                <w:sz w:val="20"/>
                <w:szCs w:val="20"/>
              </w:rPr>
            </w:pPr>
          </w:p>
        </w:tc>
        <w:tc>
          <w:tcPr>
            <w:tcW w:w="1740" w:type="dxa"/>
            <w:shd w:val="clear" w:color="auto" w:fill="auto"/>
            <w:vAlign w:val="center"/>
          </w:tcPr>
          <w:p w14:paraId="372CD732" w14:textId="77777777" w:rsidR="00076DAE" w:rsidRPr="00076DAE" w:rsidRDefault="00076DAE" w:rsidP="00076DAE">
            <w:pPr>
              <w:widowControl/>
              <w:adjustRightInd/>
              <w:rPr>
                <w:sz w:val="20"/>
                <w:szCs w:val="20"/>
              </w:rPr>
            </w:pPr>
          </w:p>
        </w:tc>
        <w:tc>
          <w:tcPr>
            <w:tcW w:w="992" w:type="dxa"/>
          </w:tcPr>
          <w:p w14:paraId="4E487447" w14:textId="77777777" w:rsidR="00076DAE" w:rsidRPr="00076DAE" w:rsidRDefault="00076DAE" w:rsidP="00076DAE">
            <w:pPr>
              <w:widowControl/>
              <w:adjustRightInd/>
              <w:rPr>
                <w:sz w:val="20"/>
                <w:szCs w:val="20"/>
              </w:rPr>
            </w:pPr>
          </w:p>
        </w:tc>
        <w:tc>
          <w:tcPr>
            <w:tcW w:w="1134" w:type="dxa"/>
          </w:tcPr>
          <w:p w14:paraId="4CA19CD6" w14:textId="77777777" w:rsidR="00076DAE" w:rsidRPr="00076DAE" w:rsidRDefault="00076DAE" w:rsidP="00076DAE">
            <w:pPr>
              <w:widowControl/>
              <w:adjustRightInd/>
              <w:rPr>
                <w:sz w:val="20"/>
                <w:szCs w:val="20"/>
              </w:rPr>
            </w:pPr>
          </w:p>
        </w:tc>
        <w:tc>
          <w:tcPr>
            <w:tcW w:w="1843" w:type="dxa"/>
            <w:shd w:val="clear" w:color="auto" w:fill="auto"/>
            <w:vAlign w:val="center"/>
          </w:tcPr>
          <w:p w14:paraId="6F0A9DCC" w14:textId="77777777" w:rsidR="00076DAE" w:rsidRPr="00076DAE" w:rsidDel="00801596" w:rsidRDefault="00076DAE" w:rsidP="00076DAE">
            <w:pPr>
              <w:widowControl/>
              <w:adjustRightInd/>
              <w:jc w:val="both"/>
              <w:rPr>
                <w:sz w:val="20"/>
                <w:szCs w:val="20"/>
              </w:rPr>
            </w:pPr>
          </w:p>
        </w:tc>
        <w:tc>
          <w:tcPr>
            <w:tcW w:w="992" w:type="dxa"/>
            <w:vAlign w:val="center"/>
          </w:tcPr>
          <w:p w14:paraId="05549612" w14:textId="77777777" w:rsidR="00076DAE" w:rsidRPr="00076DAE" w:rsidRDefault="00076DAE" w:rsidP="00076DAE">
            <w:pPr>
              <w:widowControl/>
              <w:adjustRightInd/>
              <w:rPr>
                <w:color w:val="000000"/>
                <w:sz w:val="20"/>
                <w:szCs w:val="20"/>
              </w:rPr>
            </w:pPr>
          </w:p>
        </w:tc>
        <w:tc>
          <w:tcPr>
            <w:tcW w:w="1160" w:type="dxa"/>
            <w:shd w:val="clear" w:color="auto" w:fill="auto"/>
            <w:noWrap/>
            <w:vAlign w:val="center"/>
          </w:tcPr>
          <w:p w14:paraId="190DE6DD" w14:textId="77777777" w:rsidR="00076DAE" w:rsidRPr="00076DAE" w:rsidRDefault="00076DAE" w:rsidP="00076DAE">
            <w:pPr>
              <w:widowControl/>
              <w:adjustRightInd/>
              <w:rPr>
                <w:color w:val="000000"/>
                <w:sz w:val="20"/>
                <w:szCs w:val="20"/>
              </w:rPr>
            </w:pPr>
          </w:p>
        </w:tc>
        <w:tc>
          <w:tcPr>
            <w:tcW w:w="1108" w:type="dxa"/>
          </w:tcPr>
          <w:p w14:paraId="455E7A36" w14:textId="77777777" w:rsidR="00076DAE" w:rsidRPr="00076DAE" w:rsidRDefault="00076DAE" w:rsidP="00076DAE">
            <w:pPr>
              <w:widowControl/>
              <w:adjustRightInd/>
              <w:rPr>
                <w:sz w:val="20"/>
                <w:szCs w:val="20"/>
              </w:rPr>
            </w:pPr>
          </w:p>
        </w:tc>
        <w:tc>
          <w:tcPr>
            <w:tcW w:w="851" w:type="dxa"/>
            <w:shd w:val="clear" w:color="auto" w:fill="auto"/>
            <w:noWrap/>
            <w:vAlign w:val="center"/>
          </w:tcPr>
          <w:p w14:paraId="54833FDC" w14:textId="77777777" w:rsidR="00076DAE" w:rsidRPr="00076DAE" w:rsidRDefault="00076DAE" w:rsidP="00076DAE">
            <w:pPr>
              <w:widowControl/>
              <w:adjustRightInd/>
              <w:rPr>
                <w:sz w:val="20"/>
                <w:szCs w:val="20"/>
              </w:rPr>
            </w:pPr>
          </w:p>
        </w:tc>
        <w:tc>
          <w:tcPr>
            <w:tcW w:w="843" w:type="dxa"/>
            <w:shd w:val="clear" w:color="auto" w:fill="auto"/>
            <w:noWrap/>
            <w:vAlign w:val="center"/>
          </w:tcPr>
          <w:p w14:paraId="4A35B762" w14:textId="77777777" w:rsidR="00076DAE" w:rsidRPr="00076DAE" w:rsidRDefault="00076DAE" w:rsidP="00076DAE">
            <w:pPr>
              <w:widowControl/>
              <w:adjustRightInd/>
              <w:rPr>
                <w:color w:val="000000"/>
                <w:sz w:val="20"/>
                <w:szCs w:val="20"/>
              </w:rPr>
            </w:pPr>
          </w:p>
        </w:tc>
        <w:tc>
          <w:tcPr>
            <w:tcW w:w="1000" w:type="dxa"/>
            <w:shd w:val="clear" w:color="auto" w:fill="auto"/>
            <w:noWrap/>
            <w:vAlign w:val="center"/>
          </w:tcPr>
          <w:p w14:paraId="09C909FD" w14:textId="77777777" w:rsidR="00076DAE" w:rsidRPr="00076DAE" w:rsidRDefault="00076DAE" w:rsidP="00076DAE">
            <w:pPr>
              <w:widowControl/>
              <w:adjustRightInd/>
              <w:rPr>
                <w:sz w:val="20"/>
                <w:szCs w:val="20"/>
              </w:rPr>
            </w:pPr>
          </w:p>
        </w:tc>
        <w:tc>
          <w:tcPr>
            <w:tcW w:w="708" w:type="dxa"/>
            <w:shd w:val="clear" w:color="auto" w:fill="auto"/>
            <w:noWrap/>
            <w:vAlign w:val="center"/>
          </w:tcPr>
          <w:p w14:paraId="0090EB28" w14:textId="77777777" w:rsidR="00076DAE" w:rsidRPr="00076DAE" w:rsidRDefault="00076DAE" w:rsidP="00076DAE">
            <w:pPr>
              <w:widowControl/>
              <w:adjustRightInd/>
              <w:rPr>
                <w:color w:val="000000"/>
                <w:sz w:val="20"/>
                <w:szCs w:val="20"/>
              </w:rPr>
            </w:pPr>
          </w:p>
        </w:tc>
        <w:tc>
          <w:tcPr>
            <w:tcW w:w="1134" w:type="dxa"/>
            <w:vAlign w:val="center"/>
          </w:tcPr>
          <w:p w14:paraId="529A1281" w14:textId="77777777" w:rsidR="00076DAE" w:rsidRPr="00076DAE" w:rsidRDefault="00076DAE" w:rsidP="00076DAE">
            <w:pPr>
              <w:widowControl/>
              <w:adjustRightInd/>
              <w:rPr>
                <w:sz w:val="20"/>
                <w:szCs w:val="20"/>
              </w:rPr>
            </w:pPr>
          </w:p>
        </w:tc>
      </w:tr>
      <w:tr w:rsidR="00076DAE" w:rsidRPr="00076DAE" w14:paraId="32049D3C" w14:textId="77777777" w:rsidTr="00935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758B2B9" w14:textId="77777777" w:rsidR="00076DAE" w:rsidRPr="00076DAE" w:rsidRDefault="00076DAE" w:rsidP="00076DAE">
            <w:pPr>
              <w:widowControl/>
              <w:adjustRightInd/>
              <w:rPr>
                <w:sz w:val="20"/>
                <w:szCs w:val="20"/>
              </w:rPr>
            </w:pPr>
          </w:p>
        </w:tc>
        <w:tc>
          <w:tcPr>
            <w:tcW w:w="1740" w:type="dxa"/>
            <w:shd w:val="clear" w:color="auto" w:fill="auto"/>
            <w:vAlign w:val="center"/>
          </w:tcPr>
          <w:p w14:paraId="30CD310F" w14:textId="77777777" w:rsidR="00076DAE" w:rsidRPr="00076DAE" w:rsidRDefault="00076DAE" w:rsidP="00076DAE">
            <w:pPr>
              <w:widowControl/>
              <w:adjustRightInd/>
              <w:rPr>
                <w:sz w:val="20"/>
                <w:szCs w:val="20"/>
              </w:rPr>
            </w:pPr>
          </w:p>
        </w:tc>
        <w:tc>
          <w:tcPr>
            <w:tcW w:w="992" w:type="dxa"/>
          </w:tcPr>
          <w:p w14:paraId="4ADFDBB9" w14:textId="77777777" w:rsidR="00076DAE" w:rsidRPr="00076DAE" w:rsidRDefault="00076DAE" w:rsidP="00076DAE">
            <w:pPr>
              <w:widowControl/>
              <w:adjustRightInd/>
              <w:rPr>
                <w:sz w:val="20"/>
                <w:szCs w:val="20"/>
              </w:rPr>
            </w:pPr>
          </w:p>
        </w:tc>
        <w:tc>
          <w:tcPr>
            <w:tcW w:w="1134" w:type="dxa"/>
          </w:tcPr>
          <w:p w14:paraId="08FD28CB" w14:textId="77777777" w:rsidR="00076DAE" w:rsidRPr="00076DAE" w:rsidRDefault="00076DAE" w:rsidP="00076DAE">
            <w:pPr>
              <w:widowControl/>
              <w:adjustRightInd/>
              <w:rPr>
                <w:sz w:val="20"/>
                <w:szCs w:val="20"/>
              </w:rPr>
            </w:pPr>
          </w:p>
        </w:tc>
        <w:tc>
          <w:tcPr>
            <w:tcW w:w="1843" w:type="dxa"/>
            <w:shd w:val="clear" w:color="auto" w:fill="auto"/>
            <w:vAlign w:val="center"/>
          </w:tcPr>
          <w:p w14:paraId="7312AC64" w14:textId="77777777" w:rsidR="00076DAE" w:rsidRPr="00076DAE" w:rsidDel="00801596" w:rsidRDefault="00076DAE" w:rsidP="00076DAE">
            <w:pPr>
              <w:widowControl/>
              <w:adjustRightInd/>
              <w:jc w:val="both"/>
              <w:rPr>
                <w:sz w:val="20"/>
                <w:szCs w:val="20"/>
              </w:rPr>
            </w:pPr>
          </w:p>
        </w:tc>
        <w:tc>
          <w:tcPr>
            <w:tcW w:w="992" w:type="dxa"/>
            <w:vAlign w:val="center"/>
          </w:tcPr>
          <w:p w14:paraId="2E6C5E75" w14:textId="77777777" w:rsidR="00076DAE" w:rsidRPr="00076DAE" w:rsidRDefault="00076DAE" w:rsidP="00076DAE">
            <w:pPr>
              <w:widowControl/>
              <w:adjustRightInd/>
              <w:rPr>
                <w:color w:val="000000"/>
                <w:sz w:val="20"/>
                <w:szCs w:val="20"/>
              </w:rPr>
            </w:pPr>
          </w:p>
        </w:tc>
        <w:tc>
          <w:tcPr>
            <w:tcW w:w="1160" w:type="dxa"/>
            <w:shd w:val="clear" w:color="auto" w:fill="auto"/>
            <w:noWrap/>
            <w:vAlign w:val="center"/>
          </w:tcPr>
          <w:p w14:paraId="0E707829" w14:textId="77777777" w:rsidR="00076DAE" w:rsidRPr="00076DAE" w:rsidRDefault="00076DAE" w:rsidP="00076DAE">
            <w:pPr>
              <w:widowControl/>
              <w:adjustRightInd/>
              <w:rPr>
                <w:color w:val="000000"/>
                <w:sz w:val="20"/>
                <w:szCs w:val="20"/>
              </w:rPr>
            </w:pPr>
          </w:p>
        </w:tc>
        <w:tc>
          <w:tcPr>
            <w:tcW w:w="1108" w:type="dxa"/>
          </w:tcPr>
          <w:p w14:paraId="0BBE8594" w14:textId="77777777" w:rsidR="00076DAE" w:rsidRPr="00076DAE" w:rsidRDefault="00076DAE" w:rsidP="00076DAE">
            <w:pPr>
              <w:widowControl/>
              <w:adjustRightInd/>
              <w:rPr>
                <w:sz w:val="20"/>
                <w:szCs w:val="20"/>
              </w:rPr>
            </w:pPr>
          </w:p>
        </w:tc>
        <w:tc>
          <w:tcPr>
            <w:tcW w:w="851" w:type="dxa"/>
            <w:shd w:val="clear" w:color="auto" w:fill="auto"/>
            <w:noWrap/>
            <w:vAlign w:val="center"/>
          </w:tcPr>
          <w:p w14:paraId="27173996" w14:textId="77777777" w:rsidR="00076DAE" w:rsidRPr="00076DAE" w:rsidRDefault="00076DAE" w:rsidP="00076DAE">
            <w:pPr>
              <w:widowControl/>
              <w:adjustRightInd/>
              <w:rPr>
                <w:sz w:val="20"/>
                <w:szCs w:val="20"/>
              </w:rPr>
            </w:pPr>
          </w:p>
        </w:tc>
        <w:tc>
          <w:tcPr>
            <w:tcW w:w="843" w:type="dxa"/>
            <w:shd w:val="clear" w:color="auto" w:fill="auto"/>
            <w:noWrap/>
            <w:vAlign w:val="center"/>
          </w:tcPr>
          <w:p w14:paraId="4108F986" w14:textId="77777777" w:rsidR="00076DAE" w:rsidRPr="00076DAE" w:rsidRDefault="00076DAE" w:rsidP="00076DAE">
            <w:pPr>
              <w:widowControl/>
              <w:adjustRightInd/>
              <w:rPr>
                <w:color w:val="000000"/>
                <w:sz w:val="20"/>
                <w:szCs w:val="20"/>
              </w:rPr>
            </w:pPr>
          </w:p>
        </w:tc>
        <w:tc>
          <w:tcPr>
            <w:tcW w:w="1000" w:type="dxa"/>
            <w:shd w:val="clear" w:color="auto" w:fill="auto"/>
            <w:noWrap/>
            <w:vAlign w:val="center"/>
          </w:tcPr>
          <w:p w14:paraId="10594ED7" w14:textId="77777777" w:rsidR="00076DAE" w:rsidRPr="00076DAE" w:rsidRDefault="00076DAE" w:rsidP="00076DAE">
            <w:pPr>
              <w:widowControl/>
              <w:adjustRightInd/>
              <w:rPr>
                <w:sz w:val="20"/>
                <w:szCs w:val="20"/>
              </w:rPr>
            </w:pPr>
          </w:p>
        </w:tc>
        <w:tc>
          <w:tcPr>
            <w:tcW w:w="708" w:type="dxa"/>
            <w:shd w:val="clear" w:color="auto" w:fill="auto"/>
            <w:noWrap/>
            <w:vAlign w:val="center"/>
          </w:tcPr>
          <w:p w14:paraId="4D325AAF" w14:textId="77777777" w:rsidR="00076DAE" w:rsidRPr="00076DAE" w:rsidRDefault="00076DAE" w:rsidP="00076DAE">
            <w:pPr>
              <w:widowControl/>
              <w:adjustRightInd/>
              <w:rPr>
                <w:color w:val="000000"/>
                <w:sz w:val="20"/>
                <w:szCs w:val="20"/>
              </w:rPr>
            </w:pPr>
          </w:p>
        </w:tc>
        <w:tc>
          <w:tcPr>
            <w:tcW w:w="1134" w:type="dxa"/>
            <w:vAlign w:val="center"/>
          </w:tcPr>
          <w:p w14:paraId="1FCDB77B" w14:textId="77777777" w:rsidR="00076DAE" w:rsidRPr="00076DAE" w:rsidRDefault="00076DAE" w:rsidP="00076DAE">
            <w:pPr>
              <w:widowControl/>
              <w:adjustRightInd/>
              <w:rPr>
                <w:sz w:val="20"/>
                <w:szCs w:val="20"/>
              </w:rPr>
            </w:pPr>
          </w:p>
        </w:tc>
      </w:tr>
      <w:tr w:rsidR="00076DAE" w:rsidRPr="00076DAE" w14:paraId="67EDACC8" w14:textId="77777777" w:rsidTr="00935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610DF6F" w14:textId="77777777" w:rsidR="00076DAE" w:rsidRPr="00076DAE" w:rsidRDefault="00076DAE" w:rsidP="00076DAE">
            <w:pPr>
              <w:widowControl/>
              <w:adjustRightInd/>
              <w:rPr>
                <w:sz w:val="20"/>
                <w:szCs w:val="20"/>
              </w:rPr>
            </w:pPr>
          </w:p>
        </w:tc>
        <w:tc>
          <w:tcPr>
            <w:tcW w:w="1740" w:type="dxa"/>
            <w:shd w:val="clear" w:color="auto" w:fill="auto"/>
            <w:vAlign w:val="center"/>
          </w:tcPr>
          <w:p w14:paraId="0058A0F6" w14:textId="77777777" w:rsidR="00076DAE" w:rsidRPr="00076DAE" w:rsidRDefault="00076DAE" w:rsidP="00076DAE">
            <w:pPr>
              <w:widowControl/>
              <w:adjustRightInd/>
              <w:rPr>
                <w:sz w:val="20"/>
                <w:szCs w:val="20"/>
              </w:rPr>
            </w:pPr>
          </w:p>
        </w:tc>
        <w:tc>
          <w:tcPr>
            <w:tcW w:w="992" w:type="dxa"/>
          </w:tcPr>
          <w:p w14:paraId="6323A5C0" w14:textId="77777777" w:rsidR="00076DAE" w:rsidRPr="00076DAE" w:rsidRDefault="00076DAE" w:rsidP="00076DAE">
            <w:pPr>
              <w:widowControl/>
              <w:adjustRightInd/>
              <w:rPr>
                <w:sz w:val="20"/>
                <w:szCs w:val="20"/>
              </w:rPr>
            </w:pPr>
          </w:p>
        </w:tc>
        <w:tc>
          <w:tcPr>
            <w:tcW w:w="1134" w:type="dxa"/>
          </w:tcPr>
          <w:p w14:paraId="699AB348" w14:textId="77777777" w:rsidR="00076DAE" w:rsidRPr="00076DAE" w:rsidRDefault="00076DAE" w:rsidP="00076DAE">
            <w:pPr>
              <w:widowControl/>
              <w:adjustRightInd/>
              <w:rPr>
                <w:sz w:val="20"/>
                <w:szCs w:val="20"/>
              </w:rPr>
            </w:pPr>
          </w:p>
        </w:tc>
        <w:tc>
          <w:tcPr>
            <w:tcW w:w="1843" w:type="dxa"/>
            <w:shd w:val="clear" w:color="auto" w:fill="auto"/>
            <w:vAlign w:val="center"/>
          </w:tcPr>
          <w:p w14:paraId="6EDCB508" w14:textId="77777777" w:rsidR="00076DAE" w:rsidRPr="00076DAE" w:rsidDel="00801596" w:rsidRDefault="00076DAE" w:rsidP="00076DAE">
            <w:pPr>
              <w:widowControl/>
              <w:adjustRightInd/>
              <w:jc w:val="both"/>
              <w:rPr>
                <w:sz w:val="20"/>
                <w:szCs w:val="20"/>
              </w:rPr>
            </w:pPr>
          </w:p>
        </w:tc>
        <w:tc>
          <w:tcPr>
            <w:tcW w:w="992" w:type="dxa"/>
            <w:vAlign w:val="center"/>
          </w:tcPr>
          <w:p w14:paraId="2419F8FB" w14:textId="77777777" w:rsidR="00076DAE" w:rsidRPr="00076DAE" w:rsidRDefault="00076DAE" w:rsidP="00076DAE">
            <w:pPr>
              <w:widowControl/>
              <w:adjustRightInd/>
              <w:rPr>
                <w:color w:val="000000"/>
                <w:sz w:val="20"/>
                <w:szCs w:val="20"/>
              </w:rPr>
            </w:pPr>
          </w:p>
        </w:tc>
        <w:tc>
          <w:tcPr>
            <w:tcW w:w="1160" w:type="dxa"/>
            <w:shd w:val="clear" w:color="auto" w:fill="auto"/>
            <w:noWrap/>
            <w:vAlign w:val="center"/>
          </w:tcPr>
          <w:p w14:paraId="13717F71" w14:textId="77777777" w:rsidR="00076DAE" w:rsidRPr="00076DAE" w:rsidRDefault="00076DAE" w:rsidP="00076DAE">
            <w:pPr>
              <w:widowControl/>
              <w:adjustRightInd/>
              <w:rPr>
                <w:color w:val="000000"/>
                <w:sz w:val="20"/>
                <w:szCs w:val="20"/>
              </w:rPr>
            </w:pPr>
          </w:p>
        </w:tc>
        <w:tc>
          <w:tcPr>
            <w:tcW w:w="1108" w:type="dxa"/>
          </w:tcPr>
          <w:p w14:paraId="0432C5C1" w14:textId="77777777" w:rsidR="00076DAE" w:rsidRPr="00076DAE" w:rsidRDefault="00076DAE" w:rsidP="00076DAE">
            <w:pPr>
              <w:widowControl/>
              <w:adjustRightInd/>
              <w:rPr>
                <w:sz w:val="20"/>
                <w:szCs w:val="20"/>
              </w:rPr>
            </w:pPr>
          </w:p>
        </w:tc>
        <w:tc>
          <w:tcPr>
            <w:tcW w:w="851" w:type="dxa"/>
            <w:shd w:val="clear" w:color="auto" w:fill="auto"/>
            <w:noWrap/>
            <w:vAlign w:val="center"/>
          </w:tcPr>
          <w:p w14:paraId="2AD93D54" w14:textId="77777777" w:rsidR="00076DAE" w:rsidRPr="00076DAE" w:rsidRDefault="00076DAE" w:rsidP="00076DAE">
            <w:pPr>
              <w:widowControl/>
              <w:adjustRightInd/>
              <w:rPr>
                <w:sz w:val="20"/>
                <w:szCs w:val="20"/>
              </w:rPr>
            </w:pPr>
          </w:p>
        </w:tc>
        <w:tc>
          <w:tcPr>
            <w:tcW w:w="843" w:type="dxa"/>
            <w:shd w:val="clear" w:color="auto" w:fill="auto"/>
            <w:noWrap/>
            <w:vAlign w:val="center"/>
          </w:tcPr>
          <w:p w14:paraId="6B128C8A" w14:textId="77777777" w:rsidR="00076DAE" w:rsidRPr="00076DAE" w:rsidRDefault="00076DAE" w:rsidP="00076DAE">
            <w:pPr>
              <w:widowControl/>
              <w:adjustRightInd/>
              <w:rPr>
                <w:color w:val="000000"/>
                <w:sz w:val="20"/>
                <w:szCs w:val="20"/>
              </w:rPr>
            </w:pPr>
          </w:p>
        </w:tc>
        <w:tc>
          <w:tcPr>
            <w:tcW w:w="1000" w:type="dxa"/>
            <w:shd w:val="clear" w:color="auto" w:fill="auto"/>
            <w:noWrap/>
            <w:vAlign w:val="center"/>
          </w:tcPr>
          <w:p w14:paraId="41A67FD8" w14:textId="77777777" w:rsidR="00076DAE" w:rsidRPr="00076DAE" w:rsidRDefault="00076DAE" w:rsidP="00076DAE">
            <w:pPr>
              <w:widowControl/>
              <w:adjustRightInd/>
              <w:rPr>
                <w:sz w:val="20"/>
                <w:szCs w:val="20"/>
              </w:rPr>
            </w:pPr>
          </w:p>
        </w:tc>
        <w:tc>
          <w:tcPr>
            <w:tcW w:w="708" w:type="dxa"/>
            <w:shd w:val="clear" w:color="auto" w:fill="auto"/>
            <w:noWrap/>
            <w:vAlign w:val="center"/>
          </w:tcPr>
          <w:p w14:paraId="2B836919" w14:textId="77777777" w:rsidR="00076DAE" w:rsidRPr="00076DAE" w:rsidRDefault="00076DAE" w:rsidP="00076DAE">
            <w:pPr>
              <w:widowControl/>
              <w:adjustRightInd/>
              <w:rPr>
                <w:color w:val="000000"/>
                <w:sz w:val="20"/>
                <w:szCs w:val="20"/>
              </w:rPr>
            </w:pPr>
          </w:p>
        </w:tc>
        <w:tc>
          <w:tcPr>
            <w:tcW w:w="1134" w:type="dxa"/>
            <w:vAlign w:val="center"/>
          </w:tcPr>
          <w:p w14:paraId="6B639F93" w14:textId="77777777" w:rsidR="00076DAE" w:rsidRPr="00076DAE" w:rsidRDefault="00076DAE" w:rsidP="00076DAE">
            <w:pPr>
              <w:widowControl/>
              <w:adjustRightInd/>
              <w:rPr>
                <w:sz w:val="20"/>
                <w:szCs w:val="20"/>
              </w:rPr>
            </w:pPr>
          </w:p>
        </w:tc>
      </w:tr>
    </w:tbl>
    <w:p w14:paraId="240A6187" w14:textId="77777777" w:rsidR="00076DAE" w:rsidRPr="00076DAE" w:rsidRDefault="00076DAE" w:rsidP="00076DAE">
      <w:pPr>
        <w:widowControl/>
        <w:adjustRightInd/>
        <w:spacing w:after="160" w:line="259" w:lineRule="auto"/>
        <w:jc w:val="both"/>
        <w:rPr>
          <w:rFonts w:eastAsia="Calibri"/>
          <w:i/>
          <w:sz w:val="22"/>
          <w:szCs w:val="22"/>
          <w:lang w:eastAsia="en-US"/>
        </w:rPr>
      </w:pPr>
    </w:p>
    <w:p w14:paraId="3D4C4EF6" w14:textId="77777777" w:rsidR="00076DAE" w:rsidRPr="00076DAE" w:rsidRDefault="00076DAE" w:rsidP="00076DAE">
      <w:pPr>
        <w:widowControl/>
        <w:adjustRightInd/>
        <w:spacing w:after="160" w:line="259" w:lineRule="auto"/>
        <w:jc w:val="both"/>
        <w:rPr>
          <w:rFonts w:eastAsia="Calibri"/>
          <w:b/>
          <w:bCs/>
          <w:i/>
          <w:lang w:eastAsia="en-US"/>
        </w:rPr>
        <w:sectPr w:rsidR="00076DAE" w:rsidRPr="00076DAE" w:rsidSect="0093572E">
          <w:pgSz w:w="16838" w:h="11906" w:orient="landscape"/>
          <w:pgMar w:top="1417" w:right="1417" w:bottom="1417" w:left="1417" w:header="708" w:footer="708" w:gutter="0"/>
          <w:cols w:space="708"/>
          <w:docGrid w:linePitch="360"/>
        </w:sectPr>
      </w:pPr>
    </w:p>
    <w:p w14:paraId="337E01D1" w14:textId="77777777" w:rsidR="00076DAE" w:rsidRPr="00076DAE" w:rsidRDefault="00076DAE" w:rsidP="00076DAE">
      <w:pPr>
        <w:widowControl/>
        <w:adjustRightInd/>
        <w:spacing w:after="160" w:line="259" w:lineRule="auto"/>
        <w:jc w:val="both"/>
        <w:rPr>
          <w:rFonts w:eastAsia="Calibri"/>
          <w:b/>
          <w:bCs/>
          <w:i/>
          <w:u w:val="single"/>
          <w:lang w:eastAsia="en-US"/>
        </w:rPr>
      </w:pPr>
      <w:r w:rsidRPr="00076DAE">
        <w:rPr>
          <w:rFonts w:eastAsia="Calibri"/>
          <w:b/>
          <w:bCs/>
          <w:i/>
          <w:u w:val="single"/>
          <w:lang w:eastAsia="en-US"/>
        </w:rPr>
        <w:lastRenderedPageBreak/>
        <w:t xml:space="preserve">3.1.3 Doplňujúce informácie k spôsobu výpočtu vplyvov jednotlivých regulácií na zmenu nákladov </w:t>
      </w:r>
    </w:p>
    <w:p w14:paraId="04188F96" w14:textId="77777777" w:rsidR="00076DAE" w:rsidRPr="00076DAE" w:rsidRDefault="00076DAE" w:rsidP="00076DAE">
      <w:pPr>
        <w:widowControl/>
        <w:adjustRightInd/>
        <w:spacing w:after="160" w:line="259" w:lineRule="auto"/>
        <w:jc w:val="both"/>
        <w:rPr>
          <w:rFonts w:eastAsia="Calibri"/>
          <w:bCs/>
          <w:i/>
          <w:iCs/>
          <w:color w:val="000000"/>
          <w:lang w:eastAsia="en-US"/>
        </w:rPr>
      </w:pPr>
      <w:r w:rsidRPr="00076DAE">
        <w:rPr>
          <w:rFonts w:eastAsia="Calibri"/>
          <w:bCs/>
          <w:i/>
          <w:iCs/>
          <w:color w:val="000000"/>
          <w:lang w:eastAsia="en-US"/>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076DAE">
        <w:rPr>
          <w:rFonts w:eastAsia="Calibri"/>
          <w:bCs/>
          <w:i/>
          <w:iCs/>
          <w:color w:val="000000"/>
          <w:lang w:eastAsia="en-US"/>
        </w:rPr>
        <w:t>link</w:t>
      </w:r>
      <w:proofErr w:type="spellEnd"/>
      <w:r w:rsidRPr="00076DAE">
        <w:rPr>
          <w:rFonts w:eastAsia="Calibri"/>
          <w:bCs/>
          <w:i/>
          <w:iCs/>
          <w:color w:val="000000"/>
          <w:lang w:eastAsia="en-US"/>
        </w:rPr>
        <w:t xml:space="preserve"> na konkrétne štatistiky, ak sú dostupné na internete). Jednotlivé regulácie môžu mať jeden alebo viac typov nákladov (A. Dane, odvody, clá a poplatky, ktorých cieľom je znižovať negatívne </w:t>
      </w:r>
      <w:proofErr w:type="spellStart"/>
      <w:r w:rsidRPr="00076DAE">
        <w:rPr>
          <w:rFonts w:eastAsia="Calibri"/>
          <w:bCs/>
          <w:i/>
          <w:iCs/>
          <w:color w:val="000000"/>
          <w:lang w:eastAsia="en-US"/>
        </w:rPr>
        <w:t>externality</w:t>
      </w:r>
      <w:proofErr w:type="spellEnd"/>
      <w:r w:rsidRPr="00076DAE">
        <w:rPr>
          <w:rFonts w:eastAsia="Calibri"/>
          <w:bCs/>
          <w:i/>
          <w:iCs/>
          <w:color w:val="000000"/>
          <w:lang w:eastAsia="en-US"/>
        </w:rPr>
        <w:t xml:space="preserve">, B. Iné poplatky, C. Sankcie, D. Nepriame finančné náklady, E. Administratívne náklady). Rozčleňte ich a vypočítajte v súlade s metodickým postupom. </w:t>
      </w:r>
    </w:p>
    <w:p w14:paraId="3D492D1B" w14:textId="77777777" w:rsidR="00076DAE" w:rsidRPr="00076DAE" w:rsidRDefault="00076DAE" w:rsidP="00076DAE">
      <w:pPr>
        <w:widowControl/>
        <w:adjustRightInd/>
        <w:spacing w:after="160" w:line="259" w:lineRule="auto"/>
        <w:jc w:val="both"/>
        <w:rPr>
          <w:rFonts w:eastAsia="Calibri"/>
          <w:bCs/>
          <w:i/>
          <w:iCs/>
          <w:color w:val="000000"/>
          <w:lang w:eastAsia="en-US"/>
        </w:rPr>
      </w:pPr>
    </w:p>
    <w:p w14:paraId="3B5446D1" w14:textId="77777777" w:rsidR="00076DAE" w:rsidRPr="00076DAE" w:rsidRDefault="00076DAE" w:rsidP="00076DAE">
      <w:pPr>
        <w:widowControl/>
        <w:adjustRightInd/>
        <w:spacing w:after="160" w:line="259" w:lineRule="auto"/>
        <w:jc w:val="both"/>
        <w:rPr>
          <w:rFonts w:eastAsia="Calibri"/>
          <w:b/>
          <w:bCs/>
          <w:i/>
          <w:u w:val="single"/>
          <w:lang w:eastAsia="en-US"/>
        </w:rPr>
      </w:pPr>
      <w:r w:rsidRPr="00076DAE">
        <w:rPr>
          <w:rFonts w:eastAsia="Calibri"/>
          <w:b/>
          <w:bCs/>
          <w:i/>
          <w:u w:val="single"/>
          <w:lang w:eastAsia="en-US"/>
        </w:rPr>
        <w:t xml:space="preserve">3.1.4 Odôvodnenie </w:t>
      </w:r>
      <w:proofErr w:type="spellStart"/>
      <w:r w:rsidRPr="00076DAE">
        <w:rPr>
          <w:rFonts w:eastAsia="Calibri"/>
          <w:b/>
          <w:bCs/>
          <w:i/>
          <w:u w:val="single"/>
          <w:lang w:eastAsia="en-US"/>
        </w:rPr>
        <w:t>goldplatingu</w:t>
      </w:r>
      <w:proofErr w:type="spellEnd"/>
      <w:r w:rsidRPr="00076DAE">
        <w:rPr>
          <w:rFonts w:eastAsia="Calibri"/>
          <w:b/>
          <w:bCs/>
          <w:i/>
          <w:u w:val="single"/>
          <w:lang w:eastAsia="en-US"/>
        </w:rPr>
        <w:t xml:space="preserve"> podľa bodu 4 časti III jednotnej metodiky a ďalšie doplňujúce informácie</w:t>
      </w:r>
      <w:r w:rsidRPr="00076DAE">
        <w:rPr>
          <w:rFonts w:eastAsia="Calibri"/>
          <w:b/>
          <w:bCs/>
          <w:i/>
          <w:u w:val="single"/>
          <w:vertAlign w:val="superscript"/>
          <w:lang w:eastAsia="en-US"/>
        </w:rPr>
        <w:footnoteReference w:id="2"/>
      </w:r>
      <w:r w:rsidRPr="00076DAE">
        <w:rPr>
          <w:rFonts w:eastAsia="Calibri"/>
          <w:b/>
          <w:bCs/>
          <w:i/>
          <w:u w:val="single"/>
          <w:lang w:eastAsia="en-US"/>
        </w:rPr>
        <w:t xml:space="preserve"> </w:t>
      </w:r>
    </w:p>
    <w:p w14:paraId="2B2D89E2" w14:textId="77777777" w:rsidR="00076DAE" w:rsidRPr="00076DAE" w:rsidRDefault="00076DAE" w:rsidP="00076DAE">
      <w:pPr>
        <w:widowControl/>
        <w:adjustRightInd/>
        <w:spacing w:after="160" w:line="259" w:lineRule="auto"/>
        <w:jc w:val="both"/>
        <w:rPr>
          <w:rFonts w:eastAsia="Calibri"/>
          <w:bCs/>
          <w:i/>
          <w:iCs/>
          <w:color w:val="000000"/>
          <w:lang w:eastAsia="en-US"/>
        </w:rPr>
      </w:pPr>
      <w:r w:rsidRPr="00076DAE">
        <w:rPr>
          <w:rFonts w:eastAsia="Calibri"/>
          <w:bCs/>
          <w:i/>
          <w:iCs/>
          <w:color w:val="000000"/>
          <w:lang w:eastAsia="en-US"/>
        </w:rPr>
        <w:t xml:space="preserve">Požadované informácie uveďte osobitne ku každému identifikovanému </w:t>
      </w:r>
      <w:proofErr w:type="spellStart"/>
      <w:r w:rsidRPr="00076DAE">
        <w:rPr>
          <w:rFonts w:eastAsia="Calibri"/>
          <w:bCs/>
          <w:i/>
          <w:iCs/>
          <w:color w:val="000000"/>
          <w:lang w:eastAsia="en-US"/>
        </w:rPr>
        <w:t>goldplatingu</w:t>
      </w:r>
      <w:proofErr w:type="spellEnd"/>
      <w:r w:rsidRPr="00076DAE">
        <w:rPr>
          <w:rFonts w:eastAsia="Calibri"/>
          <w:bCs/>
          <w:i/>
          <w:iCs/>
          <w:color w:val="000000"/>
          <w:lang w:eastAsia="en-US"/>
        </w:rPr>
        <w:t xml:space="preserve"> (ku každej hodnotenej regulácii s </w:t>
      </w:r>
      <w:proofErr w:type="spellStart"/>
      <w:r w:rsidRPr="00076DAE">
        <w:rPr>
          <w:rFonts w:eastAsia="Calibri"/>
          <w:bCs/>
          <w:i/>
          <w:iCs/>
          <w:color w:val="000000"/>
          <w:lang w:eastAsia="en-US"/>
        </w:rPr>
        <w:t>goldplatingom</w:t>
      </w:r>
      <w:proofErr w:type="spellEnd"/>
      <w:r w:rsidRPr="00076DAE">
        <w:rPr>
          <w:rFonts w:eastAsia="Calibri"/>
          <w:bCs/>
          <w:i/>
          <w:iCs/>
          <w:color w:val="000000"/>
          <w:lang w:eastAsia="en-US"/>
        </w:rPr>
        <w:t xml:space="preserve"> osobitne). </w:t>
      </w:r>
    </w:p>
    <w:p w14:paraId="0D0F614C" w14:textId="77777777" w:rsidR="00076DAE" w:rsidRPr="00076DAE" w:rsidRDefault="00076DAE" w:rsidP="00076DAE">
      <w:pPr>
        <w:widowControl/>
        <w:adjustRightInd/>
        <w:spacing w:after="160" w:line="259" w:lineRule="auto"/>
        <w:jc w:val="both"/>
        <w:rPr>
          <w:rFonts w:eastAsia="Calibri"/>
          <w:bCs/>
          <w:i/>
          <w:iCs/>
          <w:color w:val="000000"/>
          <w:lang w:eastAsia="en-US"/>
        </w:rPr>
      </w:pPr>
      <w:r w:rsidRPr="00076DAE">
        <w:rPr>
          <w:rFonts w:eastAsia="Calibri"/>
          <w:bCs/>
          <w:i/>
          <w:iCs/>
          <w:color w:val="000000"/>
          <w:lang w:eastAsia="en-US"/>
        </w:rPr>
        <w:t xml:space="preserve">Uveďte odôvodnenie </w:t>
      </w:r>
      <w:proofErr w:type="spellStart"/>
      <w:r w:rsidRPr="00076DAE">
        <w:rPr>
          <w:rFonts w:eastAsia="Calibri"/>
          <w:bCs/>
          <w:i/>
          <w:iCs/>
          <w:color w:val="000000"/>
          <w:lang w:eastAsia="en-US"/>
        </w:rPr>
        <w:t>goldplatingu</w:t>
      </w:r>
      <w:proofErr w:type="spellEnd"/>
      <w:r w:rsidRPr="00076DAE">
        <w:rPr>
          <w:rFonts w:eastAsia="Calibri"/>
          <w:bCs/>
          <w:i/>
          <w:iCs/>
          <w:color w:val="000000"/>
          <w:lang w:eastAsia="en-US"/>
        </w:rPr>
        <w:t xml:space="preserve"> z hľadiska jeho nespochybniteľnej nevyhnutnosti. Odôvodnenie doložte dôkladným hodnotením prínosov a nákladov. Uveďte zvážené alternatívne riešenia..</w:t>
      </w:r>
    </w:p>
    <w:p w14:paraId="22144AF2" w14:textId="77777777" w:rsidR="00076DAE" w:rsidRPr="00076DAE" w:rsidRDefault="00076DAE" w:rsidP="00076DAE">
      <w:pPr>
        <w:widowControl/>
        <w:adjustRightInd/>
        <w:spacing w:after="160" w:line="259" w:lineRule="auto"/>
        <w:jc w:val="both"/>
        <w:rPr>
          <w:rFonts w:eastAsia="Calibri"/>
          <w:bCs/>
          <w:i/>
          <w:iCs/>
          <w:color w:val="000000"/>
          <w:lang w:eastAsia="en-US"/>
        </w:rPr>
      </w:pPr>
      <w:r w:rsidRPr="00076DAE">
        <w:rPr>
          <w:rFonts w:eastAsia="Calibri"/>
          <w:bCs/>
          <w:i/>
          <w:iCs/>
          <w:color w:val="000000"/>
          <w:lang w:eastAsia="en-US"/>
        </w:rPr>
        <w:t xml:space="preserve">Zároveň uveďte konkrétne informácie súvisiace s kategóriou </w:t>
      </w:r>
      <w:proofErr w:type="spellStart"/>
      <w:r w:rsidRPr="00076DAE">
        <w:rPr>
          <w:rFonts w:eastAsia="Calibri"/>
          <w:bCs/>
          <w:i/>
          <w:iCs/>
          <w:color w:val="000000"/>
          <w:lang w:eastAsia="en-US"/>
        </w:rPr>
        <w:t>goldplatingu</w:t>
      </w:r>
      <w:proofErr w:type="spellEnd"/>
      <w:r w:rsidRPr="00076DAE">
        <w:rPr>
          <w:rFonts w:eastAsia="Calibri"/>
          <w:bCs/>
          <w:i/>
          <w:iCs/>
          <w:color w:val="000000"/>
          <w:lang w:eastAsia="en-US"/>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7F8BF170" w14:textId="77777777" w:rsidR="00076DAE" w:rsidRPr="00076DAE" w:rsidRDefault="00076DAE" w:rsidP="00076DAE">
      <w:pPr>
        <w:widowControl/>
        <w:adjustRightInd/>
        <w:spacing w:after="160" w:line="259" w:lineRule="auto"/>
        <w:jc w:val="both"/>
        <w:rPr>
          <w:rFonts w:eastAsia="Calibri"/>
          <w:bCs/>
          <w:i/>
          <w:iCs/>
          <w:lang w:eastAsia="en-US"/>
        </w:rPr>
      </w:pPr>
      <w:r w:rsidRPr="00076DAE">
        <w:rPr>
          <w:rFonts w:eastAsia="Calibri"/>
          <w:bCs/>
          <w:i/>
          <w:iCs/>
          <w:lang w:eastAsia="en-US"/>
        </w:rPr>
        <w:t xml:space="preserve">Využitie </w:t>
      </w:r>
      <w:proofErr w:type="spellStart"/>
      <w:r w:rsidRPr="00076DAE">
        <w:rPr>
          <w:rFonts w:eastAsia="Calibri"/>
          <w:bCs/>
          <w:i/>
          <w:iCs/>
          <w:lang w:eastAsia="en-US"/>
        </w:rPr>
        <w:t>goldplatingu</w:t>
      </w:r>
      <w:proofErr w:type="spellEnd"/>
      <w:r w:rsidRPr="00076DAE">
        <w:rPr>
          <w:rFonts w:eastAsia="Calibri"/>
          <w:bCs/>
          <w:i/>
          <w:iCs/>
          <w:lang w:eastAsia="en-US"/>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076DAE">
        <w:rPr>
          <w:rFonts w:eastAsia="Calibri"/>
          <w:bCs/>
          <w:i/>
          <w:iCs/>
          <w:lang w:eastAsia="en-US"/>
        </w:rPr>
        <w:t>goldplatingu</w:t>
      </w:r>
      <w:proofErr w:type="spellEnd"/>
      <w:r w:rsidRPr="00076DAE">
        <w:rPr>
          <w:rFonts w:eastAsia="Calibri"/>
          <w:bCs/>
          <w:i/>
          <w:iCs/>
          <w:lang w:eastAsia="en-US"/>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36BA597D" w14:textId="77777777" w:rsidR="00076DAE" w:rsidRPr="00076DAE" w:rsidRDefault="00076DAE" w:rsidP="00076DAE">
      <w:pPr>
        <w:widowControl/>
        <w:adjustRightInd/>
        <w:spacing w:after="160" w:line="259" w:lineRule="auto"/>
        <w:rPr>
          <w:rFonts w:eastAsia="Calibri"/>
          <w:i/>
          <w:lang w:eastAsia="en-US"/>
        </w:rPr>
      </w:pPr>
    </w:p>
    <w:p w14:paraId="2607D75F" w14:textId="77777777" w:rsidR="00076DAE" w:rsidRPr="00076DAE" w:rsidRDefault="00076DAE" w:rsidP="00076DAE">
      <w:pPr>
        <w:widowControl/>
        <w:adjustRightInd/>
        <w:spacing w:after="160" w:line="259" w:lineRule="auto"/>
        <w:jc w:val="both"/>
        <w:rPr>
          <w:rFonts w:eastAsia="Calibri"/>
          <w:b/>
          <w:lang w:eastAsia="en-US"/>
        </w:rPr>
      </w:pPr>
    </w:p>
    <w:p w14:paraId="15DE0B84" w14:textId="77777777" w:rsidR="00076DAE" w:rsidRPr="00076DAE" w:rsidRDefault="00076DAE" w:rsidP="00076DAE">
      <w:pPr>
        <w:widowControl/>
        <w:adjustRightInd/>
        <w:spacing w:after="160" w:line="259" w:lineRule="auto"/>
        <w:jc w:val="both"/>
        <w:rPr>
          <w:rFonts w:eastAsia="Calibri"/>
          <w:b/>
          <w:lang w:eastAsia="en-US"/>
        </w:rPr>
      </w:pPr>
    </w:p>
    <w:p w14:paraId="026C7CAE" w14:textId="77777777" w:rsidR="00076DAE" w:rsidRPr="00076DAE" w:rsidRDefault="00076DAE" w:rsidP="00076DAE">
      <w:pPr>
        <w:widowControl/>
        <w:adjustRightInd/>
        <w:spacing w:after="160" w:line="259" w:lineRule="auto"/>
        <w:jc w:val="both"/>
        <w:rPr>
          <w:rFonts w:eastAsia="Calibri"/>
          <w:b/>
          <w:lang w:eastAsia="en-US"/>
        </w:rPr>
      </w:pPr>
      <w:r w:rsidRPr="00076DAE">
        <w:rPr>
          <w:rFonts w:eastAsia="Calibri"/>
          <w:b/>
          <w:lang w:eastAsia="en-US"/>
        </w:rPr>
        <w:lastRenderedPageBreak/>
        <w:t>3.2 Vyhodnotenie konzultácií s podnikateľskými subjektmi pred predbežným pripomienkovým konaním</w:t>
      </w:r>
    </w:p>
    <w:p w14:paraId="16F7DBC1"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Uveďte formu konzultácií vrátane zdôvodnenia jej výberu a trvanie konzultácií, termíny stretnutí. Uveďte spôsob oslovenia dotknutých subjektov, zoznam konzultujúcich subjektov, tiež </w:t>
      </w:r>
      <w:proofErr w:type="spellStart"/>
      <w:r w:rsidRPr="00076DAE">
        <w:rPr>
          <w:rFonts w:eastAsia="Calibri"/>
          <w:i/>
          <w:lang w:eastAsia="en-US"/>
        </w:rPr>
        <w:t>link</w:t>
      </w:r>
      <w:proofErr w:type="spellEnd"/>
      <w:r w:rsidRPr="00076DAE">
        <w:rPr>
          <w:rFonts w:eastAsia="Calibri"/>
          <w:i/>
          <w:lang w:eastAsia="en-US"/>
        </w:rPr>
        <w:t xml:space="preserve"> na webovú stránku, na ktorej boli konzultácie zverejnené. </w:t>
      </w:r>
    </w:p>
    <w:p w14:paraId="3DB64BF7"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Uveďte hlavné body konzultácií a ich závery. </w:t>
      </w:r>
    </w:p>
    <w:p w14:paraId="158D0CD6"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5F3239DE"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Alternatívne namiesto vypĺňania bodu 3.2 môžete uviesť ako samostatnú prílohu tejto analýzy Záznam z konzultácií obsahujúci požadované informácie. </w:t>
      </w:r>
    </w:p>
    <w:p w14:paraId="24E2E878" w14:textId="77777777" w:rsidR="00076DAE" w:rsidRPr="00076DAE" w:rsidRDefault="00076DAE" w:rsidP="00076DAE">
      <w:pPr>
        <w:widowControl/>
        <w:adjustRightInd/>
        <w:spacing w:line="259" w:lineRule="auto"/>
        <w:jc w:val="both"/>
        <w:rPr>
          <w:rFonts w:eastAsia="Calibri"/>
          <w:i/>
          <w:lang w:eastAsia="en-US"/>
        </w:rPr>
      </w:pPr>
    </w:p>
    <w:p w14:paraId="2FFD0FDF" w14:textId="77777777" w:rsidR="00076DAE" w:rsidRPr="00076DAE" w:rsidRDefault="00076DAE" w:rsidP="00076DAE">
      <w:pPr>
        <w:widowControl/>
        <w:adjustRightInd/>
        <w:spacing w:line="259" w:lineRule="auto"/>
        <w:jc w:val="both"/>
        <w:rPr>
          <w:rFonts w:eastAsia="Calibri"/>
          <w:lang w:eastAsia="en-US"/>
        </w:rPr>
      </w:pPr>
      <w:r w:rsidRPr="00076DAE">
        <w:rPr>
          <w:rFonts w:eastAsia="Calibri"/>
          <w:bCs/>
          <w:lang w:eastAsia="en-US"/>
        </w:rPr>
        <w:t xml:space="preserve">Podnikateľské subjekty sa mohli vyjadriť k predbežnej informácii o pripravovanom návrhu materiálu uverejnenom na </w:t>
      </w:r>
      <w:hyperlink r:id="rId11" w:history="1">
        <w:r w:rsidRPr="00076DAE">
          <w:rPr>
            <w:rFonts w:eastAsia="Calibri"/>
            <w:color w:val="0563C1"/>
            <w:u w:val="single"/>
            <w:lang w:eastAsia="en-US"/>
          </w:rPr>
          <w:t>https://www.slov-lex.sk/legislativne-procesy/SK/PI/2024/220</w:t>
        </w:r>
      </w:hyperlink>
      <w:r w:rsidRPr="00076DAE">
        <w:rPr>
          <w:rFonts w:eastAsia="Calibri"/>
          <w:lang w:eastAsia="en-US"/>
        </w:rPr>
        <w:t xml:space="preserve"> </w:t>
      </w:r>
      <w:r w:rsidRPr="00076DAE">
        <w:rPr>
          <w:rFonts w:eastAsia="Calibri"/>
          <w:bCs/>
          <w:lang w:eastAsia="en-US"/>
        </w:rPr>
        <w:t>v termíne od 17.09.2024 do 30.09.2024. K predbežnej informácii neboli uplatnené žiadne pripomienky ani vyjadrenia.</w:t>
      </w:r>
    </w:p>
    <w:p w14:paraId="1A56B468" w14:textId="77777777" w:rsidR="00076DAE" w:rsidRPr="00076DAE" w:rsidRDefault="00076DAE" w:rsidP="00076DAE">
      <w:pPr>
        <w:widowControl/>
        <w:adjustRightInd/>
        <w:spacing w:line="259" w:lineRule="auto"/>
        <w:jc w:val="both"/>
        <w:rPr>
          <w:rFonts w:eastAsia="Calibri"/>
          <w:i/>
          <w:lang w:eastAsia="en-US"/>
        </w:rPr>
      </w:pPr>
    </w:p>
    <w:p w14:paraId="0B53BDD2" w14:textId="77777777" w:rsidR="00076DAE" w:rsidRPr="00076DAE" w:rsidRDefault="00076DAE" w:rsidP="00076DAE">
      <w:pPr>
        <w:widowControl/>
        <w:adjustRightInd/>
        <w:spacing w:after="160" w:line="259" w:lineRule="auto"/>
        <w:jc w:val="both"/>
        <w:rPr>
          <w:rFonts w:eastAsia="Calibri"/>
          <w:b/>
          <w:lang w:eastAsia="en-US"/>
        </w:rPr>
      </w:pPr>
      <w:bookmarkStart w:id="0" w:name="_Hlk47698091"/>
      <w:r w:rsidRPr="00076DAE">
        <w:rPr>
          <w:rFonts w:eastAsia="Calibri"/>
          <w:b/>
          <w:lang w:eastAsia="en-US"/>
        </w:rPr>
        <w:t>3.3 Vplyvy na konkurencieschopnosť a produktivitu</w:t>
      </w:r>
    </w:p>
    <w:bookmarkEnd w:id="0"/>
    <w:p w14:paraId="26A5D212"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Dochádza k vytvoreniu resp. k zmene bariér na trhu? </w:t>
      </w:r>
    </w:p>
    <w:p w14:paraId="4278B988"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Bude sa s niektorými podnikmi alebo produktmi zaobchádzať v porovnateľnej situácii rôzne (napr. špeciálne režimy pre </w:t>
      </w:r>
      <w:proofErr w:type="spellStart"/>
      <w:r w:rsidRPr="00076DAE">
        <w:rPr>
          <w:rFonts w:eastAsia="Calibri"/>
          <w:i/>
          <w:lang w:eastAsia="en-US"/>
        </w:rPr>
        <w:t>mikro</w:t>
      </w:r>
      <w:proofErr w:type="spellEnd"/>
      <w:r w:rsidRPr="00076DAE">
        <w:rPr>
          <w:rFonts w:eastAsia="Calibri"/>
          <w:i/>
          <w:lang w:eastAsia="en-US"/>
        </w:rPr>
        <w:t xml:space="preserve">, malé a stredné podniky tzv. MSP)? </w:t>
      </w:r>
    </w:p>
    <w:p w14:paraId="2C726AB4"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Ovplyvňuje zmena regulácie cezhraničné investície (príliv/odliv zahraničných investícií resp. uplatnenie slovenských podnikov na zahraničných trhoch)? </w:t>
      </w:r>
    </w:p>
    <w:p w14:paraId="3C743C21"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Ovplyvní dostupnosť základných zdrojov (financie, pracovná sila, suroviny, mechanizmy, energie atď.)? </w:t>
      </w:r>
    </w:p>
    <w:p w14:paraId="5233956E"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Ovplyvňuje zmena regulácie inovácie, vedu a výskum?</w:t>
      </w:r>
    </w:p>
    <w:p w14:paraId="1FF875D4"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Ak bol identifikovaný </w:t>
      </w:r>
      <w:proofErr w:type="spellStart"/>
      <w:r w:rsidRPr="00076DAE">
        <w:rPr>
          <w:rFonts w:eastAsia="Calibri"/>
          <w:i/>
          <w:lang w:eastAsia="en-US"/>
        </w:rPr>
        <w:t>goldplating</w:t>
      </w:r>
      <w:proofErr w:type="spellEnd"/>
      <w:r w:rsidRPr="00076DAE">
        <w:rPr>
          <w:rFonts w:eastAsia="Calibri"/>
          <w:i/>
          <w:lang w:eastAsia="en-US"/>
        </w:rPr>
        <w:t>, prispieva k zníženiu konkurencieschopnosti a produktivity? Akým spôsobom?</w:t>
      </w:r>
    </w:p>
    <w:p w14:paraId="19CD09D4"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iCs/>
          <w:lang w:eastAsia="en-US"/>
        </w:rPr>
        <w:t>Ako prispieva zmena regulácie k cieľu Slovenska mať najlepšie podnikateľské prostredie spomedzi susediacich krajín EÚ?</w:t>
      </w:r>
    </w:p>
    <w:p w14:paraId="69FECC40" w14:textId="77777777" w:rsidR="00076DAE" w:rsidRPr="00076DAE" w:rsidRDefault="00076DAE" w:rsidP="00076DAE">
      <w:pPr>
        <w:widowControl/>
        <w:adjustRightInd/>
        <w:spacing w:line="259" w:lineRule="auto"/>
        <w:jc w:val="both"/>
        <w:rPr>
          <w:rFonts w:eastAsia="Calibri"/>
          <w:i/>
          <w:lang w:eastAsia="en-US"/>
        </w:rPr>
      </w:pPr>
    </w:p>
    <w:p w14:paraId="6EEEA2F7" w14:textId="77777777" w:rsidR="00076DAE" w:rsidRPr="00076DAE" w:rsidRDefault="00076DAE" w:rsidP="00076DAE">
      <w:pPr>
        <w:widowControl/>
        <w:adjustRightInd/>
        <w:spacing w:line="259" w:lineRule="auto"/>
        <w:jc w:val="both"/>
        <w:rPr>
          <w:rFonts w:eastAsia="Calibri"/>
          <w:b/>
          <w:i/>
          <w:lang w:eastAsia="en-US"/>
        </w:rPr>
      </w:pPr>
      <w:r w:rsidRPr="00076DAE">
        <w:rPr>
          <w:rFonts w:eastAsia="Calibri"/>
          <w:b/>
          <w:i/>
          <w:lang w:eastAsia="en-US"/>
        </w:rPr>
        <w:t>Konkurencieschopnosť:</w:t>
      </w:r>
    </w:p>
    <w:p w14:paraId="53EED743"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Na základe uvedených odpovedí zaškrtnite a popíšte, či materiál konkurencieschopnosť:</w:t>
      </w:r>
    </w:p>
    <w:p w14:paraId="0CC51729" w14:textId="77777777" w:rsidR="00076DAE" w:rsidRPr="00076DAE" w:rsidRDefault="0093572E" w:rsidP="00076DAE">
      <w:pPr>
        <w:widowControl/>
        <w:adjustRightInd/>
        <w:spacing w:line="259" w:lineRule="auto"/>
        <w:jc w:val="both"/>
        <w:rPr>
          <w:rFonts w:eastAsia="Calibri"/>
          <w:i/>
          <w:lang w:eastAsia="en-US"/>
        </w:rPr>
      </w:pPr>
      <w:sdt>
        <w:sdtPr>
          <w:rPr>
            <w:rFonts w:eastAsia="Calibri"/>
            <w:i/>
            <w:lang w:eastAsia="en-US"/>
          </w:rPr>
          <w:id w:val="798576880"/>
        </w:sdtPr>
        <w:sdtContent>
          <w:sdt>
            <w:sdtPr>
              <w:rPr>
                <w:rFonts w:eastAsia="Calibri"/>
                <w:i/>
                <w:lang w:eastAsia="en-US"/>
              </w:rPr>
              <w:id w:val="1729873660"/>
            </w:sdtPr>
            <w:sdtContent>
              <w:sdt>
                <w:sdtPr>
                  <w:rPr>
                    <w:rFonts w:eastAsia="Calibri"/>
                    <w:i/>
                    <w:lang w:eastAsia="en-US"/>
                  </w:rPr>
                  <w:id w:val="-1396664922"/>
                  <w14:checkbox>
                    <w14:checked w14:val="1"/>
                    <w14:checkedState w14:val="2612" w14:font="MS Gothic"/>
                    <w14:uncheckedState w14:val="2610" w14:font="MS Gothic"/>
                  </w14:checkbox>
                </w:sdtPr>
                <w:sdtContent>
                  <w:r w:rsidR="00076DAE" w:rsidRPr="00076DAE">
                    <w:rPr>
                      <w:rFonts w:ascii="Segoe UI Symbol" w:eastAsia="Calibri" w:hAnsi="Segoe UI Symbol" w:cs="Segoe UI Symbol"/>
                      <w:i/>
                      <w:lang w:eastAsia="en-US"/>
                    </w:rPr>
                    <w:t>☒</w:t>
                  </w:r>
                </w:sdtContent>
              </w:sdt>
              <w:r w:rsidR="00076DAE" w:rsidRPr="00076DAE">
                <w:rPr>
                  <w:rFonts w:eastAsia="Calibri"/>
                  <w:i/>
                  <w:lang w:eastAsia="en-US"/>
                </w:rPr>
                <w:t xml:space="preserve"> </w:t>
              </w:r>
            </w:sdtContent>
          </w:sdt>
        </w:sdtContent>
      </w:sdt>
      <w:r w:rsidR="00076DAE" w:rsidRPr="00076DAE">
        <w:rPr>
          <w:rFonts w:eastAsia="Calibri"/>
          <w:i/>
          <w:lang w:eastAsia="en-US"/>
        </w:rPr>
        <w:t xml:space="preserve"> zvyšuje  </w:t>
      </w:r>
      <w:r w:rsidR="00076DAE" w:rsidRPr="00076DAE">
        <w:rPr>
          <w:rFonts w:eastAsia="Calibri"/>
          <w:i/>
          <w:lang w:eastAsia="en-US"/>
        </w:rPr>
        <w:tab/>
      </w:r>
      <w:sdt>
        <w:sdtPr>
          <w:rPr>
            <w:rFonts w:eastAsia="Calibri"/>
            <w:i/>
            <w:lang w:eastAsia="en-US"/>
          </w:rPr>
          <w:id w:val="410579887"/>
        </w:sdtPr>
        <w:sdtContent>
          <w:sdt>
            <w:sdtPr>
              <w:rPr>
                <w:rFonts w:eastAsia="Calibri"/>
                <w:i/>
                <w:lang w:eastAsia="en-US"/>
              </w:rPr>
              <w:id w:val="-80300261"/>
            </w:sdtPr>
            <w:sdtContent>
              <w:r w:rsidR="00076DAE" w:rsidRPr="00076DAE">
                <w:rPr>
                  <w:rFonts w:ascii="Segoe UI Symbol" w:eastAsia="Calibri" w:hAnsi="Segoe UI Symbol" w:cs="Segoe UI Symbol"/>
                  <w:i/>
                  <w:lang w:eastAsia="en-US"/>
                </w:rPr>
                <w:t>☐</w:t>
              </w:r>
            </w:sdtContent>
          </w:sdt>
        </w:sdtContent>
      </w:sdt>
      <w:r w:rsidR="00076DAE" w:rsidRPr="00076DAE">
        <w:rPr>
          <w:rFonts w:eastAsia="Calibri"/>
          <w:i/>
          <w:lang w:eastAsia="en-US"/>
        </w:rPr>
        <w:t xml:space="preserve"> nemení</w:t>
      </w:r>
      <w:r w:rsidR="00076DAE" w:rsidRPr="00076DAE">
        <w:rPr>
          <w:rFonts w:eastAsia="Calibri"/>
          <w:i/>
          <w:lang w:eastAsia="en-US"/>
        </w:rPr>
        <w:tab/>
      </w:r>
      <w:sdt>
        <w:sdtPr>
          <w:rPr>
            <w:rFonts w:eastAsia="Calibri"/>
            <w:i/>
            <w:lang w:eastAsia="en-US"/>
          </w:rPr>
          <w:id w:val="-474604883"/>
        </w:sdtPr>
        <w:sdtContent>
          <w:sdt>
            <w:sdtPr>
              <w:rPr>
                <w:rFonts w:eastAsia="Calibri"/>
                <w:i/>
                <w:lang w:eastAsia="en-US"/>
              </w:rPr>
              <w:id w:val="-1706551548"/>
            </w:sdtPr>
            <w:sdtContent>
              <w:r w:rsidR="00076DAE" w:rsidRPr="00076DAE">
                <w:rPr>
                  <w:rFonts w:ascii="Segoe UI Symbol" w:eastAsia="Calibri" w:hAnsi="Segoe UI Symbol" w:cs="Segoe UI Symbol"/>
                  <w:i/>
                  <w:lang w:eastAsia="en-US"/>
                </w:rPr>
                <w:t>☐</w:t>
              </w:r>
            </w:sdtContent>
          </w:sdt>
        </w:sdtContent>
      </w:sdt>
      <w:r w:rsidR="00076DAE" w:rsidRPr="00076DAE">
        <w:rPr>
          <w:rFonts w:eastAsia="Calibri"/>
          <w:i/>
          <w:lang w:eastAsia="en-US"/>
        </w:rPr>
        <w:t xml:space="preserve"> znižuje</w:t>
      </w:r>
    </w:p>
    <w:p w14:paraId="00163001" w14:textId="77777777" w:rsidR="00076DAE" w:rsidRPr="00076DAE" w:rsidRDefault="00076DAE" w:rsidP="00076DAE">
      <w:pPr>
        <w:jc w:val="both"/>
        <w:rPr>
          <w:sz w:val="22"/>
          <w:szCs w:val="22"/>
        </w:rPr>
      </w:pPr>
    </w:p>
    <w:p w14:paraId="6E3C3B00" w14:textId="77777777" w:rsidR="00076DAE" w:rsidRPr="00076DAE" w:rsidRDefault="00076DAE" w:rsidP="00076DAE">
      <w:pPr>
        <w:jc w:val="both"/>
        <w:rPr>
          <w:color w:val="000000"/>
          <w:sz w:val="22"/>
          <w:szCs w:val="22"/>
        </w:rPr>
      </w:pPr>
      <w:r w:rsidRPr="00076DAE">
        <w:rPr>
          <w:color w:val="000000"/>
          <w:sz w:val="22"/>
          <w:szCs w:val="22"/>
        </w:rPr>
        <w:t>Navrhuje sa možnosť zníženia úrokovej sadzby raz počas platnosti úverovej zmluvy. Zámerom tejto legislatívnej úpravy zmenou je podporiť podnikateľské prostredie, ktoré je v poslednom období zasiahnuté neustálym zvyšovaním úrokovej sadzby. Možnosťou zníženia úrokovej sadzby počas trvania úverového vzťahu  vytvorí predpoklad zintenzívnenia výstavby nájomných bytov, zariadení sociálnych služieb, ubytovacích domov, internátov, prípadne ich obnovy.</w:t>
      </w:r>
    </w:p>
    <w:p w14:paraId="17B06863" w14:textId="77777777" w:rsidR="00076DAE" w:rsidRPr="00076DAE" w:rsidRDefault="00076DAE" w:rsidP="00076DAE">
      <w:pPr>
        <w:widowControl/>
        <w:adjustRightInd/>
        <w:spacing w:line="259" w:lineRule="auto"/>
        <w:jc w:val="both"/>
        <w:rPr>
          <w:rFonts w:eastAsia="Calibri"/>
          <w:i/>
          <w:color w:val="FF0000"/>
          <w:lang w:eastAsia="en-US"/>
        </w:rPr>
      </w:pPr>
    </w:p>
    <w:p w14:paraId="65A1691E" w14:textId="77777777" w:rsidR="00076DAE" w:rsidRPr="00076DAE" w:rsidRDefault="00076DAE" w:rsidP="00076DAE">
      <w:pPr>
        <w:widowControl/>
        <w:adjustRightInd/>
        <w:spacing w:line="259" w:lineRule="auto"/>
        <w:jc w:val="both"/>
        <w:rPr>
          <w:rFonts w:eastAsia="Calibri"/>
          <w:b/>
          <w:i/>
          <w:lang w:eastAsia="en-US"/>
        </w:rPr>
      </w:pPr>
      <w:r w:rsidRPr="00076DAE">
        <w:rPr>
          <w:rFonts w:eastAsia="Calibri"/>
          <w:b/>
          <w:i/>
          <w:lang w:eastAsia="en-US"/>
        </w:rPr>
        <w:t>Produktivita:</w:t>
      </w:r>
    </w:p>
    <w:p w14:paraId="7C4A84DA"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Aký má materiál vplyv na zmenu pomeru medzi produkciou podnikov a ich nákladmi? </w:t>
      </w:r>
    </w:p>
    <w:p w14:paraId="51D7A10C" w14:textId="77777777" w:rsidR="00076DAE" w:rsidRPr="00076DAE" w:rsidRDefault="00076DAE" w:rsidP="00076DAE">
      <w:pPr>
        <w:widowControl/>
        <w:adjustRightInd/>
        <w:spacing w:line="259" w:lineRule="auto"/>
        <w:jc w:val="both"/>
        <w:rPr>
          <w:rFonts w:eastAsia="Calibri"/>
          <w:i/>
          <w:lang w:eastAsia="en-US"/>
        </w:rPr>
      </w:pPr>
    </w:p>
    <w:p w14:paraId="584A1AF5"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Na základe uvedenej odpovede zaškrtnite a popíšte, či materiál produktivitu:</w:t>
      </w:r>
    </w:p>
    <w:p w14:paraId="2DF8FB6D" w14:textId="77777777" w:rsidR="00076DAE" w:rsidRPr="00076DAE" w:rsidRDefault="0093572E" w:rsidP="00076DAE">
      <w:pPr>
        <w:widowControl/>
        <w:adjustRightInd/>
        <w:spacing w:line="259" w:lineRule="auto"/>
        <w:jc w:val="both"/>
        <w:rPr>
          <w:rFonts w:eastAsia="Calibri"/>
          <w:i/>
          <w:lang w:eastAsia="en-US"/>
        </w:rPr>
      </w:pPr>
      <w:sdt>
        <w:sdtPr>
          <w:rPr>
            <w:rFonts w:eastAsia="Calibri"/>
            <w:i/>
            <w:lang w:eastAsia="en-US"/>
          </w:rPr>
          <w:id w:val="-1545903528"/>
        </w:sdtPr>
        <w:sdtContent>
          <w:sdt>
            <w:sdtPr>
              <w:rPr>
                <w:rFonts w:eastAsia="Calibri"/>
                <w:i/>
                <w:lang w:eastAsia="en-US"/>
              </w:rPr>
              <w:id w:val="825715010"/>
            </w:sdtPr>
            <w:sdtContent>
              <w:r w:rsidR="00076DAE" w:rsidRPr="00076DAE">
                <w:rPr>
                  <w:rFonts w:ascii="Segoe UI Symbol" w:eastAsia="Calibri" w:hAnsi="Segoe UI Symbol" w:cs="Segoe UI Symbol"/>
                  <w:i/>
                  <w:lang w:eastAsia="en-US"/>
                </w:rPr>
                <w:t>☐</w:t>
              </w:r>
            </w:sdtContent>
          </w:sdt>
        </w:sdtContent>
      </w:sdt>
      <w:r w:rsidR="00076DAE" w:rsidRPr="00076DAE">
        <w:rPr>
          <w:rFonts w:eastAsia="Calibri"/>
          <w:i/>
          <w:lang w:eastAsia="en-US"/>
        </w:rPr>
        <w:t xml:space="preserve"> zvyšuje  </w:t>
      </w:r>
      <w:r w:rsidR="00076DAE" w:rsidRPr="00076DAE">
        <w:rPr>
          <w:rFonts w:eastAsia="Calibri"/>
          <w:i/>
          <w:lang w:eastAsia="en-US"/>
        </w:rPr>
        <w:tab/>
      </w:r>
      <w:sdt>
        <w:sdtPr>
          <w:rPr>
            <w:rFonts w:eastAsia="Calibri"/>
            <w:i/>
            <w:lang w:eastAsia="en-US"/>
          </w:rPr>
          <w:id w:val="-353966921"/>
        </w:sdtPr>
        <w:sdtContent>
          <w:sdt>
            <w:sdtPr>
              <w:rPr>
                <w:rFonts w:eastAsia="Calibri"/>
                <w:i/>
                <w:lang w:eastAsia="en-US"/>
              </w:rPr>
              <w:id w:val="-1222205104"/>
            </w:sdtPr>
            <w:sdtContent>
              <w:r w:rsidR="00076DAE" w:rsidRPr="00076DAE">
                <w:rPr>
                  <w:rFonts w:ascii="Segoe UI Symbol" w:eastAsia="Calibri" w:hAnsi="Segoe UI Symbol" w:cs="Segoe UI Symbol"/>
                  <w:i/>
                  <w:lang w:eastAsia="en-US"/>
                </w:rPr>
                <w:t>☐</w:t>
              </w:r>
            </w:sdtContent>
          </w:sdt>
        </w:sdtContent>
      </w:sdt>
      <w:r w:rsidR="00076DAE" w:rsidRPr="00076DAE">
        <w:rPr>
          <w:rFonts w:eastAsia="Calibri"/>
          <w:i/>
          <w:lang w:eastAsia="en-US"/>
        </w:rPr>
        <w:t xml:space="preserve"> nemení</w:t>
      </w:r>
      <w:r w:rsidR="00076DAE" w:rsidRPr="00076DAE">
        <w:rPr>
          <w:rFonts w:eastAsia="Calibri"/>
          <w:i/>
          <w:lang w:eastAsia="en-US"/>
        </w:rPr>
        <w:tab/>
      </w:r>
      <w:sdt>
        <w:sdtPr>
          <w:rPr>
            <w:rFonts w:eastAsia="Calibri"/>
            <w:i/>
            <w:lang w:eastAsia="en-US"/>
          </w:rPr>
          <w:id w:val="-1457723544"/>
        </w:sdtPr>
        <w:sdtContent>
          <w:sdt>
            <w:sdtPr>
              <w:rPr>
                <w:rFonts w:eastAsia="Calibri"/>
                <w:i/>
                <w:lang w:eastAsia="en-US"/>
              </w:rPr>
              <w:id w:val="-623767955"/>
            </w:sdtPr>
            <w:sdtContent>
              <w:r w:rsidR="00076DAE" w:rsidRPr="00076DAE">
                <w:rPr>
                  <w:rFonts w:ascii="Segoe UI Symbol" w:eastAsia="Calibri" w:hAnsi="Segoe UI Symbol" w:cs="Segoe UI Symbol"/>
                  <w:i/>
                  <w:lang w:eastAsia="en-US"/>
                </w:rPr>
                <w:t>☐</w:t>
              </w:r>
            </w:sdtContent>
          </w:sdt>
        </w:sdtContent>
      </w:sdt>
      <w:r w:rsidR="00076DAE" w:rsidRPr="00076DAE">
        <w:rPr>
          <w:rFonts w:eastAsia="Calibri"/>
          <w:i/>
          <w:lang w:eastAsia="en-US"/>
        </w:rPr>
        <w:t xml:space="preserve"> znižuje</w:t>
      </w:r>
    </w:p>
    <w:p w14:paraId="43D256F2" w14:textId="77777777" w:rsidR="00076DAE" w:rsidRPr="00076DAE" w:rsidRDefault="00076DAE" w:rsidP="00076DAE">
      <w:pPr>
        <w:widowControl/>
        <w:adjustRightInd/>
        <w:spacing w:line="259" w:lineRule="auto"/>
        <w:jc w:val="both"/>
        <w:rPr>
          <w:rFonts w:eastAsia="Calibri"/>
          <w:i/>
          <w:lang w:eastAsia="en-US"/>
        </w:rPr>
      </w:pPr>
    </w:p>
    <w:p w14:paraId="6AEEC9CF" w14:textId="77777777" w:rsidR="00076DAE" w:rsidRPr="00076DAE" w:rsidRDefault="00076DAE" w:rsidP="00076DAE">
      <w:pPr>
        <w:widowControl/>
        <w:adjustRightInd/>
        <w:spacing w:after="160" w:line="259" w:lineRule="auto"/>
        <w:jc w:val="both"/>
        <w:rPr>
          <w:rFonts w:eastAsia="Calibri"/>
          <w:b/>
          <w:lang w:eastAsia="en-US"/>
        </w:rPr>
      </w:pPr>
      <w:r w:rsidRPr="00076DAE">
        <w:rPr>
          <w:rFonts w:eastAsia="Calibri"/>
          <w:b/>
          <w:lang w:eastAsia="en-US"/>
        </w:rPr>
        <w:t xml:space="preserve">3.4  Iné vplyvy na podnikateľské prostredie </w:t>
      </w:r>
    </w:p>
    <w:p w14:paraId="65C0EBD4" w14:textId="77777777" w:rsidR="00076DAE" w:rsidRPr="00076DAE" w:rsidRDefault="00076DAE" w:rsidP="00076DAE">
      <w:pPr>
        <w:widowControl/>
        <w:adjustRightInd/>
        <w:spacing w:line="259" w:lineRule="auto"/>
        <w:jc w:val="both"/>
        <w:rPr>
          <w:rFonts w:eastAsia="Calibri"/>
          <w:i/>
          <w:lang w:eastAsia="en-US"/>
        </w:rPr>
      </w:pPr>
      <w:r w:rsidRPr="00076DAE">
        <w:rPr>
          <w:rFonts w:eastAsia="Calibri"/>
          <w:i/>
          <w:lang w:eastAsia="en-US"/>
        </w:rPr>
        <w:t xml:space="preserve">Ak má materiál vplyvy na PP, ktoré nemožno zaradiť do predchádzajúcich častí, či už pozitívne alebo negatívne, tu ich uveďte.  Patria sem: </w:t>
      </w:r>
    </w:p>
    <w:p w14:paraId="352417EE" w14:textId="77777777" w:rsidR="00076DAE" w:rsidRPr="00076DAE" w:rsidRDefault="00076DAE" w:rsidP="00076DAE">
      <w:pPr>
        <w:widowControl/>
        <w:numPr>
          <w:ilvl w:val="0"/>
          <w:numId w:val="2"/>
        </w:numPr>
        <w:adjustRightInd/>
        <w:spacing w:after="160" w:line="254" w:lineRule="auto"/>
        <w:contextualSpacing/>
        <w:jc w:val="both"/>
        <w:rPr>
          <w:rFonts w:eastAsia="Calibri"/>
          <w:i/>
          <w:lang w:eastAsia="en-US"/>
        </w:rPr>
      </w:pPr>
      <w:r w:rsidRPr="00076DAE">
        <w:rPr>
          <w:rFonts w:eastAsia="Calibri"/>
          <w:i/>
          <w:lang w:eastAsia="en-US"/>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4B6DF3A" w14:textId="77777777" w:rsidR="00076DAE" w:rsidRPr="00076DAE" w:rsidRDefault="00076DAE" w:rsidP="00076DAE">
      <w:pPr>
        <w:widowControl/>
        <w:numPr>
          <w:ilvl w:val="0"/>
          <w:numId w:val="2"/>
        </w:numPr>
        <w:adjustRightInd/>
        <w:spacing w:after="160" w:line="254" w:lineRule="auto"/>
        <w:contextualSpacing/>
        <w:jc w:val="both"/>
        <w:rPr>
          <w:rFonts w:eastAsia="Calibri"/>
          <w:i/>
          <w:lang w:eastAsia="en-US"/>
        </w:rPr>
      </w:pPr>
      <w:r w:rsidRPr="00076DAE">
        <w:rPr>
          <w:rFonts w:eastAsia="Calibri"/>
          <w:i/>
          <w:lang w:eastAsia="en-US"/>
        </w:rPr>
        <w:t>regulované ceny podľa zákona č. 18/1996 Z. z. o cenách;</w:t>
      </w:r>
    </w:p>
    <w:p w14:paraId="369E7EC6" w14:textId="77777777" w:rsidR="00076DAE" w:rsidRPr="00076DAE" w:rsidRDefault="00076DAE" w:rsidP="00076DAE">
      <w:pPr>
        <w:widowControl/>
        <w:numPr>
          <w:ilvl w:val="0"/>
          <w:numId w:val="2"/>
        </w:numPr>
        <w:adjustRightInd/>
        <w:spacing w:after="160" w:line="254" w:lineRule="auto"/>
        <w:contextualSpacing/>
        <w:jc w:val="both"/>
        <w:rPr>
          <w:rFonts w:eastAsia="Calibri"/>
          <w:i/>
          <w:lang w:eastAsia="en-US"/>
        </w:rPr>
      </w:pPr>
      <w:r w:rsidRPr="00076DAE">
        <w:rPr>
          <w:rFonts w:eastAsia="Calibri"/>
          <w:i/>
          <w:lang w:eastAsia="en-US"/>
        </w:rPr>
        <w:t>iné vplyvy, ktoré predpokladá materiál, ale nemožno ich zaradiť do častí 3.1 a 3.3.,</w:t>
      </w:r>
    </w:p>
    <w:p w14:paraId="79724F70" w14:textId="77777777" w:rsidR="00076DAE" w:rsidRPr="00076DAE" w:rsidRDefault="00076DAE" w:rsidP="00076DAE">
      <w:pPr>
        <w:widowControl/>
        <w:numPr>
          <w:ilvl w:val="0"/>
          <w:numId w:val="2"/>
        </w:numPr>
        <w:adjustRightInd/>
        <w:spacing w:after="160" w:line="254" w:lineRule="auto"/>
        <w:contextualSpacing/>
        <w:jc w:val="both"/>
        <w:rPr>
          <w:rFonts w:eastAsia="Calibri"/>
          <w:i/>
          <w:lang w:eastAsia="en-US"/>
        </w:rPr>
      </w:pPr>
      <w:r w:rsidRPr="00076DAE">
        <w:rPr>
          <w:rFonts w:eastAsia="Calibri"/>
          <w:i/>
          <w:lang w:eastAsia="en-US"/>
        </w:rPr>
        <w:t xml:space="preserve">iné vplyvy podľa písm. a) až c), ktoré sú </w:t>
      </w:r>
      <w:proofErr w:type="spellStart"/>
      <w:r w:rsidRPr="00076DAE">
        <w:rPr>
          <w:rFonts w:eastAsia="Calibri"/>
          <w:i/>
          <w:lang w:eastAsia="en-US"/>
        </w:rPr>
        <w:t>goldplatingom</w:t>
      </w:r>
      <w:proofErr w:type="spellEnd"/>
      <w:r w:rsidRPr="00076DAE">
        <w:rPr>
          <w:rFonts w:eastAsia="Calibri"/>
          <w:i/>
          <w:lang w:eastAsia="en-US"/>
        </w:rPr>
        <w:t>.</w:t>
      </w:r>
    </w:p>
    <w:p w14:paraId="315E6FE7" w14:textId="77777777" w:rsidR="00076DAE" w:rsidRPr="00076DAE" w:rsidRDefault="00076DAE" w:rsidP="00076DAE">
      <w:pPr>
        <w:widowControl/>
        <w:adjustRightInd/>
        <w:spacing w:before="120" w:line="259" w:lineRule="auto"/>
        <w:jc w:val="both"/>
        <w:rPr>
          <w:rFonts w:eastAsia="Calibri"/>
          <w:color w:val="000000"/>
          <w:lang w:eastAsia="en-US"/>
        </w:rPr>
      </w:pPr>
      <w:r w:rsidRPr="00076DAE">
        <w:rPr>
          <w:rFonts w:eastAsia="Calibri"/>
          <w:color w:val="000000"/>
          <w:lang w:eastAsia="en-US"/>
        </w:rPr>
        <w:t xml:space="preserve">Pre podporu (úver) poskytovanú Štátnym fondom rozvoja bývania platia špecifické podmienky upravené v zákone č. 150/2013 Z. z. o Štátnom fonde rozvoja bývania v znení neskorších predpisov a vykonávacej vyhlášky č. 284/2013 Z. z. </w:t>
      </w:r>
      <w:r w:rsidRPr="00076DAE">
        <w:rPr>
          <w:rFonts w:eastAsia="Calibri"/>
          <w:bCs/>
          <w:lang w:val="sq-AL"/>
        </w:rPr>
        <w:t xml:space="preserve">o podrobnostiach </w:t>
      </w:r>
      <w:r w:rsidRPr="00076DAE">
        <w:rPr>
          <w:rFonts w:eastAsia="Calibri"/>
          <w:bCs/>
          <w:lang w:val="ru-RU"/>
        </w:rPr>
        <w:t>o výške poskytovanej podpory zo Štátneho fondu rozvoja bývania, o všeobecných podmienkach poskytnutia podpory a o obsahu žiadosti v znení neskorších predpisov</w:t>
      </w:r>
      <w:r w:rsidRPr="00076DAE">
        <w:rPr>
          <w:rFonts w:eastAsia="Calibri"/>
          <w:bCs/>
        </w:rPr>
        <w:t xml:space="preserve"> (ďalej len „vyhláška“).</w:t>
      </w:r>
      <w:r w:rsidRPr="00076DAE">
        <w:rPr>
          <w:rFonts w:eastAsia="Calibri"/>
          <w:color w:val="000000"/>
          <w:lang w:eastAsia="en-US"/>
        </w:rPr>
        <w:t xml:space="preserve"> Iné právnické osoby môžu získať podporu na obstaranie nájomných bytov, obstaranie zariadení sociálnych služieb a obstaranie ubytovacích domov. Využívanie týchto možností  podpory je zo strany iných právnických osôb nižšie oproti využívaniu týchto možností obcami. </w:t>
      </w:r>
    </w:p>
    <w:p w14:paraId="0EF7C045" w14:textId="77777777" w:rsidR="00076DAE" w:rsidRPr="00076DAE" w:rsidRDefault="00076DAE" w:rsidP="00076DAE">
      <w:pPr>
        <w:widowControl/>
        <w:adjustRightInd/>
        <w:spacing w:after="160" w:line="259" w:lineRule="auto"/>
        <w:jc w:val="both"/>
        <w:rPr>
          <w:bCs/>
        </w:rPr>
      </w:pPr>
      <w:r w:rsidRPr="00076DAE">
        <w:rPr>
          <w:bCs/>
        </w:rPr>
        <w:t>Podľa vyhlášky účinnej v súčasnosti (účinnosť od 1. 4. 2023) sa výška ročnej úrokovej sadzby pri úveroch zo Štátneho fondu rozvoja bývania poskytovaných právnickým osobám určuje po zohľadnení podmienok v oblasti poskytovania štátnej pomoci a minimálnej pomoci (</w:t>
      </w:r>
      <w:proofErr w:type="spellStart"/>
      <w:r w:rsidRPr="00076DAE">
        <w:rPr>
          <w:bCs/>
        </w:rPr>
        <w:t>t.j</w:t>
      </w:r>
      <w:proofErr w:type="spellEnd"/>
      <w:r w:rsidRPr="00076DAE">
        <w:rPr>
          <w:bCs/>
        </w:rPr>
        <w:t xml:space="preserve">. základná sadzba pre výpočet referenčnej a diskontnej sadzby + riziková prirážka = 4,11% + 0,7 % = 4,81%). Okrem úveru poskytnutého na obstaranie alebo obnovu zariadenia sociálnych služieb zohľadňujúceho lokálny charakter, pri ktorom je výška úrokovej sadzby 1 % aj pre žiadateľa – inú právnickú osobu. </w:t>
      </w:r>
    </w:p>
    <w:p w14:paraId="5197D841" w14:textId="77777777" w:rsidR="00076DAE" w:rsidRPr="00076DAE" w:rsidRDefault="00076DAE" w:rsidP="00076DAE">
      <w:pPr>
        <w:jc w:val="both"/>
      </w:pPr>
      <w:r w:rsidRPr="00076DAE">
        <w:t>Navrhovanou úpravou sa zavádza sa možnosť zníženia úrokovej sadzby úveru poskytnutého žiadateľovi – inej právnickej osobe raz počas platnosti úverovej zmluvy. Zámerom navrhovanej legislatívnej zmeny je podporiť podnikateľské prostredie možnosťou zníženia úrokovej sadzby počas trvania úverového vzťahu. Táto možnosť vytvorí predpoklad zintenzívnenia výstavby nájomných bytov, zariadení sociálnych služieb, ubytovacích domov, prípadne ich obnovy.</w:t>
      </w:r>
    </w:p>
    <w:p w14:paraId="49501080" w14:textId="77777777" w:rsidR="00076DAE" w:rsidRPr="00076DAE" w:rsidRDefault="00076DAE" w:rsidP="00076DAE">
      <w:pPr>
        <w:widowControl/>
        <w:adjustRightInd/>
        <w:spacing w:after="160" w:line="259" w:lineRule="auto"/>
        <w:jc w:val="both"/>
      </w:pPr>
    </w:p>
    <w:p w14:paraId="1F95E501" w14:textId="77777777" w:rsidR="00076DAE" w:rsidRPr="00076DAE" w:rsidRDefault="00076DAE" w:rsidP="00076DAE">
      <w:pPr>
        <w:widowControl/>
        <w:adjustRightInd/>
        <w:spacing w:after="160" w:line="259" w:lineRule="auto"/>
        <w:jc w:val="both"/>
        <w:rPr>
          <w:rFonts w:eastAsia="Calibri"/>
        </w:rPr>
      </w:pPr>
      <w:r w:rsidRPr="00076DAE">
        <w:t>Prehľad počtu žiadostí a za ostatné tri roky je uvedený v nasledujúcich tabuľkách.</w:t>
      </w:r>
    </w:p>
    <w:tbl>
      <w:tblPr>
        <w:tblStyle w:val="Mriekatabuky2"/>
        <w:tblW w:w="0" w:type="auto"/>
        <w:tblLook w:val="04A0" w:firstRow="1" w:lastRow="0" w:firstColumn="1" w:lastColumn="0" w:noHBand="0" w:noVBand="1"/>
      </w:tblPr>
      <w:tblGrid>
        <w:gridCol w:w="3020"/>
        <w:gridCol w:w="3021"/>
        <w:gridCol w:w="3021"/>
      </w:tblGrid>
      <w:tr w:rsidR="00076DAE" w:rsidRPr="00076DAE" w14:paraId="72431C15" w14:textId="77777777" w:rsidTr="0093572E">
        <w:tc>
          <w:tcPr>
            <w:tcW w:w="3020" w:type="dxa"/>
            <w:tcBorders>
              <w:top w:val="single" w:sz="12" w:space="0" w:color="auto"/>
              <w:left w:val="single" w:sz="12" w:space="0" w:color="auto"/>
              <w:bottom w:val="single" w:sz="12" w:space="0" w:color="auto"/>
              <w:right w:val="single" w:sz="12" w:space="0" w:color="auto"/>
            </w:tcBorders>
          </w:tcPr>
          <w:p w14:paraId="547F1D6C" w14:textId="77777777" w:rsidR="00076DAE" w:rsidRPr="00076DAE" w:rsidRDefault="00076DAE" w:rsidP="00076DAE">
            <w:pPr>
              <w:widowControl/>
              <w:adjustRightInd/>
              <w:spacing w:after="160" w:line="259" w:lineRule="auto"/>
              <w:rPr>
                <w:b/>
                <w:bCs/>
                <w:sz w:val="22"/>
                <w:szCs w:val="22"/>
              </w:rPr>
            </w:pPr>
            <w:r w:rsidRPr="00076DAE">
              <w:rPr>
                <w:b/>
                <w:bCs/>
                <w:sz w:val="22"/>
                <w:szCs w:val="22"/>
              </w:rPr>
              <w:t>Počty žiadostí za 2022</w:t>
            </w:r>
          </w:p>
        </w:tc>
        <w:tc>
          <w:tcPr>
            <w:tcW w:w="3021" w:type="dxa"/>
            <w:tcBorders>
              <w:top w:val="single" w:sz="12" w:space="0" w:color="auto"/>
              <w:left w:val="single" w:sz="12" w:space="0" w:color="auto"/>
              <w:bottom w:val="single" w:sz="12" w:space="0" w:color="auto"/>
            </w:tcBorders>
          </w:tcPr>
          <w:p w14:paraId="2B988BB5"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Iné právnické osoby</w:t>
            </w:r>
          </w:p>
        </w:tc>
        <w:tc>
          <w:tcPr>
            <w:tcW w:w="3021" w:type="dxa"/>
            <w:tcBorders>
              <w:top w:val="single" w:sz="12" w:space="0" w:color="auto"/>
              <w:bottom w:val="single" w:sz="12" w:space="0" w:color="auto"/>
              <w:right w:val="single" w:sz="12" w:space="0" w:color="auto"/>
            </w:tcBorders>
          </w:tcPr>
          <w:p w14:paraId="16345F92"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obce</w:t>
            </w:r>
          </w:p>
        </w:tc>
      </w:tr>
      <w:tr w:rsidR="00076DAE" w:rsidRPr="00076DAE" w14:paraId="7CAA5902" w14:textId="77777777" w:rsidTr="0093572E">
        <w:tc>
          <w:tcPr>
            <w:tcW w:w="3020" w:type="dxa"/>
            <w:tcBorders>
              <w:top w:val="single" w:sz="12" w:space="0" w:color="auto"/>
              <w:left w:val="single" w:sz="12" w:space="0" w:color="auto"/>
              <w:right w:val="single" w:sz="12" w:space="0" w:color="auto"/>
            </w:tcBorders>
          </w:tcPr>
          <w:p w14:paraId="13994CBD" w14:textId="77777777" w:rsidR="00076DAE" w:rsidRPr="00076DAE" w:rsidRDefault="00076DAE" w:rsidP="00076DAE">
            <w:pPr>
              <w:widowControl/>
              <w:adjustRightInd/>
              <w:spacing w:after="160" w:line="259" w:lineRule="auto"/>
              <w:rPr>
                <w:bCs/>
                <w:sz w:val="22"/>
                <w:szCs w:val="22"/>
              </w:rPr>
            </w:pPr>
            <w:r w:rsidRPr="00076DAE">
              <w:rPr>
                <w:bCs/>
                <w:sz w:val="22"/>
                <w:szCs w:val="22"/>
              </w:rPr>
              <w:t>Žiadosti o poskytnutie podpory na obstaranie nájomných bytov</w:t>
            </w:r>
          </w:p>
        </w:tc>
        <w:tc>
          <w:tcPr>
            <w:tcW w:w="3021" w:type="dxa"/>
            <w:tcBorders>
              <w:top w:val="single" w:sz="12" w:space="0" w:color="auto"/>
              <w:left w:val="single" w:sz="12" w:space="0" w:color="auto"/>
            </w:tcBorders>
            <w:vAlign w:val="center"/>
          </w:tcPr>
          <w:p w14:paraId="7B21B2EB"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13</w:t>
            </w:r>
          </w:p>
        </w:tc>
        <w:tc>
          <w:tcPr>
            <w:tcW w:w="3021" w:type="dxa"/>
            <w:tcBorders>
              <w:top w:val="single" w:sz="12" w:space="0" w:color="auto"/>
              <w:right w:val="single" w:sz="12" w:space="0" w:color="auto"/>
            </w:tcBorders>
            <w:vAlign w:val="center"/>
          </w:tcPr>
          <w:p w14:paraId="56D9CD6B"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44</w:t>
            </w:r>
          </w:p>
        </w:tc>
      </w:tr>
      <w:tr w:rsidR="00076DAE" w:rsidRPr="00076DAE" w14:paraId="41FDF2EE" w14:textId="77777777" w:rsidTr="0093572E">
        <w:tc>
          <w:tcPr>
            <w:tcW w:w="3020" w:type="dxa"/>
            <w:tcBorders>
              <w:left w:val="single" w:sz="12" w:space="0" w:color="auto"/>
              <w:right w:val="single" w:sz="12" w:space="0" w:color="auto"/>
            </w:tcBorders>
          </w:tcPr>
          <w:p w14:paraId="2E25AB72" w14:textId="77777777" w:rsidR="00076DAE" w:rsidRPr="00076DAE" w:rsidRDefault="00076DAE" w:rsidP="00076DAE">
            <w:pPr>
              <w:widowControl/>
              <w:adjustRightInd/>
              <w:spacing w:after="160" w:line="259" w:lineRule="auto"/>
              <w:rPr>
                <w:bCs/>
                <w:sz w:val="22"/>
                <w:szCs w:val="22"/>
              </w:rPr>
            </w:pPr>
            <w:r w:rsidRPr="00076DAE">
              <w:rPr>
                <w:bCs/>
                <w:sz w:val="22"/>
                <w:szCs w:val="22"/>
              </w:rPr>
              <w:t>Žiadosti o poskytnutie podpory na obstaranie zariadenia sociálnych služieb</w:t>
            </w:r>
          </w:p>
        </w:tc>
        <w:tc>
          <w:tcPr>
            <w:tcW w:w="3021" w:type="dxa"/>
            <w:tcBorders>
              <w:left w:val="single" w:sz="12" w:space="0" w:color="auto"/>
            </w:tcBorders>
            <w:vAlign w:val="center"/>
          </w:tcPr>
          <w:p w14:paraId="762F08DB"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8</w:t>
            </w:r>
          </w:p>
        </w:tc>
        <w:tc>
          <w:tcPr>
            <w:tcW w:w="3021" w:type="dxa"/>
            <w:tcBorders>
              <w:right w:val="single" w:sz="12" w:space="0" w:color="auto"/>
            </w:tcBorders>
            <w:vAlign w:val="center"/>
          </w:tcPr>
          <w:p w14:paraId="0573AE9A"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8</w:t>
            </w:r>
          </w:p>
        </w:tc>
      </w:tr>
      <w:tr w:rsidR="00076DAE" w:rsidRPr="00076DAE" w14:paraId="1530E037" w14:textId="77777777" w:rsidTr="0093572E">
        <w:tc>
          <w:tcPr>
            <w:tcW w:w="3020" w:type="dxa"/>
            <w:tcBorders>
              <w:left w:val="single" w:sz="12" w:space="0" w:color="auto"/>
              <w:bottom w:val="single" w:sz="12" w:space="0" w:color="auto"/>
              <w:right w:val="single" w:sz="12" w:space="0" w:color="auto"/>
            </w:tcBorders>
          </w:tcPr>
          <w:p w14:paraId="465D7C03" w14:textId="77777777" w:rsidR="00076DAE" w:rsidRPr="00076DAE" w:rsidRDefault="00076DAE" w:rsidP="00076DAE">
            <w:pPr>
              <w:widowControl/>
              <w:adjustRightInd/>
              <w:spacing w:after="160" w:line="259" w:lineRule="auto"/>
              <w:rPr>
                <w:bCs/>
                <w:sz w:val="22"/>
                <w:szCs w:val="22"/>
              </w:rPr>
            </w:pPr>
            <w:r w:rsidRPr="00076DAE">
              <w:rPr>
                <w:bCs/>
                <w:sz w:val="22"/>
                <w:szCs w:val="22"/>
              </w:rPr>
              <w:t>Žiadosti na obstaranie ubytovacieho domu</w:t>
            </w:r>
          </w:p>
        </w:tc>
        <w:tc>
          <w:tcPr>
            <w:tcW w:w="3021" w:type="dxa"/>
            <w:tcBorders>
              <w:left w:val="single" w:sz="12" w:space="0" w:color="auto"/>
              <w:bottom w:val="single" w:sz="12" w:space="0" w:color="auto"/>
            </w:tcBorders>
            <w:vAlign w:val="center"/>
          </w:tcPr>
          <w:p w14:paraId="0B6B59FB"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3</w:t>
            </w:r>
          </w:p>
        </w:tc>
        <w:tc>
          <w:tcPr>
            <w:tcW w:w="3021" w:type="dxa"/>
            <w:tcBorders>
              <w:bottom w:val="single" w:sz="12" w:space="0" w:color="auto"/>
              <w:right w:val="single" w:sz="12" w:space="0" w:color="auto"/>
            </w:tcBorders>
            <w:vAlign w:val="center"/>
          </w:tcPr>
          <w:p w14:paraId="3067B253"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r>
    </w:tbl>
    <w:p w14:paraId="0F164B17" w14:textId="77777777" w:rsidR="00076DAE" w:rsidRPr="00076DAE" w:rsidRDefault="00076DAE" w:rsidP="00076DAE">
      <w:pPr>
        <w:widowControl/>
        <w:adjustRightInd/>
        <w:spacing w:after="160" w:line="259" w:lineRule="auto"/>
        <w:jc w:val="both"/>
        <w:rPr>
          <w:bCs/>
          <w:sz w:val="22"/>
          <w:szCs w:val="22"/>
        </w:rPr>
      </w:pPr>
    </w:p>
    <w:tbl>
      <w:tblPr>
        <w:tblStyle w:val="Mriekatabuky2"/>
        <w:tblW w:w="0" w:type="auto"/>
        <w:tblLook w:val="04A0" w:firstRow="1" w:lastRow="0" w:firstColumn="1" w:lastColumn="0" w:noHBand="0" w:noVBand="1"/>
      </w:tblPr>
      <w:tblGrid>
        <w:gridCol w:w="3014"/>
        <w:gridCol w:w="3015"/>
        <w:gridCol w:w="3013"/>
      </w:tblGrid>
      <w:tr w:rsidR="00076DAE" w:rsidRPr="00076DAE" w14:paraId="1A0B5FDB" w14:textId="77777777" w:rsidTr="0093572E">
        <w:tc>
          <w:tcPr>
            <w:tcW w:w="3014" w:type="dxa"/>
            <w:tcBorders>
              <w:top w:val="single" w:sz="12" w:space="0" w:color="auto"/>
              <w:left w:val="single" w:sz="12" w:space="0" w:color="auto"/>
              <w:bottom w:val="single" w:sz="12" w:space="0" w:color="auto"/>
              <w:right w:val="single" w:sz="12" w:space="0" w:color="auto"/>
            </w:tcBorders>
          </w:tcPr>
          <w:p w14:paraId="654B722B" w14:textId="77777777" w:rsidR="00076DAE" w:rsidRPr="00076DAE" w:rsidRDefault="00076DAE" w:rsidP="00076DAE">
            <w:pPr>
              <w:widowControl/>
              <w:adjustRightInd/>
              <w:spacing w:after="160" w:line="259" w:lineRule="auto"/>
              <w:rPr>
                <w:b/>
                <w:bCs/>
                <w:sz w:val="22"/>
                <w:szCs w:val="22"/>
              </w:rPr>
            </w:pPr>
            <w:bookmarkStart w:id="1" w:name="_Hlk183970517"/>
            <w:r w:rsidRPr="00076DAE">
              <w:rPr>
                <w:b/>
                <w:bCs/>
                <w:sz w:val="22"/>
                <w:szCs w:val="22"/>
              </w:rPr>
              <w:t>Počty žiadostí za 2023</w:t>
            </w:r>
          </w:p>
        </w:tc>
        <w:tc>
          <w:tcPr>
            <w:tcW w:w="3015" w:type="dxa"/>
            <w:tcBorders>
              <w:top w:val="single" w:sz="12" w:space="0" w:color="auto"/>
              <w:left w:val="single" w:sz="12" w:space="0" w:color="auto"/>
              <w:bottom w:val="single" w:sz="12" w:space="0" w:color="auto"/>
            </w:tcBorders>
          </w:tcPr>
          <w:p w14:paraId="1A67BA09"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Iné právnické osoby</w:t>
            </w:r>
          </w:p>
        </w:tc>
        <w:tc>
          <w:tcPr>
            <w:tcW w:w="3013" w:type="dxa"/>
            <w:tcBorders>
              <w:top w:val="single" w:sz="12" w:space="0" w:color="auto"/>
              <w:bottom w:val="single" w:sz="12" w:space="0" w:color="auto"/>
              <w:right w:val="single" w:sz="12" w:space="0" w:color="auto"/>
            </w:tcBorders>
          </w:tcPr>
          <w:p w14:paraId="185899A7"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obce</w:t>
            </w:r>
          </w:p>
        </w:tc>
      </w:tr>
      <w:tr w:rsidR="00076DAE" w:rsidRPr="00076DAE" w14:paraId="25A36A45" w14:textId="77777777" w:rsidTr="0093572E">
        <w:tc>
          <w:tcPr>
            <w:tcW w:w="3014" w:type="dxa"/>
            <w:tcBorders>
              <w:top w:val="single" w:sz="12" w:space="0" w:color="auto"/>
              <w:left w:val="single" w:sz="12" w:space="0" w:color="auto"/>
              <w:right w:val="single" w:sz="12" w:space="0" w:color="auto"/>
            </w:tcBorders>
          </w:tcPr>
          <w:p w14:paraId="41691346" w14:textId="77777777" w:rsidR="00076DAE" w:rsidRPr="00076DAE" w:rsidRDefault="00076DAE" w:rsidP="00076DAE">
            <w:pPr>
              <w:widowControl/>
              <w:adjustRightInd/>
              <w:spacing w:after="160" w:line="259" w:lineRule="auto"/>
              <w:rPr>
                <w:bCs/>
                <w:sz w:val="22"/>
                <w:szCs w:val="22"/>
              </w:rPr>
            </w:pPr>
            <w:r w:rsidRPr="00076DAE">
              <w:rPr>
                <w:bCs/>
                <w:sz w:val="22"/>
                <w:szCs w:val="22"/>
              </w:rPr>
              <w:t>Žiadosti o poskytnutie podpory na obstaranie nájomných bytov</w:t>
            </w:r>
          </w:p>
        </w:tc>
        <w:tc>
          <w:tcPr>
            <w:tcW w:w="3015" w:type="dxa"/>
            <w:tcBorders>
              <w:top w:val="single" w:sz="12" w:space="0" w:color="auto"/>
              <w:left w:val="single" w:sz="12" w:space="0" w:color="auto"/>
            </w:tcBorders>
            <w:vAlign w:val="center"/>
          </w:tcPr>
          <w:p w14:paraId="77153F8A"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17</w:t>
            </w:r>
          </w:p>
        </w:tc>
        <w:tc>
          <w:tcPr>
            <w:tcW w:w="3013" w:type="dxa"/>
            <w:tcBorders>
              <w:top w:val="single" w:sz="12" w:space="0" w:color="auto"/>
              <w:right w:val="single" w:sz="12" w:space="0" w:color="auto"/>
            </w:tcBorders>
            <w:vAlign w:val="center"/>
          </w:tcPr>
          <w:p w14:paraId="05338C8B"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41</w:t>
            </w:r>
          </w:p>
        </w:tc>
      </w:tr>
      <w:tr w:rsidR="00076DAE" w:rsidRPr="00076DAE" w14:paraId="1858C6FB" w14:textId="77777777" w:rsidTr="0093572E">
        <w:tc>
          <w:tcPr>
            <w:tcW w:w="3014" w:type="dxa"/>
            <w:tcBorders>
              <w:left w:val="single" w:sz="12" w:space="0" w:color="auto"/>
              <w:right w:val="single" w:sz="12" w:space="0" w:color="auto"/>
            </w:tcBorders>
          </w:tcPr>
          <w:p w14:paraId="09308E45" w14:textId="77777777" w:rsidR="00076DAE" w:rsidRPr="00076DAE" w:rsidRDefault="00076DAE" w:rsidP="00076DAE">
            <w:pPr>
              <w:widowControl/>
              <w:adjustRightInd/>
              <w:spacing w:after="160" w:line="259" w:lineRule="auto"/>
              <w:rPr>
                <w:bCs/>
                <w:sz w:val="22"/>
                <w:szCs w:val="22"/>
              </w:rPr>
            </w:pPr>
            <w:r w:rsidRPr="00076DAE">
              <w:rPr>
                <w:bCs/>
                <w:sz w:val="22"/>
                <w:szCs w:val="22"/>
              </w:rPr>
              <w:t>Žiadosti o poskytnutie podpory na obstaranie zariadenia sociálnych služieb</w:t>
            </w:r>
          </w:p>
        </w:tc>
        <w:tc>
          <w:tcPr>
            <w:tcW w:w="3015" w:type="dxa"/>
            <w:tcBorders>
              <w:left w:val="single" w:sz="12" w:space="0" w:color="auto"/>
            </w:tcBorders>
            <w:vAlign w:val="center"/>
          </w:tcPr>
          <w:p w14:paraId="26CE9F32"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w:t>
            </w:r>
          </w:p>
        </w:tc>
        <w:tc>
          <w:tcPr>
            <w:tcW w:w="3013" w:type="dxa"/>
            <w:tcBorders>
              <w:right w:val="single" w:sz="12" w:space="0" w:color="auto"/>
            </w:tcBorders>
            <w:vAlign w:val="center"/>
          </w:tcPr>
          <w:p w14:paraId="5FBE087F"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3</w:t>
            </w:r>
          </w:p>
        </w:tc>
      </w:tr>
      <w:tr w:rsidR="00076DAE" w:rsidRPr="00076DAE" w14:paraId="5D33230A" w14:textId="77777777" w:rsidTr="0093572E">
        <w:tc>
          <w:tcPr>
            <w:tcW w:w="3014" w:type="dxa"/>
            <w:tcBorders>
              <w:left w:val="single" w:sz="12" w:space="0" w:color="auto"/>
              <w:bottom w:val="single" w:sz="12" w:space="0" w:color="auto"/>
              <w:right w:val="single" w:sz="12" w:space="0" w:color="auto"/>
            </w:tcBorders>
          </w:tcPr>
          <w:p w14:paraId="20D652AB" w14:textId="77777777" w:rsidR="00076DAE" w:rsidRPr="00076DAE" w:rsidRDefault="00076DAE" w:rsidP="00076DAE">
            <w:pPr>
              <w:widowControl/>
              <w:adjustRightInd/>
              <w:spacing w:after="160" w:line="259" w:lineRule="auto"/>
              <w:rPr>
                <w:bCs/>
                <w:sz w:val="22"/>
                <w:szCs w:val="22"/>
              </w:rPr>
            </w:pPr>
            <w:r w:rsidRPr="00076DAE">
              <w:rPr>
                <w:bCs/>
                <w:sz w:val="22"/>
                <w:szCs w:val="22"/>
              </w:rPr>
              <w:t>Žiadosti na obstaranie ubytovacieho domu</w:t>
            </w:r>
          </w:p>
        </w:tc>
        <w:tc>
          <w:tcPr>
            <w:tcW w:w="3015" w:type="dxa"/>
            <w:tcBorders>
              <w:left w:val="single" w:sz="12" w:space="0" w:color="auto"/>
              <w:bottom w:val="single" w:sz="12" w:space="0" w:color="auto"/>
            </w:tcBorders>
            <w:vAlign w:val="center"/>
          </w:tcPr>
          <w:p w14:paraId="592E2889"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4</w:t>
            </w:r>
          </w:p>
        </w:tc>
        <w:tc>
          <w:tcPr>
            <w:tcW w:w="3013" w:type="dxa"/>
            <w:tcBorders>
              <w:bottom w:val="single" w:sz="12" w:space="0" w:color="auto"/>
              <w:right w:val="single" w:sz="12" w:space="0" w:color="auto"/>
            </w:tcBorders>
            <w:vAlign w:val="center"/>
          </w:tcPr>
          <w:p w14:paraId="5AD5F55F"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r>
      <w:bookmarkEnd w:id="1"/>
    </w:tbl>
    <w:p w14:paraId="0DD41532" w14:textId="77777777" w:rsidR="00076DAE" w:rsidRPr="00076DAE" w:rsidRDefault="00076DAE" w:rsidP="00076DAE">
      <w:pPr>
        <w:widowControl/>
        <w:adjustRightInd/>
        <w:spacing w:after="160" w:line="259" w:lineRule="auto"/>
        <w:jc w:val="both"/>
        <w:rPr>
          <w:bCs/>
          <w:sz w:val="22"/>
          <w:szCs w:val="22"/>
        </w:rPr>
      </w:pPr>
    </w:p>
    <w:tbl>
      <w:tblPr>
        <w:tblStyle w:val="Mriekatabuky2"/>
        <w:tblW w:w="0" w:type="auto"/>
        <w:tblLook w:val="04A0" w:firstRow="1" w:lastRow="0" w:firstColumn="1" w:lastColumn="0" w:noHBand="0" w:noVBand="1"/>
      </w:tblPr>
      <w:tblGrid>
        <w:gridCol w:w="3014"/>
        <w:gridCol w:w="3015"/>
        <w:gridCol w:w="3013"/>
      </w:tblGrid>
      <w:tr w:rsidR="00076DAE" w:rsidRPr="00076DAE" w14:paraId="024B70BC" w14:textId="77777777" w:rsidTr="0093572E">
        <w:tc>
          <w:tcPr>
            <w:tcW w:w="3014" w:type="dxa"/>
            <w:tcBorders>
              <w:top w:val="single" w:sz="12" w:space="0" w:color="auto"/>
              <w:left w:val="single" w:sz="12" w:space="0" w:color="auto"/>
              <w:bottom w:val="single" w:sz="12" w:space="0" w:color="auto"/>
              <w:right w:val="single" w:sz="12" w:space="0" w:color="auto"/>
            </w:tcBorders>
          </w:tcPr>
          <w:p w14:paraId="1C3DDB7C" w14:textId="77777777" w:rsidR="00076DAE" w:rsidRPr="00076DAE" w:rsidRDefault="00076DAE" w:rsidP="00076DAE">
            <w:pPr>
              <w:widowControl/>
              <w:adjustRightInd/>
              <w:spacing w:after="160" w:line="259" w:lineRule="auto"/>
              <w:rPr>
                <w:b/>
                <w:bCs/>
                <w:sz w:val="22"/>
                <w:szCs w:val="22"/>
              </w:rPr>
            </w:pPr>
            <w:r w:rsidRPr="00076DAE">
              <w:rPr>
                <w:b/>
                <w:bCs/>
                <w:sz w:val="22"/>
                <w:szCs w:val="22"/>
              </w:rPr>
              <w:t>Počty žiadostí za 2024</w:t>
            </w:r>
          </w:p>
        </w:tc>
        <w:tc>
          <w:tcPr>
            <w:tcW w:w="3015" w:type="dxa"/>
            <w:tcBorders>
              <w:top w:val="single" w:sz="12" w:space="0" w:color="auto"/>
              <w:left w:val="single" w:sz="12" w:space="0" w:color="auto"/>
              <w:bottom w:val="single" w:sz="12" w:space="0" w:color="auto"/>
            </w:tcBorders>
          </w:tcPr>
          <w:p w14:paraId="0C19DFFE" w14:textId="77777777" w:rsidR="00076DAE" w:rsidRPr="00076DAE" w:rsidRDefault="00076DAE" w:rsidP="00076DAE">
            <w:pPr>
              <w:widowControl/>
              <w:adjustRightInd/>
              <w:spacing w:after="160" w:line="259" w:lineRule="auto"/>
              <w:rPr>
                <w:b/>
                <w:bCs/>
                <w:sz w:val="22"/>
                <w:szCs w:val="22"/>
              </w:rPr>
            </w:pPr>
            <w:r w:rsidRPr="00076DAE">
              <w:rPr>
                <w:b/>
                <w:bCs/>
                <w:sz w:val="22"/>
                <w:szCs w:val="22"/>
              </w:rPr>
              <w:t>Iné právnické osoby</w:t>
            </w:r>
          </w:p>
        </w:tc>
        <w:tc>
          <w:tcPr>
            <w:tcW w:w="3013" w:type="dxa"/>
            <w:tcBorders>
              <w:top w:val="single" w:sz="12" w:space="0" w:color="auto"/>
              <w:bottom w:val="single" w:sz="12" w:space="0" w:color="auto"/>
              <w:right w:val="single" w:sz="12" w:space="0" w:color="auto"/>
            </w:tcBorders>
          </w:tcPr>
          <w:p w14:paraId="57B2D2BD" w14:textId="77777777" w:rsidR="00076DAE" w:rsidRPr="00076DAE" w:rsidRDefault="00076DAE" w:rsidP="00076DAE">
            <w:pPr>
              <w:widowControl/>
              <w:adjustRightInd/>
              <w:spacing w:after="160" w:line="259" w:lineRule="auto"/>
              <w:rPr>
                <w:b/>
                <w:bCs/>
                <w:sz w:val="22"/>
                <w:szCs w:val="22"/>
              </w:rPr>
            </w:pPr>
            <w:r w:rsidRPr="00076DAE">
              <w:rPr>
                <w:b/>
                <w:bCs/>
                <w:sz w:val="22"/>
                <w:szCs w:val="22"/>
              </w:rPr>
              <w:t>obce</w:t>
            </w:r>
          </w:p>
        </w:tc>
      </w:tr>
      <w:tr w:rsidR="00076DAE" w:rsidRPr="00076DAE" w14:paraId="71AF3E14" w14:textId="77777777" w:rsidTr="0093572E">
        <w:tc>
          <w:tcPr>
            <w:tcW w:w="3014" w:type="dxa"/>
            <w:tcBorders>
              <w:top w:val="single" w:sz="12" w:space="0" w:color="auto"/>
              <w:left w:val="single" w:sz="12" w:space="0" w:color="auto"/>
              <w:right w:val="single" w:sz="12" w:space="0" w:color="auto"/>
            </w:tcBorders>
          </w:tcPr>
          <w:p w14:paraId="23308822" w14:textId="77777777" w:rsidR="00076DAE" w:rsidRPr="00076DAE" w:rsidRDefault="00076DAE" w:rsidP="00076DAE">
            <w:pPr>
              <w:widowControl/>
              <w:adjustRightInd/>
              <w:spacing w:after="160" w:line="259" w:lineRule="auto"/>
              <w:rPr>
                <w:bCs/>
                <w:sz w:val="22"/>
                <w:szCs w:val="22"/>
              </w:rPr>
            </w:pPr>
            <w:r w:rsidRPr="00076DAE">
              <w:rPr>
                <w:bCs/>
                <w:sz w:val="22"/>
                <w:szCs w:val="22"/>
              </w:rPr>
              <w:t>Žiadosti o poskytnutie podpory na obstaranie nájomných bytov</w:t>
            </w:r>
          </w:p>
        </w:tc>
        <w:tc>
          <w:tcPr>
            <w:tcW w:w="3015" w:type="dxa"/>
            <w:tcBorders>
              <w:top w:val="single" w:sz="12" w:space="0" w:color="auto"/>
              <w:left w:val="single" w:sz="12" w:space="0" w:color="auto"/>
            </w:tcBorders>
            <w:vAlign w:val="center"/>
          </w:tcPr>
          <w:p w14:paraId="17E33DCC"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17</w:t>
            </w:r>
          </w:p>
        </w:tc>
        <w:tc>
          <w:tcPr>
            <w:tcW w:w="3013" w:type="dxa"/>
            <w:tcBorders>
              <w:top w:val="single" w:sz="12" w:space="0" w:color="auto"/>
              <w:right w:val="single" w:sz="12" w:space="0" w:color="auto"/>
            </w:tcBorders>
            <w:vAlign w:val="center"/>
          </w:tcPr>
          <w:p w14:paraId="03C6837E"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47</w:t>
            </w:r>
          </w:p>
        </w:tc>
      </w:tr>
      <w:tr w:rsidR="00076DAE" w:rsidRPr="00076DAE" w14:paraId="3CB048A4" w14:textId="77777777" w:rsidTr="0093572E">
        <w:tc>
          <w:tcPr>
            <w:tcW w:w="3014" w:type="dxa"/>
            <w:tcBorders>
              <w:left w:val="single" w:sz="12" w:space="0" w:color="auto"/>
              <w:right w:val="single" w:sz="12" w:space="0" w:color="auto"/>
            </w:tcBorders>
          </w:tcPr>
          <w:p w14:paraId="6AED8624" w14:textId="77777777" w:rsidR="00076DAE" w:rsidRPr="00076DAE" w:rsidRDefault="00076DAE" w:rsidP="00076DAE">
            <w:pPr>
              <w:widowControl/>
              <w:adjustRightInd/>
              <w:spacing w:after="160" w:line="259" w:lineRule="auto"/>
              <w:rPr>
                <w:bCs/>
                <w:sz w:val="22"/>
                <w:szCs w:val="22"/>
              </w:rPr>
            </w:pPr>
            <w:r w:rsidRPr="00076DAE">
              <w:rPr>
                <w:bCs/>
                <w:sz w:val="22"/>
                <w:szCs w:val="22"/>
              </w:rPr>
              <w:t>Žiadosti o poskytnutie podpory na obstaranie zariadenia sociálnych služieb</w:t>
            </w:r>
          </w:p>
        </w:tc>
        <w:tc>
          <w:tcPr>
            <w:tcW w:w="3015" w:type="dxa"/>
            <w:tcBorders>
              <w:left w:val="single" w:sz="12" w:space="0" w:color="auto"/>
            </w:tcBorders>
            <w:vAlign w:val="center"/>
          </w:tcPr>
          <w:p w14:paraId="353FFD1A"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3</w:t>
            </w:r>
          </w:p>
        </w:tc>
        <w:tc>
          <w:tcPr>
            <w:tcW w:w="3013" w:type="dxa"/>
            <w:tcBorders>
              <w:right w:val="single" w:sz="12" w:space="0" w:color="auto"/>
            </w:tcBorders>
            <w:vAlign w:val="center"/>
          </w:tcPr>
          <w:p w14:paraId="72DDA92E"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4</w:t>
            </w:r>
          </w:p>
        </w:tc>
      </w:tr>
      <w:tr w:rsidR="00076DAE" w:rsidRPr="00076DAE" w14:paraId="52281FDE" w14:textId="77777777" w:rsidTr="0093572E">
        <w:tc>
          <w:tcPr>
            <w:tcW w:w="3014" w:type="dxa"/>
            <w:tcBorders>
              <w:left w:val="single" w:sz="12" w:space="0" w:color="auto"/>
              <w:bottom w:val="single" w:sz="12" w:space="0" w:color="auto"/>
              <w:right w:val="single" w:sz="12" w:space="0" w:color="auto"/>
            </w:tcBorders>
          </w:tcPr>
          <w:p w14:paraId="51DF8A07" w14:textId="77777777" w:rsidR="00076DAE" w:rsidRPr="00076DAE" w:rsidRDefault="00076DAE" w:rsidP="00076DAE">
            <w:pPr>
              <w:widowControl/>
              <w:adjustRightInd/>
              <w:spacing w:after="160" w:line="259" w:lineRule="auto"/>
              <w:rPr>
                <w:bCs/>
                <w:sz w:val="22"/>
                <w:szCs w:val="22"/>
              </w:rPr>
            </w:pPr>
            <w:r w:rsidRPr="00076DAE">
              <w:rPr>
                <w:bCs/>
                <w:sz w:val="22"/>
                <w:szCs w:val="22"/>
              </w:rPr>
              <w:t>Žiadosti na obstaranie ubytovacieho domu</w:t>
            </w:r>
          </w:p>
        </w:tc>
        <w:tc>
          <w:tcPr>
            <w:tcW w:w="3015" w:type="dxa"/>
            <w:tcBorders>
              <w:left w:val="single" w:sz="12" w:space="0" w:color="auto"/>
              <w:bottom w:val="single" w:sz="12" w:space="0" w:color="auto"/>
            </w:tcBorders>
            <w:vAlign w:val="center"/>
          </w:tcPr>
          <w:p w14:paraId="07BF0F34"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w:t>
            </w:r>
          </w:p>
        </w:tc>
        <w:tc>
          <w:tcPr>
            <w:tcW w:w="3013" w:type="dxa"/>
            <w:tcBorders>
              <w:bottom w:val="single" w:sz="12" w:space="0" w:color="auto"/>
              <w:right w:val="single" w:sz="12" w:space="0" w:color="auto"/>
            </w:tcBorders>
            <w:vAlign w:val="center"/>
          </w:tcPr>
          <w:p w14:paraId="47B6FD81"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r>
    </w:tbl>
    <w:p w14:paraId="685B77F7" w14:textId="77777777" w:rsidR="00076DAE" w:rsidRPr="00076DAE" w:rsidRDefault="00076DAE" w:rsidP="00076DAE">
      <w:pPr>
        <w:widowControl/>
        <w:adjustRightInd/>
        <w:spacing w:after="160" w:line="259" w:lineRule="auto"/>
        <w:jc w:val="both"/>
        <w:rPr>
          <w:bCs/>
          <w:sz w:val="22"/>
          <w:szCs w:val="22"/>
        </w:rPr>
      </w:pPr>
    </w:p>
    <w:p w14:paraId="18162349" w14:textId="77777777" w:rsidR="00076DAE" w:rsidRPr="00076DAE" w:rsidRDefault="00076DAE" w:rsidP="00076DAE">
      <w:pPr>
        <w:widowControl/>
        <w:adjustRightInd/>
        <w:spacing w:after="160" w:line="259" w:lineRule="auto"/>
        <w:jc w:val="both"/>
        <w:rPr>
          <w:bCs/>
          <w:sz w:val="22"/>
          <w:szCs w:val="22"/>
        </w:rPr>
      </w:pPr>
      <w:r w:rsidRPr="00076DAE">
        <w:rPr>
          <w:bCs/>
          <w:sz w:val="22"/>
          <w:szCs w:val="22"/>
        </w:rPr>
        <w:t>Prehľad poskytnutej finančnej podpory za ostatné tri roky je uvedený v nasledujúcich tabuľkách.</w:t>
      </w:r>
    </w:p>
    <w:tbl>
      <w:tblPr>
        <w:tblStyle w:val="Mriekatabuky2"/>
        <w:tblW w:w="9057" w:type="dxa"/>
        <w:tblLook w:val="04A0" w:firstRow="1" w:lastRow="0" w:firstColumn="1" w:lastColumn="0" w:noHBand="0" w:noVBand="1"/>
      </w:tblPr>
      <w:tblGrid>
        <w:gridCol w:w="2450"/>
        <w:gridCol w:w="796"/>
        <w:gridCol w:w="2268"/>
        <w:gridCol w:w="992"/>
        <w:gridCol w:w="2551"/>
      </w:tblGrid>
      <w:tr w:rsidR="00076DAE" w:rsidRPr="00076DAE" w14:paraId="41894FAF" w14:textId="77777777" w:rsidTr="0093572E">
        <w:tc>
          <w:tcPr>
            <w:tcW w:w="2450" w:type="dxa"/>
            <w:tcBorders>
              <w:top w:val="single" w:sz="12" w:space="0" w:color="auto"/>
              <w:left w:val="single" w:sz="12" w:space="0" w:color="auto"/>
              <w:bottom w:val="single" w:sz="12" w:space="0" w:color="auto"/>
              <w:right w:val="single" w:sz="12" w:space="0" w:color="auto"/>
            </w:tcBorders>
          </w:tcPr>
          <w:p w14:paraId="24547838" w14:textId="77777777" w:rsidR="00076DAE" w:rsidRPr="00076DAE" w:rsidRDefault="00076DAE" w:rsidP="00076DAE">
            <w:pPr>
              <w:widowControl/>
              <w:adjustRightInd/>
              <w:spacing w:after="160" w:line="259" w:lineRule="auto"/>
              <w:rPr>
                <w:b/>
                <w:bCs/>
                <w:sz w:val="22"/>
                <w:szCs w:val="22"/>
              </w:rPr>
            </w:pPr>
            <w:r w:rsidRPr="00076DAE">
              <w:rPr>
                <w:b/>
                <w:bCs/>
                <w:sz w:val="22"/>
                <w:szCs w:val="22"/>
              </w:rPr>
              <w:t>Výška finančnej podpory za rok 2022 v €</w:t>
            </w:r>
          </w:p>
        </w:tc>
        <w:tc>
          <w:tcPr>
            <w:tcW w:w="796" w:type="dxa"/>
            <w:tcBorders>
              <w:top w:val="single" w:sz="12" w:space="0" w:color="auto"/>
              <w:left w:val="single" w:sz="12" w:space="0" w:color="auto"/>
              <w:bottom w:val="single" w:sz="12" w:space="0" w:color="auto"/>
              <w:right w:val="single" w:sz="6" w:space="0" w:color="auto"/>
            </w:tcBorders>
            <w:vAlign w:val="center"/>
          </w:tcPr>
          <w:p w14:paraId="5794C7DF" w14:textId="77777777" w:rsidR="00076DAE" w:rsidRPr="00076DAE" w:rsidRDefault="00076DAE" w:rsidP="00076DAE">
            <w:pPr>
              <w:widowControl/>
              <w:adjustRightInd/>
              <w:spacing w:after="160" w:line="259" w:lineRule="auto"/>
              <w:rPr>
                <w:b/>
                <w:bCs/>
                <w:sz w:val="22"/>
                <w:szCs w:val="22"/>
              </w:rPr>
            </w:pPr>
            <w:r w:rsidRPr="00076DAE">
              <w:rPr>
                <w:b/>
                <w:bCs/>
                <w:sz w:val="22"/>
                <w:szCs w:val="22"/>
              </w:rPr>
              <w:t>Počet</w:t>
            </w:r>
          </w:p>
          <w:p w14:paraId="01C49374" w14:textId="77777777" w:rsidR="00076DAE" w:rsidRPr="00076DAE" w:rsidRDefault="00076DAE" w:rsidP="00076DAE">
            <w:pPr>
              <w:widowControl/>
              <w:adjustRightInd/>
              <w:spacing w:after="160" w:line="259" w:lineRule="auto"/>
              <w:rPr>
                <w:b/>
                <w:bCs/>
                <w:sz w:val="22"/>
                <w:szCs w:val="22"/>
              </w:rPr>
            </w:pPr>
            <w:r w:rsidRPr="00076DAE">
              <w:rPr>
                <w:b/>
                <w:bCs/>
                <w:sz w:val="22"/>
                <w:szCs w:val="22"/>
              </w:rPr>
              <w:t>zmlúv</w:t>
            </w:r>
          </w:p>
        </w:tc>
        <w:tc>
          <w:tcPr>
            <w:tcW w:w="2268" w:type="dxa"/>
            <w:tcBorders>
              <w:top w:val="single" w:sz="12" w:space="0" w:color="auto"/>
              <w:left w:val="single" w:sz="6" w:space="0" w:color="auto"/>
              <w:bottom w:val="single" w:sz="12" w:space="0" w:color="auto"/>
              <w:right w:val="single" w:sz="12" w:space="0" w:color="auto"/>
            </w:tcBorders>
            <w:vAlign w:val="center"/>
          </w:tcPr>
          <w:p w14:paraId="6D5969A8"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Iné právnické osoby</w:t>
            </w:r>
          </w:p>
        </w:tc>
        <w:tc>
          <w:tcPr>
            <w:tcW w:w="992" w:type="dxa"/>
            <w:tcBorders>
              <w:top w:val="single" w:sz="12" w:space="0" w:color="auto"/>
              <w:left w:val="single" w:sz="12" w:space="0" w:color="auto"/>
              <w:bottom w:val="single" w:sz="12" w:space="0" w:color="auto"/>
              <w:right w:val="single" w:sz="6" w:space="0" w:color="auto"/>
            </w:tcBorders>
            <w:vAlign w:val="center"/>
          </w:tcPr>
          <w:p w14:paraId="1A374BCB"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Počet zmlúv</w:t>
            </w:r>
          </w:p>
        </w:tc>
        <w:tc>
          <w:tcPr>
            <w:tcW w:w="2551" w:type="dxa"/>
            <w:tcBorders>
              <w:top w:val="single" w:sz="12" w:space="0" w:color="auto"/>
              <w:left w:val="single" w:sz="6" w:space="0" w:color="auto"/>
              <w:bottom w:val="single" w:sz="12" w:space="0" w:color="auto"/>
              <w:right w:val="single" w:sz="12" w:space="0" w:color="auto"/>
            </w:tcBorders>
            <w:vAlign w:val="center"/>
          </w:tcPr>
          <w:p w14:paraId="56637B98"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obce</w:t>
            </w:r>
          </w:p>
        </w:tc>
      </w:tr>
      <w:tr w:rsidR="00076DAE" w:rsidRPr="00076DAE" w14:paraId="47AB48F0" w14:textId="77777777" w:rsidTr="0093572E">
        <w:tc>
          <w:tcPr>
            <w:tcW w:w="2450" w:type="dxa"/>
            <w:tcBorders>
              <w:top w:val="single" w:sz="12" w:space="0" w:color="auto"/>
              <w:left w:val="single" w:sz="12" w:space="0" w:color="auto"/>
              <w:right w:val="single" w:sz="12" w:space="0" w:color="auto"/>
            </w:tcBorders>
          </w:tcPr>
          <w:p w14:paraId="4BC2C1C4" w14:textId="77777777" w:rsidR="00076DAE" w:rsidRPr="00076DAE" w:rsidRDefault="00076DAE" w:rsidP="00076DAE">
            <w:pPr>
              <w:widowControl/>
              <w:adjustRightInd/>
              <w:spacing w:after="160" w:line="259" w:lineRule="auto"/>
              <w:rPr>
                <w:bCs/>
                <w:sz w:val="22"/>
                <w:szCs w:val="22"/>
              </w:rPr>
            </w:pPr>
            <w:r w:rsidRPr="00076DAE">
              <w:rPr>
                <w:bCs/>
                <w:sz w:val="22"/>
                <w:szCs w:val="22"/>
              </w:rPr>
              <w:t>Zmluvy o poskytnutí podpory na obstaranie nájomných bytov</w:t>
            </w:r>
          </w:p>
        </w:tc>
        <w:tc>
          <w:tcPr>
            <w:tcW w:w="796" w:type="dxa"/>
            <w:tcBorders>
              <w:top w:val="single" w:sz="12" w:space="0" w:color="auto"/>
              <w:left w:val="single" w:sz="12" w:space="0" w:color="auto"/>
              <w:bottom w:val="single" w:sz="6" w:space="0" w:color="auto"/>
              <w:right w:val="single" w:sz="6" w:space="0" w:color="auto"/>
            </w:tcBorders>
            <w:vAlign w:val="center"/>
          </w:tcPr>
          <w:p w14:paraId="09906A34"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4</w:t>
            </w:r>
          </w:p>
        </w:tc>
        <w:tc>
          <w:tcPr>
            <w:tcW w:w="2268" w:type="dxa"/>
            <w:tcBorders>
              <w:top w:val="single" w:sz="12" w:space="0" w:color="auto"/>
              <w:left w:val="single" w:sz="6" w:space="0" w:color="auto"/>
              <w:bottom w:val="single" w:sz="6" w:space="0" w:color="auto"/>
              <w:right w:val="single" w:sz="12" w:space="0" w:color="auto"/>
            </w:tcBorders>
            <w:vAlign w:val="center"/>
          </w:tcPr>
          <w:p w14:paraId="0446F2E2"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15 750 450</w:t>
            </w:r>
          </w:p>
        </w:tc>
        <w:tc>
          <w:tcPr>
            <w:tcW w:w="992" w:type="dxa"/>
            <w:tcBorders>
              <w:top w:val="single" w:sz="12" w:space="0" w:color="auto"/>
              <w:left w:val="single" w:sz="12" w:space="0" w:color="auto"/>
            </w:tcBorders>
            <w:vAlign w:val="center"/>
          </w:tcPr>
          <w:p w14:paraId="30E07F1A"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36</w:t>
            </w:r>
          </w:p>
        </w:tc>
        <w:tc>
          <w:tcPr>
            <w:tcW w:w="2551" w:type="dxa"/>
            <w:tcBorders>
              <w:top w:val="single" w:sz="12" w:space="0" w:color="auto"/>
              <w:right w:val="single" w:sz="12" w:space="0" w:color="auto"/>
            </w:tcBorders>
            <w:vAlign w:val="center"/>
          </w:tcPr>
          <w:p w14:paraId="2F78C85C"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24 454 970</w:t>
            </w:r>
          </w:p>
        </w:tc>
      </w:tr>
      <w:tr w:rsidR="00076DAE" w:rsidRPr="00076DAE" w14:paraId="6EFF8CFF" w14:textId="77777777" w:rsidTr="0093572E">
        <w:tc>
          <w:tcPr>
            <w:tcW w:w="2450" w:type="dxa"/>
            <w:tcBorders>
              <w:left w:val="single" w:sz="12" w:space="0" w:color="auto"/>
              <w:right w:val="single" w:sz="12" w:space="0" w:color="auto"/>
            </w:tcBorders>
          </w:tcPr>
          <w:p w14:paraId="1119FF06" w14:textId="77777777" w:rsidR="00076DAE" w:rsidRPr="00076DAE" w:rsidRDefault="00076DAE" w:rsidP="00076DAE">
            <w:pPr>
              <w:widowControl/>
              <w:adjustRightInd/>
              <w:spacing w:after="160" w:line="259" w:lineRule="auto"/>
              <w:rPr>
                <w:bCs/>
                <w:sz w:val="22"/>
                <w:szCs w:val="22"/>
              </w:rPr>
            </w:pPr>
            <w:r w:rsidRPr="00076DAE">
              <w:rPr>
                <w:bCs/>
                <w:sz w:val="22"/>
                <w:szCs w:val="22"/>
              </w:rPr>
              <w:t>Zmluvy o poskytnutí podpory na obstaranie zariadenia sociálnych služieb</w:t>
            </w:r>
          </w:p>
        </w:tc>
        <w:tc>
          <w:tcPr>
            <w:tcW w:w="796" w:type="dxa"/>
            <w:tcBorders>
              <w:top w:val="single" w:sz="6" w:space="0" w:color="auto"/>
              <w:left w:val="single" w:sz="12" w:space="0" w:color="auto"/>
              <w:bottom w:val="single" w:sz="6" w:space="0" w:color="auto"/>
              <w:right w:val="single" w:sz="6" w:space="0" w:color="auto"/>
            </w:tcBorders>
            <w:vAlign w:val="center"/>
          </w:tcPr>
          <w:p w14:paraId="2D5948DF"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w:t>
            </w:r>
          </w:p>
        </w:tc>
        <w:tc>
          <w:tcPr>
            <w:tcW w:w="2268" w:type="dxa"/>
            <w:tcBorders>
              <w:top w:val="single" w:sz="6" w:space="0" w:color="auto"/>
              <w:left w:val="single" w:sz="6" w:space="0" w:color="auto"/>
              <w:bottom w:val="single" w:sz="6" w:space="0" w:color="auto"/>
              <w:right w:val="single" w:sz="12" w:space="0" w:color="auto"/>
            </w:tcBorders>
            <w:vAlign w:val="center"/>
          </w:tcPr>
          <w:p w14:paraId="554D559F"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1 864 040</w:t>
            </w:r>
          </w:p>
        </w:tc>
        <w:tc>
          <w:tcPr>
            <w:tcW w:w="992" w:type="dxa"/>
            <w:tcBorders>
              <w:left w:val="single" w:sz="12" w:space="0" w:color="auto"/>
            </w:tcBorders>
            <w:vAlign w:val="center"/>
          </w:tcPr>
          <w:p w14:paraId="12DAA0F6"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7</w:t>
            </w:r>
          </w:p>
        </w:tc>
        <w:tc>
          <w:tcPr>
            <w:tcW w:w="2551" w:type="dxa"/>
            <w:tcBorders>
              <w:right w:val="single" w:sz="12" w:space="0" w:color="auto"/>
            </w:tcBorders>
            <w:vAlign w:val="center"/>
          </w:tcPr>
          <w:p w14:paraId="685DBBEE"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12 228 540</w:t>
            </w:r>
          </w:p>
        </w:tc>
      </w:tr>
      <w:tr w:rsidR="00076DAE" w:rsidRPr="00076DAE" w14:paraId="42E3271D" w14:textId="77777777" w:rsidTr="0093572E">
        <w:tc>
          <w:tcPr>
            <w:tcW w:w="2450" w:type="dxa"/>
            <w:tcBorders>
              <w:left w:val="single" w:sz="12" w:space="0" w:color="auto"/>
              <w:bottom w:val="single" w:sz="12" w:space="0" w:color="auto"/>
              <w:right w:val="single" w:sz="12" w:space="0" w:color="auto"/>
            </w:tcBorders>
          </w:tcPr>
          <w:p w14:paraId="5CD11649" w14:textId="77777777" w:rsidR="00076DAE" w:rsidRPr="00076DAE" w:rsidRDefault="00076DAE" w:rsidP="00076DAE">
            <w:pPr>
              <w:widowControl/>
              <w:adjustRightInd/>
              <w:spacing w:after="160" w:line="259" w:lineRule="auto"/>
              <w:rPr>
                <w:bCs/>
                <w:sz w:val="22"/>
                <w:szCs w:val="22"/>
              </w:rPr>
            </w:pPr>
            <w:r w:rsidRPr="00076DAE">
              <w:rPr>
                <w:bCs/>
                <w:sz w:val="22"/>
                <w:szCs w:val="22"/>
              </w:rPr>
              <w:t>Zmluvy o poskytnutí podpory na obstaranie ubytovacieho domu</w:t>
            </w:r>
          </w:p>
        </w:tc>
        <w:tc>
          <w:tcPr>
            <w:tcW w:w="796" w:type="dxa"/>
            <w:tcBorders>
              <w:top w:val="single" w:sz="6" w:space="0" w:color="auto"/>
              <w:left w:val="single" w:sz="12" w:space="0" w:color="auto"/>
              <w:bottom w:val="single" w:sz="12" w:space="0" w:color="auto"/>
              <w:right w:val="single" w:sz="6" w:space="0" w:color="auto"/>
            </w:tcBorders>
            <w:vAlign w:val="center"/>
          </w:tcPr>
          <w:p w14:paraId="5C50CDE7"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w:t>
            </w:r>
          </w:p>
        </w:tc>
        <w:tc>
          <w:tcPr>
            <w:tcW w:w="2268" w:type="dxa"/>
            <w:tcBorders>
              <w:top w:val="single" w:sz="6" w:space="0" w:color="auto"/>
              <w:left w:val="single" w:sz="6" w:space="0" w:color="auto"/>
              <w:bottom w:val="single" w:sz="12" w:space="0" w:color="auto"/>
              <w:right w:val="single" w:sz="12" w:space="0" w:color="auto"/>
            </w:tcBorders>
            <w:vAlign w:val="center"/>
          </w:tcPr>
          <w:p w14:paraId="22F7F987"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300 200</w:t>
            </w:r>
          </w:p>
        </w:tc>
        <w:tc>
          <w:tcPr>
            <w:tcW w:w="992" w:type="dxa"/>
            <w:tcBorders>
              <w:left w:val="single" w:sz="12" w:space="0" w:color="auto"/>
              <w:bottom w:val="single" w:sz="12" w:space="0" w:color="auto"/>
            </w:tcBorders>
            <w:vAlign w:val="center"/>
          </w:tcPr>
          <w:p w14:paraId="1E2C6505"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c>
          <w:tcPr>
            <w:tcW w:w="2551" w:type="dxa"/>
            <w:tcBorders>
              <w:bottom w:val="single" w:sz="12" w:space="0" w:color="auto"/>
              <w:right w:val="single" w:sz="12" w:space="0" w:color="auto"/>
            </w:tcBorders>
            <w:vAlign w:val="center"/>
          </w:tcPr>
          <w:p w14:paraId="282C3467"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r>
    </w:tbl>
    <w:p w14:paraId="1F605941" w14:textId="77777777" w:rsidR="00076DAE" w:rsidRPr="00076DAE" w:rsidRDefault="00076DAE" w:rsidP="00076DAE">
      <w:pPr>
        <w:widowControl/>
        <w:adjustRightInd/>
        <w:spacing w:after="160" w:line="259" w:lineRule="auto"/>
        <w:jc w:val="both"/>
        <w:rPr>
          <w:bCs/>
          <w:sz w:val="22"/>
          <w:szCs w:val="22"/>
        </w:rPr>
      </w:pPr>
    </w:p>
    <w:p w14:paraId="7303E4DA" w14:textId="77777777" w:rsidR="00076DAE" w:rsidRPr="00076DAE" w:rsidRDefault="00076DAE" w:rsidP="00076DAE">
      <w:pPr>
        <w:widowControl/>
        <w:adjustRightInd/>
        <w:spacing w:after="160" w:line="259" w:lineRule="auto"/>
        <w:jc w:val="both"/>
        <w:rPr>
          <w:bCs/>
          <w:sz w:val="22"/>
          <w:szCs w:val="22"/>
        </w:rPr>
      </w:pPr>
    </w:p>
    <w:tbl>
      <w:tblPr>
        <w:tblStyle w:val="Mriekatabuky2"/>
        <w:tblW w:w="9057" w:type="dxa"/>
        <w:tblLook w:val="04A0" w:firstRow="1" w:lastRow="0" w:firstColumn="1" w:lastColumn="0" w:noHBand="0" w:noVBand="1"/>
      </w:tblPr>
      <w:tblGrid>
        <w:gridCol w:w="2450"/>
        <w:gridCol w:w="796"/>
        <w:gridCol w:w="2268"/>
        <w:gridCol w:w="992"/>
        <w:gridCol w:w="2551"/>
      </w:tblGrid>
      <w:tr w:rsidR="00076DAE" w:rsidRPr="00076DAE" w14:paraId="44EAE8E7" w14:textId="77777777" w:rsidTr="0093572E">
        <w:tc>
          <w:tcPr>
            <w:tcW w:w="2450" w:type="dxa"/>
            <w:tcBorders>
              <w:top w:val="single" w:sz="12" w:space="0" w:color="auto"/>
              <w:left w:val="single" w:sz="12" w:space="0" w:color="auto"/>
              <w:bottom w:val="single" w:sz="12" w:space="0" w:color="auto"/>
              <w:right w:val="single" w:sz="12" w:space="0" w:color="auto"/>
            </w:tcBorders>
          </w:tcPr>
          <w:p w14:paraId="776F66F8" w14:textId="77777777" w:rsidR="00076DAE" w:rsidRPr="00076DAE" w:rsidRDefault="00076DAE" w:rsidP="00076DAE">
            <w:pPr>
              <w:widowControl/>
              <w:adjustRightInd/>
              <w:spacing w:after="160" w:line="259" w:lineRule="auto"/>
              <w:rPr>
                <w:b/>
                <w:bCs/>
                <w:sz w:val="22"/>
                <w:szCs w:val="22"/>
              </w:rPr>
            </w:pPr>
            <w:r w:rsidRPr="00076DAE">
              <w:rPr>
                <w:b/>
                <w:bCs/>
                <w:sz w:val="22"/>
                <w:szCs w:val="22"/>
              </w:rPr>
              <w:lastRenderedPageBreak/>
              <w:t>Výška finančnej podpory za rok 2023 v €</w:t>
            </w:r>
          </w:p>
        </w:tc>
        <w:tc>
          <w:tcPr>
            <w:tcW w:w="796" w:type="dxa"/>
            <w:tcBorders>
              <w:top w:val="single" w:sz="12" w:space="0" w:color="auto"/>
              <w:left w:val="single" w:sz="12" w:space="0" w:color="auto"/>
              <w:bottom w:val="single" w:sz="12" w:space="0" w:color="auto"/>
              <w:right w:val="single" w:sz="6" w:space="0" w:color="auto"/>
            </w:tcBorders>
            <w:vAlign w:val="center"/>
          </w:tcPr>
          <w:p w14:paraId="07CE27F7" w14:textId="77777777" w:rsidR="00076DAE" w:rsidRPr="00076DAE" w:rsidRDefault="00076DAE" w:rsidP="00076DAE">
            <w:pPr>
              <w:widowControl/>
              <w:adjustRightInd/>
              <w:spacing w:after="160" w:line="259" w:lineRule="auto"/>
              <w:rPr>
                <w:b/>
                <w:bCs/>
                <w:sz w:val="22"/>
                <w:szCs w:val="22"/>
              </w:rPr>
            </w:pPr>
            <w:r w:rsidRPr="00076DAE">
              <w:rPr>
                <w:b/>
                <w:bCs/>
                <w:sz w:val="22"/>
                <w:szCs w:val="22"/>
              </w:rPr>
              <w:t>Počet</w:t>
            </w:r>
          </w:p>
          <w:p w14:paraId="0ADFE98E" w14:textId="77777777" w:rsidR="00076DAE" w:rsidRPr="00076DAE" w:rsidRDefault="00076DAE" w:rsidP="00076DAE">
            <w:pPr>
              <w:widowControl/>
              <w:adjustRightInd/>
              <w:spacing w:after="160" w:line="259" w:lineRule="auto"/>
              <w:rPr>
                <w:b/>
                <w:bCs/>
                <w:sz w:val="22"/>
                <w:szCs w:val="22"/>
              </w:rPr>
            </w:pPr>
            <w:r w:rsidRPr="00076DAE">
              <w:rPr>
                <w:b/>
                <w:bCs/>
                <w:sz w:val="22"/>
                <w:szCs w:val="22"/>
              </w:rPr>
              <w:t>zmlúv</w:t>
            </w:r>
          </w:p>
        </w:tc>
        <w:tc>
          <w:tcPr>
            <w:tcW w:w="2268" w:type="dxa"/>
            <w:tcBorders>
              <w:top w:val="single" w:sz="12" w:space="0" w:color="auto"/>
              <w:left w:val="single" w:sz="6" w:space="0" w:color="auto"/>
              <w:bottom w:val="single" w:sz="12" w:space="0" w:color="auto"/>
              <w:right w:val="single" w:sz="12" w:space="0" w:color="auto"/>
            </w:tcBorders>
            <w:vAlign w:val="center"/>
          </w:tcPr>
          <w:p w14:paraId="4B0F9040"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Iné právnické osoby</w:t>
            </w:r>
          </w:p>
        </w:tc>
        <w:tc>
          <w:tcPr>
            <w:tcW w:w="992" w:type="dxa"/>
            <w:tcBorders>
              <w:top w:val="single" w:sz="12" w:space="0" w:color="auto"/>
              <w:left w:val="single" w:sz="12" w:space="0" w:color="auto"/>
              <w:bottom w:val="single" w:sz="12" w:space="0" w:color="auto"/>
              <w:right w:val="single" w:sz="6" w:space="0" w:color="auto"/>
            </w:tcBorders>
            <w:vAlign w:val="center"/>
          </w:tcPr>
          <w:p w14:paraId="2F1DD2C6"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Počet</w:t>
            </w:r>
          </w:p>
          <w:p w14:paraId="262BC282"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zmlúv</w:t>
            </w:r>
          </w:p>
        </w:tc>
        <w:tc>
          <w:tcPr>
            <w:tcW w:w="2551" w:type="dxa"/>
            <w:tcBorders>
              <w:top w:val="single" w:sz="12" w:space="0" w:color="auto"/>
              <w:left w:val="single" w:sz="6" w:space="0" w:color="auto"/>
              <w:bottom w:val="single" w:sz="12" w:space="0" w:color="auto"/>
              <w:right w:val="single" w:sz="12" w:space="0" w:color="auto"/>
            </w:tcBorders>
            <w:vAlign w:val="center"/>
          </w:tcPr>
          <w:p w14:paraId="77D1C120"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obce</w:t>
            </w:r>
          </w:p>
        </w:tc>
      </w:tr>
      <w:tr w:rsidR="00076DAE" w:rsidRPr="00076DAE" w14:paraId="6399C189" w14:textId="77777777" w:rsidTr="0093572E">
        <w:tc>
          <w:tcPr>
            <w:tcW w:w="2450" w:type="dxa"/>
            <w:tcBorders>
              <w:top w:val="single" w:sz="12" w:space="0" w:color="auto"/>
              <w:left w:val="single" w:sz="12" w:space="0" w:color="auto"/>
              <w:right w:val="single" w:sz="12" w:space="0" w:color="auto"/>
            </w:tcBorders>
          </w:tcPr>
          <w:p w14:paraId="02F5BE90"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Zmluvy o poskytnutí podpory na obstaranie nájomných bytov</w:t>
            </w:r>
          </w:p>
        </w:tc>
        <w:tc>
          <w:tcPr>
            <w:tcW w:w="796" w:type="dxa"/>
            <w:tcBorders>
              <w:top w:val="single" w:sz="12" w:space="0" w:color="auto"/>
              <w:left w:val="single" w:sz="12" w:space="0" w:color="auto"/>
              <w:bottom w:val="single" w:sz="6" w:space="0" w:color="auto"/>
              <w:right w:val="single" w:sz="6" w:space="0" w:color="auto"/>
            </w:tcBorders>
            <w:vAlign w:val="center"/>
          </w:tcPr>
          <w:p w14:paraId="289C4938"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w:t>
            </w:r>
          </w:p>
        </w:tc>
        <w:tc>
          <w:tcPr>
            <w:tcW w:w="2268" w:type="dxa"/>
            <w:tcBorders>
              <w:top w:val="single" w:sz="12" w:space="0" w:color="auto"/>
              <w:left w:val="single" w:sz="6" w:space="0" w:color="auto"/>
              <w:bottom w:val="single" w:sz="6" w:space="0" w:color="auto"/>
              <w:right w:val="single" w:sz="12" w:space="0" w:color="auto"/>
            </w:tcBorders>
            <w:vAlign w:val="center"/>
          </w:tcPr>
          <w:p w14:paraId="0EB1B7F3"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192 470</w:t>
            </w:r>
          </w:p>
        </w:tc>
        <w:tc>
          <w:tcPr>
            <w:tcW w:w="992" w:type="dxa"/>
            <w:tcBorders>
              <w:top w:val="single" w:sz="12" w:space="0" w:color="auto"/>
              <w:left w:val="single" w:sz="12" w:space="0" w:color="auto"/>
            </w:tcBorders>
            <w:vAlign w:val="center"/>
          </w:tcPr>
          <w:p w14:paraId="52EA9E26"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28</w:t>
            </w:r>
          </w:p>
        </w:tc>
        <w:tc>
          <w:tcPr>
            <w:tcW w:w="2551" w:type="dxa"/>
            <w:tcBorders>
              <w:top w:val="single" w:sz="12" w:space="0" w:color="auto"/>
              <w:right w:val="single" w:sz="12" w:space="0" w:color="auto"/>
            </w:tcBorders>
            <w:vAlign w:val="center"/>
          </w:tcPr>
          <w:p w14:paraId="0DC1EC7A"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23 340 430</w:t>
            </w:r>
          </w:p>
        </w:tc>
      </w:tr>
      <w:tr w:rsidR="00076DAE" w:rsidRPr="00076DAE" w14:paraId="58B14F3F" w14:textId="77777777" w:rsidTr="0093572E">
        <w:tc>
          <w:tcPr>
            <w:tcW w:w="2450" w:type="dxa"/>
            <w:tcBorders>
              <w:left w:val="single" w:sz="12" w:space="0" w:color="auto"/>
              <w:right w:val="single" w:sz="12" w:space="0" w:color="auto"/>
            </w:tcBorders>
          </w:tcPr>
          <w:p w14:paraId="1CA28DF9"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Zmluvy o poskytnutí podpory na obstaranie zariadenia sociálnych služieb</w:t>
            </w:r>
          </w:p>
        </w:tc>
        <w:tc>
          <w:tcPr>
            <w:tcW w:w="796" w:type="dxa"/>
            <w:tcBorders>
              <w:top w:val="single" w:sz="6" w:space="0" w:color="auto"/>
              <w:left w:val="single" w:sz="12" w:space="0" w:color="auto"/>
              <w:bottom w:val="single" w:sz="6" w:space="0" w:color="auto"/>
              <w:right w:val="single" w:sz="6" w:space="0" w:color="auto"/>
            </w:tcBorders>
            <w:vAlign w:val="center"/>
          </w:tcPr>
          <w:p w14:paraId="232D3DD6"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c>
          <w:tcPr>
            <w:tcW w:w="2268" w:type="dxa"/>
            <w:tcBorders>
              <w:top w:val="single" w:sz="6" w:space="0" w:color="auto"/>
              <w:left w:val="single" w:sz="6" w:space="0" w:color="auto"/>
              <w:bottom w:val="single" w:sz="6" w:space="0" w:color="auto"/>
              <w:right w:val="single" w:sz="12" w:space="0" w:color="auto"/>
            </w:tcBorders>
            <w:vAlign w:val="center"/>
          </w:tcPr>
          <w:p w14:paraId="19A9ECF2"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c>
          <w:tcPr>
            <w:tcW w:w="992" w:type="dxa"/>
            <w:tcBorders>
              <w:left w:val="single" w:sz="12" w:space="0" w:color="auto"/>
            </w:tcBorders>
            <w:vAlign w:val="center"/>
          </w:tcPr>
          <w:p w14:paraId="26F3CE37"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c>
          <w:tcPr>
            <w:tcW w:w="2551" w:type="dxa"/>
            <w:tcBorders>
              <w:right w:val="single" w:sz="12" w:space="0" w:color="auto"/>
            </w:tcBorders>
            <w:vAlign w:val="center"/>
          </w:tcPr>
          <w:p w14:paraId="723AE6B3"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r>
      <w:tr w:rsidR="00076DAE" w:rsidRPr="00076DAE" w14:paraId="60BE94D8" w14:textId="77777777" w:rsidTr="0093572E">
        <w:tc>
          <w:tcPr>
            <w:tcW w:w="2450" w:type="dxa"/>
            <w:tcBorders>
              <w:left w:val="single" w:sz="12" w:space="0" w:color="auto"/>
              <w:bottom w:val="single" w:sz="12" w:space="0" w:color="auto"/>
              <w:right w:val="single" w:sz="12" w:space="0" w:color="auto"/>
            </w:tcBorders>
          </w:tcPr>
          <w:p w14:paraId="253A0538"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Zmluvy o poskytnutí podpory na obstaranie ubytovacieho domu</w:t>
            </w:r>
          </w:p>
        </w:tc>
        <w:tc>
          <w:tcPr>
            <w:tcW w:w="796" w:type="dxa"/>
            <w:tcBorders>
              <w:top w:val="single" w:sz="6" w:space="0" w:color="auto"/>
              <w:left w:val="single" w:sz="12" w:space="0" w:color="auto"/>
              <w:bottom w:val="single" w:sz="12" w:space="0" w:color="auto"/>
              <w:right w:val="single" w:sz="6" w:space="0" w:color="auto"/>
            </w:tcBorders>
            <w:vAlign w:val="center"/>
          </w:tcPr>
          <w:p w14:paraId="3DE70D4F"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c>
          <w:tcPr>
            <w:tcW w:w="2268" w:type="dxa"/>
            <w:tcBorders>
              <w:top w:val="single" w:sz="6" w:space="0" w:color="auto"/>
              <w:left w:val="single" w:sz="6" w:space="0" w:color="auto"/>
              <w:bottom w:val="single" w:sz="12" w:space="0" w:color="auto"/>
              <w:right w:val="single" w:sz="12" w:space="0" w:color="auto"/>
            </w:tcBorders>
            <w:vAlign w:val="center"/>
          </w:tcPr>
          <w:p w14:paraId="63F672FA"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c>
          <w:tcPr>
            <w:tcW w:w="992" w:type="dxa"/>
            <w:tcBorders>
              <w:left w:val="single" w:sz="12" w:space="0" w:color="auto"/>
              <w:bottom w:val="single" w:sz="12" w:space="0" w:color="auto"/>
            </w:tcBorders>
            <w:vAlign w:val="center"/>
          </w:tcPr>
          <w:p w14:paraId="00A5D484"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c>
          <w:tcPr>
            <w:tcW w:w="2551" w:type="dxa"/>
            <w:tcBorders>
              <w:bottom w:val="single" w:sz="12" w:space="0" w:color="auto"/>
              <w:right w:val="single" w:sz="12" w:space="0" w:color="auto"/>
            </w:tcBorders>
            <w:vAlign w:val="center"/>
          </w:tcPr>
          <w:p w14:paraId="74D66A72"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r>
    </w:tbl>
    <w:p w14:paraId="0A610A66" w14:textId="77777777" w:rsidR="00076DAE" w:rsidRPr="00076DAE" w:rsidRDefault="00076DAE" w:rsidP="00076DAE">
      <w:pPr>
        <w:widowControl/>
        <w:adjustRightInd/>
        <w:spacing w:after="160" w:line="259" w:lineRule="auto"/>
        <w:rPr>
          <w:bCs/>
        </w:rPr>
      </w:pPr>
    </w:p>
    <w:tbl>
      <w:tblPr>
        <w:tblStyle w:val="Mriekatabuky2"/>
        <w:tblW w:w="9057" w:type="dxa"/>
        <w:tblLook w:val="04A0" w:firstRow="1" w:lastRow="0" w:firstColumn="1" w:lastColumn="0" w:noHBand="0" w:noVBand="1"/>
      </w:tblPr>
      <w:tblGrid>
        <w:gridCol w:w="2450"/>
        <w:gridCol w:w="796"/>
        <w:gridCol w:w="2268"/>
        <w:gridCol w:w="992"/>
        <w:gridCol w:w="2551"/>
      </w:tblGrid>
      <w:tr w:rsidR="00076DAE" w:rsidRPr="00076DAE" w14:paraId="0FC43E6F" w14:textId="77777777" w:rsidTr="0093572E">
        <w:tc>
          <w:tcPr>
            <w:tcW w:w="2450" w:type="dxa"/>
            <w:tcBorders>
              <w:top w:val="single" w:sz="12" w:space="0" w:color="auto"/>
              <w:left w:val="single" w:sz="12" w:space="0" w:color="auto"/>
              <w:bottom w:val="single" w:sz="12" w:space="0" w:color="auto"/>
              <w:right w:val="single" w:sz="12" w:space="0" w:color="auto"/>
            </w:tcBorders>
          </w:tcPr>
          <w:p w14:paraId="47D89C0F" w14:textId="77777777" w:rsidR="00076DAE" w:rsidRPr="00076DAE" w:rsidRDefault="00076DAE" w:rsidP="00076DAE">
            <w:pPr>
              <w:widowControl/>
              <w:adjustRightInd/>
              <w:spacing w:after="160" w:line="259" w:lineRule="auto"/>
              <w:rPr>
                <w:b/>
                <w:bCs/>
                <w:sz w:val="22"/>
                <w:szCs w:val="22"/>
              </w:rPr>
            </w:pPr>
            <w:r w:rsidRPr="00076DAE">
              <w:rPr>
                <w:b/>
                <w:bCs/>
                <w:sz w:val="22"/>
                <w:szCs w:val="22"/>
              </w:rPr>
              <w:t>Výška finančnej podpory za rok 2024 v €</w:t>
            </w:r>
          </w:p>
        </w:tc>
        <w:tc>
          <w:tcPr>
            <w:tcW w:w="796" w:type="dxa"/>
            <w:tcBorders>
              <w:top w:val="single" w:sz="12" w:space="0" w:color="auto"/>
              <w:left w:val="single" w:sz="12" w:space="0" w:color="auto"/>
              <w:bottom w:val="single" w:sz="12" w:space="0" w:color="auto"/>
              <w:right w:val="single" w:sz="6" w:space="0" w:color="auto"/>
            </w:tcBorders>
            <w:vAlign w:val="center"/>
          </w:tcPr>
          <w:p w14:paraId="5BE7BD58" w14:textId="77777777" w:rsidR="00076DAE" w:rsidRPr="00076DAE" w:rsidRDefault="00076DAE" w:rsidP="00076DAE">
            <w:pPr>
              <w:widowControl/>
              <w:adjustRightInd/>
              <w:spacing w:after="160" w:line="259" w:lineRule="auto"/>
              <w:rPr>
                <w:b/>
                <w:bCs/>
                <w:sz w:val="22"/>
                <w:szCs w:val="22"/>
              </w:rPr>
            </w:pPr>
            <w:r w:rsidRPr="00076DAE">
              <w:rPr>
                <w:b/>
                <w:bCs/>
                <w:sz w:val="22"/>
                <w:szCs w:val="22"/>
              </w:rPr>
              <w:t>Počet</w:t>
            </w:r>
          </w:p>
          <w:p w14:paraId="6457C743" w14:textId="77777777" w:rsidR="00076DAE" w:rsidRPr="00076DAE" w:rsidRDefault="00076DAE" w:rsidP="00076DAE">
            <w:pPr>
              <w:widowControl/>
              <w:adjustRightInd/>
              <w:spacing w:after="160" w:line="259" w:lineRule="auto"/>
              <w:rPr>
                <w:b/>
                <w:bCs/>
                <w:sz w:val="22"/>
                <w:szCs w:val="22"/>
              </w:rPr>
            </w:pPr>
            <w:r w:rsidRPr="00076DAE">
              <w:rPr>
                <w:b/>
                <w:bCs/>
                <w:sz w:val="22"/>
                <w:szCs w:val="22"/>
              </w:rPr>
              <w:t>zmlúv</w:t>
            </w:r>
          </w:p>
        </w:tc>
        <w:tc>
          <w:tcPr>
            <w:tcW w:w="2268" w:type="dxa"/>
            <w:tcBorders>
              <w:top w:val="single" w:sz="12" w:space="0" w:color="auto"/>
              <w:left w:val="single" w:sz="6" w:space="0" w:color="auto"/>
              <w:bottom w:val="single" w:sz="12" w:space="0" w:color="auto"/>
              <w:right w:val="single" w:sz="12" w:space="0" w:color="auto"/>
            </w:tcBorders>
            <w:vAlign w:val="center"/>
          </w:tcPr>
          <w:p w14:paraId="16843D91"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Iné právnické osoby</w:t>
            </w:r>
          </w:p>
        </w:tc>
        <w:tc>
          <w:tcPr>
            <w:tcW w:w="992" w:type="dxa"/>
            <w:tcBorders>
              <w:top w:val="single" w:sz="12" w:space="0" w:color="auto"/>
              <w:left w:val="single" w:sz="12" w:space="0" w:color="auto"/>
              <w:bottom w:val="single" w:sz="12" w:space="0" w:color="auto"/>
              <w:right w:val="single" w:sz="6" w:space="0" w:color="auto"/>
            </w:tcBorders>
            <w:vAlign w:val="center"/>
          </w:tcPr>
          <w:p w14:paraId="6A3AB08D"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Počet zmlúv</w:t>
            </w:r>
          </w:p>
        </w:tc>
        <w:tc>
          <w:tcPr>
            <w:tcW w:w="2551" w:type="dxa"/>
            <w:tcBorders>
              <w:top w:val="single" w:sz="12" w:space="0" w:color="auto"/>
              <w:left w:val="single" w:sz="6" w:space="0" w:color="auto"/>
              <w:bottom w:val="single" w:sz="12" w:space="0" w:color="auto"/>
              <w:right w:val="single" w:sz="12" w:space="0" w:color="auto"/>
            </w:tcBorders>
            <w:vAlign w:val="center"/>
          </w:tcPr>
          <w:p w14:paraId="6893F8FF" w14:textId="77777777" w:rsidR="00076DAE" w:rsidRPr="00076DAE" w:rsidRDefault="00076DAE" w:rsidP="00076DAE">
            <w:pPr>
              <w:widowControl/>
              <w:adjustRightInd/>
              <w:spacing w:after="160" w:line="259" w:lineRule="auto"/>
              <w:jc w:val="center"/>
              <w:rPr>
                <w:b/>
                <w:bCs/>
                <w:sz w:val="22"/>
                <w:szCs w:val="22"/>
              </w:rPr>
            </w:pPr>
            <w:r w:rsidRPr="00076DAE">
              <w:rPr>
                <w:b/>
                <w:bCs/>
                <w:sz w:val="22"/>
                <w:szCs w:val="22"/>
              </w:rPr>
              <w:t>obce</w:t>
            </w:r>
          </w:p>
        </w:tc>
      </w:tr>
      <w:tr w:rsidR="00076DAE" w:rsidRPr="00076DAE" w14:paraId="3B98A9D2" w14:textId="77777777" w:rsidTr="0093572E">
        <w:tc>
          <w:tcPr>
            <w:tcW w:w="2450" w:type="dxa"/>
            <w:tcBorders>
              <w:top w:val="single" w:sz="12" w:space="0" w:color="auto"/>
              <w:left w:val="single" w:sz="12" w:space="0" w:color="auto"/>
              <w:right w:val="single" w:sz="12" w:space="0" w:color="auto"/>
            </w:tcBorders>
          </w:tcPr>
          <w:p w14:paraId="769BDC19" w14:textId="77777777" w:rsidR="00076DAE" w:rsidRPr="00076DAE" w:rsidRDefault="00076DAE" w:rsidP="00076DAE">
            <w:pPr>
              <w:widowControl/>
              <w:adjustRightInd/>
              <w:spacing w:after="160" w:line="259" w:lineRule="auto"/>
              <w:rPr>
                <w:bCs/>
                <w:sz w:val="22"/>
                <w:szCs w:val="22"/>
              </w:rPr>
            </w:pPr>
            <w:r w:rsidRPr="00076DAE">
              <w:rPr>
                <w:bCs/>
                <w:sz w:val="22"/>
                <w:szCs w:val="22"/>
              </w:rPr>
              <w:t>Zmluvy o poskytnutí podpory na obstaranie nájomných bytov</w:t>
            </w:r>
          </w:p>
        </w:tc>
        <w:tc>
          <w:tcPr>
            <w:tcW w:w="796" w:type="dxa"/>
            <w:tcBorders>
              <w:top w:val="single" w:sz="12" w:space="0" w:color="auto"/>
              <w:left w:val="single" w:sz="12" w:space="0" w:color="auto"/>
              <w:bottom w:val="single" w:sz="6" w:space="0" w:color="auto"/>
              <w:right w:val="single" w:sz="6" w:space="0" w:color="auto"/>
            </w:tcBorders>
            <w:vAlign w:val="center"/>
          </w:tcPr>
          <w:p w14:paraId="545798A0"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 xml:space="preserve">4 </w:t>
            </w:r>
          </w:p>
        </w:tc>
        <w:tc>
          <w:tcPr>
            <w:tcW w:w="2268" w:type="dxa"/>
            <w:tcBorders>
              <w:top w:val="single" w:sz="12" w:space="0" w:color="auto"/>
              <w:left w:val="single" w:sz="6" w:space="0" w:color="auto"/>
              <w:bottom w:val="single" w:sz="6" w:space="0" w:color="auto"/>
              <w:right w:val="single" w:sz="12" w:space="0" w:color="auto"/>
            </w:tcBorders>
            <w:vAlign w:val="center"/>
          </w:tcPr>
          <w:p w14:paraId="3F87218B"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6 210 700</w:t>
            </w:r>
          </w:p>
        </w:tc>
        <w:tc>
          <w:tcPr>
            <w:tcW w:w="992" w:type="dxa"/>
            <w:tcBorders>
              <w:top w:val="single" w:sz="12" w:space="0" w:color="auto"/>
              <w:left w:val="single" w:sz="12" w:space="0" w:color="auto"/>
            </w:tcBorders>
            <w:vAlign w:val="center"/>
          </w:tcPr>
          <w:p w14:paraId="3E1EAF28"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37</w:t>
            </w:r>
          </w:p>
        </w:tc>
        <w:tc>
          <w:tcPr>
            <w:tcW w:w="2551" w:type="dxa"/>
            <w:tcBorders>
              <w:top w:val="single" w:sz="12" w:space="0" w:color="auto"/>
              <w:right w:val="single" w:sz="12" w:space="0" w:color="auto"/>
            </w:tcBorders>
            <w:vAlign w:val="center"/>
          </w:tcPr>
          <w:p w14:paraId="3A326D52"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38 540 140</w:t>
            </w:r>
          </w:p>
        </w:tc>
      </w:tr>
      <w:tr w:rsidR="00076DAE" w:rsidRPr="00076DAE" w14:paraId="354CDD33" w14:textId="77777777" w:rsidTr="0093572E">
        <w:tc>
          <w:tcPr>
            <w:tcW w:w="2450" w:type="dxa"/>
            <w:tcBorders>
              <w:left w:val="single" w:sz="12" w:space="0" w:color="auto"/>
              <w:right w:val="single" w:sz="12" w:space="0" w:color="auto"/>
            </w:tcBorders>
          </w:tcPr>
          <w:p w14:paraId="6AB7BE9E" w14:textId="77777777" w:rsidR="00076DAE" w:rsidRPr="00076DAE" w:rsidRDefault="00076DAE" w:rsidP="00076DAE">
            <w:pPr>
              <w:widowControl/>
              <w:adjustRightInd/>
              <w:spacing w:after="160" w:line="259" w:lineRule="auto"/>
              <w:rPr>
                <w:bCs/>
                <w:sz w:val="22"/>
                <w:szCs w:val="22"/>
              </w:rPr>
            </w:pPr>
            <w:r w:rsidRPr="00076DAE">
              <w:rPr>
                <w:bCs/>
                <w:sz w:val="22"/>
                <w:szCs w:val="22"/>
              </w:rPr>
              <w:t>Zmluvy o poskytnutí podpory na obstaranie zariadenia sociálnych služieb</w:t>
            </w:r>
          </w:p>
        </w:tc>
        <w:tc>
          <w:tcPr>
            <w:tcW w:w="796" w:type="dxa"/>
            <w:tcBorders>
              <w:top w:val="single" w:sz="6" w:space="0" w:color="auto"/>
              <w:left w:val="single" w:sz="12" w:space="0" w:color="auto"/>
              <w:bottom w:val="single" w:sz="6" w:space="0" w:color="auto"/>
              <w:right w:val="single" w:sz="6" w:space="0" w:color="auto"/>
            </w:tcBorders>
            <w:vAlign w:val="center"/>
          </w:tcPr>
          <w:p w14:paraId="2618B1BB"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w:t>
            </w:r>
          </w:p>
        </w:tc>
        <w:tc>
          <w:tcPr>
            <w:tcW w:w="2268" w:type="dxa"/>
            <w:tcBorders>
              <w:top w:val="single" w:sz="6" w:space="0" w:color="auto"/>
              <w:left w:val="single" w:sz="6" w:space="0" w:color="auto"/>
              <w:bottom w:val="single" w:sz="6" w:space="0" w:color="auto"/>
              <w:right w:val="single" w:sz="12" w:space="0" w:color="auto"/>
            </w:tcBorders>
            <w:vAlign w:val="center"/>
          </w:tcPr>
          <w:p w14:paraId="1C670FDA"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9 307 460</w:t>
            </w:r>
          </w:p>
        </w:tc>
        <w:tc>
          <w:tcPr>
            <w:tcW w:w="992" w:type="dxa"/>
            <w:tcBorders>
              <w:left w:val="single" w:sz="12" w:space="0" w:color="auto"/>
            </w:tcBorders>
            <w:vAlign w:val="center"/>
          </w:tcPr>
          <w:p w14:paraId="38D7EB86"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4</w:t>
            </w:r>
          </w:p>
        </w:tc>
        <w:tc>
          <w:tcPr>
            <w:tcW w:w="2551" w:type="dxa"/>
            <w:tcBorders>
              <w:right w:val="single" w:sz="12" w:space="0" w:color="auto"/>
            </w:tcBorders>
            <w:vAlign w:val="center"/>
          </w:tcPr>
          <w:p w14:paraId="4E73388A"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13 362 550</w:t>
            </w:r>
          </w:p>
        </w:tc>
      </w:tr>
      <w:tr w:rsidR="00076DAE" w:rsidRPr="00076DAE" w14:paraId="42F2DBE3" w14:textId="77777777" w:rsidTr="0093572E">
        <w:tc>
          <w:tcPr>
            <w:tcW w:w="2450" w:type="dxa"/>
            <w:tcBorders>
              <w:left w:val="single" w:sz="12" w:space="0" w:color="auto"/>
              <w:bottom w:val="single" w:sz="12" w:space="0" w:color="auto"/>
              <w:right w:val="single" w:sz="12" w:space="0" w:color="auto"/>
            </w:tcBorders>
          </w:tcPr>
          <w:p w14:paraId="60CEC9EA" w14:textId="77777777" w:rsidR="00076DAE" w:rsidRPr="00076DAE" w:rsidRDefault="00076DAE" w:rsidP="00076DAE">
            <w:pPr>
              <w:widowControl/>
              <w:adjustRightInd/>
              <w:spacing w:after="160" w:line="259" w:lineRule="auto"/>
              <w:rPr>
                <w:bCs/>
                <w:sz w:val="22"/>
                <w:szCs w:val="22"/>
              </w:rPr>
            </w:pPr>
            <w:r w:rsidRPr="00076DAE">
              <w:rPr>
                <w:bCs/>
                <w:sz w:val="22"/>
                <w:szCs w:val="22"/>
              </w:rPr>
              <w:t>Zmluvy o poskytnutí podpory na obstaranie ubytovacieho domu</w:t>
            </w:r>
          </w:p>
        </w:tc>
        <w:tc>
          <w:tcPr>
            <w:tcW w:w="796" w:type="dxa"/>
            <w:tcBorders>
              <w:top w:val="single" w:sz="6" w:space="0" w:color="auto"/>
              <w:left w:val="single" w:sz="12" w:space="0" w:color="auto"/>
              <w:bottom w:val="single" w:sz="12" w:space="0" w:color="auto"/>
              <w:right w:val="single" w:sz="6" w:space="0" w:color="auto"/>
            </w:tcBorders>
            <w:vAlign w:val="center"/>
          </w:tcPr>
          <w:p w14:paraId="7824EE6C"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c>
          <w:tcPr>
            <w:tcW w:w="2268" w:type="dxa"/>
            <w:tcBorders>
              <w:top w:val="single" w:sz="6" w:space="0" w:color="auto"/>
              <w:left w:val="single" w:sz="6" w:space="0" w:color="auto"/>
              <w:bottom w:val="single" w:sz="12" w:space="0" w:color="auto"/>
              <w:right w:val="single" w:sz="12" w:space="0" w:color="auto"/>
            </w:tcBorders>
            <w:vAlign w:val="center"/>
          </w:tcPr>
          <w:p w14:paraId="3BDB8BF6"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c>
          <w:tcPr>
            <w:tcW w:w="992" w:type="dxa"/>
            <w:tcBorders>
              <w:left w:val="single" w:sz="12" w:space="0" w:color="auto"/>
              <w:bottom w:val="single" w:sz="12" w:space="0" w:color="auto"/>
            </w:tcBorders>
            <w:vAlign w:val="center"/>
          </w:tcPr>
          <w:p w14:paraId="70953767"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c>
          <w:tcPr>
            <w:tcW w:w="2551" w:type="dxa"/>
            <w:tcBorders>
              <w:bottom w:val="single" w:sz="12" w:space="0" w:color="auto"/>
              <w:right w:val="single" w:sz="12" w:space="0" w:color="auto"/>
            </w:tcBorders>
            <w:vAlign w:val="center"/>
          </w:tcPr>
          <w:p w14:paraId="277B5EDC" w14:textId="77777777" w:rsidR="00076DAE" w:rsidRPr="00076DAE" w:rsidRDefault="00076DAE" w:rsidP="00076DAE">
            <w:pPr>
              <w:widowControl/>
              <w:adjustRightInd/>
              <w:spacing w:after="160" w:line="259" w:lineRule="auto"/>
              <w:jc w:val="center"/>
              <w:rPr>
                <w:bCs/>
                <w:sz w:val="22"/>
                <w:szCs w:val="22"/>
              </w:rPr>
            </w:pPr>
            <w:r w:rsidRPr="00076DAE">
              <w:rPr>
                <w:bCs/>
                <w:sz w:val="22"/>
                <w:szCs w:val="22"/>
              </w:rPr>
              <w:t>0</w:t>
            </w:r>
          </w:p>
        </w:tc>
      </w:tr>
    </w:tbl>
    <w:p w14:paraId="79EA759E" w14:textId="77777777" w:rsidR="00076DAE" w:rsidRPr="00076DAE" w:rsidRDefault="00076DAE" w:rsidP="00076DAE">
      <w:pPr>
        <w:widowControl/>
        <w:adjustRightInd/>
        <w:spacing w:after="160" w:line="259" w:lineRule="auto"/>
        <w:rPr>
          <w:bCs/>
        </w:rPr>
      </w:pPr>
      <w:r w:rsidRPr="00076DAE">
        <w:rPr>
          <w:bCs/>
        </w:rPr>
        <w:t>Zdroj:</w:t>
      </w:r>
    </w:p>
    <w:p w14:paraId="32AF2CA7" w14:textId="77777777" w:rsidR="00076DAE" w:rsidRPr="00076DAE" w:rsidRDefault="0093572E" w:rsidP="00076DAE">
      <w:pPr>
        <w:widowControl/>
        <w:adjustRightInd/>
        <w:spacing w:after="160" w:line="259" w:lineRule="auto"/>
        <w:jc w:val="both"/>
        <w:rPr>
          <w:bCs/>
          <w:sz w:val="20"/>
          <w:szCs w:val="20"/>
        </w:rPr>
      </w:pPr>
      <w:hyperlink r:id="rId12" w:history="1">
        <w:r w:rsidR="00076DAE" w:rsidRPr="00076DAE">
          <w:rPr>
            <w:bCs/>
            <w:color w:val="0563C1"/>
            <w:sz w:val="20"/>
            <w:szCs w:val="20"/>
            <w:u w:val="single"/>
          </w:rPr>
          <w:t>https://www.sfrb.sk/wp-content/uploads/2022/02/Stav-ziadosti-31.12.2021.pdf</w:t>
        </w:r>
      </w:hyperlink>
    </w:p>
    <w:p w14:paraId="0550DF0F" w14:textId="77777777" w:rsidR="00076DAE" w:rsidRPr="00076DAE" w:rsidRDefault="0093572E" w:rsidP="00076DAE">
      <w:pPr>
        <w:widowControl/>
        <w:adjustRightInd/>
        <w:spacing w:after="160" w:line="259" w:lineRule="auto"/>
        <w:jc w:val="both"/>
        <w:rPr>
          <w:bCs/>
          <w:color w:val="0563C1"/>
          <w:sz w:val="20"/>
          <w:szCs w:val="20"/>
          <w:u w:val="single"/>
        </w:rPr>
      </w:pPr>
      <w:hyperlink r:id="rId13" w:history="1">
        <w:r w:rsidR="00076DAE" w:rsidRPr="00076DAE">
          <w:rPr>
            <w:bCs/>
            <w:color w:val="0563C1"/>
            <w:sz w:val="20"/>
            <w:szCs w:val="20"/>
            <w:u w:val="single"/>
          </w:rPr>
          <w:t>https://www.sfrb.sk/wp-content/uploads/2024/01/Stav-posudzovania-k-31.12.2023-OPaSU-a-OSaRU.pdf</w:t>
        </w:r>
      </w:hyperlink>
    </w:p>
    <w:p w14:paraId="0A89F481" w14:textId="77777777" w:rsidR="00076DAE" w:rsidRPr="00076DAE" w:rsidRDefault="0093572E" w:rsidP="00076DAE">
      <w:pPr>
        <w:widowControl/>
        <w:adjustRightInd/>
        <w:spacing w:after="160" w:line="259" w:lineRule="auto"/>
        <w:jc w:val="both"/>
        <w:rPr>
          <w:rFonts w:eastAsia="Calibri"/>
          <w:sz w:val="20"/>
          <w:szCs w:val="20"/>
          <w:lang w:eastAsia="en-US"/>
        </w:rPr>
      </w:pPr>
      <w:hyperlink r:id="rId14" w:history="1">
        <w:r w:rsidR="00076DAE" w:rsidRPr="00076DAE">
          <w:rPr>
            <w:rFonts w:eastAsia="Calibri"/>
            <w:color w:val="0563C1"/>
            <w:sz w:val="20"/>
            <w:szCs w:val="20"/>
            <w:u w:val="single"/>
            <w:lang w:eastAsia="en-US"/>
          </w:rPr>
          <w:t>https://www.sfrb.sk/wp-content/uploads/2025/01/Stav-posudzovania-k-31.12.2024.pdf</w:t>
        </w:r>
      </w:hyperlink>
    </w:p>
    <w:p w14:paraId="6975B939" w14:textId="77777777" w:rsidR="00076DAE" w:rsidRPr="00076DAE" w:rsidRDefault="00076DAE" w:rsidP="00076DAE">
      <w:pPr>
        <w:widowControl/>
        <w:adjustRightInd/>
        <w:spacing w:after="160" w:line="259" w:lineRule="auto"/>
        <w:jc w:val="both"/>
        <w:rPr>
          <w:bCs/>
        </w:rPr>
      </w:pPr>
      <w:r w:rsidRPr="00076DAE">
        <w:rPr>
          <w:bCs/>
        </w:rPr>
        <w:t xml:space="preserve">V porovnaní počtu žiadostí predložených obcami a inými právnickými osobami, sú žiadosti predložené právnickými osobami v nižšom počte, avšak znížením výšky ročnej úrokovej sadzby budú žiadateľom poskytované úvery s výhodnejšími úverovými podmienky ako v súčasnosti a teda hovoríme o pozitívnom vplyve na podnikateľské prostredie. </w:t>
      </w:r>
    </w:p>
    <w:p w14:paraId="644FC108" w14:textId="77777777" w:rsidR="00076DAE" w:rsidRPr="00076DAE" w:rsidRDefault="00076DAE" w:rsidP="00076DAE">
      <w:pPr>
        <w:widowControl/>
        <w:adjustRightInd/>
        <w:jc w:val="both"/>
        <w:rPr>
          <w:rFonts w:eastAsia="Calibri"/>
        </w:rPr>
      </w:pPr>
    </w:p>
    <w:p w14:paraId="62AD3D60" w14:textId="77777777" w:rsidR="00076DAE" w:rsidRPr="00076DAE" w:rsidRDefault="00076DAE" w:rsidP="00076DAE">
      <w:pPr>
        <w:widowControl/>
        <w:adjustRightInd/>
        <w:jc w:val="both"/>
        <w:rPr>
          <w:b/>
        </w:rPr>
      </w:pPr>
      <w:r w:rsidRPr="00076DAE">
        <w:rPr>
          <w:bCs/>
        </w:rPr>
        <w:t xml:space="preserve">Navrhovaným zákonom sa taktiež rozširujú účely, na ktoré je možné poskytnúť podporu zo ŠFRB o obstaranie internátu a obnovu internátu pre študentov stredných a vysokých škôl. Žiadateľom o poskytnutie podpory na nové účely podpory by mali byť samosprávny kraj a iná právnická osoba (verejná vysoká škola). Žiadosti sa v súlade so zákonom č. 150/2013 Z. z. predkladajú v termíne od </w:t>
      </w:r>
      <w:r w:rsidRPr="00076DAE">
        <w:rPr>
          <w:bCs/>
        </w:rPr>
        <w:lastRenderedPageBreak/>
        <w:t xml:space="preserve">15. januára do 31. augusta kalendárneho roka. Účinnosť a účelnosť predkladaného materiálu môže byť posúdená až po ukončení obdobia predkladania žiadostí, nakoľko ide o zavedenie nových účelov podpory a nie je možné vopred </w:t>
      </w:r>
      <w:proofErr w:type="spellStart"/>
      <w:r w:rsidRPr="00076DAE">
        <w:rPr>
          <w:bCs/>
        </w:rPr>
        <w:t>predikovať</w:t>
      </w:r>
      <w:proofErr w:type="spellEnd"/>
      <w:r w:rsidRPr="00076DAE">
        <w:t xml:space="preserve"> počet predložených žiadostí o poskytnutie podpory na účel obstaranie internátu alebo obnova internátu.</w:t>
      </w:r>
      <w:r w:rsidRPr="00076DAE">
        <w:rPr>
          <w:rFonts w:eastAsia="Calibri"/>
        </w:rPr>
        <w:t xml:space="preserve"> Vzhľadom na navrhované úverové podmienky možno hovoriť o pozitívnom vplyve na podnikateľské prostredie.</w:t>
      </w:r>
    </w:p>
    <w:p w14:paraId="3EE8B961" w14:textId="495EB22A" w:rsidR="00076DAE" w:rsidRDefault="00076DAE" w:rsidP="00C23862">
      <w:pPr>
        <w:spacing w:before="120" w:line="276" w:lineRule="auto"/>
        <w:jc w:val="both"/>
        <w:rPr>
          <w:b/>
          <w:sz w:val="22"/>
          <w:szCs w:val="22"/>
        </w:rPr>
      </w:pPr>
    </w:p>
    <w:p w14:paraId="50E5DEFB" w14:textId="1ED7C8C2" w:rsidR="00076DAE" w:rsidRDefault="00076DAE" w:rsidP="00C23862">
      <w:pPr>
        <w:spacing w:before="120" w:line="276" w:lineRule="auto"/>
        <w:jc w:val="both"/>
        <w:rPr>
          <w:b/>
          <w:sz w:val="22"/>
          <w:szCs w:val="22"/>
        </w:rPr>
      </w:pPr>
    </w:p>
    <w:p w14:paraId="573D894D" w14:textId="2FB5F016" w:rsidR="00076DAE" w:rsidRDefault="00076DAE" w:rsidP="00C23862">
      <w:pPr>
        <w:spacing w:before="120" w:line="276" w:lineRule="auto"/>
        <w:jc w:val="both"/>
        <w:rPr>
          <w:b/>
          <w:sz w:val="22"/>
          <w:szCs w:val="22"/>
        </w:rPr>
      </w:pPr>
    </w:p>
    <w:p w14:paraId="71C84006" w14:textId="3C621DCC" w:rsidR="00076DAE" w:rsidRDefault="00076DAE" w:rsidP="00C23862">
      <w:pPr>
        <w:spacing w:before="120" w:line="276" w:lineRule="auto"/>
        <w:jc w:val="both"/>
        <w:rPr>
          <w:b/>
          <w:sz w:val="22"/>
          <w:szCs w:val="22"/>
        </w:rPr>
      </w:pPr>
    </w:p>
    <w:p w14:paraId="1B1DFACC" w14:textId="0CB6971C" w:rsidR="00076DAE" w:rsidRDefault="00076DAE" w:rsidP="00C23862">
      <w:pPr>
        <w:spacing w:before="120" w:line="276" w:lineRule="auto"/>
        <w:jc w:val="both"/>
        <w:rPr>
          <w:b/>
          <w:sz w:val="22"/>
          <w:szCs w:val="22"/>
        </w:rPr>
      </w:pPr>
    </w:p>
    <w:p w14:paraId="53CFB303" w14:textId="6B6322BC" w:rsidR="00076DAE" w:rsidRDefault="00076DAE" w:rsidP="00C23862">
      <w:pPr>
        <w:spacing w:before="120" w:line="276" w:lineRule="auto"/>
        <w:jc w:val="both"/>
        <w:rPr>
          <w:b/>
          <w:sz w:val="22"/>
          <w:szCs w:val="22"/>
        </w:rPr>
      </w:pPr>
    </w:p>
    <w:p w14:paraId="55386501" w14:textId="66B59429" w:rsidR="00076DAE" w:rsidRDefault="00076DAE" w:rsidP="00C23862">
      <w:pPr>
        <w:spacing w:before="120" w:line="276" w:lineRule="auto"/>
        <w:jc w:val="both"/>
        <w:rPr>
          <w:b/>
          <w:sz w:val="22"/>
          <w:szCs w:val="22"/>
        </w:rPr>
      </w:pPr>
    </w:p>
    <w:p w14:paraId="5F01CA3A" w14:textId="2DD92A9A" w:rsidR="00076DAE" w:rsidRDefault="00076DAE" w:rsidP="00C23862">
      <w:pPr>
        <w:spacing w:before="120" w:line="276" w:lineRule="auto"/>
        <w:jc w:val="both"/>
        <w:rPr>
          <w:b/>
          <w:sz w:val="22"/>
          <w:szCs w:val="22"/>
        </w:rPr>
      </w:pPr>
    </w:p>
    <w:p w14:paraId="7F442C1C" w14:textId="6FE59DDA" w:rsidR="00076DAE" w:rsidRDefault="00076DAE" w:rsidP="00C23862">
      <w:pPr>
        <w:spacing w:before="120" w:line="276" w:lineRule="auto"/>
        <w:jc w:val="both"/>
        <w:rPr>
          <w:b/>
          <w:sz w:val="22"/>
          <w:szCs w:val="22"/>
        </w:rPr>
      </w:pPr>
    </w:p>
    <w:p w14:paraId="56E5B5AC" w14:textId="36C6FA36" w:rsidR="00076DAE" w:rsidRDefault="00076DAE" w:rsidP="00C23862">
      <w:pPr>
        <w:spacing w:before="120" w:line="276" w:lineRule="auto"/>
        <w:jc w:val="both"/>
        <w:rPr>
          <w:b/>
          <w:sz w:val="22"/>
          <w:szCs w:val="22"/>
        </w:rPr>
      </w:pPr>
    </w:p>
    <w:p w14:paraId="0A79AFFA" w14:textId="3B471291" w:rsidR="00076DAE" w:rsidRDefault="00076DAE" w:rsidP="00C23862">
      <w:pPr>
        <w:spacing w:before="120" w:line="276" w:lineRule="auto"/>
        <w:jc w:val="both"/>
        <w:rPr>
          <w:b/>
          <w:sz w:val="22"/>
          <w:szCs w:val="22"/>
        </w:rPr>
      </w:pPr>
    </w:p>
    <w:p w14:paraId="30A006B0" w14:textId="41B7B41E" w:rsidR="00076DAE" w:rsidRDefault="00076DAE" w:rsidP="00C23862">
      <w:pPr>
        <w:spacing w:before="120" w:line="276" w:lineRule="auto"/>
        <w:jc w:val="both"/>
        <w:rPr>
          <w:b/>
          <w:sz w:val="22"/>
          <w:szCs w:val="22"/>
        </w:rPr>
      </w:pPr>
    </w:p>
    <w:p w14:paraId="3F85A7D5" w14:textId="30178173" w:rsidR="00076DAE" w:rsidRDefault="00076DAE" w:rsidP="00C23862">
      <w:pPr>
        <w:spacing w:before="120" w:line="276" w:lineRule="auto"/>
        <w:jc w:val="both"/>
        <w:rPr>
          <w:b/>
          <w:sz w:val="22"/>
          <w:szCs w:val="22"/>
        </w:rPr>
      </w:pPr>
    </w:p>
    <w:p w14:paraId="10CDE6EE" w14:textId="339A78EA" w:rsidR="00076DAE" w:rsidRDefault="00076DAE" w:rsidP="00C23862">
      <w:pPr>
        <w:spacing w:before="120" w:line="276" w:lineRule="auto"/>
        <w:jc w:val="both"/>
        <w:rPr>
          <w:b/>
          <w:sz w:val="22"/>
          <w:szCs w:val="22"/>
        </w:rPr>
      </w:pPr>
    </w:p>
    <w:p w14:paraId="481D74FC" w14:textId="75F6C2F3" w:rsidR="00076DAE" w:rsidRDefault="00076DAE" w:rsidP="00C23862">
      <w:pPr>
        <w:spacing w:before="120" w:line="276" w:lineRule="auto"/>
        <w:jc w:val="both"/>
        <w:rPr>
          <w:b/>
          <w:sz w:val="22"/>
          <w:szCs w:val="22"/>
        </w:rPr>
      </w:pPr>
    </w:p>
    <w:p w14:paraId="16A1CC95" w14:textId="494099E9" w:rsidR="00076DAE" w:rsidRDefault="00076DAE" w:rsidP="00C23862">
      <w:pPr>
        <w:spacing w:before="120" w:line="276" w:lineRule="auto"/>
        <w:jc w:val="both"/>
        <w:rPr>
          <w:b/>
          <w:sz w:val="22"/>
          <w:szCs w:val="22"/>
        </w:rPr>
      </w:pPr>
    </w:p>
    <w:p w14:paraId="4E5D6EB0" w14:textId="01200013" w:rsidR="00076DAE" w:rsidRDefault="00076DAE" w:rsidP="00C23862">
      <w:pPr>
        <w:spacing w:before="120" w:line="276" w:lineRule="auto"/>
        <w:jc w:val="both"/>
        <w:rPr>
          <w:b/>
          <w:sz w:val="22"/>
          <w:szCs w:val="22"/>
        </w:rPr>
      </w:pPr>
    </w:p>
    <w:p w14:paraId="43AF8915" w14:textId="4EFC66A6" w:rsidR="00076DAE" w:rsidRDefault="00076DAE" w:rsidP="00C23862">
      <w:pPr>
        <w:spacing w:before="120" w:line="276" w:lineRule="auto"/>
        <w:jc w:val="both"/>
        <w:rPr>
          <w:b/>
          <w:sz w:val="22"/>
          <w:szCs w:val="22"/>
        </w:rPr>
      </w:pPr>
    </w:p>
    <w:p w14:paraId="43FAC3DF" w14:textId="01A5C1A3" w:rsidR="00076DAE" w:rsidRDefault="00076DAE" w:rsidP="00C23862">
      <w:pPr>
        <w:spacing w:before="120" w:line="276" w:lineRule="auto"/>
        <w:jc w:val="both"/>
        <w:rPr>
          <w:b/>
          <w:sz w:val="22"/>
          <w:szCs w:val="22"/>
        </w:rPr>
      </w:pPr>
    </w:p>
    <w:p w14:paraId="4F024CFA" w14:textId="0B20E8B8" w:rsidR="00076DAE" w:rsidRDefault="00076DAE" w:rsidP="00C23862">
      <w:pPr>
        <w:spacing w:before="120" w:line="276" w:lineRule="auto"/>
        <w:jc w:val="both"/>
        <w:rPr>
          <w:b/>
          <w:sz w:val="22"/>
          <w:szCs w:val="22"/>
        </w:rPr>
      </w:pPr>
    </w:p>
    <w:p w14:paraId="088C8688" w14:textId="7440158D" w:rsidR="00076DAE" w:rsidRDefault="00076DAE" w:rsidP="00C23862">
      <w:pPr>
        <w:spacing w:before="120" w:line="276" w:lineRule="auto"/>
        <w:jc w:val="both"/>
        <w:rPr>
          <w:b/>
          <w:sz w:val="22"/>
          <w:szCs w:val="22"/>
        </w:rPr>
      </w:pPr>
    </w:p>
    <w:p w14:paraId="5987BB75" w14:textId="72F5F717" w:rsidR="00076DAE" w:rsidRDefault="00076DAE" w:rsidP="00C23862">
      <w:pPr>
        <w:spacing w:before="120" w:line="276" w:lineRule="auto"/>
        <w:jc w:val="both"/>
        <w:rPr>
          <w:b/>
          <w:sz w:val="22"/>
          <w:szCs w:val="22"/>
        </w:rPr>
      </w:pPr>
    </w:p>
    <w:p w14:paraId="611517FA" w14:textId="1312FFE1" w:rsidR="00076DAE" w:rsidRDefault="00076DAE" w:rsidP="00C23862">
      <w:pPr>
        <w:spacing w:before="120" w:line="276" w:lineRule="auto"/>
        <w:jc w:val="both"/>
        <w:rPr>
          <w:b/>
          <w:sz w:val="22"/>
          <w:szCs w:val="22"/>
        </w:rPr>
      </w:pPr>
    </w:p>
    <w:p w14:paraId="5AEF1196" w14:textId="3B6467BD" w:rsidR="00076DAE" w:rsidRDefault="00076DAE" w:rsidP="00C23862">
      <w:pPr>
        <w:spacing w:before="120" w:line="276" w:lineRule="auto"/>
        <w:jc w:val="both"/>
        <w:rPr>
          <w:b/>
          <w:sz w:val="22"/>
          <w:szCs w:val="22"/>
        </w:rPr>
      </w:pPr>
    </w:p>
    <w:p w14:paraId="15ECA178" w14:textId="79D729D1" w:rsidR="00076DAE" w:rsidRDefault="00076DAE" w:rsidP="00C23862">
      <w:pPr>
        <w:spacing w:before="120" w:line="276" w:lineRule="auto"/>
        <w:jc w:val="both"/>
        <w:rPr>
          <w:b/>
          <w:sz w:val="22"/>
          <w:szCs w:val="22"/>
        </w:rPr>
      </w:pPr>
    </w:p>
    <w:p w14:paraId="4E6C3BC6" w14:textId="6CCBB8CC" w:rsidR="00076DAE" w:rsidRDefault="00076DAE" w:rsidP="00C23862">
      <w:pPr>
        <w:spacing w:before="120" w:line="276" w:lineRule="auto"/>
        <w:jc w:val="both"/>
        <w:rPr>
          <w:b/>
          <w:sz w:val="22"/>
          <w:szCs w:val="22"/>
        </w:rPr>
      </w:pPr>
    </w:p>
    <w:p w14:paraId="5E7D48D1" w14:textId="6A8D369C" w:rsidR="00076DAE" w:rsidRDefault="00076DAE" w:rsidP="00C23862">
      <w:pPr>
        <w:spacing w:before="120" w:line="276" w:lineRule="auto"/>
        <w:jc w:val="both"/>
        <w:rPr>
          <w:b/>
          <w:sz w:val="22"/>
          <w:szCs w:val="22"/>
        </w:rPr>
      </w:pPr>
    </w:p>
    <w:p w14:paraId="4674FD00" w14:textId="608AA4B4" w:rsidR="00076DAE" w:rsidRDefault="00076DAE">
      <w:pPr>
        <w:widowControl/>
        <w:adjustRightInd/>
        <w:spacing w:after="200" w:line="276" w:lineRule="auto"/>
        <w:rPr>
          <w:b/>
          <w:sz w:val="22"/>
          <w:szCs w:val="22"/>
        </w:rPr>
      </w:pPr>
      <w:r>
        <w:rPr>
          <w:b/>
          <w:sz w:val="22"/>
          <w:szCs w:val="22"/>
        </w:rPr>
        <w:br w:type="page"/>
      </w:r>
    </w:p>
    <w:p w14:paraId="7E0B4344" w14:textId="77777777" w:rsidR="0081540D" w:rsidRPr="0081540D" w:rsidRDefault="0081540D" w:rsidP="0081540D">
      <w:pPr>
        <w:autoSpaceDE w:val="0"/>
        <w:autoSpaceDN w:val="0"/>
        <w:ind w:right="143"/>
        <w:jc w:val="center"/>
        <w:rPr>
          <w:b/>
          <w:caps/>
          <w:spacing w:val="30"/>
        </w:rPr>
      </w:pPr>
      <w:r w:rsidRPr="0081540D">
        <w:rPr>
          <w:b/>
          <w:caps/>
          <w:spacing w:val="30"/>
        </w:rPr>
        <w:lastRenderedPageBreak/>
        <w:t>Doložka zlučiteľnosti</w:t>
      </w:r>
    </w:p>
    <w:p w14:paraId="112071A8" w14:textId="77777777" w:rsidR="0081540D" w:rsidRPr="0081540D" w:rsidRDefault="0081540D" w:rsidP="0081540D">
      <w:pPr>
        <w:autoSpaceDE w:val="0"/>
        <w:autoSpaceDN w:val="0"/>
        <w:ind w:right="143"/>
        <w:jc w:val="center"/>
        <w:rPr>
          <w:b/>
        </w:rPr>
      </w:pPr>
      <w:r w:rsidRPr="0081540D">
        <w:rPr>
          <w:b/>
        </w:rPr>
        <w:t xml:space="preserve"> návrhu zákona s právom Európskej únie </w:t>
      </w:r>
    </w:p>
    <w:p w14:paraId="24B4E784" w14:textId="77777777" w:rsidR="0081540D" w:rsidRPr="0081540D" w:rsidRDefault="0081540D" w:rsidP="0081540D">
      <w:pPr>
        <w:autoSpaceDE w:val="0"/>
        <w:autoSpaceDN w:val="0"/>
        <w:ind w:right="143"/>
      </w:pPr>
    </w:p>
    <w:p w14:paraId="4B22703E" w14:textId="77777777" w:rsidR="0081540D" w:rsidRPr="0081540D" w:rsidRDefault="0081540D" w:rsidP="0081540D">
      <w:pPr>
        <w:numPr>
          <w:ilvl w:val="0"/>
          <w:numId w:val="3"/>
        </w:numPr>
        <w:autoSpaceDE w:val="0"/>
        <w:autoSpaceDN w:val="0"/>
        <w:ind w:left="426" w:right="143" w:hanging="426"/>
        <w:contextualSpacing/>
        <w:rPr>
          <w:b/>
        </w:rPr>
      </w:pPr>
      <w:r w:rsidRPr="0081540D">
        <w:rPr>
          <w:b/>
        </w:rPr>
        <w:t>Navrhovateľ zákona:</w:t>
      </w:r>
      <w:r w:rsidRPr="0081540D">
        <w:t xml:space="preserve"> </w:t>
      </w:r>
    </w:p>
    <w:p w14:paraId="0338EAB2" w14:textId="26DCD077" w:rsidR="0081540D" w:rsidRPr="0081540D" w:rsidRDefault="0081540D" w:rsidP="0081540D">
      <w:pPr>
        <w:tabs>
          <w:tab w:val="left" w:pos="426"/>
        </w:tabs>
        <w:autoSpaceDE w:val="0"/>
        <w:autoSpaceDN w:val="0"/>
        <w:ind w:right="142"/>
        <w:rPr>
          <w:b/>
        </w:rPr>
      </w:pPr>
      <w:r w:rsidRPr="0081540D">
        <w:tab/>
      </w:r>
      <w:r w:rsidR="0093572E">
        <w:t>Vláda</w:t>
      </w:r>
      <w:bookmarkStart w:id="2" w:name="_GoBack"/>
      <w:bookmarkEnd w:id="2"/>
      <w:r w:rsidRPr="0081540D">
        <w:t xml:space="preserve"> Slovenskej republiky</w:t>
      </w:r>
      <w:r w:rsidRPr="0081540D">
        <w:rPr>
          <w:b/>
        </w:rPr>
        <w:t xml:space="preserve"> </w:t>
      </w:r>
    </w:p>
    <w:p w14:paraId="39905EEB" w14:textId="77777777" w:rsidR="0081540D" w:rsidRPr="0081540D" w:rsidRDefault="0081540D" w:rsidP="0081540D">
      <w:pPr>
        <w:tabs>
          <w:tab w:val="left" w:pos="360"/>
        </w:tabs>
        <w:autoSpaceDE w:val="0"/>
        <w:autoSpaceDN w:val="0"/>
        <w:ind w:left="360" w:right="143"/>
      </w:pPr>
    </w:p>
    <w:p w14:paraId="72963650" w14:textId="77777777" w:rsidR="0081540D" w:rsidRPr="0081540D" w:rsidRDefault="0081540D" w:rsidP="0081540D">
      <w:pPr>
        <w:numPr>
          <w:ilvl w:val="0"/>
          <w:numId w:val="3"/>
        </w:numPr>
        <w:autoSpaceDE w:val="0"/>
        <w:autoSpaceDN w:val="0"/>
        <w:ind w:left="426" w:right="143" w:hanging="426"/>
        <w:contextualSpacing/>
      </w:pPr>
      <w:r w:rsidRPr="0081540D">
        <w:rPr>
          <w:b/>
        </w:rPr>
        <w:t>Názov návrhu zákona:</w:t>
      </w:r>
      <w:r w:rsidRPr="0081540D">
        <w:t xml:space="preserve"> </w:t>
      </w:r>
    </w:p>
    <w:p w14:paraId="07AE7CD9" w14:textId="77777777" w:rsidR="0081540D" w:rsidRPr="0081540D" w:rsidRDefault="0081540D" w:rsidP="0081540D">
      <w:pPr>
        <w:autoSpaceDE w:val="0"/>
        <w:autoSpaceDN w:val="0"/>
        <w:ind w:left="425" w:right="142"/>
        <w:jc w:val="both"/>
        <w:rPr>
          <w:bCs/>
          <w:lang w:val="x-none" w:eastAsia="x-none"/>
        </w:rPr>
      </w:pPr>
      <w:r w:rsidRPr="0081540D">
        <w:rPr>
          <w:bCs/>
          <w:lang w:val="x-none" w:eastAsia="x-none"/>
        </w:rPr>
        <w:t>Zákon, ktorým sa mení a dopĺňa zákon č. 150/2013 Z. z. o Štátnom fonde rozvoja bývania v znení neskorších predpisov a ktorým sa mení zákon č. 443/2010 Z. z. o dotáciách na rozvoj bývania  a o sociálnom bývaní v znení neskorších predpisov</w:t>
      </w:r>
    </w:p>
    <w:p w14:paraId="4BF845F5" w14:textId="77777777" w:rsidR="0081540D" w:rsidRPr="0081540D" w:rsidRDefault="0081540D" w:rsidP="0081540D">
      <w:pPr>
        <w:autoSpaceDE w:val="0"/>
        <w:autoSpaceDN w:val="0"/>
        <w:ind w:left="425" w:right="142"/>
        <w:jc w:val="both"/>
        <w:rPr>
          <w:bCs/>
          <w:lang w:val="x-none" w:eastAsia="x-none"/>
        </w:rPr>
      </w:pPr>
    </w:p>
    <w:p w14:paraId="0EA09987" w14:textId="77777777" w:rsidR="0081540D" w:rsidRPr="0081540D" w:rsidRDefault="0081540D" w:rsidP="0081540D">
      <w:pPr>
        <w:numPr>
          <w:ilvl w:val="0"/>
          <w:numId w:val="3"/>
        </w:numPr>
        <w:autoSpaceDE w:val="0"/>
        <w:autoSpaceDN w:val="0"/>
        <w:ind w:left="426" w:right="143" w:hanging="426"/>
        <w:contextualSpacing/>
        <w:rPr>
          <w:b/>
        </w:rPr>
      </w:pPr>
      <w:r w:rsidRPr="0081540D">
        <w:rPr>
          <w:b/>
        </w:rPr>
        <w:t>Predmet návrhu zákona je – nie je upravený v práve Európskej únie:</w:t>
      </w:r>
    </w:p>
    <w:p w14:paraId="422E9B7F" w14:textId="77777777" w:rsidR="0081540D" w:rsidRPr="0081540D" w:rsidRDefault="0081540D" w:rsidP="0081540D">
      <w:pPr>
        <w:autoSpaceDE w:val="0"/>
        <w:autoSpaceDN w:val="0"/>
        <w:ind w:left="426" w:right="143"/>
        <w:jc w:val="both"/>
      </w:pPr>
      <w:r w:rsidRPr="0081540D">
        <w:t>a)</w:t>
      </w:r>
      <w:r w:rsidRPr="0081540D">
        <w:tab/>
        <w:t>nie je upravený v primárnom práve Európskej únie,</w:t>
      </w:r>
    </w:p>
    <w:p w14:paraId="11102D9B" w14:textId="77777777" w:rsidR="0081540D" w:rsidRPr="0081540D" w:rsidRDefault="0081540D" w:rsidP="0081540D">
      <w:pPr>
        <w:autoSpaceDE w:val="0"/>
        <w:autoSpaceDN w:val="0"/>
        <w:ind w:left="426" w:right="143"/>
        <w:jc w:val="both"/>
      </w:pPr>
      <w:r w:rsidRPr="0081540D">
        <w:t xml:space="preserve">b) </w:t>
      </w:r>
      <w:r w:rsidRPr="0081540D">
        <w:tab/>
        <w:t xml:space="preserve">nie je upravený v sekundárnom práve Európskej únie, </w:t>
      </w:r>
    </w:p>
    <w:p w14:paraId="34B25E50" w14:textId="77777777" w:rsidR="0081540D" w:rsidRPr="0081540D" w:rsidRDefault="0081540D" w:rsidP="0081540D">
      <w:pPr>
        <w:autoSpaceDE w:val="0"/>
        <w:autoSpaceDN w:val="0"/>
        <w:ind w:left="426" w:right="143"/>
        <w:jc w:val="both"/>
      </w:pPr>
      <w:r w:rsidRPr="0081540D">
        <w:t>c)</w:t>
      </w:r>
      <w:r w:rsidRPr="0081540D">
        <w:tab/>
        <w:t>nie je obsiahnutý v judikatúre Súdneho dvora Európskej únie.</w:t>
      </w:r>
    </w:p>
    <w:p w14:paraId="39D8F615" w14:textId="77777777" w:rsidR="0081540D" w:rsidRPr="0081540D" w:rsidRDefault="0081540D" w:rsidP="0081540D">
      <w:pPr>
        <w:autoSpaceDE w:val="0"/>
        <w:autoSpaceDN w:val="0"/>
        <w:ind w:left="426" w:right="143"/>
      </w:pPr>
    </w:p>
    <w:p w14:paraId="5365675C" w14:textId="77777777" w:rsidR="0081540D" w:rsidRPr="0081540D" w:rsidRDefault="0081540D" w:rsidP="0081540D">
      <w:pPr>
        <w:autoSpaceDE w:val="0"/>
        <w:autoSpaceDN w:val="0"/>
        <w:ind w:left="426" w:right="143"/>
        <w:jc w:val="both"/>
      </w:pPr>
      <w:r w:rsidRPr="0081540D">
        <w:rPr>
          <w:lang w:val="ru-RU"/>
        </w:rPr>
        <w:t xml:space="preserve">Vzhľadom na vnútroštátny charakter </w:t>
      </w:r>
      <w:r w:rsidRPr="0081540D">
        <w:t>navrhovaného zákona je bezpredmetné vyjadrovať sa k bodom 4. a 5. doložky zlučiteľnosti.</w:t>
      </w:r>
    </w:p>
    <w:p w14:paraId="743B0531" w14:textId="77777777" w:rsidR="0081540D" w:rsidRPr="0081540D" w:rsidRDefault="0081540D" w:rsidP="0081540D">
      <w:pPr>
        <w:autoSpaceDE w:val="0"/>
        <w:autoSpaceDN w:val="0"/>
        <w:ind w:left="425" w:right="142"/>
        <w:jc w:val="both"/>
        <w:rPr>
          <w:szCs w:val="20"/>
          <w:lang w:val="x-none" w:eastAsia="x-none"/>
        </w:rPr>
      </w:pPr>
    </w:p>
    <w:p w14:paraId="71FE797A" w14:textId="0255C2C2" w:rsidR="0081540D" w:rsidRDefault="0081540D">
      <w:pPr>
        <w:widowControl/>
        <w:adjustRightInd/>
        <w:spacing w:after="200" w:line="276" w:lineRule="auto"/>
        <w:rPr>
          <w:b/>
          <w:sz w:val="22"/>
          <w:szCs w:val="22"/>
        </w:rPr>
      </w:pPr>
      <w:r>
        <w:rPr>
          <w:b/>
          <w:sz w:val="22"/>
          <w:szCs w:val="22"/>
        </w:rPr>
        <w:br w:type="page"/>
      </w:r>
    </w:p>
    <w:p w14:paraId="71B15A24" w14:textId="29F17A0E" w:rsidR="00A312C6" w:rsidRPr="009768A3" w:rsidRDefault="00C23862" w:rsidP="00C23862">
      <w:pPr>
        <w:spacing w:before="120" w:line="276" w:lineRule="auto"/>
        <w:jc w:val="both"/>
        <w:rPr>
          <w:b/>
          <w:sz w:val="22"/>
          <w:szCs w:val="22"/>
        </w:rPr>
      </w:pPr>
      <w:r w:rsidRPr="009768A3">
        <w:rPr>
          <w:b/>
          <w:sz w:val="22"/>
          <w:szCs w:val="22"/>
        </w:rPr>
        <w:lastRenderedPageBreak/>
        <w:t>B. Osobitná časť</w:t>
      </w:r>
    </w:p>
    <w:p w14:paraId="3BDC0D2A" w14:textId="77777777" w:rsidR="00FF06C7" w:rsidRPr="009768A3" w:rsidRDefault="00FF06C7" w:rsidP="00FF06C7">
      <w:pPr>
        <w:spacing w:before="120"/>
        <w:jc w:val="both"/>
        <w:rPr>
          <w:b/>
          <w:sz w:val="22"/>
          <w:szCs w:val="22"/>
        </w:rPr>
      </w:pPr>
      <w:r w:rsidRPr="009768A3">
        <w:rPr>
          <w:b/>
          <w:sz w:val="22"/>
          <w:szCs w:val="22"/>
        </w:rPr>
        <w:t xml:space="preserve">Čl. I </w:t>
      </w:r>
    </w:p>
    <w:p w14:paraId="03F1E84B" w14:textId="77777777" w:rsidR="00FF06C7" w:rsidRPr="009768A3" w:rsidRDefault="00FF06C7" w:rsidP="003B6660">
      <w:pPr>
        <w:jc w:val="both"/>
        <w:rPr>
          <w:b/>
          <w:sz w:val="22"/>
          <w:szCs w:val="22"/>
        </w:rPr>
      </w:pPr>
      <w:r w:rsidRPr="009768A3">
        <w:rPr>
          <w:b/>
          <w:sz w:val="22"/>
          <w:szCs w:val="22"/>
        </w:rPr>
        <w:t>K bodu 1</w:t>
      </w:r>
    </w:p>
    <w:p w14:paraId="7269252A" w14:textId="77777777" w:rsidR="00844548" w:rsidRPr="009768A3" w:rsidRDefault="00844548" w:rsidP="003B6660">
      <w:pPr>
        <w:jc w:val="both"/>
        <w:rPr>
          <w:sz w:val="22"/>
          <w:szCs w:val="22"/>
        </w:rPr>
      </w:pPr>
    </w:p>
    <w:p w14:paraId="46C3A4A2" w14:textId="77777777" w:rsidR="007C416F" w:rsidRPr="009768A3" w:rsidRDefault="00FF06C7" w:rsidP="009768A3">
      <w:pPr>
        <w:ind w:firstLine="720"/>
        <w:jc w:val="both"/>
        <w:rPr>
          <w:sz w:val="22"/>
          <w:szCs w:val="22"/>
        </w:rPr>
      </w:pPr>
      <w:r w:rsidRPr="009768A3">
        <w:rPr>
          <w:sz w:val="22"/>
          <w:szCs w:val="22"/>
        </w:rPr>
        <w:t xml:space="preserve">ŠFRB má určený limit výdavkov na svoju činnosť v súčasnosti na úrovni 5%. </w:t>
      </w:r>
      <w:r w:rsidR="00025A6D" w:rsidRPr="009768A3">
        <w:rPr>
          <w:sz w:val="22"/>
          <w:szCs w:val="22"/>
        </w:rPr>
        <w:t>Od roku 2022 narastá záujem najmä fyzických osôb o poskytnutie podpory zo ŠFRB. Kým v roku 2021 bolo na ŠFRB podaných celkovo 686 žiadostí o poskytnutie podpory, tak v roku 2024 bolo podaných až 1</w:t>
      </w:r>
      <w:r w:rsidR="004F0FCD" w:rsidRPr="009768A3">
        <w:rPr>
          <w:sz w:val="22"/>
          <w:szCs w:val="22"/>
        </w:rPr>
        <w:t> </w:t>
      </w:r>
      <w:r w:rsidR="00025A6D" w:rsidRPr="009768A3">
        <w:rPr>
          <w:sz w:val="22"/>
          <w:szCs w:val="22"/>
        </w:rPr>
        <w:t xml:space="preserve">594 žiadostí, čo predstavuje nárast o 132 %. Počas tohto obdobia musel ŠFRB z dôvodu zvýšených nárokov na prácnosť schvaľovania čerpania úverov (posudzovanie žiadostí, uzatváranie úverových, záložných zmlúv, posudzovanie žiadostí o navýšenie úveru, spracovanie podkladov pre čerpanie úveru, atď.) zvýšiť počet zamestnancov o 10. </w:t>
      </w:r>
      <w:r w:rsidR="00147E67" w:rsidRPr="009768A3">
        <w:rPr>
          <w:sz w:val="22"/>
          <w:szCs w:val="22"/>
        </w:rPr>
        <w:t xml:space="preserve">Naviac v súvislosti so zmenou DPH od 1.1.2025 bude potrebné realizovať zmeny v už uzatvorených úverových zmluvách (navyšovanie obstarávacích nákladov, posudzovanie žiadostí o navýšenie úveru). </w:t>
      </w:r>
      <w:r w:rsidR="004F0FCD" w:rsidRPr="009768A3">
        <w:rPr>
          <w:sz w:val="22"/>
          <w:szCs w:val="22"/>
        </w:rPr>
        <w:t xml:space="preserve">V súvislosti s uvedenými zmenami a predpokladom vo vývoji počtu predložených žiadostí </w:t>
      </w:r>
      <w:r w:rsidR="00147E67" w:rsidRPr="009768A3">
        <w:rPr>
          <w:sz w:val="22"/>
          <w:szCs w:val="22"/>
        </w:rPr>
        <w:t>ŠFRB v</w:t>
      </w:r>
      <w:r w:rsidR="007C416F" w:rsidRPr="009768A3">
        <w:rPr>
          <w:sz w:val="22"/>
          <w:szCs w:val="22"/>
        </w:rPr>
        <w:t xml:space="preserve"> roku 2025 predpokladá </w:t>
      </w:r>
      <w:r w:rsidR="004F0FCD" w:rsidRPr="009768A3">
        <w:rPr>
          <w:sz w:val="22"/>
          <w:szCs w:val="22"/>
        </w:rPr>
        <w:t xml:space="preserve">možnosť zvýšenia počtu zamestnancov </w:t>
      </w:r>
      <w:r w:rsidR="007C416F" w:rsidRPr="009768A3">
        <w:rPr>
          <w:sz w:val="22"/>
          <w:szCs w:val="22"/>
        </w:rPr>
        <w:t>o</w:t>
      </w:r>
      <w:r w:rsidR="004F0FCD" w:rsidRPr="009768A3">
        <w:rPr>
          <w:sz w:val="22"/>
          <w:szCs w:val="22"/>
        </w:rPr>
        <w:t xml:space="preserve"> najviac</w:t>
      </w:r>
      <w:r w:rsidR="00813CB4" w:rsidRPr="009768A3">
        <w:rPr>
          <w:sz w:val="22"/>
          <w:szCs w:val="22"/>
        </w:rPr>
        <w:t xml:space="preserve"> 4.</w:t>
      </w:r>
    </w:p>
    <w:p w14:paraId="5A8FB5BD" w14:textId="77777777" w:rsidR="00147E67" w:rsidRPr="009768A3" w:rsidRDefault="00147E67" w:rsidP="009768A3">
      <w:pPr>
        <w:ind w:firstLine="720"/>
        <w:jc w:val="both"/>
        <w:rPr>
          <w:sz w:val="22"/>
          <w:szCs w:val="22"/>
        </w:rPr>
      </w:pPr>
      <w:r w:rsidRPr="009768A3">
        <w:rPr>
          <w:sz w:val="22"/>
          <w:szCs w:val="22"/>
        </w:rPr>
        <w:t>Zvýšenie limitu výdavkov na činnosť ŠFRB sa navrhuje aj vzhľadom na zavedenie transakčnej dane od 1.1.2025 a už uvedenej DPH, čo má vplyv na všetky tovary a služby obstarávané ŠFRB.</w:t>
      </w:r>
    </w:p>
    <w:p w14:paraId="563BFA29" w14:textId="77777777" w:rsidR="00FF06C7" w:rsidRPr="009768A3" w:rsidRDefault="00147E67" w:rsidP="009768A3">
      <w:pPr>
        <w:ind w:firstLine="720"/>
        <w:jc w:val="both"/>
        <w:rPr>
          <w:sz w:val="22"/>
          <w:szCs w:val="22"/>
        </w:rPr>
      </w:pPr>
      <w:r w:rsidRPr="009768A3">
        <w:rPr>
          <w:sz w:val="22"/>
          <w:szCs w:val="22"/>
        </w:rPr>
        <w:t>Z uvedeného dôvodu</w:t>
      </w:r>
      <w:r w:rsidR="00FF06C7" w:rsidRPr="009768A3">
        <w:rPr>
          <w:sz w:val="22"/>
          <w:szCs w:val="22"/>
        </w:rPr>
        <w:t xml:space="preserve"> sa navrhuje zvýšenie limitu ŠFRB na úroveň 7</w:t>
      </w:r>
      <w:r w:rsidR="0008694B" w:rsidRPr="009768A3">
        <w:rPr>
          <w:sz w:val="22"/>
          <w:szCs w:val="22"/>
        </w:rPr>
        <w:t> </w:t>
      </w:r>
      <w:r w:rsidR="00FF06C7" w:rsidRPr="009768A3">
        <w:rPr>
          <w:sz w:val="22"/>
          <w:szCs w:val="22"/>
        </w:rPr>
        <w:t>%. Uvedené</w:t>
      </w:r>
      <w:r w:rsidR="00465AF2" w:rsidRPr="009768A3">
        <w:rPr>
          <w:sz w:val="22"/>
          <w:szCs w:val="22"/>
        </w:rPr>
        <w:t xml:space="preserve"> zvýšenie</w:t>
      </w:r>
      <w:r w:rsidR="00FF06C7" w:rsidRPr="009768A3">
        <w:rPr>
          <w:sz w:val="22"/>
          <w:szCs w:val="22"/>
        </w:rPr>
        <w:t xml:space="preserve"> však predstavuje len možnosť, r</w:t>
      </w:r>
      <w:r w:rsidR="00DC0B6C" w:rsidRPr="009768A3">
        <w:rPr>
          <w:sz w:val="22"/>
          <w:szCs w:val="22"/>
        </w:rPr>
        <w:t xml:space="preserve">eálne potreby </w:t>
      </w:r>
      <w:r w:rsidR="00FF06C7" w:rsidRPr="009768A3">
        <w:rPr>
          <w:sz w:val="22"/>
          <w:szCs w:val="22"/>
        </w:rPr>
        <w:t>a výdavky ŠFRB podliehajú pravidlám zákona č. 523/2004 Z. z. o rozpočtových pravidlách verejnej správy a o zmene a doplnení niektorých zákonov v znení neskorších predpisov a schvále</w:t>
      </w:r>
      <w:r w:rsidR="00813CB4" w:rsidRPr="009768A3">
        <w:rPr>
          <w:sz w:val="22"/>
          <w:szCs w:val="22"/>
        </w:rPr>
        <w:t>ným limitom verejných výdavkov.</w:t>
      </w:r>
    </w:p>
    <w:p w14:paraId="55F8E351" w14:textId="77777777" w:rsidR="003B6660" w:rsidRPr="009768A3" w:rsidRDefault="003B6660" w:rsidP="003B6660">
      <w:pPr>
        <w:jc w:val="both"/>
        <w:rPr>
          <w:sz w:val="22"/>
          <w:szCs w:val="22"/>
        </w:rPr>
      </w:pPr>
    </w:p>
    <w:p w14:paraId="48356DE5" w14:textId="77777777" w:rsidR="00DC0B6C" w:rsidRPr="009768A3" w:rsidRDefault="00DC0B6C" w:rsidP="003B6660">
      <w:pPr>
        <w:jc w:val="both"/>
        <w:rPr>
          <w:b/>
          <w:sz w:val="22"/>
          <w:szCs w:val="22"/>
        </w:rPr>
      </w:pPr>
      <w:r w:rsidRPr="009768A3">
        <w:rPr>
          <w:b/>
          <w:sz w:val="22"/>
          <w:szCs w:val="22"/>
        </w:rPr>
        <w:t>K bodu 2</w:t>
      </w:r>
    </w:p>
    <w:p w14:paraId="44C5D15E" w14:textId="77777777" w:rsidR="00844548" w:rsidRPr="009768A3" w:rsidRDefault="00844548" w:rsidP="009768A3">
      <w:pPr>
        <w:ind w:firstLine="720"/>
        <w:jc w:val="both"/>
        <w:rPr>
          <w:sz w:val="22"/>
          <w:szCs w:val="22"/>
        </w:rPr>
      </w:pPr>
    </w:p>
    <w:p w14:paraId="73FDE18E" w14:textId="0058E07E" w:rsidR="001C5C14" w:rsidRPr="009768A3" w:rsidRDefault="0014114B" w:rsidP="009768A3">
      <w:pPr>
        <w:ind w:firstLine="720"/>
        <w:jc w:val="both"/>
        <w:rPr>
          <w:sz w:val="22"/>
          <w:szCs w:val="22"/>
        </w:rPr>
      </w:pPr>
      <w:r w:rsidRPr="009768A3">
        <w:rPr>
          <w:sz w:val="22"/>
          <w:szCs w:val="22"/>
        </w:rPr>
        <w:t xml:space="preserve">Upresňuje sa pojem „zateplenie bytovej budovy“ odkazom na </w:t>
      </w:r>
      <w:r w:rsidR="00961C31" w:rsidRPr="009768A3">
        <w:rPr>
          <w:sz w:val="22"/>
          <w:szCs w:val="22"/>
        </w:rPr>
        <w:t xml:space="preserve">§ 4 </w:t>
      </w:r>
      <w:r w:rsidRPr="009768A3">
        <w:rPr>
          <w:sz w:val="22"/>
          <w:szCs w:val="22"/>
        </w:rPr>
        <w:t>zákon</w:t>
      </w:r>
      <w:r w:rsidR="00961C31" w:rsidRPr="009768A3">
        <w:rPr>
          <w:sz w:val="22"/>
          <w:szCs w:val="22"/>
        </w:rPr>
        <w:t>a</w:t>
      </w:r>
      <w:r w:rsidRPr="009768A3">
        <w:rPr>
          <w:sz w:val="22"/>
          <w:szCs w:val="22"/>
        </w:rPr>
        <w:t xml:space="preserve"> č. 555/2005 Z. z. o energetickej hospodárnosti budov a o zmene a doplnení niektorých zákonov v znení neskorších predpisov, čím sa zadefinuje</w:t>
      </w:r>
      <w:r w:rsidR="002404C3" w:rsidRPr="009768A3">
        <w:rPr>
          <w:sz w:val="22"/>
          <w:szCs w:val="22"/>
        </w:rPr>
        <w:t>,</w:t>
      </w:r>
      <w:r w:rsidRPr="009768A3">
        <w:rPr>
          <w:sz w:val="22"/>
          <w:szCs w:val="22"/>
        </w:rPr>
        <w:t xml:space="preserve"> čo sa na účely tohto zákona rozumie pod týmto pojmom a zároveň sa tým aj inkorporujú príslušné výnimky zákona č. 555/2005 Z. z. viažuce sa k danému pojmu.</w:t>
      </w:r>
    </w:p>
    <w:p w14:paraId="6DC2FFB1" w14:textId="77777777" w:rsidR="003B6660" w:rsidRPr="009768A3" w:rsidRDefault="003B6660" w:rsidP="003B6660">
      <w:pPr>
        <w:jc w:val="both"/>
        <w:rPr>
          <w:sz w:val="22"/>
          <w:szCs w:val="22"/>
        </w:rPr>
      </w:pPr>
    </w:p>
    <w:p w14:paraId="6CD813EC" w14:textId="7CCA0064" w:rsidR="000064F7" w:rsidRPr="009768A3" w:rsidRDefault="000064F7" w:rsidP="000064F7">
      <w:pPr>
        <w:jc w:val="both"/>
        <w:rPr>
          <w:b/>
          <w:sz w:val="22"/>
          <w:szCs w:val="22"/>
        </w:rPr>
      </w:pPr>
      <w:r w:rsidRPr="009768A3">
        <w:rPr>
          <w:b/>
          <w:sz w:val="22"/>
          <w:szCs w:val="22"/>
        </w:rPr>
        <w:t xml:space="preserve">K bodom 3 až </w:t>
      </w:r>
      <w:r w:rsidR="00961C31" w:rsidRPr="009768A3">
        <w:rPr>
          <w:b/>
          <w:sz w:val="22"/>
          <w:szCs w:val="22"/>
        </w:rPr>
        <w:t>7</w:t>
      </w:r>
    </w:p>
    <w:p w14:paraId="388130DB" w14:textId="77777777" w:rsidR="00844548" w:rsidRPr="009768A3" w:rsidRDefault="00844548" w:rsidP="00C740B4">
      <w:pPr>
        <w:widowControl/>
        <w:adjustRightInd/>
        <w:spacing w:line="259" w:lineRule="auto"/>
        <w:jc w:val="both"/>
        <w:rPr>
          <w:sz w:val="22"/>
          <w:szCs w:val="22"/>
        </w:rPr>
      </w:pPr>
    </w:p>
    <w:p w14:paraId="4F3C1F98" w14:textId="09A86E0B" w:rsidR="000064F7" w:rsidRPr="009768A3" w:rsidRDefault="000064F7" w:rsidP="009768A3">
      <w:pPr>
        <w:widowControl/>
        <w:adjustRightInd/>
        <w:spacing w:line="259" w:lineRule="auto"/>
        <w:ind w:firstLine="720"/>
        <w:jc w:val="both"/>
        <w:rPr>
          <w:sz w:val="22"/>
          <w:szCs w:val="22"/>
        </w:rPr>
      </w:pPr>
      <w:r w:rsidRPr="009768A3">
        <w:rPr>
          <w:sz w:val="22"/>
          <w:szCs w:val="22"/>
        </w:rPr>
        <w:t>Navrhuje sa zavedenie dvoch nových účelov podpory, ktorými sú obstaranie internátu (výstavbou alebo kúpou) a obnova internátu (zateplenie a modernizáci</w:t>
      </w:r>
      <w:r w:rsidR="009265D8" w:rsidRPr="009768A3">
        <w:rPr>
          <w:sz w:val="22"/>
          <w:szCs w:val="22"/>
        </w:rPr>
        <w:t>a</w:t>
      </w:r>
      <w:r w:rsidRPr="009768A3">
        <w:rPr>
          <w:sz w:val="22"/>
          <w:szCs w:val="22"/>
        </w:rPr>
        <w:t xml:space="preserve">). Zavedením nových účelov podpory zo Štátneho fondu rozvoja bývania (obstaranie a obnova internátov) sa žiadateľovi – samosprávny kraj alebo iná právnická osoba (verejná vysoká škola) umožní získanie výhodného úveru na rozšírenie a skvalitnenie ubytovacích kapacít pre </w:t>
      </w:r>
      <w:r w:rsidR="002951BC">
        <w:rPr>
          <w:sz w:val="22"/>
          <w:szCs w:val="22"/>
        </w:rPr>
        <w:t xml:space="preserve">žiakov </w:t>
      </w:r>
      <w:r w:rsidRPr="009768A3">
        <w:rPr>
          <w:sz w:val="22"/>
          <w:szCs w:val="22"/>
        </w:rPr>
        <w:t xml:space="preserve">stredných </w:t>
      </w:r>
      <w:r w:rsidR="002951BC">
        <w:rPr>
          <w:sz w:val="22"/>
          <w:szCs w:val="22"/>
        </w:rPr>
        <w:t xml:space="preserve">škôl </w:t>
      </w:r>
      <w:r w:rsidRPr="009768A3">
        <w:rPr>
          <w:sz w:val="22"/>
          <w:szCs w:val="22"/>
        </w:rPr>
        <w:t>a </w:t>
      </w:r>
      <w:r w:rsidR="002951BC" w:rsidRPr="009768A3">
        <w:rPr>
          <w:sz w:val="22"/>
          <w:szCs w:val="22"/>
        </w:rPr>
        <w:t xml:space="preserve">študentov </w:t>
      </w:r>
      <w:r w:rsidRPr="009768A3">
        <w:rPr>
          <w:sz w:val="22"/>
          <w:szCs w:val="22"/>
        </w:rPr>
        <w:t>vysokých škôl, pretože využitie komerčného úveru na tento účel predstavuje pre potenciálnych žiadateľov neprekonateľnú prekážku.</w:t>
      </w:r>
    </w:p>
    <w:p w14:paraId="5094E27C" w14:textId="77777777" w:rsidR="00247D02" w:rsidRPr="009768A3" w:rsidRDefault="00C740B4" w:rsidP="00961C31">
      <w:pPr>
        <w:widowControl/>
        <w:adjustRightInd/>
        <w:spacing w:line="259" w:lineRule="auto"/>
        <w:ind w:firstLine="720"/>
        <w:jc w:val="both"/>
        <w:rPr>
          <w:sz w:val="22"/>
          <w:szCs w:val="22"/>
        </w:rPr>
      </w:pPr>
      <w:r w:rsidRPr="009768A3">
        <w:rPr>
          <w:sz w:val="22"/>
          <w:szCs w:val="22"/>
        </w:rPr>
        <w:t>Na o</w:t>
      </w:r>
      <w:r w:rsidR="000064F7" w:rsidRPr="009768A3">
        <w:rPr>
          <w:sz w:val="22"/>
          <w:szCs w:val="22"/>
        </w:rPr>
        <w:t xml:space="preserve">bstaranie internátu kúpou </w:t>
      </w:r>
      <w:r w:rsidRPr="009768A3">
        <w:rPr>
          <w:sz w:val="22"/>
          <w:szCs w:val="22"/>
        </w:rPr>
        <w:t>sa navrhuje poskytnúť podporu iba vtedy, ak pôjde o tzv. novostavbu internátu. To znamená, že od nadobudnutia právoplatnosti kolaudačné</w:t>
      </w:r>
      <w:r w:rsidR="008A41A8" w:rsidRPr="009768A3">
        <w:rPr>
          <w:sz w:val="22"/>
          <w:szCs w:val="22"/>
        </w:rPr>
        <w:t>ho</w:t>
      </w:r>
      <w:r w:rsidRPr="009768A3">
        <w:rPr>
          <w:sz w:val="22"/>
          <w:szCs w:val="22"/>
        </w:rPr>
        <w:t xml:space="preserve"> rozhodnutia alebo kolaudačného osvedčenia internátu neuplynuli viac ako tri roky.</w:t>
      </w:r>
    </w:p>
    <w:p w14:paraId="7AC187D5" w14:textId="77777777" w:rsidR="000064F7" w:rsidRPr="009768A3" w:rsidRDefault="00247D02" w:rsidP="00961C31">
      <w:pPr>
        <w:widowControl/>
        <w:adjustRightInd/>
        <w:spacing w:line="259" w:lineRule="auto"/>
        <w:ind w:firstLine="720"/>
        <w:jc w:val="both"/>
        <w:rPr>
          <w:sz w:val="22"/>
          <w:szCs w:val="22"/>
        </w:rPr>
      </w:pPr>
      <w:r w:rsidRPr="009768A3">
        <w:rPr>
          <w:sz w:val="22"/>
          <w:szCs w:val="22"/>
        </w:rPr>
        <w:t>Súčasne sa navrhuje poskytnutie podpory na obstaranie technickej vybavenosti (výstavbou alebo kúpou) a na kúpu pozemku podmieňujúcej výstavbu a užívanie internátu,</w:t>
      </w:r>
      <w:r w:rsidR="008A41A8" w:rsidRPr="009768A3">
        <w:rPr>
          <w:sz w:val="22"/>
          <w:szCs w:val="22"/>
        </w:rPr>
        <w:t xml:space="preserve"> na</w:t>
      </w:r>
      <w:r w:rsidRPr="009768A3">
        <w:rPr>
          <w:sz w:val="22"/>
          <w:szCs w:val="22"/>
        </w:rPr>
        <w:t xml:space="preserve"> obstaranie</w:t>
      </w:r>
      <w:r w:rsidR="00A3229B" w:rsidRPr="009768A3">
        <w:rPr>
          <w:sz w:val="22"/>
          <w:szCs w:val="22"/>
        </w:rPr>
        <w:t xml:space="preserve"> ktorého ŠFRB poskytol podporu.</w:t>
      </w:r>
    </w:p>
    <w:p w14:paraId="6D84FFF2" w14:textId="77777777" w:rsidR="000064F7" w:rsidRPr="009768A3" w:rsidRDefault="000064F7" w:rsidP="003B6660">
      <w:pPr>
        <w:jc w:val="both"/>
        <w:rPr>
          <w:b/>
          <w:sz w:val="22"/>
          <w:szCs w:val="22"/>
        </w:rPr>
      </w:pPr>
    </w:p>
    <w:p w14:paraId="225BD3A3" w14:textId="6C7DFA6E" w:rsidR="001C5C14" w:rsidRPr="009768A3" w:rsidRDefault="001C5C14" w:rsidP="003B6660">
      <w:pPr>
        <w:jc w:val="both"/>
        <w:rPr>
          <w:b/>
          <w:sz w:val="22"/>
          <w:szCs w:val="22"/>
        </w:rPr>
      </w:pPr>
      <w:r w:rsidRPr="009768A3">
        <w:rPr>
          <w:b/>
          <w:sz w:val="22"/>
          <w:szCs w:val="22"/>
        </w:rPr>
        <w:t xml:space="preserve">K bodu </w:t>
      </w:r>
      <w:r w:rsidR="00961C31" w:rsidRPr="009768A3">
        <w:rPr>
          <w:b/>
          <w:sz w:val="22"/>
          <w:szCs w:val="22"/>
        </w:rPr>
        <w:t>8</w:t>
      </w:r>
    </w:p>
    <w:p w14:paraId="37D2DD45" w14:textId="77777777" w:rsidR="00844548" w:rsidRPr="009768A3" w:rsidRDefault="00844548" w:rsidP="009768A3">
      <w:pPr>
        <w:ind w:firstLine="720"/>
        <w:jc w:val="both"/>
        <w:rPr>
          <w:sz w:val="22"/>
          <w:szCs w:val="22"/>
        </w:rPr>
      </w:pPr>
    </w:p>
    <w:p w14:paraId="2F7F7DBA" w14:textId="77777777" w:rsidR="001C5C14" w:rsidRPr="009768A3" w:rsidRDefault="0014114B" w:rsidP="009768A3">
      <w:pPr>
        <w:ind w:firstLine="720"/>
        <w:jc w:val="both"/>
        <w:rPr>
          <w:sz w:val="22"/>
          <w:szCs w:val="22"/>
        </w:rPr>
      </w:pPr>
      <w:r w:rsidRPr="009768A3">
        <w:rPr>
          <w:sz w:val="22"/>
          <w:szCs w:val="22"/>
        </w:rPr>
        <w:t>Upresňuje sa rozsah aktivít spadajúcich pod definíciu modernizácie bytového domu vypustením</w:t>
      </w:r>
      <w:r w:rsidR="005974C5" w:rsidRPr="009768A3">
        <w:rPr>
          <w:sz w:val="22"/>
          <w:szCs w:val="22"/>
        </w:rPr>
        <w:t xml:space="preserve"> v odseku 1 písm. c) tretieho bodu. V praxi je už viac ako 70</w:t>
      </w:r>
      <w:r w:rsidR="0008694B" w:rsidRPr="009768A3">
        <w:rPr>
          <w:sz w:val="22"/>
          <w:szCs w:val="22"/>
        </w:rPr>
        <w:t> </w:t>
      </w:r>
      <w:r w:rsidR="005974C5" w:rsidRPr="009768A3">
        <w:rPr>
          <w:sz w:val="22"/>
          <w:szCs w:val="22"/>
        </w:rPr>
        <w:t>% bytových domov úplne alebo čiastočne zateplených. Súčasné znenie definície modernizácie tak neumožňovalo „</w:t>
      </w:r>
      <w:proofErr w:type="spellStart"/>
      <w:r w:rsidR="005974C5" w:rsidRPr="009768A3">
        <w:rPr>
          <w:sz w:val="22"/>
          <w:szCs w:val="22"/>
        </w:rPr>
        <w:t>dozatepleni</w:t>
      </w:r>
      <w:r w:rsidR="00813CB4" w:rsidRPr="009768A3">
        <w:rPr>
          <w:sz w:val="22"/>
          <w:szCs w:val="22"/>
        </w:rPr>
        <w:t>e</w:t>
      </w:r>
      <w:proofErr w:type="spellEnd"/>
      <w:r w:rsidR="00813CB4" w:rsidRPr="009768A3">
        <w:rPr>
          <w:sz w:val="22"/>
          <w:szCs w:val="22"/>
        </w:rPr>
        <w:t>“ len napríklad jednej steny.</w:t>
      </w:r>
    </w:p>
    <w:p w14:paraId="4907245B" w14:textId="1ECC8668" w:rsidR="00247D02" w:rsidRPr="009768A3" w:rsidRDefault="00247D02" w:rsidP="00247D02">
      <w:pPr>
        <w:jc w:val="both"/>
        <w:rPr>
          <w:b/>
          <w:sz w:val="22"/>
          <w:szCs w:val="22"/>
        </w:rPr>
      </w:pPr>
    </w:p>
    <w:p w14:paraId="274D1382" w14:textId="6EF6D618" w:rsidR="00961C31" w:rsidRPr="009768A3" w:rsidRDefault="00961C31" w:rsidP="00247D02">
      <w:pPr>
        <w:jc w:val="both"/>
        <w:rPr>
          <w:b/>
          <w:sz w:val="22"/>
          <w:szCs w:val="22"/>
        </w:rPr>
      </w:pPr>
    </w:p>
    <w:p w14:paraId="0E803881" w14:textId="77777777" w:rsidR="00961C31" w:rsidRPr="009768A3" w:rsidRDefault="00961C31" w:rsidP="00247D02">
      <w:pPr>
        <w:jc w:val="both"/>
        <w:rPr>
          <w:b/>
          <w:sz w:val="22"/>
          <w:szCs w:val="22"/>
        </w:rPr>
      </w:pPr>
    </w:p>
    <w:p w14:paraId="320AA474" w14:textId="37FD42C6" w:rsidR="00247D02" w:rsidRPr="009768A3" w:rsidRDefault="00247D02" w:rsidP="00247D02">
      <w:pPr>
        <w:jc w:val="both"/>
        <w:rPr>
          <w:b/>
          <w:sz w:val="22"/>
          <w:szCs w:val="22"/>
        </w:rPr>
      </w:pPr>
      <w:r w:rsidRPr="009768A3">
        <w:rPr>
          <w:b/>
          <w:sz w:val="22"/>
          <w:szCs w:val="22"/>
        </w:rPr>
        <w:lastRenderedPageBreak/>
        <w:t xml:space="preserve">K bodu </w:t>
      </w:r>
      <w:r w:rsidR="00B06C65" w:rsidRPr="009768A3">
        <w:rPr>
          <w:b/>
          <w:sz w:val="22"/>
          <w:szCs w:val="22"/>
        </w:rPr>
        <w:t>9</w:t>
      </w:r>
    </w:p>
    <w:p w14:paraId="5D53D779" w14:textId="77777777" w:rsidR="00844548" w:rsidRPr="009768A3" w:rsidRDefault="00844548" w:rsidP="009768A3">
      <w:pPr>
        <w:ind w:firstLine="720"/>
        <w:jc w:val="both"/>
        <w:rPr>
          <w:sz w:val="22"/>
          <w:szCs w:val="22"/>
        </w:rPr>
      </w:pPr>
    </w:p>
    <w:p w14:paraId="747E14EC" w14:textId="77777777" w:rsidR="00247D02" w:rsidRPr="009768A3" w:rsidRDefault="00784B5E" w:rsidP="009768A3">
      <w:pPr>
        <w:ind w:firstLine="720"/>
        <w:jc w:val="both"/>
        <w:rPr>
          <w:sz w:val="22"/>
          <w:szCs w:val="22"/>
        </w:rPr>
      </w:pPr>
      <w:r w:rsidRPr="009768A3">
        <w:rPr>
          <w:sz w:val="22"/>
          <w:szCs w:val="22"/>
        </w:rPr>
        <w:t xml:space="preserve">Navrhuje sa definícia, čo sa rozumie internátom, príslušenstvom izby, spoločným priestorom a spoločným zariadením v internáte. </w:t>
      </w:r>
    </w:p>
    <w:p w14:paraId="23F58504" w14:textId="3DD0A2E4" w:rsidR="00784B5E" w:rsidRPr="009768A3" w:rsidRDefault="00784B5E" w:rsidP="009768A3">
      <w:pPr>
        <w:ind w:firstLine="720"/>
        <w:jc w:val="both"/>
        <w:rPr>
          <w:sz w:val="22"/>
          <w:szCs w:val="22"/>
        </w:rPr>
      </w:pPr>
      <w:r w:rsidRPr="009768A3">
        <w:rPr>
          <w:sz w:val="22"/>
          <w:szCs w:val="22"/>
        </w:rPr>
        <w:t xml:space="preserve">Internátom sa rozumie ostatná bytová budova určená na bývanie pre </w:t>
      </w:r>
      <w:r w:rsidR="00B06C65" w:rsidRPr="009768A3">
        <w:rPr>
          <w:sz w:val="22"/>
          <w:szCs w:val="22"/>
        </w:rPr>
        <w:t>žiakov</w:t>
      </w:r>
      <w:r w:rsidRPr="009768A3">
        <w:rPr>
          <w:sz w:val="22"/>
          <w:szCs w:val="22"/>
        </w:rPr>
        <w:t xml:space="preserve"> stredných</w:t>
      </w:r>
      <w:r w:rsidR="00B06C65" w:rsidRPr="009768A3">
        <w:rPr>
          <w:sz w:val="22"/>
          <w:szCs w:val="22"/>
        </w:rPr>
        <w:t xml:space="preserve"> škôl, študentov</w:t>
      </w:r>
      <w:r w:rsidRPr="009768A3">
        <w:rPr>
          <w:sz w:val="22"/>
          <w:szCs w:val="22"/>
        </w:rPr>
        <w:t> vysokých škôl</w:t>
      </w:r>
      <w:r w:rsidR="00B06C65" w:rsidRPr="009768A3">
        <w:rPr>
          <w:sz w:val="22"/>
          <w:szCs w:val="22"/>
        </w:rPr>
        <w:t xml:space="preserve"> alebo kombinácie žiakov stredných škôl a študentov vysokých škôl.</w:t>
      </w:r>
    </w:p>
    <w:p w14:paraId="1CFCB7DB" w14:textId="77777777" w:rsidR="00247D02" w:rsidRPr="009768A3" w:rsidRDefault="00E44B4F" w:rsidP="009768A3">
      <w:pPr>
        <w:ind w:firstLine="720"/>
        <w:jc w:val="both"/>
        <w:rPr>
          <w:bCs/>
          <w:sz w:val="22"/>
          <w:szCs w:val="22"/>
        </w:rPr>
      </w:pPr>
      <w:r w:rsidRPr="009768A3">
        <w:rPr>
          <w:bCs/>
          <w:sz w:val="22"/>
          <w:szCs w:val="22"/>
        </w:rPr>
        <w:t>Príslušenstvom izby v internáte je najmä zádverie, priestor vybavený zariadením na osobnú hygienu, balkón alebo lodžia. Spoločným priestorom v internáte je najmä spoločenská miestnosť, kuchyňa alebo kuchynský kút, študovňa, knižnica, sklad, priestor vybavený zariadením na osobnú hygienu, telocvičňa, miestnosť pre zamestnancov internátu, chodba, schodisko a spoločnými zariadeniami v internáte sú najmä výťahy, práčovne, kotolne vrátane technologického zariadenia, sušiarne, bleskozvody, komíny, vodovodné, teplonosné, kanalizačné, elektrické, telekomunikačné a plynové prípojky.</w:t>
      </w:r>
    </w:p>
    <w:p w14:paraId="26261863" w14:textId="77777777" w:rsidR="00247D02" w:rsidRPr="009768A3" w:rsidRDefault="00247D02" w:rsidP="003B6660">
      <w:pPr>
        <w:jc w:val="both"/>
        <w:rPr>
          <w:b/>
          <w:sz w:val="22"/>
          <w:szCs w:val="22"/>
        </w:rPr>
      </w:pPr>
    </w:p>
    <w:p w14:paraId="1E8260EA" w14:textId="09F786AA" w:rsidR="001C5C14" w:rsidRPr="009768A3" w:rsidRDefault="001C5C14" w:rsidP="003B6660">
      <w:pPr>
        <w:jc w:val="both"/>
        <w:rPr>
          <w:b/>
          <w:sz w:val="22"/>
          <w:szCs w:val="22"/>
        </w:rPr>
      </w:pPr>
      <w:r w:rsidRPr="009768A3">
        <w:rPr>
          <w:b/>
          <w:sz w:val="22"/>
          <w:szCs w:val="22"/>
        </w:rPr>
        <w:t xml:space="preserve">K bodu </w:t>
      </w:r>
      <w:r w:rsidR="00B06C65" w:rsidRPr="009768A3">
        <w:rPr>
          <w:b/>
          <w:sz w:val="22"/>
          <w:szCs w:val="22"/>
        </w:rPr>
        <w:t>10</w:t>
      </w:r>
    </w:p>
    <w:p w14:paraId="0ACCA769" w14:textId="77777777" w:rsidR="001C5C14" w:rsidRPr="009768A3" w:rsidRDefault="00D3145E" w:rsidP="009768A3">
      <w:pPr>
        <w:ind w:firstLine="720"/>
        <w:jc w:val="both"/>
        <w:rPr>
          <w:sz w:val="22"/>
          <w:szCs w:val="22"/>
        </w:rPr>
      </w:pPr>
      <w:r w:rsidRPr="009768A3">
        <w:rPr>
          <w:sz w:val="22"/>
          <w:szCs w:val="22"/>
        </w:rPr>
        <w:t xml:space="preserve">Legislatívno-technická úprava. Navrhuje sa spresnenie definície žiadateľov. </w:t>
      </w:r>
    </w:p>
    <w:p w14:paraId="683F15AC" w14:textId="77777777" w:rsidR="002E16CC" w:rsidRPr="009768A3" w:rsidRDefault="002E16CC" w:rsidP="00E44B4F">
      <w:pPr>
        <w:jc w:val="both"/>
        <w:rPr>
          <w:b/>
          <w:sz w:val="22"/>
          <w:szCs w:val="22"/>
        </w:rPr>
      </w:pPr>
    </w:p>
    <w:p w14:paraId="572F5FF8" w14:textId="77F5EE56" w:rsidR="00E44B4F" w:rsidRPr="009768A3" w:rsidRDefault="00E44B4F" w:rsidP="00E44B4F">
      <w:pPr>
        <w:jc w:val="both"/>
        <w:rPr>
          <w:b/>
          <w:sz w:val="22"/>
          <w:szCs w:val="22"/>
        </w:rPr>
      </w:pPr>
      <w:r w:rsidRPr="009768A3">
        <w:rPr>
          <w:b/>
          <w:sz w:val="22"/>
          <w:szCs w:val="22"/>
        </w:rPr>
        <w:t>K bodu 1</w:t>
      </w:r>
      <w:r w:rsidR="00B06C65" w:rsidRPr="009768A3">
        <w:rPr>
          <w:b/>
          <w:sz w:val="22"/>
          <w:szCs w:val="22"/>
        </w:rPr>
        <w:t>1</w:t>
      </w:r>
    </w:p>
    <w:p w14:paraId="4F8189EE" w14:textId="77777777" w:rsidR="00844548" w:rsidRPr="009768A3" w:rsidRDefault="00844548" w:rsidP="009768A3">
      <w:pPr>
        <w:ind w:firstLine="720"/>
        <w:jc w:val="both"/>
        <w:rPr>
          <w:sz w:val="22"/>
          <w:szCs w:val="22"/>
        </w:rPr>
      </w:pPr>
    </w:p>
    <w:p w14:paraId="37954B53" w14:textId="77777777" w:rsidR="003B6660" w:rsidRPr="009768A3" w:rsidRDefault="00E44B4F" w:rsidP="009768A3">
      <w:pPr>
        <w:ind w:firstLine="720"/>
        <w:jc w:val="both"/>
        <w:rPr>
          <w:sz w:val="22"/>
          <w:szCs w:val="22"/>
        </w:rPr>
      </w:pPr>
      <w:r w:rsidRPr="009768A3">
        <w:rPr>
          <w:sz w:val="22"/>
          <w:szCs w:val="22"/>
        </w:rPr>
        <w:t>Navrhuje sa, že žiadateľom o poskytnutie podpory na obstaranie internátu môže byť samosprávny kraj alebo iná právnická osoba.</w:t>
      </w:r>
    </w:p>
    <w:p w14:paraId="75777D26" w14:textId="77777777" w:rsidR="00E44B4F" w:rsidRPr="009768A3" w:rsidRDefault="00E44B4F" w:rsidP="0008694B">
      <w:pPr>
        <w:jc w:val="both"/>
        <w:rPr>
          <w:b/>
          <w:sz w:val="22"/>
          <w:szCs w:val="22"/>
        </w:rPr>
      </w:pPr>
    </w:p>
    <w:p w14:paraId="04091E62" w14:textId="0CBC275A" w:rsidR="00E44B4F" w:rsidRPr="009768A3" w:rsidRDefault="00E44B4F" w:rsidP="00E44B4F">
      <w:pPr>
        <w:jc w:val="both"/>
        <w:rPr>
          <w:b/>
          <w:sz w:val="22"/>
          <w:szCs w:val="22"/>
        </w:rPr>
      </w:pPr>
      <w:r w:rsidRPr="009768A3">
        <w:rPr>
          <w:b/>
          <w:sz w:val="22"/>
          <w:szCs w:val="22"/>
        </w:rPr>
        <w:t>K bodom 1</w:t>
      </w:r>
      <w:r w:rsidR="00B06C65" w:rsidRPr="009768A3">
        <w:rPr>
          <w:b/>
          <w:sz w:val="22"/>
          <w:szCs w:val="22"/>
        </w:rPr>
        <w:t>2 a 13</w:t>
      </w:r>
    </w:p>
    <w:p w14:paraId="6CDF4794" w14:textId="77777777" w:rsidR="00844548" w:rsidRPr="009768A3" w:rsidRDefault="00844548" w:rsidP="009768A3">
      <w:pPr>
        <w:ind w:firstLine="720"/>
        <w:jc w:val="both"/>
        <w:rPr>
          <w:bCs/>
          <w:sz w:val="22"/>
          <w:szCs w:val="22"/>
        </w:rPr>
      </w:pPr>
    </w:p>
    <w:p w14:paraId="4CC9D886" w14:textId="77777777" w:rsidR="00E44B4F" w:rsidRPr="009768A3" w:rsidRDefault="000A5ED8" w:rsidP="009768A3">
      <w:pPr>
        <w:ind w:firstLine="720"/>
        <w:jc w:val="both"/>
        <w:rPr>
          <w:bCs/>
          <w:sz w:val="22"/>
          <w:szCs w:val="22"/>
        </w:rPr>
      </w:pPr>
      <w:r w:rsidRPr="009768A3">
        <w:rPr>
          <w:bCs/>
          <w:sz w:val="22"/>
          <w:szCs w:val="22"/>
        </w:rPr>
        <w:t>Navrhujú sa limity podpory na obstaranie internátu vo výške 2 500 eur na 1 m</w:t>
      </w:r>
      <w:r w:rsidRPr="009768A3">
        <w:rPr>
          <w:bCs/>
          <w:sz w:val="22"/>
          <w:szCs w:val="22"/>
          <w:vertAlign w:val="superscript"/>
        </w:rPr>
        <w:t xml:space="preserve">2 </w:t>
      </w:r>
      <w:r w:rsidRPr="009768A3">
        <w:rPr>
          <w:bCs/>
          <w:sz w:val="22"/>
          <w:szCs w:val="22"/>
        </w:rPr>
        <w:t>podlahovej plochy izby, príslušenstva izby, spoločných priestorov internátu vrátane podlahovej plochy na umiestnenie spoločného zariadenia (ďalej len „PP“), 400 eur/1 m</w:t>
      </w:r>
      <w:r w:rsidRPr="009768A3">
        <w:rPr>
          <w:bCs/>
          <w:sz w:val="22"/>
          <w:szCs w:val="22"/>
          <w:vertAlign w:val="superscript"/>
        </w:rPr>
        <w:t xml:space="preserve">2  </w:t>
      </w:r>
      <w:r w:rsidRPr="009768A3">
        <w:rPr>
          <w:bCs/>
          <w:sz w:val="22"/>
          <w:szCs w:val="22"/>
        </w:rPr>
        <w:t>PP na zateplenie internátu a 1 600 eur/ 1 m</w:t>
      </w:r>
      <w:r w:rsidRPr="009768A3">
        <w:rPr>
          <w:bCs/>
          <w:sz w:val="22"/>
          <w:szCs w:val="22"/>
          <w:vertAlign w:val="superscript"/>
        </w:rPr>
        <w:t xml:space="preserve">2 </w:t>
      </w:r>
      <w:r w:rsidRPr="009768A3">
        <w:rPr>
          <w:bCs/>
          <w:sz w:val="22"/>
          <w:szCs w:val="22"/>
        </w:rPr>
        <w:t>PP. Podrobnosti o výške pod</w:t>
      </w:r>
      <w:r w:rsidR="00B9717B" w:rsidRPr="009768A3">
        <w:rPr>
          <w:bCs/>
          <w:sz w:val="22"/>
          <w:szCs w:val="22"/>
        </w:rPr>
        <w:t>pory (výšku úveru, ročnú úrokovú</w:t>
      </w:r>
      <w:r w:rsidRPr="009768A3">
        <w:rPr>
          <w:bCs/>
          <w:sz w:val="22"/>
          <w:szCs w:val="22"/>
        </w:rPr>
        <w:t xml:space="preserve"> sadzbu a lehotu splatnosti) ustanoví </w:t>
      </w:r>
      <w:r w:rsidR="00813CB4" w:rsidRPr="009768A3">
        <w:rPr>
          <w:bCs/>
          <w:sz w:val="22"/>
          <w:szCs w:val="22"/>
        </w:rPr>
        <w:t>vykonávacia vyhláška k zákonu.</w:t>
      </w:r>
    </w:p>
    <w:p w14:paraId="76846BE9" w14:textId="77777777" w:rsidR="000A5ED8" w:rsidRPr="009768A3" w:rsidRDefault="000A5ED8" w:rsidP="009768A3">
      <w:pPr>
        <w:ind w:firstLine="720"/>
        <w:jc w:val="both"/>
        <w:rPr>
          <w:bCs/>
          <w:sz w:val="22"/>
          <w:szCs w:val="22"/>
        </w:rPr>
      </w:pPr>
      <w:r w:rsidRPr="009768A3">
        <w:rPr>
          <w:bCs/>
          <w:sz w:val="22"/>
          <w:szCs w:val="22"/>
        </w:rPr>
        <w:t>Limity podpory na obstaranie technickej vybavenosti a pozemku sa navrhujú určiť v rovnakej výške ako pri obstarávaní technickej vybavenosti a pozemku k nájomnému bytu, zariadeniu sociálnych služieb alebo ubytovaciemu domu</w:t>
      </w:r>
      <w:r w:rsidR="00570BFE" w:rsidRPr="009768A3">
        <w:rPr>
          <w:bCs/>
          <w:sz w:val="22"/>
          <w:szCs w:val="22"/>
        </w:rPr>
        <w:t>.</w:t>
      </w:r>
    </w:p>
    <w:p w14:paraId="512CC4AD" w14:textId="77777777" w:rsidR="000A5ED8" w:rsidRPr="009768A3" w:rsidRDefault="000A5ED8" w:rsidP="0008694B">
      <w:pPr>
        <w:jc w:val="both"/>
        <w:rPr>
          <w:b/>
          <w:sz w:val="22"/>
          <w:szCs w:val="22"/>
        </w:rPr>
      </w:pPr>
    </w:p>
    <w:p w14:paraId="3D820494" w14:textId="7B6E6FDB" w:rsidR="00570BFE" w:rsidRPr="009768A3" w:rsidRDefault="00570BFE" w:rsidP="00570BFE">
      <w:pPr>
        <w:jc w:val="both"/>
        <w:rPr>
          <w:b/>
          <w:sz w:val="22"/>
          <w:szCs w:val="22"/>
        </w:rPr>
      </w:pPr>
      <w:r w:rsidRPr="009768A3">
        <w:rPr>
          <w:b/>
          <w:sz w:val="22"/>
          <w:szCs w:val="22"/>
        </w:rPr>
        <w:t>K bodom 1</w:t>
      </w:r>
      <w:r w:rsidR="00B06C65" w:rsidRPr="009768A3">
        <w:rPr>
          <w:b/>
          <w:sz w:val="22"/>
          <w:szCs w:val="22"/>
        </w:rPr>
        <w:t>4</w:t>
      </w:r>
      <w:r w:rsidRPr="009768A3">
        <w:rPr>
          <w:b/>
          <w:sz w:val="22"/>
          <w:szCs w:val="22"/>
        </w:rPr>
        <w:t xml:space="preserve"> až 1</w:t>
      </w:r>
      <w:r w:rsidR="00B06C65" w:rsidRPr="009768A3">
        <w:rPr>
          <w:b/>
          <w:sz w:val="22"/>
          <w:szCs w:val="22"/>
        </w:rPr>
        <w:t>7</w:t>
      </w:r>
    </w:p>
    <w:p w14:paraId="3FF6728A" w14:textId="77777777" w:rsidR="00844548" w:rsidRPr="009768A3" w:rsidRDefault="00844548" w:rsidP="00570BFE">
      <w:pPr>
        <w:jc w:val="both"/>
        <w:rPr>
          <w:bCs/>
          <w:sz w:val="22"/>
          <w:szCs w:val="22"/>
        </w:rPr>
      </w:pPr>
    </w:p>
    <w:p w14:paraId="6C94EAA0" w14:textId="77777777" w:rsidR="00570BFE" w:rsidRPr="009768A3" w:rsidRDefault="00570BFE" w:rsidP="00B06C65">
      <w:pPr>
        <w:ind w:firstLine="720"/>
        <w:jc w:val="both"/>
        <w:rPr>
          <w:b/>
          <w:sz w:val="22"/>
          <w:szCs w:val="22"/>
        </w:rPr>
      </w:pPr>
      <w:r w:rsidRPr="009768A3">
        <w:rPr>
          <w:bCs/>
          <w:sz w:val="22"/>
          <w:szCs w:val="22"/>
        </w:rPr>
        <w:t>Ide o</w:t>
      </w:r>
      <w:r w:rsidR="00636CCF" w:rsidRPr="009768A3">
        <w:rPr>
          <w:bCs/>
          <w:sz w:val="22"/>
          <w:szCs w:val="22"/>
        </w:rPr>
        <w:t xml:space="preserve"> legislatívno-technickú úpravu </w:t>
      </w:r>
      <w:r w:rsidRPr="009768A3">
        <w:rPr>
          <w:bCs/>
          <w:sz w:val="22"/>
          <w:szCs w:val="22"/>
        </w:rPr>
        <w:t>definície, čo sa rozumie obstarávacím nákladom pri obstaraní internátu výsta</w:t>
      </w:r>
      <w:r w:rsidR="00A3229B" w:rsidRPr="009768A3">
        <w:rPr>
          <w:bCs/>
          <w:sz w:val="22"/>
          <w:szCs w:val="22"/>
        </w:rPr>
        <w:t>vbou, kúpou a obnove internátu.</w:t>
      </w:r>
    </w:p>
    <w:p w14:paraId="27F9FBCE" w14:textId="77777777" w:rsidR="00570BFE" w:rsidRPr="009768A3" w:rsidRDefault="00570BFE" w:rsidP="0008694B">
      <w:pPr>
        <w:jc w:val="both"/>
        <w:rPr>
          <w:b/>
          <w:sz w:val="22"/>
          <w:szCs w:val="22"/>
        </w:rPr>
      </w:pPr>
    </w:p>
    <w:p w14:paraId="3C3DD518" w14:textId="56C62FA0" w:rsidR="001C5C14" w:rsidRPr="009768A3" w:rsidRDefault="001C5C14" w:rsidP="003B6660">
      <w:pPr>
        <w:jc w:val="both"/>
        <w:rPr>
          <w:b/>
          <w:sz w:val="22"/>
          <w:szCs w:val="22"/>
        </w:rPr>
      </w:pPr>
      <w:r w:rsidRPr="009768A3">
        <w:rPr>
          <w:b/>
          <w:sz w:val="22"/>
          <w:szCs w:val="22"/>
        </w:rPr>
        <w:t xml:space="preserve">K bodu </w:t>
      </w:r>
      <w:r w:rsidR="00636CCF" w:rsidRPr="009768A3">
        <w:rPr>
          <w:b/>
          <w:sz w:val="22"/>
          <w:szCs w:val="22"/>
        </w:rPr>
        <w:t>1</w:t>
      </w:r>
      <w:r w:rsidR="00B06C65" w:rsidRPr="009768A3">
        <w:rPr>
          <w:b/>
          <w:sz w:val="22"/>
          <w:szCs w:val="22"/>
        </w:rPr>
        <w:t>8</w:t>
      </w:r>
    </w:p>
    <w:p w14:paraId="2B24C998" w14:textId="77777777" w:rsidR="00844548" w:rsidRPr="009768A3" w:rsidRDefault="00844548" w:rsidP="009768A3">
      <w:pPr>
        <w:ind w:firstLine="720"/>
        <w:jc w:val="both"/>
        <w:rPr>
          <w:bCs/>
          <w:sz w:val="22"/>
          <w:szCs w:val="22"/>
        </w:rPr>
      </w:pPr>
    </w:p>
    <w:p w14:paraId="3D5697D2" w14:textId="77777777" w:rsidR="00117960" w:rsidRPr="009768A3" w:rsidRDefault="00D3145E" w:rsidP="009768A3">
      <w:pPr>
        <w:ind w:firstLine="720"/>
        <w:jc w:val="both"/>
        <w:rPr>
          <w:bCs/>
          <w:sz w:val="22"/>
          <w:szCs w:val="22"/>
        </w:rPr>
      </w:pPr>
      <w:r w:rsidRPr="009768A3">
        <w:rPr>
          <w:bCs/>
          <w:sz w:val="22"/>
          <w:szCs w:val="22"/>
        </w:rPr>
        <w:t xml:space="preserve">Legislatívno-technická úprava. Navrhuje sa doplniť podmienku pre preukazovanie príjmu v prípade fyzickej osoby s ťažkým zdravotným postihnutím. </w:t>
      </w:r>
      <w:r w:rsidR="00117960" w:rsidRPr="009768A3">
        <w:rPr>
          <w:bCs/>
          <w:sz w:val="22"/>
          <w:szCs w:val="22"/>
        </w:rPr>
        <w:t>Vek žiadateľa - manželov je limitovaný a nesmie presiahnuť 35 rokov, prípadne je limitovaný vek ich detí. Vek osoby ŤZP v legislatívne nie je upravený, ani novelou nebude ohraničený. Avšak na základe aplikačnej praxe sa navrhuje legislatívne ohraničiť vek osoby ŤZP, ktorej príjem sa započítava do schopnosti splácania úveru, v prípade ak je žiadateľom člen domácnosti, s ktorým ŤZP žije v spoločnej domácnosti. Nakoľko úvery sa poskytujú s lehotou splatnosti max. 40 rokov a je potrebné eliminovať riziká nesplácania poskytnutých úverov z dôvodu vyššieho veku. Záujmom fondu je zabezpečiť maximálnu návratnosť p</w:t>
      </w:r>
      <w:r w:rsidR="00A3229B" w:rsidRPr="009768A3">
        <w:rPr>
          <w:bCs/>
          <w:sz w:val="22"/>
          <w:szCs w:val="22"/>
        </w:rPr>
        <w:t>oskytnutých verejných zdrojov.</w:t>
      </w:r>
    </w:p>
    <w:p w14:paraId="3E0B37B2" w14:textId="77777777" w:rsidR="003B6660" w:rsidRPr="009768A3" w:rsidRDefault="003B6660" w:rsidP="003B6660">
      <w:pPr>
        <w:jc w:val="both"/>
        <w:rPr>
          <w:sz w:val="22"/>
          <w:szCs w:val="22"/>
        </w:rPr>
      </w:pPr>
    </w:p>
    <w:p w14:paraId="4F646A6D" w14:textId="23B6B8D0" w:rsidR="00636CCF" w:rsidRPr="009768A3" w:rsidRDefault="00636CCF" w:rsidP="00636CCF">
      <w:pPr>
        <w:jc w:val="both"/>
        <w:rPr>
          <w:b/>
          <w:sz w:val="22"/>
          <w:szCs w:val="22"/>
        </w:rPr>
      </w:pPr>
      <w:r w:rsidRPr="009768A3">
        <w:rPr>
          <w:b/>
          <w:sz w:val="22"/>
          <w:szCs w:val="22"/>
        </w:rPr>
        <w:t>K bodu 1</w:t>
      </w:r>
      <w:r w:rsidR="00B06C65" w:rsidRPr="009768A3">
        <w:rPr>
          <w:b/>
          <w:sz w:val="22"/>
          <w:szCs w:val="22"/>
        </w:rPr>
        <w:t>9</w:t>
      </w:r>
      <w:r w:rsidRPr="009768A3">
        <w:rPr>
          <w:b/>
          <w:sz w:val="22"/>
          <w:szCs w:val="22"/>
        </w:rPr>
        <w:t xml:space="preserve"> až 2</w:t>
      </w:r>
      <w:r w:rsidR="00B06C65" w:rsidRPr="009768A3">
        <w:rPr>
          <w:b/>
          <w:sz w:val="22"/>
          <w:szCs w:val="22"/>
        </w:rPr>
        <w:t>1</w:t>
      </w:r>
    </w:p>
    <w:p w14:paraId="5A53AB5E" w14:textId="77777777" w:rsidR="00844548" w:rsidRPr="009768A3" w:rsidRDefault="00844548" w:rsidP="003B6660">
      <w:pPr>
        <w:jc w:val="both"/>
        <w:rPr>
          <w:bCs/>
          <w:sz w:val="22"/>
          <w:szCs w:val="22"/>
        </w:rPr>
      </w:pPr>
    </w:p>
    <w:p w14:paraId="56E211D5" w14:textId="77777777" w:rsidR="00636CCF" w:rsidRPr="009768A3" w:rsidRDefault="00636CCF" w:rsidP="009768A3">
      <w:pPr>
        <w:ind w:firstLine="720"/>
        <w:jc w:val="both"/>
        <w:rPr>
          <w:bCs/>
          <w:sz w:val="22"/>
          <w:szCs w:val="22"/>
        </w:rPr>
      </w:pPr>
      <w:r w:rsidRPr="009768A3">
        <w:rPr>
          <w:bCs/>
          <w:sz w:val="22"/>
          <w:szCs w:val="22"/>
        </w:rPr>
        <w:t>Ide o legislatívno-technickú úpravu súvisiacu s d</w:t>
      </w:r>
      <w:r w:rsidR="00A3229B" w:rsidRPr="009768A3">
        <w:rPr>
          <w:bCs/>
          <w:sz w:val="22"/>
          <w:szCs w:val="22"/>
        </w:rPr>
        <w:t>oplnením nových účelov podpory.</w:t>
      </w:r>
    </w:p>
    <w:p w14:paraId="39D30CAB" w14:textId="77777777" w:rsidR="00636CCF" w:rsidRPr="009768A3" w:rsidRDefault="00636CCF" w:rsidP="003B6660">
      <w:pPr>
        <w:jc w:val="both"/>
        <w:rPr>
          <w:bCs/>
          <w:sz w:val="22"/>
          <w:szCs w:val="22"/>
        </w:rPr>
      </w:pPr>
      <w:r w:rsidRPr="009768A3">
        <w:rPr>
          <w:bCs/>
          <w:sz w:val="22"/>
          <w:szCs w:val="22"/>
        </w:rPr>
        <w:t xml:space="preserve">Jednou zo všeobecných podmienok poskytnutia podpory je termín dokončenia stavby pri výstavbe a obnove internátu. Navrhuje sa určiť rovnako ako pri ostatných účeloch podpory, </w:t>
      </w:r>
      <w:proofErr w:type="spellStart"/>
      <w:r w:rsidRPr="009768A3">
        <w:rPr>
          <w:bCs/>
          <w:sz w:val="22"/>
          <w:szCs w:val="22"/>
        </w:rPr>
        <w:t>t.j</w:t>
      </w:r>
      <w:proofErr w:type="spellEnd"/>
      <w:r w:rsidRPr="009768A3">
        <w:rPr>
          <w:bCs/>
          <w:sz w:val="22"/>
          <w:szCs w:val="22"/>
        </w:rPr>
        <w:t>. dokončenie stavby najneskôr 24 mesiacov odo dňa otvorenie účtu, na ktorý bola poskytnutá podpora.</w:t>
      </w:r>
    </w:p>
    <w:p w14:paraId="7099D25C" w14:textId="77777777" w:rsidR="00636CCF" w:rsidRPr="009768A3" w:rsidRDefault="00636CCF" w:rsidP="003B6660">
      <w:pPr>
        <w:jc w:val="both"/>
        <w:rPr>
          <w:b/>
          <w:sz w:val="22"/>
          <w:szCs w:val="22"/>
        </w:rPr>
      </w:pPr>
    </w:p>
    <w:p w14:paraId="5828163F" w14:textId="33DCC37A" w:rsidR="001C5C14" w:rsidRPr="009768A3" w:rsidRDefault="001C5C14" w:rsidP="003B6660">
      <w:pPr>
        <w:jc w:val="both"/>
        <w:rPr>
          <w:b/>
          <w:sz w:val="22"/>
          <w:szCs w:val="22"/>
        </w:rPr>
      </w:pPr>
      <w:r w:rsidRPr="009768A3">
        <w:rPr>
          <w:b/>
          <w:sz w:val="22"/>
          <w:szCs w:val="22"/>
        </w:rPr>
        <w:t xml:space="preserve">K bodu </w:t>
      </w:r>
      <w:r w:rsidR="00636CCF" w:rsidRPr="009768A3">
        <w:rPr>
          <w:b/>
          <w:sz w:val="22"/>
          <w:szCs w:val="22"/>
        </w:rPr>
        <w:t>2</w:t>
      </w:r>
      <w:r w:rsidR="00B06C65" w:rsidRPr="009768A3">
        <w:rPr>
          <w:b/>
          <w:sz w:val="22"/>
          <w:szCs w:val="22"/>
        </w:rPr>
        <w:t>2</w:t>
      </w:r>
    </w:p>
    <w:p w14:paraId="14EA4E6C" w14:textId="77777777" w:rsidR="00844548" w:rsidRPr="009768A3" w:rsidRDefault="00844548" w:rsidP="003B6660">
      <w:pPr>
        <w:jc w:val="both"/>
        <w:rPr>
          <w:sz w:val="22"/>
          <w:szCs w:val="22"/>
        </w:rPr>
      </w:pPr>
    </w:p>
    <w:p w14:paraId="7BCF4F69" w14:textId="77777777" w:rsidR="001C5C14" w:rsidRPr="009768A3" w:rsidRDefault="00D3145E" w:rsidP="009768A3">
      <w:pPr>
        <w:ind w:firstLine="720"/>
        <w:jc w:val="both"/>
        <w:rPr>
          <w:sz w:val="22"/>
          <w:szCs w:val="22"/>
        </w:rPr>
      </w:pPr>
      <w:r w:rsidRPr="009768A3">
        <w:rPr>
          <w:sz w:val="22"/>
          <w:szCs w:val="22"/>
        </w:rPr>
        <w:t>Legislatívno-technická úprava v nadväznosti na za</w:t>
      </w:r>
      <w:r w:rsidR="00A3229B" w:rsidRPr="009768A3">
        <w:rPr>
          <w:sz w:val="22"/>
          <w:szCs w:val="22"/>
        </w:rPr>
        <w:t>vedenú skratku pojmu „zmluvy“.</w:t>
      </w:r>
    </w:p>
    <w:p w14:paraId="5B26689A" w14:textId="77777777" w:rsidR="003B6660" w:rsidRPr="009768A3" w:rsidRDefault="003B6660" w:rsidP="003B6660">
      <w:pPr>
        <w:jc w:val="both"/>
        <w:rPr>
          <w:sz w:val="22"/>
          <w:szCs w:val="22"/>
        </w:rPr>
      </w:pPr>
    </w:p>
    <w:p w14:paraId="6B87C6B7" w14:textId="3743F6D6" w:rsidR="001C5C14" w:rsidRPr="009768A3" w:rsidRDefault="001C5C14" w:rsidP="003B6660">
      <w:pPr>
        <w:jc w:val="both"/>
        <w:rPr>
          <w:b/>
          <w:sz w:val="22"/>
          <w:szCs w:val="22"/>
        </w:rPr>
      </w:pPr>
      <w:r w:rsidRPr="009768A3">
        <w:rPr>
          <w:b/>
          <w:sz w:val="22"/>
          <w:szCs w:val="22"/>
        </w:rPr>
        <w:t xml:space="preserve">K bodu </w:t>
      </w:r>
      <w:r w:rsidR="00636CCF" w:rsidRPr="009768A3">
        <w:rPr>
          <w:b/>
          <w:sz w:val="22"/>
          <w:szCs w:val="22"/>
        </w:rPr>
        <w:t>2</w:t>
      </w:r>
      <w:r w:rsidR="00B06C65" w:rsidRPr="009768A3">
        <w:rPr>
          <w:b/>
          <w:sz w:val="22"/>
          <w:szCs w:val="22"/>
        </w:rPr>
        <w:t>3</w:t>
      </w:r>
    </w:p>
    <w:p w14:paraId="52DF5477" w14:textId="77777777" w:rsidR="00844548" w:rsidRPr="009768A3" w:rsidRDefault="00844548" w:rsidP="009768A3">
      <w:pPr>
        <w:ind w:firstLine="720"/>
        <w:jc w:val="both"/>
        <w:rPr>
          <w:sz w:val="22"/>
          <w:szCs w:val="22"/>
        </w:rPr>
      </w:pPr>
    </w:p>
    <w:p w14:paraId="7238AEC2" w14:textId="1B9B389B" w:rsidR="00B06C65" w:rsidRPr="009768A3" w:rsidRDefault="00B06C65" w:rsidP="00B06C65">
      <w:pPr>
        <w:ind w:firstLine="720"/>
        <w:jc w:val="both"/>
        <w:rPr>
          <w:sz w:val="22"/>
          <w:szCs w:val="22"/>
        </w:rPr>
      </w:pPr>
      <w:r w:rsidRPr="009768A3">
        <w:rPr>
          <w:bCs/>
          <w:sz w:val="22"/>
          <w:szCs w:val="22"/>
        </w:rPr>
        <w:t>Legislatívno-technická úprava</w:t>
      </w:r>
    </w:p>
    <w:p w14:paraId="0BE5A598" w14:textId="77777777" w:rsidR="00B06C65" w:rsidRPr="009768A3" w:rsidRDefault="00B06C65" w:rsidP="00B06C65">
      <w:pPr>
        <w:ind w:firstLine="720"/>
        <w:jc w:val="both"/>
        <w:rPr>
          <w:sz w:val="22"/>
          <w:szCs w:val="22"/>
        </w:rPr>
      </w:pPr>
    </w:p>
    <w:p w14:paraId="7CBBE2DA" w14:textId="45614F93" w:rsidR="00B06C65" w:rsidRPr="009768A3" w:rsidRDefault="00B06C65" w:rsidP="00B06C65">
      <w:pPr>
        <w:jc w:val="both"/>
        <w:rPr>
          <w:b/>
          <w:sz w:val="22"/>
          <w:szCs w:val="22"/>
        </w:rPr>
      </w:pPr>
      <w:r w:rsidRPr="009768A3">
        <w:rPr>
          <w:b/>
          <w:sz w:val="22"/>
          <w:szCs w:val="22"/>
        </w:rPr>
        <w:t>K bodu 24</w:t>
      </w:r>
    </w:p>
    <w:p w14:paraId="6C754667" w14:textId="77777777" w:rsidR="00B06C65" w:rsidRPr="009768A3" w:rsidRDefault="00B06C65" w:rsidP="00B06C65">
      <w:pPr>
        <w:ind w:firstLine="720"/>
        <w:jc w:val="both"/>
        <w:rPr>
          <w:sz w:val="22"/>
          <w:szCs w:val="22"/>
        </w:rPr>
      </w:pPr>
    </w:p>
    <w:p w14:paraId="5CB827FB" w14:textId="21FC7084" w:rsidR="00AF4729" w:rsidRPr="009768A3" w:rsidRDefault="005974C5" w:rsidP="009768A3">
      <w:pPr>
        <w:ind w:firstLine="720"/>
        <w:jc w:val="both"/>
        <w:rPr>
          <w:sz w:val="22"/>
          <w:szCs w:val="22"/>
        </w:rPr>
      </w:pPr>
      <w:r w:rsidRPr="009768A3">
        <w:rPr>
          <w:sz w:val="22"/>
          <w:szCs w:val="22"/>
        </w:rPr>
        <w:t>Zavádza sa možnosť zníženia úrokovej sadzby raz počas platnosti úverovej zmluvy. Navrhovanou legislatívnou zmenou je záujem podporiť okrem iného podnikateľské prostredie, ktoré je zasiahnuté neustálym zvyšovaním úrokovej sadzby v poslednom období, možnosťou zníženia úrokovej sadzby počas trvania úverového vzťahu. Táto možnosť vytvorí predpoklad zintenzívnenia výstavby nájomných bytov, zariadení sociálnych služieb, ubytovacích domov, prípadne ich obnovy</w:t>
      </w:r>
      <w:r w:rsidR="00AF4729" w:rsidRPr="009768A3">
        <w:rPr>
          <w:sz w:val="22"/>
          <w:szCs w:val="22"/>
        </w:rPr>
        <w:t>.</w:t>
      </w:r>
    </w:p>
    <w:p w14:paraId="1FE29E5A" w14:textId="77777777" w:rsidR="003B6660" w:rsidRPr="009768A3" w:rsidRDefault="003B6660" w:rsidP="003B6660">
      <w:pPr>
        <w:jc w:val="both"/>
        <w:rPr>
          <w:sz w:val="22"/>
          <w:szCs w:val="22"/>
        </w:rPr>
      </w:pPr>
    </w:p>
    <w:p w14:paraId="53E1B830" w14:textId="67B66B1D" w:rsidR="001C5C14" w:rsidRPr="009768A3" w:rsidRDefault="001C5C14" w:rsidP="003B6660">
      <w:pPr>
        <w:jc w:val="both"/>
        <w:rPr>
          <w:b/>
          <w:sz w:val="22"/>
          <w:szCs w:val="22"/>
        </w:rPr>
      </w:pPr>
      <w:r w:rsidRPr="009768A3">
        <w:rPr>
          <w:b/>
          <w:sz w:val="22"/>
          <w:szCs w:val="22"/>
        </w:rPr>
        <w:t xml:space="preserve">K bodu </w:t>
      </w:r>
      <w:r w:rsidR="003533CC" w:rsidRPr="009768A3">
        <w:rPr>
          <w:b/>
          <w:sz w:val="22"/>
          <w:szCs w:val="22"/>
        </w:rPr>
        <w:t>2</w:t>
      </w:r>
      <w:r w:rsidR="00B06C65" w:rsidRPr="009768A3">
        <w:rPr>
          <w:b/>
          <w:sz w:val="22"/>
          <w:szCs w:val="22"/>
        </w:rPr>
        <w:t>5</w:t>
      </w:r>
    </w:p>
    <w:p w14:paraId="1563ECF2" w14:textId="77777777" w:rsidR="00844548" w:rsidRPr="009768A3" w:rsidRDefault="00844548" w:rsidP="009768A3">
      <w:pPr>
        <w:ind w:firstLine="720"/>
        <w:jc w:val="both"/>
        <w:rPr>
          <w:sz w:val="22"/>
          <w:szCs w:val="22"/>
        </w:rPr>
      </w:pPr>
    </w:p>
    <w:p w14:paraId="3585BBC8" w14:textId="77777777" w:rsidR="001C5C14" w:rsidRPr="009768A3" w:rsidRDefault="003B6660" w:rsidP="009768A3">
      <w:pPr>
        <w:ind w:firstLine="720"/>
        <w:jc w:val="both"/>
        <w:rPr>
          <w:sz w:val="22"/>
          <w:szCs w:val="22"/>
        </w:rPr>
      </w:pPr>
      <w:r w:rsidRPr="009768A3">
        <w:rPr>
          <w:sz w:val="22"/>
          <w:szCs w:val="22"/>
        </w:rPr>
        <w:t>Navrhuje sa odstránenie duplicitnej kontroly týkajúcej sa technických požiadaviek na stavby v oblasti minimálnych technických požiadaviek na energetickú hospodárnosť budov podľa zákona č. 555/2005 Z. z. o energetickej hospodárnosti budov a o zmene a doplnení niektorých zákonov v znení neskorších predpisov. Cieľom je urýchlenie procesu posudzovania žiadosti o poskytnutie úveru, keďže plnenie požiadaviek na energetickú hospodárnosť je predmetom skúmania v rámci projektovania a konania o povolení stavby a  nie je potrebné jeho opätovné osobitné skúmanie v rámci procesu posudzovania</w:t>
      </w:r>
      <w:r w:rsidR="00813CB4" w:rsidRPr="009768A3">
        <w:rPr>
          <w:sz w:val="22"/>
          <w:szCs w:val="22"/>
        </w:rPr>
        <w:t xml:space="preserve"> žiadosti o poskytnutie úveru.</w:t>
      </w:r>
    </w:p>
    <w:p w14:paraId="6681C683" w14:textId="77777777" w:rsidR="007F75AF" w:rsidRPr="009768A3" w:rsidRDefault="007F75AF" w:rsidP="007F75AF">
      <w:pPr>
        <w:jc w:val="both"/>
        <w:rPr>
          <w:sz w:val="22"/>
          <w:szCs w:val="22"/>
        </w:rPr>
      </w:pPr>
    </w:p>
    <w:p w14:paraId="1BA98E25" w14:textId="5C3823BB" w:rsidR="001C5C14" w:rsidRPr="009768A3" w:rsidRDefault="001C5C14" w:rsidP="007F75AF">
      <w:pPr>
        <w:jc w:val="both"/>
        <w:rPr>
          <w:b/>
          <w:sz w:val="22"/>
          <w:szCs w:val="22"/>
        </w:rPr>
      </w:pPr>
      <w:r w:rsidRPr="009768A3">
        <w:rPr>
          <w:b/>
          <w:sz w:val="22"/>
          <w:szCs w:val="22"/>
        </w:rPr>
        <w:t xml:space="preserve">K bodu </w:t>
      </w:r>
      <w:r w:rsidR="003533CC" w:rsidRPr="009768A3">
        <w:rPr>
          <w:b/>
          <w:sz w:val="22"/>
          <w:szCs w:val="22"/>
        </w:rPr>
        <w:t>2</w:t>
      </w:r>
      <w:r w:rsidR="00B06C65" w:rsidRPr="009768A3">
        <w:rPr>
          <w:b/>
          <w:sz w:val="22"/>
          <w:szCs w:val="22"/>
        </w:rPr>
        <w:t>6</w:t>
      </w:r>
    </w:p>
    <w:p w14:paraId="52BEF343" w14:textId="77777777" w:rsidR="00844548" w:rsidRPr="009768A3" w:rsidRDefault="00844548" w:rsidP="009768A3">
      <w:pPr>
        <w:ind w:firstLine="720"/>
        <w:jc w:val="both"/>
        <w:rPr>
          <w:sz w:val="22"/>
          <w:szCs w:val="22"/>
        </w:rPr>
      </w:pPr>
    </w:p>
    <w:p w14:paraId="1895BE1B" w14:textId="6E3F8F17" w:rsidR="003533CC" w:rsidRPr="009768A3" w:rsidRDefault="00DA35CB" w:rsidP="009768A3">
      <w:pPr>
        <w:ind w:firstLine="720"/>
        <w:jc w:val="both"/>
        <w:rPr>
          <w:sz w:val="22"/>
          <w:szCs w:val="22"/>
        </w:rPr>
      </w:pPr>
      <w:r w:rsidRPr="009768A3">
        <w:rPr>
          <w:sz w:val="22"/>
          <w:szCs w:val="22"/>
        </w:rPr>
        <w:t xml:space="preserve">Ide o legislatívno-technickú úpravu, ktorou dôjde k zosúladeniu so zákonom č. 443/2010 Z. z. o dotáciách na rozvoja bývania a o sociálnom bývaní v znení neskorších predpisov </w:t>
      </w:r>
      <w:r w:rsidR="000331A5" w:rsidRPr="009768A3">
        <w:rPr>
          <w:sz w:val="22"/>
          <w:szCs w:val="22"/>
        </w:rPr>
        <w:t>pri posudzovaní podlahovej plochy nájomného bytu</w:t>
      </w:r>
      <w:r w:rsidR="002C0650" w:rsidRPr="009768A3">
        <w:rPr>
          <w:sz w:val="22"/>
          <w:szCs w:val="22"/>
        </w:rPr>
        <w:t>.</w:t>
      </w:r>
      <w:r w:rsidR="00EA5280" w:rsidRPr="009768A3">
        <w:rPr>
          <w:sz w:val="22"/>
          <w:szCs w:val="22"/>
        </w:rPr>
        <w:t xml:space="preserve"> </w:t>
      </w:r>
      <w:r w:rsidR="003533CC" w:rsidRPr="009768A3">
        <w:rPr>
          <w:sz w:val="22"/>
          <w:szCs w:val="22"/>
        </w:rPr>
        <w:t>Súčasne sa spresňuje výpočet podlahov</w:t>
      </w:r>
      <w:r w:rsidR="00813CB4" w:rsidRPr="009768A3">
        <w:rPr>
          <w:sz w:val="22"/>
          <w:szCs w:val="22"/>
        </w:rPr>
        <w:t>ej plochy bytu v rodinnom dome.</w:t>
      </w:r>
    </w:p>
    <w:p w14:paraId="43AADE50" w14:textId="77777777" w:rsidR="001C5C14" w:rsidRPr="009768A3" w:rsidRDefault="001C5C14" w:rsidP="007F75AF">
      <w:pPr>
        <w:jc w:val="both"/>
        <w:rPr>
          <w:sz w:val="22"/>
          <w:szCs w:val="22"/>
        </w:rPr>
      </w:pPr>
    </w:p>
    <w:p w14:paraId="0D1F7F01" w14:textId="70BFA1DC" w:rsidR="003533CC" w:rsidRPr="009768A3" w:rsidRDefault="003533CC" w:rsidP="003533CC">
      <w:pPr>
        <w:jc w:val="both"/>
        <w:rPr>
          <w:b/>
          <w:sz w:val="22"/>
          <w:szCs w:val="22"/>
        </w:rPr>
      </w:pPr>
      <w:r w:rsidRPr="009768A3">
        <w:rPr>
          <w:b/>
          <w:sz w:val="22"/>
          <w:szCs w:val="22"/>
        </w:rPr>
        <w:t>K bodu 2</w:t>
      </w:r>
      <w:r w:rsidR="00B06C65" w:rsidRPr="009768A3">
        <w:rPr>
          <w:b/>
          <w:sz w:val="22"/>
          <w:szCs w:val="22"/>
        </w:rPr>
        <w:t>7</w:t>
      </w:r>
    </w:p>
    <w:p w14:paraId="0C57F7F9" w14:textId="77777777" w:rsidR="00844548" w:rsidRPr="009768A3" w:rsidRDefault="00844548" w:rsidP="00F26434">
      <w:pPr>
        <w:jc w:val="both"/>
        <w:rPr>
          <w:bCs/>
          <w:sz w:val="22"/>
          <w:szCs w:val="22"/>
        </w:rPr>
      </w:pPr>
    </w:p>
    <w:p w14:paraId="25D0BE2F" w14:textId="77777777" w:rsidR="003533CC" w:rsidRPr="009768A3" w:rsidRDefault="003533CC" w:rsidP="009768A3">
      <w:pPr>
        <w:ind w:firstLine="720"/>
        <w:jc w:val="both"/>
        <w:rPr>
          <w:bCs/>
          <w:sz w:val="22"/>
          <w:szCs w:val="22"/>
        </w:rPr>
      </w:pPr>
      <w:r w:rsidRPr="009768A3">
        <w:rPr>
          <w:bCs/>
          <w:sz w:val="22"/>
          <w:szCs w:val="22"/>
        </w:rPr>
        <w:t>Ide o legislatívno-technickú úpravu súvisiacu s odstránením duplicitnej kontroly týkajúcej sa technických požiadaviek na stavby v oblasti minimálnych technických požiadaviek na energetickú hospodárnosť budov</w:t>
      </w:r>
      <w:r w:rsidR="00680DEB" w:rsidRPr="009768A3">
        <w:rPr>
          <w:bCs/>
          <w:sz w:val="22"/>
          <w:szCs w:val="22"/>
        </w:rPr>
        <w:t>.</w:t>
      </w:r>
    </w:p>
    <w:p w14:paraId="541CE9CA" w14:textId="77777777" w:rsidR="003533CC" w:rsidRPr="009768A3" w:rsidRDefault="003533CC" w:rsidP="00F26434">
      <w:pPr>
        <w:jc w:val="both"/>
        <w:rPr>
          <w:b/>
          <w:sz w:val="22"/>
          <w:szCs w:val="22"/>
        </w:rPr>
      </w:pPr>
    </w:p>
    <w:p w14:paraId="7441C69E" w14:textId="2D0BFB39" w:rsidR="00F26434" w:rsidRPr="009768A3" w:rsidRDefault="00F26434" w:rsidP="00F26434">
      <w:pPr>
        <w:jc w:val="both"/>
        <w:rPr>
          <w:b/>
          <w:sz w:val="22"/>
          <w:szCs w:val="22"/>
        </w:rPr>
      </w:pPr>
      <w:r w:rsidRPr="009768A3">
        <w:rPr>
          <w:b/>
          <w:sz w:val="22"/>
          <w:szCs w:val="22"/>
        </w:rPr>
        <w:t>K bod</w:t>
      </w:r>
      <w:r w:rsidR="005E1D02" w:rsidRPr="009768A3">
        <w:rPr>
          <w:b/>
          <w:sz w:val="22"/>
          <w:szCs w:val="22"/>
        </w:rPr>
        <w:t>om</w:t>
      </w:r>
      <w:r w:rsidRPr="009768A3">
        <w:rPr>
          <w:b/>
          <w:sz w:val="22"/>
          <w:szCs w:val="22"/>
        </w:rPr>
        <w:t xml:space="preserve"> </w:t>
      </w:r>
      <w:r w:rsidR="003533CC" w:rsidRPr="009768A3">
        <w:rPr>
          <w:b/>
          <w:sz w:val="22"/>
          <w:szCs w:val="22"/>
        </w:rPr>
        <w:t>2</w:t>
      </w:r>
      <w:r w:rsidR="00B06C65" w:rsidRPr="009768A3">
        <w:rPr>
          <w:b/>
          <w:sz w:val="22"/>
          <w:szCs w:val="22"/>
        </w:rPr>
        <w:t>8</w:t>
      </w:r>
      <w:r w:rsidR="005E1D02" w:rsidRPr="009768A3">
        <w:rPr>
          <w:b/>
          <w:sz w:val="22"/>
          <w:szCs w:val="22"/>
        </w:rPr>
        <w:t xml:space="preserve"> a </w:t>
      </w:r>
      <w:r w:rsidR="00B06C65" w:rsidRPr="009768A3">
        <w:rPr>
          <w:b/>
          <w:sz w:val="22"/>
          <w:szCs w:val="22"/>
        </w:rPr>
        <w:t>31</w:t>
      </w:r>
    </w:p>
    <w:p w14:paraId="1A6D8C3E" w14:textId="77777777" w:rsidR="00844548" w:rsidRPr="009768A3" w:rsidRDefault="00844548" w:rsidP="002C0650">
      <w:pPr>
        <w:jc w:val="both"/>
        <w:rPr>
          <w:sz w:val="22"/>
          <w:szCs w:val="22"/>
        </w:rPr>
      </w:pPr>
    </w:p>
    <w:p w14:paraId="77A9EF47" w14:textId="77777777" w:rsidR="002C0650" w:rsidRPr="009768A3" w:rsidRDefault="002C0650" w:rsidP="009768A3">
      <w:pPr>
        <w:ind w:firstLine="720"/>
        <w:jc w:val="both"/>
        <w:rPr>
          <w:b/>
          <w:sz w:val="22"/>
          <w:szCs w:val="22"/>
        </w:rPr>
      </w:pPr>
      <w:r w:rsidRPr="009768A3">
        <w:rPr>
          <w:sz w:val="22"/>
          <w:szCs w:val="22"/>
        </w:rPr>
        <w:t xml:space="preserve">Navrhuje sa spresnenie definície žiadateľa v prípade, ak je žiadateľom člen domácnosti, ktorej členom je aj fyzická osoba s ťažkým zdravotným postihnutím. Navrhovaným znením sa zdôrazňuje fakt, že člen domácnosti žiadosťou o úver obstaráva bývanie </w:t>
      </w:r>
      <w:r w:rsidR="005E1D02" w:rsidRPr="009768A3">
        <w:rPr>
          <w:sz w:val="22"/>
          <w:szCs w:val="22"/>
        </w:rPr>
        <w:t xml:space="preserve">nielen pre seba, ale </w:t>
      </w:r>
      <w:r w:rsidR="002E16CC" w:rsidRPr="009768A3">
        <w:rPr>
          <w:sz w:val="22"/>
          <w:szCs w:val="22"/>
        </w:rPr>
        <w:t xml:space="preserve">najmä </w:t>
      </w:r>
      <w:r w:rsidRPr="009768A3">
        <w:rPr>
          <w:sz w:val="22"/>
          <w:szCs w:val="22"/>
        </w:rPr>
        <w:t>pre fyzickú osob</w:t>
      </w:r>
      <w:r w:rsidR="00D1006D" w:rsidRPr="009768A3">
        <w:rPr>
          <w:sz w:val="22"/>
          <w:szCs w:val="22"/>
        </w:rPr>
        <w:t>u</w:t>
      </w:r>
      <w:r w:rsidRPr="009768A3">
        <w:rPr>
          <w:sz w:val="22"/>
          <w:szCs w:val="22"/>
        </w:rPr>
        <w:t xml:space="preserve"> s</w:t>
      </w:r>
      <w:r w:rsidR="00813CB4" w:rsidRPr="009768A3">
        <w:rPr>
          <w:sz w:val="22"/>
          <w:szCs w:val="22"/>
        </w:rPr>
        <w:t xml:space="preserve"> ťažkým zdravotným postihnutím.</w:t>
      </w:r>
    </w:p>
    <w:p w14:paraId="4D4D5EF1" w14:textId="77777777" w:rsidR="007D2BF2" w:rsidRPr="009768A3" w:rsidRDefault="007D2BF2" w:rsidP="007F75AF">
      <w:pPr>
        <w:jc w:val="both"/>
        <w:rPr>
          <w:b/>
          <w:sz w:val="22"/>
          <w:szCs w:val="22"/>
        </w:rPr>
      </w:pPr>
    </w:p>
    <w:p w14:paraId="2C402FF9" w14:textId="0E6C92C0" w:rsidR="005E1D02" w:rsidRPr="009768A3" w:rsidRDefault="005E1D02" w:rsidP="005E1D02">
      <w:pPr>
        <w:jc w:val="both"/>
        <w:rPr>
          <w:b/>
          <w:sz w:val="22"/>
          <w:szCs w:val="22"/>
        </w:rPr>
      </w:pPr>
      <w:r w:rsidRPr="009768A3">
        <w:rPr>
          <w:b/>
          <w:sz w:val="22"/>
          <w:szCs w:val="22"/>
        </w:rPr>
        <w:t>K bodom 2</w:t>
      </w:r>
      <w:r w:rsidR="007C740C" w:rsidRPr="009768A3">
        <w:rPr>
          <w:b/>
          <w:sz w:val="22"/>
          <w:szCs w:val="22"/>
        </w:rPr>
        <w:t>9</w:t>
      </w:r>
      <w:r w:rsidRPr="009768A3">
        <w:rPr>
          <w:b/>
          <w:sz w:val="22"/>
          <w:szCs w:val="22"/>
        </w:rPr>
        <w:t xml:space="preserve">, </w:t>
      </w:r>
      <w:r w:rsidR="007C740C" w:rsidRPr="009768A3">
        <w:rPr>
          <w:b/>
          <w:sz w:val="22"/>
          <w:szCs w:val="22"/>
        </w:rPr>
        <w:t>30</w:t>
      </w:r>
      <w:r w:rsidRPr="009768A3">
        <w:rPr>
          <w:b/>
          <w:sz w:val="22"/>
          <w:szCs w:val="22"/>
        </w:rPr>
        <w:t>, 3</w:t>
      </w:r>
      <w:r w:rsidR="007C740C" w:rsidRPr="009768A3">
        <w:rPr>
          <w:b/>
          <w:sz w:val="22"/>
          <w:szCs w:val="22"/>
        </w:rPr>
        <w:t>5 a</w:t>
      </w:r>
      <w:r w:rsidR="008A722A" w:rsidRPr="009768A3">
        <w:rPr>
          <w:b/>
          <w:sz w:val="22"/>
          <w:szCs w:val="22"/>
        </w:rPr>
        <w:t xml:space="preserve"> 3</w:t>
      </w:r>
      <w:r w:rsidR="007C740C" w:rsidRPr="009768A3">
        <w:rPr>
          <w:b/>
          <w:sz w:val="22"/>
          <w:szCs w:val="22"/>
        </w:rPr>
        <w:t>7</w:t>
      </w:r>
      <w:r w:rsidRPr="009768A3">
        <w:rPr>
          <w:b/>
          <w:sz w:val="22"/>
          <w:szCs w:val="22"/>
        </w:rPr>
        <w:t xml:space="preserve"> </w:t>
      </w:r>
    </w:p>
    <w:p w14:paraId="357D36EE" w14:textId="77777777" w:rsidR="00844548" w:rsidRPr="009768A3" w:rsidRDefault="00844548" w:rsidP="002C0650">
      <w:pPr>
        <w:jc w:val="both"/>
        <w:rPr>
          <w:bCs/>
          <w:sz w:val="22"/>
          <w:szCs w:val="22"/>
        </w:rPr>
      </w:pPr>
    </w:p>
    <w:p w14:paraId="1FB10947" w14:textId="38FB818D" w:rsidR="005E1D02" w:rsidRPr="009768A3" w:rsidRDefault="005E1D02" w:rsidP="009768A3">
      <w:pPr>
        <w:ind w:firstLine="720"/>
        <w:jc w:val="both"/>
        <w:rPr>
          <w:bCs/>
          <w:sz w:val="22"/>
          <w:szCs w:val="22"/>
        </w:rPr>
      </w:pPr>
      <w:r w:rsidRPr="009768A3">
        <w:rPr>
          <w:bCs/>
          <w:sz w:val="22"/>
          <w:szCs w:val="22"/>
        </w:rPr>
        <w:t xml:space="preserve">Ide o legislatívno-technickú úpravu súvisiacu s novelizačným bodom </w:t>
      </w:r>
      <w:r w:rsidR="007C740C" w:rsidRPr="009768A3">
        <w:rPr>
          <w:bCs/>
          <w:sz w:val="22"/>
          <w:szCs w:val="22"/>
        </w:rPr>
        <w:t>27</w:t>
      </w:r>
      <w:r w:rsidRPr="009768A3">
        <w:rPr>
          <w:bCs/>
          <w:sz w:val="22"/>
          <w:szCs w:val="22"/>
        </w:rPr>
        <w:t>.</w:t>
      </w:r>
    </w:p>
    <w:p w14:paraId="65BDA0D6" w14:textId="77777777" w:rsidR="005E1D02" w:rsidRPr="009768A3" w:rsidRDefault="005E1D02" w:rsidP="002C0650">
      <w:pPr>
        <w:jc w:val="both"/>
        <w:rPr>
          <w:b/>
          <w:sz w:val="22"/>
          <w:szCs w:val="22"/>
        </w:rPr>
      </w:pPr>
    </w:p>
    <w:p w14:paraId="36D02CDA" w14:textId="7646841F" w:rsidR="00F26434" w:rsidRPr="009768A3" w:rsidRDefault="00F26434" w:rsidP="00F26434">
      <w:pPr>
        <w:jc w:val="both"/>
        <w:rPr>
          <w:b/>
          <w:sz w:val="22"/>
          <w:szCs w:val="22"/>
        </w:rPr>
      </w:pPr>
      <w:r w:rsidRPr="009768A3">
        <w:rPr>
          <w:b/>
          <w:sz w:val="22"/>
          <w:szCs w:val="22"/>
        </w:rPr>
        <w:t xml:space="preserve">K bodu </w:t>
      </w:r>
      <w:r w:rsidR="0008694B" w:rsidRPr="009768A3">
        <w:rPr>
          <w:b/>
          <w:sz w:val="22"/>
          <w:szCs w:val="22"/>
        </w:rPr>
        <w:t>3</w:t>
      </w:r>
      <w:r w:rsidR="007C740C" w:rsidRPr="009768A3">
        <w:rPr>
          <w:b/>
          <w:sz w:val="22"/>
          <w:szCs w:val="22"/>
        </w:rPr>
        <w:t>2</w:t>
      </w:r>
    </w:p>
    <w:p w14:paraId="6B556B61" w14:textId="77777777" w:rsidR="00844548" w:rsidRPr="009768A3" w:rsidRDefault="00844548" w:rsidP="002C0650">
      <w:pPr>
        <w:jc w:val="both"/>
        <w:rPr>
          <w:sz w:val="22"/>
          <w:szCs w:val="22"/>
        </w:rPr>
      </w:pPr>
    </w:p>
    <w:p w14:paraId="47054D51" w14:textId="77777777" w:rsidR="002C0650" w:rsidRPr="009768A3" w:rsidRDefault="002C0650" w:rsidP="009768A3">
      <w:pPr>
        <w:ind w:firstLine="720"/>
        <w:jc w:val="both"/>
        <w:rPr>
          <w:sz w:val="22"/>
          <w:szCs w:val="22"/>
        </w:rPr>
      </w:pPr>
      <w:r w:rsidRPr="009768A3">
        <w:rPr>
          <w:sz w:val="22"/>
          <w:szCs w:val="22"/>
        </w:rPr>
        <w:t>Ide o legislatívno-technickú úpravu, ktorou dôjde k zosúladeniu so zákonom č. 443/2010 Z. z. o dotáciách na rozvoja bývania a o sociálnom bývaní v znení neskorších predpisov pri posudzovaní pod</w:t>
      </w:r>
      <w:r w:rsidR="00813CB4" w:rsidRPr="009768A3">
        <w:rPr>
          <w:sz w:val="22"/>
          <w:szCs w:val="22"/>
        </w:rPr>
        <w:t xml:space="preserve">lahovej </w:t>
      </w:r>
      <w:r w:rsidR="00813CB4" w:rsidRPr="009768A3">
        <w:rPr>
          <w:sz w:val="22"/>
          <w:szCs w:val="22"/>
        </w:rPr>
        <w:lastRenderedPageBreak/>
        <w:t>plochy nájomného bytu.</w:t>
      </w:r>
    </w:p>
    <w:p w14:paraId="3173F79D" w14:textId="77777777" w:rsidR="00F26434" w:rsidRPr="009768A3" w:rsidRDefault="00F26434" w:rsidP="00F26434">
      <w:pPr>
        <w:jc w:val="both"/>
        <w:rPr>
          <w:b/>
          <w:sz w:val="22"/>
          <w:szCs w:val="22"/>
        </w:rPr>
      </w:pPr>
    </w:p>
    <w:p w14:paraId="48EF1E0C" w14:textId="447A9DE8" w:rsidR="00F26434" w:rsidRPr="009768A3" w:rsidRDefault="00F26434" w:rsidP="00F26434">
      <w:pPr>
        <w:jc w:val="both"/>
        <w:rPr>
          <w:b/>
          <w:sz w:val="22"/>
          <w:szCs w:val="22"/>
        </w:rPr>
      </w:pPr>
      <w:r w:rsidRPr="009768A3">
        <w:rPr>
          <w:b/>
          <w:sz w:val="22"/>
          <w:szCs w:val="22"/>
        </w:rPr>
        <w:t>K bod</w:t>
      </w:r>
      <w:r w:rsidR="005E1D02" w:rsidRPr="009768A3">
        <w:rPr>
          <w:b/>
          <w:sz w:val="22"/>
          <w:szCs w:val="22"/>
        </w:rPr>
        <w:t>om</w:t>
      </w:r>
      <w:r w:rsidRPr="009768A3">
        <w:rPr>
          <w:b/>
          <w:sz w:val="22"/>
          <w:szCs w:val="22"/>
        </w:rPr>
        <w:t xml:space="preserve"> </w:t>
      </w:r>
      <w:r w:rsidR="005E1D02" w:rsidRPr="009768A3">
        <w:rPr>
          <w:b/>
          <w:sz w:val="22"/>
          <w:szCs w:val="22"/>
        </w:rPr>
        <w:t>3</w:t>
      </w:r>
      <w:r w:rsidR="007C740C" w:rsidRPr="009768A3">
        <w:rPr>
          <w:b/>
          <w:sz w:val="22"/>
          <w:szCs w:val="22"/>
        </w:rPr>
        <w:t>3</w:t>
      </w:r>
      <w:r w:rsidR="005E1D02" w:rsidRPr="009768A3">
        <w:rPr>
          <w:b/>
          <w:sz w:val="22"/>
          <w:szCs w:val="22"/>
        </w:rPr>
        <w:t xml:space="preserve"> a 3</w:t>
      </w:r>
      <w:r w:rsidR="007C740C" w:rsidRPr="009768A3">
        <w:rPr>
          <w:b/>
          <w:sz w:val="22"/>
          <w:szCs w:val="22"/>
        </w:rPr>
        <w:t>4</w:t>
      </w:r>
    </w:p>
    <w:p w14:paraId="18608E4D" w14:textId="77777777" w:rsidR="00844548" w:rsidRPr="009768A3" w:rsidRDefault="00844548" w:rsidP="002C0650">
      <w:pPr>
        <w:jc w:val="both"/>
        <w:rPr>
          <w:sz w:val="22"/>
          <w:szCs w:val="22"/>
        </w:rPr>
      </w:pPr>
    </w:p>
    <w:p w14:paraId="4B3FCE94" w14:textId="77777777" w:rsidR="002C0650" w:rsidRPr="009768A3" w:rsidRDefault="002C0650" w:rsidP="009768A3">
      <w:pPr>
        <w:ind w:firstLine="720"/>
        <w:jc w:val="both"/>
        <w:rPr>
          <w:sz w:val="22"/>
          <w:szCs w:val="22"/>
        </w:rPr>
      </w:pPr>
      <w:r w:rsidRPr="009768A3">
        <w:rPr>
          <w:sz w:val="22"/>
          <w:szCs w:val="22"/>
        </w:rPr>
        <w:t xml:space="preserve">Navrhuje sa spresnenie podmienok žiadateľa, ku ktorým sa zaväzuje v zmluve o poskytnutí úveru, predovšetkým doplnením povinnosti zriadenia záložného práva na účel poskytnutia úveru – zachovanie nájomného charakteru obstarávaného bytu v prospech ŠFRB.  </w:t>
      </w:r>
    </w:p>
    <w:p w14:paraId="69E4DCDA" w14:textId="77777777" w:rsidR="00F26434" w:rsidRPr="009768A3" w:rsidRDefault="00F26434" w:rsidP="00F26434">
      <w:pPr>
        <w:jc w:val="both"/>
        <w:rPr>
          <w:b/>
          <w:sz w:val="22"/>
          <w:szCs w:val="22"/>
        </w:rPr>
      </w:pPr>
    </w:p>
    <w:p w14:paraId="0BF99647" w14:textId="2F08B369" w:rsidR="008371BB" w:rsidRPr="009768A3" w:rsidRDefault="008371BB" w:rsidP="008371BB">
      <w:pPr>
        <w:jc w:val="both"/>
        <w:rPr>
          <w:b/>
          <w:sz w:val="22"/>
          <w:szCs w:val="22"/>
        </w:rPr>
      </w:pPr>
      <w:r w:rsidRPr="009768A3">
        <w:rPr>
          <w:b/>
          <w:sz w:val="22"/>
          <w:szCs w:val="22"/>
        </w:rPr>
        <w:t xml:space="preserve">K bodu </w:t>
      </w:r>
      <w:r w:rsidR="001B79F6" w:rsidRPr="009768A3">
        <w:rPr>
          <w:b/>
          <w:sz w:val="22"/>
          <w:szCs w:val="22"/>
        </w:rPr>
        <w:t>3</w:t>
      </w:r>
      <w:r w:rsidR="007C740C" w:rsidRPr="009768A3">
        <w:rPr>
          <w:b/>
          <w:sz w:val="22"/>
          <w:szCs w:val="22"/>
        </w:rPr>
        <w:t>6</w:t>
      </w:r>
    </w:p>
    <w:p w14:paraId="0106D7AC" w14:textId="77777777" w:rsidR="00844548" w:rsidRPr="009768A3" w:rsidRDefault="00844548" w:rsidP="008371BB">
      <w:pPr>
        <w:jc w:val="both"/>
        <w:rPr>
          <w:sz w:val="22"/>
          <w:szCs w:val="22"/>
        </w:rPr>
      </w:pPr>
    </w:p>
    <w:p w14:paraId="7E8C8599" w14:textId="495609D0" w:rsidR="008371BB" w:rsidRPr="009768A3" w:rsidRDefault="008371BB" w:rsidP="009768A3">
      <w:pPr>
        <w:ind w:firstLine="720"/>
        <w:jc w:val="both"/>
        <w:rPr>
          <w:b/>
          <w:sz w:val="22"/>
          <w:szCs w:val="22"/>
        </w:rPr>
      </w:pPr>
      <w:r w:rsidRPr="009768A3">
        <w:rPr>
          <w:sz w:val="22"/>
          <w:szCs w:val="22"/>
        </w:rPr>
        <w:t>Navrhuje</w:t>
      </w:r>
      <w:r w:rsidR="001B79F6" w:rsidRPr="009768A3">
        <w:rPr>
          <w:sz w:val="22"/>
          <w:szCs w:val="22"/>
        </w:rPr>
        <w:t xml:space="preserve"> sa</w:t>
      </w:r>
      <w:r w:rsidRPr="009768A3">
        <w:rPr>
          <w:sz w:val="22"/>
          <w:szCs w:val="22"/>
        </w:rPr>
        <w:t xml:space="preserve"> upresnenie povinnosti žiadateľa uzavrieť zmluvu o budúcej kúpnej zmluve so stavebníkom, teda s tým, kto má v úmysle uskutočňovať stavebné práce, a to odo dňa začatia zabezpečovania podkladov pre konanie až do dňa vydania kolaudačného osvedčenia a je vlastníkom pozemku alebo stavby, na ktorých sa majú uskutočniť stavebné práce alebo má iné práva k pozemkom a stavbám, na ktorých sa majú uskutočniť stavebné práce</w:t>
      </w:r>
      <w:r w:rsidR="00813CB4" w:rsidRPr="009768A3">
        <w:rPr>
          <w:sz w:val="22"/>
          <w:szCs w:val="22"/>
        </w:rPr>
        <w:t>.</w:t>
      </w:r>
      <w:r w:rsidR="00F74D9F">
        <w:rPr>
          <w:sz w:val="22"/>
          <w:szCs w:val="22"/>
        </w:rPr>
        <w:t xml:space="preserve"> Cieľom tejto legislatívnej úpravy je zjednodušenie prístupu žiadateľa (fyzickej osoby, obce, VÚC, resp. inej právnickej osoby) k obstaraniu bytu, nakoľko vlastníkom obstarávaného bytu nie je zhotoviteľ, ale vo väčšine prípadov stavebník (</w:t>
      </w:r>
      <w:proofErr w:type="spellStart"/>
      <w:r w:rsidR="00F74D9F">
        <w:rPr>
          <w:sz w:val="22"/>
          <w:szCs w:val="22"/>
        </w:rPr>
        <w:t>developer</w:t>
      </w:r>
      <w:proofErr w:type="spellEnd"/>
      <w:r w:rsidR="00F74D9F">
        <w:rPr>
          <w:sz w:val="22"/>
          <w:szCs w:val="22"/>
        </w:rPr>
        <w:t>), ktorý tieto byty predáva.</w:t>
      </w:r>
    </w:p>
    <w:p w14:paraId="6FEE2D8D" w14:textId="77777777" w:rsidR="008371BB" w:rsidRPr="009768A3" w:rsidRDefault="008371BB" w:rsidP="00F26434">
      <w:pPr>
        <w:jc w:val="both"/>
        <w:rPr>
          <w:b/>
          <w:sz w:val="22"/>
          <w:szCs w:val="22"/>
        </w:rPr>
      </w:pPr>
    </w:p>
    <w:p w14:paraId="1F56600D" w14:textId="74778744" w:rsidR="00F26434" w:rsidRPr="009768A3" w:rsidRDefault="00F26434" w:rsidP="00F26434">
      <w:pPr>
        <w:jc w:val="both"/>
        <w:rPr>
          <w:b/>
          <w:sz w:val="22"/>
          <w:szCs w:val="22"/>
        </w:rPr>
      </w:pPr>
      <w:r w:rsidRPr="009768A3">
        <w:rPr>
          <w:b/>
          <w:sz w:val="22"/>
          <w:szCs w:val="22"/>
        </w:rPr>
        <w:t xml:space="preserve">K bodu </w:t>
      </w:r>
      <w:r w:rsidR="004A466C" w:rsidRPr="009768A3">
        <w:rPr>
          <w:b/>
          <w:sz w:val="22"/>
          <w:szCs w:val="22"/>
        </w:rPr>
        <w:t>3</w:t>
      </w:r>
      <w:r w:rsidR="007C740C" w:rsidRPr="009768A3">
        <w:rPr>
          <w:b/>
          <w:sz w:val="22"/>
          <w:szCs w:val="22"/>
        </w:rPr>
        <w:t>8</w:t>
      </w:r>
    </w:p>
    <w:p w14:paraId="4FAFA6DE" w14:textId="77777777" w:rsidR="00844548" w:rsidRPr="009768A3" w:rsidRDefault="00844548" w:rsidP="002C0650">
      <w:pPr>
        <w:jc w:val="both"/>
        <w:rPr>
          <w:sz w:val="22"/>
          <w:szCs w:val="22"/>
        </w:rPr>
      </w:pPr>
    </w:p>
    <w:p w14:paraId="20A16BD1" w14:textId="77777777" w:rsidR="002C0650" w:rsidRPr="009768A3" w:rsidRDefault="00844111" w:rsidP="009768A3">
      <w:pPr>
        <w:ind w:firstLine="720"/>
        <w:jc w:val="both"/>
        <w:rPr>
          <w:sz w:val="22"/>
          <w:szCs w:val="22"/>
        </w:rPr>
      </w:pPr>
      <w:r w:rsidRPr="009768A3">
        <w:rPr>
          <w:sz w:val="22"/>
          <w:szCs w:val="22"/>
        </w:rPr>
        <w:t xml:space="preserve">Ide o definovanie podmienok pri realizácii inej modernizácie spoločnej časti bytového domu zateplením. V prípade, že ide o tzv. </w:t>
      </w:r>
      <w:proofErr w:type="spellStart"/>
      <w:r w:rsidRPr="009768A3">
        <w:rPr>
          <w:sz w:val="22"/>
          <w:szCs w:val="22"/>
        </w:rPr>
        <w:t>dozateplenie</w:t>
      </w:r>
      <w:proofErr w:type="spellEnd"/>
      <w:r w:rsidRPr="009768A3">
        <w:rPr>
          <w:sz w:val="22"/>
          <w:szCs w:val="22"/>
        </w:rPr>
        <w:t xml:space="preserve"> časti bytového domu, pri jeho realizácii je potrebné dodržať podmienky týkajúceho sa tepelnoizolačného systému, oprávnenosti zhotoviteľa, odborného technického dozor</w:t>
      </w:r>
      <w:r w:rsidR="00D1006D" w:rsidRPr="009768A3">
        <w:rPr>
          <w:sz w:val="22"/>
          <w:szCs w:val="22"/>
        </w:rPr>
        <w:t>u</w:t>
      </w:r>
      <w:r w:rsidRPr="009768A3">
        <w:rPr>
          <w:sz w:val="22"/>
          <w:szCs w:val="22"/>
        </w:rPr>
        <w:t>, hygienických, energetických a tepelnoizolačných k</w:t>
      </w:r>
      <w:r w:rsidR="00813CB4" w:rsidRPr="009768A3">
        <w:rPr>
          <w:sz w:val="22"/>
          <w:szCs w:val="22"/>
        </w:rPr>
        <w:t>ritérií stavebných konštrukcií.</w:t>
      </w:r>
    </w:p>
    <w:p w14:paraId="6BB1EA3E" w14:textId="77777777" w:rsidR="008171B7" w:rsidRPr="009768A3" w:rsidRDefault="008171B7" w:rsidP="00F26434">
      <w:pPr>
        <w:jc w:val="both"/>
        <w:rPr>
          <w:b/>
          <w:sz w:val="22"/>
          <w:szCs w:val="22"/>
        </w:rPr>
      </w:pPr>
    </w:p>
    <w:p w14:paraId="23744B01" w14:textId="288D3BE8" w:rsidR="004A466C" w:rsidRPr="009768A3" w:rsidRDefault="004A466C" w:rsidP="004A466C">
      <w:pPr>
        <w:jc w:val="both"/>
        <w:rPr>
          <w:b/>
          <w:sz w:val="22"/>
          <w:szCs w:val="22"/>
        </w:rPr>
      </w:pPr>
      <w:r w:rsidRPr="009768A3">
        <w:rPr>
          <w:b/>
          <w:sz w:val="22"/>
          <w:szCs w:val="22"/>
        </w:rPr>
        <w:t>K bodu 3</w:t>
      </w:r>
      <w:r w:rsidR="007C740C" w:rsidRPr="009768A3">
        <w:rPr>
          <w:b/>
          <w:sz w:val="22"/>
          <w:szCs w:val="22"/>
        </w:rPr>
        <w:t>9</w:t>
      </w:r>
    </w:p>
    <w:p w14:paraId="3F6E3038" w14:textId="77777777" w:rsidR="00844548" w:rsidRPr="009768A3" w:rsidRDefault="00844548" w:rsidP="00F26434">
      <w:pPr>
        <w:jc w:val="both"/>
        <w:rPr>
          <w:bCs/>
          <w:sz w:val="22"/>
          <w:szCs w:val="22"/>
        </w:rPr>
      </w:pPr>
    </w:p>
    <w:p w14:paraId="013C996F" w14:textId="77777777" w:rsidR="004A466C" w:rsidRPr="009768A3" w:rsidRDefault="004A466C" w:rsidP="009768A3">
      <w:pPr>
        <w:ind w:firstLine="720"/>
        <w:jc w:val="both"/>
        <w:rPr>
          <w:bCs/>
          <w:sz w:val="22"/>
          <w:szCs w:val="22"/>
        </w:rPr>
      </w:pPr>
      <w:r w:rsidRPr="009768A3">
        <w:rPr>
          <w:bCs/>
          <w:sz w:val="22"/>
          <w:szCs w:val="22"/>
        </w:rPr>
        <w:t>Legislatívno-technická úprava.</w:t>
      </w:r>
    </w:p>
    <w:p w14:paraId="0CD6D693" w14:textId="77777777" w:rsidR="004A466C" w:rsidRPr="009768A3" w:rsidRDefault="004A466C" w:rsidP="00F26434">
      <w:pPr>
        <w:jc w:val="both"/>
        <w:rPr>
          <w:b/>
          <w:sz w:val="22"/>
          <w:szCs w:val="22"/>
        </w:rPr>
      </w:pPr>
    </w:p>
    <w:p w14:paraId="28F26F11" w14:textId="4D400507" w:rsidR="00F26434" w:rsidRPr="009768A3" w:rsidRDefault="00F26434" w:rsidP="00F26434">
      <w:pPr>
        <w:jc w:val="both"/>
        <w:rPr>
          <w:b/>
          <w:sz w:val="22"/>
          <w:szCs w:val="22"/>
        </w:rPr>
      </w:pPr>
      <w:r w:rsidRPr="009768A3">
        <w:rPr>
          <w:b/>
          <w:sz w:val="22"/>
          <w:szCs w:val="22"/>
        </w:rPr>
        <w:t xml:space="preserve">K bodu </w:t>
      </w:r>
      <w:r w:rsidR="007C740C" w:rsidRPr="009768A3">
        <w:rPr>
          <w:b/>
          <w:sz w:val="22"/>
          <w:szCs w:val="22"/>
        </w:rPr>
        <w:t>40</w:t>
      </w:r>
    </w:p>
    <w:p w14:paraId="779B9DDA" w14:textId="77777777" w:rsidR="00844548" w:rsidRPr="009768A3" w:rsidRDefault="00844548" w:rsidP="002C0650">
      <w:pPr>
        <w:jc w:val="both"/>
        <w:rPr>
          <w:sz w:val="22"/>
          <w:szCs w:val="22"/>
        </w:rPr>
      </w:pPr>
    </w:p>
    <w:p w14:paraId="28039F02" w14:textId="77777777" w:rsidR="002C0650" w:rsidRPr="009768A3" w:rsidRDefault="002C0650" w:rsidP="009768A3">
      <w:pPr>
        <w:ind w:firstLine="720"/>
        <w:jc w:val="both"/>
        <w:rPr>
          <w:sz w:val="22"/>
          <w:szCs w:val="22"/>
        </w:rPr>
      </w:pPr>
      <w:r w:rsidRPr="009768A3">
        <w:rPr>
          <w:sz w:val="22"/>
          <w:szCs w:val="22"/>
        </w:rPr>
        <w:t>Navrhuje sa spresnenie podmienok žiadateľa, ku ktorým sa zaväzuje v zmluve o poskytnutí úveru, predovšetkým doplnením povinnosti zriadenia záložného práva na účel poskytnutia úveru – poskytovanie sociá</w:t>
      </w:r>
      <w:r w:rsidR="00813CB4" w:rsidRPr="009768A3">
        <w:rPr>
          <w:sz w:val="22"/>
          <w:szCs w:val="22"/>
        </w:rPr>
        <w:t>lnych služieb v prospech ŠFRB.</w:t>
      </w:r>
    </w:p>
    <w:p w14:paraId="2DF7D3B0" w14:textId="77777777" w:rsidR="00A8538B" w:rsidRPr="009768A3" w:rsidRDefault="00A8538B" w:rsidP="005C2365">
      <w:pPr>
        <w:jc w:val="both"/>
        <w:rPr>
          <w:b/>
          <w:sz w:val="22"/>
          <w:szCs w:val="22"/>
        </w:rPr>
      </w:pPr>
    </w:p>
    <w:p w14:paraId="1780D71D" w14:textId="2C0DBDE7" w:rsidR="005C2365" w:rsidRPr="009768A3" w:rsidRDefault="005C2365" w:rsidP="005C2365">
      <w:pPr>
        <w:jc w:val="both"/>
        <w:rPr>
          <w:b/>
          <w:sz w:val="22"/>
          <w:szCs w:val="22"/>
        </w:rPr>
      </w:pPr>
      <w:r w:rsidRPr="009768A3">
        <w:rPr>
          <w:b/>
          <w:sz w:val="22"/>
          <w:szCs w:val="22"/>
        </w:rPr>
        <w:t xml:space="preserve">K bodu </w:t>
      </w:r>
      <w:r w:rsidR="004A466C" w:rsidRPr="009768A3">
        <w:rPr>
          <w:b/>
          <w:sz w:val="22"/>
          <w:szCs w:val="22"/>
        </w:rPr>
        <w:t>4</w:t>
      </w:r>
      <w:r w:rsidR="007C740C" w:rsidRPr="009768A3">
        <w:rPr>
          <w:b/>
          <w:sz w:val="22"/>
          <w:szCs w:val="22"/>
        </w:rPr>
        <w:t>1</w:t>
      </w:r>
    </w:p>
    <w:p w14:paraId="44C934A6" w14:textId="77777777" w:rsidR="00844548" w:rsidRPr="009768A3" w:rsidRDefault="00844548" w:rsidP="002C0650">
      <w:pPr>
        <w:jc w:val="both"/>
        <w:rPr>
          <w:sz w:val="22"/>
          <w:szCs w:val="22"/>
        </w:rPr>
      </w:pPr>
    </w:p>
    <w:p w14:paraId="75F59839" w14:textId="77777777" w:rsidR="002C0650" w:rsidRPr="009768A3" w:rsidRDefault="002C0650" w:rsidP="009768A3">
      <w:pPr>
        <w:ind w:firstLine="720"/>
        <w:jc w:val="both"/>
        <w:rPr>
          <w:sz w:val="22"/>
          <w:szCs w:val="22"/>
        </w:rPr>
      </w:pPr>
      <w:r w:rsidRPr="009768A3">
        <w:rPr>
          <w:sz w:val="22"/>
          <w:szCs w:val="22"/>
        </w:rPr>
        <w:t>Navrhuje sa odstránenie duplicitnej kontroly týkajúcej sa technických požiadaviek na stavby v oblasti minimálnych technických požiadaviek na energetickú hospodárnosť budov podľa zákona č. 555/2005 Z. z. o energetickej hospodárnosti budov a o zmene a doplnení niektorých zákonov v znení neskorších predpisov. Cieľom je urýchlenie procesu posudzovania žiadosti o poskytnutie úveru, keďže plnenie požiadaviek na energetickú hospodárnosť je predmetom skúmania v rámci projektovania a konania o povolení stavby a  nie je potrebné jeho opätovné osobitné skúmanie v rámci procesu posudzovania</w:t>
      </w:r>
      <w:r w:rsidR="00813CB4" w:rsidRPr="009768A3">
        <w:rPr>
          <w:sz w:val="22"/>
          <w:szCs w:val="22"/>
        </w:rPr>
        <w:t xml:space="preserve"> žiadosti o poskytnutie úveru.</w:t>
      </w:r>
    </w:p>
    <w:p w14:paraId="69DDAD54" w14:textId="77777777" w:rsidR="007D2BF2" w:rsidRPr="009768A3" w:rsidRDefault="007D2BF2" w:rsidP="005C2365">
      <w:pPr>
        <w:jc w:val="both"/>
        <w:rPr>
          <w:b/>
          <w:sz w:val="22"/>
          <w:szCs w:val="22"/>
        </w:rPr>
      </w:pPr>
    </w:p>
    <w:p w14:paraId="784F5BA2" w14:textId="263B1106" w:rsidR="005C2365" w:rsidRPr="009768A3" w:rsidRDefault="005C2365" w:rsidP="005C2365">
      <w:pPr>
        <w:jc w:val="both"/>
        <w:rPr>
          <w:b/>
          <w:sz w:val="22"/>
          <w:szCs w:val="22"/>
        </w:rPr>
      </w:pPr>
      <w:r w:rsidRPr="009768A3">
        <w:rPr>
          <w:b/>
          <w:sz w:val="22"/>
          <w:szCs w:val="22"/>
        </w:rPr>
        <w:t xml:space="preserve">K bodu </w:t>
      </w:r>
      <w:r w:rsidR="008371BB" w:rsidRPr="009768A3">
        <w:rPr>
          <w:b/>
          <w:sz w:val="22"/>
          <w:szCs w:val="22"/>
        </w:rPr>
        <w:t>4</w:t>
      </w:r>
      <w:r w:rsidR="007C740C" w:rsidRPr="009768A3">
        <w:rPr>
          <w:b/>
          <w:sz w:val="22"/>
          <w:szCs w:val="22"/>
        </w:rPr>
        <w:t>2</w:t>
      </w:r>
    </w:p>
    <w:p w14:paraId="177B5A2E" w14:textId="77777777" w:rsidR="00844548" w:rsidRPr="009768A3" w:rsidRDefault="00844548" w:rsidP="002C0650">
      <w:pPr>
        <w:jc w:val="both"/>
        <w:rPr>
          <w:sz w:val="22"/>
          <w:szCs w:val="22"/>
        </w:rPr>
      </w:pPr>
    </w:p>
    <w:p w14:paraId="723F41CB" w14:textId="77777777" w:rsidR="002C0650" w:rsidRPr="009768A3" w:rsidRDefault="002C0650" w:rsidP="009768A3">
      <w:pPr>
        <w:ind w:firstLine="720"/>
        <w:jc w:val="both"/>
        <w:rPr>
          <w:sz w:val="22"/>
          <w:szCs w:val="22"/>
        </w:rPr>
      </w:pPr>
      <w:r w:rsidRPr="009768A3">
        <w:rPr>
          <w:sz w:val="22"/>
          <w:szCs w:val="22"/>
        </w:rPr>
        <w:t>Ide o precizovanie podmienok pri postupnej obnove zariadenia sociálnych služieb.</w:t>
      </w:r>
    </w:p>
    <w:p w14:paraId="7FCBF397" w14:textId="77777777" w:rsidR="005C2365" w:rsidRPr="009768A3" w:rsidRDefault="005C2365" w:rsidP="005C2365">
      <w:pPr>
        <w:jc w:val="both"/>
        <w:rPr>
          <w:b/>
          <w:sz w:val="22"/>
          <w:szCs w:val="22"/>
        </w:rPr>
      </w:pPr>
    </w:p>
    <w:p w14:paraId="4E4CE8F5" w14:textId="4308DF4F" w:rsidR="005C2365" w:rsidRPr="009768A3" w:rsidRDefault="005C2365" w:rsidP="005C2365">
      <w:pPr>
        <w:jc w:val="both"/>
        <w:rPr>
          <w:b/>
          <w:sz w:val="22"/>
          <w:szCs w:val="22"/>
        </w:rPr>
      </w:pPr>
      <w:r w:rsidRPr="009768A3">
        <w:rPr>
          <w:b/>
          <w:sz w:val="22"/>
          <w:szCs w:val="22"/>
        </w:rPr>
        <w:t xml:space="preserve">K bodu </w:t>
      </w:r>
      <w:r w:rsidR="004A466C" w:rsidRPr="009768A3">
        <w:rPr>
          <w:b/>
          <w:sz w:val="22"/>
          <w:szCs w:val="22"/>
        </w:rPr>
        <w:t>4</w:t>
      </w:r>
      <w:r w:rsidR="007C740C" w:rsidRPr="009768A3">
        <w:rPr>
          <w:b/>
          <w:sz w:val="22"/>
          <w:szCs w:val="22"/>
        </w:rPr>
        <w:t>3</w:t>
      </w:r>
    </w:p>
    <w:p w14:paraId="7791D7A4" w14:textId="77777777" w:rsidR="00844548" w:rsidRPr="009768A3" w:rsidRDefault="00844548" w:rsidP="002C0650">
      <w:pPr>
        <w:jc w:val="both"/>
        <w:rPr>
          <w:sz w:val="22"/>
          <w:szCs w:val="22"/>
        </w:rPr>
      </w:pPr>
    </w:p>
    <w:p w14:paraId="310AAA36" w14:textId="77777777" w:rsidR="002C0650" w:rsidRPr="009768A3" w:rsidRDefault="002C0650" w:rsidP="009768A3">
      <w:pPr>
        <w:ind w:firstLine="720"/>
        <w:jc w:val="both"/>
        <w:rPr>
          <w:sz w:val="22"/>
          <w:szCs w:val="22"/>
        </w:rPr>
      </w:pPr>
      <w:r w:rsidRPr="009768A3">
        <w:rPr>
          <w:sz w:val="22"/>
          <w:szCs w:val="22"/>
        </w:rPr>
        <w:t xml:space="preserve">Navrhuje sa odstránenie duplicitnej kontroly týkajúcej sa technických požiadaviek na stavby v oblasti minimálnych technických požiadaviek na energetickú hospodárnosť budov podľa zákona č. 555/2005 Z. z. o energetickej hospodárnosti budov a o zmene a doplnení niektorých zákonov v znení </w:t>
      </w:r>
      <w:r w:rsidRPr="009768A3">
        <w:rPr>
          <w:sz w:val="22"/>
          <w:szCs w:val="22"/>
        </w:rPr>
        <w:lastRenderedPageBreak/>
        <w:t>neskorších predpisov. Cieľom je urýchlenie procesu posudzovania žiadosti o poskytnutie dotácie, keďže plnenie požiadaviek na energetickú hospodárnosť je predmetom skúmania v rámci projektovania a konania o povolení stavby a  nie je potrebné jeho opätovné osobitné skúmanie v rámci procesu posudzovania žiadosti o poskytn</w:t>
      </w:r>
      <w:r w:rsidR="00A3229B" w:rsidRPr="009768A3">
        <w:rPr>
          <w:sz w:val="22"/>
          <w:szCs w:val="22"/>
        </w:rPr>
        <w:t>utie dotácie na rozvoj bývania.</w:t>
      </w:r>
    </w:p>
    <w:p w14:paraId="0130A85F" w14:textId="77777777" w:rsidR="00E960E9" w:rsidRPr="009768A3" w:rsidRDefault="00E960E9" w:rsidP="005C2365">
      <w:pPr>
        <w:jc w:val="both"/>
        <w:rPr>
          <w:b/>
          <w:sz w:val="22"/>
          <w:szCs w:val="22"/>
        </w:rPr>
      </w:pPr>
    </w:p>
    <w:p w14:paraId="42B7F451" w14:textId="466BA228" w:rsidR="005C2365" w:rsidRPr="009768A3" w:rsidRDefault="005C2365" w:rsidP="005C2365">
      <w:pPr>
        <w:jc w:val="both"/>
        <w:rPr>
          <w:b/>
          <w:sz w:val="22"/>
          <w:szCs w:val="22"/>
        </w:rPr>
      </w:pPr>
      <w:r w:rsidRPr="009768A3">
        <w:rPr>
          <w:b/>
          <w:sz w:val="22"/>
          <w:szCs w:val="22"/>
        </w:rPr>
        <w:t xml:space="preserve">K bodu </w:t>
      </w:r>
      <w:r w:rsidR="004A466C" w:rsidRPr="009768A3">
        <w:rPr>
          <w:b/>
          <w:sz w:val="22"/>
          <w:szCs w:val="22"/>
        </w:rPr>
        <w:t>4</w:t>
      </w:r>
      <w:r w:rsidR="007C740C" w:rsidRPr="009768A3">
        <w:rPr>
          <w:b/>
          <w:sz w:val="22"/>
          <w:szCs w:val="22"/>
        </w:rPr>
        <w:t>4</w:t>
      </w:r>
    </w:p>
    <w:p w14:paraId="26249CEC" w14:textId="77777777" w:rsidR="00844548" w:rsidRPr="009768A3" w:rsidRDefault="00844548" w:rsidP="002C0650">
      <w:pPr>
        <w:jc w:val="both"/>
        <w:rPr>
          <w:sz w:val="22"/>
          <w:szCs w:val="22"/>
        </w:rPr>
      </w:pPr>
    </w:p>
    <w:p w14:paraId="65A4D257" w14:textId="77777777" w:rsidR="002C0650" w:rsidRPr="009768A3" w:rsidRDefault="002C0650" w:rsidP="009768A3">
      <w:pPr>
        <w:ind w:firstLine="720"/>
        <w:jc w:val="both"/>
        <w:rPr>
          <w:sz w:val="22"/>
          <w:szCs w:val="22"/>
        </w:rPr>
      </w:pPr>
      <w:r w:rsidRPr="009768A3">
        <w:rPr>
          <w:sz w:val="22"/>
          <w:szCs w:val="22"/>
        </w:rPr>
        <w:t>Navrhuje sa spresnenie podmienok žiadateľa, ku ktorým sa zaväzuje v zmluve o poskytnutí úveru, predovšetkým doplnením povinnosti zriadenia záložného práva na účel poskytnutia úveru – poskytovanie ubytovania v prospech ŠFRB.</w:t>
      </w:r>
    </w:p>
    <w:p w14:paraId="7F262DD1" w14:textId="77777777" w:rsidR="00E960E9" w:rsidRPr="009768A3" w:rsidRDefault="00E960E9" w:rsidP="005C2365">
      <w:pPr>
        <w:jc w:val="both"/>
        <w:rPr>
          <w:b/>
          <w:sz w:val="22"/>
          <w:szCs w:val="22"/>
        </w:rPr>
      </w:pPr>
    </w:p>
    <w:p w14:paraId="76B89F70" w14:textId="2A38A4CF" w:rsidR="004A466C" w:rsidRPr="009768A3" w:rsidRDefault="004A466C" w:rsidP="005C2365">
      <w:pPr>
        <w:jc w:val="both"/>
        <w:rPr>
          <w:b/>
          <w:sz w:val="22"/>
          <w:szCs w:val="22"/>
        </w:rPr>
      </w:pPr>
      <w:r w:rsidRPr="009768A3">
        <w:rPr>
          <w:b/>
          <w:sz w:val="22"/>
          <w:szCs w:val="22"/>
        </w:rPr>
        <w:t>K bodu 4</w:t>
      </w:r>
      <w:r w:rsidR="007C740C" w:rsidRPr="009768A3">
        <w:rPr>
          <w:b/>
          <w:sz w:val="22"/>
          <w:szCs w:val="22"/>
        </w:rPr>
        <w:t>5</w:t>
      </w:r>
    </w:p>
    <w:p w14:paraId="23C976E9" w14:textId="77777777" w:rsidR="00844548" w:rsidRPr="009768A3" w:rsidRDefault="00844548" w:rsidP="00783966">
      <w:pPr>
        <w:jc w:val="both"/>
        <w:rPr>
          <w:bCs/>
          <w:sz w:val="22"/>
          <w:szCs w:val="22"/>
        </w:rPr>
      </w:pPr>
    </w:p>
    <w:p w14:paraId="02E39FCA" w14:textId="77777777" w:rsidR="00783966" w:rsidRPr="009768A3" w:rsidRDefault="00783966" w:rsidP="009768A3">
      <w:pPr>
        <w:ind w:firstLine="720"/>
        <w:jc w:val="both"/>
        <w:rPr>
          <w:bCs/>
          <w:sz w:val="22"/>
          <w:szCs w:val="22"/>
        </w:rPr>
      </w:pPr>
      <w:r w:rsidRPr="009768A3">
        <w:rPr>
          <w:bCs/>
          <w:sz w:val="22"/>
          <w:szCs w:val="22"/>
        </w:rPr>
        <w:t xml:space="preserve">Podporu na obstaranie internátu bude </w:t>
      </w:r>
      <w:r w:rsidR="00813CB4" w:rsidRPr="009768A3">
        <w:rPr>
          <w:bCs/>
          <w:sz w:val="22"/>
          <w:szCs w:val="22"/>
        </w:rPr>
        <w:t xml:space="preserve">podľa § 14d </w:t>
      </w:r>
      <w:r w:rsidRPr="009768A3">
        <w:rPr>
          <w:bCs/>
          <w:sz w:val="22"/>
          <w:szCs w:val="22"/>
        </w:rPr>
        <w:t>možné poskytnúť iba vtedy, ak internát bude spĺňať podmienky určené vyhláškou Ministerstva zdravotníctva</w:t>
      </w:r>
      <w:r w:rsidR="00813CB4" w:rsidRPr="009768A3">
        <w:rPr>
          <w:bCs/>
          <w:sz w:val="22"/>
          <w:szCs w:val="22"/>
        </w:rPr>
        <w:t xml:space="preserve"> SR</w:t>
      </w:r>
      <w:r w:rsidRPr="009768A3">
        <w:rPr>
          <w:bCs/>
          <w:sz w:val="22"/>
          <w:szCs w:val="22"/>
        </w:rPr>
        <w:t xml:space="preserve"> č. 259/2008 Z. z. o podrobnostiach o požiadavkách na vnútorné prostredie budov a o minimálnych požiadavkách na byty nižšieho štandardu a na ubytovacie zariadenia v znení neskorších predpisov.</w:t>
      </w:r>
    </w:p>
    <w:p w14:paraId="7175C55F" w14:textId="38C7D4F4" w:rsidR="00783966" w:rsidRPr="009768A3" w:rsidRDefault="009120D0" w:rsidP="00783966">
      <w:pPr>
        <w:jc w:val="both"/>
        <w:rPr>
          <w:bCs/>
          <w:sz w:val="22"/>
          <w:szCs w:val="22"/>
        </w:rPr>
      </w:pPr>
      <w:r w:rsidRPr="009768A3">
        <w:rPr>
          <w:bCs/>
          <w:sz w:val="22"/>
          <w:szCs w:val="22"/>
        </w:rPr>
        <w:t xml:space="preserve">Na obstaranie </w:t>
      </w:r>
      <w:r w:rsidR="00783966" w:rsidRPr="009768A3">
        <w:rPr>
          <w:bCs/>
          <w:sz w:val="22"/>
          <w:szCs w:val="22"/>
        </w:rPr>
        <w:t xml:space="preserve">alebo obnovu </w:t>
      </w:r>
      <w:r w:rsidRPr="009768A3">
        <w:rPr>
          <w:bCs/>
          <w:sz w:val="22"/>
          <w:szCs w:val="22"/>
        </w:rPr>
        <w:t xml:space="preserve">internátu možné poskytnúť podporu iba v prípade, ak počet izieb v internáte bude najmenej 20 a najmenej 80 % izieb v internáte, na obstaranie alebo obnovu ktorého sa požaduje podpora, bude poskytované na ubytovanie </w:t>
      </w:r>
      <w:r w:rsidR="002951BC">
        <w:rPr>
          <w:bCs/>
          <w:sz w:val="22"/>
          <w:szCs w:val="22"/>
        </w:rPr>
        <w:t xml:space="preserve">žiakov </w:t>
      </w:r>
      <w:r w:rsidRPr="009768A3">
        <w:rPr>
          <w:bCs/>
          <w:sz w:val="22"/>
          <w:szCs w:val="22"/>
        </w:rPr>
        <w:t>stredných</w:t>
      </w:r>
      <w:r w:rsidR="002951BC">
        <w:rPr>
          <w:bCs/>
          <w:sz w:val="22"/>
          <w:szCs w:val="22"/>
        </w:rPr>
        <w:t xml:space="preserve"> škôl</w:t>
      </w:r>
      <w:r w:rsidRPr="009768A3">
        <w:rPr>
          <w:bCs/>
          <w:sz w:val="22"/>
          <w:szCs w:val="22"/>
        </w:rPr>
        <w:t xml:space="preserve"> alebo </w:t>
      </w:r>
      <w:r w:rsidR="002951BC" w:rsidRPr="009768A3">
        <w:rPr>
          <w:bCs/>
          <w:sz w:val="22"/>
          <w:szCs w:val="22"/>
        </w:rPr>
        <w:t xml:space="preserve">študentom </w:t>
      </w:r>
      <w:r w:rsidRPr="009768A3">
        <w:rPr>
          <w:bCs/>
          <w:sz w:val="22"/>
          <w:szCs w:val="22"/>
        </w:rPr>
        <w:t>vysokých škôl počas lehoty splatnosti úveru, minimálne však po dobu 30 rokov.</w:t>
      </w:r>
    </w:p>
    <w:p w14:paraId="4E21C82C" w14:textId="77777777" w:rsidR="00783966" w:rsidRPr="009768A3" w:rsidRDefault="00783966" w:rsidP="009768A3">
      <w:pPr>
        <w:ind w:firstLine="720"/>
        <w:jc w:val="both"/>
        <w:rPr>
          <w:bCs/>
          <w:sz w:val="22"/>
          <w:szCs w:val="22"/>
        </w:rPr>
      </w:pPr>
      <w:r w:rsidRPr="009768A3">
        <w:rPr>
          <w:bCs/>
          <w:sz w:val="22"/>
          <w:szCs w:val="22"/>
        </w:rPr>
        <w:t>Žiadateľ sa súčasne v zmluve o poskytnutí úveru musí zaviazať, že v </w:t>
      </w:r>
      <w:r w:rsidR="009120D0" w:rsidRPr="009768A3">
        <w:rPr>
          <w:bCs/>
          <w:sz w:val="22"/>
          <w:szCs w:val="22"/>
        </w:rPr>
        <w:t>internáte, na ktorý</w:t>
      </w:r>
      <w:r w:rsidRPr="009768A3">
        <w:rPr>
          <w:bCs/>
          <w:sz w:val="22"/>
          <w:szCs w:val="22"/>
        </w:rPr>
        <w:t xml:space="preserve"> bude poskytnutá podpora z</w:t>
      </w:r>
      <w:r w:rsidR="009120D0" w:rsidRPr="009768A3">
        <w:rPr>
          <w:bCs/>
          <w:sz w:val="22"/>
          <w:szCs w:val="22"/>
        </w:rPr>
        <w:t>o ŠFRB</w:t>
      </w:r>
      <w:r w:rsidRPr="009768A3">
        <w:rPr>
          <w:bCs/>
          <w:sz w:val="22"/>
          <w:szCs w:val="22"/>
        </w:rPr>
        <w:t xml:space="preserve">, </w:t>
      </w:r>
      <w:r w:rsidR="009120D0" w:rsidRPr="009768A3">
        <w:rPr>
          <w:bCs/>
          <w:sz w:val="22"/>
          <w:szCs w:val="22"/>
        </w:rPr>
        <w:t>zriadi záložné právo na podporený internát v prospech ŠFRB na zabezpečenie peňažných pohľadávok ŠFRB vyplývajúcich z úveru a záložné právo na poskytovanie ubytovania.</w:t>
      </w:r>
    </w:p>
    <w:p w14:paraId="010917BB" w14:textId="77777777" w:rsidR="009120D0" w:rsidRPr="009768A3" w:rsidRDefault="009120D0" w:rsidP="00783966">
      <w:pPr>
        <w:jc w:val="both"/>
        <w:rPr>
          <w:bCs/>
          <w:sz w:val="22"/>
          <w:szCs w:val="22"/>
        </w:rPr>
      </w:pPr>
      <w:r w:rsidRPr="009768A3">
        <w:rPr>
          <w:bCs/>
          <w:sz w:val="22"/>
          <w:szCs w:val="22"/>
        </w:rPr>
        <w:t>Žiadateľom o poskytnutie podpory zo ŠFRB na obstaranie alebo obnovu internátu môže byť samosprávny kraj alebo verejná vysoká škola.</w:t>
      </w:r>
    </w:p>
    <w:p w14:paraId="54E008F2" w14:textId="77777777" w:rsidR="00783966" w:rsidRPr="009768A3" w:rsidRDefault="00783966" w:rsidP="009768A3">
      <w:pPr>
        <w:ind w:firstLine="720"/>
        <w:jc w:val="both"/>
        <w:rPr>
          <w:sz w:val="22"/>
          <w:szCs w:val="22"/>
        </w:rPr>
      </w:pPr>
      <w:r w:rsidRPr="009768A3">
        <w:rPr>
          <w:bCs/>
          <w:sz w:val="22"/>
          <w:szCs w:val="22"/>
        </w:rPr>
        <w:t xml:space="preserve">Pri zateplení </w:t>
      </w:r>
      <w:r w:rsidR="00D47A44" w:rsidRPr="009768A3">
        <w:rPr>
          <w:bCs/>
          <w:sz w:val="22"/>
          <w:szCs w:val="22"/>
        </w:rPr>
        <w:t>a modernizácii internátu</w:t>
      </w:r>
      <w:r w:rsidRPr="009768A3">
        <w:rPr>
          <w:bCs/>
          <w:sz w:val="22"/>
          <w:szCs w:val="22"/>
        </w:rPr>
        <w:t xml:space="preserve"> je potrebné dodržať primerane podmienky, ktoré sa vzťahujú aj na bytové </w:t>
      </w:r>
      <w:r w:rsidR="00D47A44" w:rsidRPr="009768A3">
        <w:rPr>
          <w:bCs/>
          <w:sz w:val="22"/>
          <w:szCs w:val="22"/>
        </w:rPr>
        <w:t>budovy</w:t>
      </w:r>
      <w:r w:rsidRPr="009768A3">
        <w:rPr>
          <w:bCs/>
          <w:sz w:val="22"/>
          <w:szCs w:val="22"/>
        </w:rPr>
        <w:t xml:space="preserve">. Ide o úsporu potreby </w:t>
      </w:r>
      <w:r w:rsidR="00A22A39" w:rsidRPr="009768A3">
        <w:rPr>
          <w:bCs/>
          <w:sz w:val="22"/>
          <w:szCs w:val="22"/>
        </w:rPr>
        <w:t>primárnej energie</w:t>
      </w:r>
      <w:r w:rsidRPr="009768A3">
        <w:rPr>
          <w:bCs/>
          <w:sz w:val="22"/>
          <w:szCs w:val="22"/>
        </w:rPr>
        <w:t xml:space="preserve"> minimálne 3</w:t>
      </w:r>
      <w:r w:rsidR="00A22A39" w:rsidRPr="009768A3">
        <w:rPr>
          <w:bCs/>
          <w:sz w:val="22"/>
          <w:szCs w:val="22"/>
        </w:rPr>
        <w:t>0</w:t>
      </w:r>
      <w:r w:rsidRPr="009768A3">
        <w:rPr>
          <w:bCs/>
          <w:sz w:val="22"/>
          <w:szCs w:val="22"/>
        </w:rPr>
        <w:t xml:space="preserve"> %. S</w:t>
      </w:r>
      <w:r w:rsidRPr="009768A3">
        <w:rPr>
          <w:sz w:val="22"/>
          <w:szCs w:val="22"/>
        </w:rPr>
        <w:t xml:space="preserve">tavba musí byť realizovaná tepelnoizolačným systémom, na ktorý vydal vyhlásenie zhody výrobca systému. Stavbu realizuje zhotoviteľ, ktorý má na tento systém vydané osvedčenie akreditovanou osobou a na stavbe bude vykonávaný odborný technický dozor. Súčasťou projektového riešenia zateplenia </w:t>
      </w:r>
      <w:r w:rsidR="00D47A44" w:rsidRPr="009768A3">
        <w:rPr>
          <w:sz w:val="22"/>
          <w:szCs w:val="22"/>
        </w:rPr>
        <w:t>internátu</w:t>
      </w:r>
      <w:r w:rsidRPr="009768A3">
        <w:rPr>
          <w:sz w:val="22"/>
          <w:szCs w:val="22"/>
        </w:rPr>
        <w:t xml:space="preserve"> musí byť aj vyregulovanie vykurovacej sústavy.</w:t>
      </w:r>
    </w:p>
    <w:p w14:paraId="31C4059B" w14:textId="17399DC5" w:rsidR="00A22A39" w:rsidRPr="009768A3" w:rsidRDefault="00783966" w:rsidP="009768A3">
      <w:pPr>
        <w:ind w:firstLine="720"/>
        <w:jc w:val="both"/>
        <w:rPr>
          <w:sz w:val="22"/>
          <w:szCs w:val="22"/>
        </w:rPr>
      </w:pPr>
      <w:r w:rsidRPr="009768A3">
        <w:rPr>
          <w:sz w:val="22"/>
          <w:szCs w:val="22"/>
        </w:rPr>
        <w:t xml:space="preserve">Podporu </w:t>
      </w:r>
      <w:r w:rsidR="00A22A39" w:rsidRPr="009768A3">
        <w:rPr>
          <w:sz w:val="22"/>
          <w:szCs w:val="22"/>
        </w:rPr>
        <w:t>na obstaranie toho istého internátu možno poskytnúť iba raz.</w:t>
      </w:r>
      <w:r w:rsidR="007C740C" w:rsidRPr="009768A3">
        <w:rPr>
          <w:sz w:val="22"/>
          <w:szCs w:val="22"/>
        </w:rPr>
        <w:t xml:space="preserve"> To znamená, že </w:t>
      </w:r>
      <w:r w:rsidR="008375C3" w:rsidRPr="009768A3">
        <w:rPr>
          <w:sz w:val="22"/>
          <w:szCs w:val="22"/>
        </w:rPr>
        <w:t>po poskytnutí</w:t>
      </w:r>
      <w:r w:rsidR="007C740C" w:rsidRPr="009768A3">
        <w:rPr>
          <w:sz w:val="22"/>
          <w:szCs w:val="22"/>
        </w:rPr>
        <w:t xml:space="preserve"> podpor</w:t>
      </w:r>
      <w:r w:rsidR="008375C3" w:rsidRPr="009768A3">
        <w:rPr>
          <w:sz w:val="22"/>
          <w:szCs w:val="22"/>
        </w:rPr>
        <w:t>y</w:t>
      </w:r>
      <w:r w:rsidR="007C740C" w:rsidRPr="009768A3">
        <w:rPr>
          <w:sz w:val="22"/>
          <w:szCs w:val="22"/>
        </w:rPr>
        <w:t xml:space="preserve"> na výstavbu internátu </w:t>
      </w:r>
      <w:r w:rsidR="008375C3" w:rsidRPr="009768A3">
        <w:rPr>
          <w:sz w:val="22"/>
          <w:szCs w:val="22"/>
        </w:rPr>
        <w:t xml:space="preserve">jednému žiadateľovi už nie je možné poskytnúť podporu na kúpu toho istého internátu </w:t>
      </w:r>
      <w:r w:rsidR="007C740C" w:rsidRPr="009768A3">
        <w:rPr>
          <w:sz w:val="22"/>
          <w:szCs w:val="22"/>
        </w:rPr>
        <w:t xml:space="preserve">v prípade, že by došlo k predaju </w:t>
      </w:r>
      <w:r w:rsidR="008375C3" w:rsidRPr="009768A3">
        <w:rPr>
          <w:sz w:val="22"/>
          <w:szCs w:val="22"/>
        </w:rPr>
        <w:t xml:space="preserve">tohto </w:t>
      </w:r>
      <w:r w:rsidR="007C740C" w:rsidRPr="009768A3">
        <w:rPr>
          <w:sz w:val="22"/>
          <w:szCs w:val="22"/>
        </w:rPr>
        <w:t>predmetu podpory</w:t>
      </w:r>
      <w:r w:rsidR="008375C3" w:rsidRPr="009768A3">
        <w:rPr>
          <w:sz w:val="22"/>
          <w:szCs w:val="22"/>
        </w:rPr>
        <w:t xml:space="preserve"> inému žiadateľovi.</w:t>
      </w:r>
      <w:r w:rsidR="007C740C" w:rsidRPr="009768A3">
        <w:rPr>
          <w:sz w:val="22"/>
          <w:szCs w:val="22"/>
        </w:rPr>
        <w:t xml:space="preserve"> </w:t>
      </w:r>
    </w:p>
    <w:p w14:paraId="4817DA82" w14:textId="77777777" w:rsidR="00783966" w:rsidRPr="009768A3" w:rsidRDefault="00D47A44" w:rsidP="009768A3">
      <w:pPr>
        <w:ind w:firstLine="720"/>
        <w:jc w:val="both"/>
        <w:rPr>
          <w:bCs/>
          <w:sz w:val="22"/>
          <w:szCs w:val="22"/>
        </w:rPr>
      </w:pPr>
      <w:r w:rsidRPr="009768A3">
        <w:rPr>
          <w:sz w:val="22"/>
          <w:szCs w:val="22"/>
        </w:rPr>
        <w:t>Navrhovanou úpravou sa umožňuje žiadateľovi obstarávať internát prostredníctvom tzv. budúcej kúpy. To znamená, že žiadateľ so zhotoviteľom uzavrie zmluvu o budúcej kúpnej zmluve a následne kúpnu zmluvu uzavrie najneskôr do konca decembra v druhom kalendárnom roku nasledujúcom po roku, v ktorom bola uzavretá zmluva o poskytnutí podpory zo ŠFRB. ŠFRB predloží kúpnu zmluvu spolu s právoplatným kolaudačným rozhodnutím alebo kolaudačným osvedčením obstarávaného internátu.</w:t>
      </w:r>
    </w:p>
    <w:p w14:paraId="562686D7" w14:textId="77777777" w:rsidR="00783966" w:rsidRPr="009768A3" w:rsidRDefault="00D47A44" w:rsidP="00783966">
      <w:pPr>
        <w:jc w:val="both"/>
        <w:rPr>
          <w:bCs/>
          <w:sz w:val="22"/>
          <w:szCs w:val="22"/>
        </w:rPr>
      </w:pPr>
      <w:r w:rsidRPr="009768A3">
        <w:rPr>
          <w:bCs/>
          <w:sz w:val="22"/>
          <w:szCs w:val="22"/>
        </w:rPr>
        <w:t>V rámci modernizácie internátu je možné realizovať výmenu alebo modernizáciu výťahu, výmenu spoločných rozvodov plynu, elektriny, kanalizácie, vody, vzduchotechnicky a tepla, vybudovanie bezbariérového prístupu, zabudovanie obnoviteľného zdroja energie a inú modernizáciu. Na rozsah obnovy je možné poskytnúť podpory zo ŠFRB súčasne alebo postupne. Na jednotlivé účely však nie je mož</w:t>
      </w:r>
      <w:r w:rsidR="00813CB4" w:rsidRPr="009768A3">
        <w:rPr>
          <w:bCs/>
          <w:sz w:val="22"/>
          <w:szCs w:val="22"/>
        </w:rPr>
        <w:t>né poskytnúť podporu opakovane.</w:t>
      </w:r>
    </w:p>
    <w:p w14:paraId="1F0FC93D" w14:textId="77777777" w:rsidR="006D6154" w:rsidRPr="009768A3" w:rsidRDefault="006D6154" w:rsidP="009768A3">
      <w:pPr>
        <w:widowControl/>
        <w:adjustRightInd/>
        <w:ind w:firstLine="720"/>
        <w:jc w:val="both"/>
        <w:rPr>
          <w:rFonts w:eastAsia="Calibri"/>
          <w:sz w:val="22"/>
          <w:szCs w:val="22"/>
          <w:lang w:eastAsia="en-US"/>
        </w:rPr>
      </w:pPr>
      <w:r w:rsidRPr="009768A3">
        <w:rPr>
          <w:sz w:val="22"/>
          <w:szCs w:val="22"/>
        </w:rPr>
        <w:t>V navrhovanom ustanovení</w:t>
      </w:r>
      <w:r w:rsidR="00813CB4" w:rsidRPr="009768A3">
        <w:rPr>
          <w:sz w:val="22"/>
          <w:szCs w:val="22"/>
        </w:rPr>
        <w:t xml:space="preserve"> §14e</w:t>
      </w:r>
      <w:r w:rsidRPr="009768A3">
        <w:rPr>
          <w:sz w:val="22"/>
          <w:szCs w:val="22"/>
        </w:rPr>
        <w:t xml:space="preserve"> sa ustanovuje obdobie počas, ktorého je žiadateľ povinný prenajímať obstarávaný nájomný byt, poskytovať alebo zabezpečiť poskytovanie sociálnych služieb v zariadeniach sociálnych služieb, alebo poskytovať ubytovanie v ubytovacom dome alebo internáte</w:t>
      </w:r>
      <w:r w:rsidR="00A3229B" w:rsidRPr="009768A3">
        <w:rPr>
          <w:sz w:val="22"/>
          <w:szCs w:val="22"/>
        </w:rPr>
        <w:t>.</w:t>
      </w:r>
    </w:p>
    <w:p w14:paraId="3BA7E88D" w14:textId="77777777" w:rsidR="00924C6F" w:rsidRPr="009768A3" w:rsidRDefault="008668EB" w:rsidP="008668EB">
      <w:pPr>
        <w:widowControl/>
        <w:adjustRightInd/>
        <w:jc w:val="both"/>
        <w:rPr>
          <w:rFonts w:eastAsia="Calibri"/>
          <w:sz w:val="22"/>
          <w:szCs w:val="22"/>
          <w:lang w:eastAsia="en-US"/>
        </w:rPr>
      </w:pPr>
      <w:r w:rsidRPr="009768A3">
        <w:rPr>
          <w:rFonts w:eastAsia="Calibri"/>
          <w:sz w:val="22"/>
          <w:szCs w:val="22"/>
          <w:lang w:eastAsia="en-US"/>
        </w:rPr>
        <w:t>Aby</w:t>
      </w:r>
      <w:r w:rsidRPr="009768A3">
        <w:rPr>
          <w:rFonts w:eastAsia="Calibri"/>
          <w:spacing w:val="25"/>
          <w:sz w:val="22"/>
          <w:szCs w:val="22"/>
          <w:lang w:eastAsia="en-US"/>
        </w:rPr>
        <w:t xml:space="preserve"> </w:t>
      </w:r>
      <w:r w:rsidRPr="009768A3">
        <w:rPr>
          <w:rFonts w:eastAsia="Calibri"/>
          <w:sz w:val="22"/>
          <w:szCs w:val="22"/>
          <w:lang w:eastAsia="en-US"/>
        </w:rPr>
        <w:t>sa</w:t>
      </w:r>
      <w:r w:rsidRPr="009768A3">
        <w:rPr>
          <w:rFonts w:eastAsia="Calibri"/>
          <w:spacing w:val="25"/>
          <w:sz w:val="22"/>
          <w:szCs w:val="22"/>
          <w:lang w:eastAsia="en-US"/>
        </w:rPr>
        <w:t xml:space="preserve"> </w:t>
      </w:r>
      <w:r w:rsidRPr="009768A3">
        <w:rPr>
          <w:rFonts w:eastAsia="Calibri"/>
          <w:sz w:val="22"/>
          <w:szCs w:val="22"/>
          <w:lang w:eastAsia="en-US"/>
        </w:rPr>
        <w:t>zabránilo</w:t>
      </w:r>
      <w:r w:rsidRPr="009768A3">
        <w:rPr>
          <w:rFonts w:eastAsia="Calibri"/>
          <w:spacing w:val="25"/>
          <w:sz w:val="22"/>
          <w:szCs w:val="22"/>
          <w:lang w:eastAsia="en-US"/>
        </w:rPr>
        <w:t xml:space="preserve"> </w:t>
      </w:r>
      <w:r w:rsidRPr="009768A3">
        <w:rPr>
          <w:rFonts w:eastAsia="Calibri"/>
          <w:sz w:val="22"/>
          <w:szCs w:val="22"/>
          <w:lang w:eastAsia="en-US"/>
        </w:rPr>
        <w:t>prípadným</w:t>
      </w:r>
      <w:r w:rsidRPr="009768A3">
        <w:rPr>
          <w:rFonts w:eastAsia="Calibri"/>
          <w:spacing w:val="25"/>
          <w:sz w:val="22"/>
          <w:szCs w:val="22"/>
          <w:lang w:eastAsia="en-US"/>
        </w:rPr>
        <w:t xml:space="preserve"> </w:t>
      </w:r>
      <w:r w:rsidRPr="009768A3">
        <w:rPr>
          <w:rFonts w:eastAsia="Calibri"/>
          <w:sz w:val="22"/>
          <w:szCs w:val="22"/>
          <w:lang w:eastAsia="en-US"/>
        </w:rPr>
        <w:t>špekulatívnym</w:t>
      </w:r>
      <w:r w:rsidRPr="009768A3">
        <w:rPr>
          <w:rFonts w:eastAsia="Calibri"/>
          <w:spacing w:val="25"/>
          <w:sz w:val="22"/>
          <w:szCs w:val="22"/>
          <w:lang w:eastAsia="en-US"/>
        </w:rPr>
        <w:t xml:space="preserve"> </w:t>
      </w:r>
      <w:r w:rsidRPr="009768A3">
        <w:rPr>
          <w:rFonts w:eastAsia="Calibri"/>
          <w:sz w:val="22"/>
          <w:szCs w:val="22"/>
          <w:lang w:eastAsia="en-US"/>
        </w:rPr>
        <w:t>postupom,</w:t>
      </w:r>
      <w:r w:rsidRPr="009768A3">
        <w:rPr>
          <w:rFonts w:eastAsia="Calibri"/>
          <w:spacing w:val="25"/>
          <w:sz w:val="22"/>
          <w:szCs w:val="22"/>
          <w:lang w:eastAsia="en-US"/>
        </w:rPr>
        <w:t xml:space="preserve"> </w:t>
      </w:r>
      <w:r w:rsidRPr="009768A3">
        <w:rPr>
          <w:rFonts w:eastAsia="Calibri"/>
          <w:sz w:val="22"/>
          <w:szCs w:val="22"/>
          <w:lang w:eastAsia="en-US"/>
        </w:rPr>
        <w:t>ustanovuje</w:t>
      </w:r>
      <w:r w:rsidRPr="009768A3">
        <w:rPr>
          <w:rFonts w:eastAsia="Calibri"/>
          <w:spacing w:val="25"/>
          <w:sz w:val="22"/>
          <w:szCs w:val="22"/>
          <w:lang w:eastAsia="en-US"/>
        </w:rPr>
        <w:t xml:space="preserve"> </w:t>
      </w:r>
      <w:r w:rsidRPr="009768A3">
        <w:rPr>
          <w:rFonts w:eastAsia="Calibri"/>
          <w:sz w:val="22"/>
          <w:szCs w:val="22"/>
          <w:lang w:eastAsia="en-US"/>
        </w:rPr>
        <w:t>sa,</w:t>
      </w:r>
      <w:r w:rsidRPr="009768A3">
        <w:rPr>
          <w:rFonts w:eastAsia="Calibri"/>
          <w:spacing w:val="25"/>
          <w:sz w:val="22"/>
          <w:szCs w:val="22"/>
          <w:lang w:eastAsia="en-US"/>
        </w:rPr>
        <w:t xml:space="preserve"> </w:t>
      </w:r>
      <w:r w:rsidRPr="009768A3">
        <w:rPr>
          <w:rFonts w:eastAsia="Calibri"/>
          <w:sz w:val="22"/>
          <w:szCs w:val="22"/>
          <w:lang w:eastAsia="en-US"/>
        </w:rPr>
        <w:t>že</w:t>
      </w:r>
      <w:r w:rsidRPr="009768A3">
        <w:rPr>
          <w:rFonts w:eastAsia="Calibri"/>
          <w:spacing w:val="25"/>
          <w:sz w:val="22"/>
          <w:szCs w:val="22"/>
          <w:lang w:eastAsia="en-US"/>
        </w:rPr>
        <w:t xml:space="preserve"> </w:t>
      </w:r>
      <w:r w:rsidRPr="009768A3">
        <w:rPr>
          <w:rFonts w:eastAsia="Calibri"/>
          <w:sz w:val="22"/>
          <w:szCs w:val="22"/>
          <w:lang w:eastAsia="en-US"/>
        </w:rPr>
        <w:t>žiadateľ</w:t>
      </w:r>
      <w:r w:rsidR="00924C6F" w:rsidRPr="009768A3">
        <w:rPr>
          <w:rFonts w:eastAsia="Calibri"/>
          <w:sz w:val="22"/>
          <w:szCs w:val="22"/>
          <w:lang w:eastAsia="en-US"/>
        </w:rPr>
        <w:t xml:space="preserve"> (obec, samosprávny kraj a nezisková organizácia podľa osobitného predpisu)</w:t>
      </w:r>
      <w:r w:rsidRPr="009768A3">
        <w:rPr>
          <w:rFonts w:eastAsia="Calibri"/>
          <w:sz w:val="22"/>
          <w:szCs w:val="22"/>
          <w:lang w:eastAsia="en-US"/>
        </w:rPr>
        <w:t>,</w:t>
      </w:r>
      <w:r w:rsidRPr="009768A3">
        <w:rPr>
          <w:rFonts w:eastAsia="Calibri"/>
          <w:spacing w:val="15"/>
          <w:sz w:val="22"/>
          <w:szCs w:val="22"/>
          <w:lang w:eastAsia="en-US"/>
        </w:rPr>
        <w:t xml:space="preserve"> </w:t>
      </w:r>
      <w:r w:rsidRPr="009768A3">
        <w:rPr>
          <w:rFonts w:eastAsia="Calibri"/>
          <w:sz w:val="22"/>
          <w:szCs w:val="22"/>
          <w:lang w:eastAsia="en-US"/>
        </w:rPr>
        <w:t>ktorý</w:t>
      </w:r>
      <w:r w:rsidRPr="009768A3">
        <w:rPr>
          <w:rFonts w:eastAsia="Calibri"/>
          <w:spacing w:val="15"/>
          <w:sz w:val="22"/>
          <w:szCs w:val="22"/>
          <w:lang w:eastAsia="en-US"/>
        </w:rPr>
        <w:t xml:space="preserve"> </w:t>
      </w:r>
      <w:r w:rsidRPr="009768A3">
        <w:rPr>
          <w:rFonts w:eastAsia="Calibri"/>
          <w:sz w:val="22"/>
          <w:szCs w:val="22"/>
          <w:lang w:eastAsia="en-US"/>
        </w:rPr>
        <w:t>dostal</w:t>
      </w:r>
      <w:r w:rsidRPr="009768A3">
        <w:rPr>
          <w:rFonts w:eastAsia="Calibri"/>
          <w:spacing w:val="15"/>
          <w:sz w:val="22"/>
          <w:szCs w:val="22"/>
          <w:lang w:eastAsia="en-US"/>
        </w:rPr>
        <w:t xml:space="preserve"> </w:t>
      </w:r>
      <w:r w:rsidRPr="009768A3">
        <w:rPr>
          <w:rFonts w:eastAsia="Calibri"/>
          <w:sz w:val="22"/>
          <w:szCs w:val="22"/>
          <w:lang w:eastAsia="en-US"/>
        </w:rPr>
        <w:t>podporu</w:t>
      </w:r>
      <w:r w:rsidRPr="009768A3">
        <w:rPr>
          <w:rFonts w:eastAsia="Calibri"/>
          <w:spacing w:val="15"/>
          <w:sz w:val="22"/>
          <w:szCs w:val="22"/>
          <w:lang w:eastAsia="en-US"/>
        </w:rPr>
        <w:t xml:space="preserve"> </w:t>
      </w:r>
      <w:r w:rsidRPr="009768A3">
        <w:rPr>
          <w:rFonts w:eastAsia="Calibri"/>
          <w:sz w:val="22"/>
          <w:szCs w:val="22"/>
          <w:lang w:eastAsia="en-US"/>
        </w:rPr>
        <w:t>podľa</w:t>
      </w:r>
      <w:r w:rsidRPr="009768A3">
        <w:rPr>
          <w:rFonts w:eastAsia="Calibri"/>
          <w:spacing w:val="15"/>
          <w:sz w:val="22"/>
          <w:szCs w:val="22"/>
          <w:lang w:eastAsia="en-US"/>
        </w:rPr>
        <w:t xml:space="preserve"> </w:t>
      </w:r>
      <w:r w:rsidRPr="009768A3">
        <w:rPr>
          <w:rFonts w:eastAsia="Calibri"/>
          <w:sz w:val="22"/>
          <w:szCs w:val="22"/>
          <w:lang w:eastAsia="en-US"/>
        </w:rPr>
        <w:t>zákona,</w:t>
      </w:r>
      <w:r w:rsidRPr="009768A3">
        <w:rPr>
          <w:rFonts w:eastAsia="Calibri"/>
          <w:spacing w:val="15"/>
          <w:sz w:val="22"/>
          <w:szCs w:val="22"/>
          <w:lang w:eastAsia="en-US"/>
        </w:rPr>
        <w:t xml:space="preserve"> </w:t>
      </w:r>
      <w:r w:rsidRPr="009768A3">
        <w:rPr>
          <w:rFonts w:eastAsia="Calibri"/>
          <w:sz w:val="22"/>
          <w:szCs w:val="22"/>
          <w:lang w:eastAsia="en-US"/>
        </w:rPr>
        <w:t>nemôže</w:t>
      </w:r>
      <w:r w:rsidRPr="009768A3">
        <w:rPr>
          <w:rFonts w:eastAsia="Calibri"/>
          <w:spacing w:val="15"/>
          <w:sz w:val="22"/>
          <w:szCs w:val="22"/>
          <w:lang w:eastAsia="en-US"/>
        </w:rPr>
        <w:t xml:space="preserve"> </w:t>
      </w:r>
      <w:r w:rsidRPr="009768A3">
        <w:rPr>
          <w:rFonts w:eastAsia="Calibri"/>
          <w:sz w:val="22"/>
          <w:szCs w:val="22"/>
          <w:lang w:eastAsia="en-US"/>
        </w:rPr>
        <w:t xml:space="preserve">predmet podpory </w:t>
      </w:r>
      <w:r w:rsidR="00924C6F" w:rsidRPr="009768A3">
        <w:rPr>
          <w:rFonts w:eastAsia="Calibri"/>
          <w:sz w:val="22"/>
          <w:szCs w:val="22"/>
          <w:lang w:eastAsia="en-US"/>
        </w:rPr>
        <w:t>-</w:t>
      </w:r>
      <w:r w:rsidRPr="009768A3">
        <w:rPr>
          <w:rFonts w:eastAsia="Calibri"/>
          <w:sz w:val="22"/>
          <w:szCs w:val="22"/>
          <w:lang w:eastAsia="en-US"/>
        </w:rPr>
        <w:t xml:space="preserve"> nájomný byt</w:t>
      </w:r>
      <w:r w:rsidR="00924C6F" w:rsidRPr="009768A3">
        <w:rPr>
          <w:rFonts w:eastAsia="Calibri"/>
          <w:sz w:val="22"/>
          <w:szCs w:val="22"/>
          <w:lang w:eastAsia="en-US"/>
        </w:rPr>
        <w:t xml:space="preserve"> obstaraný</w:t>
      </w:r>
      <w:r w:rsidR="00924C6F" w:rsidRPr="009768A3">
        <w:rPr>
          <w:rFonts w:eastAsia="Calibri"/>
          <w:spacing w:val="15"/>
          <w:sz w:val="22"/>
          <w:szCs w:val="22"/>
          <w:lang w:eastAsia="en-US"/>
        </w:rPr>
        <w:t xml:space="preserve"> </w:t>
      </w:r>
      <w:r w:rsidR="00924C6F" w:rsidRPr="009768A3">
        <w:rPr>
          <w:rFonts w:eastAsia="Calibri"/>
          <w:sz w:val="22"/>
          <w:szCs w:val="22"/>
          <w:lang w:eastAsia="en-US"/>
        </w:rPr>
        <w:t>vďaka</w:t>
      </w:r>
      <w:r w:rsidR="00924C6F" w:rsidRPr="009768A3">
        <w:rPr>
          <w:rFonts w:eastAsia="Calibri"/>
          <w:spacing w:val="15"/>
          <w:sz w:val="22"/>
          <w:szCs w:val="22"/>
          <w:lang w:eastAsia="en-US"/>
        </w:rPr>
        <w:t xml:space="preserve"> </w:t>
      </w:r>
      <w:r w:rsidR="00924C6F" w:rsidRPr="009768A3">
        <w:rPr>
          <w:rFonts w:eastAsia="Calibri"/>
          <w:sz w:val="22"/>
          <w:szCs w:val="22"/>
          <w:lang w:eastAsia="en-US"/>
        </w:rPr>
        <w:t>tejto podpore</w:t>
      </w:r>
      <w:r w:rsidR="00924C6F" w:rsidRPr="009768A3">
        <w:rPr>
          <w:rFonts w:eastAsia="Calibri"/>
          <w:spacing w:val="12"/>
          <w:sz w:val="22"/>
          <w:szCs w:val="22"/>
          <w:lang w:eastAsia="en-US"/>
        </w:rPr>
        <w:t xml:space="preserve"> </w:t>
      </w:r>
      <w:r w:rsidR="00924C6F" w:rsidRPr="009768A3">
        <w:rPr>
          <w:rFonts w:eastAsia="Calibri"/>
          <w:sz w:val="22"/>
          <w:szCs w:val="22"/>
          <w:lang w:eastAsia="en-US"/>
        </w:rPr>
        <w:t>previesť</w:t>
      </w:r>
      <w:r w:rsidR="00924C6F" w:rsidRPr="009768A3">
        <w:rPr>
          <w:rFonts w:eastAsia="Calibri"/>
          <w:spacing w:val="12"/>
          <w:sz w:val="22"/>
          <w:szCs w:val="22"/>
          <w:lang w:eastAsia="en-US"/>
        </w:rPr>
        <w:t xml:space="preserve"> </w:t>
      </w:r>
      <w:r w:rsidR="00924C6F" w:rsidRPr="009768A3">
        <w:rPr>
          <w:rFonts w:eastAsia="Calibri"/>
          <w:sz w:val="22"/>
          <w:szCs w:val="22"/>
          <w:lang w:eastAsia="en-US"/>
        </w:rPr>
        <w:t>na</w:t>
      </w:r>
      <w:r w:rsidR="00924C6F" w:rsidRPr="009768A3">
        <w:rPr>
          <w:rFonts w:eastAsia="Calibri"/>
          <w:spacing w:val="12"/>
          <w:sz w:val="22"/>
          <w:szCs w:val="22"/>
          <w:lang w:eastAsia="en-US"/>
        </w:rPr>
        <w:t xml:space="preserve"> </w:t>
      </w:r>
      <w:r w:rsidR="00924C6F" w:rsidRPr="009768A3">
        <w:rPr>
          <w:rFonts w:eastAsia="Calibri"/>
          <w:sz w:val="22"/>
          <w:szCs w:val="22"/>
          <w:lang w:eastAsia="en-US"/>
        </w:rPr>
        <w:t>inú</w:t>
      </w:r>
      <w:r w:rsidR="00924C6F" w:rsidRPr="009768A3">
        <w:rPr>
          <w:rFonts w:eastAsia="Calibri"/>
          <w:spacing w:val="12"/>
          <w:sz w:val="22"/>
          <w:szCs w:val="22"/>
          <w:lang w:eastAsia="en-US"/>
        </w:rPr>
        <w:t xml:space="preserve"> </w:t>
      </w:r>
      <w:r w:rsidR="00924C6F" w:rsidRPr="009768A3">
        <w:rPr>
          <w:rFonts w:eastAsia="Calibri"/>
          <w:sz w:val="22"/>
          <w:szCs w:val="22"/>
          <w:lang w:eastAsia="en-US"/>
        </w:rPr>
        <w:t>osobu.</w:t>
      </w:r>
    </w:p>
    <w:p w14:paraId="33913653" w14:textId="1787E091" w:rsidR="008668EB" w:rsidRPr="008E701C" w:rsidRDefault="00924C6F" w:rsidP="008668EB">
      <w:pPr>
        <w:widowControl/>
        <w:adjustRightInd/>
        <w:jc w:val="both"/>
        <w:rPr>
          <w:rFonts w:eastAsia="Calibri"/>
          <w:sz w:val="22"/>
          <w:szCs w:val="22"/>
          <w:lang w:eastAsia="en-US"/>
        </w:rPr>
      </w:pPr>
      <w:r w:rsidRPr="009768A3">
        <w:rPr>
          <w:rFonts w:eastAsia="Calibri"/>
          <w:sz w:val="22"/>
          <w:szCs w:val="22"/>
          <w:lang w:eastAsia="en-US"/>
        </w:rPr>
        <w:t xml:space="preserve">Zákaz zmeny </w:t>
      </w:r>
      <w:r w:rsidR="008E701C">
        <w:rPr>
          <w:rFonts w:eastAsia="Calibri"/>
          <w:sz w:val="22"/>
          <w:szCs w:val="22"/>
          <w:lang w:eastAsia="en-US"/>
        </w:rPr>
        <w:t>účelu</w:t>
      </w:r>
      <w:r w:rsidRPr="009768A3">
        <w:rPr>
          <w:rFonts w:eastAsia="Calibri"/>
          <w:sz w:val="22"/>
          <w:szCs w:val="22"/>
          <w:lang w:eastAsia="en-US"/>
        </w:rPr>
        <w:t xml:space="preserve"> využitia predmetu podpory sa na</w:t>
      </w:r>
      <w:r w:rsidR="008E701C">
        <w:rPr>
          <w:rFonts w:eastAsia="Calibri"/>
          <w:sz w:val="22"/>
          <w:szCs w:val="22"/>
          <w:lang w:eastAsia="en-US"/>
        </w:rPr>
        <w:t>vrhuje ustanoviť na nájomný byt</w:t>
      </w:r>
      <w:r w:rsidRPr="009768A3">
        <w:rPr>
          <w:rFonts w:eastAsia="Calibri"/>
          <w:sz w:val="22"/>
          <w:szCs w:val="22"/>
          <w:lang w:eastAsia="en-US"/>
        </w:rPr>
        <w:t xml:space="preserve"> obstarávaný inou právnickou osobou</w:t>
      </w:r>
      <w:r w:rsidR="008668EB" w:rsidRPr="009768A3">
        <w:rPr>
          <w:rFonts w:eastAsia="Calibri"/>
          <w:sz w:val="22"/>
          <w:szCs w:val="22"/>
          <w:lang w:eastAsia="en-US"/>
        </w:rPr>
        <w:t>, zariadenie sociálnych služieb, ubytovací dom alebo internát</w:t>
      </w:r>
      <w:r w:rsidRPr="009768A3">
        <w:rPr>
          <w:rFonts w:eastAsia="Calibri"/>
          <w:sz w:val="22"/>
          <w:szCs w:val="22"/>
          <w:lang w:eastAsia="en-US"/>
        </w:rPr>
        <w:t>.</w:t>
      </w:r>
      <w:r w:rsidR="008668EB" w:rsidRPr="009768A3">
        <w:rPr>
          <w:rFonts w:eastAsia="Calibri"/>
          <w:sz w:val="22"/>
          <w:szCs w:val="22"/>
          <w:lang w:eastAsia="en-US"/>
        </w:rPr>
        <w:t xml:space="preserve"> </w:t>
      </w:r>
      <w:r w:rsidR="008668EB" w:rsidRPr="009768A3">
        <w:rPr>
          <w:rFonts w:eastAsia="Calibri"/>
          <w:spacing w:val="12"/>
          <w:sz w:val="22"/>
          <w:szCs w:val="22"/>
          <w:lang w:eastAsia="en-US"/>
        </w:rPr>
        <w:t>Navrhovanými</w:t>
      </w:r>
      <w:r w:rsidR="008668EB" w:rsidRPr="009768A3">
        <w:rPr>
          <w:rFonts w:eastAsia="Calibri"/>
          <w:sz w:val="22"/>
          <w:szCs w:val="22"/>
          <w:lang w:eastAsia="en-US"/>
        </w:rPr>
        <w:t xml:space="preserve"> ustanoveniami (ods. 1 až </w:t>
      </w:r>
      <w:r w:rsidRPr="009768A3">
        <w:rPr>
          <w:rFonts w:eastAsia="Calibri"/>
          <w:sz w:val="22"/>
          <w:szCs w:val="22"/>
          <w:lang w:eastAsia="en-US"/>
        </w:rPr>
        <w:t>7</w:t>
      </w:r>
      <w:r w:rsidR="008668EB" w:rsidRPr="009768A3">
        <w:rPr>
          <w:rFonts w:eastAsia="Calibri"/>
          <w:sz w:val="22"/>
          <w:szCs w:val="22"/>
          <w:lang w:eastAsia="en-US"/>
        </w:rPr>
        <w:t>)</w:t>
      </w:r>
      <w:r w:rsidR="008668EB" w:rsidRPr="009768A3">
        <w:rPr>
          <w:rFonts w:eastAsia="Calibri"/>
          <w:spacing w:val="27"/>
          <w:sz w:val="22"/>
          <w:szCs w:val="22"/>
          <w:lang w:eastAsia="en-US"/>
        </w:rPr>
        <w:t xml:space="preserve"> </w:t>
      </w:r>
      <w:r w:rsidR="008668EB" w:rsidRPr="009768A3">
        <w:rPr>
          <w:rFonts w:eastAsia="Calibri"/>
          <w:sz w:val="22"/>
          <w:szCs w:val="22"/>
          <w:lang w:eastAsia="en-US"/>
        </w:rPr>
        <w:t>sa</w:t>
      </w:r>
      <w:r w:rsidR="008668EB" w:rsidRPr="009768A3">
        <w:rPr>
          <w:rFonts w:eastAsia="Calibri"/>
          <w:spacing w:val="27"/>
          <w:sz w:val="22"/>
          <w:szCs w:val="22"/>
          <w:lang w:eastAsia="en-US"/>
        </w:rPr>
        <w:t xml:space="preserve"> </w:t>
      </w:r>
      <w:r w:rsidR="008668EB" w:rsidRPr="009768A3">
        <w:rPr>
          <w:rFonts w:eastAsia="Calibri"/>
          <w:sz w:val="22"/>
          <w:szCs w:val="22"/>
          <w:lang w:eastAsia="en-US"/>
        </w:rPr>
        <w:t>má</w:t>
      </w:r>
      <w:r w:rsidR="008668EB" w:rsidRPr="009768A3">
        <w:rPr>
          <w:rFonts w:eastAsia="Calibri"/>
          <w:spacing w:val="27"/>
          <w:sz w:val="22"/>
          <w:szCs w:val="22"/>
          <w:lang w:eastAsia="en-US"/>
        </w:rPr>
        <w:t xml:space="preserve"> </w:t>
      </w:r>
      <w:r w:rsidR="008668EB" w:rsidRPr="009768A3">
        <w:rPr>
          <w:rFonts w:eastAsia="Calibri"/>
          <w:sz w:val="22"/>
          <w:szCs w:val="22"/>
          <w:lang w:eastAsia="en-US"/>
        </w:rPr>
        <w:t>zabezpečiť,</w:t>
      </w:r>
      <w:r w:rsidR="008668EB" w:rsidRPr="009768A3">
        <w:rPr>
          <w:rFonts w:eastAsia="Calibri"/>
          <w:spacing w:val="27"/>
          <w:sz w:val="22"/>
          <w:szCs w:val="22"/>
          <w:lang w:eastAsia="en-US"/>
        </w:rPr>
        <w:t xml:space="preserve"> </w:t>
      </w:r>
      <w:r w:rsidR="008668EB" w:rsidRPr="009768A3">
        <w:rPr>
          <w:rFonts w:eastAsia="Calibri"/>
          <w:sz w:val="22"/>
          <w:szCs w:val="22"/>
          <w:lang w:eastAsia="en-US"/>
        </w:rPr>
        <w:t>že</w:t>
      </w:r>
      <w:r w:rsidR="008668EB" w:rsidRPr="009768A3">
        <w:rPr>
          <w:rFonts w:eastAsia="Calibri"/>
          <w:spacing w:val="27"/>
          <w:sz w:val="22"/>
          <w:szCs w:val="22"/>
          <w:lang w:eastAsia="en-US"/>
        </w:rPr>
        <w:t xml:space="preserve"> </w:t>
      </w:r>
      <w:r w:rsidR="008668EB" w:rsidRPr="009768A3">
        <w:rPr>
          <w:rFonts w:eastAsia="Calibri"/>
          <w:sz w:val="22"/>
          <w:szCs w:val="22"/>
          <w:lang w:eastAsia="en-US"/>
        </w:rPr>
        <w:t>podpora z verejných</w:t>
      </w:r>
      <w:r w:rsidR="008668EB" w:rsidRPr="009768A3">
        <w:rPr>
          <w:rFonts w:eastAsia="Calibri"/>
          <w:spacing w:val="27"/>
          <w:sz w:val="22"/>
          <w:szCs w:val="22"/>
          <w:lang w:eastAsia="en-US"/>
        </w:rPr>
        <w:t xml:space="preserve"> </w:t>
      </w:r>
      <w:r w:rsidR="008668EB" w:rsidRPr="009768A3">
        <w:rPr>
          <w:rFonts w:eastAsia="Calibri"/>
          <w:sz w:val="22"/>
          <w:szCs w:val="22"/>
          <w:lang w:eastAsia="en-US"/>
        </w:rPr>
        <w:t>prostriedkov bude</w:t>
      </w:r>
      <w:r w:rsidR="008668EB" w:rsidRPr="009768A3">
        <w:rPr>
          <w:rFonts w:eastAsia="Calibri"/>
          <w:spacing w:val="27"/>
          <w:sz w:val="22"/>
          <w:szCs w:val="22"/>
          <w:lang w:eastAsia="en-US"/>
        </w:rPr>
        <w:t xml:space="preserve"> </w:t>
      </w:r>
      <w:r w:rsidR="008668EB" w:rsidRPr="009768A3">
        <w:rPr>
          <w:rFonts w:eastAsia="Calibri"/>
          <w:sz w:val="22"/>
          <w:szCs w:val="22"/>
          <w:lang w:eastAsia="en-US"/>
        </w:rPr>
        <w:t xml:space="preserve">účelovo viazaná </w:t>
      </w:r>
      <w:r w:rsidR="008668EB" w:rsidRPr="009768A3">
        <w:rPr>
          <w:rFonts w:eastAsia="Calibri"/>
          <w:sz w:val="22"/>
          <w:szCs w:val="22"/>
          <w:lang w:eastAsia="en-US"/>
        </w:rPr>
        <w:lastRenderedPageBreak/>
        <w:t>a teda vo výsledku bude zabezpečené dodržanie účelu podpory a predmet podpory nebude</w:t>
      </w:r>
      <w:r w:rsidR="008668EB" w:rsidRPr="009768A3">
        <w:rPr>
          <w:rFonts w:eastAsia="Calibri"/>
          <w:spacing w:val="27"/>
          <w:sz w:val="22"/>
          <w:szCs w:val="22"/>
          <w:lang w:eastAsia="en-US"/>
        </w:rPr>
        <w:t xml:space="preserve"> </w:t>
      </w:r>
      <w:r w:rsidR="008668EB" w:rsidRPr="009768A3">
        <w:rPr>
          <w:rFonts w:eastAsia="Calibri"/>
          <w:sz w:val="22"/>
          <w:szCs w:val="22"/>
          <w:lang w:eastAsia="en-US"/>
        </w:rPr>
        <w:t>po</w:t>
      </w:r>
      <w:r w:rsidR="008668EB" w:rsidRPr="009768A3">
        <w:rPr>
          <w:rFonts w:eastAsia="Calibri"/>
          <w:spacing w:val="27"/>
          <w:sz w:val="22"/>
          <w:szCs w:val="22"/>
          <w:lang w:eastAsia="en-US"/>
        </w:rPr>
        <w:t xml:space="preserve"> </w:t>
      </w:r>
      <w:r w:rsidR="008668EB" w:rsidRPr="009768A3">
        <w:rPr>
          <w:rFonts w:eastAsia="Calibri"/>
          <w:sz w:val="22"/>
          <w:szCs w:val="22"/>
          <w:lang w:eastAsia="en-US"/>
        </w:rPr>
        <w:t>stanovený</w:t>
      </w:r>
      <w:r w:rsidR="008668EB" w:rsidRPr="009768A3">
        <w:rPr>
          <w:rFonts w:eastAsia="Calibri"/>
          <w:spacing w:val="27"/>
          <w:sz w:val="22"/>
          <w:szCs w:val="22"/>
          <w:lang w:eastAsia="en-US"/>
        </w:rPr>
        <w:t xml:space="preserve"> </w:t>
      </w:r>
      <w:r w:rsidR="008668EB" w:rsidRPr="009768A3">
        <w:rPr>
          <w:rFonts w:eastAsia="Calibri"/>
          <w:sz w:val="22"/>
          <w:szCs w:val="22"/>
          <w:lang w:eastAsia="en-US"/>
        </w:rPr>
        <w:t>čas</w:t>
      </w:r>
      <w:r w:rsidR="008668EB" w:rsidRPr="009768A3">
        <w:rPr>
          <w:rFonts w:eastAsia="Calibri"/>
          <w:spacing w:val="27"/>
          <w:sz w:val="22"/>
          <w:szCs w:val="22"/>
          <w:lang w:eastAsia="en-US"/>
        </w:rPr>
        <w:t xml:space="preserve"> </w:t>
      </w:r>
      <w:r w:rsidR="008668EB" w:rsidRPr="009768A3">
        <w:rPr>
          <w:rFonts w:eastAsia="Calibri"/>
          <w:sz w:val="22"/>
          <w:szCs w:val="22"/>
          <w:lang w:eastAsia="en-US"/>
        </w:rPr>
        <w:t xml:space="preserve">prevádzaný do iného (súkromného) </w:t>
      </w:r>
      <w:r w:rsidR="008668EB" w:rsidRPr="009F1497">
        <w:rPr>
          <w:rFonts w:eastAsia="Calibri"/>
          <w:sz w:val="22"/>
          <w:szCs w:val="22"/>
          <w:lang w:eastAsia="en-US"/>
        </w:rPr>
        <w:t>vlastníctva</w:t>
      </w:r>
      <w:r w:rsidR="008E701C" w:rsidRPr="009F1497">
        <w:rPr>
          <w:rFonts w:eastAsia="Calibri"/>
          <w:sz w:val="22"/>
          <w:szCs w:val="22"/>
          <w:lang w:eastAsia="en-US"/>
        </w:rPr>
        <w:t xml:space="preserve"> fyzickej osoby alebo právnickej osoby</w:t>
      </w:r>
      <w:r w:rsidRPr="009F1497">
        <w:rPr>
          <w:rFonts w:eastAsia="Calibri"/>
          <w:sz w:val="22"/>
          <w:szCs w:val="22"/>
          <w:lang w:eastAsia="en-US"/>
        </w:rPr>
        <w:t xml:space="preserve"> (nájomný byt obstaraný obcou, samosprávnym krajom alebo neziskovou organizáciou podľa osobitného predpisu), resp.</w:t>
      </w:r>
      <w:r w:rsidR="00057C10" w:rsidRPr="009F1497">
        <w:rPr>
          <w:rFonts w:eastAsia="Calibri"/>
          <w:sz w:val="22"/>
          <w:szCs w:val="22"/>
          <w:lang w:eastAsia="en-US"/>
        </w:rPr>
        <w:t xml:space="preserve"> pri zmene vlastníka</w:t>
      </w:r>
      <w:r w:rsidR="008E701C" w:rsidRPr="009F1497">
        <w:rPr>
          <w:rFonts w:eastAsia="Calibri"/>
          <w:sz w:val="22"/>
          <w:szCs w:val="22"/>
          <w:lang w:eastAsia="en-US"/>
        </w:rPr>
        <w:t xml:space="preserve"> (so súhlasom fondu)</w:t>
      </w:r>
      <w:r w:rsidR="00057C10" w:rsidRPr="009F1497">
        <w:rPr>
          <w:rFonts w:eastAsia="Calibri"/>
          <w:sz w:val="22"/>
          <w:szCs w:val="22"/>
          <w:lang w:eastAsia="en-US"/>
        </w:rPr>
        <w:t xml:space="preserve">, je </w:t>
      </w:r>
      <w:r w:rsidR="008375C3" w:rsidRPr="009F1497">
        <w:rPr>
          <w:rFonts w:eastAsia="Calibri"/>
          <w:sz w:val="22"/>
          <w:szCs w:val="22"/>
          <w:lang w:eastAsia="en-US"/>
        </w:rPr>
        <w:t>nadob</w:t>
      </w:r>
      <w:r w:rsidR="00B7007B" w:rsidRPr="009F1497">
        <w:rPr>
          <w:rFonts w:eastAsia="Calibri"/>
          <w:sz w:val="22"/>
          <w:szCs w:val="22"/>
          <w:lang w:eastAsia="en-US"/>
        </w:rPr>
        <w:t>ú</w:t>
      </w:r>
      <w:r w:rsidR="008375C3" w:rsidRPr="009F1497">
        <w:rPr>
          <w:rFonts w:eastAsia="Calibri"/>
          <w:sz w:val="22"/>
          <w:szCs w:val="22"/>
          <w:lang w:eastAsia="en-US"/>
        </w:rPr>
        <w:t xml:space="preserve">dateľ, </w:t>
      </w:r>
      <w:proofErr w:type="spellStart"/>
      <w:r w:rsidR="008375C3" w:rsidRPr="009F1497">
        <w:rPr>
          <w:rFonts w:eastAsia="Calibri"/>
          <w:sz w:val="22"/>
          <w:szCs w:val="22"/>
          <w:lang w:eastAsia="en-US"/>
        </w:rPr>
        <w:t>t.j</w:t>
      </w:r>
      <w:proofErr w:type="spellEnd"/>
      <w:r w:rsidR="008375C3" w:rsidRPr="009F1497">
        <w:rPr>
          <w:rFonts w:eastAsia="Calibri"/>
          <w:sz w:val="22"/>
          <w:szCs w:val="22"/>
          <w:lang w:eastAsia="en-US"/>
        </w:rPr>
        <w:t xml:space="preserve">. </w:t>
      </w:r>
      <w:r w:rsidR="00057C10" w:rsidRPr="009F1497">
        <w:rPr>
          <w:rFonts w:eastAsia="Calibri"/>
          <w:sz w:val="22"/>
          <w:szCs w:val="22"/>
          <w:lang w:eastAsia="en-US"/>
        </w:rPr>
        <w:t>nový vlastník povinný zabezpečiť plnenie všetkých podmienok, za ktorých bola podpora na daný účel poskytnutá</w:t>
      </w:r>
      <w:r w:rsidR="008668EB" w:rsidRPr="009F1497">
        <w:rPr>
          <w:rFonts w:eastAsia="Calibri"/>
          <w:sz w:val="22"/>
          <w:szCs w:val="22"/>
          <w:lang w:eastAsia="en-US"/>
        </w:rPr>
        <w:t>.</w:t>
      </w:r>
    </w:p>
    <w:p w14:paraId="64DDE478" w14:textId="77777777" w:rsidR="004A466C" w:rsidRPr="009768A3" w:rsidRDefault="004A466C" w:rsidP="005C2365">
      <w:pPr>
        <w:jc w:val="both"/>
        <w:rPr>
          <w:b/>
          <w:sz w:val="22"/>
          <w:szCs w:val="22"/>
        </w:rPr>
      </w:pPr>
    </w:p>
    <w:p w14:paraId="2F92B306" w14:textId="5A176F97" w:rsidR="004A466C" w:rsidRPr="009768A3" w:rsidRDefault="004A466C" w:rsidP="004A466C">
      <w:pPr>
        <w:jc w:val="both"/>
        <w:rPr>
          <w:b/>
          <w:sz w:val="22"/>
          <w:szCs w:val="22"/>
        </w:rPr>
      </w:pPr>
      <w:r w:rsidRPr="009768A3">
        <w:rPr>
          <w:b/>
          <w:sz w:val="22"/>
          <w:szCs w:val="22"/>
        </w:rPr>
        <w:t>K bodu 4</w:t>
      </w:r>
      <w:r w:rsidR="008375C3" w:rsidRPr="009768A3">
        <w:rPr>
          <w:b/>
          <w:sz w:val="22"/>
          <w:szCs w:val="22"/>
        </w:rPr>
        <w:t>6</w:t>
      </w:r>
    </w:p>
    <w:p w14:paraId="29EAC872" w14:textId="77777777" w:rsidR="00844548" w:rsidRPr="009768A3" w:rsidRDefault="00844548" w:rsidP="009768A3">
      <w:pPr>
        <w:ind w:firstLine="720"/>
        <w:jc w:val="both"/>
        <w:rPr>
          <w:bCs/>
          <w:sz w:val="22"/>
          <w:szCs w:val="22"/>
        </w:rPr>
      </w:pPr>
    </w:p>
    <w:p w14:paraId="2F187A08" w14:textId="77777777" w:rsidR="004A466C" w:rsidRPr="009768A3" w:rsidRDefault="004A466C" w:rsidP="009768A3">
      <w:pPr>
        <w:ind w:firstLine="720"/>
        <w:jc w:val="both"/>
        <w:rPr>
          <w:bCs/>
          <w:sz w:val="22"/>
          <w:szCs w:val="22"/>
        </w:rPr>
      </w:pPr>
      <w:r w:rsidRPr="009768A3">
        <w:rPr>
          <w:bCs/>
          <w:sz w:val="22"/>
          <w:szCs w:val="22"/>
        </w:rPr>
        <w:t xml:space="preserve">Ide o legislatívno-technickú úpravu súvisiacu so zavedením nových účelov podpory. Určuje sa miesto podania žiadosti o poskytnutie podpory na obstaranie alebo obnovu internátu </w:t>
      </w:r>
      <w:r w:rsidR="005C45EC" w:rsidRPr="009768A3">
        <w:rPr>
          <w:bCs/>
          <w:sz w:val="22"/>
          <w:szCs w:val="22"/>
        </w:rPr>
        <w:t>–</w:t>
      </w:r>
      <w:r w:rsidRPr="009768A3">
        <w:rPr>
          <w:bCs/>
          <w:sz w:val="22"/>
          <w:szCs w:val="22"/>
        </w:rPr>
        <w:t xml:space="preserve"> </w:t>
      </w:r>
      <w:r w:rsidR="005C45EC" w:rsidRPr="009768A3">
        <w:rPr>
          <w:bCs/>
          <w:sz w:val="22"/>
          <w:szCs w:val="22"/>
        </w:rPr>
        <w:t>okresný úrad v sídle kraja príslušný podľa miesta stavby.</w:t>
      </w:r>
    </w:p>
    <w:p w14:paraId="590E5CB9" w14:textId="77777777" w:rsidR="00E960E9" w:rsidRPr="009768A3" w:rsidRDefault="00E960E9" w:rsidP="005C2365">
      <w:pPr>
        <w:jc w:val="both"/>
        <w:rPr>
          <w:b/>
          <w:sz w:val="22"/>
          <w:szCs w:val="22"/>
        </w:rPr>
      </w:pPr>
    </w:p>
    <w:p w14:paraId="1707FA8E" w14:textId="5020DE41" w:rsidR="005C2365" w:rsidRPr="009768A3" w:rsidRDefault="005C2365" w:rsidP="005C2365">
      <w:pPr>
        <w:jc w:val="both"/>
        <w:rPr>
          <w:b/>
          <w:sz w:val="22"/>
          <w:szCs w:val="22"/>
        </w:rPr>
      </w:pPr>
      <w:r w:rsidRPr="009768A3">
        <w:rPr>
          <w:b/>
          <w:sz w:val="22"/>
          <w:szCs w:val="22"/>
        </w:rPr>
        <w:t xml:space="preserve">K bodu </w:t>
      </w:r>
      <w:r w:rsidR="004A466C" w:rsidRPr="009768A3">
        <w:rPr>
          <w:b/>
          <w:sz w:val="22"/>
          <w:szCs w:val="22"/>
        </w:rPr>
        <w:t>4</w:t>
      </w:r>
      <w:r w:rsidR="008375C3" w:rsidRPr="009768A3">
        <w:rPr>
          <w:b/>
          <w:sz w:val="22"/>
          <w:szCs w:val="22"/>
        </w:rPr>
        <w:t>7</w:t>
      </w:r>
    </w:p>
    <w:p w14:paraId="2823C8CB" w14:textId="77777777" w:rsidR="00844548" w:rsidRPr="009768A3" w:rsidRDefault="00844548" w:rsidP="002C0650">
      <w:pPr>
        <w:jc w:val="both"/>
        <w:rPr>
          <w:sz w:val="22"/>
          <w:szCs w:val="22"/>
        </w:rPr>
      </w:pPr>
    </w:p>
    <w:p w14:paraId="7FDAD7DA" w14:textId="77777777" w:rsidR="002C0650" w:rsidRPr="009768A3" w:rsidRDefault="002C0650" w:rsidP="009768A3">
      <w:pPr>
        <w:ind w:firstLine="720"/>
        <w:jc w:val="both"/>
        <w:rPr>
          <w:sz w:val="22"/>
          <w:szCs w:val="22"/>
        </w:rPr>
      </w:pPr>
      <w:r w:rsidRPr="009768A3">
        <w:rPr>
          <w:sz w:val="22"/>
          <w:szCs w:val="22"/>
        </w:rPr>
        <w:t xml:space="preserve">Navrhuje sa úprava obdobia termínu predkladania žiadostí v prípade účelu obstarania bytu a obnovy bytovej budovy. Cieľom je zabezpečiť plynulosť vydávania rozhodnutí o poskytnutí/neposkytnutí podpory do konca roka vzhľadom na zasielanie výziev na odstránenie nedostatkov.  </w:t>
      </w:r>
    </w:p>
    <w:p w14:paraId="0997CAAC" w14:textId="77777777" w:rsidR="004A466C" w:rsidRPr="009768A3" w:rsidRDefault="004A466C" w:rsidP="002C0650">
      <w:pPr>
        <w:jc w:val="both"/>
        <w:rPr>
          <w:sz w:val="22"/>
          <w:szCs w:val="22"/>
        </w:rPr>
      </w:pPr>
    </w:p>
    <w:p w14:paraId="1F46E15B" w14:textId="17FB3AC2" w:rsidR="004A466C" w:rsidRPr="009768A3" w:rsidRDefault="004A466C" w:rsidP="004A466C">
      <w:pPr>
        <w:jc w:val="both"/>
        <w:rPr>
          <w:b/>
          <w:sz w:val="22"/>
          <w:szCs w:val="22"/>
        </w:rPr>
      </w:pPr>
      <w:r w:rsidRPr="009768A3">
        <w:rPr>
          <w:b/>
          <w:sz w:val="22"/>
          <w:szCs w:val="22"/>
        </w:rPr>
        <w:t>K bodu 4</w:t>
      </w:r>
      <w:r w:rsidR="006E7A5A" w:rsidRPr="009768A3">
        <w:rPr>
          <w:b/>
          <w:sz w:val="22"/>
          <w:szCs w:val="22"/>
        </w:rPr>
        <w:t>8</w:t>
      </w:r>
    </w:p>
    <w:p w14:paraId="7D4034B9" w14:textId="77777777" w:rsidR="00844548" w:rsidRPr="009768A3" w:rsidRDefault="00844548" w:rsidP="004A466C">
      <w:pPr>
        <w:jc w:val="both"/>
        <w:rPr>
          <w:bCs/>
          <w:sz w:val="22"/>
          <w:szCs w:val="22"/>
        </w:rPr>
      </w:pPr>
    </w:p>
    <w:p w14:paraId="2333A727" w14:textId="77777777" w:rsidR="004A466C" w:rsidRPr="009768A3" w:rsidRDefault="005C45EC" w:rsidP="009768A3">
      <w:pPr>
        <w:ind w:firstLine="720"/>
        <w:jc w:val="both"/>
        <w:rPr>
          <w:bCs/>
          <w:sz w:val="22"/>
          <w:szCs w:val="22"/>
        </w:rPr>
      </w:pPr>
      <w:r w:rsidRPr="009768A3">
        <w:rPr>
          <w:bCs/>
          <w:sz w:val="22"/>
          <w:szCs w:val="22"/>
        </w:rPr>
        <w:t>Navrhuje sa určiť termín predloženia žiadosti o poskytnutie podpory na obstaranie alebo obnovu internátu od 15. januára do 31. august</w:t>
      </w:r>
      <w:r w:rsidR="00C976FC" w:rsidRPr="009768A3">
        <w:rPr>
          <w:bCs/>
          <w:sz w:val="22"/>
          <w:szCs w:val="22"/>
        </w:rPr>
        <w:t xml:space="preserve">a príslušného kalendárneho roka. Termín podania žiadosti o poskytnutie podpory zo ŠFRB na novozavedené účely sa navrhuje určiť rovnako ako je to pri iných účeloch, tak, aby bolo možné v prípade zistenia nedostatkov, túto žiadosť zo strany žiadateľa opraviť a ŠFRB mohol rozhodnúť o poskytnutí, resp. neposkytnutí podpory do 31.12. príslušného kalendárneho roka, v ktorom bola žiadosť podaná. </w:t>
      </w:r>
      <w:r w:rsidRPr="009768A3">
        <w:rPr>
          <w:bCs/>
          <w:sz w:val="22"/>
          <w:szCs w:val="22"/>
        </w:rPr>
        <w:t xml:space="preserve"> </w:t>
      </w:r>
    </w:p>
    <w:p w14:paraId="0FA04615" w14:textId="77777777" w:rsidR="00E960E9" w:rsidRPr="009768A3" w:rsidRDefault="00E960E9" w:rsidP="005C2365">
      <w:pPr>
        <w:jc w:val="both"/>
        <w:rPr>
          <w:b/>
          <w:sz w:val="22"/>
          <w:szCs w:val="22"/>
        </w:rPr>
      </w:pPr>
    </w:p>
    <w:p w14:paraId="12AD4EFA" w14:textId="1C09E179" w:rsidR="005C45EC" w:rsidRPr="009768A3" w:rsidRDefault="005C45EC" w:rsidP="005C2365">
      <w:pPr>
        <w:jc w:val="both"/>
        <w:rPr>
          <w:b/>
          <w:sz w:val="22"/>
          <w:szCs w:val="22"/>
        </w:rPr>
      </w:pPr>
      <w:r w:rsidRPr="009768A3">
        <w:rPr>
          <w:b/>
          <w:sz w:val="22"/>
          <w:szCs w:val="22"/>
        </w:rPr>
        <w:t xml:space="preserve">K bodu </w:t>
      </w:r>
      <w:r w:rsidR="008668EB" w:rsidRPr="009768A3">
        <w:rPr>
          <w:b/>
          <w:sz w:val="22"/>
          <w:szCs w:val="22"/>
        </w:rPr>
        <w:t>4</w:t>
      </w:r>
      <w:r w:rsidR="006E7A5A" w:rsidRPr="009768A3">
        <w:rPr>
          <w:b/>
          <w:sz w:val="22"/>
          <w:szCs w:val="22"/>
        </w:rPr>
        <w:t>9</w:t>
      </w:r>
    </w:p>
    <w:p w14:paraId="1DBB7AE7" w14:textId="77777777" w:rsidR="00844548" w:rsidRPr="009768A3" w:rsidRDefault="00844548" w:rsidP="005C2365">
      <w:pPr>
        <w:jc w:val="both"/>
        <w:rPr>
          <w:bCs/>
          <w:sz w:val="22"/>
          <w:szCs w:val="22"/>
        </w:rPr>
      </w:pPr>
    </w:p>
    <w:p w14:paraId="3C66BE98" w14:textId="51A42732" w:rsidR="005C45EC" w:rsidRPr="009768A3" w:rsidRDefault="005C45EC" w:rsidP="009768A3">
      <w:pPr>
        <w:ind w:firstLine="720"/>
        <w:jc w:val="both"/>
        <w:rPr>
          <w:bCs/>
          <w:sz w:val="22"/>
          <w:szCs w:val="22"/>
        </w:rPr>
      </w:pPr>
      <w:r w:rsidRPr="009768A3">
        <w:rPr>
          <w:bCs/>
          <w:sz w:val="22"/>
          <w:szCs w:val="22"/>
        </w:rPr>
        <w:t>Ide o legislatívno-technickú úpravu súvisiacu s novelizačným bodom 5</w:t>
      </w:r>
      <w:r w:rsidR="006E7A5A" w:rsidRPr="009768A3">
        <w:rPr>
          <w:bCs/>
          <w:sz w:val="22"/>
          <w:szCs w:val="22"/>
        </w:rPr>
        <w:t>2</w:t>
      </w:r>
      <w:r w:rsidRPr="009768A3">
        <w:rPr>
          <w:bCs/>
          <w:sz w:val="22"/>
          <w:szCs w:val="22"/>
        </w:rPr>
        <w:t>.</w:t>
      </w:r>
    </w:p>
    <w:p w14:paraId="4CAA9C6B" w14:textId="77777777" w:rsidR="005C45EC" w:rsidRPr="009768A3" w:rsidRDefault="005C45EC" w:rsidP="005C2365">
      <w:pPr>
        <w:jc w:val="both"/>
        <w:rPr>
          <w:bCs/>
          <w:sz w:val="22"/>
          <w:szCs w:val="22"/>
        </w:rPr>
      </w:pPr>
    </w:p>
    <w:p w14:paraId="483F8E7C" w14:textId="421B8CE3" w:rsidR="005C2365" w:rsidRPr="009768A3" w:rsidRDefault="005C2365" w:rsidP="005C2365">
      <w:pPr>
        <w:jc w:val="both"/>
        <w:rPr>
          <w:b/>
          <w:sz w:val="22"/>
          <w:szCs w:val="22"/>
        </w:rPr>
      </w:pPr>
      <w:r w:rsidRPr="009768A3">
        <w:rPr>
          <w:b/>
          <w:sz w:val="22"/>
          <w:szCs w:val="22"/>
        </w:rPr>
        <w:t xml:space="preserve">K bodu </w:t>
      </w:r>
      <w:r w:rsidR="006E7A5A" w:rsidRPr="009768A3">
        <w:rPr>
          <w:b/>
          <w:sz w:val="22"/>
          <w:szCs w:val="22"/>
        </w:rPr>
        <w:t>50</w:t>
      </w:r>
    </w:p>
    <w:p w14:paraId="494A0E2D" w14:textId="77777777" w:rsidR="00844548" w:rsidRPr="009768A3" w:rsidRDefault="00844548" w:rsidP="002C0650">
      <w:pPr>
        <w:jc w:val="both"/>
        <w:rPr>
          <w:sz w:val="22"/>
          <w:szCs w:val="22"/>
        </w:rPr>
      </w:pPr>
    </w:p>
    <w:p w14:paraId="390EBA1A" w14:textId="77777777" w:rsidR="002C0650" w:rsidRPr="009768A3" w:rsidRDefault="002C0650" w:rsidP="009768A3">
      <w:pPr>
        <w:ind w:firstLine="720"/>
        <w:jc w:val="both"/>
        <w:rPr>
          <w:sz w:val="22"/>
          <w:szCs w:val="22"/>
        </w:rPr>
      </w:pPr>
      <w:r w:rsidRPr="009768A3">
        <w:rPr>
          <w:sz w:val="22"/>
          <w:szCs w:val="22"/>
        </w:rPr>
        <w:t>Ide o legislatívno-technickú úpravu vnútorných odkazov. Fondom prevádzky, údržby a opráv môžu ručiť len žiadatelia o úver, na ktorých sa vzťahuje povinnosť vyplývajúca zo zákona NR SR č. 182/1993 Z. z. o</w:t>
      </w:r>
      <w:r w:rsidR="007D2BF2" w:rsidRPr="009768A3">
        <w:rPr>
          <w:sz w:val="22"/>
          <w:szCs w:val="22"/>
        </w:rPr>
        <w:t> </w:t>
      </w:r>
      <w:r w:rsidRPr="009768A3">
        <w:rPr>
          <w:sz w:val="22"/>
          <w:szCs w:val="22"/>
        </w:rPr>
        <w:t xml:space="preserve">vlastníctve bytov a nebytových priestorov </w:t>
      </w:r>
      <w:r w:rsidR="00A3229B" w:rsidRPr="009768A3">
        <w:rPr>
          <w:sz w:val="22"/>
          <w:szCs w:val="22"/>
        </w:rPr>
        <w:t>v znení neskorších predpisov.</w:t>
      </w:r>
    </w:p>
    <w:p w14:paraId="0506448D" w14:textId="77777777" w:rsidR="0072408F" w:rsidRPr="009768A3" w:rsidRDefault="0072408F" w:rsidP="005C2365">
      <w:pPr>
        <w:jc w:val="both"/>
        <w:rPr>
          <w:b/>
          <w:sz w:val="22"/>
          <w:szCs w:val="22"/>
        </w:rPr>
      </w:pPr>
    </w:p>
    <w:p w14:paraId="5C80852D" w14:textId="35F8C791" w:rsidR="005C2365" w:rsidRPr="009768A3" w:rsidRDefault="005C2365" w:rsidP="005C2365">
      <w:pPr>
        <w:jc w:val="both"/>
        <w:rPr>
          <w:b/>
          <w:sz w:val="22"/>
          <w:szCs w:val="22"/>
        </w:rPr>
      </w:pPr>
      <w:r w:rsidRPr="009768A3">
        <w:rPr>
          <w:b/>
          <w:sz w:val="22"/>
          <w:szCs w:val="22"/>
        </w:rPr>
        <w:t xml:space="preserve">K bodu </w:t>
      </w:r>
      <w:r w:rsidR="005C45EC" w:rsidRPr="009768A3">
        <w:rPr>
          <w:b/>
          <w:sz w:val="22"/>
          <w:szCs w:val="22"/>
        </w:rPr>
        <w:t>5</w:t>
      </w:r>
      <w:r w:rsidR="006E7A5A" w:rsidRPr="009768A3">
        <w:rPr>
          <w:b/>
          <w:sz w:val="22"/>
          <w:szCs w:val="22"/>
        </w:rPr>
        <w:t>1</w:t>
      </w:r>
    </w:p>
    <w:p w14:paraId="4981F2C7" w14:textId="77777777" w:rsidR="00844548" w:rsidRPr="009768A3" w:rsidRDefault="00844548" w:rsidP="002C0650">
      <w:pPr>
        <w:jc w:val="both"/>
        <w:rPr>
          <w:sz w:val="22"/>
          <w:szCs w:val="22"/>
        </w:rPr>
      </w:pPr>
    </w:p>
    <w:p w14:paraId="194B978F" w14:textId="77777777" w:rsidR="002C0650" w:rsidRPr="009768A3" w:rsidRDefault="002C0650" w:rsidP="002C0650">
      <w:pPr>
        <w:jc w:val="both"/>
        <w:rPr>
          <w:sz w:val="22"/>
          <w:szCs w:val="22"/>
        </w:rPr>
      </w:pPr>
      <w:r w:rsidRPr="009768A3">
        <w:rPr>
          <w:sz w:val="22"/>
          <w:szCs w:val="22"/>
        </w:rPr>
        <w:t xml:space="preserve">Ide o legislatívno-technickú úpravu systematiky zákona a </w:t>
      </w:r>
      <w:r w:rsidR="00A3229B" w:rsidRPr="009768A3">
        <w:rPr>
          <w:sz w:val="22"/>
          <w:szCs w:val="22"/>
        </w:rPr>
        <w:t>odstránenie nadbytočného slova.</w:t>
      </w:r>
    </w:p>
    <w:p w14:paraId="04020592" w14:textId="77777777" w:rsidR="00E960E9" w:rsidRPr="009768A3" w:rsidRDefault="00E960E9" w:rsidP="005C2365">
      <w:pPr>
        <w:jc w:val="both"/>
        <w:rPr>
          <w:b/>
          <w:sz w:val="22"/>
          <w:szCs w:val="22"/>
        </w:rPr>
      </w:pPr>
    </w:p>
    <w:p w14:paraId="5C9C637E" w14:textId="240CDD1E" w:rsidR="005C2365" w:rsidRPr="009768A3" w:rsidRDefault="005C2365" w:rsidP="005C2365">
      <w:pPr>
        <w:jc w:val="both"/>
        <w:rPr>
          <w:b/>
          <w:sz w:val="22"/>
          <w:szCs w:val="22"/>
        </w:rPr>
      </w:pPr>
      <w:r w:rsidRPr="009768A3">
        <w:rPr>
          <w:b/>
          <w:sz w:val="22"/>
          <w:szCs w:val="22"/>
        </w:rPr>
        <w:t xml:space="preserve">K bodu </w:t>
      </w:r>
      <w:r w:rsidR="005C45EC" w:rsidRPr="009768A3">
        <w:rPr>
          <w:b/>
          <w:sz w:val="22"/>
          <w:szCs w:val="22"/>
        </w:rPr>
        <w:t>5</w:t>
      </w:r>
      <w:r w:rsidR="006E7A5A" w:rsidRPr="009768A3">
        <w:rPr>
          <w:b/>
          <w:sz w:val="22"/>
          <w:szCs w:val="22"/>
        </w:rPr>
        <w:t>2</w:t>
      </w:r>
    </w:p>
    <w:p w14:paraId="76A1AE1D" w14:textId="77777777" w:rsidR="00844548" w:rsidRPr="009768A3" w:rsidRDefault="00844548" w:rsidP="002C0650">
      <w:pPr>
        <w:jc w:val="both"/>
        <w:rPr>
          <w:sz w:val="22"/>
          <w:szCs w:val="22"/>
        </w:rPr>
      </w:pPr>
    </w:p>
    <w:p w14:paraId="33A18A78" w14:textId="77777777" w:rsidR="002C0650" w:rsidRPr="009768A3" w:rsidRDefault="002C0650" w:rsidP="009768A3">
      <w:pPr>
        <w:ind w:firstLine="720"/>
        <w:jc w:val="both"/>
        <w:rPr>
          <w:sz w:val="22"/>
          <w:szCs w:val="22"/>
        </w:rPr>
      </w:pPr>
      <w:r w:rsidRPr="009768A3">
        <w:rPr>
          <w:sz w:val="22"/>
          <w:szCs w:val="22"/>
        </w:rPr>
        <w:t>Navrhuje sa upraviť situáciu, keď ministerstvo v rámci preskúmania zistí nesprávny postup ŠFRB a vráti žiadosť podanú v predchádzajúcom roku ŠFRB na ďalšie konanie v nasledujúcom roku. Takúto žiadosť ŠFRB posúdi hneď po jej doručení ministerstvom mimo poradia nových žiadostí predkladaných v roku.</w:t>
      </w:r>
    </w:p>
    <w:p w14:paraId="5749E1DA" w14:textId="77777777" w:rsidR="00DE189B" w:rsidRPr="009768A3" w:rsidRDefault="00DE189B" w:rsidP="005C2365">
      <w:pPr>
        <w:jc w:val="both"/>
        <w:rPr>
          <w:b/>
          <w:sz w:val="22"/>
          <w:szCs w:val="22"/>
        </w:rPr>
      </w:pPr>
    </w:p>
    <w:p w14:paraId="486A543E" w14:textId="145B7534" w:rsidR="00DE189B" w:rsidRPr="009768A3" w:rsidRDefault="005C2365" w:rsidP="005C2365">
      <w:pPr>
        <w:jc w:val="both"/>
        <w:rPr>
          <w:b/>
          <w:sz w:val="22"/>
          <w:szCs w:val="22"/>
        </w:rPr>
      </w:pPr>
      <w:r w:rsidRPr="009768A3">
        <w:rPr>
          <w:b/>
          <w:sz w:val="22"/>
          <w:szCs w:val="22"/>
        </w:rPr>
        <w:t>K</w:t>
      </w:r>
      <w:r w:rsidR="00623DC9" w:rsidRPr="009768A3">
        <w:rPr>
          <w:b/>
          <w:sz w:val="22"/>
          <w:szCs w:val="22"/>
        </w:rPr>
        <w:t> bodom 5</w:t>
      </w:r>
      <w:r w:rsidR="006E7A5A" w:rsidRPr="009768A3">
        <w:rPr>
          <w:b/>
          <w:sz w:val="22"/>
          <w:szCs w:val="22"/>
        </w:rPr>
        <w:t>3</w:t>
      </w:r>
      <w:r w:rsidR="00623DC9" w:rsidRPr="009768A3">
        <w:rPr>
          <w:b/>
          <w:sz w:val="22"/>
          <w:szCs w:val="22"/>
        </w:rPr>
        <w:t>, 5</w:t>
      </w:r>
      <w:r w:rsidR="006E7A5A" w:rsidRPr="009768A3">
        <w:rPr>
          <w:b/>
          <w:sz w:val="22"/>
          <w:szCs w:val="22"/>
        </w:rPr>
        <w:t>6</w:t>
      </w:r>
      <w:r w:rsidR="00D92C32" w:rsidRPr="009768A3">
        <w:rPr>
          <w:b/>
          <w:sz w:val="22"/>
          <w:szCs w:val="22"/>
        </w:rPr>
        <w:t xml:space="preserve">, </w:t>
      </w:r>
      <w:r w:rsidR="006E7A5A" w:rsidRPr="009768A3">
        <w:rPr>
          <w:b/>
          <w:sz w:val="22"/>
          <w:szCs w:val="22"/>
        </w:rPr>
        <w:t>60</w:t>
      </w:r>
      <w:r w:rsidR="00D92C32" w:rsidRPr="009768A3">
        <w:rPr>
          <w:b/>
          <w:sz w:val="22"/>
          <w:szCs w:val="22"/>
        </w:rPr>
        <w:t xml:space="preserve"> a</w:t>
      </w:r>
      <w:r w:rsidR="00623DC9" w:rsidRPr="009768A3">
        <w:rPr>
          <w:b/>
          <w:sz w:val="22"/>
          <w:szCs w:val="22"/>
        </w:rPr>
        <w:t xml:space="preserve"> </w:t>
      </w:r>
      <w:r w:rsidR="006E7A5A" w:rsidRPr="009768A3">
        <w:rPr>
          <w:b/>
          <w:sz w:val="22"/>
          <w:szCs w:val="22"/>
        </w:rPr>
        <w:t>61</w:t>
      </w:r>
    </w:p>
    <w:p w14:paraId="322EA584" w14:textId="77777777" w:rsidR="00844548" w:rsidRPr="009768A3" w:rsidRDefault="00844548" w:rsidP="002C0650">
      <w:pPr>
        <w:widowControl/>
        <w:jc w:val="both"/>
        <w:rPr>
          <w:sz w:val="22"/>
          <w:szCs w:val="22"/>
        </w:rPr>
      </w:pPr>
    </w:p>
    <w:p w14:paraId="15CC424B" w14:textId="4C086170" w:rsidR="00AE5AD8" w:rsidRPr="009768A3" w:rsidRDefault="002C0650" w:rsidP="009768A3">
      <w:pPr>
        <w:widowControl/>
        <w:ind w:firstLine="720"/>
        <w:jc w:val="both"/>
        <w:rPr>
          <w:sz w:val="22"/>
          <w:szCs w:val="22"/>
        </w:rPr>
      </w:pPr>
      <w:r w:rsidRPr="009768A3">
        <w:rPr>
          <w:sz w:val="22"/>
          <w:szCs w:val="22"/>
        </w:rPr>
        <w:t xml:space="preserve">Ide o legislatívno-technickú úpravu súvisiacu </w:t>
      </w:r>
      <w:r w:rsidR="00623DC9" w:rsidRPr="009768A3">
        <w:rPr>
          <w:sz w:val="22"/>
          <w:szCs w:val="22"/>
        </w:rPr>
        <w:t>s prečíslovaním vnútorných odkazov.</w:t>
      </w:r>
    </w:p>
    <w:p w14:paraId="3EB2AF0C" w14:textId="77777777" w:rsidR="00E960E9" w:rsidRPr="009768A3" w:rsidRDefault="00E960E9" w:rsidP="005C2365">
      <w:pPr>
        <w:jc w:val="both"/>
        <w:rPr>
          <w:b/>
          <w:sz w:val="22"/>
          <w:szCs w:val="22"/>
        </w:rPr>
      </w:pPr>
    </w:p>
    <w:p w14:paraId="75C75C0C" w14:textId="77777777" w:rsidR="00E250FE" w:rsidRDefault="00E250FE" w:rsidP="005C2365">
      <w:pPr>
        <w:jc w:val="both"/>
        <w:rPr>
          <w:b/>
          <w:sz w:val="22"/>
          <w:szCs w:val="22"/>
        </w:rPr>
      </w:pPr>
    </w:p>
    <w:p w14:paraId="47AAEA1A" w14:textId="77777777" w:rsidR="00E250FE" w:rsidRDefault="00E250FE" w:rsidP="005C2365">
      <w:pPr>
        <w:jc w:val="both"/>
        <w:rPr>
          <w:b/>
          <w:sz w:val="22"/>
          <w:szCs w:val="22"/>
        </w:rPr>
      </w:pPr>
    </w:p>
    <w:p w14:paraId="67F245B6" w14:textId="67ABDF85" w:rsidR="005C2365" w:rsidRPr="009768A3" w:rsidRDefault="005C2365" w:rsidP="005C2365">
      <w:pPr>
        <w:jc w:val="both"/>
        <w:rPr>
          <w:b/>
          <w:sz w:val="22"/>
          <w:szCs w:val="22"/>
        </w:rPr>
      </w:pPr>
      <w:r w:rsidRPr="009768A3">
        <w:rPr>
          <w:b/>
          <w:sz w:val="22"/>
          <w:szCs w:val="22"/>
        </w:rPr>
        <w:lastRenderedPageBreak/>
        <w:t>K</w:t>
      </w:r>
      <w:r w:rsidR="00623DC9" w:rsidRPr="009768A3">
        <w:rPr>
          <w:b/>
          <w:sz w:val="22"/>
          <w:szCs w:val="22"/>
        </w:rPr>
        <w:t> bodom 5</w:t>
      </w:r>
      <w:r w:rsidR="006E7A5A" w:rsidRPr="009768A3">
        <w:rPr>
          <w:b/>
          <w:sz w:val="22"/>
          <w:szCs w:val="22"/>
        </w:rPr>
        <w:t>4</w:t>
      </w:r>
      <w:r w:rsidR="008668EB" w:rsidRPr="009768A3">
        <w:rPr>
          <w:b/>
          <w:sz w:val="22"/>
          <w:szCs w:val="22"/>
        </w:rPr>
        <w:t xml:space="preserve">, </w:t>
      </w:r>
      <w:r w:rsidR="00623DC9" w:rsidRPr="009768A3">
        <w:rPr>
          <w:b/>
          <w:sz w:val="22"/>
          <w:szCs w:val="22"/>
        </w:rPr>
        <w:t>5</w:t>
      </w:r>
      <w:r w:rsidR="006E7A5A" w:rsidRPr="009768A3">
        <w:rPr>
          <w:b/>
          <w:sz w:val="22"/>
          <w:szCs w:val="22"/>
        </w:rPr>
        <w:t>5,</w:t>
      </w:r>
      <w:r w:rsidR="008668EB" w:rsidRPr="009768A3">
        <w:rPr>
          <w:b/>
          <w:sz w:val="22"/>
          <w:szCs w:val="22"/>
        </w:rPr>
        <w:t xml:space="preserve"> </w:t>
      </w:r>
      <w:r w:rsidR="006E7A5A" w:rsidRPr="009768A3">
        <w:rPr>
          <w:b/>
          <w:sz w:val="22"/>
          <w:szCs w:val="22"/>
        </w:rPr>
        <w:t xml:space="preserve">57 </w:t>
      </w:r>
      <w:r w:rsidR="008668EB" w:rsidRPr="009768A3">
        <w:rPr>
          <w:b/>
          <w:sz w:val="22"/>
          <w:szCs w:val="22"/>
        </w:rPr>
        <w:t>a 5</w:t>
      </w:r>
      <w:r w:rsidR="006E7A5A" w:rsidRPr="009768A3">
        <w:rPr>
          <w:b/>
          <w:sz w:val="22"/>
          <w:szCs w:val="22"/>
        </w:rPr>
        <w:t>8</w:t>
      </w:r>
    </w:p>
    <w:p w14:paraId="5469359A" w14:textId="77777777" w:rsidR="00844548" w:rsidRPr="009768A3" w:rsidRDefault="00844548" w:rsidP="00BB6036">
      <w:pPr>
        <w:widowControl/>
        <w:jc w:val="both"/>
        <w:rPr>
          <w:sz w:val="22"/>
          <w:szCs w:val="22"/>
        </w:rPr>
      </w:pPr>
    </w:p>
    <w:p w14:paraId="633A30A8" w14:textId="77777777" w:rsidR="00BB6036" w:rsidRPr="009768A3" w:rsidRDefault="00BB6036" w:rsidP="009768A3">
      <w:pPr>
        <w:widowControl/>
        <w:ind w:firstLine="720"/>
        <w:jc w:val="both"/>
        <w:rPr>
          <w:sz w:val="22"/>
          <w:szCs w:val="22"/>
        </w:rPr>
      </w:pPr>
      <w:r w:rsidRPr="009768A3">
        <w:rPr>
          <w:sz w:val="22"/>
          <w:szCs w:val="22"/>
        </w:rPr>
        <w:t xml:space="preserve">Ide o legislatívno-technickú úpravu súvisiacu </w:t>
      </w:r>
      <w:r w:rsidR="00623DC9" w:rsidRPr="009768A3">
        <w:rPr>
          <w:bCs/>
          <w:sz w:val="22"/>
          <w:szCs w:val="22"/>
        </w:rPr>
        <w:t>so zavedením nových účelov podpory</w:t>
      </w:r>
      <w:r w:rsidRPr="009768A3">
        <w:rPr>
          <w:sz w:val="22"/>
          <w:szCs w:val="22"/>
        </w:rPr>
        <w:t>.</w:t>
      </w:r>
    </w:p>
    <w:p w14:paraId="4A698375" w14:textId="77777777" w:rsidR="005D5590" w:rsidRPr="009768A3" w:rsidRDefault="005D5590" w:rsidP="00215A68">
      <w:pPr>
        <w:widowControl/>
        <w:jc w:val="both"/>
        <w:rPr>
          <w:b/>
          <w:sz w:val="22"/>
          <w:szCs w:val="22"/>
        </w:rPr>
      </w:pPr>
    </w:p>
    <w:p w14:paraId="4CE504F5" w14:textId="1B724983" w:rsidR="00434610" w:rsidRPr="009768A3" w:rsidRDefault="00434610" w:rsidP="00215A68">
      <w:pPr>
        <w:widowControl/>
        <w:jc w:val="both"/>
        <w:rPr>
          <w:b/>
          <w:sz w:val="22"/>
          <w:szCs w:val="22"/>
        </w:rPr>
      </w:pPr>
      <w:r w:rsidRPr="009768A3">
        <w:rPr>
          <w:b/>
          <w:sz w:val="22"/>
          <w:szCs w:val="22"/>
        </w:rPr>
        <w:t>K bod</w:t>
      </w:r>
      <w:r w:rsidR="00623DC9" w:rsidRPr="009768A3">
        <w:rPr>
          <w:b/>
          <w:sz w:val="22"/>
          <w:szCs w:val="22"/>
        </w:rPr>
        <w:t>om</w:t>
      </w:r>
      <w:r w:rsidRPr="009768A3">
        <w:rPr>
          <w:b/>
          <w:sz w:val="22"/>
          <w:szCs w:val="22"/>
        </w:rPr>
        <w:t xml:space="preserve"> </w:t>
      </w:r>
      <w:r w:rsidR="00623DC9" w:rsidRPr="009768A3">
        <w:rPr>
          <w:b/>
          <w:sz w:val="22"/>
          <w:szCs w:val="22"/>
        </w:rPr>
        <w:t>5</w:t>
      </w:r>
      <w:r w:rsidR="006E7A5A" w:rsidRPr="009768A3">
        <w:rPr>
          <w:b/>
          <w:sz w:val="22"/>
          <w:szCs w:val="22"/>
        </w:rPr>
        <w:t>9</w:t>
      </w:r>
      <w:r w:rsidR="00623DC9" w:rsidRPr="009768A3">
        <w:rPr>
          <w:b/>
          <w:sz w:val="22"/>
          <w:szCs w:val="22"/>
        </w:rPr>
        <w:t xml:space="preserve"> a </w:t>
      </w:r>
      <w:r w:rsidR="005C45EC" w:rsidRPr="009768A3">
        <w:rPr>
          <w:b/>
          <w:sz w:val="22"/>
          <w:szCs w:val="22"/>
        </w:rPr>
        <w:t>6</w:t>
      </w:r>
      <w:r w:rsidR="006E7A5A" w:rsidRPr="009768A3">
        <w:rPr>
          <w:b/>
          <w:sz w:val="22"/>
          <w:szCs w:val="22"/>
        </w:rPr>
        <w:t>2</w:t>
      </w:r>
    </w:p>
    <w:p w14:paraId="08FC0299" w14:textId="77777777" w:rsidR="00844548" w:rsidRPr="009768A3" w:rsidRDefault="00844548" w:rsidP="005C2365">
      <w:pPr>
        <w:jc w:val="both"/>
        <w:rPr>
          <w:sz w:val="22"/>
          <w:szCs w:val="22"/>
        </w:rPr>
      </w:pPr>
    </w:p>
    <w:p w14:paraId="46FC6805" w14:textId="1F64D659" w:rsidR="00623DC9" w:rsidRPr="009768A3" w:rsidRDefault="00434610" w:rsidP="009768A3">
      <w:pPr>
        <w:ind w:firstLine="720"/>
        <w:jc w:val="both"/>
        <w:rPr>
          <w:sz w:val="22"/>
          <w:szCs w:val="22"/>
        </w:rPr>
      </w:pPr>
      <w:r w:rsidRPr="009768A3">
        <w:rPr>
          <w:sz w:val="22"/>
          <w:szCs w:val="22"/>
        </w:rPr>
        <w:t>V nadväznosti na úpravu záväzkov žiadateľa a zr</w:t>
      </w:r>
      <w:r w:rsidR="00CF5621" w:rsidRPr="009768A3">
        <w:rPr>
          <w:sz w:val="22"/>
          <w:szCs w:val="22"/>
        </w:rPr>
        <w:t>i</w:t>
      </w:r>
      <w:r w:rsidRPr="009768A3">
        <w:rPr>
          <w:sz w:val="22"/>
          <w:szCs w:val="22"/>
        </w:rPr>
        <w:t xml:space="preserve">adenie povinného záložného práva na účel poskytnutia úveru sa </w:t>
      </w:r>
      <w:r w:rsidR="00623DC9" w:rsidRPr="009768A3">
        <w:rPr>
          <w:sz w:val="22"/>
          <w:szCs w:val="22"/>
        </w:rPr>
        <w:t>upravila</w:t>
      </w:r>
      <w:r w:rsidRPr="009768A3">
        <w:rPr>
          <w:sz w:val="22"/>
          <w:szCs w:val="22"/>
        </w:rPr>
        <w:t xml:space="preserve"> sankcia vo forme odvodu.</w:t>
      </w:r>
      <w:r w:rsidR="00C976FC" w:rsidRPr="009768A3">
        <w:rPr>
          <w:sz w:val="22"/>
          <w:szCs w:val="22"/>
        </w:rPr>
        <w:t xml:space="preserve"> </w:t>
      </w:r>
      <w:r w:rsidR="00FA6B52" w:rsidRPr="009768A3">
        <w:rPr>
          <w:sz w:val="22"/>
          <w:szCs w:val="22"/>
        </w:rPr>
        <w:t>Za nezriadenie</w:t>
      </w:r>
      <w:r w:rsidRPr="009768A3">
        <w:rPr>
          <w:sz w:val="22"/>
          <w:szCs w:val="22"/>
        </w:rPr>
        <w:t xml:space="preserve"> </w:t>
      </w:r>
      <w:r w:rsidR="00FA6B52" w:rsidRPr="009768A3">
        <w:rPr>
          <w:sz w:val="22"/>
          <w:szCs w:val="22"/>
        </w:rPr>
        <w:t xml:space="preserve">alebo nedodržanie podmienky zachovania nájomného charakteru bytov alebo nedodržanie podmienky minimálneho času na poskytovanie sociálnych služieb v zariadeniach sociálnych služieb, alebo na poskytovanie ubytovania v ubytovacom dome alebo internáte sa navrhuje sankcia vo výške vrátenia nesplatenej časti úveru a odvod až do výšky 100 % poskytnutého úveru v závislosti od </w:t>
      </w:r>
      <w:r w:rsidR="002E16CC" w:rsidRPr="009768A3">
        <w:rPr>
          <w:sz w:val="22"/>
          <w:szCs w:val="22"/>
        </w:rPr>
        <w:t>dĺžky</w:t>
      </w:r>
      <w:r w:rsidR="00FA6B52" w:rsidRPr="009768A3">
        <w:rPr>
          <w:sz w:val="22"/>
          <w:szCs w:val="22"/>
        </w:rPr>
        <w:t xml:space="preserve"> obdobia</w:t>
      </w:r>
      <w:r w:rsidR="006D6154" w:rsidRPr="009768A3">
        <w:rPr>
          <w:sz w:val="22"/>
          <w:szCs w:val="22"/>
        </w:rPr>
        <w:t xml:space="preserve"> od vzniku porušenia tejto podmienky</w:t>
      </w:r>
      <w:r w:rsidR="00FA6B52" w:rsidRPr="009768A3">
        <w:rPr>
          <w:sz w:val="22"/>
          <w:szCs w:val="22"/>
        </w:rPr>
        <w:t>.</w:t>
      </w:r>
    </w:p>
    <w:p w14:paraId="5C2F69BF" w14:textId="77777777" w:rsidR="00E960E9" w:rsidRPr="009768A3" w:rsidRDefault="00623DC9" w:rsidP="005C2365">
      <w:pPr>
        <w:jc w:val="both"/>
        <w:rPr>
          <w:sz w:val="22"/>
          <w:szCs w:val="22"/>
        </w:rPr>
      </w:pPr>
      <w:r w:rsidRPr="009768A3">
        <w:rPr>
          <w:sz w:val="22"/>
          <w:szCs w:val="22"/>
        </w:rPr>
        <w:t>Prechodné u</w:t>
      </w:r>
      <w:r w:rsidR="00434610" w:rsidRPr="009768A3">
        <w:rPr>
          <w:sz w:val="22"/>
          <w:szCs w:val="22"/>
        </w:rPr>
        <w:t>stanovenie upravuje, že táto zmena sa nevzťahuje na</w:t>
      </w:r>
      <w:r w:rsidR="007D2BF2" w:rsidRPr="009768A3">
        <w:rPr>
          <w:sz w:val="22"/>
          <w:szCs w:val="22"/>
        </w:rPr>
        <w:t> </w:t>
      </w:r>
      <w:r w:rsidR="00434610" w:rsidRPr="009768A3">
        <w:rPr>
          <w:sz w:val="22"/>
          <w:szCs w:val="22"/>
        </w:rPr>
        <w:t>existujúce zmluvy</w:t>
      </w:r>
      <w:r w:rsidR="00A5774B" w:rsidRPr="009768A3">
        <w:rPr>
          <w:sz w:val="22"/>
          <w:szCs w:val="22"/>
        </w:rPr>
        <w:t xml:space="preserve"> a fond postupuje v týchto prípadoch podľa predpisu účinného do 3</w:t>
      </w:r>
      <w:r w:rsidR="005C45EC" w:rsidRPr="009768A3">
        <w:rPr>
          <w:sz w:val="22"/>
          <w:szCs w:val="22"/>
        </w:rPr>
        <w:t>1</w:t>
      </w:r>
      <w:r w:rsidR="00A5774B" w:rsidRPr="009768A3">
        <w:rPr>
          <w:sz w:val="22"/>
          <w:szCs w:val="22"/>
        </w:rPr>
        <w:t>.</w:t>
      </w:r>
      <w:r w:rsidR="00D1006D" w:rsidRPr="009768A3">
        <w:rPr>
          <w:sz w:val="22"/>
          <w:szCs w:val="22"/>
        </w:rPr>
        <w:t> </w:t>
      </w:r>
      <w:r w:rsidR="005C45EC" w:rsidRPr="009768A3">
        <w:rPr>
          <w:sz w:val="22"/>
          <w:szCs w:val="22"/>
        </w:rPr>
        <w:t>decembra</w:t>
      </w:r>
      <w:r w:rsidR="00A5774B" w:rsidRPr="009768A3">
        <w:rPr>
          <w:sz w:val="22"/>
          <w:szCs w:val="22"/>
        </w:rPr>
        <w:t xml:space="preserve"> 202</w:t>
      </w:r>
      <w:r w:rsidR="00E64772" w:rsidRPr="009768A3">
        <w:rPr>
          <w:sz w:val="22"/>
          <w:szCs w:val="22"/>
        </w:rPr>
        <w:t>5</w:t>
      </w:r>
      <w:r w:rsidR="00A5774B" w:rsidRPr="009768A3">
        <w:rPr>
          <w:sz w:val="22"/>
          <w:szCs w:val="22"/>
        </w:rPr>
        <w:t xml:space="preserve">. </w:t>
      </w:r>
    </w:p>
    <w:p w14:paraId="21F8ADBD" w14:textId="77777777" w:rsidR="005C2365" w:rsidRPr="009768A3" w:rsidRDefault="005C2365" w:rsidP="005C2365">
      <w:pPr>
        <w:jc w:val="both"/>
        <w:rPr>
          <w:b/>
          <w:sz w:val="22"/>
          <w:szCs w:val="22"/>
        </w:rPr>
      </w:pPr>
    </w:p>
    <w:p w14:paraId="5C2DEDF8" w14:textId="0A7AEDDA" w:rsidR="000C75AE" w:rsidRPr="009768A3" w:rsidRDefault="000C75AE" w:rsidP="000C75AE">
      <w:pPr>
        <w:widowControl/>
        <w:jc w:val="both"/>
        <w:rPr>
          <w:b/>
          <w:sz w:val="22"/>
          <w:szCs w:val="22"/>
        </w:rPr>
      </w:pPr>
      <w:r w:rsidRPr="009768A3">
        <w:rPr>
          <w:b/>
          <w:sz w:val="22"/>
          <w:szCs w:val="22"/>
        </w:rPr>
        <w:t xml:space="preserve">K bodu </w:t>
      </w:r>
      <w:r w:rsidR="005C45EC" w:rsidRPr="009768A3">
        <w:rPr>
          <w:b/>
          <w:sz w:val="22"/>
          <w:szCs w:val="22"/>
        </w:rPr>
        <w:t>6</w:t>
      </w:r>
      <w:r w:rsidR="006E7A5A" w:rsidRPr="009768A3">
        <w:rPr>
          <w:b/>
          <w:sz w:val="22"/>
          <w:szCs w:val="22"/>
        </w:rPr>
        <w:t>3</w:t>
      </w:r>
    </w:p>
    <w:p w14:paraId="690F39C7" w14:textId="77777777" w:rsidR="00844548" w:rsidRPr="009768A3" w:rsidRDefault="00844548" w:rsidP="000C75AE">
      <w:pPr>
        <w:jc w:val="both"/>
        <w:rPr>
          <w:sz w:val="22"/>
          <w:szCs w:val="22"/>
        </w:rPr>
      </w:pPr>
    </w:p>
    <w:p w14:paraId="08287CB6" w14:textId="77777777" w:rsidR="000C75AE" w:rsidRPr="009768A3" w:rsidRDefault="000C75AE" w:rsidP="009768A3">
      <w:pPr>
        <w:ind w:firstLine="720"/>
        <w:jc w:val="both"/>
        <w:rPr>
          <w:sz w:val="22"/>
          <w:szCs w:val="22"/>
        </w:rPr>
      </w:pPr>
      <w:r w:rsidRPr="009768A3">
        <w:rPr>
          <w:sz w:val="22"/>
          <w:szCs w:val="22"/>
        </w:rPr>
        <w:t xml:space="preserve">Navrhujeme upresnenie miest na prekladanie žiadostí o podporu v prípade mesta Bratislava a mesta Košice. </w:t>
      </w:r>
    </w:p>
    <w:p w14:paraId="1444F76F" w14:textId="77777777" w:rsidR="005C45EC" w:rsidRPr="009768A3" w:rsidRDefault="005C45EC" w:rsidP="005C45EC">
      <w:pPr>
        <w:widowControl/>
        <w:jc w:val="both"/>
        <w:rPr>
          <w:b/>
          <w:sz w:val="22"/>
          <w:szCs w:val="22"/>
        </w:rPr>
      </w:pPr>
    </w:p>
    <w:p w14:paraId="34D52256" w14:textId="29036DB5" w:rsidR="005C45EC" w:rsidRPr="009768A3" w:rsidRDefault="005C45EC" w:rsidP="005C45EC">
      <w:pPr>
        <w:widowControl/>
        <w:jc w:val="both"/>
        <w:rPr>
          <w:b/>
          <w:sz w:val="22"/>
          <w:szCs w:val="22"/>
        </w:rPr>
      </w:pPr>
      <w:r w:rsidRPr="009768A3">
        <w:rPr>
          <w:b/>
          <w:sz w:val="22"/>
          <w:szCs w:val="22"/>
        </w:rPr>
        <w:t>K bodu 6</w:t>
      </w:r>
      <w:r w:rsidR="006E7A5A" w:rsidRPr="009768A3">
        <w:rPr>
          <w:b/>
          <w:sz w:val="22"/>
          <w:szCs w:val="22"/>
        </w:rPr>
        <w:t>4</w:t>
      </w:r>
    </w:p>
    <w:p w14:paraId="6F92FBE1" w14:textId="77777777" w:rsidR="00844548" w:rsidRPr="009768A3" w:rsidRDefault="00844548" w:rsidP="005C2365">
      <w:pPr>
        <w:jc w:val="both"/>
        <w:rPr>
          <w:bCs/>
          <w:sz w:val="22"/>
          <w:szCs w:val="22"/>
        </w:rPr>
      </w:pPr>
    </w:p>
    <w:p w14:paraId="74D5E13E" w14:textId="77777777" w:rsidR="000C75AE" w:rsidRPr="009768A3" w:rsidRDefault="005C45EC" w:rsidP="009768A3">
      <w:pPr>
        <w:ind w:firstLine="720"/>
        <w:jc w:val="both"/>
        <w:rPr>
          <w:bCs/>
          <w:sz w:val="22"/>
          <w:szCs w:val="22"/>
        </w:rPr>
      </w:pPr>
      <w:r w:rsidRPr="009768A3">
        <w:rPr>
          <w:bCs/>
          <w:sz w:val="22"/>
          <w:szCs w:val="22"/>
        </w:rPr>
        <w:t>Ide o legislatívno-technickú úpra</w:t>
      </w:r>
      <w:r w:rsidR="006D6154" w:rsidRPr="009768A3">
        <w:rPr>
          <w:bCs/>
          <w:sz w:val="22"/>
          <w:szCs w:val="22"/>
        </w:rPr>
        <w:t>vu a zosúladenie zákonnej úpravy</w:t>
      </w:r>
      <w:r w:rsidRPr="009768A3">
        <w:rPr>
          <w:bCs/>
          <w:sz w:val="22"/>
          <w:szCs w:val="22"/>
        </w:rPr>
        <w:t xml:space="preserve"> označovania okresov.</w:t>
      </w:r>
    </w:p>
    <w:p w14:paraId="4C2F0720" w14:textId="77777777" w:rsidR="005C45EC" w:rsidRPr="009768A3" w:rsidRDefault="005C45EC" w:rsidP="005C2365">
      <w:pPr>
        <w:jc w:val="both"/>
        <w:rPr>
          <w:b/>
          <w:sz w:val="22"/>
          <w:szCs w:val="22"/>
        </w:rPr>
      </w:pPr>
    </w:p>
    <w:p w14:paraId="43313D5A" w14:textId="77777777" w:rsidR="004F7FF3" w:rsidRPr="009768A3" w:rsidRDefault="004F7FF3" w:rsidP="004F7FF3">
      <w:pPr>
        <w:jc w:val="both"/>
        <w:rPr>
          <w:b/>
          <w:sz w:val="22"/>
          <w:szCs w:val="22"/>
        </w:rPr>
      </w:pPr>
      <w:r w:rsidRPr="009768A3">
        <w:rPr>
          <w:b/>
          <w:sz w:val="22"/>
          <w:szCs w:val="22"/>
        </w:rPr>
        <w:t>Čl. II</w:t>
      </w:r>
    </w:p>
    <w:p w14:paraId="515B08CD" w14:textId="77777777" w:rsidR="000C75AE" w:rsidRPr="009768A3" w:rsidRDefault="000C75AE" w:rsidP="004F7FF3">
      <w:pPr>
        <w:jc w:val="both"/>
        <w:rPr>
          <w:b/>
          <w:sz w:val="22"/>
          <w:szCs w:val="22"/>
        </w:rPr>
      </w:pPr>
    </w:p>
    <w:p w14:paraId="2C6D7452" w14:textId="77777777" w:rsidR="004F7FF3" w:rsidRPr="009768A3" w:rsidRDefault="004F7FF3" w:rsidP="004F7FF3">
      <w:pPr>
        <w:jc w:val="both"/>
        <w:rPr>
          <w:b/>
          <w:sz w:val="22"/>
          <w:szCs w:val="22"/>
        </w:rPr>
      </w:pPr>
      <w:r w:rsidRPr="009768A3">
        <w:rPr>
          <w:b/>
          <w:sz w:val="22"/>
          <w:szCs w:val="22"/>
        </w:rPr>
        <w:t xml:space="preserve">K bodu </w:t>
      </w:r>
      <w:r w:rsidR="000168DC" w:rsidRPr="009768A3">
        <w:rPr>
          <w:b/>
          <w:sz w:val="22"/>
          <w:szCs w:val="22"/>
        </w:rPr>
        <w:t>1</w:t>
      </w:r>
      <w:r w:rsidRPr="009768A3">
        <w:rPr>
          <w:b/>
          <w:sz w:val="22"/>
          <w:szCs w:val="22"/>
        </w:rPr>
        <w:t xml:space="preserve"> a </w:t>
      </w:r>
      <w:r w:rsidR="00AC4138" w:rsidRPr="009768A3">
        <w:rPr>
          <w:b/>
          <w:sz w:val="22"/>
          <w:szCs w:val="22"/>
        </w:rPr>
        <w:t>4</w:t>
      </w:r>
    </w:p>
    <w:p w14:paraId="7E142B14" w14:textId="77777777" w:rsidR="00844548" w:rsidRPr="009768A3" w:rsidRDefault="00844548" w:rsidP="004F7FF3">
      <w:pPr>
        <w:jc w:val="both"/>
        <w:rPr>
          <w:sz w:val="22"/>
          <w:szCs w:val="22"/>
        </w:rPr>
      </w:pPr>
    </w:p>
    <w:p w14:paraId="66C58E6E" w14:textId="77777777" w:rsidR="004F7FF3" w:rsidRPr="009768A3" w:rsidRDefault="004F7FF3" w:rsidP="009768A3">
      <w:pPr>
        <w:ind w:firstLine="720"/>
        <w:jc w:val="both"/>
        <w:rPr>
          <w:sz w:val="22"/>
          <w:szCs w:val="22"/>
        </w:rPr>
      </w:pPr>
      <w:r w:rsidRPr="009768A3">
        <w:rPr>
          <w:sz w:val="22"/>
          <w:szCs w:val="22"/>
        </w:rPr>
        <w:t>Navrhuje sa odstránenie duplicitnej kontroly týkajúcej sa technických požiadaviek na stavby v oblasti minimálnych technických požiadaviek na energetickú hospodárnosť budov podľa zákona č. 555/2005 Z. z. o energetickej hospodárnosti budov a o zmene a doplnení niektorých zákonov v znení neskorších predpisov. Cieľom je urýchlenie procesu posudzovania žiadosti o poskytnutie dotácie, keďže plnenie požiadaviek na energetickú hospodárnosť je predmetom skúmania v rámci projektovania a konania o povolení stavby a nie je potrebné jeho opätovné osobitné skúmanie v rámci procesu posudzovania žiadosti o poskytn</w:t>
      </w:r>
      <w:r w:rsidR="00A3229B" w:rsidRPr="009768A3">
        <w:rPr>
          <w:sz w:val="22"/>
          <w:szCs w:val="22"/>
        </w:rPr>
        <w:t>utie dotácie na rozvoj bývania.</w:t>
      </w:r>
    </w:p>
    <w:p w14:paraId="43F60F04" w14:textId="77777777" w:rsidR="000C75AE" w:rsidRPr="009768A3" w:rsidRDefault="000C75AE" w:rsidP="004F7FF3">
      <w:pPr>
        <w:jc w:val="both"/>
        <w:rPr>
          <w:sz w:val="22"/>
          <w:szCs w:val="22"/>
        </w:rPr>
      </w:pPr>
    </w:p>
    <w:p w14:paraId="51AAEC5C" w14:textId="77777777" w:rsidR="007D2BF2" w:rsidRPr="009768A3" w:rsidRDefault="007D2BF2" w:rsidP="007D2BF2">
      <w:pPr>
        <w:jc w:val="both"/>
        <w:rPr>
          <w:b/>
          <w:sz w:val="22"/>
          <w:szCs w:val="22"/>
        </w:rPr>
      </w:pPr>
      <w:r w:rsidRPr="009768A3">
        <w:rPr>
          <w:b/>
          <w:sz w:val="22"/>
          <w:szCs w:val="22"/>
        </w:rPr>
        <w:t xml:space="preserve">K bodu </w:t>
      </w:r>
      <w:r w:rsidR="00AC4138" w:rsidRPr="009768A3">
        <w:rPr>
          <w:b/>
          <w:sz w:val="22"/>
          <w:szCs w:val="22"/>
        </w:rPr>
        <w:t>2</w:t>
      </w:r>
    </w:p>
    <w:p w14:paraId="253A7272" w14:textId="77777777" w:rsidR="00844548" w:rsidRPr="009768A3" w:rsidRDefault="00844548" w:rsidP="007D2BF2">
      <w:pPr>
        <w:jc w:val="both"/>
        <w:rPr>
          <w:sz w:val="22"/>
          <w:szCs w:val="22"/>
        </w:rPr>
      </w:pPr>
    </w:p>
    <w:p w14:paraId="4E453DE7" w14:textId="77777777" w:rsidR="007D2BF2" w:rsidRPr="009768A3" w:rsidRDefault="007D2BF2" w:rsidP="009768A3">
      <w:pPr>
        <w:ind w:firstLine="720"/>
        <w:jc w:val="both"/>
        <w:rPr>
          <w:sz w:val="22"/>
          <w:szCs w:val="22"/>
        </w:rPr>
      </w:pPr>
      <w:r w:rsidRPr="009768A3">
        <w:rPr>
          <w:sz w:val="22"/>
          <w:szCs w:val="22"/>
        </w:rPr>
        <w:t>Legislatívno-technická úprava.</w:t>
      </w:r>
    </w:p>
    <w:p w14:paraId="5164B37D" w14:textId="77777777" w:rsidR="007D2BF2" w:rsidRPr="009768A3" w:rsidRDefault="007D2BF2" w:rsidP="007D2BF2">
      <w:pPr>
        <w:jc w:val="both"/>
        <w:rPr>
          <w:sz w:val="22"/>
          <w:szCs w:val="22"/>
        </w:rPr>
      </w:pPr>
    </w:p>
    <w:p w14:paraId="1F46A3D2" w14:textId="77777777" w:rsidR="000C75AE" w:rsidRPr="009768A3" w:rsidRDefault="000C75AE" w:rsidP="000C75AE">
      <w:pPr>
        <w:jc w:val="both"/>
        <w:rPr>
          <w:b/>
          <w:sz w:val="22"/>
          <w:szCs w:val="22"/>
        </w:rPr>
      </w:pPr>
      <w:r w:rsidRPr="009768A3">
        <w:rPr>
          <w:b/>
          <w:sz w:val="22"/>
          <w:szCs w:val="22"/>
        </w:rPr>
        <w:t xml:space="preserve">K bodu </w:t>
      </w:r>
      <w:r w:rsidR="00AC4138" w:rsidRPr="009768A3">
        <w:rPr>
          <w:b/>
          <w:sz w:val="22"/>
          <w:szCs w:val="22"/>
        </w:rPr>
        <w:t>3</w:t>
      </w:r>
    </w:p>
    <w:p w14:paraId="740767DB" w14:textId="77777777" w:rsidR="00844548" w:rsidRPr="009768A3" w:rsidRDefault="00844548" w:rsidP="004F7FF3">
      <w:pPr>
        <w:jc w:val="both"/>
        <w:rPr>
          <w:sz w:val="22"/>
          <w:szCs w:val="22"/>
        </w:rPr>
      </w:pPr>
    </w:p>
    <w:p w14:paraId="5B284214" w14:textId="253DC8BE" w:rsidR="000C75AE" w:rsidRPr="009768A3" w:rsidRDefault="000C75AE" w:rsidP="009768A3">
      <w:pPr>
        <w:ind w:firstLine="720"/>
        <w:jc w:val="both"/>
        <w:rPr>
          <w:sz w:val="22"/>
          <w:szCs w:val="22"/>
        </w:rPr>
      </w:pPr>
      <w:r w:rsidRPr="009768A3">
        <w:rPr>
          <w:sz w:val="22"/>
          <w:szCs w:val="22"/>
        </w:rPr>
        <w:t xml:space="preserve">Navrhujeme upresnenie povinnosti žiadateľa uzavrieť zmluvu o budúcej kúpnej zmluve so stavebníkom, teda s tým, kto má v úmysle uskutočňovať stavebné práce, a to odo dňa začatia zabezpečovania podkladov pre konanie až do dňa vydania kolaudačného osvedčenia a je vlastníkom pozemku alebo stavby, na ktorých sa majú uskutočniť stavebné práce alebo má iné práva k pozemkom a stavbám, na ktorých sa majú uskutočniť stavebné práce. </w:t>
      </w:r>
      <w:r w:rsidR="00F74D9F">
        <w:rPr>
          <w:sz w:val="22"/>
          <w:szCs w:val="22"/>
        </w:rPr>
        <w:t>Cieľom tejto legislatívnej úpravy je zjednodušenie prístupu žiadateľa (obce, VÚC</w:t>
      </w:r>
      <w:r w:rsidR="00E250FE">
        <w:rPr>
          <w:sz w:val="22"/>
          <w:szCs w:val="22"/>
        </w:rPr>
        <w:t>, neziskovej organizácie</w:t>
      </w:r>
      <w:r w:rsidR="00F74D9F">
        <w:rPr>
          <w:sz w:val="22"/>
          <w:szCs w:val="22"/>
        </w:rPr>
        <w:t>) k obstaraniu bytu, nakoľko vlastníkom obstarávaného bytu nie je zhotoviteľ, ale vo väčšine prípadov stavebník (</w:t>
      </w:r>
      <w:proofErr w:type="spellStart"/>
      <w:r w:rsidR="00F74D9F">
        <w:rPr>
          <w:sz w:val="22"/>
          <w:szCs w:val="22"/>
        </w:rPr>
        <w:t>developer</w:t>
      </w:r>
      <w:proofErr w:type="spellEnd"/>
      <w:r w:rsidR="00F74D9F">
        <w:rPr>
          <w:sz w:val="22"/>
          <w:szCs w:val="22"/>
        </w:rPr>
        <w:t>), ktorý tieto byty predáva.</w:t>
      </w:r>
    </w:p>
    <w:p w14:paraId="327BED7B" w14:textId="77777777" w:rsidR="004F7FF3" w:rsidRPr="009768A3" w:rsidRDefault="004F7FF3" w:rsidP="004F7FF3">
      <w:pPr>
        <w:jc w:val="both"/>
        <w:rPr>
          <w:sz w:val="22"/>
          <w:szCs w:val="22"/>
        </w:rPr>
      </w:pPr>
    </w:p>
    <w:p w14:paraId="575256F5" w14:textId="77777777" w:rsidR="004F7FF3" w:rsidRPr="009768A3" w:rsidRDefault="004F7FF3" w:rsidP="004F7FF3">
      <w:pPr>
        <w:jc w:val="both"/>
        <w:rPr>
          <w:b/>
          <w:sz w:val="22"/>
          <w:szCs w:val="22"/>
        </w:rPr>
      </w:pPr>
      <w:r w:rsidRPr="009768A3">
        <w:rPr>
          <w:b/>
          <w:sz w:val="22"/>
          <w:szCs w:val="22"/>
        </w:rPr>
        <w:t>K</w:t>
      </w:r>
      <w:r w:rsidR="00AC4138" w:rsidRPr="009768A3">
        <w:rPr>
          <w:b/>
          <w:sz w:val="22"/>
          <w:szCs w:val="22"/>
        </w:rPr>
        <w:t> </w:t>
      </w:r>
      <w:r w:rsidRPr="009768A3">
        <w:rPr>
          <w:b/>
          <w:sz w:val="22"/>
          <w:szCs w:val="22"/>
        </w:rPr>
        <w:t>bodu</w:t>
      </w:r>
      <w:r w:rsidR="00AC4138" w:rsidRPr="009768A3">
        <w:rPr>
          <w:b/>
          <w:sz w:val="22"/>
          <w:szCs w:val="22"/>
        </w:rPr>
        <w:t xml:space="preserve"> 5</w:t>
      </w:r>
    </w:p>
    <w:p w14:paraId="0CDED597" w14:textId="77777777" w:rsidR="00844548" w:rsidRPr="009768A3" w:rsidRDefault="00844548" w:rsidP="004F7FF3">
      <w:pPr>
        <w:jc w:val="both"/>
        <w:rPr>
          <w:sz w:val="22"/>
          <w:szCs w:val="22"/>
        </w:rPr>
      </w:pPr>
    </w:p>
    <w:p w14:paraId="5BB4BA80" w14:textId="77777777" w:rsidR="004F7FF3" w:rsidRPr="009768A3" w:rsidRDefault="004F7FF3" w:rsidP="009768A3">
      <w:pPr>
        <w:ind w:firstLine="720"/>
        <w:jc w:val="both"/>
        <w:rPr>
          <w:b/>
          <w:sz w:val="22"/>
          <w:szCs w:val="22"/>
        </w:rPr>
      </w:pPr>
      <w:r w:rsidRPr="009768A3">
        <w:rPr>
          <w:sz w:val="22"/>
          <w:szCs w:val="22"/>
        </w:rPr>
        <w:t>Navrhuje sa zvýšenie odvodu za nedodržanie podmienky zachovania nájomného charakteru bytov podľa § 11 ods. 1 písm. a) bodu 4 zákona č. 443/2010 Z. z.</w:t>
      </w:r>
    </w:p>
    <w:p w14:paraId="3F63A6A1" w14:textId="77777777" w:rsidR="004F7FF3" w:rsidRPr="009768A3" w:rsidRDefault="004F7FF3" w:rsidP="004F7FF3">
      <w:pPr>
        <w:jc w:val="both"/>
        <w:rPr>
          <w:b/>
          <w:sz w:val="22"/>
          <w:szCs w:val="22"/>
        </w:rPr>
      </w:pPr>
    </w:p>
    <w:p w14:paraId="6CFC3811" w14:textId="77777777" w:rsidR="004F7FF3" w:rsidRPr="009768A3" w:rsidRDefault="004F7FF3" w:rsidP="004F7FF3">
      <w:pPr>
        <w:jc w:val="both"/>
        <w:rPr>
          <w:b/>
          <w:sz w:val="22"/>
          <w:szCs w:val="22"/>
        </w:rPr>
      </w:pPr>
      <w:r w:rsidRPr="009768A3">
        <w:rPr>
          <w:b/>
          <w:sz w:val="22"/>
          <w:szCs w:val="22"/>
        </w:rPr>
        <w:t xml:space="preserve">K bodu </w:t>
      </w:r>
      <w:r w:rsidR="00AC4138" w:rsidRPr="009768A3">
        <w:rPr>
          <w:b/>
          <w:sz w:val="22"/>
          <w:szCs w:val="22"/>
        </w:rPr>
        <w:t>6</w:t>
      </w:r>
    </w:p>
    <w:p w14:paraId="22FFCC41" w14:textId="77777777" w:rsidR="00844548" w:rsidRPr="009768A3" w:rsidRDefault="00844548" w:rsidP="004F7FF3">
      <w:pPr>
        <w:jc w:val="both"/>
        <w:rPr>
          <w:sz w:val="22"/>
          <w:szCs w:val="22"/>
        </w:rPr>
      </w:pPr>
    </w:p>
    <w:p w14:paraId="4A4B98A1" w14:textId="77777777" w:rsidR="004F7FF3" w:rsidRPr="009768A3" w:rsidRDefault="004F7FF3" w:rsidP="009768A3">
      <w:pPr>
        <w:ind w:firstLine="720"/>
        <w:jc w:val="both"/>
        <w:rPr>
          <w:sz w:val="22"/>
          <w:szCs w:val="22"/>
        </w:rPr>
      </w:pPr>
      <w:r w:rsidRPr="009768A3">
        <w:rPr>
          <w:sz w:val="22"/>
          <w:szCs w:val="22"/>
        </w:rPr>
        <w:t>Navrhuje sa upraviť podmienky zverejňovania informácií ministerstvom z dôvodu, že ministerstvo zverejňuje informačné materiály s informáciami pre žiadateľa bezodkladne.</w:t>
      </w:r>
    </w:p>
    <w:p w14:paraId="512B291C" w14:textId="77777777" w:rsidR="004F7FF3" w:rsidRPr="009768A3" w:rsidRDefault="004F7FF3" w:rsidP="004F7FF3">
      <w:pPr>
        <w:jc w:val="both"/>
        <w:rPr>
          <w:b/>
          <w:sz w:val="22"/>
          <w:szCs w:val="22"/>
        </w:rPr>
      </w:pPr>
    </w:p>
    <w:p w14:paraId="7FD50217" w14:textId="77777777" w:rsidR="004F7FF3" w:rsidRPr="009768A3" w:rsidRDefault="004F7FF3" w:rsidP="004F7FF3">
      <w:pPr>
        <w:jc w:val="both"/>
        <w:rPr>
          <w:b/>
          <w:sz w:val="22"/>
          <w:szCs w:val="22"/>
        </w:rPr>
      </w:pPr>
      <w:r w:rsidRPr="009768A3">
        <w:rPr>
          <w:b/>
          <w:sz w:val="22"/>
          <w:szCs w:val="22"/>
        </w:rPr>
        <w:t xml:space="preserve">K bodu </w:t>
      </w:r>
      <w:r w:rsidR="00AC4138" w:rsidRPr="009768A3">
        <w:rPr>
          <w:b/>
          <w:sz w:val="22"/>
          <w:szCs w:val="22"/>
        </w:rPr>
        <w:t>7</w:t>
      </w:r>
    </w:p>
    <w:p w14:paraId="29BE3447" w14:textId="77777777" w:rsidR="00844548" w:rsidRPr="009768A3" w:rsidRDefault="00844548" w:rsidP="004F7FF3">
      <w:pPr>
        <w:jc w:val="both"/>
        <w:rPr>
          <w:sz w:val="22"/>
          <w:szCs w:val="22"/>
        </w:rPr>
      </w:pPr>
    </w:p>
    <w:p w14:paraId="00E84E74" w14:textId="77777777" w:rsidR="004F7FF3" w:rsidRPr="009768A3" w:rsidRDefault="004F7FF3" w:rsidP="009768A3">
      <w:pPr>
        <w:ind w:firstLine="720"/>
        <w:jc w:val="both"/>
        <w:rPr>
          <w:sz w:val="22"/>
          <w:szCs w:val="22"/>
        </w:rPr>
      </w:pPr>
      <w:r w:rsidRPr="009768A3">
        <w:rPr>
          <w:sz w:val="22"/>
          <w:szCs w:val="22"/>
        </w:rPr>
        <w:t>Navrhuje sa upraviť rozsah informácií zverejňovaných ministerstvom, keďže ministerstvo zverejňuje vyhodnotenie výsledkov už poskytnutých dotácií formou zverejňovania informačných prehľadov a zoznamov všetkých schválených aj neschválených žiadostí a uzavretých zmlúv spolu s informačnými materiálmi o poskytnu</w:t>
      </w:r>
      <w:r w:rsidR="00A3229B" w:rsidRPr="009768A3">
        <w:rPr>
          <w:sz w:val="22"/>
          <w:szCs w:val="22"/>
        </w:rPr>
        <w:t>tej podpore do oblasti bývania.</w:t>
      </w:r>
    </w:p>
    <w:p w14:paraId="6B1676A1" w14:textId="77777777" w:rsidR="00124C42" w:rsidRPr="009768A3" w:rsidRDefault="00124C42" w:rsidP="009768A3">
      <w:pPr>
        <w:ind w:firstLine="720"/>
        <w:jc w:val="both"/>
        <w:rPr>
          <w:sz w:val="22"/>
          <w:szCs w:val="22"/>
        </w:rPr>
      </w:pPr>
    </w:p>
    <w:p w14:paraId="57D1EB0F" w14:textId="77777777" w:rsidR="00124C42" w:rsidRPr="009768A3" w:rsidRDefault="00124C42" w:rsidP="00124C42">
      <w:pPr>
        <w:jc w:val="both"/>
        <w:rPr>
          <w:b/>
          <w:sz w:val="22"/>
          <w:szCs w:val="22"/>
        </w:rPr>
      </w:pPr>
      <w:r w:rsidRPr="009768A3">
        <w:rPr>
          <w:b/>
          <w:sz w:val="22"/>
          <w:szCs w:val="22"/>
        </w:rPr>
        <w:t>K bodu 8</w:t>
      </w:r>
    </w:p>
    <w:p w14:paraId="2B338B79" w14:textId="77777777" w:rsidR="00124C42" w:rsidRPr="009768A3" w:rsidRDefault="00124C42" w:rsidP="00124C42">
      <w:pPr>
        <w:jc w:val="both"/>
        <w:rPr>
          <w:sz w:val="22"/>
          <w:szCs w:val="22"/>
        </w:rPr>
      </w:pPr>
    </w:p>
    <w:p w14:paraId="737A5F72" w14:textId="77777777" w:rsidR="00124C42" w:rsidRPr="009768A3" w:rsidRDefault="00124C42" w:rsidP="009768A3">
      <w:pPr>
        <w:ind w:firstLine="720"/>
        <w:jc w:val="both"/>
        <w:rPr>
          <w:sz w:val="22"/>
          <w:szCs w:val="22"/>
        </w:rPr>
      </w:pPr>
      <w:r w:rsidRPr="009768A3">
        <w:rPr>
          <w:sz w:val="22"/>
          <w:szCs w:val="22"/>
        </w:rPr>
        <w:t>Legislatívno-technická úprava súvisiaca s bodom 4.</w:t>
      </w:r>
    </w:p>
    <w:p w14:paraId="38AC84FC" w14:textId="77777777" w:rsidR="00C73106" w:rsidRPr="009768A3" w:rsidRDefault="00C73106" w:rsidP="004F7FF3">
      <w:pPr>
        <w:jc w:val="both"/>
        <w:rPr>
          <w:b/>
          <w:sz w:val="22"/>
          <w:szCs w:val="22"/>
        </w:rPr>
      </w:pPr>
    </w:p>
    <w:p w14:paraId="4D769907" w14:textId="2D691469" w:rsidR="00084C5E" w:rsidRPr="009768A3" w:rsidRDefault="00084C5E" w:rsidP="00084C5E">
      <w:pPr>
        <w:jc w:val="both"/>
        <w:rPr>
          <w:b/>
          <w:sz w:val="22"/>
          <w:szCs w:val="22"/>
        </w:rPr>
      </w:pPr>
      <w:r w:rsidRPr="009768A3">
        <w:rPr>
          <w:b/>
          <w:sz w:val="22"/>
          <w:szCs w:val="22"/>
        </w:rPr>
        <w:t>Čl. III</w:t>
      </w:r>
    </w:p>
    <w:p w14:paraId="59D98772" w14:textId="77777777" w:rsidR="00844548" w:rsidRPr="009768A3" w:rsidRDefault="00844548" w:rsidP="000C75AE">
      <w:pPr>
        <w:jc w:val="both"/>
        <w:rPr>
          <w:sz w:val="22"/>
          <w:szCs w:val="22"/>
        </w:rPr>
      </w:pPr>
    </w:p>
    <w:p w14:paraId="092DFB75" w14:textId="68E5BF27" w:rsidR="00DC0B6C" w:rsidRDefault="00084C5E" w:rsidP="009768A3">
      <w:pPr>
        <w:ind w:firstLine="720"/>
        <w:jc w:val="both"/>
        <w:rPr>
          <w:sz w:val="22"/>
          <w:szCs w:val="22"/>
        </w:rPr>
      </w:pPr>
      <w:r w:rsidRPr="009768A3">
        <w:rPr>
          <w:sz w:val="22"/>
          <w:szCs w:val="22"/>
        </w:rPr>
        <w:t xml:space="preserve">Navrhuje sa, aby novela zákona nadobudla účinnosť </w:t>
      </w:r>
      <w:r w:rsidR="00AC4138" w:rsidRPr="009768A3">
        <w:rPr>
          <w:sz w:val="22"/>
          <w:szCs w:val="22"/>
        </w:rPr>
        <w:t>1. januára 2026</w:t>
      </w:r>
      <w:r w:rsidR="006E7A5A" w:rsidRPr="009768A3">
        <w:rPr>
          <w:sz w:val="22"/>
          <w:szCs w:val="22"/>
        </w:rPr>
        <w:t>, aby bol dostatočný čas na prispôsobenie sa novým podmienkach pri príprave nových projektov v rámci jednotlivých účelov podpory</w:t>
      </w:r>
      <w:r w:rsidRPr="009768A3">
        <w:rPr>
          <w:sz w:val="22"/>
          <w:szCs w:val="22"/>
        </w:rPr>
        <w:t>.</w:t>
      </w:r>
    </w:p>
    <w:p w14:paraId="50E31DEC" w14:textId="7E19E271" w:rsidR="00BF6EB6" w:rsidRDefault="00BF6EB6" w:rsidP="009768A3">
      <w:pPr>
        <w:ind w:firstLine="720"/>
        <w:jc w:val="both"/>
        <w:rPr>
          <w:sz w:val="22"/>
          <w:szCs w:val="22"/>
        </w:rPr>
      </w:pPr>
    </w:p>
    <w:p w14:paraId="0774A6AD" w14:textId="7F15EE9D" w:rsidR="00BF6EB6" w:rsidRPr="006A6974" w:rsidRDefault="00BF6EB6" w:rsidP="00BF6EB6">
      <w:r w:rsidRPr="00E7001A">
        <w:t xml:space="preserve">Bratislava </w:t>
      </w:r>
      <w:r>
        <w:t>19. február 2025</w:t>
      </w:r>
    </w:p>
    <w:p w14:paraId="212AFDC3" w14:textId="77777777" w:rsidR="00BF6EB6" w:rsidRPr="006A6974" w:rsidRDefault="00BF6EB6" w:rsidP="00BF6EB6">
      <w:pPr>
        <w:jc w:val="center"/>
      </w:pPr>
    </w:p>
    <w:p w14:paraId="0955DD30" w14:textId="7351E377" w:rsidR="00BF6EB6" w:rsidRDefault="00BF6EB6" w:rsidP="00BF6EB6">
      <w:pPr>
        <w:jc w:val="center"/>
      </w:pPr>
    </w:p>
    <w:p w14:paraId="279049BD" w14:textId="095B8FFC" w:rsidR="0081540D" w:rsidRDefault="0081540D" w:rsidP="00BF6EB6">
      <w:pPr>
        <w:jc w:val="center"/>
      </w:pPr>
    </w:p>
    <w:p w14:paraId="18AF7796" w14:textId="77777777" w:rsidR="0081540D" w:rsidRPr="006A6974" w:rsidRDefault="0081540D" w:rsidP="00BF6EB6">
      <w:pPr>
        <w:jc w:val="center"/>
      </w:pPr>
    </w:p>
    <w:p w14:paraId="3E132885" w14:textId="77777777" w:rsidR="00BF6EB6" w:rsidRPr="006A6974" w:rsidRDefault="00BF6EB6" w:rsidP="00BF6EB6">
      <w:pPr>
        <w:jc w:val="center"/>
      </w:pPr>
    </w:p>
    <w:p w14:paraId="000644FF" w14:textId="77777777" w:rsidR="00BF6EB6" w:rsidRPr="006A6974" w:rsidRDefault="00BF6EB6" w:rsidP="00BF6EB6">
      <w:pPr>
        <w:pStyle w:val="Odsekzoznamu"/>
        <w:ind w:left="0" w:right="-284"/>
        <w:rPr>
          <w:rFonts w:ascii="Times New Roman" w:hAnsi="Times New Roman"/>
          <w:sz w:val="24"/>
          <w:szCs w:val="24"/>
        </w:rPr>
      </w:pPr>
    </w:p>
    <w:p w14:paraId="0B91937A" w14:textId="77777777" w:rsidR="00BF6EB6" w:rsidRPr="00E7001A" w:rsidRDefault="00BF6EB6" w:rsidP="00BF6EB6">
      <w:pPr>
        <w:pStyle w:val="Odsekzoznamu"/>
        <w:ind w:left="0" w:right="-284"/>
        <w:jc w:val="center"/>
        <w:rPr>
          <w:rFonts w:ascii="Times New Roman" w:hAnsi="Times New Roman"/>
          <w:b/>
          <w:sz w:val="24"/>
          <w:szCs w:val="24"/>
        </w:rPr>
      </w:pPr>
      <w:r w:rsidRPr="00E7001A">
        <w:rPr>
          <w:rFonts w:ascii="Times New Roman" w:hAnsi="Times New Roman"/>
          <w:b/>
          <w:sz w:val="24"/>
          <w:szCs w:val="24"/>
        </w:rPr>
        <w:t>Robert Fico, v. r.</w:t>
      </w:r>
    </w:p>
    <w:p w14:paraId="6AD36292" w14:textId="77777777" w:rsidR="00BF6EB6" w:rsidRPr="00E7001A" w:rsidRDefault="00BF6EB6" w:rsidP="00BF6EB6">
      <w:pPr>
        <w:pStyle w:val="Odsekzoznamu"/>
        <w:ind w:left="0" w:right="-284"/>
        <w:jc w:val="center"/>
        <w:rPr>
          <w:rFonts w:ascii="Times New Roman" w:hAnsi="Times New Roman"/>
          <w:sz w:val="24"/>
          <w:szCs w:val="24"/>
        </w:rPr>
      </w:pPr>
      <w:r w:rsidRPr="00E7001A">
        <w:rPr>
          <w:rFonts w:ascii="Times New Roman" w:hAnsi="Times New Roman"/>
          <w:sz w:val="24"/>
          <w:szCs w:val="24"/>
        </w:rPr>
        <w:t>predseda vlády Slovenskej republiky</w:t>
      </w:r>
    </w:p>
    <w:p w14:paraId="4A796BD3" w14:textId="77777777" w:rsidR="00BF6EB6" w:rsidRPr="00E7001A" w:rsidRDefault="00BF6EB6" w:rsidP="00BF6EB6">
      <w:pPr>
        <w:pStyle w:val="Odsekzoznamu"/>
        <w:ind w:left="0" w:right="-284"/>
        <w:jc w:val="center"/>
        <w:rPr>
          <w:rFonts w:ascii="Times New Roman" w:hAnsi="Times New Roman"/>
          <w:sz w:val="24"/>
          <w:szCs w:val="24"/>
        </w:rPr>
      </w:pPr>
    </w:p>
    <w:p w14:paraId="2F2A5DF0" w14:textId="77777777" w:rsidR="00BF6EB6" w:rsidRPr="00E7001A" w:rsidRDefault="00BF6EB6" w:rsidP="00BF6EB6">
      <w:pPr>
        <w:pStyle w:val="Odsekzoznamu"/>
        <w:ind w:left="0" w:right="-284"/>
        <w:jc w:val="center"/>
        <w:rPr>
          <w:rFonts w:ascii="Times New Roman" w:hAnsi="Times New Roman"/>
          <w:sz w:val="24"/>
          <w:szCs w:val="24"/>
        </w:rPr>
      </w:pPr>
    </w:p>
    <w:p w14:paraId="07628354" w14:textId="77777777" w:rsidR="00BF6EB6" w:rsidRPr="00E7001A" w:rsidRDefault="00BF6EB6" w:rsidP="00BF6EB6">
      <w:pPr>
        <w:pStyle w:val="Odsekzoznamu"/>
        <w:ind w:left="0" w:right="-284"/>
        <w:jc w:val="center"/>
        <w:rPr>
          <w:rFonts w:ascii="Times New Roman" w:hAnsi="Times New Roman"/>
          <w:sz w:val="24"/>
          <w:szCs w:val="24"/>
        </w:rPr>
      </w:pPr>
    </w:p>
    <w:p w14:paraId="6954D766" w14:textId="77777777" w:rsidR="00BF6EB6" w:rsidRPr="00E7001A" w:rsidRDefault="00BF6EB6" w:rsidP="00BF6EB6">
      <w:pPr>
        <w:pStyle w:val="Odsekzoznamu"/>
        <w:ind w:left="0" w:right="-284"/>
        <w:jc w:val="center"/>
        <w:rPr>
          <w:rFonts w:ascii="Times New Roman" w:hAnsi="Times New Roman"/>
          <w:sz w:val="24"/>
          <w:szCs w:val="24"/>
        </w:rPr>
      </w:pPr>
    </w:p>
    <w:p w14:paraId="76D8527F" w14:textId="5F41DF35" w:rsidR="00BF6EB6" w:rsidRPr="00E7001A" w:rsidRDefault="00BF6EB6" w:rsidP="00BF6EB6">
      <w:pPr>
        <w:pStyle w:val="Odsekzoznamu"/>
        <w:ind w:left="0" w:right="-284"/>
        <w:jc w:val="center"/>
        <w:rPr>
          <w:rFonts w:ascii="Times New Roman" w:hAnsi="Times New Roman"/>
          <w:b/>
          <w:sz w:val="24"/>
          <w:szCs w:val="24"/>
        </w:rPr>
      </w:pPr>
      <w:r>
        <w:rPr>
          <w:rFonts w:ascii="Times New Roman" w:hAnsi="Times New Roman"/>
          <w:b/>
          <w:sz w:val="24"/>
          <w:szCs w:val="24"/>
        </w:rPr>
        <w:t>Jozef Ráž</w:t>
      </w:r>
      <w:r w:rsidRPr="00E7001A">
        <w:rPr>
          <w:rFonts w:ascii="Times New Roman" w:hAnsi="Times New Roman"/>
          <w:b/>
          <w:sz w:val="24"/>
          <w:szCs w:val="24"/>
        </w:rPr>
        <w:t>, v. r.</w:t>
      </w:r>
    </w:p>
    <w:p w14:paraId="67CDF6AE" w14:textId="0A6F6D01" w:rsidR="00BF6EB6" w:rsidRPr="006A6974" w:rsidRDefault="00BF6EB6" w:rsidP="00BF6EB6">
      <w:pPr>
        <w:pStyle w:val="Odsekzoznamu"/>
        <w:ind w:left="0" w:right="-284"/>
        <w:jc w:val="center"/>
        <w:rPr>
          <w:rFonts w:ascii="Times New Roman" w:hAnsi="Times New Roman"/>
          <w:sz w:val="24"/>
          <w:szCs w:val="24"/>
        </w:rPr>
      </w:pPr>
      <w:r w:rsidRPr="00E7001A">
        <w:rPr>
          <w:rFonts w:ascii="Times New Roman" w:hAnsi="Times New Roman"/>
          <w:sz w:val="24"/>
          <w:szCs w:val="24"/>
        </w:rPr>
        <w:t>minister dopravy</w:t>
      </w:r>
      <w:r>
        <w:rPr>
          <w:rFonts w:ascii="Times New Roman" w:hAnsi="Times New Roman"/>
          <w:sz w:val="24"/>
          <w:szCs w:val="24"/>
        </w:rPr>
        <w:t xml:space="preserve"> </w:t>
      </w:r>
      <w:r w:rsidRPr="006A6974">
        <w:rPr>
          <w:rFonts w:ascii="Times New Roman" w:hAnsi="Times New Roman"/>
          <w:sz w:val="24"/>
          <w:szCs w:val="24"/>
        </w:rPr>
        <w:t>Slovenskej republiky</w:t>
      </w:r>
    </w:p>
    <w:p w14:paraId="4210F699" w14:textId="77777777" w:rsidR="00BF6EB6" w:rsidRPr="009768A3" w:rsidRDefault="00BF6EB6" w:rsidP="009768A3">
      <w:pPr>
        <w:ind w:firstLine="720"/>
        <w:jc w:val="both"/>
        <w:rPr>
          <w:sz w:val="22"/>
          <w:szCs w:val="22"/>
        </w:rPr>
      </w:pPr>
    </w:p>
    <w:sectPr w:rsidR="00BF6EB6" w:rsidRPr="009768A3" w:rsidSect="002650FA">
      <w:footerReference w:type="default" r:id="rId15"/>
      <w:pgSz w:w="12240" w:h="15840"/>
      <w:pgMar w:top="993" w:right="1325" w:bottom="426" w:left="1440" w:header="708"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15111" w14:textId="77777777" w:rsidR="0093572E" w:rsidRDefault="0093572E" w:rsidP="002650FA">
      <w:r>
        <w:separator/>
      </w:r>
    </w:p>
  </w:endnote>
  <w:endnote w:type="continuationSeparator" w:id="0">
    <w:p w14:paraId="6AC5DF80" w14:textId="77777777" w:rsidR="0093572E" w:rsidRDefault="0093572E" w:rsidP="0026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Content>
      <w:p w14:paraId="2A9184EE" w14:textId="6868C6B6" w:rsidR="0093572E" w:rsidRPr="006045CB" w:rsidRDefault="0093572E" w:rsidP="0093572E">
        <w:pPr>
          <w:pStyle w:val="Pta"/>
          <w:jc w:val="right"/>
        </w:pPr>
        <w:r w:rsidRPr="006045CB">
          <w:fldChar w:fldCharType="begin"/>
        </w:r>
        <w:r w:rsidRPr="006045CB">
          <w:instrText>PAGE   \* MERGEFORMAT</w:instrText>
        </w:r>
        <w:r w:rsidRPr="006045CB">
          <w:fldChar w:fldCharType="separate"/>
        </w:r>
        <w:r w:rsidR="00152409">
          <w:rPr>
            <w:noProof/>
          </w:rPr>
          <w:t>7</w:t>
        </w:r>
        <w:r w:rsidRPr="006045CB">
          <w:fldChar w:fldCharType="end"/>
        </w:r>
      </w:p>
    </w:sdtContent>
  </w:sdt>
  <w:p w14:paraId="2BA55C94" w14:textId="77777777" w:rsidR="0093572E" w:rsidRPr="00FF7125" w:rsidRDefault="0093572E" w:rsidP="0093572E">
    <w:pPr>
      <w:pStyle w:val="Pta"/>
    </w:pPr>
  </w:p>
  <w:p w14:paraId="01DD6380" w14:textId="77777777" w:rsidR="0093572E" w:rsidRDefault="0093572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623329"/>
      <w:docPartObj>
        <w:docPartGallery w:val="Page Numbers (Bottom of Page)"/>
        <w:docPartUnique/>
      </w:docPartObj>
    </w:sdtPr>
    <w:sdtContent>
      <w:p w14:paraId="0904B435" w14:textId="5B8CE171" w:rsidR="0093572E" w:rsidRDefault="0093572E">
        <w:pPr>
          <w:pStyle w:val="Pta"/>
          <w:jc w:val="center"/>
        </w:pPr>
        <w:r>
          <w:fldChar w:fldCharType="begin"/>
        </w:r>
        <w:r>
          <w:instrText>PAGE   \* MERGEFORMAT</w:instrText>
        </w:r>
        <w:r>
          <w:fldChar w:fldCharType="separate"/>
        </w:r>
        <w:r w:rsidR="00152409">
          <w:rPr>
            <w:noProof/>
          </w:rPr>
          <w:t>22</w:t>
        </w:r>
        <w:r>
          <w:fldChar w:fldCharType="end"/>
        </w:r>
      </w:p>
    </w:sdtContent>
  </w:sdt>
  <w:p w14:paraId="1482098F" w14:textId="77777777" w:rsidR="0093572E" w:rsidRDefault="009357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0FC65" w14:textId="77777777" w:rsidR="0093572E" w:rsidRDefault="0093572E" w:rsidP="002650FA">
      <w:r>
        <w:separator/>
      </w:r>
    </w:p>
  </w:footnote>
  <w:footnote w:type="continuationSeparator" w:id="0">
    <w:p w14:paraId="25139D56" w14:textId="77777777" w:rsidR="0093572E" w:rsidRDefault="0093572E" w:rsidP="002650FA">
      <w:r>
        <w:continuationSeparator/>
      </w:r>
    </w:p>
  </w:footnote>
  <w:footnote w:id="1">
    <w:p w14:paraId="2B18742D" w14:textId="77777777" w:rsidR="0093572E" w:rsidRPr="000A6B7F" w:rsidRDefault="0093572E" w:rsidP="00076DAE">
      <w:pPr>
        <w:pStyle w:val="Textpoznmkypodiarou"/>
        <w:rPr>
          <w:rFonts w:ascii="Times New Roman" w:hAnsi="Times New Roman"/>
        </w:rPr>
      </w:pPr>
      <w:r>
        <w:rPr>
          <w:rStyle w:val="Odkaznapoznmkupodiarou"/>
        </w:rPr>
        <w:footnoteRef/>
      </w:r>
      <w:r>
        <w:t xml:space="preserve"> </w:t>
      </w:r>
      <w:r w:rsidRPr="000A6B7F">
        <w:rPr>
          <w:rFonts w:ascii="Times New Roman" w:hAnsi="Times New Roman"/>
        </w:rPr>
        <w:t xml:space="preserve">Definícia </w:t>
      </w:r>
      <w:proofErr w:type="spellStart"/>
      <w:r w:rsidRPr="000A6B7F">
        <w:rPr>
          <w:rFonts w:ascii="Times New Roman" w:hAnsi="Times New Roman"/>
        </w:rPr>
        <w:t>goldplatingu</w:t>
      </w:r>
      <w:proofErr w:type="spellEnd"/>
      <w:r w:rsidRPr="000A6B7F">
        <w:rPr>
          <w:rFonts w:ascii="Times New Roman" w:hAnsi="Times New Roman"/>
        </w:rPr>
        <w:t xml:space="preserve"> </w:t>
      </w:r>
      <w:r w:rsidRPr="00D114ED">
        <w:rPr>
          <w:rFonts w:ascii="Times New Roman" w:hAnsi="Times New Roman"/>
        </w:rPr>
        <w:t>je uvedená v bode 4 časti III. jednotnej metodiky.</w:t>
      </w:r>
    </w:p>
  </w:footnote>
  <w:footnote w:id="2">
    <w:p w14:paraId="642DB631" w14:textId="77777777" w:rsidR="0093572E" w:rsidRPr="00804BC8" w:rsidRDefault="0093572E" w:rsidP="00076DAE">
      <w:pPr>
        <w:pStyle w:val="Textpoznmkypodiarou"/>
        <w:jc w:val="both"/>
        <w:rPr>
          <w:rFonts w:ascii="Times New Roman" w:hAnsi="Times New Roman"/>
        </w:rPr>
      </w:pPr>
      <w:r w:rsidRPr="0099544D">
        <w:rPr>
          <w:rStyle w:val="Odkaznapoznmkupodiarou"/>
        </w:rPr>
        <w:footnoteRef/>
      </w:r>
      <w:r w:rsidRPr="0099544D">
        <w:rPr>
          <w:rFonts w:ascii="Times New Roman" w:hAnsi="Times New Roman"/>
        </w:rPr>
        <w:t xml:space="preserve"> </w:t>
      </w:r>
      <w:r w:rsidRPr="00804BC8">
        <w:rPr>
          <w:rFonts w:ascii="Times New Roman" w:hAnsi="Times New Roman"/>
        </w:rPr>
        <w:t xml:space="preserve">Informácie sa uvádzajú  iba v prípade, ak sa predkladaným návrhom regulácie vykonáva transpozícia smernice </w:t>
      </w:r>
      <w:r w:rsidRPr="0099544D">
        <w:rPr>
          <w:rFonts w:ascii="Times New Roman" w:hAnsi="Times New Roman"/>
        </w:rPr>
        <w:t>EÚ</w:t>
      </w:r>
      <w:r w:rsidRPr="00804BC8">
        <w:rPr>
          <w:rFonts w:ascii="Times New Roman" w:hAnsi="Times New Roman"/>
        </w:rPr>
        <w:t xml:space="preserve"> a bol identifikovaný </w:t>
      </w:r>
      <w:proofErr w:type="spellStart"/>
      <w:r w:rsidRPr="00804BC8">
        <w:rPr>
          <w:rFonts w:ascii="Times New Roman" w:hAnsi="Times New Roman"/>
        </w:rPr>
        <w:t>goldplating</w:t>
      </w:r>
      <w:proofErr w:type="spellEnd"/>
      <w:r w:rsidRPr="00804BC8">
        <w:rPr>
          <w:rFonts w:ascii="Times New Roman" w:hAnsi="Times New Roman"/>
        </w:rPr>
        <w:t xml:space="preserve"> podľa tabuľky zhody alebo sa vykonáva implementácia nariadenia EÚ s </w:t>
      </w:r>
      <w:proofErr w:type="spellStart"/>
      <w:r w:rsidRPr="00804BC8">
        <w:rPr>
          <w:rFonts w:ascii="Times New Roman" w:hAnsi="Times New Roman"/>
        </w:rPr>
        <w:t>goldplatingom</w:t>
      </w:r>
      <w:proofErr w:type="spellEnd"/>
      <w:r w:rsidRPr="00804BC8">
        <w:rPr>
          <w:rFonts w:ascii="Times New Roman" w:hAnsi="Times New Roman"/>
        </w:rPr>
        <w:t>.</w:t>
      </w:r>
      <w:r>
        <w:rPr>
          <w:rFonts w:ascii="Times New Roman" w:hAnsi="Times New Roman"/>
        </w:rPr>
        <w:t xml:space="preserve"> Informácie sa uvádzajú aj v prípade</w:t>
      </w:r>
      <w:r w:rsidRPr="00CF4D09">
        <w:rPr>
          <w:rFonts w:ascii="Times New Roman" w:hAnsi="Times New Roman"/>
        </w:rPr>
        <w:t xml:space="preserve"> (ak nejde o transpozíciu smernice EÚ alebo implementáciu nariadenia EÚ)</w:t>
      </w:r>
      <w:r>
        <w:rPr>
          <w:rFonts w:ascii="Times New Roman" w:hAnsi="Times New Roman"/>
        </w:rPr>
        <w:t xml:space="preserve">, ak sa predloženým návrhom odstraňuje </w:t>
      </w:r>
      <w:proofErr w:type="spellStart"/>
      <w:r>
        <w:rPr>
          <w:rFonts w:ascii="Times New Roman" w:hAnsi="Times New Roman"/>
        </w:rPr>
        <w:t>goldplating</w:t>
      </w:r>
      <w:proofErr w:type="spellEnd"/>
      <w:r>
        <w:rPr>
          <w:rFonts w:ascii="Times New Roman" w:hAnsi="Times New Roman"/>
        </w:rPr>
        <w:t>, ktorého pôvod je v skoršom zachovaní existujúcej právnej úpravy (existujúcich vnútroštátnych požiadaviek).</w:t>
      </w:r>
    </w:p>
    <w:p w14:paraId="48B35975" w14:textId="77777777" w:rsidR="0093572E" w:rsidRDefault="0093572E" w:rsidP="00076DAE">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358C"/>
    <w:multiLevelType w:val="hybridMultilevel"/>
    <w:tmpl w:val="5DDAF120"/>
    <w:lvl w:ilvl="0" w:tplc="7E342E66">
      <w:start w:val="1"/>
      <w:numFmt w:val="decimal"/>
      <w:lvlText w:val="%1."/>
      <w:lvlJc w:val="left"/>
      <w:pPr>
        <w:ind w:left="1353"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characterSpacingControl w:val="doNotCompress"/>
  <w:doNotValidateAgainstSchema/>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58"/>
    <w:rsid w:val="000064F7"/>
    <w:rsid w:val="00007131"/>
    <w:rsid w:val="000168DC"/>
    <w:rsid w:val="0002468F"/>
    <w:rsid w:val="00024CCB"/>
    <w:rsid w:val="0002591F"/>
    <w:rsid w:val="00025A6D"/>
    <w:rsid w:val="000331A5"/>
    <w:rsid w:val="00057C10"/>
    <w:rsid w:val="000623C2"/>
    <w:rsid w:val="00066AC5"/>
    <w:rsid w:val="0007609C"/>
    <w:rsid w:val="00076DAE"/>
    <w:rsid w:val="00077028"/>
    <w:rsid w:val="00080361"/>
    <w:rsid w:val="00084C5E"/>
    <w:rsid w:val="0008694B"/>
    <w:rsid w:val="00096D58"/>
    <w:rsid w:val="000A5ED8"/>
    <w:rsid w:val="000B64EA"/>
    <w:rsid w:val="000C75AE"/>
    <w:rsid w:val="000E6E59"/>
    <w:rsid w:val="001121A3"/>
    <w:rsid w:val="00117960"/>
    <w:rsid w:val="00124C42"/>
    <w:rsid w:val="0014114B"/>
    <w:rsid w:val="00147E67"/>
    <w:rsid w:val="00152409"/>
    <w:rsid w:val="00177E16"/>
    <w:rsid w:val="00191751"/>
    <w:rsid w:val="00193F6C"/>
    <w:rsid w:val="001B79F6"/>
    <w:rsid w:val="001C405C"/>
    <w:rsid w:val="001C5AEB"/>
    <w:rsid w:val="001C5C14"/>
    <w:rsid w:val="001C7B7D"/>
    <w:rsid w:val="001F618B"/>
    <w:rsid w:val="00201013"/>
    <w:rsid w:val="00215A68"/>
    <w:rsid w:val="002404C3"/>
    <w:rsid w:val="00247D02"/>
    <w:rsid w:val="002650FA"/>
    <w:rsid w:val="002951BC"/>
    <w:rsid w:val="002A2E54"/>
    <w:rsid w:val="002C0650"/>
    <w:rsid w:val="002D4265"/>
    <w:rsid w:val="002E0C03"/>
    <w:rsid w:val="002E16CC"/>
    <w:rsid w:val="002F20D1"/>
    <w:rsid w:val="00300FB2"/>
    <w:rsid w:val="00307BDC"/>
    <w:rsid w:val="003533CC"/>
    <w:rsid w:val="00396C48"/>
    <w:rsid w:val="003B6660"/>
    <w:rsid w:val="003C34D0"/>
    <w:rsid w:val="003D60A9"/>
    <w:rsid w:val="003F3619"/>
    <w:rsid w:val="00410668"/>
    <w:rsid w:val="004214B9"/>
    <w:rsid w:val="00434610"/>
    <w:rsid w:val="00465AF2"/>
    <w:rsid w:val="004A466C"/>
    <w:rsid w:val="004D3D06"/>
    <w:rsid w:val="004D4B73"/>
    <w:rsid w:val="004F0FCD"/>
    <w:rsid w:val="004F7FF3"/>
    <w:rsid w:val="0050235B"/>
    <w:rsid w:val="00554C1D"/>
    <w:rsid w:val="0056461E"/>
    <w:rsid w:val="00570BFE"/>
    <w:rsid w:val="005974C5"/>
    <w:rsid w:val="005A4DD0"/>
    <w:rsid w:val="005C2365"/>
    <w:rsid w:val="005C342D"/>
    <w:rsid w:val="005C45EC"/>
    <w:rsid w:val="005D1312"/>
    <w:rsid w:val="005D5590"/>
    <w:rsid w:val="005E1D02"/>
    <w:rsid w:val="005F3ED8"/>
    <w:rsid w:val="005F7B30"/>
    <w:rsid w:val="00623DC9"/>
    <w:rsid w:val="00636CCF"/>
    <w:rsid w:val="00676B8C"/>
    <w:rsid w:val="00680DEB"/>
    <w:rsid w:val="006829F5"/>
    <w:rsid w:val="00694668"/>
    <w:rsid w:val="006C773B"/>
    <w:rsid w:val="006D6154"/>
    <w:rsid w:val="006E7A5A"/>
    <w:rsid w:val="00703BC3"/>
    <w:rsid w:val="0072408F"/>
    <w:rsid w:val="007245A5"/>
    <w:rsid w:val="00756EEE"/>
    <w:rsid w:val="00757BD6"/>
    <w:rsid w:val="00761FD7"/>
    <w:rsid w:val="0078139F"/>
    <w:rsid w:val="00783966"/>
    <w:rsid w:val="00784B5E"/>
    <w:rsid w:val="007B1C5C"/>
    <w:rsid w:val="007B3B4B"/>
    <w:rsid w:val="007C416F"/>
    <w:rsid w:val="007C740C"/>
    <w:rsid w:val="007D1964"/>
    <w:rsid w:val="007D2BF2"/>
    <w:rsid w:val="007F75AF"/>
    <w:rsid w:val="00800F24"/>
    <w:rsid w:val="00803AEA"/>
    <w:rsid w:val="00813CB4"/>
    <w:rsid w:val="0081540D"/>
    <w:rsid w:val="008171B7"/>
    <w:rsid w:val="008371BB"/>
    <w:rsid w:val="008375C3"/>
    <w:rsid w:val="00844111"/>
    <w:rsid w:val="00844548"/>
    <w:rsid w:val="008515D7"/>
    <w:rsid w:val="0085218E"/>
    <w:rsid w:val="008668EB"/>
    <w:rsid w:val="00877665"/>
    <w:rsid w:val="008A32E5"/>
    <w:rsid w:val="008A41A8"/>
    <w:rsid w:val="008A722A"/>
    <w:rsid w:val="008B25A6"/>
    <w:rsid w:val="008E701C"/>
    <w:rsid w:val="009120D0"/>
    <w:rsid w:val="00924C6F"/>
    <w:rsid w:val="009265D8"/>
    <w:rsid w:val="0093572E"/>
    <w:rsid w:val="00947489"/>
    <w:rsid w:val="00947F92"/>
    <w:rsid w:val="00961C31"/>
    <w:rsid w:val="009648AB"/>
    <w:rsid w:val="00973063"/>
    <w:rsid w:val="009768A3"/>
    <w:rsid w:val="009D546A"/>
    <w:rsid w:val="009F1497"/>
    <w:rsid w:val="00A14946"/>
    <w:rsid w:val="00A15ACA"/>
    <w:rsid w:val="00A1794C"/>
    <w:rsid w:val="00A2001A"/>
    <w:rsid w:val="00A22A39"/>
    <w:rsid w:val="00A2740F"/>
    <w:rsid w:val="00A312C6"/>
    <w:rsid w:val="00A314E3"/>
    <w:rsid w:val="00A3229B"/>
    <w:rsid w:val="00A36968"/>
    <w:rsid w:val="00A5774B"/>
    <w:rsid w:val="00A64D2D"/>
    <w:rsid w:val="00A71971"/>
    <w:rsid w:val="00A8538B"/>
    <w:rsid w:val="00AA5F18"/>
    <w:rsid w:val="00AB582A"/>
    <w:rsid w:val="00AB626E"/>
    <w:rsid w:val="00AC4138"/>
    <w:rsid w:val="00AD6E2C"/>
    <w:rsid w:val="00AE5AD8"/>
    <w:rsid w:val="00AF4729"/>
    <w:rsid w:val="00AF4C73"/>
    <w:rsid w:val="00B06C65"/>
    <w:rsid w:val="00B07091"/>
    <w:rsid w:val="00B34BFD"/>
    <w:rsid w:val="00B350F9"/>
    <w:rsid w:val="00B7007B"/>
    <w:rsid w:val="00B9717B"/>
    <w:rsid w:val="00BB0E52"/>
    <w:rsid w:val="00BB6036"/>
    <w:rsid w:val="00BD1683"/>
    <w:rsid w:val="00BF1467"/>
    <w:rsid w:val="00BF34FE"/>
    <w:rsid w:val="00BF6EB6"/>
    <w:rsid w:val="00C0489E"/>
    <w:rsid w:val="00C07C87"/>
    <w:rsid w:val="00C20668"/>
    <w:rsid w:val="00C23862"/>
    <w:rsid w:val="00C25C0F"/>
    <w:rsid w:val="00C300CC"/>
    <w:rsid w:val="00C725A4"/>
    <w:rsid w:val="00C73106"/>
    <w:rsid w:val="00C740B4"/>
    <w:rsid w:val="00C9111D"/>
    <w:rsid w:val="00C976FC"/>
    <w:rsid w:val="00CD0F81"/>
    <w:rsid w:val="00CF4E35"/>
    <w:rsid w:val="00CF5621"/>
    <w:rsid w:val="00D010DF"/>
    <w:rsid w:val="00D1006D"/>
    <w:rsid w:val="00D3145E"/>
    <w:rsid w:val="00D32789"/>
    <w:rsid w:val="00D47A44"/>
    <w:rsid w:val="00D50535"/>
    <w:rsid w:val="00D92C32"/>
    <w:rsid w:val="00DA35CB"/>
    <w:rsid w:val="00DC0B6C"/>
    <w:rsid w:val="00DE189B"/>
    <w:rsid w:val="00E03CCC"/>
    <w:rsid w:val="00E250FE"/>
    <w:rsid w:val="00E25A90"/>
    <w:rsid w:val="00E44B4F"/>
    <w:rsid w:val="00E64772"/>
    <w:rsid w:val="00E81163"/>
    <w:rsid w:val="00E939E2"/>
    <w:rsid w:val="00E960E9"/>
    <w:rsid w:val="00EA5280"/>
    <w:rsid w:val="00F23612"/>
    <w:rsid w:val="00F26434"/>
    <w:rsid w:val="00F36B7A"/>
    <w:rsid w:val="00F74D9F"/>
    <w:rsid w:val="00FA6B52"/>
    <w:rsid w:val="00FA7971"/>
    <w:rsid w:val="00FB5AC0"/>
    <w:rsid w:val="00FE73A4"/>
    <w:rsid w:val="00FF06C7"/>
    <w:rsid w:val="00FF3E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5C9ED6C"/>
  <w14:defaultImageDpi w14:val="0"/>
  <w15:docId w15:val="{4E908A38-2367-464F-B18A-F5D66A65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B6036"/>
    <w:pPr>
      <w:widowControl w:val="0"/>
      <w:adjustRightInd w:val="0"/>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B25A6"/>
    <w:rPr>
      <w:rFonts w:ascii="Times New Roman" w:hAnsi="Times New Roman" w:cs="Times New Roman"/>
      <w:color w:val="808080"/>
    </w:rPr>
  </w:style>
  <w:style w:type="paragraph" w:styleId="Textbubliny">
    <w:name w:val="Balloon Text"/>
    <w:basedOn w:val="Normlny"/>
    <w:link w:val="TextbublinyChar"/>
    <w:uiPriority w:val="99"/>
    <w:semiHidden/>
    <w:unhideWhenUsed/>
    <w:rsid w:val="008B25A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25A6"/>
    <w:rPr>
      <w:rFonts w:ascii="Tahoma" w:hAnsi="Tahoma" w:cs="Tahoma"/>
      <w:sz w:val="16"/>
      <w:szCs w:val="16"/>
      <w:lang w:val="sk-SK" w:eastAsia="sk-SK"/>
    </w:rPr>
  </w:style>
  <w:style w:type="character" w:customStyle="1" w:styleId="ZkladntextChar7">
    <w:name w:val="Základný text Char7"/>
    <w:basedOn w:val="Predvolenpsmoodseku"/>
    <w:uiPriority w:val="99"/>
    <w:semiHidden/>
    <w:rPr>
      <w:rFonts w:ascii="Times New Roman" w:hAnsi="Times New Roman" w:cs="Times New Roman"/>
      <w:sz w:val="24"/>
      <w:szCs w:val="24"/>
    </w:rPr>
  </w:style>
  <w:style w:type="paragraph" w:styleId="Zkladntext">
    <w:name w:val="Body Text"/>
    <w:basedOn w:val="Normlny"/>
    <w:link w:val="ZkladntextChar"/>
    <w:uiPriority w:val="99"/>
    <w:rsid w:val="00A312C6"/>
    <w:pPr>
      <w:widowControl/>
      <w:adjustRightInd/>
      <w:spacing w:before="240" w:line="360" w:lineRule="auto"/>
      <w:jc w:val="both"/>
    </w:pPr>
  </w:style>
  <w:style w:type="character" w:customStyle="1" w:styleId="ZkladntextChar">
    <w:name w:val="Základný text Char"/>
    <w:basedOn w:val="Predvolenpsmoodseku"/>
    <w:link w:val="Zkladntext"/>
    <w:uiPriority w:val="99"/>
    <w:semiHidden/>
    <w:locked/>
    <w:rPr>
      <w:rFonts w:ascii="Times New Roman" w:hAnsi="Times New Roman" w:cs="Times New Roman"/>
      <w:sz w:val="24"/>
      <w:szCs w:val="24"/>
    </w:rPr>
  </w:style>
  <w:style w:type="character" w:customStyle="1" w:styleId="ZkladntextChar6">
    <w:name w:val="Základný text Char6"/>
    <w:basedOn w:val="Predvolenpsmoodseku"/>
    <w:uiPriority w:val="99"/>
    <w:semiHidden/>
    <w:rPr>
      <w:rFonts w:ascii="Times New Roman" w:hAnsi="Times New Roman" w:cs="Times New Roman"/>
      <w:sz w:val="24"/>
      <w:szCs w:val="24"/>
    </w:rPr>
  </w:style>
  <w:style w:type="character" w:customStyle="1" w:styleId="ZkladntextChar5">
    <w:name w:val="Základný text Char5"/>
    <w:basedOn w:val="Predvolenpsmoodseku"/>
    <w:uiPriority w:val="99"/>
    <w:semiHidden/>
    <w:rPr>
      <w:rFonts w:ascii="Times New Roman" w:hAnsi="Times New Roman" w:cs="Times New Roman"/>
      <w:sz w:val="24"/>
      <w:szCs w:val="24"/>
    </w:rPr>
  </w:style>
  <w:style w:type="character" w:customStyle="1" w:styleId="ZkladntextChar4">
    <w:name w:val="Základný text Char4"/>
    <w:basedOn w:val="Predvolenpsmoodseku"/>
    <w:uiPriority w:val="99"/>
    <w:semiHidden/>
    <w:rPr>
      <w:rFonts w:ascii="Times New Roman" w:hAnsi="Times New Roman" w:cs="Times New Roman"/>
      <w:sz w:val="24"/>
      <w:szCs w:val="24"/>
    </w:rPr>
  </w:style>
  <w:style w:type="character" w:customStyle="1" w:styleId="ZkladntextChar3">
    <w:name w:val="Základný text Char3"/>
    <w:basedOn w:val="Predvolenpsmoodseku"/>
    <w:uiPriority w:val="99"/>
    <w:semiHidden/>
    <w:rPr>
      <w:rFonts w:ascii="Times New Roman" w:hAnsi="Times New Roman" w:cs="Times New Roman"/>
      <w:sz w:val="24"/>
      <w:szCs w:val="24"/>
    </w:rPr>
  </w:style>
  <w:style w:type="character" w:customStyle="1" w:styleId="ZkladntextChar2">
    <w:name w:val="Základný text Char2"/>
    <w:basedOn w:val="Predvolenpsmoodseku"/>
    <w:uiPriority w:val="99"/>
    <w:semiHidden/>
    <w:rPr>
      <w:rFonts w:ascii="Times New Roman" w:hAnsi="Times New Roman" w:cs="Times New Roman"/>
      <w:sz w:val="24"/>
      <w:szCs w:val="24"/>
    </w:rPr>
  </w:style>
  <w:style w:type="character" w:styleId="Odkaznakomentr">
    <w:name w:val="annotation reference"/>
    <w:basedOn w:val="Predvolenpsmoodseku"/>
    <w:uiPriority w:val="99"/>
    <w:semiHidden/>
    <w:unhideWhenUsed/>
    <w:rsid w:val="00BF1467"/>
    <w:rPr>
      <w:rFonts w:cs="Times New Roman"/>
      <w:sz w:val="16"/>
      <w:szCs w:val="16"/>
    </w:rPr>
  </w:style>
  <w:style w:type="paragraph" w:styleId="Textkomentra">
    <w:name w:val="annotation text"/>
    <w:basedOn w:val="Normlny"/>
    <w:link w:val="TextkomentraChar"/>
    <w:uiPriority w:val="99"/>
    <w:semiHidden/>
    <w:unhideWhenUsed/>
    <w:rsid w:val="00BF1467"/>
    <w:rPr>
      <w:sz w:val="20"/>
      <w:szCs w:val="20"/>
    </w:rPr>
  </w:style>
  <w:style w:type="character" w:customStyle="1" w:styleId="TextkomentraChar">
    <w:name w:val="Text komentára Char"/>
    <w:basedOn w:val="Predvolenpsmoodseku"/>
    <w:link w:val="Textkomentra"/>
    <w:uiPriority w:val="99"/>
    <w:semiHidden/>
    <w:locked/>
    <w:rsid w:val="00BF1467"/>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BF1467"/>
    <w:rPr>
      <w:b/>
      <w:bCs/>
    </w:rPr>
  </w:style>
  <w:style w:type="character" w:customStyle="1" w:styleId="PredmetkomentraChar">
    <w:name w:val="Predmet komentára Char"/>
    <w:basedOn w:val="TextkomentraChar"/>
    <w:link w:val="Predmetkomentra"/>
    <w:uiPriority w:val="99"/>
    <w:semiHidden/>
    <w:locked/>
    <w:rsid w:val="00BF1467"/>
    <w:rPr>
      <w:rFonts w:ascii="Times New Roman" w:hAnsi="Times New Roman" w:cs="Times New Roman"/>
      <w:b/>
      <w:bCs/>
      <w:sz w:val="20"/>
      <w:szCs w:val="20"/>
    </w:rPr>
  </w:style>
  <w:style w:type="paragraph" w:styleId="Revzia">
    <w:name w:val="Revision"/>
    <w:hidden/>
    <w:uiPriority w:val="99"/>
    <w:semiHidden/>
    <w:locked/>
    <w:rsid w:val="002404C3"/>
    <w:pPr>
      <w:spacing w:after="0" w:line="240" w:lineRule="auto"/>
    </w:pPr>
    <w:rPr>
      <w:rFonts w:ascii="Times New Roman" w:hAnsi="Times New Roman" w:cs="Times New Roman"/>
      <w:sz w:val="24"/>
      <w:szCs w:val="24"/>
    </w:rPr>
  </w:style>
  <w:style w:type="paragraph" w:styleId="Hlavika">
    <w:name w:val="header"/>
    <w:basedOn w:val="Normlny"/>
    <w:link w:val="HlavikaChar"/>
    <w:uiPriority w:val="99"/>
    <w:unhideWhenUsed/>
    <w:rsid w:val="002650FA"/>
    <w:pPr>
      <w:tabs>
        <w:tab w:val="center" w:pos="4536"/>
        <w:tab w:val="right" w:pos="9072"/>
      </w:tabs>
    </w:pPr>
  </w:style>
  <w:style w:type="character" w:customStyle="1" w:styleId="HlavikaChar">
    <w:name w:val="Hlavička Char"/>
    <w:basedOn w:val="Predvolenpsmoodseku"/>
    <w:link w:val="Hlavika"/>
    <w:uiPriority w:val="99"/>
    <w:rsid w:val="002650FA"/>
    <w:rPr>
      <w:rFonts w:ascii="Times New Roman" w:hAnsi="Times New Roman" w:cs="Times New Roman"/>
      <w:sz w:val="24"/>
      <w:szCs w:val="24"/>
    </w:rPr>
  </w:style>
  <w:style w:type="paragraph" w:styleId="Pta">
    <w:name w:val="footer"/>
    <w:basedOn w:val="Normlny"/>
    <w:link w:val="PtaChar"/>
    <w:uiPriority w:val="99"/>
    <w:unhideWhenUsed/>
    <w:rsid w:val="002650FA"/>
    <w:pPr>
      <w:tabs>
        <w:tab w:val="center" w:pos="4536"/>
        <w:tab w:val="right" w:pos="9072"/>
      </w:tabs>
    </w:pPr>
  </w:style>
  <w:style w:type="character" w:customStyle="1" w:styleId="PtaChar">
    <w:name w:val="Päta Char"/>
    <w:basedOn w:val="Predvolenpsmoodseku"/>
    <w:link w:val="Pta"/>
    <w:uiPriority w:val="99"/>
    <w:rsid w:val="002650FA"/>
    <w:rPr>
      <w:rFonts w:ascii="Times New Roman" w:hAnsi="Times New Roman" w:cs="Times New Roman"/>
      <w:sz w:val="24"/>
      <w:szCs w:val="24"/>
    </w:rPr>
  </w:style>
  <w:style w:type="paragraph" w:customStyle="1" w:styleId="xmsonormal">
    <w:name w:val="x_msonormal"/>
    <w:basedOn w:val="Normlny"/>
    <w:rsid w:val="00117960"/>
    <w:pPr>
      <w:widowControl/>
      <w:adjustRightInd/>
    </w:pPr>
    <w:rPr>
      <w:rFonts w:ascii="Calibri" w:eastAsia="Calibri" w:hAnsi="Calibri" w:cs="Calibri"/>
      <w:sz w:val="22"/>
      <w:szCs w:val="22"/>
    </w:rPr>
  </w:style>
  <w:style w:type="table" w:customStyle="1" w:styleId="Mriekatabuky1">
    <w:name w:val="Mriežka tabuľky1"/>
    <w:basedOn w:val="Normlnatabuka"/>
    <w:next w:val="Mriekatabuky"/>
    <w:uiPriority w:val="59"/>
    <w:rsid w:val="00076DAE"/>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locked/>
    <w:rsid w:val="00076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076DAE"/>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076DAE"/>
    <w:pPr>
      <w:widowControl/>
      <w:adjustRightInd/>
    </w:pPr>
    <w:rPr>
      <w:rFonts w:ascii="Calibri" w:eastAsia="Calibri" w:hAnsi="Calibri"/>
      <w:sz w:val="20"/>
      <w:szCs w:val="20"/>
      <w:lang w:eastAsia="en-US"/>
    </w:rPr>
  </w:style>
  <w:style w:type="character" w:customStyle="1" w:styleId="TextpoznmkypodiarouChar">
    <w:name w:val="Text poznámky pod čiarou Char"/>
    <w:basedOn w:val="Predvolenpsmoodseku"/>
    <w:link w:val="Textpoznmkypodiarou"/>
    <w:uiPriority w:val="99"/>
    <w:semiHidden/>
    <w:rsid w:val="00076DAE"/>
    <w:rPr>
      <w:rFonts w:eastAsia="Calibri" w:cs="Times New Roman"/>
      <w:sz w:val="20"/>
      <w:szCs w:val="20"/>
      <w:lang w:eastAsia="en-US"/>
    </w:rPr>
  </w:style>
  <w:style w:type="character" w:styleId="Odkaznapoznmkupodiarou">
    <w:name w:val="footnote reference"/>
    <w:basedOn w:val="Predvolenpsmoodseku"/>
    <w:uiPriority w:val="99"/>
    <w:semiHidden/>
    <w:unhideWhenUsed/>
    <w:rsid w:val="00076DAE"/>
    <w:rPr>
      <w:vertAlign w:val="superscript"/>
    </w:rPr>
  </w:style>
  <w:style w:type="paragraph" w:styleId="Odsekzoznamu">
    <w:name w:val="List Paragraph"/>
    <w:basedOn w:val="Normlny"/>
    <w:uiPriority w:val="34"/>
    <w:qFormat/>
    <w:locked/>
    <w:rsid w:val="00BF6EB6"/>
    <w:pPr>
      <w:widowControl/>
      <w:adjustRightInd/>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930010">
      <w:marLeft w:val="0"/>
      <w:marRight w:val="0"/>
      <w:marTop w:val="0"/>
      <w:marBottom w:val="0"/>
      <w:divBdr>
        <w:top w:val="none" w:sz="0" w:space="0" w:color="auto"/>
        <w:left w:val="none" w:sz="0" w:space="0" w:color="auto"/>
        <w:bottom w:val="none" w:sz="0" w:space="0" w:color="auto"/>
        <w:right w:val="none" w:sz="0" w:space="0" w:color="auto"/>
      </w:divBdr>
    </w:div>
    <w:div w:id="1074930011">
      <w:marLeft w:val="0"/>
      <w:marRight w:val="0"/>
      <w:marTop w:val="0"/>
      <w:marBottom w:val="0"/>
      <w:divBdr>
        <w:top w:val="none" w:sz="0" w:space="0" w:color="auto"/>
        <w:left w:val="none" w:sz="0" w:space="0" w:color="auto"/>
        <w:bottom w:val="none" w:sz="0" w:space="0" w:color="auto"/>
        <w:right w:val="none" w:sz="0" w:space="0" w:color="auto"/>
      </w:divBdr>
    </w:div>
    <w:div w:id="1380394523">
      <w:bodyDiv w:val="1"/>
      <w:marLeft w:val="0"/>
      <w:marRight w:val="0"/>
      <w:marTop w:val="0"/>
      <w:marBottom w:val="0"/>
      <w:divBdr>
        <w:top w:val="none" w:sz="0" w:space="0" w:color="auto"/>
        <w:left w:val="none" w:sz="0" w:space="0" w:color="auto"/>
        <w:bottom w:val="none" w:sz="0" w:space="0" w:color="auto"/>
        <w:right w:val="none" w:sz="0" w:space="0" w:color="auto"/>
      </w:divBdr>
    </w:div>
    <w:div w:id="168620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cernanska@mindop.sk" TargetMode="External"/><Relationship Id="rId13" Type="http://schemas.openxmlformats.org/officeDocument/2006/relationships/hyperlink" Target="https://www.sfrb.sk/wp-content/uploads/2024/01/Stav-posudzovania-k-31.12.2023-OPaSU-a-OSaRU.pdf" TargetMode="External"/><Relationship Id="rId3" Type="http://schemas.openxmlformats.org/officeDocument/2006/relationships/settings" Target="settings.xml"/><Relationship Id="rId7" Type="http://schemas.openxmlformats.org/officeDocument/2006/relationships/hyperlink" Target="mailto:veronika.rehakova@mindop.sk" TargetMode="External"/><Relationship Id="rId12" Type="http://schemas.openxmlformats.org/officeDocument/2006/relationships/hyperlink" Target="https://www.sfrb.sk/wp-content/uploads/2022/02/Stav-ziadosti-31.12.202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legislativne-procesy/SK/PI/2024/2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hyperlink" Target="https://www.sfrb.sk/wp-content/uploads/2025/01/Stav-posudzovania-k-31.12.2024.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22</Pages>
  <Words>7137</Words>
  <Characters>44869</Characters>
  <Application>Microsoft Office Word</Application>
  <DocSecurity>0</DocSecurity>
  <Lines>373</Lines>
  <Paragraphs>103</Paragraphs>
  <ScaleCrop>false</ScaleCrop>
  <HeadingPairs>
    <vt:vector size="2" baseType="variant">
      <vt:variant>
        <vt:lpstr>Názov</vt:lpstr>
      </vt:variant>
      <vt:variant>
        <vt:i4>1</vt:i4>
      </vt:variant>
    </vt:vector>
  </HeadingPairs>
  <TitlesOfParts>
    <vt:vector size="1" baseType="lpstr">
      <vt:lpstr/>
    </vt:vector>
  </TitlesOfParts>
  <Company>Abyss</Company>
  <LinksUpToDate>false</LinksUpToDate>
  <CharactersWithSpaces>51903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Čerňanská, Jana</cp:lastModifiedBy>
  <cp:revision>71</cp:revision>
  <cp:lastPrinted>2025-03-05T13:24:00Z</cp:lastPrinted>
  <dcterms:created xsi:type="dcterms:W3CDTF">2024-08-19T04:52:00Z</dcterms:created>
  <dcterms:modified xsi:type="dcterms:W3CDTF">2025-03-05T13:42:00Z</dcterms:modified>
</cp:coreProperties>
</file>