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jc w:val="center"/>
        <w:rPr/>
      </w:pPr>
      <w:r w:rsidDel="00000000" w:rsidR="00000000" w:rsidRPr="00000000">
        <w:rPr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jc w:val="center"/>
        <w:rPr/>
      </w:pPr>
      <w:r w:rsidDel="00000000" w:rsidR="00000000" w:rsidRPr="00000000">
        <w:rPr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jc w:val="center"/>
        <w:rPr/>
      </w:pPr>
      <w:r w:rsidDel="00000000" w:rsidR="00000000" w:rsidRPr="00000000">
        <w:rPr>
          <w:b w:val="1"/>
          <w:smallCaps w:val="1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jc w:val="center"/>
        <w:rPr/>
      </w:pPr>
      <w:r w:rsidDel="00000000" w:rsidR="00000000" w:rsidRPr="00000000">
        <w:rPr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 dopĺňa zákon č. 595/2003 Z. z. o dani z príjmov v znení neskorších predpisov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Zákon č. 595/2003 Z. z. o dani z príjmov v znení zákona č. 43/2004 Z. z., zákona č. 177/2004 Z. z., zákona č. 191/2004 Z. z., zákona č. 391/2004 Z. z., zákona č. 538/2004 Z. z., zákona č. 539/2004 Z. z., zákona č. 659/2004 Z. z., zákona č. 68/2005 Z. z., zákona č. 314/2005 Z. z., zákona č. 534/2005 Z. z., zákona č. 660/2005 Z. z., zákona č. 688/2006 Z. z., zákona č. 76/2007 Z. z., zákona č. 209/2007 Z. z., zákona č. 519/2007 Z. z., zákona č. 530/2007 Z. z., zákona č. 561/2007 Z. z., zákona č. 621/2007 Z. z., zákona č. 653/2007 Z. z., zákona č. 168/2008 Z. z., zákona č. 465/2008 Z. z., zákona č. 514/2008 Z. z., zákona č. 563/2008 Z. z., zákona č. 567/2008 Z. z., zákona č. 60/2009 Z. z., zákona č. 184/2009 Z. z., zákona č. 185/2009 Z. z., zákona č. 504/2009 Z. z., zákona č. 563/2009 Z. z., zákona č. 374/2010 Z. z., zákona č. 548/2010 Z. z., zákona č. 129/2011 Z. z., zákona č. 231/2011 Z. z., zákona č. 250/2011 Z. z., zákona č. 331/2011 Z. z., zákona č. 362/2011 Z. z., zákona č. 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 70/2013 Z. z., zákona č. 135/2013 Z. z., zákona č. 318/2013 Z. z., zákona č. 463/2013 Z. z., zákona č. 180/2014 Z. z., zákona č. 183/2014 Z. z., zákona č. 333/2014 Z. z., zákona č. 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 63/2018 Z. z., zákona č. 112/2018 Z. z., zákona č. 209/2018 Z. z., zákona č. 213/2018 Z. z., zákona č. 317/2018 Z. z., zákona č. 347/2018 Z. z., zákona č. 368/2018 Z. z., zákona č. 385/2018 Z. z., zákona č. 4/2019 Z. z., zákona č. 10/2019 Z. z., zákona č. 54/2019 Z. z., zákona č. 88/2019 Z. z., zákona č. 155/2019 Z. z., zákona č. 221/2019 Z. z., zákona č. 223/2019 Z. z., zákona č. 228/2019 Z. z., zákona č. 233/2019 Z. z., zákona č. 301/2019 Z. z., zákona č. 315/2019 Z. z., zákona č. 316/2019 Z. z., zákona č. 319/2019 Z. z., zákona č. 390/2019 Z. z., zákona č. 393/2019 Z. z., zákona č. 462/2019 Z. z., zákona č. 46/2020 Z. z., zákona č. 198/2020 Z. z., zákona č. 296/2020 Z. z., zákona č. 416/2020 Z. z., zákona č. 420/2020 Z. z., zákona č. 421/2020 Z. z., zákona č. 76/2021 Z. z., zákona č. 215/2021 Z. z., zákona č. 257/2021 Z. z., zákona č. 310/2021 Z. z., zákona č. 408/2021 Z. z., zákona č. 416/2021 Z. z., zákona č. 129/2022 Z. z., zákona č. 222/2022 Z. z., zákona č. 232/2022 Z. z. a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508/2023 Z. z., zákona č. 530/2023 Z. z., zákona č. 46/2024 Z. z., zákona č. 87/2024 Z. z., zákona č. 248/2024 Z. z., zákona č. 278/2024 Z. z., zákona č. 279/2024 Z. z., zákona č. 355/2024 Z. z. a zákona č. 26/2025 Z. z. sa mení a dopĺňa takto:</w:t>
      </w:r>
    </w:p>
    <w:p w:rsidR="00000000" w:rsidDel="00000000" w:rsidP="00000000" w:rsidRDefault="00000000" w:rsidRPr="00000000" w14:paraId="00000012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2 písm. u) sa vypúšťa slovo „povinná“.</w:t>
      </w:r>
    </w:p>
    <w:p w:rsidR="00000000" w:rsidDel="00000000" w:rsidP="00000000" w:rsidRDefault="00000000" w:rsidRPr="00000000" w14:paraId="00000014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34 ods. 1 sa za slová „5 000 eur,“ vkladajú slová „ak tento zákon neustanovuje inak,“ a na konci sa pripája táto veta: „Daňovník, ktorého posledná známa daňová povinnosť nepresiahla 100 000 eur, je oprávnený správcovi dane oznámiť, že nebude počas preddavkového obdobia platiť preddavky na daň, pričom v takom prípade je povinný v lehote na podanie daňového priznania zaplatiť úrok zo sumy dane vypočítanej v jeho daňovom priznaní vo výške dvojnásobku základnej úrokovej sadzby Európskej centrálnej banky.“.</w:t>
      </w:r>
    </w:p>
    <w:p w:rsidR="00000000" w:rsidDel="00000000" w:rsidP="00000000" w:rsidRDefault="00000000" w:rsidRPr="00000000" w14:paraId="00000016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34 ods. 2 prvej vete sa za slovo „povinnosti“ vkladajú slová „alebo v zníženej výške určenej daňovníkom“.</w:t>
      </w:r>
    </w:p>
    <w:p w:rsidR="00000000" w:rsidDel="00000000" w:rsidP="00000000" w:rsidRDefault="00000000" w:rsidRPr="00000000" w14:paraId="00000018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34 ods. 3 prvej vete sa za slovo „povinnosti“ vkladajú slová „alebo v zníženej výške určenej daňovníkom“.</w:t>
      </w:r>
    </w:p>
    <w:p w:rsidR="00000000" w:rsidDel="00000000" w:rsidP="00000000" w:rsidRDefault="00000000" w:rsidRPr="00000000" w14:paraId="0000001A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34 ods. 4 sa za slovo „daňovníka“ vkladá čiarka a slová „ktorého posledná známa daňová povinnosť presiahla 100 000 eur,“.</w:t>
      </w:r>
    </w:p>
    <w:p w:rsidR="00000000" w:rsidDel="00000000" w:rsidP="00000000" w:rsidRDefault="00000000" w:rsidRPr="00000000" w14:paraId="0000001C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§ 34 sa dopĺňa odsekmi 9 až 11, ktoré znejú:</w:t>
      </w:r>
    </w:p>
    <w:p w:rsidR="00000000" w:rsidDel="00000000" w:rsidP="00000000" w:rsidRDefault="00000000" w:rsidRPr="00000000" w14:paraId="0000001E">
      <w:pPr>
        <w:ind w:left="425" w:firstLine="0"/>
        <w:jc w:val="both"/>
        <w:rPr/>
      </w:pPr>
      <w:r w:rsidDel="00000000" w:rsidR="00000000" w:rsidRPr="00000000">
        <w:rPr>
          <w:rtl w:val="0"/>
        </w:rPr>
        <w:t xml:space="preserve">„(9) </w:t>
      </w:r>
      <w:r w:rsidDel="00000000" w:rsidR="00000000" w:rsidRPr="00000000">
        <w:rPr>
          <w:rtl w:val="0"/>
        </w:rPr>
        <w:t xml:space="preserve">Ak daňovník platí preddavky na daň v zníženej výške podľa odseku 2 alebo 3 a daň vypočítaná v jeho daňovom priznaní je vyššia ako zaplatené preddavky na daň, je povinný v lehote na podanie daňového priznania zaplatiť rozdiel a úrok zo sumy rozdielu</w:t>
      </w:r>
      <w:r w:rsidDel="00000000" w:rsidR="00000000" w:rsidRPr="00000000">
        <w:rPr>
          <w:rtl w:val="0"/>
        </w:rPr>
        <w:t xml:space="preserve"> vo </w:t>
      </w:r>
      <w:r w:rsidDel="00000000" w:rsidR="00000000" w:rsidRPr="00000000">
        <w:rPr>
          <w:rtl w:val="0"/>
        </w:rPr>
        <w:t xml:space="preserve">výške dvojnásobku základnej úrokovej sadzby Európskej centrálnej banky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ind w:left="425" w:firstLine="0"/>
        <w:jc w:val="both"/>
        <w:rPr/>
      </w:pPr>
      <w:r w:rsidDel="00000000" w:rsidR="00000000" w:rsidRPr="00000000">
        <w:rPr>
          <w:rtl w:val="0"/>
        </w:rPr>
        <w:t xml:space="preserve">(10) Platenie preddavkov na daň v zníženej výške podľa odseku 2 alebo 3,  je daňovník povinný oznámiť príslušnému správcovi dane predložením vyhlásenia príslušnému správcovi dane najneskôr 15 dní pred uplynutím lehoty splatnosti preddavku na daň z príjmov; zmenu výšky platenia preddavkov na daň môže daňovník počas zdaňovacieho obdobia oznámiť raz za kalendárny štvrťrok.</w:t>
      </w:r>
    </w:p>
    <w:p w:rsidR="00000000" w:rsidDel="00000000" w:rsidP="00000000" w:rsidRDefault="00000000" w:rsidRPr="00000000" w14:paraId="00000020">
      <w:pPr>
        <w:ind w:left="425" w:firstLine="0"/>
        <w:jc w:val="both"/>
        <w:rPr/>
      </w:pPr>
      <w:r w:rsidDel="00000000" w:rsidR="00000000" w:rsidRPr="00000000">
        <w:rPr>
          <w:rtl w:val="0"/>
        </w:rPr>
        <w:t xml:space="preserve">(11) </w:t>
      </w:r>
      <w:r w:rsidDel="00000000" w:rsidR="00000000" w:rsidRPr="00000000">
        <w:rPr>
          <w:rtl w:val="0"/>
        </w:rPr>
        <w:t xml:space="preserve">Ak sa daňovník rozhodol preddavky na daň v príslušnom zdaňovacom období neplatiť podľa odseku 1 poslednej vety, je povinný to oznámiť príslušnému správcovi dane predložením vyhlásenia najneskôr 15 dní pred uplynutím lehoty splatnosti preddavku na daň z príjmov.“.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42 ods. 1 znie:</w:t>
      </w:r>
    </w:p>
    <w:p w:rsidR="00000000" w:rsidDel="00000000" w:rsidP="00000000" w:rsidRDefault="00000000" w:rsidRPr="00000000" w14:paraId="00000023">
      <w:pPr>
        <w:ind w:left="425" w:firstLine="0"/>
        <w:jc w:val="both"/>
        <w:rPr/>
      </w:pPr>
      <w:r w:rsidDel="00000000" w:rsidR="00000000" w:rsidRPr="00000000">
        <w:rPr>
          <w:rtl w:val="0"/>
        </w:rPr>
        <w:t xml:space="preserve">„(1) Daňovník, ktorého daň za predchádzajúce zdaňovacie obdobie vypočítaná podľa odseku 6 presiahla 16 600 eur, platí počnúc prvým mesiacom nasledujúceho zdaňovacieho obdobia, mesačné preddavky na daň vo výške 1/12 dane za predchádzajúce zdaňovacie obdobie alebo v zníženej výške určenej daňovníkom, a to do konca príslušného mesiaca, ak tento zákon neustanovuje inak. Ak daňovník platí mesačné preddavky na daň vo výške 1/12 dane za predchádzajúce zdaňovacie obdobie, vyrovná celoročnú daň v lehote na podanie daňového priznania.“.</w:t>
      </w:r>
    </w:p>
    <w:p w:rsidR="00000000" w:rsidDel="00000000" w:rsidP="00000000" w:rsidRDefault="00000000" w:rsidRPr="00000000" w14:paraId="00000024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42 ods. 2 prvej vete sa za slová „predchádzajúce zdaňovacie obdobie“ vkladajú slová „alebo v zníženej výške určenej daňovníkom, ak tento zákon neustanovuje inak“.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42 ods. 2 posledná veta znie: „Ak daňovník platí štvrťročné preddavky na daň na bežné zdaňovacie obdobie vo výške 1/4 dane za predchádzajúce zdaňovacie obdobie, vyrovná celoročnú daň v lehote na podanie daňového priznania.“.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42 ods. 3 sa pred úvodnú vetu vkladá nová prvá veta: „Daňovník, ktorého daň za predchádzajúce zdaňovacie obdobie vypočítaná podľa odseku 6 nepresiahla 100 000 eur, je oprávnený správcovi dane oznámiť, že nebude platiť preddavky na daň, pričom v takom prípade je povinný v lehote na podanie daňového priznania vyrovnať celoročnú daň a zaplatiť úrok zo sumy celoročnej dane vypočítanej v jeho daňovom priznaní vo výške dvojnásobku základnej úrokovej sadzby Európskej centrálnej banky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42 ods. 4 druhej vete sa za slovo „Daňovník,“ vkladajú slová „ktorý platí preddavky podľa odseku 1 alebo 2 a“.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42 ods. 10 prvej vete sa </w:t>
      </w:r>
      <w:r w:rsidDel="00000000" w:rsidR="00000000" w:rsidRPr="00000000">
        <w:rPr>
          <w:rtl w:val="0"/>
        </w:rPr>
        <w:t xml:space="preserve">na konci pripájajú tieto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slová „a jej výška presiahla 100 000 eur“.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42 ods. 10 druhej vete sa za slovo „daňovníka“ vkladá čiarka a slová „ktorého daň za predchádzajúce zdaňovacie obdobie vypočítaná podľa odseku 6 presiahla 100 000 eur,“.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42 ods. 11 sa na konci pripája táto veta: „Ak daňovník platí preddavky na daň v zníženej výške pod</w:t>
      </w:r>
      <w:r w:rsidDel="00000000" w:rsidR="00000000" w:rsidRPr="00000000">
        <w:rPr>
          <w:rtl w:val="0"/>
        </w:rPr>
        <w:t xml:space="preserve">ľa odseku 1 alebo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daň vypočítaná v jeho daňovom priznaní je vyššia ako zaplatené preddavky na daň, je povinný v lehote na podanie daňového priznania vyrovnať celoročnú daň a zaplatiť úrok zo sumy rozdielu dane vypočítanej v jeho daňovom priznaní a zaplatených preddavkov na daň vo výške dvojnásobku základnej úrokovej sadzby Európskej centrálnej banky.“.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42 sa dopĺňa odsekmi 14 a 15, ktoré znejú: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„(14) Platenie preddavkov na daň v zníženej výške podľa odseku 1 alebo 2,  je daňovník povinný oznámiť príslušnému správcovi dane predložením vyhlásenia príslušnému správcovi dane najneskôr 15 dní pred uplynutím lehoty splatnosti preddavku na daň z príjmov; zmenu výšky platenia preddavkov na daň môže daňovník počas zdaňovacieho obdobia oznámiť raz za kalendárny štvrťrok.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(15) Ak sa daňovník rozhodol preddavky na daň v príslušnom zdaňovacom období neplatiť podľa odseku 3 prvej vety, je povinný to oznámiť príslušnému správcovi dane predložením vyhlásenia najneskôr 15 dní pred uplynutím lehoty splatnosti preddavku na daň z príjmov.“.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lineRule="auto"/>
        <w:ind w:left="425" w:hanging="360"/>
        <w:jc w:val="both"/>
        <w:rPr/>
      </w:pPr>
      <w:r w:rsidDel="00000000" w:rsidR="00000000" w:rsidRPr="00000000">
        <w:rPr>
          <w:rtl w:val="0"/>
        </w:rPr>
        <w:t xml:space="preserve">Za § 52zzze sa vkladá § 52zzzf, ktorý vrátane nadpisu znie:</w:t>
      </w:r>
    </w:p>
    <w:p w:rsidR="00000000" w:rsidDel="00000000" w:rsidP="00000000" w:rsidRDefault="00000000" w:rsidRPr="00000000" w14:paraId="00000038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b w:val="1"/>
          <w:rtl w:val="0"/>
        </w:rPr>
        <w:t xml:space="preserve">§ 52zzzf</w:t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Prechodné ustanovenia k úpravám účinným od 1. januára 2026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420" w:firstLine="0"/>
        <w:jc w:val="both"/>
        <w:rPr/>
      </w:pPr>
      <w:r w:rsidDel="00000000" w:rsidR="00000000" w:rsidRPr="00000000">
        <w:rPr>
          <w:rtl w:val="0"/>
        </w:rPr>
        <w:t xml:space="preserve">„(1) Ustanovenia § 34 ods. 1 až 4 a ods. 9 až 11 a § 42 ods. 1 až 4, ods. 10 a 11 a ods. 14 a 15 v znení účinnom od 1. januára 2026 sa prvýkrát použijú pri platení preddavkov na zdaňovacie obdobie začínajúce najskôr 1. januára 2026.</w:t>
      </w:r>
    </w:p>
    <w:p w:rsidR="00000000" w:rsidDel="00000000" w:rsidP="00000000" w:rsidRDefault="00000000" w:rsidRPr="00000000" w14:paraId="0000003C">
      <w:pPr>
        <w:ind w:left="420" w:firstLine="0"/>
        <w:jc w:val="both"/>
        <w:rPr/>
      </w:pPr>
      <w:r w:rsidDel="00000000" w:rsidR="00000000" w:rsidRPr="00000000">
        <w:rPr>
          <w:rtl w:val="0"/>
        </w:rPr>
        <w:t xml:space="preserve">(2) Do začatia preddavkového obdobia podľa § 34 v roku 2026 platia daňovníci, ktorí sú fyzickými osobami, preddavky na daň podľa predpisu účinného do 31. decembra 2025.“.</w:t>
      </w:r>
    </w:p>
    <w:p w:rsidR="00000000" w:rsidDel="00000000" w:rsidP="00000000" w:rsidRDefault="00000000" w:rsidRPr="00000000" w14:paraId="0000003D">
      <w:pPr>
        <w:ind w:left="420" w:firstLine="0"/>
        <w:jc w:val="both"/>
        <w:rPr/>
      </w:pPr>
      <w:r w:rsidDel="00000000" w:rsidR="00000000" w:rsidRPr="00000000">
        <w:rPr>
          <w:rtl w:val="0"/>
        </w:rPr>
        <w:t xml:space="preserve">(3) Do začatia preddavkového obdobia podľa § 42 v roku 2026 platia daňovníci, ktorí sú právnickými osobami, preddavky na daň podľa predpisu účinného do 31. decembra 2025.“.</w:t>
      </w:r>
    </w:p>
    <w:p w:rsidR="00000000" w:rsidDel="00000000" w:rsidP="00000000" w:rsidRDefault="00000000" w:rsidRPr="00000000" w14:paraId="0000003E">
      <w:pPr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4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Tento zákon nadobúda účinnosť 1. januára 2026.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446655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taChar" w:customStyle="1">
    <w:name w:val="Päta Char"/>
    <w:basedOn w:val="Predvolenpsmoodseku"/>
    <w:link w:val="Pta"/>
    <w:uiPriority w:val="99"/>
    <w:qFormat w:val="1"/>
    <w:rsid w:val="00905FD0"/>
  </w:style>
  <w:style w:type="paragraph" w:styleId="Odsekzoznamu">
    <w:name w:val="List Paragraph"/>
    <w:basedOn w:val="Normlny"/>
    <w:link w:val="OdsekzoznamuChar"/>
    <w:uiPriority w:val="34"/>
    <w:qFormat w:val="1"/>
    <w:rsid w:val="00905FD0"/>
    <w:pPr>
      <w:suppressAutoHyphens w:val="1"/>
      <w:ind w:left="708"/>
    </w:pPr>
    <w:rPr>
      <w:rFonts w:ascii="Arial" w:hAnsi="Arial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 w:val="1"/>
    <w:rsid w:val="00905FD0"/>
    <w:pPr>
      <w:tabs>
        <w:tab w:val="center" w:pos="4536"/>
        <w:tab w:val="right" w:pos="9072"/>
      </w:tabs>
      <w:suppressAutoHyphens w:val="1"/>
    </w:pPr>
    <w:rPr>
      <w:rFonts w:asciiTheme="minorHAnsi" w:cstheme="minorBidi" w:eastAsiaTheme="minorHAnsi" w:hAnsiTheme="minorHAnsi"/>
      <w:lang w:eastAsia="en-US"/>
    </w:rPr>
  </w:style>
  <w:style w:type="character" w:styleId="PtaChar1" w:customStyle="1">
    <w:name w:val="Päta Char1"/>
    <w:basedOn w:val="Predvolenpsmoodseku"/>
    <w:uiPriority w:val="99"/>
    <w:semiHidden w:val="1"/>
    <w:rsid w:val="00905FD0"/>
    <w:rPr>
      <w:sz w:val="22"/>
      <w:szCs w:val="22"/>
    </w:rPr>
  </w:style>
  <w:style w:type="paragraph" w:styleId="Bezriadkovania">
    <w:name w:val="No Spacing"/>
    <w:uiPriority w:val="1"/>
    <w:qFormat w:val="1"/>
    <w:rsid w:val="00905FD0"/>
    <w:rPr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autoSpaceDE w:val="0"/>
      <w:autoSpaceDN w:val="0"/>
      <w:adjustRightInd w:val="0"/>
      <w:jc w:val="both"/>
    </w:pPr>
    <w:rPr>
      <w:lang w:eastAsia="cs-CZ"/>
    </w:rPr>
  </w:style>
  <w:style w:type="character" w:styleId="ZkladntextChar" w:customStyle="1">
    <w:name w:val="Základný text Char"/>
    <w:basedOn w:val="Predvolenpsmoodseku"/>
    <w:link w:val="Zkladntext"/>
    <w:uiPriority w:val="99"/>
    <w:rsid w:val="00905FD0"/>
    <w:rPr>
      <w:rFonts w:ascii="Times New Roman" w:cs="Times New Roman" w:eastAsia="Times New Roman" w:hAnsi="Times New Roman"/>
      <w:lang w:eastAsia="cs-CZ"/>
    </w:rPr>
  </w:style>
  <w:style w:type="paragraph" w:styleId="Default" w:customStyle="1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cs="Liberation Serif" w:hAnsi="Liberation Serif"/>
      <w:color w:val="000000"/>
      <w:kern w:val="2"/>
      <w:lang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 w:val="1"/>
    <w:uiPriority w:val="99"/>
    <w:semiHidden w:val="1"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BA123F"/>
    <w:pPr>
      <w:suppressAutoHyphens w:val="1"/>
      <w:spacing w:after="160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A123F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A123F"/>
    <w:rPr>
      <w:b w:val="1"/>
      <w:bCs w:val="1"/>
      <w:sz w:val="20"/>
      <w:szCs w:val="2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6175E8"/>
    <w:rPr>
      <w:color w:val="605e5c"/>
      <w:shd w:color="auto" w:fill="e1dfdd" w:val="clear"/>
    </w:rPr>
  </w:style>
  <w:style w:type="character" w:styleId="OdsekzoznamuChar" w:customStyle="1">
    <w:name w:val="Odsek zoznamu Char"/>
    <w:link w:val="Odsekzoznamu"/>
    <w:uiPriority w:val="34"/>
    <w:locked w:val="1"/>
    <w:rsid w:val="00324393"/>
    <w:rPr>
      <w:rFonts w:ascii="Arial" w:cs="Times New Roman" w:eastAsia="Times New Roman" w:hAnsi="Arial"/>
      <w:szCs w:val="20"/>
      <w:lang w:eastAsia="cs-CZ"/>
    </w:rPr>
  </w:style>
  <w:style w:type="table" w:styleId="Mriekatabuky">
    <w:name w:val="Table Grid"/>
    <w:basedOn w:val="Normlnatabuka"/>
    <w:uiPriority w:val="59"/>
    <w:rsid w:val="00324393"/>
    <w:rPr>
      <w:rFonts w:ascii="Arial Narrow" w:hAnsi="Arial Narrow"/>
      <w:sz w:val="22"/>
      <w:szCs w:val="36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uitHypertextovPrepojenie">
    <w:name w:val="FollowedHyperlink"/>
    <w:basedOn w:val="Predvolenpsmoodseku"/>
    <w:uiPriority w:val="99"/>
    <w:semiHidden w:val="1"/>
    <w:unhideWhenUsed w:val="1"/>
    <w:rsid w:val="00C15A39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 w:val="1"/>
    <w:unhideWhenUsed w:val="1"/>
    <w:rsid w:val="00533F89"/>
    <w:pPr>
      <w:spacing w:after="100" w:afterAutospacing="1" w:before="100" w:beforeAutospacing="1"/>
    </w:pPr>
  </w:style>
  <w:style w:type="numbering" w:styleId="Aktulnyzoznam1" w:customStyle="1">
    <w:name w:val="Aktuálny zoznam1"/>
    <w:uiPriority w:val="99"/>
    <w:rsid w:val="00BC403A"/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ghusETxZXYkHERd2l+NcN6oMA==">CgMxLjA4AGokChNzdWdnZXN0LnUweTIzcGl1NmJ2Eg1NaWNoYWwgVHJ1YmFuaikKFHN1Z2dlc3QudTM0Z3d1ZjByYXM5EhFEw6HFoWEgQmxhxaFrb3bDoWolChRzdWdnZXN0LmJhbjAzZHl6aTRvYhINTWljaGFsIFRydWJhbmolChRzdWdnZXN0LjVuejNxZnkybzExaRINTWljaGFsIFRydWJhbmolChRzdWdnZXN0Lm10Z2sxbm0zZmV1dhINTWljaGFsIFRydWJhbmolChRzdWdnZXN0Lmc1ZG5yYWZ3MHo3dBINTWljaGFsIFRydWJhbmopChRzdWdnZXN0LjdmeGJkcXZ6cGxnaBIRRMOhxaFhIEJsYcWha292w6FqKQoUc3VnZ2VzdC51NDR2Z3RhYzgzNnoSEUTDocWhYSBCbGHFoWtvdsOhaiQKE3N1Z2dlc3Qubm41c3hkOTE5b2USDU1pY2hhbCBUcnViYW5qJQoUc3VnZ2VzdC4xb3lrOGIzYzcyb3kSDU1pY2hhbCBUcnViYW5qJQoUc3VnZ2VzdC4xbGlpdXdwa2lkZWQSDU1pY2hhbCBUcnViYW5qJQoUc3VnZ2VzdC55ejg4YjN0amVsMHISDU1pY2hhbCBUcnViYW5qKQoUc3VnZ2VzdC5mOHUzenU4Zmd6a2cSEUTDocWhYSBCbGHFoWtvdsOhaikKFHN1Z2dlc3Qub3A4NWthdDk1Z29vEhFEw6HFoWEgQmxhxaFrb3bDoWolChRzdWdnZXN0LmdoaTlwdThiMjZ5ahINTWljaGFsIFRydWJhbmolChRzdWdnZXN0LjM5cnc4NzlpMmJkYhINTWljaGFsIFRydWJhbmopChRzdWdnZXN0Ljd4bTN5NG40MmVhehIRRMOhxaFhIEJsYcWha292w6FqJQoUc3VnZ2VzdC5zcm9xcTQ0aDByMGYSDU1pY2hhbCBUcnViYW5yITFaeDFaYzY2VGV0ZExZcnJrbkZlcU84VERzc1VmUnhE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2025-03-05T21:11:00Z</dcterms:created>
  <dc:creator>Dáša Blašková</dc:creator>
</cp:coreProperties>
</file>