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E7" w:rsidRDefault="00B142E7">
      <w:pPr>
        <w:pStyle w:val="Zkladntext"/>
        <w:spacing w:before="96"/>
        <w:rPr>
          <w:b/>
        </w:rPr>
      </w:pPr>
    </w:p>
    <w:p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44A20451" wp14:editId="168C7E28">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rsidR="00B142E7" w:rsidRPr="001A67A5" w:rsidRDefault="001A67A5" w:rsidP="001A67A5">
      <w:pPr>
        <w:pStyle w:val="Nzov"/>
        <w:ind w:left="142"/>
        <w:jc w:val="center"/>
      </w:pPr>
      <w:r>
        <w:t>návrhu</w:t>
      </w:r>
      <w:r>
        <w:rPr>
          <w:spacing w:val="-6"/>
        </w:rPr>
        <w:t xml:space="preserve"> </w:t>
      </w:r>
      <w:r w:rsidR="00596EE9">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rsidR="001A67A5" w:rsidRDefault="001A67A5">
      <w:pPr>
        <w:pStyle w:val="Zkladntext"/>
        <w:spacing w:before="1"/>
        <w:rPr>
          <w:b/>
        </w:rPr>
      </w:pPr>
    </w:p>
    <w:p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rsidTr="00731AFE">
        <w:trPr>
          <w:trHeight w:val="490"/>
        </w:trPr>
        <w:tc>
          <w:tcPr>
            <w:tcW w:w="6950" w:type="dxa"/>
            <w:gridSpan w:val="3"/>
          </w:tcPr>
          <w:p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rsidTr="00731AFE">
        <w:trPr>
          <w:trHeight w:val="490"/>
        </w:trPr>
        <w:tc>
          <w:tcPr>
            <w:tcW w:w="6950" w:type="dxa"/>
            <w:gridSpan w:val="3"/>
          </w:tcPr>
          <w:p w:rsidR="001A67A5" w:rsidRPr="0023294F" w:rsidRDefault="001A67A5" w:rsidP="00843DBE">
            <w:pPr>
              <w:pStyle w:val="TableParagraph"/>
              <w:jc w:val="both"/>
              <w:rPr>
                <w:b/>
                <w:sz w:val="20"/>
              </w:rPr>
            </w:pPr>
            <w:r w:rsidRPr="008012C8">
              <w:rPr>
                <w:b/>
                <w:sz w:val="20"/>
              </w:rPr>
              <w:t>S</w:t>
            </w:r>
            <w:r>
              <w:rPr>
                <w:b/>
                <w:sz w:val="20"/>
              </w:rPr>
              <w:t xml:space="preserve">mernica Európskeho parlamentu a Rady </w:t>
            </w:r>
            <w:r w:rsidRPr="008012C8">
              <w:rPr>
                <w:b/>
                <w:sz w:val="20"/>
              </w:rPr>
              <w:t>(EÚ)</w:t>
            </w:r>
            <w:r>
              <w:rPr>
                <w:b/>
                <w:sz w:val="20"/>
              </w:rPr>
              <w:t xml:space="preserve"> </w:t>
            </w:r>
            <w:r w:rsidR="0023294F">
              <w:rPr>
                <w:b/>
                <w:sz w:val="20"/>
              </w:rPr>
              <w:t xml:space="preserve">2019/1 z 11. decembra 2018 </w:t>
            </w:r>
            <w:r w:rsidR="0023294F" w:rsidRPr="0023294F">
              <w:rPr>
                <w:b/>
                <w:sz w:val="20"/>
              </w:rPr>
              <w:t>o posilnení právomocí orgánov na ochranu hospodárskej súťaže v členských štátoch na účely účinnejšieho presadzovania práva a o zabezpečení riadneho fungovania vnútorného trhu</w:t>
            </w:r>
            <w:r w:rsidR="00843DBE">
              <w:rPr>
                <w:b/>
                <w:sz w:val="20"/>
              </w:rPr>
              <w:t xml:space="preserve"> </w:t>
            </w:r>
            <w:r w:rsidR="000F13D9">
              <w:rPr>
                <w:b/>
                <w:sz w:val="20"/>
              </w:rPr>
              <w:t>(Ú. v. EÚ</w:t>
            </w:r>
            <w:r>
              <w:rPr>
                <w:b/>
                <w:sz w:val="20"/>
              </w:rPr>
              <w:t xml:space="preserve"> L </w:t>
            </w:r>
            <w:r w:rsidR="00843DBE">
              <w:rPr>
                <w:b/>
                <w:sz w:val="20"/>
              </w:rPr>
              <w:t>11</w:t>
            </w:r>
            <w:r>
              <w:rPr>
                <w:b/>
                <w:sz w:val="20"/>
              </w:rPr>
              <w:t xml:space="preserve">, </w:t>
            </w:r>
            <w:r w:rsidR="0023294F">
              <w:rPr>
                <w:b/>
                <w:sz w:val="20"/>
              </w:rPr>
              <w:t>1</w:t>
            </w:r>
            <w:r w:rsidR="00843DBE">
              <w:rPr>
                <w:b/>
                <w:sz w:val="20"/>
              </w:rPr>
              <w:t>4</w:t>
            </w:r>
            <w:r>
              <w:rPr>
                <w:b/>
                <w:sz w:val="20"/>
              </w:rPr>
              <w:t>.</w:t>
            </w:r>
            <w:r w:rsidR="0023294F">
              <w:rPr>
                <w:b/>
                <w:sz w:val="20"/>
              </w:rPr>
              <w:t>1</w:t>
            </w:r>
            <w:r>
              <w:rPr>
                <w:b/>
                <w:sz w:val="20"/>
              </w:rPr>
              <w:t>.201</w:t>
            </w:r>
            <w:r w:rsidR="0023294F">
              <w:rPr>
                <w:b/>
                <w:sz w:val="20"/>
              </w:rPr>
              <w:t>9</w:t>
            </w:r>
            <w:r>
              <w:rPr>
                <w:b/>
                <w:sz w:val="20"/>
              </w:rPr>
              <w:t>)</w:t>
            </w:r>
          </w:p>
          <w:p w:rsidR="00843DBE" w:rsidRDefault="00843DBE" w:rsidP="00843DBE">
            <w:pPr>
              <w:pStyle w:val="TableParagraph"/>
              <w:jc w:val="both"/>
              <w:rPr>
                <w:b/>
                <w:sz w:val="20"/>
              </w:rPr>
            </w:pPr>
          </w:p>
          <w:p w:rsidR="00843DBE" w:rsidRPr="00F72F32" w:rsidRDefault="00843DBE" w:rsidP="0023294F">
            <w:pPr>
              <w:pStyle w:val="TableParagraph"/>
              <w:jc w:val="both"/>
              <w:rPr>
                <w:b/>
                <w:sz w:val="20"/>
                <w:szCs w:val="20"/>
              </w:rPr>
            </w:pPr>
          </w:p>
        </w:tc>
        <w:tc>
          <w:tcPr>
            <w:tcW w:w="9070" w:type="dxa"/>
            <w:gridSpan w:val="7"/>
          </w:tcPr>
          <w:p w:rsidR="001A67A5" w:rsidRDefault="001A67A5" w:rsidP="001A67A5">
            <w:pPr>
              <w:pStyle w:val="TableParagraph"/>
              <w:spacing w:line="259" w:lineRule="auto"/>
              <w:ind w:left="116" w:right="96" w:hanging="10"/>
              <w:jc w:val="both"/>
              <w:rPr>
                <w:b/>
                <w:sz w:val="20"/>
              </w:rPr>
            </w:pPr>
            <w:r>
              <w:rPr>
                <w:b/>
                <w:sz w:val="20"/>
              </w:rPr>
              <w:t xml:space="preserve">Návrh zákona, </w:t>
            </w:r>
            <w:r w:rsidRPr="008012C8">
              <w:rPr>
                <w:b/>
                <w:sz w:val="20"/>
              </w:rPr>
              <w:t>ktorým sa mení a dopĺňa zákon č. 55/2017 Z. z. o štátnej službe a o zmene a doplnení niektorých zákonov v znení neskorších predpisov a ktorým sa menia a dopĺňajú niektoré zákony</w:t>
            </w:r>
            <w:r>
              <w:rPr>
                <w:b/>
                <w:sz w:val="20"/>
              </w:rPr>
              <w:t xml:space="preserve"> (ďalej len „NZ“)</w:t>
            </w:r>
          </w:p>
          <w:p w:rsidR="00A46970" w:rsidRDefault="00A46970" w:rsidP="001A67A5">
            <w:pPr>
              <w:pStyle w:val="TableParagraph"/>
              <w:spacing w:line="259" w:lineRule="auto"/>
              <w:ind w:left="116" w:right="96" w:hanging="10"/>
              <w:jc w:val="both"/>
              <w:rPr>
                <w:b/>
                <w:sz w:val="20"/>
              </w:rPr>
            </w:pPr>
          </w:p>
          <w:p w:rsidR="00A46970" w:rsidRDefault="00A46970" w:rsidP="001A67A5">
            <w:pPr>
              <w:pStyle w:val="TableParagraph"/>
              <w:spacing w:line="259" w:lineRule="auto"/>
              <w:ind w:left="116" w:right="96" w:hanging="10"/>
              <w:jc w:val="both"/>
              <w:rPr>
                <w:b/>
                <w:sz w:val="20"/>
              </w:rPr>
            </w:pPr>
            <w:r w:rsidRPr="005655FC">
              <w:rPr>
                <w:sz w:val="20"/>
                <w:szCs w:val="20"/>
              </w:rPr>
              <w:t>Zákon č. 55/2017 Z. z. o štátnej službe a o zmene a doplnení niektorých zákonov v znení neskorších predpisov (ďalej len „zákon č. 55/2017“)</w:t>
            </w:r>
          </w:p>
          <w:p w:rsidR="001A67A5" w:rsidRPr="009332C4" w:rsidRDefault="001A67A5">
            <w:pPr>
              <w:pStyle w:val="TableParagraph"/>
              <w:rPr>
                <w:sz w:val="20"/>
                <w:szCs w:val="20"/>
              </w:rPr>
            </w:pPr>
          </w:p>
        </w:tc>
      </w:tr>
      <w:tr w:rsidR="001A67A5" w:rsidRPr="009332C4" w:rsidTr="00E3343C">
        <w:trPr>
          <w:trHeight w:val="490"/>
        </w:trPr>
        <w:tc>
          <w:tcPr>
            <w:tcW w:w="852" w:type="dxa"/>
          </w:tcPr>
          <w:p w:rsidR="001A67A5" w:rsidRPr="001A67A5" w:rsidRDefault="001A67A5" w:rsidP="001A67A5">
            <w:pPr>
              <w:pStyle w:val="TableParagraph"/>
              <w:jc w:val="center"/>
              <w:rPr>
                <w:sz w:val="20"/>
                <w:szCs w:val="20"/>
              </w:rPr>
            </w:pPr>
            <w:r w:rsidRPr="001A67A5">
              <w:rPr>
                <w:sz w:val="20"/>
                <w:szCs w:val="20"/>
              </w:rPr>
              <w:t>1</w:t>
            </w:r>
          </w:p>
        </w:tc>
        <w:tc>
          <w:tcPr>
            <w:tcW w:w="5387" w:type="dxa"/>
          </w:tcPr>
          <w:p w:rsidR="001A67A5" w:rsidRPr="001A67A5" w:rsidRDefault="001A67A5" w:rsidP="001A67A5">
            <w:pPr>
              <w:pStyle w:val="TableParagraph"/>
              <w:jc w:val="center"/>
              <w:rPr>
                <w:sz w:val="20"/>
                <w:szCs w:val="20"/>
              </w:rPr>
            </w:pPr>
            <w:r w:rsidRPr="001A67A5">
              <w:rPr>
                <w:sz w:val="20"/>
                <w:szCs w:val="20"/>
              </w:rPr>
              <w:t>2</w:t>
            </w:r>
          </w:p>
        </w:tc>
        <w:tc>
          <w:tcPr>
            <w:tcW w:w="711" w:type="dxa"/>
          </w:tcPr>
          <w:p w:rsidR="001A67A5" w:rsidRPr="001A67A5" w:rsidRDefault="001A67A5" w:rsidP="001A67A5">
            <w:pPr>
              <w:pStyle w:val="TableParagraph"/>
              <w:jc w:val="center"/>
              <w:rPr>
                <w:sz w:val="20"/>
                <w:szCs w:val="20"/>
              </w:rPr>
            </w:pPr>
            <w:r w:rsidRPr="001A67A5">
              <w:rPr>
                <w:sz w:val="20"/>
                <w:szCs w:val="20"/>
              </w:rPr>
              <w:t>3</w:t>
            </w:r>
          </w:p>
        </w:tc>
        <w:tc>
          <w:tcPr>
            <w:tcW w:w="992" w:type="dxa"/>
          </w:tcPr>
          <w:p w:rsidR="001A67A5" w:rsidRPr="001A67A5" w:rsidRDefault="001A67A5" w:rsidP="001A67A5">
            <w:pPr>
              <w:pStyle w:val="TableParagraph"/>
              <w:jc w:val="center"/>
              <w:rPr>
                <w:sz w:val="20"/>
                <w:szCs w:val="20"/>
              </w:rPr>
            </w:pPr>
            <w:r w:rsidRPr="001A67A5">
              <w:rPr>
                <w:sz w:val="20"/>
                <w:szCs w:val="20"/>
              </w:rPr>
              <w:t>4</w:t>
            </w:r>
          </w:p>
        </w:tc>
        <w:tc>
          <w:tcPr>
            <w:tcW w:w="852" w:type="dxa"/>
          </w:tcPr>
          <w:p w:rsidR="001A67A5" w:rsidRPr="001A67A5" w:rsidRDefault="001A67A5" w:rsidP="001A67A5">
            <w:pPr>
              <w:pStyle w:val="TableParagraph"/>
              <w:jc w:val="center"/>
              <w:rPr>
                <w:sz w:val="20"/>
                <w:szCs w:val="20"/>
              </w:rPr>
            </w:pPr>
            <w:r w:rsidRPr="001A67A5">
              <w:rPr>
                <w:sz w:val="20"/>
                <w:szCs w:val="20"/>
              </w:rPr>
              <w:t>5</w:t>
            </w:r>
          </w:p>
        </w:tc>
        <w:tc>
          <w:tcPr>
            <w:tcW w:w="3826" w:type="dxa"/>
          </w:tcPr>
          <w:p w:rsidR="001A67A5" w:rsidRPr="001A67A5" w:rsidRDefault="001A67A5" w:rsidP="001A67A5">
            <w:pPr>
              <w:pStyle w:val="TableParagraph"/>
              <w:jc w:val="center"/>
              <w:rPr>
                <w:sz w:val="20"/>
                <w:szCs w:val="20"/>
              </w:rPr>
            </w:pPr>
            <w:r w:rsidRPr="001A67A5">
              <w:rPr>
                <w:sz w:val="20"/>
                <w:szCs w:val="20"/>
              </w:rPr>
              <w:t>6</w:t>
            </w:r>
          </w:p>
        </w:tc>
        <w:tc>
          <w:tcPr>
            <w:tcW w:w="993" w:type="dxa"/>
          </w:tcPr>
          <w:p w:rsidR="001A67A5" w:rsidRPr="001A67A5" w:rsidRDefault="001A67A5" w:rsidP="001A67A5">
            <w:pPr>
              <w:pStyle w:val="TableParagraph"/>
              <w:jc w:val="center"/>
              <w:rPr>
                <w:sz w:val="20"/>
                <w:szCs w:val="20"/>
              </w:rPr>
            </w:pPr>
            <w:r w:rsidRPr="001A67A5">
              <w:rPr>
                <w:sz w:val="20"/>
                <w:szCs w:val="20"/>
              </w:rPr>
              <w:t>7</w:t>
            </w:r>
          </w:p>
        </w:tc>
        <w:tc>
          <w:tcPr>
            <w:tcW w:w="849" w:type="dxa"/>
          </w:tcPr>
          <w:p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rsidR="001A67A5" w:rsidRPr="001A67A5" w:rsidRDefault="001A67A5" w:rsidP="001A67A5">
            <w:pPr>
              <w:pStyle w:val="TableParagraph"/>
              <w:jc w:val="center"/>
              <w:rPr>
                <w:sz w:val="20"/>
                <w:szCs w:val="20"/>
              </w:rPr>
            </w:pPr>
            <w:r w:rsidRPr="001A67A5">
              <w:rPr>
                <w:sz w:val="20"/>
                <w:szCs w:val="20"/>
              </w:rPr>
              <w:t>9</w:t>
            </w:r>
          </w:p>
        </w:tc>
        <w:tc>
          <w:tcPr>
            <w:tcW w:w="851" w:type="dxa"/>
          </w:tcPr>
          <w:p w:rsidR="001A67A5" w:rsidRPr="001A67A5" w:rsidRDefault="001A67A5" w:rsidP="001A67A5">
            <w:pPr>
              <w:pStyle w:val="TableParagraph"/>
              <w:jc w:val="center"/>
              <w:rPr>
                <w:sz w:val="20"/>
                <w:szCs w:val="20"/>
              </w:rPr>
            </w:pPr>
            <w:r w:rsidRPr="001A67A5">
              <w:rPr>
                <w:sz w:val="20"/>
                <w:szCs w:val="20"/>
              </w:rPr>
              <w:t>10</w:t>
            </w:r>
          </w:p>
        </w:tc>
      </w:tr>
      <w:tr w:rsidR="001A67A5" w:rsidRPr="009332C4" w:rsidTr="00E3343C">
        <w:trPr>
          <w:trHeight w:val="490"/>
        </w:trPr>
        <w:tc>
          <w:tcPr>
            <w:tcW w:w="852" w:type="dxa"/>
          </w:tcPr>
          <w:p w:rsidR="001A67A5" w:rsidRPr="001A67A5" w:rsidRDefault="001A67A5" w:rsidP="002D35A7">
            <w:pPr>
              <w:pStyle w:val="TableParagraph"/>
              <w:jc w:val="center"/>
              <w:rPr>
                <w:sz w:val="20"/>
                <w:szCs w:val="20"/>
              </w:rPr>
            </w:pPr>
            <w:r w:rsidRPr="001A67A5">
              <w:rPr>
                <w:sz w:val="20"/>
                <w:szCs w:val="20"/>
              </w:rPr>
              <w:t>Článok</w:t>
            </w:r>
          </w:p>
          <w:p w:rsidR="001A67A5" w:rsidRPr="001A67A5" w:rsidRDefault="001A67A5" w:rsidP="002D35A7">
            <w:pPr>
              <w:pStyle w:val="TableParagraph"/>
              <w:jc w:val="center"/>
              <w:rPr>
                <w:sz w:val="20"/>
                <w:szCs w:val="20"/>
              </w:rPr>
            </w:pPr>
            <w:r w:rsidRPr="001A67A5">
              <w:rPr>
                <w:sz w:val="20"/>
                <w:szCs w:val="20"/>
              </w:rPr>
              <w:t>(Č, O,</w:t>
            </w:r>
          </w:p>
          <w:p w:rsidR="001A67A5" w:rsidRPr="00F72F32" w:rsidRDefault="001A67A5" w:rsidP="002D35A7">
            <w:pPr>
              <w:pStyle w:val="TableParagraph"/>
              <w:jc w:val="center"/>
              <w:rPr>
                <w:sz w:val="20"/>
                <w:szCs w:val="20"/>
              </w:rPr>
            </w:pPr>
            <w:r w:rsidRPr="001A67A5">
              <w:rPr>
                <w:sz w:val="20"/>
                <w:szCs w:val="20"/>
              </w:rPr>
              <w:t>V, P)</w:t>
            </w:r>
          </w:p>
        </w:tc>
        <w:tc>
          <w:tcPr>
            <w:tcW w:w="5387" w:type="dxa"/>
          </w:tcPr>
          <w:p w:rsidR="001A67A5" w:rsidRPr="00F72F32" w:rsidRDefault="001A67A5" w:rsidP="002D35A7">
            <w:pPr>
              <w:pStyle w:val="TableParagraph"/>
              <w:jc w:val="center"/>
              <w:rPr>
                <w:sz w:val="20"/>
                <w:szCs w:val="20"/>
              </w:rPr>
            </w:pPr>
            <w:r w:rsidRPr="001A67A5">
              <w:rPr>
                <w:sz w:val="20"/>
                <w:szCs w:val="20"/>
              </w:rPr>
              <w:t>Text</w:t>
            </w:r>
          </w:p>
        </w:tc>
        <w:tc>
          <w:tcPr>
            <w:tcW w:w="711" w:type="dxa"/>
          </w:tcPr>
          <w:p w:rsidR="001A67A5" w:rsidRPr="001A67A5" w:rsidRDefault="001A67A5" w:rsidP="002D35A7">
            <w:pPr>
              <w:pStyle w:val="TableParagraph"/>
              <w:jc w:val="center"/>
              <w:rPr>
                <w:sz w:val="20"/>
                <w:szCs w:val="20"/>
              </w:rPr>
            </w:pPr>
            <w:r w:rsidRPr="001A67A5">
              <w:rPr>
                <w:sz w:val="20"/>
                <w:szCs w:val="20"/>
              </w:rPr>
              <w:t>Spôs</w:t>
            </w:r>
          </w:p>
          <w:p w:rsidR="001A67A5" w:rsidRPr="001A67A5" w:rsidRDefault="001A67A5" w:rsidP="002D35A7">
            <w:pPr>
              <w:pStyle w:val="TableParagraph"/>
              <w:jc w:val="center"/>
              <w:rPr>
                <w:sz w:val="20"/>
                <w:szCs w:val="20"/>
              </w:rPr>
            </w:pPr>
            <w:r w:rsidRPr="001A67A5">
              <w:rPr>
                <w:sz w:val="20"/>
                <w:szCs w:val="20"/>
              </w:rPr>
              <w:t>ob</w:t>
            </w:r>
          </w:p>
          <w:p w:rsidR="001A67A5" w:rsidRPr="001A67A5" w:rsidRDefault="001A67A5" w:rsidP="002D35A7">
            <w:pPr>
              <w:pStyle w:val="TableParagraph"/>
              <w:jc w:val="center"/>
              <w:rPr>
                <w:sz w:val="20"/>
                <w:szCs w:val="20"/>
              </w:rPr>
            </w:pPr>
            <w:r w:rsidRPr="001A67A5">
              <w:rPr>
                <w:sz w:val="20"/>
                <w:szCs w:val="20"/>
              </w:rPr>
              <w:t>trans</w:t>
            </w:r>
          </w:p>
          <w:p w:rsidR="001A67A5" w:rsidRPr="002D35A7" w:rsidRDefault="002D35A7" w:rsidP="002D35A7">
            <w:pPr>
              <w:pStyle w:val="TableParagraph"/>
              <w:jc w:val="center"/>
              <w:rPr>
                <w:sz w:val="20"/>
                <w:szCs w:val="20"/>
              </w:rPr>
            </w:pPr>
            <w:r>
              <w:rPr>
                <w:sz w:val="20"/>
                <w:szCs w:val="20"/>
              </w:rPr>
              <w:t>pozície</w:t>
            </w:r>
          </w:p>
        </w:tc>
        <w:tc>
          <w:tcPr>
            <w:tcW w:w="992" w:type="dxa"/>
          </w:tcPr>
          <w:p w:rsidR="001A67A5" w:rsidRPr="001A67A5" w:rsidRDefault="001A67A5" w:rsidP="002D35A7">
            <w:pPr>
              <w:pStyle w:val="TableParagraph"/>
              <w:jc w:val="center"/>
              <w:rPr>
                <w:sz w:val="20"/>
                <w:szCs w:val="20"/>
              </w:rPr>
            </w:pPr>
            <w:r w:rsidRPr="001A67A5">
              <w:rPr>
                <w:sz w:val="20"/>
                <w:szCs w:val="20"/>
              </w:rPr>
              <w:t>Číslo</w:t>
            </w:r>
          </w:p>
        </w:tc>
        <w:tc>
          <w:tcPr>
            <w:tcW w:w="852" w:type="dxa"/>
          </w:tcPr>
          <w:p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rsidR="001A67A5" w:rsidRPr="00F72F32" w:rsidRDefault="001A67A5" w:rsidP="002D35A7">
            <w:pPr>
              <w:pStyle w:val="TableParagraph"/>
              <w:jc w:val="center"/>
              <w:rPr>
                <w:sz w:val="20"/>
                <w:szCs w:val="20"/>
              </w:rPr>
            </w:pPr>
            <w:r>
              <w:rPr>
                <w:spacing w:val="-4"/>
                <w:sz w:val="20"/>
              </w:rPr>
              <w:t>Text</w:t>
            </w:r>
          </w:p>
        </w:tc>
        <w:tc>
          <w:tcPr>
            <w:tcW w:w="993" w:type="dxa"/>
          </w:tcPr>
          <w:p w:rsidR="001A67A5" w:rsidRPr="002D35A7" w:rsidRDefault="001A67A5" w:rsidP="002D35A7">
            <w:pPr>
              <w:pStyle w:val="TableParagraph"/>
              <w:jc w:val="center"/>
              <w:rPr>
                <w:sz w:val="20"/>
                <w:szCs w:val="20"/>
              </w:rPr>
            </w:pPr>
            <w:r w:rsidRPr="002D35A7">
              <w:rPr>
                <w:spacing w:val="-4"/>
                <w:sz w:val="20"/>
              </w:rPr>
              <w:t>Zhoda</w:t>
            </w:r>
          </w:p>
        </w:tc>
        <w:tc>
          <w:tcPr>
            <w:tcW w:w="849" w:type="dxa"/>
          </w:tcPr>
          <w:p w:rsidR="001A67A5" w:rsidRPr="001A67A5" w:rsidRDefault="001A67A5" w:rsidP="002D35A7">
            <w:pPr>
              <w:pStyle w:val="TableParagraph"/>
              <w:spacing w:line="205" w:lineRule="exact"/>
              <w:ind w:left="109"/>
              <w:jc w:val="center"/>
              <w:rPr>
                <w:sz w:val="20"/>
                <w:szCs w:val="20"/>
              </w:rPr>
            </w:pPr>
            <w:r w:rsidRPr="001A67A5">
              <w:rPr>
                <w:sz w:val="20"/>
                <w:szCs w:val="20"/>
              </w:rPr>
              <w:t>Pozná</w:t>
            </w:r>
          </w:p>
          <w:p w:rsidR="001A67A5" w:rsidRPr="009332C4" w:rsidRDefault="001A67A5" w:rsidP="002D35A7">
            <w:pPr>
              <w:pStyle w:val="TableParagraph"/>
              <w:spacing w:line="205" w:lineRule="exact"/>
              <w:ind w:left="109"/>
              <w:jc w:val="center"/>
              <w:rPr>
                <w:sz w:val="20"/>
                <w:szCs w:val="20"/>
              </w:rPr>
            </w:pPr>
            <w:r w:rsidRPr="001A67A5">
              <w:rPr>
                <w:sz w:val="20"/>
                <w:szCs w:val="20"/>
              </w:rPr>
              <w:t>mky</w:t>
            </w:r>
          </w:p>
        </w:tc>
        <w:tc>
          <w:tcPr>
            <w:tcW w:w="707" w:type="dxa"/>
          </w:tcPr>
          <w:p w:rsidR="001A67A5" w:rsidRPr="009332C4" w:rsidRDefault="001A67A5" w:rsidP="002D35A7">
            <w:pPr>
              <w:pStyle w:val="TableParagraph"/>
              <w:jc w:val="center"/>
              <w:rPr>
                <w:sz w:val="20"/>
                <w:szCs w:val="20"/>
              </w:rPr>
            </w:pPr>
            <w:r w:rsidRPr="001A67A5">
              <w:rPr>
                <w:sz w:val="20"/>
                <w:szCs w:val="20"/>
              </w:rPr>
              <w:t>Identi fikáci a goldp lating u</w:t>
            </w:r>
          </w:p>
        </w:tc>
        <w:tc>
          <w:tcPr>
            <w:tcW w:w="851" w:type="dxa"/>
          </w:tcPr>
          <w:p w:rsidR="001A67A5" w:rsidRPr="001A67A5" w:rsidRDefault="001A67A5" w:rsidP="002D35A7">
            <w:pPr>
              <w:pStyle w:val="TableParagraph"/>
              <w:jc w:val="center"/>
              <w:rPr>
                <w:sz w:val="20"/>
                <w:szCs w:val="20"/>
              </w:rPr>
            </w:pPr>
            <w:r w:rsidRPr="001A67A5">
              <w:rPr>
                <w:sz w:val="20"/>
                <w:szCs w:val="20"/>
              </w:rPr>
              <w:t>Identifi</w:t>
            </w:r>
          </w:p>
          <w:p w:rsidR="001A67A5" w:rsidRPr="001A67A5" w:rsidRDefault="001A67A5" w:rsidP="002D35A7">
            <w:pPr>
              <w:pStyle w:val="TableParagraph"/>
              <w:jc w:val="center"/>
              <w:rPr>
                <w:sz w:val="20"/>
                <w:szCs w:val="20"/>
              </w:rPr>
            </w:pPr>
            <w:r w:rsidRPr="001A67A5">
              <w:rPr>
                <w:sz w:val="20"/>
                <w:szCs w:val="20"/>
              </w:rPr>
              <w:t>kácia</w:t>
            </w:r>
          </w:p>
          <w:p w:rsidR="001A67A5" w:rsidRPr="001A67A5" w:rsidRDefault="001A67A5" w:rsidP="002D35A7">
            <w:pPr>
              <w:pStyle w:val="TableParagraph"/>
              <w:jc w:val="center"/>
              <w:rPr>
                <w:sz w:val="20"/>
                <w:szCs w:val="20"/>
              </w:rPr>
            </w:pPr>
            <w:r w:rsidRPr="001A67A5">
              <w:rPr>
                <w:sz w:val="20"/>
                <w:szCs w:val="20"/>
              </w:rPr>
              <w:t>oblasti</w:t>
            </w:r>
          </w:p>
          <w:p w:rsidR="001A67A5" w:rsidRPr="001A67A5" w:rsidRDefault="001A67A5" w:rsidP="002D35A7">
            <w:pPr>
              <w:pStyle w:val="TableParagraph"/>
              <w:jc w:val="center"/>
              <w:rPr>
                <w:sz w:val="20"/>
                <w:szCs w:val="20"/>
              </w:rPr>
            </w:pPr>
            <w:r w:rsidRPr="001A67A5">
              <w:rPr>
                <w:sz w:val="20"/>
                <w:szCs w:val="20"/>
              </w:rPr>
              <w:t>gold-</w:t>
            </w:r>
          </w:p>
          <w:p w:rsidR="001A67A5" w:rsidRPr="001A67A5" w:rsidRDefault="001A67A5" w:rsidP="002D35A7">
            <w:pPr>
              <w:pStyle w:val="TableParagraph"/>
              <w:jc w:val="center"/>
              <w:rPr>
                <w:sz w:val="20"/>
                <w:szCs w:val="20"/>
              </w:rPr>
            </w:pPr>
            <w:r w:rsidRPr="001A67A5">
              <w:rPr>
                <w:sz w:val="20"/>
                <w:szCs w:val="20"/>
              </w:rPr>
              <w:t>plating</w:t>
            </w:r>
          </w:p>
          <w:p w:rsidR="001A67A5" w:rsidRPr="001A67A5" w:rsidRDefault="001A67A5" w:rsidP="002D35A7">
            <w:pPr>
              <w:pStyle w:val="TableParagraph"/>
              <w:jc w:val="center"/>
              <w:rPr>
                <w:sz w:val="20"/>
                <w:szCs w:val="20"/>
              </w:rPr>
            </w:pPr>
            <w:r w:rsidRPr="001A67A5">
              <w:rPr>
                <w:sz w:val="20"/>
                <w:szCs w:val="20"/>
              </w:rPr>
              <w:t>u a</w:t>
            </w:r>
          </w:p>
          <w:p w:rsidR="001A67A5" w:rsidRPr="001A67A5" w:rsidRDefault="001A67A5" w:rsidP="002D35A7">
            <w:pPr>
              <w:pStyle w:val="TableParagraph"/>
              <w:jc w:val="center"/>
              <w:rPr>
                <w:sz w:val="20"/>
                <w:szCs w:val="20"/>
              </w:rPr>
            </w:pPr>
            <w:r w:rsidRPr="001A67A5">
              <w:rPr>
                <w:sz w:val="20"/>
                <w:szCs w:val="20"/>
              </w:rPr>
              <w:t>vyjadre</w:t>
            </w:r>
          </w:p>
          <w:p w:rsidR="001A67A5" w:rsidRPr="001A67A5" w:rsidRDefault="001A67A5" w:rsidP="002D35A7">
            <w:pPr>
              <w:pStyle w:val="TableParagraph"/>
              <w:jc w:val="center"/>
              <w:rPr>
                <w:sz w:val="20"/>
                <w:szCs w:val="20"/>
              </w:rPr>
            </w:pPr>
            <w:r w:rsidRPr="001A67A5">
              <w:rPr>
                <w:sz w:val="20"/>
                <w:szCs w:val="20"/>
              </w:rPr>
              <w:t>nie k</w:t>
            </w:r>
          </w:p>
          <w:p w:rsidR="001A67A5" w:rsidRPr="001A67A5" w:rsidRDefault="001A67A5" w:rsidP="002D35A7">
            <w:pPr>
              <w:pStyle w:val="TableParagraph"/>
              <w:jc w:val="center"/>
              <w:rPr>
                <w:sz w:val="20"/>
                <w:szCs w:val="20"/>
              </w:rPr>
            </w:pPr>
            <w:r w:rsidRPr="001A67A5">
              <w:rPr>
                <w:sz w:val="20"/>
                <w:szCs w:val="20"/>
              </w:rPr>
              <w:t>opodsta</w:t>
            </w:r>
          </w:p>
          <w:p w:rsidR="001A67A5" w:rsidRPr="001A67A5" w:rsidRDefault="001A67A5" w:rsidP="002D35A7">
            <w:pPr>
              <w:pStyle w:val="TableParagraph"/>
              <w:jc w:val="center"/>
              <w:rPr>
                <w:sz w:val="20"/>
                <w:szCs w:val="20"/>
              </w:rPr>
            </w:pPr>
            <w:r w:rsidRPr="001A67A5">
              <w:rPr>
                <w:sz w:val="20"/>
                <w:szCs w:val="20"/>
              </w:rPr>
              <w:t>tnenosti</w:t>
            </w:r>
          </w:p>
          <w:p w:rsidR="001A67A5" w:rsidRPr="001A67A5" w:rsidRDefault="001A67A5" w:rsidP="002D35A7">
            <w:pPr>
              <w:pStyle w:val="TableParagraph"/>
              <w:jc w:val="center"/>
              <w:rPr>
                <w:sz w:val="20"/>
                <w:szCs w:val="20"/>
              </w:rPr>
            </w:pPr>
            <w:r w:rsidRPr="001A67A5">
              <w:rPr>
                <w:sz w:val="20"/>
                <w:szCs w:val="20"/>
              </w:rPr>
              <w:t>goldpla</w:t>
            </w:r>
          </w:p>
          <w:p w:rsidR="001A67A5" w:rsidRPr="009332C4" w:rsidRDefault="001A67A5" w:rsidP="002D35A7">
            <w:pPr>
              <w:pStyle w:val="TableParagraph"/>
              <w:jc w:val="center"/>
              <w:rPr>
                <w:sz w:val="20"/>
                <w:szCs w:val="20"/>
              </w:rPr>
            </w:pPr>
            <w:r w:rsidRPr="001A67A5">
              <w:rPr>
                <w:sz w:val="20"/>
                <w:szCs w:val="20"/>
              </w:rPr>
              <w:t>tingu*</w:t>
            </w:r>
          </w:p>
        </w:tc>
      </w:tr>
      <w:tr w:rsidR="00B142E7" w:rsidRPr="009332C4" w:rsidTr="00E3343C">
        <w:trPr>
          <w:trHeight w:val="490"/>
        </w:trPr>
        <w:tc>
          <w:tcPr>
            <w:tcW w:w="852" w:type="dxa"/>
          </w:tcPr>
          <w:p w:rsidR="00F72F32" w:rsidRPr="00F72F32" w:rsidRDefault="00F72F32" w:rsidP="00F72F32">
            <w:pPr>
              <w:pStyle w:val="TableParagraph"/>
              <w:rPr>
                <w:sz w:val="20"/>
                <w:szCs w:val="20"/>
              </w:rPr>
            </w:pPr>
            <w:r w:rsidRPr="00F72F32">
              <w:rPr>
                <w:sz w:val="20"/>
                <w:szCs w:val="20"/>
              </w:rPr>
              <w:t>Č: 4</w:t>
            </w:r>
          </w:p>
          <w:p w:rsidR="00B142E7" w:rsidRDefault="0023294F" w:rsidP="00F72F32">
            <w:pPr>
              <w:pStyle w:val="TableParagraph"/>
              <w:rPr>
                <w:sz w:val="20"/>
                <w:szCs w:val="20"/>
              </w:rPr>
            </w:pPr>
            <w:r>
              <w:rPr>
                <w:sz w:val="20"/>
                <w:szCs w:val="20"/>
              </w:rPr>
              <w:t>O: 2</w:t>
            </w:r>
          </w:p>
          <w:p w:rsidR="0023294F" w:rsidRPr="009332C4" w:rsidRDefault="0023294F" w:rsidP="00F72F32">
            <w:pPr>
              <w:pStyle w:val="TableParagraph"/>
              <w:rPr>
                <w:sz w:val="20"/>
                <w:szCs w:val="20"/>
              </w:rPr>
            </w:pPr>
            <w:r>
              <w:rPr>
                <w:sz w:val="20"/>
                <w:szCs w:val="20"/>
              </w:rPr>
              <w:t>P: a)</w:t>
            </w:r>
            <w:r w:rsidR="000B4E80">
              <w:rPr>
                <w:sz w:val="20"/>
                <w:szCs w:val="20"/>
              </w:rPr>
              <w:t xml:space="preserve"> a b)</w:t>
            </w:r>
          </w:p>
        </w:tc>
        <w:tc>
          <w:tcPr>
            <w:tcW w:w="5387" w:type="dxa"/>
          </w:tcPr>
          <w:p w:rsidR="000B4E80" w:rsidRPr="000B4E80" w:rsidRDefault="000B4E80" w:rsidP="000B4E80">
            <w:pPr>
              <w:pStyle w:val="TableParagraph"/>
              <w:rPr>
                <w:sz w:val="20"/>
                <w:szCs w:val="20"/>
              </w:rPr>
            </w:pPr>
            <w:r>
              <w:rPr>
                <w:sz w:val="20"/>
                <w:szCs w:val="20"/>
              </w:rPr>
              <w:t xml:space="preserve">2. </w:t>
            </w:r>
            <w:r w:rsidRPr="000B4E80">
              <w:rPr>
                <w:sz w:val="20"/>
                <w:szCs w:val="20"/>
              </w:rPr>
              <w:t>Členské štáty predovšetkým zabezpečia aspoň to, aby zamestnanci a osoby, ktoré prijímajú rozhodnutia, ktorými sa vykonávajú právomoci uvedené v článkoch 10 až 13 a v článku 16 tejto smernice v rámci vnútroštátnych správnych orgánov na ochranu hospodárskej súťaže:</w:t>
            </w:r>
          </w:p>
          <w:p w:rsidR="000B4E80" w:rsidRPr="000B4E80" w:rsidRDefault="000B4E80" w:rsidP="000B4E80">
            <w:pPr>
              <w:pStyle w:val="TableParagraph"/>
              <w:rPr>
                <w:sz w:val="20"/>
                <w:szCs w:val="20"/>
              </w:rPr>
            </w:pPr>
            <w:r>
              <w:rPr>
                <w:sz w:val="20"/>
                <w:szCs w:val="20"/>
              </w:rPr>
              <w:t xml:space="preserve">a) </w:t>
            </w:r>
            <w:r w:rsidRPr="000B4E80">
              <w:rPr>
                <w:sz w:val="20"/>
                <w:szCs w:val="20"/>
              </w:rPr>
              <w:t>boli schopné plniť svoje povinnosti a vykonávať právomoci pri uplatňovaní článkov 101 a 102 ZFEÚ nezávisle od politických a iných vonkajších vplyvov;</w:t>
            </w:r>
          </w:p>
          <w:p w:rsidR="000B4E80" w:rsidRPr="009332C4" w:rsidRDefault="000B4E80" w:rsidP="000B4E80">
            <w:pPr>
              <w:pStyle w:val="TableParagraph"/>
              <w:rPr>
                <w:sz w:val="20"/>
                <w:szCs w:val="20"/>
              </w:rPr>
            </w:pPr>
            <w:r>
              <w:rPr>
                <w:sz w:val="20"/>
                <w:szCs w:val="20"/>
              </w:rPr>
              <w:t xml:space="preserve">b) </w:t>
            </w:r>
            <w:r w:rsidRPr="000B4E80">
              <w:rPr>
                <w:sz w:val="20"/>
                <w:szCs w:val="20"/>
              </w:rPr>
              <w:t xml:space="preserve">pri plnení svojich služobných povinností a vykonávaní právomocí v súvislosti s uplatňovaním článkov 101 a 102 ZFEÚ </w:t>
            </w:r>
            <w:r w:rsidRPr="000B4E80">
              <w:rPr>
                <w:sz w:val="20"/>
                <w:szCs w:val="20"/>
              </w:rPr>
              <w:lastRenderedPageBreak/>
              <w:t>nežiadali ani neprijímali pokyny od vlády alebo akéhokoľvek iného verejného alebo súkromného subjektu, bez toho, aby bolo dotknuté právo vlády členského štátu vydať podľa potreby všeobecné pravidlá týkajúce sa postupov, ktoré nesúvisia s vyšetrovaniami v rámci sektora alebo osobitnými konaniami na presadzovanie práva; a</w:t>
            </w:r>
          </w:p>
          <w:p w:rsidR="000B4E80" w:rsidRPr="009332C4" w:rsidRDefault="000B4E80" w:rsidP="0023294F">
            <w:pPr>
              <w:pStyle w:val="TableParagraph"/>
              <w:rPr>
                <w:sz w:val="20"/>
                <w:szCs w:val="20"/>
              </w:rPr>
            </w:pPr>
          </w:p>
        </w:tc>
        <w:tc>
          <w:tcPr>
            <w:tcW w:w="711" w:type="dxa"/>
          </w:tcPr>
          <w:p w:rsidR="00B142E7" w:rsidRPr="00F72F32" w:rsidRDefault="00F72F32" w:rsidP="00F72F32">
            <w:pPr>
              <w:pStyle w:val="TableParagraph"/>
              <w:jc w:val="center"/>
              <w:rPr>
                <w:b/>
                <w:sz w:val="20"/>
                <w:szCs w:val="20"/>
              </w:rPr>
            </w:pPr>
            <w:r w:rsidRPr="00F72F32">
              <w:rPr>
                <w:b/>
                <w:sz w:val="20"/>
                <w:szCs w:val="20"/>
              </w:rPr>
              <w:lastRenderedPageBreak/>
              <w:t>N</w:t>
            </w:r>
          </w:p>
        </w:tc>
        <w:tc>
          <w:tcPr>
            <w:tcW w:w="992" w:type="dxa"/>
          </w:tcPr>
          <w:p w:rsidR="00B9595D" w:rsidRPr="00B9595D" w:rsidRDefault="00B9595D" w:rsidP="00F72F32">
            <w:pPr>
              <w:pStyle w:val="TableParagraph"/>
              <w:jc w:val="center"/>
              <w:rPr>
                <w:sz w:val="20"/>
                <w:szCs w:val="20"/>
              </w:rPr>
            </w:pPr>
            <w:r w:rsidRPr="00B9595D">
              <w:rPr>
                <w:sz w:val="20"/>
                <w:szCs w:val="20"/>
              </w:rPr>
              <w:t xml:space="preserve">55/2017 </w:t>
            </w:r>
          </w:p>
          <w:p w:rsidR="00B9595D" w:rsidRPr="00B9595D" w:rsidRDefault="00B9595D" w:rsidP="00F72F32">
            <w:pPr>
              <w:pStyle w:val="TableParagraph"/>
              <w:jc w:val="center"/>
              <w:rPr>
                <w:sz w:val="20"/>
                <w:szCs w:val="20"/>
              </w:rPr>
            </w:pPr>
            <w:r w:rsidRPr="00B9595D">
              <w:rPr>
                <w:sz w:val="20"/>
                <w:szCs w:val="20"/>
              </w:rPr>
              <w:t>a</w:t>
            </w:r>
          </w:p>
          <w:p w:rsidR="00B9595D" w:rsidRDefault="00F72F32" w:rsidP="00F72F32">
            <w:pPr>
              <w:pStyle w:val="TableParagraph"/>
              <w:jc w:val="center"/>
              <w:rPr>
                <w:b/>
                <w:sz w:val="20"/>
                <w:szCs w:val="20"/>
              </w:rPr>
            </w:pPr>
            <w:r w:rsidRPr="00F72F32">
              <w:rPr>
                <w:b/>
                <w:sz w:val="20"/>
                <w:szCs w:val="20"/>
              </w:rPr>
              <w:t xml:space="preserve">NZ </w:t>
            </w:r>
          </w:p>
          <w:p w:rsidR="00F72F32" w:rsidRPr="00B9595D" w:rsidRDefault="00F72F32" w:rsidP="00B9595D">
            <w:pPr>
              <w:pStyle w:val="TableParagraph"/>
              <w:jc w:val="center"/>
              <w:rPr>
                <w:b/>
                <w:sz w:val="20"/>
                <w:szCs w:val="20"/>
              </w:rPr>
            </w:pPr>
            <w:r w:rsidRPr="00F72F32">
              <w:rPr>
                <w:b/>
                <w:sz w:val="20"/>
                <w:szCs w:val="20"/>
              </w:rPr>
              <w:t>čl.</w:t>
            </w:r>
            <w:r w:rsidR="00B9595D">
              <w:rPr>
                <w:b/>
                <w:sz w:val="20"/>
                <w:szCs w:val="20"/>
              </w:rPr>
              <w:t xml:space="preserve"> </w:t>
            </w:r>
            <w:r w:rsidRPr="00F72F32">
              <w:rPr>
                <w:b/>
                <w:sz w:val="20"/>
                <w:szCs w:val="20"/>
              </w:rPr>
              <w:t>I</w:t>
            </w:r>
          </w:p>
        </w:tc>
        <w:tc>
          <w:tcPr>
            <w:tcW w:w="852" w:type="dxa"/>
          </w:tcPr>
          <w:p w:rsidR="00843DBE" w:rsidRPr="009332C4" w:rsidRDefault="00B9595D" w:rsidP="00F72F32">
            <w:pPr>
              <w:pStyle w:val="TableParagraph"/>
              <w:rPr>
                <w:sz w:val="20"/>
                <w:szCs w:val="20"/>
              </w:rPr>
            </w:pPr>
            <w:r>
              <w:rPr>
                <w:sz w:val="20"/>
                <w:szCs w:val="20"/>
              </w:rPr>
              <w:t>Č: 1</w:t>
            </w:r>
          </w:p>
        </w:tc>
        <w:tc>
          <w:tcPr>
            <w:tcW w:w="3826" w:type="dxa"/>
          </w:tcPr>
          <w:p w:rsidR="00B142E7" w:rsidRPr="009332C4" w:rsidRDefault="00B9595D" w:rsidP="00B9595D">
            <w:pPr>
              <w:pStyle w:val="TableParagraph"/>
              <w:rPr>
                <w:sz w:val="20"/>
                <w:szCs w:val="20"/>
              </w:rPr>
            </w:pPr>
            <w:r w:rsidRPr="00B9595D">
              <w:rPr>
                <w:sz w:val="20"/>
                <w:szCs w:val="20"/>
              </w:rPr>
              <w:t>Štátny zamestnanec pri výkone štátnej služby a služobný úrad v štátnozamestnaneckých vzťahoch uprednostňujú verejný záujem pred politickým záujmom a</w:t>
            </w:r>
            <w:r>
              <w:rPr>
                <w:sz w:val="20"/>
                <w:szCs w:val="20"/>
              </w:rPr>
              <w:t> </w:t>
            </w:r>
            <w:r w:rsidRPr="00B9595D">
              <w:rPr>
                <w:b/>
                <w:sz w:val="20"/>
                <w:szCs w:val="20"/>
              </w:rPr>
              <w:t>nesmú konať spôsobom, ktorý vzbudzuje podozrenie,</w:t>
            </w:r>
            <w:r w:rsidRPr="00B9595D">
              <w:rPr>
                <w:sz w:val="20"/>
                <w:szCs w:val="20"/>
              </w:rPr>
              <w:t xml:space="preserve"> že zvýhodňujú ktorúkoľvek politickú stranu alebo politické hnutie. Princíp politickej neutrality sa uplatňuje najmä prostredníctvom povinnosti štátneho zamestnanca konať politicky neutrálne, zdržať sa konania, ktoré by mohlo </w:t>
            </w:r>
            <w:r w:rsidRPr="00B9595D">
              <w:rPr>
                <w:sz w:val="20"/>
                <w:szCs w:val="20"/>
              </w:rPr>
              <w:lastRenderedPageBreak/>
              <w:t>viesť ku konfliktu záujmu služobného úradu s politickými záujmami, nezneužívať informácie získané v súvislosti s vykonávaním štátnej služby v prospech politickej strany alebo politického hnutia a prostredníctvom povinnosti služobného úradu rozhodovať v štátnozamestnaneckých vzťahoch politicky neutrálne.</w:t>
            </w:r>
          </w:p>
        </w:tc>
        <w:tc>
          <w:tcPr>
            <w:tcW w:w="993" w:type="dxa"/>
          </w:tcPr>
          <w:p w:rsidR="00B142E7" w:rsidRPr="00194BA5" w:rsidRDefault="00194BA5" w:rsidP="00194BA5">
            <w:pPr>
              <w:pStyle w:val="TableParagraph"/>
              <w:jc w:val="center"/>
              <w:rPr>
                <w:b/>
                <w:sz w:val="20"/>
                <w:szCs w:val="20"/>
              </w:rPr>
            </w:pPr>
            <w:r w:rsidRPr="00194BA5">
              <w:rPr>
                <w:b/>
                <w:sz w:val="20"/>
                <w:szCs w:val="20"/>
              </w:rPr>
              <w:lastRenderedPageBreak/>
              <w:t>Ú</w:t>
            </w:r>
          </w:p>
        </w:tc>
        <w:tc>
          <w:tcPr>
            <w:tcW w:w="849" w:type="dxa"/>
          </w:tcPr>
          <w:p w:rsidR="00B142E7" w:rsidRPr="009332C4" w:rsidRDefault="00B142E7">
            <w:pPr>
              <w:pStyle w:val="TableParagraph"/>
              <w:spacing w:line="205" w:lineRule="exact"/>
              <w:ind w:left="109"/>
              <w:rPr>
                <w:sz w:val="20"/>
                <w:szCs w:val="20"/>
              </w:rPr>
            </w:pPr>
          </w:p>
        </w:tc>
        <w:tc>
          <w:tcPr>
            <w:tcW w:w="707" w:type="dxa"/>
          </w:tcPr>
          <w:p w:rsidR="00B142E7" w:rsidRPr="009332C4" w:rsidRDefault="009515B6" w:rsidP="009515B6">
            <w:pPr>
              <w:pStyle w:val="TableParagraph"/>
              <w:jc w:val="center"/>
              <w:rPr>
                <w:sz w:val="20"/>
                <w:szCs w:val="20"/>
              </w:rPr>
            </w:pPr>
            <w:r>
              <w:rPr>
                <w:sz w:val="20"/>
                <w:szCs w:val="20"/>
              </w:rPr>
              <w:t>GP - N</w:t>
            </w:r>
          </w:p>
        </w:tc>
        <w:tc>
          <w:tcPr>
            <w:tcW w:w="851" w:type="dxa"/>
          </w:tcPr>
          <w:p w:rsidR="00B142E7" w:rsidRPr="009332C4" w:rsidRDefault="00B142E7">
            <w:pPr>
              <w:pStyle w:val="TableParagraph"/>
              <w:rPr>
                <w:sz w:val="20"/>
                <w:szCs w:val="20"/>
              </w:rPr>
            </w:pPr>
          </w:p>
        </w:tc>
      </w:tr>
    </w:tbl>
    <w:p w:rsidR="00B142E7" w:rsidRDefault="00A96E56">
      <w:pPr>
        <w:pStyle w:val="Zkladntext"/>
        <w:ind w:left="1116"/>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r>
        <w:t>goldplatingu</w:t>
      </w:r>
      <w:r>
        <w:rPr>
          <w:spacing w:val="-6"/>
        </w:rPr>
        <w:t xml:space="preserve"> </w:t>
      </w:r>
      <w:r>
        <w:t>a</w:t>
      </w:r>
      <w:r>
        <w:rPr>
          <w:spacing w:val="-5"/>
        </w:rPr>
        <w:t xml:space="preserve"> </w:t>
      </w:r>
      <w:r>
        <w:t>jeho</w:t>
      </w:r>
      <w:r>
        <w:rPr>
          <w:spacing w:val="-4"/>
        </w:rPr>
        <w:t xml:space="preserve"> </w:t>
      </w:r>
      <w:r>
        <w:rPr>
          <w:spacing w:val="-2"/>
        </w:rPr>
        <w:t>odôvodnenie:</w:t>
      </w:r>
    </w:p>
    <w:p w:rsidR="00B142E7" w:rsidRDefault="00B142E7">
      <w:pPr>
        <w:pStyle w:val="Zkladntext"/>
      </w:pPr>
    </w:p>
    <w:p w:rsidR="00B142E7" w:rsidRDefault="00B142E7">
      <w:pPr>
        <w:pStyle w:val="Zkladntext"/>
        <w:spacing w:before="87"/>
      </w:pPr>
    </w:p>
    <w:p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trPr>
          <w:trHeight w:val="1526"/>
        </w:trPr>
        <w:tc>
          <w:tcPr>
            <w:tcW w:w="2028" w:type="dxa"/>
          </w:tcPr>
          <w:p w:rsidR="00B142E7" w:rsidRDefault="00A96E56">
            <w:pPr>
              <w:pStyle w:val="TableParagraph"/>
              <w:spacing w:line="221" w:lineRule="exact"/>
              <w:ind w:left="50"/>
              <w:rPr>
                <w:sz w:val="20"/>
              </w:rPr>
            </w:pPr>
            <w:r>
              <w:rPr>
                <w:sz w:val="20"/>
              </w:rPr>
              <w:t>V</w:t>
            </w:r>
            <w:r>
              <w:rPr>
                <w:spacing w:val="-3"/>
                <w:sz w:val="20"/>
              </w:rPr>
              <w:t xml:space="preserve"> </w:t>
            </w:r>
            <w:r>
              <w:rPr>
                <w:sz w:val="20"/>
              </w:rPr>
              <w:t>stĺpci</w:t>
            </w:r>
            <w:r>
              <w:rPr>
                <w:spacing w:val="-3"/>
                <w:sz w:val="20"/>
              </w:rPr>
              <w:t xml:space="preserve"> </w:t>
            </w:r>
            <w:r>
              <w:rPr>
                <w:spacing w:val="-4"/>
                <w:sz w:val="20"/>
              </w:rPr>
              <w:t>(1):</w:t>
            </w:r>
          </w:p>
          <w:p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rsidR="00B142E7" w:rsidRDefault="00A96E56">
            <w:pPr>
              <w:pStyle w:val="TableParagraph"/>
              <w:spacing w:before="32"/>
              <w:ind w:left="431"/>
              <w:rPr>
                <w:sz w:val="20"/>
              </w:rPr>
            </w:pPr>
            <w:r>
              <w:rPr>
                <w:sz w:val="20"/>
              </w:rPr>
              <w:t>n.a.</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k transp.,</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rsidR="00B142E7" w:rsidRDefault="00A96E56">
            <w:pPr>
              <w:pStyle w:val="TableParagraph"/>
              <w:spacing w:before="32"/>
              <w:ind w:left="432"/>
              <w:rPr>
                <w:spacing w:val="-2"/>
                <w:sz w:val="20"/>
              </w:rPr>
            </w:pPr>
            <w:r>
              <w:rPr>
                <w:sz w:val="20"/>
              </w:rPr>
              <w:t>n.a.</w:t>
            </w:r>
            <w:r>
              <w:rPr>
                <w:spacing w:val="-2"/>
                <w:sz w:val="20"/>
              </w:rPr>
              <w:t xml:space="preserve"> </w:t>
            </w:r>
            <w:r>
              <w:rPr>
                <w:sz w:val="20"/>
              </w:rPr>
              <w:t>–</w:t>
            </w:r>
            <w:r>
              <w:rPr>
                <w:spacing w:val="-2"/>
                <w:sz w:val="20"/>
              </w:rPr>
              <w:t xml:space="preserve"> neaplikovateľné</w:t>
            </w: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rsidP="0052791C">
            <w:pPr>
              <w:pStyle w:val="TableParagraph"/>
              <w:spacing w:before="32"/>
              <w:rPr>
                <w:spacing w:val="-2"/>
                <w:sz w:val="20"/>
              </w:rPr>
            </w:pPr>
            <w:bookmarkStart w:id="0" w:name="_GoBack"/>
            <w:bookmarkEnd w:id="0"/>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pacing w:val="-2"/>
                <w:sz w:val="20"/>
              </w:rPr>
            </w:pPr>
          </w:p>
          <w:p w:rsidR="00A46970" w:rsidRDefault="00A46970">
            <w:pPr>
              <w:pStyle w:val="TableParagraph"/>
              <w:spacing w:before="32"/>
              <w:ind w:left="432"/>
              <w:rPr>
                <w:sz w:val="20"/>
              </w:rPr>
            </w:pPr>
          </w:p>
        </w:tc>
      </w:tr>
    </w:tbl>
    <w:p w:rsidR="00596EE9" w:rsidRDefault="00596EE9"/>
    <w:p w:rsidR="00596EE9" w:rsidRDefault="00596EE9"/>
    <w:p w:rsidR="00A46970" w:rsidRDefault="00A46970" w:rsidP="00A46970"/>
    <w:sectPr w:rsidR="00A46970">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822" w:rsidRDefault="00863822" w:rsidP="0049668B">
      <w:r>
        <w:separator/>
      </w:r>
    </w:p>
  </w:endnote>
  <w:endnote w:type="continuationSeparator" w:id="0">
    <w:p w:rsidR="00863822" w:rsidRDefault="00863822"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8635"/>
      <w:docPartObj>
        <w:docPartGallery w:val="Page Numbers (Bottom of Page)"/>
        <w:docPartUnique/>
      </w:docPartObj>
    </w:sdtPr>
    <w:sdtEndPr/>
    <w:sdtContent>
      <w:p w:rsidR="0049668B" w:rsidRDefault="0049668B">
        <w:pPr>
          <w:pStyle w:val="Pta"/>
          <w:jc w:val="center"/>
        </w:pPr>
        <w:r>
          <w:fldChar w:fldCharType="begin"/>
        </w:r>
        <w:r>
          <w:instrText>PAGE   \* MERGEFORMAT</w:instrText>
        </w:r>
        <w:r>
          <w:fldChar w:fldCharType="separate"/>
        </w:r>
        <w:r w:rsidR="0052791C">
          <w:rPr>
            <w:noProof/>
          </w:rPr>
          <w:t>2</w:t>
        </w:r>
        <w:r>
          <w:fldChar w:fldCharType="end"/>
        </w:r>
      </w:p>
    </w:sdtContent>
  </w:sdt>
  <w:p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822" w:rsidRDefault="00863822" w:rsidP="0049668B">
      <w:r>
        <w:separator/>
      </w:r>
    </w:p>
  </w:footnote>
  <w:footnote w:type="continuationSeparator" w:id="0">
    <w:p w:rsidR="00863822" w:rsidRDefault="00863822"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142E7"/>
    <w:rsid w:val="00044366"/>
    <w:rsid w:val="00062A0E"/>
    <w:rsid w:val="000A5F33"/>
    <w:rsid w:val="000B4E80"/>
    <w:rsid w:val="000F13D9"/>
    <w:rsid w:val="00194BA5"/>
    <w:rsid w:val="001A67A5"/>
    <w:rsid w:val="0023294F"/>
    <w:rsid w:val="002D0E13"/>
    <w:rsid w:val="002D35A7"/>
    <w:rsid w:val="00356A06"/>
    <w:rsid w:val="00386762"/>
    <w:rsid w:val="00483528"/>
    <w:rsid w:val="0049668B"/>
    <w:rsid w:val="004C7360"/>
    <w:rsid w:val="0052791C"/>
    <w:rsid w:val="00581121"/>
    <w:rsid w:val="0059477E"/>
    <w:rsid w:val="00596EE9"/>
    <w:rsid w:val="006241FD"/>
    <w:rsid w:val="00644FB5"/>
    <w:rsid w:val="00674CF1"/>
    <w:rsid w:val="0068496F"/>
    <w:rsid w:val="006C57DC"/>
    <w:rsid w:val="00776C32"/>
    <w:rsid w:val="008012C8"/>
    <w:rsid w:val="0081067F"/>
    <w:rsid w:val="00843DBE"/>
    <w:rsid w:val="00856DD6"/>
    <w:rsid w:val="00863822"/>
    <w:rsid w:val="009332C4"/>
    <w:rsid w:val="009515B6"/>
    <w:rsid w:val="00990C66"/>
    <w:rsid w:val="00A46970"/>
    <w:rsid w:val="00A86F44"/>
    <w:rsid w:val="00A96E56"/>
    <w:rsid w:val="00AF5EB5"/>
    <w:rsid w:val="00B142E7"/>
    <w:rsid w:val="00B56E5C"/>
    <w:rsid w:val="00B80752"/>
    <w:rsid w:val="00B835EF"/>
    <w:rsid w:val="00B9595D"/>
    <w:rsid w:val="00BF0004"/>
    <w:rsid w:val="00C32B65"/>
    <w:rsid w:val="00C46678"/>
    <w:rsid w:val="00DA6067"/>
    <w:rsid w:val="00E24E4E"/>
    <w:rsid w:val="00E3343C"/>
    <w:rsid w:val="00EC3E6F"/>
    <w:rsid w:val="00F72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0463"/>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476</Words>
  <Characters>2717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 Miroslava</dc:creator>
  <cp:lastModifiedBy>Pavla Tančiboková</cp:lastModifiedBy>
  <cp:revision>37</cp:revision>
  <dcterms:created xsi:type="dcterms:W3CDTF">2025-02-10T15:07:00Z</dcterms:created>
  <dcterms:modified xsi:type="dcterms:W3CDTF">2025-02-12T08:24:00Z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