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DÔVODOVÁ SPRÁVA</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VŠEOBECNÁ ČASŤ </w:t>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ostatných rokoch sa v školskom prostredí na Slovensku čoraz častejšie stretávame s prípadmi násilného správania žiakov, ktoré ohrozujú bezpečnosť ich spolužiakov, pedagogických, nepedagogických a odborných zamestnancov a zároveň narúšajú plynulý priebeh výchovno-vzdelávacieho procesu. Narastajúce konflikty v školskom prostredí vedú k zníženej dôvere verejnosti vo vzdelávací systém a spôsobujú problémy nielen pedagógom, ale aj ostatným žiakom, ktorí majú právo na nerušené vzdelávanie.</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Doterajšie právne predpisy poskytujú školám len obmedzené možnosti riešenia závažných prípadov agresívneho a rizikového správania žiakov. Riaditelia a pedagogickí zamestnanci sú často bez dostatočných zákonných nástrojov na riešenie krízových situácií, čo vedie k tomu, že problémoví žiaci ostávajú v kolektíve aj napriek tomu, že ich správanie vážne ohrozuje ostatných. Školy tak majú minimálnu možnosť zabezpečiť efektívnu intervenciu a ochranu zvyšných žiakov, čo môže viesť k eskalácii napätia a opakovaným konfliktom.</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Navrhovaná legislatívna úprava prináša riešenia, ktoré umožnia školám rýchlo a efektívne reagovať na situácie, keď správanie žiaka predstavuje vážne riziko. Cieľom návrhu je zabezpečiť kontinuitu výchovno-vzdelávacieho procesu, ale aj včasnú identifikáciu a riešenie prípadných rizikových prejavov správania, ktoré by mohli viesť k ohrozeniu bezpečnosti na školách. Obsahom legislatívnej úpravy je zavedenie preventívnych a intervenčných opatrení, ktoré minimalizujú pravdepodobnosť výskytu násilných incidentov a zároveň poskytujú mechanizmy na riešenie už vzniknutých prípadov. Súčasťou návrhu je aj úprava spolupráce medzi školami a inštitúciami, ako sú sociálna kuratela, orgány činné v trestnom konaní a zariadenia poradenstva a prevencie, čím sa zlepší tok informácií a efektívnejšia koordinácia pri riešení problémového správania žiakov. </w:t>
      </w:r>
      <w:r w:rsidDel="00000000" w:rsidR="00000000" w:rsidRPr="00000000">
        <w:rPr>
          <w:rFonts w:ascii="Times New Roman" w:cs="Times New Roman" w:eastAsia="Times New Roman" w:hAnsi="Times New Roman"/>
          <w:highlight w:val="white"/>
          <w:rtl w:val="0"/>
        </w:rPr>
        <w:t xml:space="preserve">Posilňuje sa informačná povinnosť plnoletých žiakov a zákonných zástupcov žiakov v prípadoch, že disponujú informáciami, ktoré môžu mať vplyv na priebeh ich výchovy výchovy a vzdelávania.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Kľúčové opatrenia </w:t>
      </w:r>
      <w:r w:rsidDel="00000000" w:rsidR="00000000" w:rsidRPr="00000000">
        <w:rPr>
          <w:rFonts w:ascii="Times New Roman" w:cs="Times New Roman" w:eastAsia="Times New Roman" w:hAnsi="Times New Roman"/>
          <w:highlight w:val="white"/>
          <w:rtl w:val="0"/>
        </w:rPr>
        <w:t xml:space="preserve">navrhovaných zmien: </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Zlepšenie informovanosti medzi školami pri prestupe </w:t>
      </w:r>
      <w:r w:rsidDel="00000000" w:rsidR="00000000" w:rsidRPr="00000000">
        <w:rPr>
          <w:rFonts w:ascii="Times New Roman" w:cs="Times New Roman" w:eastAsia="Times New Roman" w:hAnsi="Times New Roman"/>
          <w:highlight w:val="white"/>
          <w:rtl w:val="0"/>
        </w:rPr>
        <w:t xml:space="preserve">žiaka </w:t>
      </w:r>
      <w:r w:rsidDel="00000000" w:rsidR="00000000" w:rsidRPr="00000000">
        <w:rPr>
          <w:rFonts w:ascii="Times New Roman" w:cs="Times New Roman" w:eastAsia="Times New Roman" w:hAnsi="Times New Roman"/>
          <w:highlight w:val="white"/>
          <w:rtl w:val="0"/>
        </w:rPr>
        <w:t xml:space="preserve">s problémovým správaním a pri prijímaní žiaka s problémovým správaním pri prijímaní žiaka na strednú školu</w:t>
      </w: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numPr>
          <w:ilvl w:val="0"/>
          <w:numId w:val="2"/>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Kladenie dôrazu na plnenie informačnej povinnosti </w:t>
      </w:r>
      <w:r w:rsidDel="00000000" w:rsidR="00000000" w:rsidRPr="00000000">
        <w:rPr>
          <w:rFonts w:ascii="Times New Roman" w:cs="Times New Roman" w:eastAsia="Times New Roman" w:hAnsi="Times New Roman"/>
          <w:highlight w:val="white"/>
          <w:rtl w:val="0"/>
        </w:rPr>
        <w:t xml:space="preserve">plnoletých žiakov a zákonných zástupcov žiakov v prípadoch, že disponujú informáciami, ktoré môžu vplyv na priebeh  ich výchovy výchovy a vzdelávania. </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numPr>
          <w:ilvl w:val="0"/>
          <w:numId w:val="2"/>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Zabezpečenie podpory žiaka s problémovým správaním v prípade, že sa žiak vzdeláva osobitnou formu školskej dochádzky</w:t>
      </w:r>
    </w:p>
    <w:p w:rsidR="00000000" w:rsidDel="00000000" w:rsidP="00000000" w:rsidRDefault="00000000" w:rsidRPr="00000000" w14:paraId="00000013">
      <w:pPr>
        <w:jc w:val="both"/>
        <w:rPr>
          <w:rFonts w:ascii="Times New Roman" w:cs="Times New Roman" w:eastAsia="Times New Roman" w:hAnsi="Times New Roman"/>
          <w:shd w:fill="d0e0e3" w:val="clear"/>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Posilnenie právomocí škôl pri riešení problémového správania žiakov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v záujme okamžitej ochrany </w:t>
      </w:r>
      <w:r w:rsidDel="00000000" w:rsidR="00000000" w:rsidRPr="00000000">
        <w:rPr>
          <w:rFonts w:ascii="Times New Roman" w:cs="Times New Roman" w:eastAsia="Times New Roman" w:hAnsi="Times New Roman"/>
          <w:highlight w:val="white"/>
          <w:rtl w:val="0"/>
        </w:rPr>
        <w:t xml:space="preserve">zdravia a života ostatných žiakov a zamestnancov školy</w:t>
      </w: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Zavedenie efektívnej spolupráce medzi školami a ďalšími inštitúciami</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Očakávané prínosy:</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sociálne: </w:t>
      </w:r>
    </w:p>
    <w:p w:rsidR="00000000" w:rsidDel="00000000" w:rsidP="00000000" w:rsidRDefault="00000000" w:rsidRPr="00000000" w14:paraId="0000001D">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Zvýšenie bezpečnosti v školách</w:t>
      </w:r>
      <w:r w:rsidDel="00000000" w:rsidR="00000000" w:rsidRPr="00000000">
        <w:rPr>
          <w:rFonts w:ascii="Times New Roman" w:cs="Times New Roman" w:eastAsia="Times New Roman" w:hAnsi="Times New Roman"/>
          <w:rtl w:val="0"/>
        </w:rPr>
        <w:t xml:space="preserve"> – Zavedenie preventívnych opatrení a širších právomocí pre školy povedie k zníženiu počtu násilných incidentov a vytvoreniu bezpečného prostredia na vzdelávanie.</w:t>
      </w:r>
    </w:p>
    <w:p w:rsidR="00000000" w:rsidDel="00000000" w:rsidP="00000000" w:rsidRDefault="00000000" w:rsidRPr="00000000" w14:paraId="0000001E">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Ochrana práva na vzdelanie – Vďaka riešeniu problémového správania jednotlivcov sa zabezpečí plynulý a nerušený vzdelávací proces pre ostatných žiakov.</w:t>
      </w:r>
    </w:p>
    <w:p w:rsidR="00000000" w:rsidDel="00000000" w:rsidP="00000000" w:rsidRDefault="00000000" w:rsidRPr="00000000" w14:paraId="0000001F">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rodinu:</w:t>
      </w:r>
    </w:p>
    <w:p w:rsidR="00000000" w:rsidDel="00000000" w:rsidP="00000000" w:rsidRDefault="00000000" w:rsidRPr="00000000" w14:paraId="00000020">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Podpora individuálnej pomoci problémovým žiakom – Opatrenia zabezpečia lepšiu spoluprácu s rodičmi a odbornými zamestnancami, čím sa umožní efektívna práca so žiakmi, ktorí si vyžadujú špeciálny prístup.</w:t>
      </w:r>
    </w:p>
    <w:p w:rsidR="00000000" w:rsidDel="00000000" w:rsidP="00000000" w:rsidRDefault="00000000" w:rsidRPr="00000000" w14:paraId="00000021">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Lepšia spolupráca medzi školami a inštitúciami – Výmena informácií medzi školami, sociálnou kuratelou, políciou a poradenskými zariadeniami zabezpečí včasnú identifikáciu problémových žiakov a efektívne riešenie ich správania.</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Návrh zákona </w:t>
      </w:r>
      <w:r w:rsidDel="00000000" w:rsidR="00000000" w:rsidRPr="00000000">
        <w:rPr>
          <w:rFonts w:ascii="Times New Roman" w:cs="Times New Roman" w:eastAsia="Times New Roman" w:hAnsi="Times New Roman"/>
          <w:highlight w:val="white"/>
          <w:rtl w:val="0"/>
        </w:rPr>
        <w:t xml:space="preserve">nebude mať vplyv </w:t>
      </w:r>
      <w:r w:rsidDel="00000000" w:rsidR="00000000" w:rsidRPr="00000000">
        <w:rPr>
          <w:rFonts w:ascii="Times New Roman" w:cs="Times New Roman" w:eastAsia="Times New Roman" w:hAnsi="Times New Roman"/>
          <w:rtl w:val="0"/>
        </w:rPr>
        <w:t xml:space="preserve">na rozpočet verejnej správy, vplyvy na podnikateľské prostredie, vplyvy na životné prostredie, vplyvy na služby verejnej správy pre občana, vplyvy na informatizáciu spoločnosti. Návrh zákona bude mať pozitívne vplyvy na manželstvo, rodičovstvo a rodinu a pozitívne sociálne vplyvy.  </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OSOBITNÁ ČASŤ</w:t>
      </w:r>
    </w:p>
    <w:p w:rsidR="00000000" w:rsidDel="00000000" w:rsidP="00000000" w:rsidRDefault="00000000" w:rsidRPr="00000000" w14:paraId="0000003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čl. I</w:t>
      </w:r>
    </w:p>
    <w:p w:rsidR="00000000" w:rsidDel="00000000" w:rsidP="00000000" w:rsidRDefault="00000000" w:rsidRPr="00000000" w14:paraId="0000004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bodom 1 a 2 </w:t>
      </w:r>
    </w:p>
    <w:p w:rsidR="00000000" w:rsidDel="00000000" w:rsidP="00000000" w:rsidRDefault="00000000" w:rsidRPr="00000000" w14:paraId="0000004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Účelom navrhovanej úpravy je minimalizácia rizika, kedy by  žiak s problémovým správaním mohol predstavovať hrozbu pre prostredie školy a zároveň mu zabezpečiť odbornú podporu.</w:t>
      </w: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 žiak prejavuje rizikové správanie, je potrebné odborné posúdenie, z čoho jeho správanie vyplýva. Agresívne a problematické správanie žiaka býva symptóm pre iné jeho ťažkosti či poruchu správania. V súčasnosti sa stáva, že škola žiakovi odporučí osobitnú formu školskej dochádzky, avšak izolácia bez odbornej podpory môže jeho ťažkosti ešte prehĺbiť. </w:t>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Preto je nevyhnutné absolvovanie diagnostiky v zariadení poradenstva a prevencie (ZPP). ZPP na základe diagnostiky posúdi, či individuálny učebný plán je v danej situácii vhodná forma vzdelávania. Zároveň ZPP stanoví, či a aké podporné opatrenia žiak potrebuje. Žiak má nárok na poskytovanie podporných opatrení aj v prípade, že sa vzdeláva podľa individuálneho učebného plánu. </w:t>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bodom 3 a 4 </w:t>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Navrhovaná  úprava odstraňuje nedostatky v poskytovaní informácií o žiakovi s rizikovým správaním pri jeho prestupe na inú školu.</w:t>
      </w:r>
    </w:p>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Podľa súčasnej právnej úpravy riaditeľ školy, z ktorej žiak prestupuje je povinný zaslať riaditeľovi školy, do ktorej žiak prestupuje dokumentáciu žiaka. Podľa vyhlášky Ministerstva školstva, vedy, výskumu a športu Slovenskej republiky č. 339/2023 Z. z. o pedagogickej dokumentácii a ďalšej dokumentácii sa k osobe konkrétneho žiaka, ktorý prestupuje na inú školu  vzťahuje v základných a stredných školách pedagogická dokumentácia, ktorou je  katalógový list, protokol o komisionálnej skúške  a v prípade žiaka strednej školy denník evidencie odborného výcviku. Ďalšia dokumentácia, ktorou je prípadný individuálny vzdelávací program a správa z diagnostického vyšetrenia sa vzťahuje na žiaka so zdravotným znevýhodnením, žiaka zo sociálne znevýhodneného prostredia, alebo žiaka s intelektovým nadaním. Pokiaľ sa žiakovi poskytuje podporné opatrenie, súčasťou ďalšej dokumentácie je vyjadrenie k návrhu na poskytnutie podporného opatrenia.  Tento súbor či už pedagogickej dokumentácie, alebo ďalšej dokumentácie neposkytuje škole, do ktorej bol žiak prijatý, alebo do nej prestúpil, dostatok informácií o jeho názoroch, postojoch a konaní, ktoré predstavujú riziko pre bezpečnosť a zdravie účastníkov konania. Škola, ktorá žiaka prijíma, tak nemá komplexný prehľad o povahe priestupkov rizikového žiaka, o inštitúciách, ktoré sa konaním žiaka zaoberali a ani o prijatých opatreniach, ktoré môžu rizikovému žiakovi pomôcť a zároveň ochrániť školské prostredie. </w:t>
      </w:r>
    </w:p>
    <w:p w:rsidR="00000000" w:rsidDel="00000000" w:rsidP="00000000" w:rsidRDefault="00000000" w:rsidRPr="00000000" w14:paraId="0000004F">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bodu 5</w:t>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Súčasná právna úprava neposkytuje školám efektívne nástroje na riešenie  hroziacich rizík vyplývajúcich z antisociálnych porúch osobnosti žiakov. Z uvedeného dôvodu sa navrhuje opatrenie, ktoré spočíva v dočasnom vylúčení žiaka z prezenčnej výchovy a vzdelávania na dobu určitú, počas ktorej na základe odbornej diagnostiky bude možné</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navrhnúť ďalší spôsob výchovy a vzdelávania rizikového žiaka.  Na  rozhodnutie riaditeľa školy alebo školského zariadenia  sa pri uložení tohto opatrenia v záujme jeho okamžitej účinnosti nebude vzťahovať všeobecný predpis  o správnom konaní.  </w:t>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bodu 6</w:t>
      </w:r>
      <w:r w:rsidDel="00000000" w:rsidR="00000000" w:rsidRPr="00000000">
        <w:rPr>
          <w:rFonts w:ascii="Times New Roman" w:cs="Times New Roman" w:eastAsia="Times New Roman" w:hAnsi="Times New Roman"/>
          <w:rtl w:val="0"/>
        </w:rPr>
        <w:br w:type="textWrapping"/>
        <w:t xml:space="preserve">Toto ustanovenie jasne stanovuje povinnosť riaditeľa školy poskytovať informácie o žiakovi pri prechode na vyšší stupeň vzdelávania, čo umožňuje škole, do ktorej žiak nastupuje, lepšie pripraviť potrebnú podporu alebo intervenciu, ak je to potrebné.</w:t>
      </w: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bodu 7</w:t>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Účelom navrhovanej úpravy je dosiahnuť stav, kedy škola a školské zariadenie bude disponovať výsledkami odbornej činnosti poskytovanej zariadeniami poradenstva a prevencie, a to aj v prípade, ak žiadateľom o poskytnutie odbornej činnosti je plnoletý žiak</w:t>
      </w:r>
      <w:r w:rsidDel="00000000" w:rsidR="00000000" w:rsidRPr="00000000">
        <w:rPr>
          <w:rFonts w:ascii="Times New Roman" w:cs="Times New Roman" w:eastAsia="Times New Roman" w:hAnsi="Times New Roman"/>
          <w:color w:val="0070c0"/>
          <w:rtl w:val="0"/>
        </w:rPr>
        <w:t xml:space="preserve">, </w:t>
      </w:r>
      <w:r w:rsidDel="00000000" w:rsidR="00000000" w:rsidRPr="00000000">
        <w:rPr>
          <w:rFonts w:ascii="Times New Roman" w:cs="Times New Roman" w:eastAsia="Times New Roman" w:hAnsi="Times New Roman"/>
          <w:rtl w:val="0"/>
        </w:rPr>
        <w:t xml:space="preserve">zákonný zástupca žiaka alebo zástupca zariadenia.</w:t>
      </w:r>
    </w:p>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Právo na ochranu súkromia bude zabezpečené tým, že táto informácia bude zahrnutá do informovaného súhlasu zariadenia poradenstva a prevencie. </w:t>
      </w:r>
    </w:p>
    <w:p w:rsidR="00000000" w:rsidDel="00000000" w:rsidP="00000000" w:rsidRDefault="00000000" w:rsidRPr="00000000" w14:paraId="00000059">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bodu 8</w:t>
      </w:r>
    </w:p>
    <w:p w:rsidR="00000000" w:rsidDel="00000000" w:rsidP="00000000" w:rsidRDefault="00000000" w:rsidRPr="00000000" w14:paraId="000000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Účelom navrhovanej úpravy je dosiahnuť stav, kedy škola a školské zariadenie bude disponovať  dôležitými informáciami, ktoré majú vplyv na výchovu a vzdelávanie plnoletého žiaka.</w:t>
      </w:r>
    </w:p>
    <w:p w:rsidR="00000000" w:rsidDel="00000000" w:rsidP="00000000" w:rsidRDefault="00000000" w:rsidRPr="00000000" w14:paraId="0000005C">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bodom 9 a 10</w:t>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Navrhovaná úprava reaguje na prax, kedy je zákonným zástupcom uložená informačná povinnosť, ale jej neplnenie nie je vymáhané. Dokonca ani v prípade závažných dôsledkov, ktoré vyplývajú z neplnenia tejto povinnosti, nie sú vyvodzované voči zákonným zástupcom žiadne konzekvencie. </w:t>
      </w:r>
    </w:p>
    <w:p w:rsidR="00000000" w:rsidDel="00000000" w:rsidP="00000000" w:rsidRDefault="00000000" w:rsidRPr="00000000" w14:paraId="0000005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bodu 11</w:t>
      </w:r>
    </w:p>
    <w:p w:rsidR="00000000" w:rsidDel="00000000" w:rsidP="00000000" w:rsidRDefault="00000000" w:rsidRPr="00000000" w14:paraId="000000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Účelom navrhovanej úpravy je stanoviť  jasnú povinnosť školy iniciovať spoluprácu príslušných orgánov pri riešení nebezpečného správania sa žiaka.</w:t>
      </w:r>
    </w:p>
    <w:p w:rsidR="00000000" w:rsidDel="00000000" w:rsidP="00000000" w:rsidRDefault="00000000" w:rsidRPr="00000000" w14:paraId="00000062">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čl. II</w:t>
      </w:r>
    </w:p>
    <w:p w:rsidR="00000000" w:rsidDel="00000000" w:rsidP="00000000" w:rsidRDefault="00000000" w:rsidRPr="00000000" w14:paraId="0000006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bodom 1 a 2</w:t>
      </w:r>
    </w:p>
    <w:p w:rsidR="00000000" w:rsidDel="00000000" w:rsidP="00000000" w:rsidRDefault="00000000" w:rsidRPr="00000000" w14:paraId="00000066">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Navrhovaná úprava prispieva k informovanosti školy a školského zariadenia o trestných činoch alebo priestupkoch, ktoré jej nie sú známe, a ktoré zároveň dokresľujú osobnostný profil problémového žiaka. Tieto informácie  umožnia prijať špecifické bezpečnostné opatrenia, ak sú potrebné, a uplatňovať cielené výchovné intervencie.</w:t>
      </w:r>
    </w:p>
    <w:p w:rsidR="00000000" w:rsidDel="00000000" w:rsidP="00000000" w:rsidRDefault="00000000" w:rsidRPr="00000000" w14:paraId="0000006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čl. III</w:t>
      </w:r>
    </w:p>
    <w:p w:rsidR="00000000" w:rsidDel="00000000" w:rsidP="00000000" w:rsidRDefault="00000000" w:rsidRPr="00000000" w14:paraId="0000006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súvislosti so zavedením výchovného opatrenia, ktorým je dočasné vylúčenie žiaka z prezenčnej výchovy a vzdelávania je potrebné vyňať jeho uplatnenie z procesu rozhodovania podľa všeobecného predpisu o správnom konaní.</w:t>
      </w:r>
    </w:p>
    <w:p w:rsidR="00000000" w:rsidDel="00000000" w:rsidP="00000000" w:rsidRDefault="00000000" w:rsidRPr="00000000" w14:paraId="0000006A">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čl. IV</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Účinnosť sa navrhuje k 1. septembru 2025. </w:t>
      </w:r>
    </w:p>
    <w:p w:rsidR="00000000" w:rsidDel="00000000" w:rsidP="00000000" w:rsidRDefault="00000000" w:rsidRPr="00000000" w14:paraId="0000006D">
      <w:pPr>
        <w:jc w:val="both"/>
        <w:rPr>
          <w:rFonts w:ascii="Times New Roman" w:cs="Times New Roman" w:eastAsia="Times New Roman" w:hAnsi="Times New Roman"/>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Normlny" w:default="1">
    <w:name w:val="Normal"/>
    <w:qFormat w:val="1"/>
  </w:style>
  <w:style w:type="paragraph" w:styleId="Nadpis1">
    <w:name w:val="heading 1"/>
    <w:basedOn w:val="Normlny"/>
    <w:next w:val="Normlny"/>
    <w:link w:val="Nadpis1Char"/>
    <w:uiPriority w:val="9"/>
    <w:qFormat w:val="1"/>
    <w:rsid w:val="00C0031C"/>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Nadpis2">
    <w:name w:val="heading 2"/>
    <w:basedOn w:val="Normlny"/>
    <w:next w:val="Normlny"/>
    <w:link w:val="Nadpis2Char"/>
    <w:uiPriority w:val="9"/>
    <w:semiHidden w:val="1"/>
    <w:unhideWhenUsed w:val="1"/>
    <w:qFormat w:val="1"/>
    <w:rsid w:val="00C0031C"/>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Nadpis3">
    <w:name w:val="heading 3"/>
    <w:basedOn w:val="Normlny"/>
    <w:next w:val="Normlny"/>
    <w:link w:val="Nadpis3Char"/>
    <w:uiPriority w:val="9"/>
    <w:semiHidden w:val="1"/>
    <w:unhideWhenUsed w:val="1"/>
    <w:qFormat w:val="1"/>
    <w:rsid w:val="00C0031C"/>
    <w:pPr>
      <w:keepNext w:val="1"/>
      <w:keepLines w:val="1"/>
      <w:spacing w:after="80" w:before="160"/>
      <w:outlineLvl w:val="2"/>
    </w:pPr>
    <w:rPr>
      <w:rFonts w:cstheme="majorBidi" w:eastAsiaTheme="majorEastAsia"/>
      <w:color w:val="2f5496" w:themeColor="accent1" w:themeShade="0000BF"/>
      <w:sz w:val="28"/>
      <w:szCs w:val="28"/>
    </w:rPr>
  </w:style>
  <w:style w:type="paragraph" w:styleId="Nadpis4">
    <w:name w:val="heading 4"/>
    <w:basedOn w:val="Normlny"/>
    <w:next w:val="Normlny"/>
    <w:link w:val="Nadpis4Char"/>
    <w:uiPriority w:val="9"/>
    <w:semiHidden w:val="1"/>
    <w:unhideWhenUsed w:val="1"/>
    <w:qFormat w:val="1"/>
    <w:rsid w:val="00C0031C"/>
    <w:pPr>
      <w:keepNext w:val="1"/>
      <w:keepLines w:val="1"/>
      <w:spacing w:after="40" w:before="80"/>
      <w:outlineLvl w:val="3"/>
    </w:pPr>
    <w:rPr>
      <w:rFonts w:cstheme="majorBidi" w:eastAsiaTheme="majorEastAsia"/>
      <w:i w:val="1"/>
      <w:iCs w:val="1"/>
      <w:color w:val="2f5496" w:themeColor="accent1" w:themeShade="0000BF"/>
    </w:rPr>
  </w:style>
  <w:style w:type="paragraph" w:styleId="Nadpis5">
    <w:name w:val="heading 5"/>
    <w:basedOn w:val="Normlny"/>
    <w:next w:val="Normlny"/>
    <w:link w:val="Nadpis5Char"/>
    <w:uiPriority w:val="9"/>
    <w:semiHidden w:val="1"/>
    <w:unhideWhenUsed w:val="1"/>
    <w:qFormat w:val="1"/>
    <w:rsid w:val="00C0031C"/>
    <w:pPr>
      <w:keepNext w:val="1"/>
      <w:keepLines w:val="1"/>
      <w:spacing w:after="40" w:before="80"/>
      <w:outlineLvl w:val="4"/>
    </w:pPr>
    <w:rPr>
      <w:rFonts w:cstheme="majorBidi" w:eastAsiaTheme="majorEastAsia"/>
      <w:color w:val="2f5496" w:themeColor="accent1" w:themeShade="0000BF"/>
    </w:rPr>
  </w:style>
  <w:style w:type="paragraph" w:styleId="Nadpis6">
    <w:name w:val="heading 6"/>
    <w:basedOn w:val="Normlny"/>
    <w:next w:val="Normlny"/>
    <w:link w:val="Nadpis6Char"/>
    <w:uiPriority w:val="9"/>
    <w:semiHidden w:val="1"/>
    <w:unhideWhenUsed w:val="1"/>
    <w:qFormat w:val="1"/>
    <w:rsid w:val="00C0031C"/>
    <w:pPr>
      <w:keepNext w:val="1"/>
      <w:keepLines w:val="1"/>
      <w:spacing w:before="40"/>
      <w:outlineLvl w:val="5"/>
    </w:pPr>
    <w:rPr>
      <w:rFonts w:cstheme="majorBidi" w:eastAsiaTheme="majorEastAsia"/>
      <w:i w:val="1"/>
      <w:iCs w:val="1"/>
      <w:color w:val="595959" w:themeColor="text1" w:themeTint="0000A6"/>
    </w:rPr>
  </w:style>
  <w:style w:type="paragraph" w:styleId="Nadpis7">
    <w:name w:val="heading 7"/>
    <w:basedOn w:val="Normlny"/>
    <w:next w:val="Normlny"/>
    <w:link w:val="Nadpis7Char"/>
    <w:uiPriority w:val="9"/>
    <w:semiHidden w:val="1"/>
    <w:unhideWhenUsed w:val="1"/>
    <w:qFormat w:val="1"/>
    <w:rsid w:val="00C0031C"/>
    <w:pPr>
      <w:keepNext w:val="1"/>
      <w:keepLines w:val="1"/>
      <w:spacing w:before="40"/>
      <w:outlineLvl w:val="6"/>
    </w:pPr>
    <w:rPr>
      <w:rFonts w:cstheme="majorBidi" w:eastAsiaTheme="majorEastAsia"/>
      <w:color w:val="595959" w:themeColor="text1" w:themeTint="0000A6"/>
    </w:rPr>
  </w:style>
  <w:style w:type="paragraph" w:styleId="Nadpis8">
    <w:name w:val="heading 8"/>
    <w:basedOn w:val="Normlny"/>
    <w:next w:val="Normlny"/>
    <w:link w:val="Nadpis8Char"/>
    <w:uiPriority w:val="9"/>
    <w:semiHidden w:val="1"/>
    <w:unhideWhenUsed w:val="1"/>
    <w:qFormat w:val="1"/>
    <w:rsid w:val="00C0031C"/>
    <w:pPr>
      <w:keepNext w:val="1"/>
      <w:keepLines w:val="1"/>
      <w:outlineLvl w:val="7"/>
    </w:pPr>
    <w:rPr>
      <w:rFonts w:cstheme="majorBidi" w:eastAsiaTheme="majorEastAsia"/>
      <w:i w:val="1"/>
      <w:iCs w:val="1"/>
      <w:color w:val="272727" w:themeColor="text1" w:themeTint="0000D8"/>
    </w:rPr>
  </w:style>
  <w:style w:type="paragraph" w:styleId="Nadpis9">
    <w:name w:val="heading 9"/>
    <w:basedOn w:val="Normlny"/>
    <w:next w:val="Normlny"/>
    <w:link w:val="Nadpis9Char"/>
    <w:uiPriority w:val="9"/>
    <w:semiHidden w:val="1"/>
    <w:unhideWhenUsed w:val="1"/>
    <w:qFormat w:val="1"/>
    <w:rsid w:val="00C0031C"/>
    <w:pPr>
      <w:keepNext w:val="1"/>
      <w:keepLines w:val="1"/>
      <w:outlineLvl w:val="8"/>
    </w:pPr>
    <w:rPr>
      <w:rFonts w:cstheme="majorBidi" w:eastAsiaTheme="majorEastAsia"/>
      <w:color w:val="272727" w:themeColor="text1" w:themeTint="0000D8"/>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character" w:styleId="Nadpis1Char" w:customStyle="1">
    <w:name w:val="Nadpis 1 Char"/>
    <w:basedOn w:val="Predvolenpsmoodseku"/>
    <w:link w:val="Nadpis1"/>
    <w:uiPriority w:val="9"/>
    <w:rsid w:val="00C0031C"/>
    <w:rPr>
      <w:rFonts w:asciiTheme="majorHAnsi" w:cstheme="majorBidi" w:eastAsiaTheme="majorEastAsia" w:hAnsiTheme="majorHAnsi"/>
      <w:color w:val="2f5496" w:themeColor="accent1" w:themeShade="0000BF"/>
      <w:sz w:val="40"/>
      <w:szCs w:val="40"/>
    </w:rPr>
  </w:style>
  <w:style w:type="character" w:styleId="Nadpis2Char" w:customStyle="1">
    <w:name w:val="Nadpis 2 Char"/>
    <w:basedOn w:val="Predvolenpsmoodseku"/>
    <w:link w:val="Nadpis2"/>
    <w:uiPriority w:val="9"/>
    <w:semiHidden w:val="1"/>
    <w:rsid w:val="00C0031C"/>
    <w:rPr>
      <w:rFonts w:asciiTheme="majorHAnsi" w:cstheme="majorBidi" w:eastAsiaTheme="majorEastAsia" w:hAnsiTheme="majorHAnsi"/>
      <w:color w:val="2f5496" w:themeColor="accent1" w:themeShade="0000BF"/>
      <w:sz w:val="32"/>
      <w:szCs w:val="32"/>
    </w:rPr>
  </w:style>
  <w:style w:type="character" w:styleId="Nadpis3Char" w:customStyle="1">
    <w:name w:val="Nadpis 3 Char"/>
    <w:basedOn w:val="Predvolenpsmoodseku"/>
    <w:link w:val="Nadpis3"/>
    <w:uiPriority w:val="9"/>
    <w:semiHidden w:val="1"/>
    <w:rsid w:val="00C0031C"/>
    <w:rPr>
      <w:rFonts w:cstheme="majorBidi" w:eastAsiaTheme="majorEastAsia"/>
      <w:color w:val="2f5496" w:themeColor="accent1" w:themeShade="0000BF"/>
      <w:sz w:val="28"/>
      <w:szCs w:val="28"/>
    </w:rPr>
  </w:style>
  <w:style w:type="character" w:styleId="Nadpis4Char" w:customStyle="1">
    <w:name w:val="Nadpis 4 Char"/>
    <w:basedOn w:val="Predvolenpsmoodseku"/>
    <w:link w:val="Nadpis4"/>
    <w:uiPriority w:val="9"/>
    <w:semiHidden w:val="1"/>
    <w:rsid w:val="00C0031C"/>
    <w:rPr>
      <w:rFonts w:cstheme="majorBidi" w:eastAsiaTheme="majorEastAsia"/>
      <w:i w:val="1"/>
      <w:iCs w:val="1"/>
      <w:color w:val="2f5496" w:themeColor="accent1" w:themeShade="0000BF"/>
    </w:rPr>
  </w:style>
  <w:style w:type="character" w:styleId="Nadpis5Char" w:customStyle="1">
    <w:name w:val="Nadpis 5 Char"/>
    <w:basedOn w:val="Predvolenpsmoodseku"/>
    <w:link w:val="Nadpis5"/>
    <w:uiPriority w:val="9"/>
    <w:semiHidden w:val="1"/>
    <w:rsid w:val="00C0031C"/>
    <w:rPr>
      <w:rFonts w:cstheme="majorBidi" w:eastAsiaTheme="majorEastAsia"/>
      <w:color w:val="2f5496" w:themeColor="accent1" w:themeShade="0000BF"/>
    </w:rPr>
  </w:style>
  <w:style w:type="character" w:styleId="Nadpis6Char" w:customStyle="1">
    <w:name w:val="Nadpis 6 Char"/>
    <w:basedOn w:val="Predvolenpsmoodseku"/>
    <w:link w:val="Nadpis6"/>
    <w:uiPriority w:val="9"/>
    <w:semiHidden w:val="1"/>
    <w:rsid w:val="00C0031C"/>
    <w:rPr>
      <w:rFonts w:cstheme="majorBidi" w:eastAsiaTheme="majorEastAsia"/>
      <w:i w:val="1"/>
      <w:iCs w:val="1"/>
      <w:color w:val="595959" w:themeColor="text1" w:themeTint="0000A6"/>
    </w:rPr>
  </w:style>
  <w:style w:type="character" w:styleId="Nadpis7Char" w:customStyle="1">
    <w:name w:val="Nadpis 7 Char"/>
    <w:basedOn w:val="Predvolenpsmoodseku"/>
    <w:link w:val="Nadpis7"/>
    <w:uiPriority w:val="9"/>
    <w:semiHidden w:val="1"/>
    <w:rsid w:val="00C0031C"/>
    <w:rPr>
      <w:rFonts w:cstheme="majorBidi" w:eastAsiaTheme="majorEastAsia"/>
      <w:color w:val="595959" w:themeColor="text1" w:themeTint="0000A6"/>
    </w:rPr>
  </w:style>
  <w:style w:type="character" w:styleId="Nadpis8Char" w:customStyle="1">
    <w:name w:val="Nadpis 8 Char"/>
    <w:basedOn w:val="Predvolenpsmoodseku"/>
    <w:link w:val="Nadpis8"/>
    <w:uiPriority w:val="9"/>
    <w:semiHidden w:val="1"/>
    <w:rsid w:val="00C0031C"/>
    <w:rPr>
      <w:rFonts w:cstheme="majorBidi" w:eastAsiaTheme="majorEastAsia"/>
      <w:i w:val="1"/>
      <w:iCs w:val="1"/>
      <w:color w:val="272727" w:themeColor="text1" w:themeTint="0000D8"/>
    </w:rPr>
  </w:style>
  <w:style w:type="character" w:styleId="Nadpis9Char" w:customStyle="1">
    <w:name w:val="Nadpis 9 Char"/>
    <w:basedOn w:val="Predvolenpsmoodseku"/>
    <w:link w:val="Nadpis9"/>
    <w:uiPriority w:val="9"/>
    <w:semiHidden w:val="1"/>
    <w:rsid w:val="00C0031C"/>
    <w:rPr>
      <w:rFonts w:cstheme="majorBidi" w:eastAsiaTheme="majorEastAsia"/>
      <w:color w:val="272727" w:themeColor="text1" w:themeTint="0000D8"/>
    </w:rPr>
  </w:style>
  <w:style w:type="paragraph" w:styleId="Nzov">
    <w:name w:val="Title"/>
    <w:basedOn w:val="Normlny"/>
    <w:next w:val="Normlny"/>
    <w:link w:val="NzovChar"/>
    <w:uiPriority w:val="10"/>
    <w:qFormat w:val="1"/>
    <w:rsid w:val="00C0031C"/>
    <w:pPr>
      <w:spacing w:after="80"/>
      <w:contextualSpacing w:val="1"/>
    </w:pPr>
    <w:rPr>
      <w:rFonts w:asciiTheme="majorHAnsi" w:cstheme="majorBidi" w:eastAsiaTheme="majorEastAsia" w:hAnsiTheme="majorHAnsi"/>
      <w:spacing w:val="-10"/>
      <w:kern w:val="28"/>
      <w:sz w:val="56"/>
      <w:szCs w:val="56"/>
    </w:rPr>
  </w:style>
  <w:style w:type="character" w:styleId="NzovChar" w:customStyle="1">
    <w:name w:val="Názov Char"/>
    <w:basedOn w:val="Predvolenpsmoodseku"/>
    <w:link w:val="Nzov"/>
    <w:uiPriority w:val="10"/>
    <w:rsid w:val="00C0031C"/>
    <w:rPr>
      <w:rFonts w:asciiTheme="majorHAnsi" w:cstheme="majorBidi" w:eastAsiaTheme="majorEastAsia" w:hAnsiTheme="majorHAnsi"/>
      <w:spacing w:val="-10"/>
      <w:kern w:val="28"/>
      <w:sz w:val="56"/>
      <w:szCs w:val="56"/>
    </w:rPr>
  </w:style>
  <w:style w:type="paragraph" w:styleId="Podtitul">
    <w:name w:val="Subtitle"/>
    <w:basedOn w:val="Normlny"/>
    <w:next w:val="Normlny"/>
    <w:link w:val="PodtitulChar"/>
    <w:uiPriority w:val="11"/>
    <w:qFormat w:val="1"/>
    <w:rsid w:val="00C0031C"/>
    <w:pPr>
      <w:numPr>
        <w:ilvl w:val="1"/>
      </w:numPr>
      <w:spacing w:after="160"/>
    </w:pPr>
    <w:rPr>
      <w:rFonts w:cstheme="majorBidi" w:eastAsiaTheme="majorEastAsia"/>
      <w:color w:val="595959" w:themeColor="text1" w:themeTint="0000A6"/>
      <w:spacing w:val="15"/>
      <w:sz w:val="28"/>
      <w:szCs w:val="28"/>
    </w:rPr>
  </w:style>
  <w:style w:type="character" w:styleId="PodtitulChar" w:customStyle="1">
    <w:name w:val="Podtitul Char"/>
    <w:basedOn w:val="Predvolenpsmoodseku"/>
    <w:link w:val="Podtitul"/>
    <w:uiPriority w:val="11"/>
    <w:rsid w:val="00C0031C"/>
    <w:rPr>
      <w:rFonts w:cstheme="majorBidi" w:eastAsiaTheme="majorEastAsia"/>
      <w:color w:val="595959" w:themeColor="text1" w:themeTint="0000A6"/>
      <w:spacing w:val="15"/>
      <w:sz w:val="28"/>
      <w:szCs w:val="28"/>
    </w:rPr>
  </w:style>
  <w:style w:type="paragraph" w:styleId="Citcia">
    <w:name w:val="Quote"/>
    <w:basedOn w:val="Normlny"/>
    <w:next w:val="Normlny"/>
    <w:link w:val="CitciaChar"/>
    <w:uiPriority w:val="29"/>
    <w:qFormat w:val="1"/>
    <w:rsid w:val="00C0031C"/>
    <w:pPr>
      <w:spacing w:after="160" w:before="160"/>
      <w:jc w:val="center"/>
    </w:pPr>
    <w:rPr>
      <w:i w:val="1"/>
      <w:iCs w:val="1"/>
      <w:color w:val="404040" w:themeColor="text1" w:themeTint="0000BF"/>
    </w:rPr>
  </w:style>
  <w:style w:type="character" w:styleId="CitciaChar" w:customStyle="1">
    <w:name w:val="Citácia Char"/>
    <w:basedOn w:val="Predvolenpsmoodseku"/>
    <w:link w:val="Citcia"/>
    <w:uiPriority w:val="29"/>
    <w:rsid w:val="00C0031C"/>
    <w:rPr>
      <w:i w:val="1"/>
      <w:iCs w:val="1"/>
      <w:color w:val="404040" w:themeColor="text1" w:themeTint="0000BF"/>
    </w:rPr>
  </w:style>
  <w:style w:type="paragraph" w:styleId="Odsekzoznamu">
    <w:name w:val="List Paragraph"/>
    <w:basedOn w:val="Normlny"/>
    <w:uiPriority w:val="34"/>
    <w:qFormat w:val="1"/>
    <w:rsid w:val="00C0031C"/>
    <w:pPr>
      <w:ind w:left="720"/>
      <w:contextualSpacing w:val="1"/>
    </w:pPr>
  </w:style>
  <w:style w:type="character" w:styleId="Intenzvnezvraznenie">
    <w:name w:val="Intense Emphasis"/>
    <w:basedOn w:val="Predvolenpsmoodseku"/>
    <w:uiPriority w:val="21"/>
    <w:qFormat w:val="1"/>
    <w:rsid w:val="00C0031C"/>
    <w:rPr>
      <w:i w:val="1"/>
      <w:iCs w:val="1"/>
      <w:color w:val="2f5496" w:themeColor="accent1" w:themeShade="0000BF"/>
    </w:rPr>
  </w:style>
  <w:style w:type="paragraph" w:styleId="Zvraznencitcia">
    <w:name w:val="Intense Quote"/>
    <w:basedOn w:val="Normlny"/>
    <w:next w:val="Normlny"/>
    <w:link w:val="ZvraznencitciaChar"/>
    <w:uiPriority w:val="30"/>
    <w:qFormat w:val="1"/>
    <w:rsid w:val="00C0031C"/>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ZvraznencitciaChar" w:customStyle="1">
    <w:name w:val="Zvýraznená citácia Char"/>
    <w:basedOn w:val="Predvolenpsmoodseku"/>
    <w:link w:val="Zvraznencitcia"/>
    <w:uiPriority w:val="30"/>
    <w:rsid w:val="00C0031C"/>
    <w:rPr>
      <w:i w:val="1"/>
      <w:iCs w:val="1"/>
      <w:color w:val="2f5496" w:themeColor="accent1" w:themeShade="0000BF"/>
    </w:rPr>
  </w:style>
  <w:style w:type="character" w:styleId="Zvraznenodkaz">
    <w:name w:val="Intense Reference"/>
    <w:basedOn w:val="Predvolenpsmoodseku"/>
    <w:uiPriority w:val="32"/>
    <w:qFormat w:val="1"/>
    <w:rsid w:val="00C0031C"/>
    <w:rPr>
      <w:b w:val="1"/>
      <w:bCs w:val="1"/>
      <w:smallCaps w:val="1"/>
      <w:color w:val="2f5496" w:themeColor="accent1" w:themeShade="0000BF"/>
      <w:spacing w:val="5"/>
    </w:rPr>
  </w:style>
  <w:style w:type="paragraph" w:styleId="Normlnywebov">
    <w:name w:val="Normal (Web)"/>
    <w:basedOn w:val="Normlny"/>
    <w:uiPriority w:val="99"/>
    <w:unhideWhenUsed w:val="1"/>
    <w:rsid w:val="00D96543"/>
    <w:pPr>
      <w:spacing w:after="100" w:afterAutospacing="1" w:before="100" w:beforeAutospacing="1"/>
    </w:pPr>
    <w:rPr>
      <w:rFonts w:ascii="Times New Roman" w:cs="Times New Roman" w:eastAsia="Times New Roman" w:hAnsi="Times New Roman"/>
      <w:kern w:val="0"/>
      <w:lang w:eastAsia="sk-SK"/>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gDJIkrPG5IAB7aBdKgVrTzk4g==">CgMxLjA4AGoqChRzdWdnZXN0Ljd5YW05bWhxZTZzYxISVGluYSBHYcW+b3ZpxI1vdsOhaikKFHN1Z2dlc3QuNDA0dzBkbjV3cWVpEhFEw6HFoWEgQmxhxaFrb3bDoWoqChRzdWdnZXN0Lm9handzYWFrOTh1ORISVGluYSBHYcW+b3ZpxI1vdsOhaikKE3N1Z2dlc3QuM293d3lkOGx0aGgSElRpbmEgR2HFvm92acSNb3bDoWopChRzdWdnZXN0LjlkbG95NnZ3dWwxZxIRRMOhxaFhIEJsYcWha292w6FqKgoUc3VnZ2VzdC53Y25nd2V4OTR0eXMSElRpbmEgR2HFvm92acSNb3bDoWoqChRzdWdnZXN0LnN5cnhxM3FrajcxORISVGluYSBHYcW+b3ZpxI1vdsOhciExaWk5ODY2Y2JhZGpmeG1qb2pKNFNhcUwwNl9ISTloW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2025-02-12T13:10:00Z</dcterms:created>
  <dc:creator>Ingrid Kosová</dc:creator>
</cp:coreProperties>
</file>