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2025,</w:t>
      </w:r>
    </w:p>
    <w:p w:rsidR="00000000" w:rsidDel="00000000" w:rsidP="00000000" w:rsidRDefault="00000000" w:rsidRPr="00000000" w14:paraId="0000000A">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ktorým sa mení a dopĺňa zákon Národnej rady Slovenskej republiky č. 145/1995 Z. z. o správnych poplatkoch v znení neskorších predpisov</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Národná rada Slovenskej republiky sa uzniesla na tomto zákone:</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69" w:lineRule="auto"/>
        <w:ind w:left="10" w:right="65" w:firstLine="0"/>
        <w:jc w:val="both"/>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shd w:fill="fefefe" w:val="clear"/>
          <w:rtl w:val="0"/>
        </w:rPr>
        <w:t xml:space="preserve">Zákon Národnej rady Slovenskej republiky č. </w:t>
      </w:r>
      <w:hyperlink r:id="rId7">
        <w:r w:rsidDel="00000000" w:rsidR="00000000" w:rsidRPr="00000000">
          <w:rPr>
            <w:rFonts w:ascii="Times New Roman" w:cs="Times New Roman" w:eastAsia="Times New Roman" w:hAnsi="Times New Roman"/>
            <w:sz w:val="24"/>
            <w:szCs w:val="24"/>
            <w:shd w:fill="fefefe" w:val="clear"/>
            <w:rtl w:val="0"/>
          </w:rPr>
          <w:t xml:space="preserve">145/1995 Z. z.</w:t>
        </w:r>
      </w:hyperlink>
      <w:r w:rsidDel="00000000" w:rsidR="00000000" w:rsidRPr="00000000">
        <w:rPr>
          <w:rFonts w:ascii="Times New Roman" w:cs="Times New Roman" w:eastAsia="Times New Roman" w:hAnsi="Times New Roman"/>
          <w:sz w:val="24"/>
          <w:szCs w:val="24"/>
          <w:shd w:fill="fefefe" w:val="clear"/>
          <w:rtl w:val="0"/>
        </w:rPr>
        <w:t xml:space="preserve"> o správnych poplatkoch v znení zákona Národnej rady Slovenskej republiky </w:t>
      </w:r>
      <w:r w:rsidDel="00000000" w:rsidR="00000000" w:rsidRPr="00000000">
        <w:rPr>
          <w:rFonts w:ascii="Times New Roman" w:cs="Times New Roman" w:eastAsia="Times New Roman" w:hAnsi="Times New Roman"/>
          <w:sz w:val="24"/>
          <w:szCs w:val="24"/>
          <w:rtl w:val="0"/>
        </w:rPr>
        <w:t xml:space="preserve">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zákona č. 307/2024 Z. z., zákona č. 364/2024 Z. z., zákona č. 366/2024 Z. z., zákona č. 377/2024 Z. z., zákona č. 378/2024 Z. z. a zákona č. 26/2025 Z. z. </w:t>
      </w:r>
      <w:r w:rsidDel="00000000" w:rsidR="00000000" w:rsidRPr="00000000">
        <w:rPr>
          <w:rFonts w:ascii="Times New Roman" w:cs="Times New Roman" w:eastAsia="Times New Roman" w:hAnsi="Times New Roman"/>
          <w:sz w:val="24"/>
          <w:szCs w:val="24"/>
          <w:shd w:fill="fefefe" w:val="clear"/>
          <w:rtl w:val="0"/>
        </w:rPr>
        <w:t xml:space="preserve">sa </w:t>
      </w:r>
      <w:r w:rsidDel="00000000" w:rsidR="00000000" w:rsidRPr="00000000">
        <w:rPr>
          <w:rFonts w:ascii="Times New Roman" w:cs="Times New Roman" w:eastAsia="Times New Roman" w:hAnsi="Times New Roman"/>
          <w:sz w:val="24"/>
          <w:szCs w:val="24"/>
          <w:rtl w:val="0"/>
        </w:rPr>
        <w:t xml:space="preserve">mení a dopĺňa takto: </w:t>
      </w:r>
      <w:r w:rsidDel="00000000" w:rsidR="00000000" w:rsidRPr="00000000">
        <w:rPr>
          <w:rtl w:val="0"/>
        </w:rPr>
      </w:r>
    </w:p>
    <w:p w:rsidR="00000000" w:rsidDel="00000000" w:rsidP="00000000" w:rsidRDefault="00000000" w:rsidRPr="00000000" w14:paraId="00000012">
      <w:pPr>
        <w:spacing w:after="0" w:line="269" w:lineRule="auto"/>
        <w:ind w:left="10" w:right="65"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sa dopĺňa odsekom 7, ktorý znie:</w:t>
      </w:r>
    </w:p>
    <w:p w:rsidR="00000000" w:rsidDel="00000000" w:rsidP="00000000" w:rsidRDefault="00000000" w:rsidRPr="00000000" w14:paraId="00000014">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Ak z technických dôvodov nemožno splniť povinnosť získať a použiť údaje evidované v informačných systémoch verejnej správy a v iných informačných systémoch</w:t>
      </w:r>
      <w:r w:rsidDel="00000000" w:rsidR="00000000" w:rsidRPr="00000000">
        <w:rPr>
          <w:rFonts w:ascii="Times New Roman" w:cs="Times New Roman" w:eastAsia="Times New Roman" w:hAnsi="Times New Roman"/>
          <w:sz w:val="24"/>
          <w:szCs w:val="24"/>
          <w:vertAlign w:val="superscript"/>
          <w:rtl w:val="0"/>
        </w:rPr>
        <w:t xml:space="preserve">3a</w:t>
      </w:r>
      <w:r w:rsidDel="00000000" w:rsidR="00000000" w:rsidRPr="00000000">
        <w:rPr>
          <w:rFonts w:ascii="Times New Roman" w:cs="Times New Roman" w:eastAsia="Times New Roman" w:hAnsi="Times New Roman"/>
          <w:sz w:val="24"/>
          <w:szCs w:val="24"/>
          <w:rtl w:val="0"/>
        </w:rPr>
        <w:t xml:space="preserve">) a možno požadovať predloženie listinných výpisov z týchto informačných systémov,</w:t>
      </w:r>
      <w:r w:rsidDel="00000000" w:rsidR="00000000" w:rsidRPr="00000000">
        <w:rPr>
          <w:rFonts w:ascii="Times New Roman" w:cs="Times New Roman" w:eastAsia="Times New Roman" w:hAnsi="Times New Roman"/>
          <w:sz w:val="24"/>
          <w:szCs w:val="24"/>
          <w:vertAlign w:val="superscript"/>
          <w:rtl w:val="0"/>
        </w:rPr>
        <w:t xml:space="preserve">3b</w:t>
      </w:r>
      <w:r w:rsidDel="00000000" w:rsidR="00000000" w:rsidRPr="00000000">
        <w:rPr>
          <w:rFonts w:ascii="Times New Roman" w:cs="Times New Roman" w:eastAsia="Times New Roman" w:hAnsi="Times New Roman"/>
          <w:sz w:val="24"/>
          <w:szCs w:val="24"/>
          <w:rtl w:val="0"/>
        </w:rPr>
        <w:t xml:space="preserve">) je vydanie takéhoto listinného výpisu po dobu trvania technických dôvodov od poplatku oslobodené.“.</w:t>
      </w:r>
    </w:p>
    <w:p w:rsidR="00000000" w:rsidDel="00000000" w:rsidP="00000000" w:rsidRDefault="00000000" w:rsidRPr="00000000" w14:paraId="00000015">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Poznámky pod čiarou k odkazom 3a a 3b znejú:</w:t>
      </w:r>
    </w:p>
    <w:p w:rsidR="00000000" w:rsidDel="00000000" w:rsidP="00000000" w:rsidRDefault="00000000" w:rsidRPr="00000000" w14:paraId="00000017">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3a</w:t>
      </w:r>
      <w:r w:rsidDel="00000000" w:rsidR="00000000" w:rsidRPr="00000000">
        <w:rPr>
          <w:rFonts w:ascii="Times New Roman" w:cs="Times New Roman" w:eastAsia="Times New Roman" w:hAnsi="Times New Roman"/>
          <w:sz w:val="24"/>
          <w:szCs w:val="24"/>
          <w:rtl w:val="0"/>
        </w:rPr>
        <w:t xml:space="preserve">) § 1 ods. 1 zákona č. 177/2018 Z. z. o niektorých opatreniach na znižovanie administratívnej záťaže využívaním informačných systémov verejnej správy a o zmene a doplnení niektorých zákonov (zákon proti byrokracii) v znení neskorších predpisov.</w:t>
      </w:r>
    </w:p>
    <w:p w:rsidR="00000000" w:rsidDel="00000000" w:rsidP="00000000" w:rsidRDefault="00000000" w:rsidRPr="00000000" w14:paraId="00000018">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3b</w:t>
      </w:r>
      <w:r w:rsidDel="00000000" w:rsidR="00000000" w:rsidRPr="00000000">
        <w:rPr>
          <w:rFonts w:ascii="Times New Roman" w:cs="Times New Roman" w:eastAsia="Times New Roman" w:hAnsi="Times New Roman"/>
          <w:sz w:val="24"/>
          <w:szCs w:val="24"/>
          <w:rtl w:val="0"/>
        </w:rPr>
        <w:t xml:space="preserve">) § 1 ods. 7 zákona č. 177/2018 Z. z. v znení neskorších predpisov.“.</w:t>
      </w:r>
    </w:p>
    <w:p w:rsidR="00000000" w:rsidDel="00000000" w:rsidP="00000000" w:rsidRDefault="00000000" w:rsidRPr="00000000" w14:paraId="00000019">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6 sa za odsek 2 vkladá nový odsek 3, ktorý znie:</w:t>
      </w:r>
    </w:p>
    <w:p w:rsidR="00000000" w:rsidDel="00000000" w:rsidP="00000000" w:rsidRDefault="00000000" w:rsidRPr="00000000" w14:paraId="0000001B">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Podľa odseku 2 sa postupuje aj vtedy, ak podanie elektronickými prostriedkami nie je možné z technických dôvodov na strane správneho orgánu.“.</w:t>
      </w:r>
    </w:p>
    <w:p w:rsidR="00000000" w:rsidDel="00000000" w:rsidP="00000000" w:rsidRDefault="00000000" w:rsidRPr="00000000" w14:paraId="0000001C">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Doterajšie odseky 3 a 4 sa označujú ako odseky 5 a 6.</w:t>
      </w:r>
    </w:p>
    <w:p w:rsidR="00000000" w:rsidDel="00000000" w:rsidP="00000000" w:rsidRDefault="00000000" w:rsidRPr="00000000" w14:paraId="0000001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10 sa za odsek 1 vkladá nový odsek 2, ktorý znie:</w:t>
      </w:r>
    </w:p>
    <w:p w:rsidR="00000000" w:rsidDel="00000000" w:rsidP="00000000" w:rsidRDefault="00000000" w:rsidRPr="00000000" w14:paraId="0000001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Ak bola lehota podľa odseku 1 predĺžená z dôvodu technických problémov na strane správneho orgánu, správny orgán rozhodne o vrátení poplatku v plnej výške.“.</w:t>
      </w:r>
    </w:p>
    <w:p w:rsidR="00000000" w:rsidDel="00000000" w:rsidP="00000000" w:rsidRDefault="00000000" w:rsidRPr="00000000" w14:paraId="00000020">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Doterajšie odseky 2 až 15 sa označujú ako odseky 3 až 16.</w:t>
      </w:r>
    </w:p>
    <w:p w:rsidR="00000000" w:rsidDel="00000000" w:rsidP="00000000" w:rsidRDefault="00000000" w:rsidRPr="00000000" w14:paraId="00000021">
      <w:pPr>
        <w:spacing w:after="0" w:lineRule="auto"/>
        <w:ind w:left="72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10 ods. 4 písm. b) sa slová „odseku 8“ nahrádzajú slovami „odseku 9“.</w:t>
      </w:r>
    </w:p>
    <w:p w:rsidR="00000000" w:rsidDel="00000000" w:rsidP="00000000" w:rsidRDefault="00000000" w:rsidRPr="00000000" w14:paraId="00000023">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10 ods. 5 sa slová „odseku 3“ nahrádzajú slovami „odseku 4“.</w:t>
      </w:r>
    </w:p>
    <w:p w:rsidR="00000000" w:rsidDel="00000000" w:rsidP="00000000" w:rsidRDefault="00000000" w:rsidRPr="00000000" w14:paraId="00000025">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10 ods. 6 sa slová „odsekov 3 a 4“ nahrádzajú slovami „odsekov 4 a 5“.</w:t>
      </w:r>
    </w:p>
    <w:p w:rsidR="00000000" w:rsidDel="00000000" w:rsidP="00000000" w:rsidRDefault="00000000" w:rsidRPr="00000000" w14:paraId="00000027">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10 ods. 9 sa slová „odsekov 1, 2 alebo odseku 5“ nahrádzajú slovami „odsekov 1, 3 alebo odseku 6“.</w:t>
      </w:r>
    </w:p>
    <w:p w:rsidR="00000000" w:rsidDel="00000000" w:rsidP="00000000" w:rsidRDefault="00000000" w:rsidRPr="00000000" w14:paraId="00000029">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10 ods. 11 sa slová „odseku 4“ nahrádzajú slovami „odseku 5“.</w:t>
      </w:r>
    </w:p>
    <w:p w:rsidR="00000000" w:rsidDel="00000000" w:rsidP="00000000" w:rsidRDefault="00000000" w:rsidRPr="00000000" w14:paraId="0000002B">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10 ods. 15 sa slová „odseku 9“ nahrádzajú slovami „odseku 10“.</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1"/>
        </w:numPr>
        <w:spacing w:after="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10 ods. 16 sa slová „odseku 11“ nahrádzajú slovami „odseku 12“.</w:t>
      </w:r>
    </w:p>
    <w:p w:rsidR="00000000" w:rsidDel="00000000" w:rsidP="00000000" w:rsidRDefault="00000000" w:rsidRPr="00000000" w14:paraId="0000002F">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 19x sa vkladá § 19y, ktorý vrátane nadpisu znie:</w:t>
      </w:r>
    </w:p>
    <w:p w:rsidR="00000000" w:rsidDel="00000000" w:rsidP="00000000" w:rsidRDefault="00000000" w:rsidRPr="00000000" w14:paraId="00000031">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§19y</w:t>
      </w:r>
    </w:p>
    <w:p w:rsidR="00000000" w:rsidDel="00000000" w:rsidP="00000000" w:rsidRDefault="00000000" w:rsidRPr="00000000" w14:paraId="00000032">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Prechodné ustanovenia k úpravám účinným od 1. júla 2025</w:t>
      </w:r>
    </w:p>
    <w:p w:rsidR="00000000" w:rsidDel="00000000" w:rsidP="00000000" w:rsidRDefault="00000000" w:rsidRPr="00000000" w14:paraId="00000033">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Poplatok uhradený za úkony a konania podľa položky 10 a 11 sadzobníka správnych poplatkov v období od 5. januára 2025 do 31. marca 2025 správca dane započíta na úhradu najbližšej daňovej povinnosti fyzickej osoby, ktorá poplatok uhradila, alebo na základe jej žiadosti vráti. Na postup pri vrátení poplatku na základe žiadosti fyzickej osoby, ktorá poplatok uhradila, sa použijú ustanovenia § 10.</w:t>
      </w:r>
    </w:p>
    <w:p w:rsidR="00000000" w:rsidDel="00000000" w:rsidP="00000000" w:rsidRDefault="00000000" w:rsidRPr="00000000" w14:paraId="0000003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Právo správneho orgánu vybrať a povinnosť poplatníka zaplatiť poplatok za úkony a konania podľa položky 10 a 11 sadzobníka správnych poplatkov vykonané v období od 5. januára 2025 do 31. marca 2025 zanikajú ku dňu účinnosti tohto zákona.“.</w:t>
      </w:r>
    </w:p>
    <w:p w:rsidR="00000000" w:rsidDel="00000000" w:rsidP="00000000" w:rsidRDefault="00000000" w:rsidRPr="00000000" w14:paraId="0000003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Tento zákon nadobúda účinnosť </w:t>
      </w:r>
      <w:r w:rsidDel="00000000" w:rsidR="00000000" w:rsidRPr="00000000">
        <w:rPr>
          <w:rFonts w:ascii="Times New Roman" w:cs="Times New Roman" w:eastAsia="Times New Roman" w:hAnsi="Times New Roman"/>
          <w:sz w:val="24"/>
          <w:szCs w:val="24"/>
          <w:rtl w:val="0"/>
        </w:rPr>
        <w:t xml:space="preserve">1. júla 2025.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footerReference r:id="rId8"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rsid w:val="00905FD0"/>
    <w:pPr>
      <w:suppressAutoHyphens w:val="1"/>
    </w:pPr>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character" w:styleId="PtaChar" w:customStyle="1">
    <w:name w:val="Päta Char"/>
    <w:basedOn w:val="Predvolenpsmoodseku"/>
    <w:link w:val="Pta"/>
    <w:uiPriority w:val="99"/>
    <w:qFormat w:val="1"/>
    <w:rsid w:val="00905FD0"/>
  </w:style>
  <w:style w:type="paragraph" w:styleId="Odsekzoznamu">
    <w:name w:val="List Paragraph"/>
    <w:basedOn w:val="Normlny"/>
    <w:link w:val="OdsekzoznamuChar"/>
    <w:uiPriority w:val="34"/>
    <w:qFormat w:val="1"/>
    <w:rsid w:val="00905FD0"/>
    <w:pPr>
      <w:spacing w:after="0" w:line="240" w:lineRule="auto"/>
      <w:ind w:left="708"/>
    </w:pPr>
    <w:rPr>
      <w:rFonts w:ascii="Arial" w:cs="Times New Roman" w:eastAsia="Times New Roman" w:hAnsi="Arial"/>
      <w:sz w:val="24"/>
      <w:szCs w:val="20"/>
      <w:lang w:eastAsia="cs-CZ"/>
    </w:rPr>
  </w:style>
  <w:style w:type="paragraph" w:styleId="Pta">
    <w:name w:val="footer"/>
    <w:basedOn w:val="Normlny"/>
    <w:link w:val="PtaChar"/>
    <w:uiPriority w:val="99"/>
    <w:unhideWhenUsed w:val="1"/>
    <w:rsid w:val="00905FD0"/>
    <w:pPr>
      <w:tabs>
        <w:tab w:val="center" w:pos="4536"/>
        <w:tab w:val="right" w:pos="9072"/>
      </w:tabs>
      <w:spacing w:after="0" w:line="240" w:lineRule="auto"/>
    </w:pPr>
    <w:rPr>
      <w:sz w:val="24"/>
      <w:szCs w:val="24"/>
    </w:rPr>
  </w:style>
  <w:style w:type="character" w:styleId="PtaChar1" w:customStyle="1">
    <w:name w:val="Päta Char1"/>
    <w:basedOn w:val="Predvolenpsmoodseku"/>
    <w:uiPriority w:val="99"/>
    <w:semiHidden w:val="1"/>
    <w:rsid w:val="00905FD0"/>
    <w:rPr>
      <w:sz w:val="22"/>
      <w:szCs w:val="22"/>
    </w:rPr>
  </w:style>
  <w:style w:type="paragraph" w:styleId="Bezriadkovania">
    <w:name w:val="No Spacing"/>
    <w:uiPriority w:val="1"/>
    <w:qFormat w:val="1"/>
    <w:rsid w:val="00905FD0"/>
    <w:rPr>
      <w:rFonts w:cs="Times New Roman" w:eastAsia="Times New Roman"/>
    </w:rPr>
  </w:style>
  <w:style w:type="paragraph" w:styleId="Zkladntext">
    <w:name w:val="Body Text"/>
    <w:basedOn w:val="Normlny"/>
    <w:link w:val="ZkladntextChar"/>
    <w:uiPriority w:val="99"/>
    <w:rsid w:val="00905FD0"/>
    <w:pPr>
      <w:widowControl w:val="0"/>
      <w:suppressAutoHyphens w:val="0"/>
      <w:autoSpaceDE w:val="0"/>
      <w:autoSpaceDN w:val="0"/>
      <w:adjustRightInd w:val="0"/>
      <w:spacing w:after="0" w:line="240" w:lineRule="auto"/>
      <w:jc w:val="both"/>
    </w:pPr>
    <w:rPr>
      <w:rFonts w:ascii="Times New Roman" w:cs="Times New Roman" w:eastAsia="Times New Roman" w:hAnsi="Times New Roman"/>
      <w:sz w:val="24"/>
      <w:szCs w:val="24"/>
      <w:lang w:eastAsia="cs-CZ"/>
    </w:rPr>
  </w:style>
  <w:style w:type="character" w:styleId="ZkladntextChar" w:customStyle="1">
    <w:name w:val="Základný text Char"/>
    <w:basedOn w:val="Predvolenpsmoodseku"/>
    <w:link w:val="Zkladntext"/>
    <w:uiPriority w:val="99"/>
    <w:rsid w:val="00905FD0"/>
    <w:rPr>
      <w:rFonts w:ascii="Times New Roman" w:cs="Times New Roman" w:eastAsia="Times New Roman" w:hAnsi="Times New Roman"/>
      <w:lang w:eastAsia="cs-CZ"/>
    </w:rPr>
  </w:style>
  <w:style w:type="paragraph" w:styleId="Default" w:customStyle="1">
    <w:name w:val="Default"/>
    <w:uiPriority w:val="99"/>
    <w:rsid w:val="00905FD0"/>
    <w:pPr>
      <w:widowControl w:val="0"/>
      <w:autoSpaceDE w:val="0"/>
      <w:autoSpaceDN w:val="0"/>
      <w:adjustRightInd w:val="0"/>
    </w:pPr>
    <w:rPr>
      <w:rFonts w:ascii="Liberation Serif" w:cs="Liberation Serif" w:eastAsia="Times New Roman" w:hAnsi="Liberation Serif"/>
      <w:color w:val="000000"/>
      <w:kern w:val="2"/>
      <w:lang w:bidi="hi-IN"/>
    </w:rPr>
  </w:style>
  <w:style w:type="character" w:styleId="Hypertextovprepojenie">
    <w:name w:val="Hyperlink"/>
    <w:basedOn w:val="Predvolenpsmoodseku"/>
    <w:uiPriority w:val="99"/>
    <w:rsid w:val="00905FD0"/>
    <w:rPr>
      <w:rFonts w:cs="Times New Roman"/>
      <w:color w:val="0000ff"/>
      <w:u w:val="single"/>
      <w:rtl w:val="0"/>
      <w:cs w:val="0"/>
    </w:rPr>
  </w:style>
  <w:style w:type="paragraph" w:styleId="Revzia">
    <w:name w:val="Revision"/>
    <w:hidden w:val="1"/>
    <w:uiPriority w:val="99"/>
    <w:semiHidden w:val="1"/>
    <w:rsid w:val="00E16FC4"/>
  </w:style>
  <w:style w:type="character" w:styleId="Odkaznakomentr">
    <w:name w:val="annotation reference"/>
    <w:basedOn w:val="Predvolenpsmoodseku"/>
    <w:uiPriority w:val="99"/>
    <w:semiHidden w:val="1"/>
    <w:unhideWhenUsed w:val="1"/>
    <w:rsid w:val="00BA123F"/>
    <w:rPr>
      <w:sz w:val="16"/>
      <w:szCs w:val="16"/>
    </w:rPr>
  </w:style>
  <w:style w:type="paragraph" w:styleId="Textkomentra">
    <w:name w:val="annotation text"/>
    <w:basedOn w:val="Normlny"/>
    <w:link w:val="TextkomentraChar"/>
    <w:uiPriority w:val="99"/>
    <w:unhideWhenUsed w:val="1"/>
    <w:rsid w:val="00BA123F"/>
    <w:pPr>
      <w:spacing w:line="240" w:lineRule="auto"/>
    </w:pPr>
    <w:rPr>
      <w:sz w:val="20"/>
      <w:szCs w:val="20"/>
    </w:rPr>
  </w:style>
  <w:style w:type="character" w:styleId="TextkomentraChar" w:customStyle="1">
    <w:name w:val="Text komentára Char"/>
    <w:basedOn w:val="Predvolenpsmoodseku"/>
    <w:link w:val="Textkomentra"/>
    <w:uiPriority w:val="99"/>
    <w:rsid w:val="00BA123F"/>
    <w:rPr>
      <w:sz w:val="20"/>
      <w:szCs w:val="20"/>
    </w:rPr>
  </w:style>
  <w:style w:type="paragraph" w:styleId="Predmetkomentra">
    <w:name w:val="annotation subject"/>
    <w:basedOn w:val="Textkomentra"/>
    <w:next w:val="Textkomentra"/>
    <w:link w:val="PredmetkomentraChar"/>
    <w:uiPriority w:val="99"/>
    <w:semiHidden w:val="1"/>
    <w:unhideWhenUsed w:val="1"/>
    <w:rsid w:val="00BA123F"/>
    <w:rPr>
      <w:b w:val="1"/>
      <w:bCs w:val="1"/>
    </w:rPr>
  </w:style>
  <w:style w:type="character" w:styleId="PredmetkomentraChar" w:customStyle="1">
    <w:name w:val="Predmet komentára Char"/>
    <w:basedOn w:val="TextkomentraChar"/>
    <w:link w:val="Predmetkomentra"/>
    <w:uiPriority w:val="99"/>
    <w:semiHidden w:val="1"/>
    <w:rsid w:val="00BA123F"/>
    <w:rPr>
      <w:b w:val="1"/>
      <w:bCs w:val="1"/>
      <w:sz w:val="20"/>
      <w:szCs w:val="20"/>
    </w:rPr>
  </w:style>
  <w:style w:type="character" w:styleId="Nevyrieenzmienka">
    <w:name w:val="Unresolved Mention"/>
    <w:basedOn w:val="Predvolenpsmoodseku"/>
    <w:uiPriority w:val="99"/>
    <w:semiHidden w:val="1"/>
    <w:unhideWhenUsed w:val="1"/>
    <w:rsid w:val="006175E8"/>
    <w:rPr>
      <w:color w:val="605e5c"/>
      <w:shd w:color="auto" w:fill="e1dfdd" w:val="clear"/>
    </w:rPr>
  </w:style>
  <w:style w:type="character" w:styleId="OdsekzoznamuChar" w:customStyle="1">
    <w:name w:val="Odsek zoznamu Char"/>
    <w:link w:val="Odsekzoznamu"/>
    <w:uiPriority w:val="34"/>
    <w:locked w:val="1"/>
    <w:rsid w:val="00324393"/>
    <w:rPr>
      <w:rFonts w:ascii="Arial" w:cs="Times New Roman" w:eastAsia="Times New Roman" w:hAnsi="Arial"/>
      <w:szCs w:val="20"/>
      <w:lang w:eastAsia="cs-CZ"/>
    </w:rPr>
  </w:style>
  <w:style w:type="table" w:styleId="Mriekatabuky">
    <w:name w:val="Table Grid"/>
    <w:basedOn w:val="Normlnatabuka"/>
    <w:uiPriority w:val="59"/>
    <w:rsid w:val="00324393"/>
    <w:rPr>
      <w:rFonts w:ascii="Arial Narrow" w:cs="Times New Roman" w:eastAsia="Times New Roman" w:hAnsi="Arial Narrow"/>
      <w:szCs w:val="3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uitHypertextovPrepojenie">
    <w:name w:val="FollowedHyperlink"/>
    <w:basedOn w:val="Predvolenpsmoodseku"/>
    <w:uiPriority w:val="99"/>
    <w:semiHidden w:val="1"/>
    <w:unhideWhenUsed w:val="1"/>
    <w:rsid w:val="00C15A39"/>
    <w:rPr>
      <w:color w:val="954f72" w:themeColor="followedHyperlink"/>
      <w:u w:val="single"/>
    </w:rPr>
  </w:style>
  <w:style w:type="paragraph" w:styleId="Normlnywebov">
    <w:name w:val="Normal (Web)"/>
    <w:basedOn w:val="Normlny"/>
    <w:uiPriority w:val="99"/>
    <w:unhideWhenUsed w:val="1"/>
    <w:rsid w:val="002A2CA8"/>
    <w:pPr>
      <w:suppressAutoHyphens w:val="0"/>
      <w:spacing w:after="100" w:afterAutospacing="1" w:before="100" w:beforeAutospacing="1" w:line="240" w:lineRule="auto"/>
    </w:pPr>
    <w:rPr>
      <w:rFonts w:ascii="Times New Roman" w:cs="Times New Roman" w:eastAsia="Times New Roman" w:hAnsi="Times New Roman"/>
      <w:sz w:val="24"/>
      <w:szCs w:val="24"/>
    </w:rPr>
  </w:style>
  <w:style w:type="paragraph" w:styleId="Podtitul">
    <w:name w:val="Subtitle"/>
    <w:basedOn w:val="Normlny"/>
    <w:next w:val="Norm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lov-lex.sk/pravne-predpisy/SK/ZZ/1995/145/" TargetMode="External"/><Relationship Id="rId8"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IahGlnvhdVVVgdszah/rD04nA==">CgMxLjA4AHIhMXpfVFVVZ1RrWF9hWHM1UF9JLVAybUxBOGQzcXhUbFU4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2025-02-25T11:14:00Z</dcterms:created>
</cp:coreProperties>
</file>