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4EC6E" w14:textId="77777777" w:rsidR="004853C5" w:rsidRPr="009B7076" w:rsidRDefault="004853C5" w:rsidP="004853C5">
      <w:pPr>
        <w:jc w:val="center"/>
        <w:rPr>
          <w:lang w:eastAsia="cs-CZ"/>
        </w:rPr>
      </w:pPr>
      <w:r w:rsidRPr="009B7076">
        <w:rPr>
          <w:lang w:eastAsia="cs-CZ"/>
        </w:rPr>
        <w:t>N á v r h</w:t>
      </w:r>
    </w:p>
    <w:p w14:paraId="3FE90A21" w14:textId="77777777" w:rsidR="006B2C18" w:rsidRPr="009B7076" w:rsidRDefault="006B2C18" w:rsidP="004853C5">
      <w:pPr>
        <w:jc w:val="center"/>
        <w:rPr>
          <w:lang w:eastAsia="cs-CZ"/>
        </w:rPr>
      </w:pPr>
    </w:p>
    <w:p w14:paraId="6A365B78" w14:textId="5AA42A10" w:rsidR="006B2C18" w:rsidRPr="009B7076" w:rsidRDefault="006B2C18" w:rsidP="004853C5">
      <w:pPr>
        <w:jc w:val="center"/>
        <w:rPr>
          <w:lang w:eastAsia="cs-CZ"/>
        </w:rPr>
      </w:pPr>
      <w:r w:rsidRPr="009B7076">
        <w:rPr>
          <w:lang w:eastAsia="cs-CZ"/>
        </w:rPr>
        <w:t>VYHLÁŠKA</w:t>
      </w:r>
    </w:p>
    <w:p w14:paraId="136F2848" w14:textId="77777777" w:rsidR="004853C5" w:rsidRPr="009B7076" w:rsidRDefault="004853C5" w:rsidP="004853C5">
      <w:pPr>
        <w:jc w:val="center"/>
        <w:rPr>
          <w:lang w:eastAsia="cs-CZ"/>
        </w:rPr>
      </w:pPr>
    </w:p>
    <w:p w14:paraId="2A69106C" w14:textId="7BB1CD05" w:rsidR="004853C5" w:rsidRPr="009B7076" w:rsidRDefault="004853C5" w:rsidP="004853C5">
      <w:pPr>
        <w:jc w:val="center"/>
        <w:rPr>
          <w:lang w:eastAsia="cs-CZ"/>
        </w:rPr>
      </w:pPr>
      <w:r w:rsidRPr="009B7076">
        <w:rPr>
          <w:lang w:eastAsia="cs-CZ"/>
        </w:rPr>
        <w:t>Ministerstva financií Slovenskej republiky</w:t>
      </w:r>
    </w:p>
    <w:p w14:paraId="1BA7D6E7" w14:textId="38D476AD" w:rsidR="004853C5" w:rsidRPr="009B7076" w:rsidRDefault="004853C5" w:rsidP="004853C5">
      <w:pPr>
        <w:jc w:val="center"/>
        <w:rPr>
          <w:lang w:eastAsia="cs-CZ"/>
        </w:rPr>
      </w:pPr>
      <w:r w:rsidRPr="009B7076">
        <w:rPr>
          <w:lang w:eastAsia="cs-CZ"/>
        </w:rPr>
        <w:t>z ... 20</w:t>
      </w:r>
      <w:r w:rsidR="009B7076">
        <w:rPr>
          <w:lang w:eastAsia="cs-CZ"/>
        </w:rPr>
        <w:t>2</w:t>
      </w:r>
      <w:r w:rsidR="00071BAE">
        <w:rPr>
          <w:lang w:eastAsia="cs-CZ"/>
        </w:rPr>
        <w:t>5</w:t>
      </w:r>
      <w:r w:rsidRPr="009B7076">
        <w:rPr>
          <w:lang w:eastAsia="cs-CZ"/>
        </w:rPr>
        <w:t>,</w:t>
      </w:r>
    </w:p>
    <w:p w14:paraId="10EC2354" w14:textId="77777777" w:rsidR="004853C5" w:rsidRPr="009B7076" w:rsidRDefault="004853C5" w:rsidP="004853C5">
      <w:pPr>
        <w:jc w:val="center"/>
      </w:pPr>
    </w:p>
    <w:p w14:paraId="4E1404F6" w14:textId="7052A1A2" w:rsidR="004853C5" w:rsidRPr="009B7076" w:rsidRDefault="004853C5" w:rsidP="004853C5">
      <w:pPr>
        <w:pStyle w:val="Zarkazkladnhotextu"/>
        <w:jc w:val="center"/>
        <w:rPr>
          <w:b/>
          <w:bCs/>
        </w:rPr>
      </w:pPr>
      <w:r w:rsidRPr="009B7076">
        <w:rPr>
          <w:b/>
          <w:bCs/>
        </w:rPr>
        <w:t xml:space="preserve">ktorou sa mení a  dopĺňa </w:t>
      </w:r>
      <w:r w:rsidR="00BE6B4C" w:rsidRPr="009B7076">
        <w:rPr>
          <w:b/>
          <w:bCs/>
        </w:rPr>
        <w:t>v</w:t>
      </w:r>
      <w:r w:rsidRPr="009B7076">
        <w:rPr>
          <w:b/>
          <w:bCs/>
        </w:rPr>
        <w:t xml:space="preserve">yhláška Ministerstva financií Slovenskej republiky </w:t>
      </w:r>
      <w:r w:rsidR="004277D4">
        <w:rPr>
          <w:b/>
          <w:bCs/>
        </w:rPr>
        <w:t xml:space="preserve">                 </w:t>
      </w:r>
      <w:r w:rsidRPr="009B7076">
        <w:rPr>
          <w:b/>
          <w:bCs/>
        </w:rPr>
        <w:t>č. 446/2015 Z. z., ktorou sa ustanovujú podrobnosti preverovania finančných účtov oznamujúcimi finančnými inštitúciami</w:t>
      </w:r>
    </w:p>
    <w:p w14:paraId="710F3B17" w14:textId="77777777" w:rsidR="004853C5" w:rsidRPr="009B7076" w:rsidRDefault="004853C5" w:rsidP="004853C5">
      <w:pPr>
        <w:pStyle w:val="Zarkazkladnhotextu"/>
        <w:jc w:val="center"/>
        <w:rPr>
          <w:b/>
          <w:bCs/>
        </w:rPr>
      </w:pPr>
    </w:p>
    <w:p w14:paraId="705AC682" w14:textId="77777777" w:rsidR="004853C5" w:rsidRPr="009B7076" w:rsidRDefault="004853C5" w:rsidP="004853C5">
      <w:pPr>
        <w:pStyle w:val="Zarkazkladnhotextu"/>
        <w:jc w:val="center"/>
      </w:pPr>
    </w:p>
    <w:p w14:paraId="657E4B75" w14:textId="18C77016" w:rsidR="004853C5" w:rsidRPr="009B7076" w:rsidRDefault="008414DE" w:rsidP="004853C5">
      <w:pPr>
        <w:pStyle w:val="Zarkazkladnhotextu"/>
      </w:pPr>
      <w:r w:rsidRPr="009B7076">
        <w:t xml:space="preserve">Ministerstvo financií Slovenskej republiky podľa § 7 ods. 2 </w:t>
      </w:r>
      <w:r w:rsidR="006878A1">
        <w:t xml:space="preserve">a § 15f ods. 2 </w:t>
      </w:r>
      <w:r w:rsidRPr="009B7076">
        <w:t xml:space="preserve">zákona č. </w:t>
      </w:r>
      <w:r w:rsidR="006878A1">
        <w:t>.</w:t>
      </w:r>
      <w:r w:rsidR="00071BAE">
        <w:t>.</w:t>
      </w:r>
      <w:r w:rsidR="006878A1">
        <w:t>..</w:t>
      </w:r>
      <w:r w:rsidR="00071BAE">
        <w:t>/2025</w:t>
      </w:r>
      <w:r w:rsidR="006878A1">
        <w:t xml:space="preserve">, ktorým sa mení a dopĺňa zákon č. </w:t>
      </w:r>
      <w:r w:rsidRPr="009B7076">
        <w:t>359/2015 Z. z. o automatickej výmene informácií o finančných účtoch na účely správy daní a o zmene a doplnení niektorých zákonov</w:t>
      </w:r>
      <w:r w:rsidR="006878A1">
        <w:t xml:space="preserve"> a ktorým sa menia a dopĺňajú niektoré zákony</w:t>
      </w:r>
      <w:r w:rsidRPr="009B7076">
        <w:t xml:space="preserve"> ustanovuje:</w:t>
      </w:r>
    </w:p>
    <w:p w14:paraId="3921A670" w14:textId="77777777" w:rsidR="004853C5" w:rsidRPr="009B7076" w:rsidRDefault="004853C5" w:rsidP="004853C5">
      <w:pPr>
        <w:pStyle w:val="Zarkazkladnhotextu"/>
      </w:pPr>
    </w:p>
    <w:p w14:paraId="5AFAF5D8" w14:textId="77777777" w:rsidR="00C84A75" w:rsidRPr="009B7076" w:rsidRDefault="00C84A75" w:rsidP="004853C5">
      <w:pPr>
        <w:pStyle w:val="Zarkazkladnhotextu"/>
      </w:pPr>
    </w:p>
    <w:p w14:paraId="68B65388" w14:textId="77777777" w:rsidR="004853C5" w:rsidRPr="009B7076" w:rsidRDefault="004853C5" w:rsidP="004853C5">
      <w:pPr>
        <w:pStyle w:val="Zarkazkladnhotextu"/>
        <w:jc w:val="center"/>
      </w:pPr>
      <w:r w:rsidRPr="009B7076">
        <w:t>Čl. I</w:t>
      </w:r>
    </w:p>
    <w:p w14:paraId="35AF701C" w14:textId="77777777" w:rsidR="004853C5" w:rsidRPr="009B7076" w:rsidRDefault="004853C5" w:rsidP="004853C5">
      <w:pPr>
        <w:pStyle w:val="Zarkazkladnhotextu"/>
        <w:jc w:val="center"/>
      </w:pPr>
    </w:p>
    <w:p w14:paraId="266CA4A3" w14:textId="70896A24" w:rsidR="004853C5" w:rsidRPr="009B7076" w:rsidRDefault="008414DE" w:rsidP="004853C5">
      <w:pPr>
        <w:pStyle w:val="Zarkazkladnhotextu"/>
      </w:pPr>
      <w:r w:rsidRPr="009B7076">
        <w:t>Vyhláška Ministerstva financií Slovenskej republiky č. 446/2015</w:t>
      </w:r>
      <w:r w:rsidR="00BE6B4C" w:rsidRPr="009B7076">
        <w:t xml:space="preserve"> Z.</w:t>
      </w:r>
      <w:r w:rsidR="00A563E7" w:rsidRPr="009B7076">
        <w:t xml:space="preserve"> </w:t>
      </w:r>
      <w:r w:rsidR="00BE6B4C" w:rsidRPr="009B7076">
        <w:t>z.</w:t>
      </w:r>
      <w:r w:rsidRPr="009B7076">
        <w:t>, ktorou sa ustanovujú podrobnosti preverovania finančných účtov oznamujúcimi finančnými inštitúciami sa mení a dopĺňa takto:</w:t>
      </w:r>
    </w:p>
    <w:p w14:paraId="30F4B91D" w14:textId="77777777" w:rsidR="008414DE" w:rsidRPr="009B7076" w:rsidRDefault="008414DE" w:rsidP="004853C5">
      <w:pPr>
        <w:pStyle w:val="Zarkazkladnhotextu"/>
      </w:pPr>
    </w:p>
    <w:p w14:paraId="6C6FA4D0" w14:textId="3CF90CDB" w:rsidR="003207B4" w:rsidRDefault="003207B4" w:rsidP="0015149E">
      <w:pPr>
        <w:numPr>
          <w:ilvl w:val="0"/>
          <w:numId w:val="1"/>
        </w:numPr>
        <w:contextualSpacing/>
        <w:jc w:val="both"/>
        <w:rPr>
          <w:lang w:eastAsia="en-US"/>
        </w:rPr>
      </w:pPr>
      <w:r>
        <w:rPr>
          <w:lang w:eastAsia="en-US"/>
        </w:rPr>
        <w:t>§ 1 sa dopĺňa odsekmi d) až f), ktoré znejú:</w:t>
      </w:r>
    </w:p>
    <w:p w14:paraId="494A19C5" w14:textId="272ED380" w:rsidR="003207B4" w:rsidRDefault="003207B4" w:rsidP="003207B4">
      <w:pPr>
        <w:ind w:left="720"/>
        <w:contextualSpacing/>
        <w:jc w:val="both"/>
        <w:rPr>
          <w:lang w:eastAsia="en-US"/>
        </w:rPr>
      </w:pPr>
      <w:r>
        <w:rPr>
          <w:lang w:eastAsia="en-US"/>
        </w:rPr>
        <w:t>„d) podrobnosti o požiadavkách oznamovania a o požiadavkách preverovania na účely oznamovania informácií o </w:t>
      </w:r>
      <w:proofErr w:type="spellStart"/>
      <w:r>
        <w:rPr>
          <w:lang w:eastAsia="en-US"/>
        </w:rPr>
        <w:t>kryptoaktívach</w:t>
      </w:r>
      <w:proofErr w:type="spellEnd"/>
      <w:r>
        <w:rPr>
          <w:lang w:eastAsia="en-US"/>
        </w:rPr>
        <w:t>,</w:t>
      </w:r>
    </w:p>
    <w:p w14:paraId="3ACB72FC" w14:textId="77777777" w:rsidR="003207B4" w:rsidRDefault="003207B4" w:rsidP="003207B4">
      <w:pPr>
        <w:ind w:left="720"/>
        <w:contextualSpacing/>
        <w:jc w:val="both"/>
        <w:rPr>
          <w:lang w:eastAsia="en-US"/>
        </w:rPr>
      </w:pPr>
      <w:r>
        <w:rPr>
          <w:lang w:eastAsia="en-US"/>
        </w:rPr>
        <w:t>e) podrobnosti o postupoch preverovania pre</w:t>
      </w:r>
    </w:p>
    <w:p w14:paraId="2A06EDE9" w14:textId="77777777" w:rsidR="003207B4" w:rsidRDefault="003207B4" w:rsidP="003207B4">
      <w:pPr>
        <w:ind w:left="720"/>
        <w:contextualSpacing/>
        <w:jc w:val="both"/>
        <w:rPr>
          <w:lang w:eastAsia="en-US"/>
        </w:rPr>
      </w:pPr>
      <w:r>
        <w:rPr>
          <w:lang w:eastAsia="en-US"/>
        </w:rPr>
        <w:t xml:space="preserve">1. používateľov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>, ktorí sú fyzickými osobami</w:t>
      </w:r>
    </w:p>
    <w:p w14:paraId="66E1DE9B" w14:textId="74D0AA53" w:rsidR="003207B4" w:rsidRDefault="003207B4" w:rsidP="003207B4">
      <w:pPr>
        <w:ind w:left="720"/>
        <w:contextualSpacing/>
        <w:jc w:val="both"/>
        <w:rPr>
          <w:lang w:eastAsia="en-US"/>
        </w:rPr>
      </w:pPr>
      <w:r>
        <w:rPr>
          <w:lang w:eastAsia="en-US"/>
        </w:rPr>
        <w:t xml:space="preserve">2. používateľov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>, ktorí sú subjektmi,</w:t>
      </w:r>
    </w:p>
    <w:p w14:paraId="376E5458" w14:textId="699ADB01" w:rsidR="008414DE" w:rsidRPr="009B7076" w:rsidRDefault="003207B4" w:rsidP="003207B4">
      <w:pPr>
        <w:ind w:left="720"/>
        <w:contextualSpacing/>
        <w:jc w:val="both"/>
        <w:rPr>
          <w:lang w:eastAsia="en-US"/>
        </w:rPr>
      </w:pPr>
      <w:r>
        <w:rPr>
          <w:lang w:eastAsia="en-US"/>
        </w:rPr>
        <w:t>f) podrobnosti o požiadavkách na platnosť čestných vyhlásení.</w:t>
      </w:r>
      <w:r w:rsidR="00FC6670" w:rsidRPr="009B7076">
        <w:rPr>
          <w:lang w:eastAsia="en-US"/>
        </w:rPr>
        <w:t>“.</w:t>
      </w:r>
    </w:p>
    <w:p w14:paraId="1EA68066" w14:textId="77777777" w:rsidR="0085602E" w:rsidRPr="009B7076" w:rsidRDefault="0085602E" w:rsidP="0085602E">
      <w:pPr>
        <w:ind w:left="720"/>
        <w:contextualSpacing/>
        <w:jc w:val="both"/>
        <w:rPr>
          <w:lang w:eastAsia="en-US"/>
        </w:rPr>
      </w:pPr>
    </w:p>
    <w:p w14:paraId="12DA7EB6" w14:textId="30C38801" w:rsidR="00957849" w:rsidRPr="009B7076" w:rsidRDefault="00957849" w:rsidP="00957849">
      <w:pPr>
        <w:numPr>
          <w:ilvl w:val="0"/>
          <w:numId w:val="1"/>
        </w:numPr>
        <w:contextualSpacing/>
        <w:jc w:val="both"/>
        <w:rPr>
          <w:lang w:eastAsia="en-US"/>
        </w:rPr>
      </w:pPr>
      <w:r w:rsidRPr="009B7076">
        <w:rPr>
          <w:lang w:eastAsia="en-US"/>
        </w:rPr>
        <w:t xml:space="preserve">V § </w:t>
      </w:r>
      <w:r w:rsidR="003207B4">
        <w:rPr>
          <w:lang w:eastAsia="en-US"/>
        </w:rPr>
        <w:t>6 ods. 1 písm. c) bode 2b sa na konci pripájajú tieto slová „za predpokladu, že sú tieto postupy v súlade s osobitným predpisom</w:t>
      </w:r>
      <w:r w:rsidR="00A65615">
        <w:rPr>
          <w:lang w:eastAsia="en-US"/>
        </w:rPr>
        <w:t>,</w:t>
      </w:r>
      <w:r w:rsidR="003207B4">
        <w:rPr>
          <w:vertAlign w:val="superscript"/>
          <w:lang w:eastAsia="en-US"/>
        </w:rPr>
        <w:t>2</w:t>
      </w:r>
      <w:r w:rsidR="003207B4">
        <w:rPr>
          <w:lang w:eastAsia="en-US"/>
        </w:rPr>
        <w:t>)</w:t>
      </w:r>
      <w:r w:rsidRPr="009B7076">
        <w:rPr>
          <w:lang w:eastAsia="en-US"/>
        </w:rPr>
        <w:t>“.</w:t>
      </w:r>
    </w:p>
    <w:p w14:paraId="633BC789" w14:textId="5C933BC4" w:rsidR="00957849" w:rsidRDefault="00957849" w:rsidP="00957849">
      <w:pPr>
        <w:pStyle w:val="Odsekzoznamu"/>
        <w:rPr>
          <w:lang w:eastAsia="en-US"/>
        </w:rPr>
      </w:pPr>
    </w:p>
    <w:p w14:paraId="1768B9E1" w14:textId="112DAD22" w:rsidR="003207B4" w:rsidRDefault="003207B4" w:rsidP="00957849">
      <w:pPr>
        <w:pStyle w:val="Odsekzoznamu"/>
        <w:rPr>
          <w:lang w:eastAsia="en-US"/>
        </w:rPr>
      </w:pPr>
      <w:r>
        <w:rPr>
          <w:lang w:eastAsia="en-US"/>
        </w:rPr>
        <w:t>Poznámka pod čiarou k odkazu 2 znie:</w:t>
      </w:r>
    </w:p>
    <w:p w14:paraId="20579D30" w14:textId="04F80432" w:rsidR="003207B4" w:rsidRDefault="003207B4" w:rsidP="003207B4">
      <w:pPr>
        <w:pStyle w:val="Odsekzoznamu"/>
        <w:jc w:val="both"/>
        <w:rPr>
          <w:lang w:eastAsia="en-US"/>
        </w:rPr>
      </w:pPr>
      <w:r>
        <w:rPr>
          <w:lang w:eastAsia="en-US"/>
        </w:rPr>
        <w:t>„</w:t>
      </w:r>
      <w:r>
        <w:rPr>
          <w:vertAlign w:val="superscript"/>
          <w:lang w:eastAsia="en-US"/>
        </w:rPr>
        <w:t>2</w:t>
      </w:r>
      <w:r>
        <w:rPr>
          <w:lang w:eastAsia="en-US"/>
        </w:rPr>
        <w:t xml:space="preserve">) </w:t>
      </w:r>
      <w:r w:rsidRPr="003207B4">
        <w:rPr>
          <w:lang w:eastAsia="en-US"/>
        </w:rPr>
        <w:t>Zákon č. 297/2008 Z. z. o ochrane pred legalizáciou príjmov z trestnej činnosti a o ochrane pred financovaním terorizmu a o zmene a doplnení niektorých zákonov v znení neskorších predpisov.</w:t>
      </w:r>
      <w:r w:rsidR="00A65615">
        <w:rPr>
          <w:lang w:eastAsia="en-US"/>
        </w:rPr>
        <w:t>“</w:t>
      </w:r>
    </w:p>
    <w:p w14:paraId="01DC9166" w14:textId="77777777" w:rsidR="003207B4" w:rsidRPr="003207B4" w:rsidRDefault="003207B4" w:rsidP="00957849">
      <w:pPr>
        <w:pStyle w:val="Odsekzoznamu"/>
        <w:rPr>
          <w:lang w:eastAsia="en-US"/>
        </w:rPr>
      </w:pPr>
    </w:p>
    <w:p w14:paraId="74988704" w14:textId="0539175C" w:rsidR="00FC6670" w:rsidRDefault="0085602E" w:rsidP="008414DE">
      <w:pPr>
        <w:numPr>
          <w:ilvl w:val="0"/>
          <w:numId w:val="1"/>
        </w:numPr>
        <w:contextualSpacing/>
        <w:jc w:val="both"/>
        <w:rPr>
          <w:lang w:eastAsia="en-US"/>
        </w:rPr>
      </w:pPr>
      <w:r w:rsidRPr="009B7076">
        <w:rPr>
          <w:lang w:eastAsia="en-US"/>
        </w:rPr>
        <w:t xml:space="preserve">§ 6 </w:t>
      </w:r>
      <w:r w:rsidR="00F74E55">
        <w:rPr>
          <w:lang w:eastAsia="en-US"/>
        </w:rPr>
        <w:t>sa dopĺňa odsekom 4, ktorý znie:</w:t>
      </w:r>
    </w:p>
    <w:p w14:paraId="7A41E289" w14:textId="192FBAA3" w:rsidR="00F74E55" w:rsidRPr="009B7076" w:rsidRDefault="00F74E55" w:rsidP="00F74E55">
      <w:pPr>
        <w:ind w:left="720"/>
        <w:contextualSpacing/>
        <w:jc w:val="both"/>
        <w:rPr>
          <w:lang w:eastAsia="en-US"/>
        </w:rPr>
      </w:pPr>
      <w:r>
        <w:rPr>
          <w:lang w:eastAsia="en-US"/>
        </w:rPr>
        <w:t xml:space="preserve">„(4) </w:t>
      </w:r>
      <w:r w:rsidRPr="00F74E55">
        <w:rPr>
          <w:lang w:eastAsia="en-US"/>
        </w:rPr>
        <w:t xml:space="preserve">Ak oznamujúca finančná inštitúcia nie je povinná uplatňovať postupy </w:t>
      </w:r>
      <w:r w:rsidRPr="00E576E5">
        <w:rPr>
          <w:color w:val="000000"/>
        </w:rPr>
        <w:t>pre predchádzanie a odhaľovanie legalizácie príjmov z trestnej činnosti a financovania terorizmu</w:t>
      </w:r>
      <w:r>
        <w:rPr>
          <w:lang w:eastAsia="en-US"/>
        </w:rPr>
        <w:t xml:space="preserve"> podľa osobitného predpisu</w:t>
      </w:r>
      <w:r>
        <w:rPr>
          <w:vertAlign w:val="superscript"/>
          <w:lang w:eastAsia="en-US"/>
        </w:rPr>
        <w:t>2</w:t>
      </w:r>
      <w:r>
        <w:rPr>
          <w:lang w:eastAsia="en-US"/>
        </w:rPr>
        <w:t>)</w:t>
      </w:r>
      <w:r w:rsidRPr="00F74E55">
        <w:rPr>
          <w:lang w:eastAsia="en-US"/>
        </w:rPr>
        <w:t>, uplatňuje na účely stanovenia ovládajúcich osôb v podstate podobné postupy.</w:t>
      </w:r>
      <w:r>
        <w:rPr>
          <w:lang w:eastAsia="en-US"/>
        </w:rPr>
        <w:t>“.</w:t>
      </w:r>
    </w:p>
    <w:p w14:paraId="1A80ACFA" w14:textId="77777777" w:rsidR="0085602E" w:rsidRPr="009B7076" w:rsidRDefault="0085602E" w:rsidP="0085602E">
      <w:pPr>
        <w:pStyle w:val="Odsekzoznamu"/>
        <w:rPr>
          <w:lang w:eastAsia="en-US"/>
        </w:rPr>
      </w:pPr>
    </w:p>
    <w:p w14:paraId="5578A47F" w14:textId="64AE9532" w:rsidR="003832CB" w:rsidRDefault="00EA5B3D" w:rsidP="008414DE">
      <w:pPr>
        <w:numPr>
          <w:ilvl w:val="0"/>
          <w:numId w:val="1"/>
        </w:numPr>
        <w:contextualSpacing/>
        <w:jc w:val="both"/>
        <w:rPr>
          <w:lang w:eastAsia="en-US"/>
        </w:rPr>
      </w:pPr>
      <w:r>
        <w:rPr>
          <w:lang w:eastAsia="en-US"/>
        </w:rPr>
        <w:t>Doterajší text § 8 sa označuje ako odsek 1 a dopĺňa sa odsekom 2, ktorý znie:</w:t>
      </w:r>
    </w:p>
    <w:p w14:paraId="189E849F" w14:textId="7B60B906" w:rsidR="00EA5B3D" w:rsidRDefault="00EA5B3D" w:rsidP="00EA5B3D">
      <w:pPr>
        <w:ind w:left="720"/>
        <w:contextualSpacing/>
        <w:jc w:val="both"/>
        <w:rPr>
          <w:lang w:eastAsia="en-US"/>
        </w:rPr>
      </w:pPr>
      <w:r>
        <w:rPr>
          <w:lang w:eastAsia="en-US"/>
        </w:rPr>
        <w:t>„</w:t>
      </w:r>
      <w:r w:rsidR="000A0F63">
        <w:rPr>
          <w:lang w:eastAsia="en-US"/>
        </w:rPr>
        <w:t xml:space="preserve">(2) </w:t>
      </w:r>
      <w:r w:rsidRPr="00EA5B3D">
        <w:rPr>
          <w:lang w:eastAsia="en-US"/>
        </w:rPr>
        <w:t xml:space="preserve">Vo výnimočných prípadoch, keď oznamujúca finančná inštitúcia nemôže získať čestné vyhlásenie v súvislosti s novým účtom včas na to, aby splnila svoje povinnosti týkajúce sa </w:t>
      </w:r>
      <w:r>
        <w:rPr>
          <w:lang w:eastAsia="en-US"/>
        </w:rPr>
        <w:t>postupov preverovania</w:t>
      </w:r>
      <w:r w:rsidRPr="00EA5B3D">
        <w:rPr>
          <w:lang w:eastAsia="en-US"/>
        </w:rPr>
        <w:t xml:space="preserve"> a oznamovania, pokiaľ ide o oznamovacie obdobie, </w:t>
      </w:r>
      <w:r w:rsidRPr="00EA5B3D">
        <w:rPr>
          <w:lang w:eastAsia="en-US"/>
        </w:rPr>
        <w:lastRenderedPageBreak/>
        <w:t xml:space="preserve">počas ktorého bol účet otvorený, oznamujúca finančná inštitúcia uplatňuje postupy preverovania pre existujúce účty, až </w:t>
      </w:r>
      <w:r>
        <w:rPr>
          <w:lang w:eastAsia="en-US"/>
        </w:rPr>
        <w:t xml:space="preserve">doby, </w:t>
      </w:r>
      <w:r w:rsidRPr="00EA5B3D">
        <w:rPr>
          <w:lang w:eastAsia="en-US"/>
        </w:rPr>
        <w:t xml:space="preserve">kým </w:t>
      </w:r>
      <w:r>
        <w:rPr>
          <w:lang w:eastAsia="en-US"/>
        </w:rPr>
        <w:t xml:space="preserve">sa </w:t>
      </w:r>
      <w:r w:rsidRPr="00EA5B3D">
        <w:rPr>
          <w:lang w:eastAsia="en-US"/>
        </w:rPr>
        <w:t>takéto čestné vyhlásenie nezíska a nepotvrdí.</w:t>
      </w:r>
      <w:r>
        <w:rPr>
          <w:lang w:eastAsia="en-US"/>
        </w:rPr>
        <w:t>“.</w:t>
      </w:r>
    </w:p>
    <w:p w14:paraId="446EA6C1" w14:textId="77777777" w:rsidR="00213D88" w:rsidRDefault="00213D88" w:rsidP="00EA5B3D">
      <w:pPr>
        <w:ind w:left="720"/>
        <w:contextualSpacing/>
        <w:jc w:val="both"/>
        <w:rPr>
          <w:lang w:eastAsia="en-US"/>
        </w:rPr>
      </w:pPr>
    </w:p>
    <w:p w14:paraId="2CA3FCB5" w14:textId="62A58BC1" w:rsidR="00213D88" w:rsidRPr="009B7076" w:rsidRDefault="00213D88" w:rsidP="00213D88">
      <w:pPr>
        <w:ind w:left="284" w:firstLine="142"/>
        <w:contextualSpacing/>
        <w:jc w:val="both"/>
        <w:rPr>
          <w:lang w:eastAsia="en-US"/>
        </w:rPr>
      </w:pPr>
      <w:r>
        <w:rPr>
          <w:lang w:eastAsia="en-US"/>
        </w:rPr>
        <w:t>5. Za § 18a sa vkladajú § 18b až § 18d, ktoré vrátane nadpisov znejú:</w:t>
      </w:r>
    </w:p>
    <w:p w14:paraId="104B8663" w14:textId="77777777" w:rsidR="003832CB" w:rsidRPr="009B7076" w:rsidRDefault="003832CB" w:rsidP="003832CB">
      <w:pPr>
        <w:pStyle w:val="Odsekzoznamu"/>
        <w:rPr>
          <w:lang w:eastAsia="en-US"/>
        </w:rPr>
      </w:pPr>
    </w:p>
    <w:p w14:paraId="56004E4E" w14:textId="77777777" w:rsidR="00213D88" w:rsidRDefault="00213D88" w:rsidP="00213D88">
      <w:pPr>
        <w:contextualSpacing/>
        <w:jc w:val="center"/>
        <w:rPr>
          <w:lang w:eastAsia="en-US"/>
        </w:rPr>
      </w:pPr>
      <w:r>
        <w:rPr>
          <w:lang w:eastAsia="en-US"/>
        </w:rPr>
        <w:t>„§ 18b</w:t>
      </w:r>
    </w:p>
    <w:p w14:paraId="2A2814FA" w14:textId="023F6B34" w:rsidR="00213D88" w:rsidRPr="00213D88" w:rsidRDefault="00213D88" w:rsidP="00213D88">
      <w:pPr>
        <w:contextualSpacing/>
        <w:jc w:val="center"/>
        <w:rPr>
          <w:b/>
          <w:lang w:eastAsia="en-US"/>
        </w:rPr>
      </w:pPr>
      <w:r w:rsidRPr="00213D88">
        <w:rPr>
          <w:b/>
          <w:lang w:eastAsia="en-US"/>
        </w:rPr>
        <w:t xml:space="preserve">Podrobnosti o požiadavkách preverovania a oznamovania </w:t>
      </w:r>
      <w:proofErr w:type="spellStart"/>
      <w:r w:rsidRPr="00213D88">
        <w:rPr>
          <w:b/>
          <w:lang w:eastAsia="en-US"/>
        </w:rPr>
        <w:t>kryptoaktív</w:t>
      </w:r>
      <w:proofErr w:type="spellEnd"/>
    </w:p>
    <w:p w14:paraId="6354A031" w14:textId="77777777" w:rsidR="00213D88" w:rsidRDefault="00213D88" w:rsidP="00213D88">
      <w:pPr>
        <w:contextualSpacing/>
        <w:jc w:val="center"/>
        <w:rPr>
          <w:lang w:eastAsia="en-US"/>
        </w:rPr>
      </w:pPr>
    </w:p>
    <w:p w14:paraId="0FFEEF47" w14:textId="7C2788DB" w:rsidR="00213D88" w:rsidRDefault="00213D88" w:rsidP="008B1FD4">
      <w:pPr>
        <w:ind w:left="567"/>
        <w:contextualSpacing/>
        <w:jc w:val="both"/>
        <w:rPr>
          <w:lang w:eastAsia="en-US"/>
        </w:rPr>
      </w:pPr>
      <w:r>
        <w:rPr>
          <w:lang w:eastAsia="en-US"/>
        </w:rPr>
        <w:t xml:space="preserve">(1) Používateľ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 xml:space="preserve"> sa považuje za používateľa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 xml:space="preserve"> podliehajúceho oznamovaniu podľa § </w:t>
      </w:r>
      <w:r w:rsidR="002E237E">
        <w:rPr>
          <w:lang w:eastAsia="en-US"/>
        </w:rPr>
        <w:t>15d</w:t>
      </w:r>
      <w:r>
        <w:rPr>
          <w:lang w:eastAsia="en-US"/>
        </w:rPr>
        <w:t xml:space="preserve"> ods. 1 zákona od dátumu, keď bol identifikovaný  ako oznamovaný podľa tejto vyhlášky. Informácie týkajúce sa používateľa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 xml:space="preserve"> podliehajúceho oznamovaniu sa predkladajú raz ročne v lehote podľa § </w:t>
      </w:r>
      <w:r w:rsidR="002E237E">
        <w:rPr>
          <w:lang w:eastAsia="en-US"/>
        </w:rPr>
        <w:t>15h ods. 13</w:t>
      </w:r>
      <w:r>
        <w:rPr>
          <w:lang w:eastAsia="en-US"/>
        </w:rPr>
        <w:t xml:space="preserve"> zákona v kalendárnom roku nasledujúcom po kalendárnom roku alebo inom primeranom oznamovacom období, na ktoré sa informácie vzťahujú. </w:t>
      </w:r>
    </w:p>
    <w:p w14:paraId="15B6345D" w14:textId="200ECED3" w:rsidR="00213D88" w:rsidRDefault="00213D88" w:rsidP="008B1FD4">
      <w:pPr>
        <w:ind w:left="567"/>
        <w:contextualSpacing/>
        <w:jc w:val="both"/>
        <w:rPr>
          <w:lang w:eastAsia="en-US"/>
        </w:rPr>
      </w:pPr>
    </w:p>
    <w:p w14:paraId="5504B4CA" w14:textId="4777DE76" w:rsidR="008B1FD4" w:rsidRDefault="002E237E" w:rsidP="008B1FD4">
      <w:pPr>
        <w:ind w:left="567"/>
        <w:contextualSpacing/>
        <w:jc w:val="both"/>
        <w:rPr>
          <w:lang w:eastAsia="en-US"/>
        </w:rPr>
      </w:pPr>
      <w:r>
        <w:rPr>
          <w:lang w:eastAsia="en-US"/>
        </w:rPr>
        <w:t xml:space="preserve">(2) Na účely postupov preverovania môže oznamujúci poskytovateľ služieb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 xml:space="preserve">, ktorý je zároveň finančnou inštitúciou podľa zákona, </w:t>
      </w:r>
      <w:r w:rsidR="008B1FD4">
        <w:rPr>
          <w:lang w:eastAsia="en-US"/>
        </w:rPr>
        <w:t xml:space="preserve">použiť postupy preverovania podľa tejto vyhlášky pre oblasť výmeny informácií o finančných účtoch; rovnako môže využiť čestné vyhlásenie, ktoré už bolo získané na daňové účely, za predpokladu, že takéto čestné vyhlásenie spĺňa požiadavky podľa § 18e. </w:t>
      </w:r>
    </w:p>
    <w:p w14:paraId="693EED3A" w14:textId="77777777" w:rsidR="008B1FD4" w:rsidRDefault="008B1FD4" w:rsidP="008B1FD4">
      <w:pPr>
        <w:ind w:left="567"/>
        <w:contextualSpacing/>
        <w:jc w:val="both"/>
        <w:rPr>
          <w:lang w:eastAsia="en-US"/>
        </w:rPr>
      </w:pPr>
    </w:p>
    <w:p w14:paraId="1097BF88" w14:textId="6E2D6FDD" w:rsidR="008B1FD4" w:rsidRDefault="008B1FD4" w:rsidP="008B1FD4">
      <w:pPr>
        <w:ind w:left="567"/>
        <w:contextualSpacing/>
        <w:jc w:val="center"/>
        <w:rPr>
          <w:lang w:eastAsia="en-US"/>
        </w:rPr>
      </w:pPr>
      <w:r>
        <w:rPr>
          <w:lang w:eastAsia="en-US"/>
        </w:rPr>
        <w:t>§ 18c</w:t>
      </w:r>
    </w:p>
    <w:p w14:paraId="00ED212C" w14:textId="208D9F5D" w:rsidR="00213D88" w:rsidRPr="008B1FD4" w:rsidRDefault="00213D88" w:rsidP="009C6677">
      <w:pPr>
        <w:ind w:left="567"/>
        <w:contextualSpacing/>
        <w:jc w:val="center"/>
        <w:rPr>
          <w:b/>
          <w:lang w:eastAsia="en-US"/>
        </w:rPr>
      </w:pPr>
      <w:r w:rsidRPr="008B1FD4">
        <w:rPr>
          <w:b/>
          <w:lang w:eastAsia="en-US"/>
        </w:rPr>
        <w:t xml:space="preserve">Podrobnosti postupov preverovania pre používateľov </w:t>
      </w:r>
      <w:proofErr w:type="spellStart"/>
      <w:r w:rsidRPr="008B1FD4">
        <w:rPr>
          <w:b/>
          <w:lang w:eastAsia="en-US"/>
        </w:rPr>
        <w:t>kryptoaktív</w:t>
      </w:r>
      <w:proofErr w:type="spellEnd"/>
      <w:r w:rsidRPr="008B1FD4">
        <w:rPr>
          <w:b/>
          <w:lang w:eastAsia="en-US"/>
        </w:rPr>
        <w:t>, ktorí sú fyzickými osobami</w:t>
      </w:r>
    </w:p>
    <w:p w14:paraId="282E9722" w14:textId="5EEE9836" w:rsidR="008B1FD4" w:rsidRDefault="008B1FD4" w:rsidP="00213D88">
      <w:pPr>
        <w:contextualSpacing/>
        <w:jc w:val="both"/>
        <w:rPr>
          <w:lang w:eastAsia="en-US"/>
        </w:rPr>
      </w:pPr>
    </w:p>
    <w:p w14:paraId="0252445C" w14:textId="51739CE4" w:rsidR="008B1FD4" w:rsidRDefault="008B1FD4" w:rsidP="009C6677">
      <w:pPr>
        <w:ind w:left="567"/>
        <w:contextualSpacing/>
        <w:jc w:val="both"/>
        <w:rPr>
          <w:lang w:eastAsia="en-US"/>
        </w:rPr>
      </w:pPr>
      <w:r>
        <w:rPr>
          <w:lang w:eastAsia="en-US"/>
        </w:rPr>
        <w:t xml:space="preserve">Na účely </w:t>
      </w:r>
      <w:r w:rsidR="00843183">
        <w:rPr>
          <w:lang w:eastAsia="en-US"/>
        </w:rPr>
        <w:t>určenia</w:t>
      </w:r>
      <w:r>
        <w:rPr>
          <w:lang w:eastAsia="en-US"/>
        </w:rPr>
        <w:t xml:space="preserve">, či je používateľ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 xml:space="preserve">, ktorý je fyzickou osobou, používateľom podliehajúcim oznamovaniu, sa </w:t>
      </w:r>
      <w:r w:rsidR="009C6677">
        <w:rPr>
          <w:lang w:eastAsia="en-US"/>
        </w:rPr>
        <w:t>postupuje takto:</w:t>
      </w:r>
    </w:p>
    <w:p w14:paraId="37E42B2D" w14:textId="77777777" w:rsidR="009C6677" w:rsidRDefault="009C6677" w:rsidP="009C6677">
      <w:pPr>
        <w:ind w:left="567"/>
        <w:contextualSpacing/>
        <w:jc w:val="both"/>
        <w:rPr>
          <w:lang w:eastAsia="en-US"/>
        </w:rPr>
      </w:pPr>
    </w:p>
    <w:p w14:paraId="49BFB291" w14:textId="016659CE" w:rsidR="00213D88" w:rsidRDefault="009C6677" w:rsidP="009C6677">
      <w:pPr>
        <w:ind w:left="567"/>
        <w:contextualSpacing/>
        <w:jc w:val="both"/>
        <w:rPr>
          <w:lang w:eastAsia="en-US"/>
        </w:rPr>
      </w:pPr>
      <w:r>
        <w:rPr>
          <w:lang w:eastAsia="en-US"/>
        </w:rPr>
        <w:t>a) p</w:t>
      </w:r>
      <w:r w:rsidR="00213D88">
        <w:rPr>
          <w:lang w:eastAsia="en-US"/>
        </w:rPr>
        <w:t xml:space="preserve">ri nadviazaní vzťahu s používateľom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ktorý je fyzickou osobou, alebo do 1. januára 2027 v prípade existujúcich používateľov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ktorí sú fyzickými osobami, oznamujúci poskytovateľ služieb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 získa čestné vyhlásenie, ktoré umožní oznamujúcemu poskytovateľovi služieb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 určiť rezidenciu (rezidencie) používateľa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ktorý je fyzickou osobou, na daňové účely a potvrdiť primeranosť takéhoto čestného vyhlásenia na základe informácií získaných týmto oznamujúcim poskytovateľom služieb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 vrátane dokumentácie zozbieranej na základe postupov hĺbkového prev</w:t>
      </w:r>
      <w:r>
        <w:rPr>
          <w:lang w:eastAsia="en-US"/>
        </w:rPr>
        <w:t>erovania vo vzťahu ku klientovi</w:t>
      </w:r>
      <w:r w:rsidR="00843183">
        <w:rPr>
          <w:lang w:eastAsia="en-US"/>
        </w:rPr>
        <w:t xml:space="preserve"> podľa § 15a písm. g) zákona</w:t>
      </w:r>
      <w:r>
        <w:rPr>
          <w:lang w:eastAsia="en-US"/>
        </w:rPr>
        <w:t xml:space="preserve">, </w:t>
      </w:r>
    </w:p>
    <w:p w14:paraId="45AC9257" w14:textId="77777777" w:rsidR="009C6677" w:rsidRDefault="009C6677" w:rsidP="009C6677">
      <w:pPr>
        <w:ind w:left="567"/>
        <w:contextualSpacing/>
        <w:jc w:val="both"/>
        <w:rPr>
          <w:lang w:eastAsia="en-US"/>
        </w:rPr>
      </w:pPr>
    </w:p>
    <w:p w14:paraId="5A323872" w14:textId="0D7B70C0" w:rsidR="00213D88" w:rsidRDefault="009C6677" w:rsidP="009C6677">
      <w:pPr>
        <w:ind w:left="567"/>
        <w:contextualSpacing/>
        <w:jc w:val="both"/>
        <w:rPr>
          <w:lang w:eastAsia="en-US"/>
        </w:rPr>
      </w:pPr>
      <w:r>
        <w:rPr>
          <w:lang w:eastAsia="en-US"/>
        </w:rPr>
        <w:t>b) p</w:t>
      </w:r>
      <w:r w:rsidR="00213D88">
        <w:rPr>
          <w:lang w:eastAsia="en-US"/>
        </w:rPr>
        <w:t xml:space="preserve">okiaľ v ktoromkoľvek momente dôjde v súvislosti s používateľom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ktorý je fyzickou osobou, k zmene okolností, na základe ktorej oznamujúci poskytovateľ služieb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 zistí alebo bude mať dôvod domnievať sa, že pôvodné čestné vyhlásenie je nesprávne alebo nespoľahlivé, oznamujúci poskytovateľ služieb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 sa nemôže spoliehať na pôvodné čestné vyhlásenie a musí získať platné čestné vyhlásenie alebo primerané vysvetlenie a v náležitých prípadoch dokumentáciu potvrdzujúcu platnosť pôvodného čestného vyhlásenia.</w:t>
      </w:r>
    </w:p>
    <w:p w14:paraId="31955084" w14:textId="4FC33AC0" w:rsidR="008B1FD4" w:rsidRDefault="008B1FD4" w:rsidP="00213D88">
      <w:pPr>
        <w:contextualSpacing/>
        <w:jc w:val="both"/>
        <w:rPr>
          <w:lang w:eastAsia="en-US"/>
        </w:rPr>
      </w:pPr>
    </w:p>
    <w:p w14:paraId="0FB1C17A" w14:textId="3158241D" w:rsidR="005238CA" w:rsidRDefault="005238CA" w:rsidP="00213D88">
      <w:pPr>
        <w:contextualSpacing/>
        <w:jc w:val="both"/>
        <w:rPr>
          <w:lang w:eastAsia="en-US"/>
        </w:rPr>
      </w:pPr>
    </w:p>
    <w:p w14:paraId="1D6E2841" w14:textId="260B168A" w:rsidR="005238CA" w:rsidRDefault="005238CA" w:rsidP="00213D88">
      <w:pPr>
        <w:contextualSpacing/>
        <w:jc w:val="both"/>
        <w:rPr>
          <w:lang w:eastAsia="en-US"/>
        </w:rPr>
      </w:pPr>
    </w:p>
    <w:p w14:paraId="126C6635" w14:textId="77777777" w:rsidR="005238CA" w:rsidRDefault="005238CA" w:rsidP="00213D88">
      <w:pPr>
        <w:contextualSpacing/>
        <w:jc w:val="both"/>
        <w:rPr>
          <w:lang w:eastAsia="en-US"/>
        </w:rPr>
      </w:pPr>
    </w:p>
    <w:p w14:paraId="3F8EA8CD" w14:textId="5D280528" w:rsidR="008B1FD4" w:rsidRDefault="009C6677" w:rsidP="009C6677">
      <w:pPr>
        <w:contextualSpacing/>
        <w:jc w:val="center"/>
        <w:rPr>
          <w:lang w:eastAsia="en-US"/>
        </w:rPr>
      </w:pPr>
      <w:r>
        <w:rPr>
          <w:lang w:eastAsia="en-US"/>
        </w:rPr>
        <w:lastRenderedPageBreak/>
        <w:t>§ 18d</w:t>
      </w:r>
    </w:p>
    <w:p w14:paraId="53AC4A19" w14:textId="6F3E65B3" w:rsidR="00213D88" w:rsidRDefault="00213D88" w:rsidP="009C6677">
      <w:pPr>
        <w:ind w:left="567"/>
        <w:contextualSpacing/>
        <w:jc w:val="center"/>
        <w:rPr>
          <w:b/>
          <w:lang w:eastAsia="en-US"/>
        </w:rPr>
      </w:pPr>
      <w:r w:rsidRPr="009C6677">
        <w:rPr>
          <w:b/>
          <w:lang w:eastAsia="en-US"/>
        </w:rPr>
        <w:t xml:space="preserve">Podrobnosti postupov preverovania pre používateľov </w:t>
      </w:r>
      <w:proofErr w:type="spellStart"/>
      <w:r w:rsidRPr="009C6677">
        <w:rPr>
          <w:b/>
          <w:lang w:eastAsia="en-US"/>
        </w:rPr>
        <w:t>kryptoaktív</w:t>
      </w:r>
      <w:proofErr w:type="spellEnd"/>
      <w:r w:rsidRPr="009C6677">
        <w:rPr>
          <w:b/>
          <w:lang w:eastAsia="en-US"/>
        </w:rPr>
        <w:t>, ktorí sú subjektmi</w:t>
      </w:r>
    </w:p>
    <w:p w14:paraId="47D080DC" w14:textId="77777777" w:rsidR="004E1798" w:rsidRPr="009C6677" w:rsidRDefault="004E1798" w:rsidP="009C6677">
      <w:pPr>
        <w:ind w:left="567"/>
        <w:contextualSpacing/>
        <w:jc w:val="center"/>
        <w:rPr>
          <w:b/>
          <w:lang w:eastAsia="en-US"/>
        </w:rPr>
      </w:pPr>
    </w:p>
    <w:p w14:paraId="493DB894" w14:textId="7040171C" w:rsidR="009C6677" w:rsidRDefault="00AD5210" w:rsidP="00AD5210">
      <w:pPr>
        <w:contextualSpacing/>
        <w:jc w:val="both"/>
        <w:rPr>
          <w:lang w:eastAsia="en-US"/>
        </w:rPr>
      </w:pPr>
      <w:r>
        <w:rPr>
          <w:lang w:eastAsia="en-US"/>
        </w:rPr>
        <w:t xml:space="preserve">(1) </w:t>
      </w:r>
      <w:r w:rsidR="009C6677">
        <w:rPr>
          <w:lang w:eastAsia="en-US"/>
        </w:rPr>
        <w:t xml:space="preserve">Na účely </w:t>
      </w:r>
      <w:r w:rsidR="00FA5115">
        <w:rPr>
          <w:lang w:eastAsia="en-US"/>
        </w:rPr>
        <w:t>určenia</w:t>
      </w:r>
      <w:r w:rsidR="009C6677">
        <w:rPr>
          <w:lang w:eastAsia="en-US"/>
        </w:rPr>
        <w:t xml:space="preserve">, či je používateľ </w:t>
      </w:r>
      <w:proofErr w:type="spellStart"/>
      <w:r w:rsidR="009C6677">
        <w:rPr>
          <w:lang w:eastAsia="en-US"/>
        </w:rPr>
        <w:t>kryptoaktív</w:t>
      </w:r>
      <w:proofErr w:type="spellEnd"/>
      <w:r w:rsidR="009C6677">
        <w:rPr>
          <w:lang w:eastAsia="en-US"/>
        </w:rPr>
        <w:t>, ktorý je subjektom, používateľom podliehajúcim oznamovaniu</w:t>
      </w:r>
      <w:r>
        <w:rPr>
          <w:lang w:eastAsia="en-US"/>
        </w:rPr>
        <w:t xml:space="preserve"> alebo subjektom iným ako vylúčená osoba</w:t>
      </w:r>
      <w:r w:rsidR="009C6677">
        <w:rPr>
          <w:lang w:eastAsia="en-US"/>
        </w:rPr>
        <w:t>, sa postupuje takto:</w:t>
      </w:r>
    </w:p>
    <w:p w14:paraId="67B2140D" w14:textId="77777777" w:rsidR="009C6677" w:rsidRDefault="009C6677" w:rsidP="00213D88">
      <w:pPr>
        <w:contextualSpacing/>
        <w:jc w:val="both"/>
        <w:rPr>
          <w:lang w:eastAsia="en-US"/>
        </w:rPr>
      </w:pPr>
    </w:p>
    <w:p w14:paraId="580DF2FA" w14:textId="2FF9F380" w:rsidR="00A46255" w:rsidRDefault="00213D88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 xml:space="preserve">a) </w:t>
      </w:r>
      <w:r w:rsidR="00AD5210">
        <w:rPr>
          <w:lang w:eastAsia="en-US"/>
        </w:rPr>
        <w:t>p</w:t>
      </w:r>
      <w:r>
        <w:rPr>
          <w:lang w:eastAsia="en-US"/>
        </w:rPr>
        <w:t xml:space="preserve">ri nadviazaní vzťahu s používateľom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 xml:space="preserve">, ktorý je subjektom, alebo do 1. januára 2027 v prípade existujúcich používateľov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 xml:space="preserve">, ktorí sú subjektmi, oznamujúci poskytovateľ služieb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 xml:space="preserve"> získa čestné vyhlásenie, ktoré umožní oznamujúcemu poskytovateľovi služieb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 xml:space="preserve"> určiť rezidenciu (rezidencie) používateľa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 xml:space="preserve">, ktorý je subjektom, na daňové účely a potvrdiť primeranosť takéhoto čestného vyhlásenia na základe informácií získaných týmto oznamujúcim poskytovateľom služieb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 xml:space="preserve"> vrátane akejkoľvek dokumentácie zozbieranej na základe postupov hĺbkového preverovania vo vzťahu ku klientovi</w:t>
      </w:r>
      <w:r w:rsidR="00A46255">
        <w:rPr>
          <w:lang w:eastAsia="en-US"/>
        </w:rPr>
        <w:t>,</w:t>
      </w:r>
    </w:p>
    <w:p w14:paraId="22FF303F" w14:textId="77777777" w:rsidR="00A46255" w:rsidRDefault="00A46255" w:rsidP="007E1594">
      <w:pPr>
        <w:ind w:left="284"/>
        <w:contextualSpacing/>
        <w:jc w:val="both"/>
        <w:rPr>
          <w:lang w:eastAsia="en-US"/>
        </w:rPr>
      </w:pPr>
    </w:p>
    <w:p w14:paraId="5D2599C9" w14:textId="32EAA3F3" w:rsidR="00213D88" w:rsidRDefault="00A46255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b) a</w:t>
      </w:r>
      <w:r w:rsidR="00213D88">
        <w:rPr>
          <w:lang w:eastAsia="en-US"/>
        </w:rPr>
        <w:t xml:space="preserve">k používateľ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ktorý je subjektom, osvedčí, že nemá žiadnu rezidenciu na daňové účely, oznamujúci poskytovateľ služieb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 sa môže pri určovaní rezidencie používateľa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>, ktorý je subjektom, spoliehať na miesto jeho skutoč</w:t>
      </w:r>
      <w:r>
        <w:rPr>
          <w:lang w:eastAsia="en-US"/>
        </w:rPr>
        <w:t>ného vedenia alebo adresu sídla,</w:t>
      </w:r>
    </w:p>
    <w:p w14:paraId="6EA06A8E" w14:textId="77777777" w:rsidR="00A46255" w:rsidRDefault="00A46255" w:rsidP="007E1594">
      <w:pPr>
        <w:ind w:left="284"/>
        <w:contextualSpacing/>
        <w:jc w:val="both"/>
        <w:rPr>
          <w:lang w:eastAsia="en-US"/>
        </w:rPr>
      </w:pPr>
    </w:p>
    <w:p w14:paraId="068996A1" w14:textId="76943610" w:rsidR="00213D88" w:rsidRDefault="008830E0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c</w:t>
      </w:r>
      <w:r w:rsidR="00213D88">
        <w:rPr>
          <w:lang w:eastAsia="en-US"/>
        </w:rPr>
        <w:t xml:space="preserve">) </w:t>
      </w:r>
      <w:r w:rsidR="00AD5210">
        <w:rPr>
          <w:lang w:eastAsia="en-US"/>
        </w:rPr>
        <w:t>a</w:t>
      </w:r>
      <w:r w:rsidR="00213D88">
        <w:rPr>
          <w:lang w:eastAsia="en-US"/>
        </w:rPr>
        <w:t xml:space="preserve">k z čestného vyhlásenia vyplýva, že používateľ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ktorý je subjektom, je rezidentom v členskom štáte, oznamujúci poskytovateľ služieb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 zaobchádza s používateľom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ktorý je subjektom, ako s používateľom podliehajúcim oznamovaniu, pokiaľ na základe čestného vyhlásenia alebo na základe informácií, ktoré má k dispozícii alebo ktoré sú verejne dostupné, odôvodnene neurčí, že používateľ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>, ktorý je subjektom, je vylúčená osoba.</w:t>
      </w:r>
    </w:p>
    <w:p w14:paraId="00ECFAE0" w14:textId="1E611A26" w:rsidR="00AD5210" w:rsidRDefault="00AD5210" w:rsidP="00213D88">
      <w:pPr>
        <w:contextualSpacing/>
        <w:jc w:val="both"/>
        <w:rPr>
          <w:lang w:eastAsia="en-US"/>
        </w:rPr>
      </w:pPr>
    </w:p>
    <w:p w14:paraId="5807CBDF" w14:textId="0F558426" w:rsidR="00AD5210" w:rsidRDefault="00AD5210" w:rsidP="00213D88">
      <w:pPr>
        <w:contextualSpacing/>
        <w:jc w:val="both"/>
        <w:rPr>
          <w:lang w:eastAsia="en-US"/>
        </w:rPr>
      </w:pPr>
      <w:r>
        <w:rPr>
          <w:lang w:eastAsia="en-US"/>
        </w:rPr>
        <w:t xml:space="preserve">(2) Na účely stanovenia, či je používateľ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>, ktorý je subjektom, aktívny subjekt, s jednou alebo viacerými ovládajúcimi osobami, ktoré sú osobami podliehajúcimi oznamovaniu, sa postupuje takto:</w:t>
      </w:r>
    </w:p>
    <w:p w14:paraId="5EBB5CCD" w14:textId="77777777" w:rsidR="007E1594" w:rsidRDefault="007E1594" w:rsidP="00213D88">
      <w:pPr>
        <w:contextualSpacing/>
        <w:jc w:val="both"/>
        <w:rPr>
          <w:lang w:eastAsia="en-US"/>
        </w:rPr>
      </w:pPr>
    </w:p>
    <w:p w14:paraId="67645376" w14:textId="7B0E6188" w:rsidR="00213D88" w:rsidRDefault="00AD5210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a) p</w:t>
      </w:r>
      <w:r w:rsidR="00213D88">
        <w:rPr>
          <w:lang w:eastAsia="en-US"/>
        </w:rPr>
        <w:t xml:space="preserve">okiaľ ide o používateľa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ktorý je subjektom, ktorý nie je vylúčenou osobou, oznamujúci poskytovateľ služieb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 stanoví, či má jednu alebo viaceré ovládajúce osoby, ktoré sú osobami podliehajúcimi oznamovaniu, pokiaľ nestanoví, že používateľ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ktorý je subjektom, je aktívnym subjektom, a to na základe čestného vyhlásenia od tohto používateľa </w:t>
      </w:r>
      <w:proofErr w:type="spellStart"/>
      <w:r w:rsidR="00A46255">
        <w:rPr>
          <w:lang w:eastAsia="en-US"/>
        </w:rPr>
        <w:t>kryptoaktív</w:t>
      </w:r>
      <w:proofErr w:type="spellEnd"/>
      <w:r w:rsidR="00A46255">
        <w:rPr>
          <w:lang w:eastAsia="en-US"/>
        </w:rPr>
        <w:t>, ktorý je subjektom,</w:t>
      </w:r>
    </w:p>
    <w:p w14:paraId="71C085A8" w14:textId="77777777" w:rsidR="00A46255" w:rsidRDefault="00A46255" w:rsidP="007E1594">
      <w:pPr>
        <w:ind w:left="284"/>
        <w:contextualSpacing/>
        <w:jc w:val="both"/>
        <w:rPr>
          <w:lang w:eastAsia="en-US"/>
        </w:rPr>
      </w:pPr>
    </w:p>
    <w:p w14:paraId="5E43C7EB" w14:textId="77777777" w:rsidR="00A46255" w:rsidRDefault="00A46255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b</w:t>
      </w:r>
      <w:r w:rsidR="00213D88">
        <w:rPr>
          <w:lang w:eastAsia="en-US"/>
        </w:rPr>
        <w:t xml:space="preserve">) </w:t>
      </w:r>
      <w:r>
        <w:rPr>
          <w:lang w:eastAsia="en-US"/>
        </w:rPr>
        <w:t>na</w:t>
      </w:r>
      <w:r w:rsidR="00213D88">
        <w:rPr>
          <w:lang w:eastAsia="en-US"/>
        </w:rPr>
        <w:t xml:space="preserve"> účely </w:t>
      </w:r>
      <w:r>
        <w:rPr>
          <w:lang w:eastAsia="en-US"/>
        </w:rPr>
        <w:t>určenia</w:t>
      </w:r>
      <w:r w:rsidR="00213D88">
        <w:rPr>
          <w:lang w:eastAsia="en-US"/>
        </w:rPr>
        <w:t xml:space="preserve"> ovládajúcich osôb používateľa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ktorý je subjektom, sa oznamujúci poskytovateľ služieb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 môže spoliehať na informácie zozbierané a uchovávané podľa postupov preverovania vo vzťahu ku klientovi za predpokladu, že takéto postupy sú v súlade </w:t>
      </w:r>
      <w:r>
        <w:rPr>
          <w:lang w:eastAsia="en-US"/>
        </w:rPr>
        <w:t>s osobitným predpisom</w:t>
      </w:r>
      <w:r>
        <w:rPr>
          <w:vertAlign w:val="superscript"/>
          <w:lang w:eastAsia="en-US"/>
        </w:rPr>
        <w:t>2</w:t>
      </w:r>
      <w:r>
        <w:rPr>
          <w:lang w:eastAsia="en-US"/>
        </w:rPr>
        <w:t>)</w:t>
      </w:r>
    </w:p>
    <w:p w14:paraId="286C24AA" w14:textId="77777777" w:rsidR="00A46255" w:rsidRDefault="00A46255" w:rsidP="007E1594">
      <w:pPr>
        <w:ind w:left="284"/>
        <w:contextualSpacing/>
        <w:jc w:val="both"/>
        <w:rPr>
          <w:lang w:eastAsia="en-US"/>
        </w:rPr>
      </w:pPr>
    </w:p>
    <w:p w14:paraId="0EE2BFD2" w14:textId="51CA6189" w:rsidR="00213D88" w:rsidRDefault="00A46255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c) a</w:t>
      </w:r>
      <w:r w:rsidR="00213D88">
        <w:rPr>
          <w:lang w:eastAsia="en-US"/>
        </w:rPr>
        <w:t xml:space="preserve">k oznamujúci poskytovateľ služieb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 nie je povinný uplatňovať postupy hĺbkového preverovania vo vzťahu ku klientovi</w:t>
      </w:r>
      <w:r>
        <w:rPr>
          <w:lang w:eastAsia="en-US"/>
        </w:rPr>
        <w:t xml:space="preserve"> podľa osobitného predpisu</w:t>
      </w:r>
      <w:r>
        <w:rPr>
          <w:vertAlign w:val="superscript"/>
          <w:lang w:eastAsia="en-US"/>
        </w:rPr>
        <w:t>2</w:t>
      </w:r>
      <w:r>
        <w:rPr>
          <w:lang w:eastAsia="en-US"/>
        </w:rPr>
        <w:t>)</w:t>
      </w:r>
      <w:r w:rsidR="00213D88">
        <w:rPr>
          <w:lang w:eastAsia="en-US"/>
        </w:rPr>
        <w:t xml:space="preserve">, uplatňuje na účely </w:t>
      </w:r>
      <w:r>
        <w:rPr>
          <w:lang w:eastAsia="en-US"/>
        </w:rPr>
        <w:t>určenia</w:t>
      </w:r>
      <w:r w:rsidR="00213D88">
        <w:rPr>
          <w:lang w:eastAsia="en-US"/>
        </w:rPr>
        <w:t xml:space="preserve"> ovládajúcich osôb v podstate podobné postupy.</w:t>
      </w:r>
    </w:p>
    <w:p w14:paraId="4B7D3F44" w14:textId="524C1971" w:rsidR="007E1594" w:rsidRDefault="007E1594" w:rsidP="007E1594">
      <w:pPr>
        <w:ind w:left="284"/>
        <w:contextualSpacing/>
        <w:jc w:val="both"/>
        <w:rPr>
          <w:lang w:eastAsia="en-US"/>
        </w:rPr>
      </w:pPr>
    </w:p>
    <w:p w14:paraId="2BE5889F" w14:textId="10D55AF4" w:rsidR="00213D88" w:rsidRDefault="00A46255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d</w:t>
      </w:r>
      <w:r w:rsidR="00213D88">
        <w:rPr>
          <w:lang w:eastAsia="en-US"/>
        </w:rPr>
        <w:t xml:space="preserve">) </w:t>
      </w:r>
      <w:r>
        <w:rPr>
          <w:lang w:eastAsia="en-US"/>
        </w:rPr>
        <w:t>na</w:t>
      </w:r>
      <w:r w:rsidR="00213D88">
        <w:rPr>
          <w:lang w:eastAsia="en-US"/>
        </w:rPr>
        <w:t xml:space="preserve"> účely </w:t>
      </w:r>
      <w:r>
        <w:rPr>
          <w:lang w:eastAsia="en-US"/>
        </w:rPr>
        <w:t>určenia</w:t>
      </w:r>
      <w:r w:rsidR="00213D88">
        <w:rPr>
          <w:lang w:eastAsia="en-US"/>
        </w:rPr>
        <w:t xml:space="preserve">, či je ovládajúca osoba osobou podliehajúcou oznamovaniu, sa oznamujúci poskytovateľ služieb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 spolieha na čestné vyhlásenie používateľa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ktorý je subjektom, alebo takejto ovládajúcej osoby, ktoré oznamujúcemu </w:t>
      </w:r>
      <w:r w:rsidR="00213D88">
        <w:rPr>
          <w:lang w:eastAsia="en-US"/>
        </w:rPr>
        <w:lastRenderedPageBreak/>
        <w:t xml:space="preserve">poskytovateľovi služieb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 umožní určiť rezidenciu (rezidencie) ovládajúcej osoby na daňové účely a potvrdiť primeranosť takéhoto čestného vyhlásenia na základe informácií získaných týmto oznamujúcim poskytovateľom služieb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 vrátane akejkoľvek dokumentácie zozbieranej na základe postupov hĺbkového preverovania vo vzťahu ku klientovi.</w:t>
      </w:r>
    </w:p>
    <w:p w14:paraId="640F0639" w14:textId="77777777" w:rsidR="00A46255" w:rsidRDefault="00A46255" w:rsidP="007E1594">
      <w:pPr>
        <w:ind w:left="284"/>
        <w:contextualSpacing/>
        <w:jc w:val="both"/>
        <w:rPr>
          <w:lang w:eastAsia="en-US"/>
        </w:rPr>
      </w:pPr>
    </w:p>
    <w:p w14:paraId="1FB7117B" w14:textId="303A07AB" w:rsidR="00213D88" w:rsidRDefault="00A46255" w:rsidP="00213D88">
      <w:pPr>
        <w:contextualSpacing/>
        <w:jc w:val="both"/>
        <w:rPr>
          <w:lang w:eastAsia="en-US"/>
        </w:rPr>
      </w:pPr>
      <w:r>
        <w:rPr>
          <w:lang w:eastAsia="en-US"/>
        </w:rPr>
        <w:t xml:space="preserve">(3) </w:t>
      </w:r>
      <w:r w:rsidR="00213D88">
        <w:rPr>
          <w:lang w:eastAsia="en-US"/>
        </w:rPr>
        <w:t xml:space="preserve">Pokiaľ v ktoromkoľvek momente dôjde v súvislosti s používateľom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ktorý je subjektom, alebo v súvislosti s jeho ovládajúcimi osobami k zmene okolností, na základe ktorej oznamujúci poskytovateľ služieb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 zistí alebo bude mať dôvod domnievať sa, že pôvodné čestné vyhlásenie je nesprávne alebo nespoľahlivé, oznamujúci poskytovateľ služieb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 sa nemôže spoliehať na pôvodné čestné vyhlásenie a musí získať platné čestné vyhlásenie alebo primerané vysvetlenie a v náležitých prípadoch dokumentáciu potvrdzujúcu platnosť pôvodného čestného vyhlásenia.</w:t>
      </w:r>
    </w:p>
    <w:p w14:paraId="16D610DD" w14:textId="2D51A369" w:rsidR="004E1798" w:rsidRDefault="004E1798" w:rsidP="00213D88">
      <w:pPr>
        <w:contextualSpacing/>
        <w:jc w:val="both"/>
        <w:rPr>
          <w:lang w:eastAsia="en-US"/>
        </w:rPr>
      </w:pPr>
    </w:p>
    <w:p w14:paraId="2FF6C4AB" w14:textId="7AD3F51C" w:rsidR="004E1798" w:rsidRDefault="004E1798" w:rsidP="004E1798">
      <w:pPr>
        <w:contextualSpacing/>
        <w:jc w:val="center"/>
        <w:rPr>
          <w:lang w:eastAsia="en-US"/>
        </w:rPr>
      </w:pPr>
      <w:r>
        <w:rPr>
          <w:lang w:eastAsia="en-US"/>
        </w:rPr>
        <w:t>§ 18e</w:t>
      </w:r>
    </w:p>
    <w:p w14:paraId="4D266DBB" w14:textId="77777777" w:rsidR="00213D88" w:rsidRPr="004E1798" w:rsidRDefault="00213D88" w:rsidP="004E1798">
      <w:pPr>
        <w:contextualSpacing/>
        <w:jc w:val="center"/>
        <w:rPr>
          <w:b/>
          <w:lang w:eastAsia="en-US"/>
        </w:rPr>
      </w:pPr>
      <w:r w:rsidRPr="004E1798">
        <w:rPr>
          <w:b/>
          <w:lang w:eastAsia="en-US"/>
        </w:rPr>
        <w:t>Podrobnosti o požiadavkách na platnosť čestných vyhlásení</w:t>
      </w:r>
    </w:p>
    <w:p w14:paraId="31BA2229" w14:textId="77777777" w:rsidR="004E1798" w:rsidRDefault="004E1798" w:rsidP="00213D88">
      <w:pPr>
        <w:contextualSpacing/>
        <w:jc w:val="both"/>
        <w:rPr>
          <w:lang w:eastAsia="en-US"/>
        </w:rPr>
      </w:pPr>
    </w:p>
    <w:p w14:paraId="4E29BC75" w14:textId="4627C2C3" w:rsidR="00213D88" w:rsidRDefault="004E1798" w:rsidP="00213D88">
      <w:pPr>
        <w:contextualSpacing/>
        <w:jc w:val="both"/>
        <w:rPr>
          <w:lang w:eastAsia="en-US"/>
        </w:rPr>
      </w:pPr>
      <w:r>
        <w:rPr>
          <w:lang w:eastAsia="en-US"/>
        </w:rPr>
        <w:t>(1)</w:t>
      </w:r>
      <w:r w:rsidR="00213D88">
        <w:rPr>
          <w:lang w:eastAsia="en-US"/>
        </w:rPr>
        <w:t xml:space="preserve"> Čestné vyhlásenie poskytnuté používateľom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ktorý je fyzickou osobou, alebo ovládajúcou osobou je platné len vtedy, ak je podpísané alebo inak potvrdené používateľom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ktorý je fyzickou osobou, alebo ovládajúcou osobou, je datované najneskôr v deň doručenia a obsahuje tieto informácie týkajúce sa používateľa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>, ktorý je fyzickou osobou alebo ovládajúcou osobou:</w:t>
      </w:r>
    </w:p>
    <w:p w14:paraId="322FA221" w14:textId="05CC8258" w:rsidR="00213D88" w:rsidRDefault="007E1594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a) meno a priezvisko,</w:t>
      </w:r>
    </w:p>
    <w:p w14:paraId="686BACB8" w14:textId="0D636E49" w:rsidR="00213D88" w:rsidRDefault="007E1594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b) adresu rezidencie,</w:t>
      </w:r>
    </w:p>
    <w:p w14:paraId="05CDFBCB" w14:textId="58BEFAB8" w:rsidR="00213D88" w:rsidRDefault="00213D88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c)</w:t>
      </w:r>
      <w:r w:rsidR="007E1594">
        <w:rPr>
          <w:lang w:eastAsia="en-US"/>
        </w:rPr>
        <w:t xml:space="preserve"> </w:t>
      </w:r>
      <w:r>
        <w:rPr>
          <w:lang w:eastAsia="en-US"/>
        </w:rPr>
        <w:t>členský štát</w:t>
      </w:r>
      <w:r w:rsidR="007E1594">
        <w:rPr>
          <w:lang w:eastAsia="en-US"/>
        </w:rPr>
        <w:t xml:space="preserve"> rezidencie na daňové účely,</w:t>
      </w:r>
    </w:p>
    <w:p w14:paraId="4A415245" w14:textId="7BDABA3F" w:rsidR="00213D88" w:rsidRDefault="00213D88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d) DIČ každej osoby podliehajúcej oznamovaniu pr</w:t>
      </w:r>
      <w:r w:rsidR="007E1594">
        <w:rPr>
          <w:lang w:eastAsia="en-US"/>
        </w:rPr>
        <w:t>e každý jednotlivý členský štát,</w:t>
      </w:r>
    </w:p>
    <w:p w14:paraId="46FDEB65" w14:textId="738BA17F" w:rsidR="00213D88" w:rsidRDefault="00213D88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e) dátum narodenia.</w:t>
      </w:r>
    </w:p>
    <w:p w14:paraId="4EBF795A" w14:textId="77777777" w:rsidR="004E1798" w:rsidRDefault="004E1798" w:rsidP="00213D88">
      <w:pPr>
        <w:contextualSpacing/>
        <w:jc w:val="both"/>
        <w:rPr>
          <w:lang w:eastAsia="en-US"/>
        </w:rPr>
      </w:pPr>
    </w:p>
    <w:p w14:paraId="163C62BA" w14:textId="596017BF" w:rsidR="00213D88" w:rsidRDefault="004E1798" w:rsidP="00213D88">
      <w:pPr>
        <w:contextualSpacing/>
        <w:jc w:val="both"/>
        <w:rPr>
          <w:lang w:eastAsia="en-US"/>
        </w:rPr>
      </w:pPr>
      <w:r>
        <w:rPr>
          <w:lang w:eastAsia="en-US"/>
        </w:rPr>
        <w:t>(</w:t>
      </w:r>
      <w:r w:rsidR="00213D88">
        <w:rPr>
          <w:lang w:eastAsia="en-US"/>
        </w:rPr>
        <w:t>2</w:t>
      </w:r>
      <w:r>
        <w:rPr>
          <w:lang w:eastAsia="en-US"/>
        </w:rPr>
        <w:t>)</w:t>
      </w:r>
      <w:r w:rsidR="00213D88">
        <w:rPr>
          <w:lang w:eastAsia="en-US"/>
        </w:rPr>
        <w:t xml:space="preserve"> Čestné vyhlásenie poskytnuté používateľom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ktorý je subjektom, je platné len vtedy, ak je podpísané alebo inak potvrdené používateľom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 xml:space="preserve">, ktorý je subjektom, je datované najneskôr v deň doručenia a obsahuje tieto informácie týkajúce sa používateľa </w:t>
      </w:r>
      <w:proofErr w:type="spellStart"/>
      <w:r w:rsidR="00213D88">
        <w:rPr>
          <w:lang w:eastAsia="en-US"/>
        </w:rPr>
        <w:t>kryptoaktív</w:t>
      </w:r>
      <w:proofErr w:type="spellEnd"/>
      <w:r w:rsidR="00213D88">
        <w:rPr>
          <w:lang w:eastAsia="en-US"/>
        </w:rPr>
        <w:t>, ktorý je subjektom:</w:t>
      </w:r>
    </w:p>
    <w:p w14:paraId="25A435AA" w14:textId="531F6BF2" w:rsidR="00213D88" w:rsidRDefault="00213D88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a) obchodné meno;</w:t>
      </w:r>
    </w:p>
    <w:p w14:paraId="27AB8829" w14:textId="77777777" w:rsidR="00213D88" w:rsidRDefault="00213D88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b) adresu,</w:t>
      </w:r>
    </w:p>
    <w:p w14:paraId="7A9358B8" w14:textId="1229B791" w:rsidR="00213D88" w:rsidRDefault="00213D88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c) členský štát rezidencie na daňové účely;</w:t>
      </w:r>
    </w:p>
    <w:p w14:paraId="01BF8428" w14:textId="77777777" w:rsidR="00213D88" w:rsidRDefault="00213D88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d) DIČ každej osoby podliehajúcej oznamovaniu pre každý jednotlivý členský štát;</w:t>
      </w:r>
    </w:p>
    <w:p w14:paraId="2B3DA901" w14:textId="5B1749DD" w:rsidR="00213D88" w:rsidRDefault="00213D88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 xml:space="preserve">e) v prípade používateľa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 xml:space="preserve">, ktorý je subjektom iným než aktívnym subjektom alebo vylúčenou osobou informácie uvedené v odseku 1 týkajúce sa každej ovládajúcej osoby používateľa </w:t>
      </w:r>
      <w:proofErr w:type="spellStart"/>
      <w:r>
        <w:rPr>
          <w:lang w:eastAsia="en-US"/>
        </w:rPr>
        <w:t>kryptoaktív</w:t>
      </w:r>
      <w:proofErr w:type="spellEnd"/>
      <w:r>
        <w:rPr>
          <w:lang w:eastAsia="en-US"/>
        </w:rPr>
        <w:t xml:space="preserve">, ktorý je subjektom, pokiaľ takáto ovládajúca osoba neposkytla čestné vyhlásenie podľa </w:t>
      </w:r>
      <w:r w:rsidR="003712D5">
        <w:rPr>
          <w:lang w:eastAsia="en-US"/>
        </w:rPr>
        <w:t>1, ako aj postavenie,</w:t>
      </w:r>
      <w:r>
        <w:rPr>
          <w:lang w:eastAsia="en-US"/>
        </w:rPr>
        <w:t xml:space="preserve"> na základe ktorého je každá jednotlivá osoba podliehajúca oznamovaniu ovládajúcou osobou subjektu, ak už neboli určené na základe postupov preverovania vo vzťahu ku klientovi;</w:t>
      </w:r>
    </w:p>
    <w:p w14:paraId="6E647BDC" w14:textId="445BB2FA" w:rsidR="00AC0928" w:rsidRPr="009B7076" w:rsidRDefault="00213D88" w:rsidP="007E1594">
      <w:pPr>
        <w:ind w:left="284"/>
        <w:contextualSpacing/>
        <w:jc w:val="both"/>
        <w:rPr>
          <w:lang w:eastAsia="en-US"/>
        </w:rPr>
      </w:pPr>
      <w:r>
        <w:rPr>
          <w:lang w:eastAsia="en-US"/>
        </w:rPr>
        <w:t>f) prípadne informácie o kritériách, ktoré spĺňa na to, aby sa s ním mohlo zaobchádzať ako s aktívnym subjektom alebo vylúčenou osobou.</w:t>
      </w:r>
      <w:r w:rsidR="00447D9B">
        <w:rPr>
          <w:lang w:eastAsia="en-US"/>
        </w:rPr>
        <w:t>“.</w:t>
      </w:r>
      <w:bookmarkStart w:id="0" w:name="_GoBack"/>
      <w:bookmarkEnd w:id="0"/>
    </w:p>
    <w:p w14:paraId="01956134" w14:textId="5A3F93C5" w:rsidR="0085602E" w:rsidRDefault="0085602E" w:rsidP="00A85445">
      <w:pPr>
        <w:contextualSpacing/>
        <w:jc w:val="both"/>
        <w:rPr>
          <w:lang w:eastAsia="en-US"/>
        </w:rPr>
      </w:pPr>
    </w:p>
    <w:p w14:paraId="3B573D9A" w14:textId="1534E7FD" w:rsidR="00DC5282" w:rsidRDefault="00DC5282" w:rsidP="00DC5282">
      <w:pPr>
        <w:pStyle w:val="Bezriadkovania"/>
        <w:ind w:left="284" w:hanging="284"/>
        <w:jc w:val="both"/>
      </w:pPr>
      <w:r>
        <w:t>6. Doterajší text v Prílohe k vyhláške sa označuje ako prvý bod a dopĺňa sa druhým bodom, ktorý znie:</w:t>
      </w:r>
    </w:p>
    <w:p w14:paraId="1CE30D6C" w14:textId="22FC196E" w:rsidR="00DC5282" w:rsidRPr="006878A1" w:rsidRDefault="00DC5282" w:rsidP="00DC5282">
      <w:pPr>
        <w:pStyle w:val="Bezriadkovania"/>
        <w:ind w:left="284"/>
        <w:jc w:val="both"/>
        <w:rPr>
          <w:rStyle w:val="awspan1"/>
          <w:rFonts w:eastAsiaTheme="majorEastAsia"/>
        </w:rPr>
      </w:pPr>
      <w:r>
        <w:t xml:space="preserve">„2. Smernica Rady </w:t>
      </w:r>
      <w:r>
        <w:rPr>
          <w:rStyle w:val="awspan1"/>
          <w:rFonts w:eastAsiaTheme="majorEastAsia"/>
        </w:rPr>
        <w:t>(EÚ)</w:t>
      </w:r>
      <w:r>
        <w:rPr>
          <w:rStyle w:val="awspan1"/>
          <w:rFonts w:eastAsiaTheme="majorEastAsia"/>
          <w:spacing w:val="16"/>
        </w:rPr>
        <w:t xml:space="preserve"> </w:t>
      </w:r>
      <w:r>
        <w:rPr>
          <w:rStyle w:val="awspan1"/>
          <w:rFonts w:eastAsiaTheme="majorEastAsia"/>
        </w:rPr>
        <w:t>2023/2226</w:t>
      </w:r>
      <w:r>
        <w:rPr>
          <w:rStyle w:val="awspan1"/>
          <w:rFonts w:eastAsiaTheme="majorEastAsia"/>
          <w:spacing w:val="16"/>
        </w:rPr>
        <w:t xml:space="preserve"> </w:t>
      </w:r>
      <w:r>
        <w:rPr>
          <w:rStyle w:val="awspan1"/>
          <w:rFonts w:eastAsiaTheme="majorEastAsia"/>
        </w:rPr>
        <w:t>zo</w:t>
      </w:r>
      <w:r>
        <w:rPr>
          <w:rStyle w:val="awspan1"/>
          <w:rFonts w:eastAsiaTheme="majorEastAsia"/>
          <w:spacing w:val="16"/>
        </w:rPr>
        <w:t xml:space="preserve"> 17</w:t>
      </w:r>
      <w:r>
        <w:rPr>
          <w:rStyle w:val="awspan1"/>
          <w:rFonts w:eastAsiaTheme="majorEastAsia"/>
        </w:rPr>
        <w:t>.</w:t>
      </w:r>
      <w:r>
        <w:rPr>
          <w:rStyle w:val="awspan1"/>
          <w:rFonts w:eastAsiaTheme="majorEastAsia"/>
          <w:spacing w:val="16"/>
        </w:rPr>
        <w:t xml:space="preserve"> októbra </w:t>
      </w:r>
      <w:r>
        <w:rPr>
          <w:rStyle w:val="awspan1"/>
          <w:rFonts w:eastAsiaTheme="majorEastAsia"/>
        </w:rPr>
        <w:t>2023,</w:t>
      </w:r>
      <w:r>
        <w:rPr>
          <w:rStyle w:val="awspan1"/>
          <w:rFonts w:eastAsiaTheme="majorEastAsia"/>
          <w:spacing w:val="16"/>
        </w:rPr>
        <w:t xml:space="preserve"> </w:t>
      </w:r>
      <w:r>
        <w:rPr>
          <w:rStyle w:val="awspan1"/>
          <w:rFonts w:eastAsiaTheme="majorEastAsia"/>
        </w:rPr>
        <w:t>ktorou</w:t>
      </w:r>
      <w:r>
        <w:rPr>
          <w:rStyle w:val="awspan1"/>
          <w:rFonts w:eastAsiaTheme="majorEastAsia"/>
          <w:spacing w:val="16"/>
        </w:rPr>
        <w:t xml:space="preserve"> </w:t>
      </w:r>
      <w:r>
        <w:rPr>
          <w:rStyle w:val="awspan1"/>
          <w:rFonts w:eastAsiaTheme="majorEastAsia"/>
        </w:rPr>
        <w:t>sa</w:t>
      </w:r>
      <w:r>
        <w:rPr>
          <w:rStyle w:val="awspan1"/>
          <w:rFonts w:eastAsiaTheme="majorEastAsia"/>
          <w:spacing w:val="16"/>
        </w:rPr>
        <w:t xml:space="preserve"> </w:t>
      </w:r>
      <w:r>
        <w:rPr>
          <w:rStyle w:val="awspan1"/>
          <w:rFonts w:eastAsiaTheme="majorEastAsia"/>
        </w:rPr>
        <w:t>mení</w:t>
      </w:r>
      <w:r>
        <w:rPr>
          <w:rStyle w:val="awspan1"/>
          <w:rFonts w:eastAsiaTheme="majorEastAsia"/>
          <w:spacing w:val="16"/>
        </w:rPr>
        <w:t xml:space="preserve"> </w:t>
      </w:r>
      <w:r>
        <w:rPr>
          <w:rStyle w:val="awspan1"/>
          <w:rFonts w:eastAsiaTheme="majorEastAsia"/>
        </w:rPr>
        <w:t>smernica</w:t>
      </w:r>
      <w:r>
        <w:rPr>
          <w:rStyle w:val="awspan1"/>
          <w:rFonts w:eastAsiaTheme="majorEastAsia"/>
          <w:spacing w:val="16"/>
        </w:rPr>
        <w:t xml:space="preserve"> </w:t>
      </w:r>
      <w:r>
        <w:rPr>
          <w:rStyle w:val="awspan1"/>
          <w:rFonts w:eastAsiaTheme="majorEastAsia"/>
        </w:rPr>
        <w:t>2011/16/EÚ</w:t>
      </w:r>
      <w:r>
        <w:rPr>
          <w:rStyle w:val="awspan1"/>
          <w:rFonts w:eastAsiaTheme="majorEastAsia"/>
          <w:spacing w:val="16"/>
        </w:rPr>
        <w:t xml:space="preserve"> </w:t>
      </w:r>
      <w:r>
        <w:rPr>
          <w:rStyle w:val="awspan1"/>
          <w:rFonts w:eastAsiaTheme="majorEastAsia"/>
        </w:rPr>
        <w:t xml:space="preserve">o administratívnej spolupráci v oblasti </w:t>
      </w:r>
      <w:r w:rsidRPr="006878A1">
        <w:rPr>
          <w:rStyle w:val="awspan1"/>
          <w:rFonts w:eastAsiaTheme="majorEastAsia"/>
        </w:rPr>
        <w:t>daní (Ú. v. EÚ L</w:t>
      </w:r>
      <w:r w:rsidR="006878A1" w:rsidRPr="006878A1">
        <w:rPr>
          <w:rStyle w:val="awspan1"/>
          <w:rFonts w:eastAsiaTheme="majorEastAsia"/>
        </w:rPr>
        <w:t>, 2023/2226</w:t>
      </w:r>
      <w:r w:rsidRPr="006878A1">
        <w:rPr>
          <w:rStyle w:val="awspan1"/>
          <w:rFonts w:eastAsiaTheme="majorEastAsia"/>
        </w:rPr>
        <w:t>, 24. 10. 2023).“.</w:t>
      </w:r>
    </w:p>
    <w:p w14:paraId="3FE7887E" w14:textId="77777777" w:rsidR="008414DE" w:rsidRPr="009B7076" w:rsidRDefault="008414DE" w:rsidP="008414DE">
      <w:pPr>
        <w:ind w:left="425"/>
        <w:contextualSpacing/>
        <w:jc w:val="center"/>
        <w:rPr>
          <w:lang w:eastAsia="en-US"/>
        </w:rPr>
      </w:pPr>
      <w:r w:rsidRPr="009B7076">
        <w:rPr>
          <w:lang w:eastAsia="en-US"/>
        </w:rPr>
        <w:lastRenderedPageBreak/>
        <w:t>Čl. II</w:t>
      </w:r>
    </w:p>
    <w:p w14:paraId="306C1BD2" w14:textId="77777777" w:rsidR="008414DE" w:rsidRPr="009B7076" w:rsidRDefault="008414DE" w:rsidP="008414DE">
      <w:pPr>
        <w:ind w:left="425"/>
        <w:contextualSpacing/>
        <w:jc w:val="center"/>
        <w:rPr>
          <w:lang w:eastAsia="en-US"/>
        </w:rPr>
      </w:pPr>
    </w:p>
    <w:p w14:paraId="078F6785" w14:textId="1423E551" w:rsidR="008414DE" w:rsidRPr="009B7076" w:rsidRDefault="008414DE" w:rsidP="003712D5">
      <w:pPr>
        <w:ind w:left="425"/>
        <w:contextualSpacing/>
        <w:jc w:val="both"/>
      </w:pPr>
      <w:r w:rsidRPr="009B7076">
        <w:rPr>
          <w:lang w:eastAsia="en-US"/>
        </w:rPr>
        <w:t>Táto vyhláška nadobúda účinnosť 1. januára 20</w:t>
      </w:r>
      <w:r w:rsidR="003712D5">
        <w:rPr>
          <w:lang w:eastAsia="en-US"/>
        </w:rPr>
        <w:t>26</w:t>
      </w:r>
      <w:r w:rsidRPr="009B7076">
        <w:rPr>
          <w:lang w:eastAsia="en-US"/>
        </w:rPr>
        <w:t>.</w:t>
      </w:r>
    </w:p>
    <w:sectPr w:rsidR="008414DE" w:rsidRPr="009B70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13837" w14:textId="77777777" w:rsidR="00E13920" w:rsidRDefault="00E13920" w:rsidP="00E13920">
      <w:r>
        <w:separator/>
      </w:r>
    </w:p>
  </w:endnote>
  <w:endnote w:type="continuationSeparator" w:id="0">
    <w:p w14:paraId="20D56E5A" w14:textId="77777777" w:rsidR="00E13920" w:rsidRDefault="00E13920" w:rsidP="00E1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45163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23AD9D2" w14:textId="142D6D76" w:rsidR="00E13920" w:rsidRPr="00A503C8" w:rsidRDefault="00E13920">
        <w:pPr>
          <w:pStyle w:val="Pta"/>
          <w:jc w:val="center"/>
          <w:rPr>
            <w:sz w:val="22"/>
            <w:szCs w:val="22"/>
          </w:rPr>
        </w:pPr>
        <w:r w:rsidRPr="00A503C8">
          <w:rPr>
            <w:sz w:val="22"/>
            <w:szCs w:val="22"/>
          </w:rPr>
          <w:fldChar w:fldCharType="begin"/>
        </w:r>
        <w:r w:rsidRPr="00A503C8">
          <w:rPr>
            <w:sz w:val="22"/>
            <w:szCs w:val="22"/>
          </w:rPr>
          <w:instrText>PAGE   \* MERGEFORMAT</w:instrText>
        </w:r>
        <w:r w:rsidRPr="00A503C8">
          <w:rPr>
            <w:sz w:val="22"/>
            <w:szCs w:val="22"/>
          </w:rPr>
          <w:fldChar w:fldCharType="separate"/>
        </w:r>
        <w:r w:rsidR="00447D9B">
          <w:rPr>
            <w:noProof/>
            <w:sz w:val="22"/>
            <w:szCs w:val="22"/>
          </w:rPr>
          <w:t>5</w:t>
        </w:r>
        <w:r w:rsidRPr="00A503C8">
          <w:rPr>
            <w:sz w:val="22"/>
            <w:szCs w:val="22"/>
          </w:rPr>
          <w:fldChar w:fldCharType="end"/>
        </w:r>
      </w:p>
    </w:sdtContent>
  </w:sdt>
  <w:p w14:paraId="11C55CE0" w14:textId="77777777" w:rsidR="00E13920" w:rsidRDefault="00E139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A61D0" w14:textId="77777777" w:rsidR="00E13920" w:rsidRDefault="00E13920" w:rsidP="00E13920">
      <w:r>
        <w:separator/>
      </w:r>
    </w:p>
  </w:footnote>
  <w:footnote w:type="continuationSeparator" w:id="0">
    <w:p w14:paraId="3916500A" w14:textId="77777777" w:rsidR="00E13920" w:rsidRDefault="00E13920" w:rsidP="00E1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D13F3"/>
    <w:multiLevelType w:val="hybridMultilevel"/>
    <w:tmpl w:val="35184BB6"/>
    <w:lvl w:ilvl="0" w:tplc="D31C89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496C6968"/>
    <w:multiLevelType w:val="hybridMultilevel"/>
    <w:tmpl w:val="CAEEBA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C403D"/>
    <w:multiLevelType w:val="hybridMultilevel"/>
    <w:tmpl w:val="68700E8C"/>
    <w:lvl w:ilvl="0" w:tplc="15862F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C5"/>
    <w:rsid w:val="000555ED"/>
    <w:rsid w:val="00061D5C"/>
    <w:rsid w:val="00071BAE"/>
    <w:rsid w:val="000976E5"/>
    <w:rsid w:val="000A0F63"/>
    <w:rsid w:val="000D2702"/>
    <w:rsid w:val="000D3169"/>
    <w:rsid w:val="000F5BBE"/>
    <w:rsid w:val="0010740C"/>
    <w:rsid w:val="0015149E"/>
    <w:rsid w:val="001B5C29"/>
    <w:rsid w:val="001E12DB"/>
    <w:rsid w:val="00203348"/>
    <w:rsid w:val="00213D88"/>
    <w:rsid w:val="002E237E"/>
    <w:rsid w:val="002E5ADA"/>
    <w:rsid w:val="002F41C6"/>
    <w:rsid w:val="003207B4"/>
    <w:rsid w:val="00333A08"/>
    <w:rsid w:val="00337C81"/>
    <w:rsid w:val="0036579B"/>
    <w:rsid w:val="003712D5"/>
    <w:rsid w:val="003832CB"/>
    <w:rsid w:val="00386F4D"/>
    <w:rsid w:val="004277D4"/>
    <w:rsid w:val="00447D9B"/>
    <w:rsid w:val="00452FA9"/>
    <w:rsid w:val="004853C5"/>
    <w:rsid w:val="004E1798"/>
    <w:rsid w:val="005238CA"/>
    <w:rsid w:val="00526E16"/>
    <w:rsid w:val="005A1492"/>
    <w:rsid w:val="00665F28"/>
    <w:rsid w:val="00677C54"/>
    <w:rsid w:val="006878A1"/>
    <w:rsid w:val="006A70C5"/>
    <w:rsid w:val="006B2C18"/>
    <w:rsid w:val="007E1594"/>
    <w:rsid w:val="008414DE"/>
    <w:rsid w:val="00843183"/>
    <w:rsid w:val="0085602E"/>
    <w:rsid w:val="008830E0"/>
    <w:rsid w:val="008B1FD4"/>
    <w:rsid w:val="008F1B0E"/>
    <w:rsid w:val="00912981"/>
    <w:rsid w:val="00957849"/>
    <w:rsid w:val="00965B94"/>
    <w:rsid w:val="009979E3"/>
    <w:rsid w:val="009B7076"/>
    <w:rsid w:val="009C6677"/>
    <w:rsid w:val="00A45EEF"/>
    <w:rsid w:val="00A46255"/>
    <w:rsid w:val="00A503C8"/>
    <w:rsid w:val="00A563E7"/>
    <w:rsid w:val="00A65615"/>
    <w:rsid w:val="00A85445"/>
    <w:rsid w:val="00AA37C6"/>
    <w:rsid w:val="00AC0928"/>
    <w:rsid w:val="00AC6729"/>
    <w:rsid w:val="00AD5210"/>
    <w:rsid w:val="00B37990"/>
    <w:rsid w:val="00BE6B4C"/>
    <w:rsid w:val="00C801F6"/>
    <w:rsid w:val="00C84A75"/>
    <w:rsid w:val="00CA6E59"/>
    <w:rsid w:val="00D824DE"/>
    <w:rsid w:val="00DC5282"/>
    <w:rsid w:val="00DD68B4"/>
    <w:rsid w:val="00DE47A4"/>
    <w:rsid w:val="00DE5680"/>
    <w:rsid w:val="00DF6105"/>
    <w:rsid w:val="00E13920"/>
    <w:rsid w:val="00E703A4"/>
    <w:rsid w:val="00E753A4"/>
    <w:rsid w:val="00E8601F"/>
    <w:rsid w:val="00EA5B3D"/>
    <w:rsid w:val="00EE6317"/>
    <w:rsid w:val="00F24EC4"/>
    <w:rsid w:val="00F50039"/>
    <w:rsid w:val="00F74E55"/>
    <w:rsid w:val="00FA5115"/>
    <w:rsid w:val="00FB2F39"/>
    <w:rsid w:val="00F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1AF7"/>
  <w15:chartTrackingRefBased/>
  <w15:docId w15:val="{84018C59-73CA-43EA-8882-6BEFA44D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5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unhideWhenUsed/>
    <w:rsid w:val="004853C5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853C5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85602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F41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1C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E568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568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E568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56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568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DC5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DC5282"/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E139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9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1392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92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91490-7A4B-43BC-91F0-6482DC93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Pekarova Elena</dc:creator>
  <cp:keywords/>
  <dc:description/>
  <cp:lastModifiedBy>Pekarova Elena</cp:lastModifiedBy>
  <cp:revision>5</cp:revision>
  <cp:lastPrinted>2018-10-18T06:15:00Z</cp:lastPrinted>
  <dcterms:created xsi:type="dcterms:W3CDTF">2025-01-10T11:11:00Z</dcterms:created>
  <dcterms:modified xsi:type="dcterms:W3CDTF">2025-01-20T11:34:00Z</dcterms:modified>
</cp:coreProperties>
</file>