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493C" w:rsidRDefault="008D29E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Uznesenie Národnej rady Slovenskej republiky</w:t>
      </w:r>
    </w:p>
    <w:p w14:paraId="00000002" w14:textId="77777777" w:rsidR="00B5493C" w:rsidRDefault="00B5493C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B5493C" w:rsidRDefault="008D29ED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z ... marca 202</w:t>
      </w:r>
      <w:r>
        <w:rPr>
          <w:rFonts w:ascii="Times New Roman" w:eastAsia="Times New Roman" w:hAnsi="Times New Roman" w:cs="Times New Roman"/>
        </w:rPr>
        <w:t>5</w:t>
      </w:r>
    </w:p>
    <w:p w14:paraId="00000004" w14:textId="77777777" w:rsidR="00B5493C" w:rsidRDefault="00B5493C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B5493C" w:rsidRDefault="008D29ED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k 3.</w:t>
      </w:r>
      <w:r>
        <w:rPr>
          <w:rFonts w:ascii="Times New Roman" w:eastAsia="Times New Roman" w:hAnsi="Times New Roman" w:cs="Times New Roman"/>
          <w:smallCaps/>
          <w:color w:val="000000"/>
        </w:rPr>
        <w:t xml:space="preserve"> VÝROČIU</w:t>
      </w:r>
      <w:r>
        <w:rPr>
          <w:rFonts w:ascii="Times New Roman" w:eastAsia="Times New Roman" w:hAnsi="Times New Roman" w:cs="Times New Roman"/>
          <w:color w:val="000000"/>
        </w:rPr>
        <w:t xml:space="preserve"> VOJENSKEJ AGRESI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RUSKEJ FEDERÁCIE PROTI UKRAJINE</w:t>
      </w:r>
    </w:p>
    <w:p w14:paraId="00000006" w14:textId="77777777" w:rsidR="00B5493C" w:rsidRDefault="008D29ED">
      <w:pPr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</w:t>
      </w:r>
    </w:p>
    <w:p w14:paraId="00000007" w14:textId="77777777" w:rsidR="00B5493C" w:rsidRDefault="00B5493C">
      <w:pPr>
        <w:rPr>
          <w:rFonts w:ascii="Times New Roman" w:eastAsia="Times New Roman" w:hAnsi="Times New Roman" w:cs="Times New Roman"/>
          <w:b/>
          <w:color w:val="000000"/>
        </w:rPr>
      </w:pPr>
    </w:p>
    <w:p w14:paraId="00000008" w14:textId="77777777" w:rsidR="00B5493C" w:rsidRDefault="00B5493C">
      <w:pPr>
        <w:rPr>
          <w:rFonts w:ascii="Times New Roman" w:eastAsia="Times New Roman" w:hAnsi="Times New Roman" w:cs="Times New Roman"/>
          <w:b/>
        </w:rPr>
      </w:pPr>
    </w:p>
    <w:p w14:paraId="00000009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svoje predchádzajúce uznesenia o Ukrajine a Rusku z 25. februára 2022,</w:t>
      </w:r>
    </w:p>
    <w:p w14:paraId="0000000A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Chartu Organizácie Spojených národov,</w:t>
      </w:r>
    </w:p>
    <w:p w14:paraId="0000000B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so zreteľom na </w:t>
      </w:r>
      <w:r>
        <w:rPr>
          <w:rFonts w:ascii="Times New Roman" w:eastAsia="Times New Roman" w:hAnsi="Times New Roman" w:cs="Times New Roman"/>
          <w:color w:val="1E1E1F"/>
          <w:highlight w:val="white"/>
        </w:rPr>
        <w:t>Helsinský záverečný akt,</w:t>
      </w:r>
    </w:p>
    <w:p w14:paraId="0000000C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Budapeštianske memorandum,</w:t>
      </w:r>
    </w:p>
    <w:p w14:paraId="0000000D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Parížsku Chartu,</w:t>
      </w:r>
    </w:p>
    <w:p w14:paraId="0000000E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Základnú zmluvu NATO – Rusko,</w:t>
      </w:r>
    </w:p>
    <w:p w14:paraId="0000000F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Dohovor o právach dieťaťa,</w:t>
      </w:r>
    </w:p>
    <w:p w14:paraId="00000010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Ženevské dohovory a ich dodatkové protokoly, a</w:t>
      </w:r>
    </w:p>
    <w:p w14:paraId="00000011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  <w:r>
        <w:rPr>
          <w:rFonts w:ascii="Times New Roman" w:eastAsia="Times New Roman" w:hAnsi="Times New Roman" w:cs="Times New Roman"/>
          <w:color w:val="1E1E1F"/>
          <w:highlight w:val="white"/>
        </w:rPr>
        <w:t>so zreteľom na Dohovor o zabránení a trestaní zločinu genocídy,</w:t>
      </w:r>
    </w:p>
    <w:p w14:paraId="00000012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od začiatku nevyprovokovaného, neod</w:t>
      </w:r>
      <w:r>
        <w:rPr>
          <w:rFonts w:ascii="Times New Roman" w:eastAsia="Times New Roman" w:hAnsi="Times New Roman" w:cs="Times New Roman"/>
        </w:rPr>
        <w:t>ôvodneného a nezákonného vojenského útoku Ruska voči Ukrajine uplynuli tri roky, pričom táto vojna spôsobila ďalekosiahle a dlhodobé dôsledky nielen pre Ukrajinu, ale aj pre Európsku úniu, Slovenskú republiku nevynímajúc;</w:t>
      </w:r>
    </w:p>
    <w:p w14:paraId="00000014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vzhľadom na čoraz brutálnejš</w:t>
      </w:r>
      <w:r>
        <w:rPr>
          <w:rFonts w:ascii="Times New Roman" w:eastAsia="Times New Roman" w:hAnsi="Times New Roman" w:cs="Times New Roman"/>
        </w:rPr>
        <w:t xml:space="preserve">í vývoj konfliktu, v ktorom len za január 2025 bolo zabitých 139 civilistov a 738 zranených, je potrebné čo najskôr vojnu ukončiť a nastoliť na Ukrajine spravodlivý a trvalý mier, ktorý by zaručil nielen ochranu ukrajinského obyvateľstva ale aj bezpečnosť </w:t>
      </w:r>
      <w:r>
        <w:rPr>
          <w:rFonts w:ascii="Times New Roman" w:eastAsia="Times New Roman" w:hAnsi="Times New Roman" w:cs="Times New Roman"/>
        </w:rPr>
        <w:t>celej Európy;</w:t>
      </w:r>
    </w:p>
    <w:p w14:paraId="00000015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ruské útoky mali za následok smrť alebo zranenia civilného obyvateľstva v 24 z 27 administratívnych regiónoch Ukrajiny, pričom Misia OSN na monitorovanie ľudských práv na Ukrajine aktuálne identifikovala 12 600 zabitých civilistov a ďal</w:t>
      </w:r>
      <w:r>
        <w:rPr>
          <w:rFonts w:ascii="Times New Roman" w:eastAsia="Times New Roman" w:hAnsi="Times New Roman" w:cs="Times New Roman"/>
        </w:rPr>
        <w:t>ších 29 400 zranených, z toho 670 zabitých a 1 865 zranených detí a hoci ľudia nad 60 rokov tvoria len 25 % celkovej populácie, starší ľudia tvorili takmer polovicu civilných úmrtí a viac ako tretiny zranených civilistov, počet úmrtí ukrajinského civilného</w:t>
      </w:r>
      <w:r>
        <w:rPr>
          <w:rFonts w:ascii="Times New Roman" w:eastAsia="Times New Roman" w:hAnsi="Times New Roman" w:cs="Times New Roman"/>
        </w:rPr>
        <w:t xml:space="preserve"> obyvateľstva tak presiahol desaťtisíce, no zostáva približný, nakoľko ani medzinárodné organizácie nemajú prístup do Ruskom okupovanej časti Ukrajiny a len pri obliehaní </w:t>
      </w:r>
      <w:proofErr w:type="spellStart"/>
      <w:r>
        <w:rPr>
          <w:rFonts w:ascii="Times New Roman" w:eastAsia="Times New Roman" w:hAnsi="Times New Roman" w:cs="Times New Roman"/>
        </w:rPr>
        <w:t>Mariupolu</w:t>
      </w:r>
      <w:proofErr w:type="spellEnd"/>
      <w:r>
        <w:rPr>
          <w:rFonts w:ascii="Times New Roman" w:eastAsia="Times New Roman" w:hAnsi="Times New Roman" w:cs="Times New Roman"/>
        </w:rPr>
        <w:t xml:space="preserve"> v roku 2022 sa predpokladá, že zahynuli desaťtisíce ľudí;</w:t>
      </w:r>
    </w:p>
    <w:p w14:paraId="00000016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keďže útokmi bolo</w:t>
      </w:r>
      <w:r>
        <w:rPr>
          <w:rFonts w:ascii="Times New Roman" w:eastAsia="Times New Roman" w:hAnsi="Times New Roman" w:cs="Times New Roman"/>
        </w:rPr>
        <w:t xml:space="preserve"> zasiahnutých viac ako 800 zdravotníckych zariadení, vrátane </w:t>
      </w:r>
      <w:proofErr w:type="spellStart"/>
      <w:r>
        <w:rPr>
          <w:rFonts w:ascii="Times New Roman" w:eastAsia="Times New Roman" w:hAnsi="Times New Roman" w:cs="Times New Roman"/>
        </w:rPr>
        <w:t>Ohmatdyt</w:t>
      </w:r>
      <w:proofErr w:type="spellEnd"/>
      <w:r>
        <w:rPr>
          <w:rFonts w:ascii="Times New Roman" w:eastAsia="Times New Roman" w:hAnsi="Times New Roman" w:cs="Times New Roman"/>
        </w:rPr>
        <w:t>,  najväčšej detskej nemocnice v Kyjeve a len za rok 2024 narástol počet útokov na tieto zariadenia trojnásobne oproti roku 2023, v tom istom roku bolo zasiahnutých aj takmer 1700 vzdeláv</w:t>
      </w:r>
      <w:r>
        <w:rPr>
          <w:rFonts w:ascii="Times New Roman" w:eastAsia="Times New Roman" w:hAnsi="Times New Roman" w:cs="Times New Roman"/>
        </w:rPr>
        <w:t xml:space="preserve">acích zariadení, pričom prevažná väčšina civilných obetí a škôd na  zdravotníckych a vzdelávacích zariadeniach bola spôsobená na území kontrolovanom Ukrajinou ruskými bombovými a </w:t>
      </w:r>
      <w:proofErr w:type="spellStart"/>
      <w:r>
        <w:rPr>
          <w:rFonts w:ascii="Times New Roman" w:eastAsia="Times New Roman" w:hAnsi="Times New Roman" w:cs="Times New Roman"/>
        </w:rPr>
        <w:t>dronovými</w:t>
      </w:r>
      <w:proofErr w:type="spellEnd"/>
      <w:r>
        <w:rPr>
          <w:rFonts w:ascii="Times New Roman" w:eastAsia="Times New Roman" w:hAnsi="Times New Roman" w:cs="Times New Roman"/>
        </w:rPr>
        <w:t xml:space="preserve"> útokmi;</w:t>
      </w:r>
    </w:p>
    <w:p w14:paraId="00000017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ruské ozbrojené sily cielene, systematicky a opakovan</w:t>
      </w:r>
      <w:r>
        <w:rPr>
          <w:rFonts w:ascii="Times New Roman" w:eastAsia="Times New Roman" w:hAnsi="Times New Roman" w:cs="Times New Roman"/>
        </w:rPr>
        <w:t>e napádajú energetickú infraštruktúru Ukrajiny prostredníctvom série rozsiahlych, koordinovaných útokov, ktoré výrazne znížili kapacitu výroby elektriny v krajine, vedúc k dočasným výpadkom naprieč celým územím, pričom dôsledkom týchto útokov je aj zásah r</w:t>
      </w:r>
      <w:r>
        <w:rPr>
          <w:rFonts w:ascii="Times New Roman" w:eastAsia="Times New Roman" w:hAnsi="Times New Roman" w:cs="Times New Roman"/>
        </w:rPr>
        <w:t xml:space="preserve">ozvodov vody, odpadových vôd a kanalizácie, systémov vykurovania a majú teda vplyv na verejné zdravie, vzdelanie, sociálne zabezpečenie ako aj celkovú ekonomiku; </w:t>
      </w:r>
    </w:p>
    <w:p w14:paraId="00000018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na ukrajinskom území je teraz jeden z najvyšších výskytov zvyškov výbušnín a nášľapných</w:t>
      </w:r>
      <w:r>
        <w:rPr>
          <w:rFonts w:ascii="Times New Roman" w:eastAsia="Times New Roman" w:hAnsi="Times New Roman" w:cs="Times New Roman"/>
        </w:rPr>
        <w:t xml:space="preserve"> mín na svete, čo pravdepodobne spôsobí ďalšie civilné obete aj v budúcnosti; </w:t>
      </w:r>
    </w:p>
    <w:p w14:paraId="00000019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tri roky trvajúca invázia na Ukrajinu vedie aj k rozsiahlym, vážnym, dlhodobým a v niektorých prípadoch neodvrátiteľným škodám na životnom prostredí, ktoré možné kvalifiko</w:t>
      </w:r>
      <w:r>
        <w:rPr>
          <w:rFonts w:ascii="Times New Roman" w:eastAsia="Times New Roman" w:hAnsi="Times New Roman" w:cs="Times New Roman"/>
        </w:rPr>
        <w:t xml:space="preserve">vať ako </w:t>
      </w:r>
      <w:proofErr w:type="spellStart"/>
      <w:r>
        <w:rPr>
          <w:rFonts w:ascii="Times New Roman" w:eastAsia="Times New Roman" w:hAnsi="Times New Roman" w:cs="Times New Roman"/>
        </w:rPr>
        <w:t>ekocída</w:t>
      </w:r>
      <w:proofErr w:type="spellEnd"/>
      <w:r>
        <w:rPr>
          <w:rFonts w:ascii="Times New Roman" w:eastAsia="Times New Roman" w:hAnsi="Times New Roman" w:cs="Times New Roman"/>
        </w:rPr>
        <w:t>, s priamymi dôsledkami na prírodu, znečistenie vody, vzduchu aj pôdy a vôbec celý ekosystém;</w:t>
      </w:r>
    </w:p>
    <w:p w14:paraId="0000001A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po troch rokoch bombardovania a útokov v celej krajine zažívajú tisíce rodín a detí na Ukrajine katastrofálne straty, prišli o svojich blízky</w:t>
      </w:r>
      <w:r>
        <w:rPr>
          <w:rFonts w:ascii="Times New Roman" w:eastAsia="Times New Roman" w:hAnsi="Times New Roman" w:cs="Times New Roman"/>
        </w:rPr>
        <w:t>ch a domovy, svoje príjmy, pričom prudko vzrástli náklady na nájomné, účty za energie a základné potraviny;</w:t>
      </w:r>
    </w:p>
    <w:p w14:paraId="0000001B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keďže podľa Organizácie </w:t>
      </w:r>
      <w:proofErr w:type="spellStart"/>
      <w:r>
        <w:rPr>
          <w:rFonts w:ascii="Times New Roman" w:eastAsia="Times New Roman" w:hAnsi="Times New Roman" w:cs="Times New Roman"/>
        </w:rPr>
        <w:t>Save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Children</w:t>
      </w:r>
      <w:proofErr w:type="spellEnd"/>
      <w:r>
        <w:rPr>
          <w:rFonts w:ascii="Times New Roman" w:eastAsia="Times New Roman" w:hAnsi="Times New Roman" w:cs="Times New Roman"/>
        </w:rPr>
        <w:t xml:space="preserve"> traja zo štyroch ľudí na Ukrajine čelia finančným ťažkostiam po troch rokoch totálnej vojny a špeciálne že</w:t>
      </w:r>
      <w:r>
        <w:rPr>
          <w:rFonts w:ascii="Times New Roman" w:eastAsia="Times New Roman" w:hAnsi="Times New Roman" w:cs="Times New Roman"/>
        </w:rPr>
        <w:t>ny a deti znášajú bremeno prudko rastúcej chudoby a často zápasia o to, aby si mohli dovoliť výživné jedlo, oblečenie a hygienické potreby, pričom práve oni predstavujú viac ako polovicu osôb, ktoré potrebujú humanitárnu podporu a sú najzraniteľnejšie voči</w:t>
      </w:r>
      <w:r>
        <w:rPr>
          <w:rFonts w:ascii="Times New Roman" w:eastAsia="Times New Roman" w:hAnsi="Times New Roman" w:cs="Times New Roman"/>
        </w:rPr>
        <w:t xml:space="preserve"> chudobe a vykorisťovaniu ;</w:t>
      </w:r>
    </w:p>
    <w:p w14:paraId="0000001C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podľa Organizácie Spojených národov (OSN) má takmer 75 % ľudí problém vyžiť a celé rodiny sa uchyľujú k zúfalým opatreniam, ako je predaj nehnuteľností, požičiavanie si peňazí, znižovanie výdavkov na zdravotnú starostlivosť alebo prijímanie vysoko ri</w:t>
      </w:r>
      <w:r>
        <w:rPr>
          <w:rFonts w:ascii="Times New Roman" w:eastAsia="Times New Roman" w:hAnsi="Times New Roman" w:cs="Times New Roman"/>
        </w:rPr>
        <w:t>zikových zamestnaní a 55 % ľudí nedokáže platiť nájomné;</w:t>
      </w:r>
    </w:p>
    <w:p w14:paraId="0000001D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milióny ľudí prišli o prácu a platy klesli z mesačného priemeru 7 000 UAH hrivien (184 USD) v roku 2022 na 5 000 UAH (132 USD), zatiaľ čo ceny potravín prudko vzrástli, pričom najviac zasiahnut</w:t>
      </w:r>
      <w:r>
        <w:rPr>
          <w:rFonts w:ascii="Times New Roman" w:eastAsia="Times New Roman" w:hAnsi="Times New Roman" w:cs="Times New Roman"/>
        </w:rPr>
        <w:t>é boli práve vysídlené ženy a ich deti, ktoré budú v roku 2025 čeliť potravinovej neistote;</w:t>
      </w:r>
    </w:p>
    <w:p w14:paraId="0000001E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v dôsledku pretrvávajúcej vojny a jej dopadov na rodiny boli niektorí rodičia nútení umiestniť svoje deti najmä počas zimných mesiacov do zariadení ústavnej s</w:t>
      </w:r>
      <w:r>
        <w:rPr>
          <w:rFonts w:ascii="Times New Roman" w:eastAsia="Times New Roman" w:hAnsi="Times New Roman" w:cs="Times New Roman"/>
        </w:rPr>
        <w:t xml:space="preserve">tarostlivosti, aby im zabezpečili ubytovanie, stravu a teplo alebo ich zverili príbuzným na iné bezpečnejšie miesta </w:t>
      </w:r>
      <w:r>
        <w:rPr>
          <w:rFonts w:ascii="Times New Roman" w:eastAsia="Times New Roman" w:hAnsi="Times New Roman" w:cs="Times New Roman"/>
        </w:rPr>
        <w:lastRenderedPageBreak/>
        <w:t>v krajine, zatiaľ čo oni zostávajú v oblastiach priamo cielených ruskou agresiou, len aby mohli pokračovať v práci a zabezpečiť príjem pre r</w:t>
      </w:r>
      <w:r>
        <w:rPr>
          <w:rFonts w:ascii="Times New Roman" w:eastAsia="Times New Roman" w:hAnsi="Times New Roman" w:cs="Times New Roman"/>
        </w:rPr>
        <w:t>odinu;</w:t>
      </w:r>
    </w:p>
    <w:p w14:paraId="0000001F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keďže od roku 2014 Rusko násilne premiestnilo alebo unieslo podľa odhadov stovky tisíc  ukrajinských detí, ktorých rodičov zatkli ruské okupačné úrady, zabili pri invázii alebo ich oddelili počas konfliktov v aktívnej vojnovej zóne, z ktorých úrady </w:t>
      </w:r>
      <w:r>
        <w:rPr>
          <w:rFonts w:ascii="Times New Roman" w:eastAsia="Times New Roman" w:hAnsi="Times New Roman" w:cs="Times New Roman"/>
        </w:rPr>
        <w:t xml:space="preserve">doteraz identifikovali takmer 20 tisíc unesených z oblastí pod ruskou kontrolou, Rusko im udelilo svoje občianstvo, umiestnilo ich do ruských rodín a vytvorilo administratívne prekážky pre ich </w:t>
      </w:r>
      <w:proofErr w:type="spellStart"/>
      <w:r>
        <w:rPr>
          <w:rFonts w:ascii="Times New Roman" w:eastAsia="Times New Roman" w:hAnsi="Times New Roman" w:cs="Times New Roman"/>
        </w:rPr>
        <w:t>znovuzjednotenie</w:t>
      </w:r>
      <w:proofErr w:type="spellEnd"/>
      <w:r>
        <w:rPr>
          <w:rFonts w:ascii="Times New Roman" w:eastAsia="Times New Roman" w:hAnsi="Times New Roman" w:cs="Times New Roman"/>
        </w:rPr>
        <w:t xml:space="preserve"> s rodičmi a stali sa tak predmetom </w:t>
      </w:r>
      <w:proofErr w:type="spellStart"/>
      <w:r>
        <w:rPr>
          <w:rFonts w:ascii="Times New Roman" w:eastAsia="Times New Roman" w:hAnsi="Times New Roman" w:cs="Times New Roman"/>
        </w:rPr>
        <w:t>rusifikácie</w:t>
      </w:r>
      <w:proofErr w:type="spellEnd"/>
      <w:r>
        <w:rPr>
          <w:rFonts w:ascii="Times New Roman" w:eastAsia="Times New Roman" w:hAnsi="Times New Roman" w:cs="Times New Roman"/>
        </w:rPr>
        <w:t>, pričom únos a výchova detských vojnových obetí v cudzom národe a kultúre môže predstavovať akt genocídy, ak je zámerom vymazať ich národnú identitu, čo predstavuje vojnový zločin v rozpore s medzinárodným  právom;</w:t>
      </w:r>
    </w:p>
    <w:p w14:paraId="00000020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Rusko zároveň od začiatku vojny po</w:t>
      </w:r>
      <w:r>
        <w:rPr>
          <w:rFonts w:ascii="Times New Roman" w:eastAsia="Times New Roman" w:hAnsi="Times New Roman" w:cs="Times New Roman"/>
        </w:rPr>
        <w:t>rušuje zákony okupácie na územiach, ktoré obsadilo v rozpore s medzinárodným právom a to presadzovaním správy, práva, súdnictva  a vzdelávania Ruskej federácie, nútením obyvateľstva prijať ruské občianstvo, aby mohli využívať zdravotnú starostlivosť, kupov</w:t>
      </w:r>
      <w:r>
        <w:rPr>
          <w:rFonts w:ascii="Times New Roman" w:eastAsia="Times New Roman" w:hAnsi="Times New Roman" w:cs="Times New Roman"/>
        </w:rPr>
        <w:t>ať alebo predávať nehnuteľnosti, zabezpečiť si pracovné miesta vo verejnom sektore a poberať dávky sociálneho zabezpečenia a pomoci;</w:t>
      </w:r>
    </w:p>
    <w:p w14:paraId="00000021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keďže doposiaľ bolo na Ukrajine zničených viac ako 1 330 kultúrnych a historických miest, z toho viac ako 110 národného roz</w:t>
      </w:r>
      <w:r>
        <w:rPr>
          <w:rFonts w:ascii="Times New Roman" w:eastAsia="Times New Roman" w:hAnsi="Times New Roman" w:cs="Times New Roman"/>
        </w:rPr>
        <w:t>meru, ako aj viac ako 2 000 kultúrnych inštitúcií, z ktorých 400 bolo zničených úplne, okrem útokov na pamiatky sú zdokumentované aj desiatky tisíc krádeží artefaktov z múzeí a kultúrnych inštitúcií, Ruská federácia systematicky zameriava na ukrajinské kul</w:t>
      </w:r>
      <w:r>
        <w:rPr>
          <w:rFonts w:ascii="Times New Roman" w:eastAsia="Times New Roman" w:hAnsi="Times New Roman" w:cs="Times New Roman"/>
        </w:rPr>
        <w:t>túrne, historické a umelecké dedičstvo v snahe poškodiť alebo úplne vymazať ukrajinskú kultúru a teda aj národ, pričom takéto útoky sú v rozpore s medzinárodným právom o ochrane kultúrneho majetku v čase vojny a predstavujú prvky genocídy nakoľko ich cieľo</w:t>
      </w:r>
      <w:r>
        <w:rPr>
          <w:rFonts w:ascii="Times New Roman" w:eastAsia="Times New Roman" w:hAnsi="Times New Roman" w:cs="Times New Roman"/>
        </w:rPr>
        <w:t>m je podkopať samotné základy ukrajinskej identity;</w:t>
      </w:r>
    </w:p>
    <w:p w14:paraId="00000022" w14:textId="77777777" w:rsidR="00B5493C" w:rsidRDefault="00B5493C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B5493C" w:rsidRDefault="008D29ED" w:rsidP="008D29ED">
      <w:pPr>
        <w:spacing w:before="24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Národná rada Slovenskej republiky</w:t>
      </w:r>
      <w:r>
        <w:rPr>
          <w:rFonts w:ascii="Times New Roman" w:eastAsia="Times New Roman" w:hAnsi="Times New Roman" w:cs="Times New Roman"/>
          <w:b/>
        </w:rPr>
        <w:br/>
      </w:r>
    </w:p>
    <w:p w14:paraId="00000024" w14:textId="77777777" w:rsidR="00B5493C" w:rsidRDefault="008D29E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ostro odsudzuje </w:t>
      </w:r>
    </w:p>
    <w:p w14:paraId="00000025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nevyprovokovanú, neodôvodnenú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a neoprávnenú vojenskú agresiu proti Ukrajine, ktorú Ruská federácia zahájila 24. februára 2022 a ktorá nebezpečným spôso</w:t>
      </w:r>
      <w:r>
        <w:rPr>
          <w:rFonts w:ascii="Times New Roman" w:eastAsia="Times New Roman" w:hAnsi="Times New Roman" w:cs="Times New Roman"/>
        </w:rPr>
        <w:t>bom podkopáva európsku a globálnu bezpečnosť a stabilitu a ohrozuje tým aj Slovenskú republiku;</w:t>
      </w:r>
    </w:p>
    <w:p w14:paraId="00000026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víta</w:t>
      </w:r>
    </w:p>
    <w:p w14:paraId="00000027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snahy o začatie mierových rokovaní, ktoré by mali imperatívne zahŕňať nielen Ukrajinu, ako obeť agresie, ale aj Európsku Úniu, ktorá s Ukrajinou susedí, od</w:t>
      </w:r>
      <w:r>
        <w:rPr>
          <w:rFonts w:ascii="Times New Roman" w:eastAsia="Times New Roman" w:hAnsi="Times New Roman" w:cs="Times New Roman"/>
        </w:rPr>
        <w:t xml:space="preserve"> napadnutia jej poskytuje pomoc a podporu, pričom sama pocítila dôsledky ruskej vojny na svojej ekonomickej situácii a chystá sa Ukrajinu začleniť do svojich štruktúr;</w:t>
      </w:r>
    </w:p>
    <w:p w14:paraId="00000028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žiada</w:t>
      </w:r>
    </w:p>
    <w:p w14:paraId="00000029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Ruskú federáciu, aby okamžite zastavila vojenské operácie a bezpodmienečne stiahla</w:t>
      </w:r>
      <w:r>
        <w:rPr>
          <w:rFonts w:ascii="Times New Roman" w:eastAsia="Times New Roman" w:hAnsi="Times New Roman" w:cs="Times New Roman"/>
        </w:rPr>
        <w:t xml:space="preserve"> všetky ozbrojené sily a vojenskú techniku z celého územia Ukrajiny, čo predstavuje základnú podmienku začatia rokovaní na ceste k čo najskoršiemu dosiahnutiu komplexného, spravodlivého a trvalého mieru pre Ukrajinu, založeného na kľúčových princípoch Char</w:t>
      </w:r>
      <w:r>
        <w:rPr>
          <w:rFonts w:ascii="Times New Roman" w:eastAsia="Times New Roman" w:hAnsi="Times New Roman" w:cs="Times New Roman"/>
        </w:rPr>
        <w:t>ty OSN;</w:t>
      </w:r>
    </w:p>
    <w:p w14:paraId="0000002A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odsudzuje </w:t>
      </w:r>
    </w:p>
    <w:p w14:paraId="0000002B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D.1 tragické straty na životoch, všetky formy násilia zo strany Ruskej federácie, vrátane hrubých porušení základných ľudských práv ako mučenie, hromadné popravy, využívanie sexuálneho násilia ako vojnovej zbrane, nútených zmiznutí, únos</w:t>
      </w:r>
      <w:r>
        <w:rPr>
          <w:rFonts w:ascii="Times New Roman" w:eastAsia="Times New Roman" w:hAnsi="Times New Roman" w:cs="Times New Roman"/>
        </w:rPr>
        <w:t>ov detí a s tým spojené ľudské utrpenie;</w:t>
      </w:r>
    </w:p>
    <w:p w14:paraId="0000002C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D.2 všetky rozsiahle škody na kritickej infraštruktúre, energetickej infraštruktúre, civilných aj verejných obydliach, budovách, kultúrnom a historickom dedičstve spôsobené agresiou, za ktorú nesie Ruská federácia p</w:t>
      </w:r>
      <w:r>
        <w:rPr>
          <w:rFonts w:ascii="Times New Roman" w:eastAsia="Times New Roman" w:hAnsi="Times New Roman" w:cs="Times New Roman"/>
        </w:rPr>
        <w:t xml:space="preserve">lnú zodpovednosť; </w:t>
      </w:r>
    </w:p>
    <w:p w14:paraId="0000002D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opakuje</w:t>
      </w:r>
    </w:p>
    <w:p w14:paraId="0000002E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E.1</w:t>
      </w:r>
      <w:r>
        <w:rPr>
          <w:rFonts w:ascii="Times New Roman" w:eastAsia="Times New Roman" w:hAnsi="Times New Roman" w:cs="Times New Roman"/>
        </w:rPr>
        <w:tab/>
        <w:t>že ruská vojenská agresia proti Ukrajine - nezávislému a suverénnemu štátu - je hrubým pošliapaním medzinárodného práva a princípov Charty OSN, Helsinského záverečného aktu, Budapeštianskeho memoranda, Parížskej Charty a Zákl</w:t>
      </w:r>
      <w:r>
        <w:rPr>
          <w:rFonts w:ascii="Times New Roman" w:eastAsia="Times New Roman" w:hAnsi="Times New Roman" w:cs="Times New Roman"/>
        </w:rPr>
        <w:t>adnej zmluvy NATO – Rusko;</w:t>
      </w:r>
    </w:p>
    <w:p w14:paraId="0000002F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svoju neochvejnú podporu pre nezávislosť, zvrchovanosť a územnú celistvosť Ukrajiny v rámci jej medzinárodne uznaných hraníc, pričom akákoľvek násilná zmena hraníc vytvára  medzinárodný precedens, ktorý je pre SR neakceptovateľný;</w:t>
      </w:r>
    </w:p>
    <w:p w14:paraId="00000030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podporuje</w:t>
      </w:r>
    </w:p>
    <w:p w14:paraId="00000031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F.1</w:t>
      </w:r>
      <w:r>
        <w:rPr>
          <w:rFonts w:ascii="Times New Roman" w:eastAsia="Times New Roman" w:hAnsi="Times New Roman" w:cs="Times New Roman"/>
        </w:rPr>
        <w:tab/>
        <w:t>snahu Ukraj</w:t>
      </w:r>
      <w:r>
        <w:rPr>
          <w:rFonts w:ascii="Times New Roman" w:eastAsia="Times New Roman" w:hAnsi="Times New Roman" w:cs="Times New Roman"/>
        </w:rPr>
        <w:t xml:space="preserve">iny o členstvo v Európskej Únii ako aj nutnosť bezpečnostných záruk, ktoré zaručia stabilitu a trvalý mier v regióne - Ukrajine aj Slovenskej republike; </w:t>
      </w:r>
    </w:p>
    <w:p w14:paraId="00000032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F.2</w:t>
      </w:r>
      <w:r>
        <w:rPr>
          <w:rFonts w:ascii="Times New Roman" w:eastAsia="Times New Roman" w:hAnsi="Times New Roman" w:cs="Times New Roman"/>
        </w:rPr>
        <w:tab/>
        <w:t>vytvorenie Špeciálneho tribunálu pre agresiu Ruska proti Ukrajine, aby prešetril a vyvodil zodpove</w:t>
      </w:r>
      <w:r>
        <w:rPr>
          <w:rFonts w:ascii="Times New Roman" w:eastAsia="Times New Roman" w:hAnsi="Times New Roman" w:cs="Times New Roman"/>
        </w:rPr>
        <w:t xml:space="preserve">dnosť za vojnové zločiny od anexie Krymu v 2014 po ukončenie invázie Ruska, ktorá začala v roku 2022; </w:t>
      </w:r>
    </w:p>
    <w:p w14:paraId="00000033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zdôrazňuje, </w:t>
      </w:r>
    </w:p>
    <w:p w14:paraId="00000034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G.1</w:t>
      </w:r>
      <w:r>
        <w:rPr>
          <w:rFonts w:ascii="Times New Roman" w:eastAsia="Times New Roman" w:hAnsi="Times New Roman" w:cs="Times New Roman"/>
        </w:rPr>
        <w:tab/>
        <w:t xml:space="preserve">že občania a občianky Slovenskej republiky sú aj naďalej solidárni so susedným ukrajinským národom a plne podporujú jeho právo slobodne </w:t>
      </w:r>
      <w:r>
        <w:rPr>
          <w:rFonts w:ascii="Times New Roman" w:eastAsia="Times New Roman" w:hAnsi="Times New Roman" w:cs="Times New Roman"/>
        </w:rPr>
        <w:t xml:space="preserve">si vybrať svet, v akom chcú pokojne žiť a prosperovať; </w:t>
      </w:r>
    </w:p>
    <w:p w14:paraId="00000035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G.2</w:t>
      </w:r>
      <w:r>
        <w:rPr>
          <w:rFonts w:ascii="Times New Roman" w:eastAsia="Times New Roman" w:hAnsi="Times New Roman" w:cs="Times New Roman"/>
        </w:rPr>
        <w:tab/>
        <w:t>že Slovenská republika má veľký záujem zapojiť sa do procesov medzinárodnej obnovy a rekonštrukcie Ukrajiny, ktoré predstavujú ekonomické možnosti pre slovenské firmy aj regióny;</w:t>
      </w:r>
    </w:p>
    <w:p w14:paraId="00000036" w14:textId="77777777" w:rsidR="00B5493C" w:rsidRDefault="008D29ED">
      <w:pPr>
        <w:numPr>
          <w:ilvl w:val="0"/>
          <w:numId w:val="1"/>
        </w:num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vyjadruje </w:t>
      </w:r>
    </w:p>
    <w:p w14:paraId="00000037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vďaku za obetu a hrdinstvo Ukrajiny, ktorá bojuje za hodnoty slobody, demokracie, politickej nezávislosti, štátnej suverenity a územnej celistvosti, ktoré sú kľúčové aj pre Slovensko; </w:t>
      </w:r>
    </w:p>
    <w:p w14:paraId="00000038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H.2</w:t>
      </w:r>
      <w:r>
        <w:rPr>
          <w:rFonts w:ascii="Times New Roman" w:eastAsia="Times New Roman" w:hAnsi="Times New Roman" w:cs="Times New Roman"/>
        </w:rPr>
        <w:tab/>
        <w:t>hrdosť na slovenských občanov a občianky, ktorí od začatia vojny po</w:t>
      </w:r>
      <w:r>
        <w:rPr>
          <w:rFonts w:ascii="Times New Roman" w:eastAsia="Times New Roman" w:hAnsi="Times New Roman" w:cs="Times New Roman"/>
        </w:rPr>
        <w:t>skytli pomoc a útočisko ukrajinským rodinám utekajúcim pred vojnou, potvrdzujúc dobrosrdečnosť a pohostinnosť nášho národa</w:t>
      </w:r>
    </w:p>
    <w:p w14:paraId="00000039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CH. vyzýva vládu Slovenskej republiky,</w:t>
      </w:r>
    </w:p>
    <w:p w14:paraId="0000003A" w14:textId="77777777" w:rsidR="00B5493C" w:rsidRDefault="008D29ED">
      <w:p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aby aj naďalej podporovala Ukrajinu v jej integračnom úsilí, poskytovala jej všestrannú p</w:t>
      </w:r>
      <w:r>
        <w:rPr>
          <w:rFonts w:ascii="Times New Roman" w:eastAsia="Times New Roman" w:hAnsi="Times New Roman" w:cs="Times New Roman"/>
        </w:rPr>
        <w:t>omoc a stála po jej boku počas mierových rokovaní, pretože od ich výsledku závisí aj bezpečnosť našej krajiny.</w:t>
      </w:r>
    </w:p>
    <w:p w14:paraId="0000003B" w14:textId="77777777" w:rsidR="00B5493C" w:rsidRDefault="008D29ED">
      <w:pPr>
        <w:spacing w:before="240" w:after="24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</w:p>
    <w:p w14:paraId="0000003C" w14:textId="77777777" w:rsidR="00B5493C" w:rsidRDefault="00B5493C">
      <w:pPr>
        <w:jc w:val="both"/>
        <w:rPr>
          <w:rFonts w:ascii="Times New Roman" w:eastAsia="Times New Roman" w:hAnsi="Times New Roman" w:cs="Times New Roman"/>
          <w:color w:val="1E1E1F"/>
          <w:highlight w:val="white"/>
        </w:rPr>
      </w:pPr>
    </w:p>
    <w:p w14:paraId="0000003D" w14:textId="77777777" w:rsidR="00B5493C" w:rsidRDefault="008D29E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5493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3C"/>
    <w:rsid w:val="008D29ED"/>
    <w:rsid w:val="00B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DCABD-F5E4-4A59-BC69-96DF6BC4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544B9F"/>
    <w:pPr>
      <w:ind w:left="720"/>
      <w:contextualSpacing/>
    </w:pPr>
  </w:style>
  <w:style w:type="character" w:customStyle="1" w:styleId="awspan">
    <w:name w:val="awspan"/>
    <w:basedOn w:val="Predvolenpsmoodseku"/>
    <w:rsid w:val="00AA775C"/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Tnj5YzKBb/a8bFWmRW5YBv9/w==">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8812</Characters>
  <Application>Microsoft Office Word</Application>
  <DocSecurity>0</DocSecurity>
  <Lines>73</Lines>
  <Paragraphs>20</Paragraphs>
  <ScaleCrop>false</ScaleCrop>
  <Company>Kancelária Národnej rady Slovenskej republiky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Jurik</dc:creator>
  <cp:lastModifiedBy>Jurík, Beáta, (asistent)</cp:lastModifiedBy>
  <cp:revision>3</cp:revision>
  <dcterms:created xsi:type="dcterms:W3CDTF">2025-02-17T13:31:00Z</dcterms:created>
  <dcterms:modified xsi:type="dcterms:W3CDTF">2025-02-24T10:09:00Z</dcterms:modified>
</cp:coreProperties>
</file>