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NÁRODNÁ RADA SLOVENSKEJ REPUBLIKY </w:t>
      </w:r>
    </w:p>
    <w:p w:rsidR="00000000" w:rsidDel="00000000" w:rsidP="00000000" w:rsidRDefault="00000000" w:rsidRPr="00000000" w14:paraId="00000002">
      <w:pPr>
        <w:pBdr>
          <w:bottom w:color="000000" w:space="3" w:sz="12" w:val="single"/>
        </w:pBdr>
        <w:jc w:val="center"/>
        <w:rPr/>
      </w:pPr>
      <w:r w:rsidDel="00000000" w:rsidR="00000000" w:rsidRPr="00000000">
        <w:rPr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Rule="auto"/>
        <w:jc w:val="center"/>
        <w:rPr/>
      </w:pPr>
      <w:r w:rsidDel="00000000" w:rsidR="00000000" w:rsidRPr="00000000">
        <w:rPr>
          <w:rtl w:val="0"/>
        </w:rPr>
        <w:t xml:space="preserve">Návrh </w:t>
      </w:r>
    </w:p>
    <w:p w:rsidR="00000000" w:rsidDel="00000000" w:rsidP="00000000" w:rsidRDefault="00000000" w:rsidRPr="00000000" w14:paraId="00000006">
      <w:pPr>
        <w:spacing w:before="12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0" w:lineRule="auto"/>
        <w:jc w:val="center"/>
        <w:rPr/>
      </w:pPr>
      <w:r w:rsidDel="00000000" w:rsidR="00000000" w:rsidRPr="00000000">
        <w:rPr>
          <w:b w:val="1"/>
          <w:smallCaps w:val="1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20" w:lineRule="auto"/>
        <w:jc w:val="center"/>
        <w:rPr/>
      </w:pPr>
      <w:r w:rsidDel="00000000" w:rsidR="00000000" w:rsidRPr="00000000">
        <w:rPr>
          <w:rtl w:val="0"/>
        </w:rPr>
        <w:t xml:space="preserve">z ... 2025,</w:t>
      </w:r>
    </w:p>
    <w:p w:rsidR="00000000" w:rsidDel="00000000" w:rsidP="00000000" w:rsidRDefault="00000000" w:rsidRPr="00000000" w14:paraId="0000000A">
      <w:pPr>
        <w:spacing w:before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ktorým sa mení a dopĺňa zákon č. 279/2024 Z. z. o dani z finančných transakcií a o zmene a doplnení niektorých zákonov v znení neskorších predpisov a ktorým sa menia niektoré zákony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</w:t>
      </w:r>
    </w:p>
    <w:p w:rsidR="00000000" w:rsidDel="00000000" w:rsidP="00000000" w:rsidRDefault="00000000" w:rsidRPr="00000000" w14:paraId="0000001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Zákon č. 279/2024 Z. z. o dani z finančných transakcií a o zmene a doplnení niektorých zákonov v znení zákona č. 354/2024 Z. z. a </w:t>
      </w:r>
      <w:r w:rsidDel="00000000" w:rsidR="00000000" w:rsidRPr="00000000">
        <w:rPr>
          <w:rtl w:val="0"/>
        </w:rPr>
        <w:t xml:space="preserve">zákona č. .../2025 Z. z.</w:t>
      </w:r>
      <w:r w:rsidDel="00000000" w:rsidR="00000000" w:rsidRPr="00000000">
        <w:rPr>
          <w:rtl w:val="0"/>
        </w:rPr>
        <w:t xml:space="preserve"> sa mení a dopĺňa takto: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 čl. I sa vypúšťajú § 1 až 13.</w:t>
      </w:r>
    </w:p>
    <w:p w:rsidR="00000000" w:rsidDel="00000000" w:rsidP="00000000" w:rsidRDefault="00000000" w:rsidRPr="00000000" w14:paraId="00000015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Poznámky pod čiarou k odkazom 1 až 31 sa vypúšťajú.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 čl. I sa za § 13 vkladá § 14, ktorý vrátane nadpisu znie: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„§ 14</w:t>
      </w:r>
    </w:p>
    <w:p w:rsidR="00000000" w:rsidDel="00000000" w:rsidP="00000000" w:rsidRDefault="00000000" w:rsidRPr="00000000" w14:paraId="0000001B">
      <w:pPr>
        <w:ind w:left="720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Prechodné ustanovenie k úprave účinnej od 15. apríla 2025</w:t>
      </w:r>
    </w:p>
    <w:p w:rsidR="00000000" w:rsidDel="00000000" w:rsidP="00000000" w:rsidRDefault="00000000" w:rsidRPr="00000000" w14:paraId="0000001C">
      <w:pPr>
        <w:ind w:left="720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jc w:val="both"/>
        <w:rPr/>
      </w:pPr>
      <w:r w:rsidDel="00000000" w:rsidR="00000000" w:rsidRPr="00000000">
        <w:rPr>
          <w:highlight w:val="white"/>
          <w:rtl w:val="0"/>
        </w:rPr>
        <w:t xml:space="preserve">Daň odvedenú podľa zákona účinného do 14. apríla 2025 je správca dane povinný započítať na úhradu najbližšej daňovej povinnosti daňovníka alebo na základe žiadosti daňovníka vrátiť.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Na postup správcu dane pri vrátení dane odvedenej podľa zákona účinného do 14. apríla 2025 na základe žiadosti daňovníka sa použijú ustanovenia osobitného predpisu.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Prvá veta sa nepoužije, ak bola suma dane odvedenej podľa zákona účinného do 14. apríla 2025 použitá na úhradu iných pohľadávok daňovníka podľa osobitného predpisu.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highlight w:val="white"/>
          <w:rtl w:val="0"/>
        </w:rPr>
        <w:t xml:space="preserve">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Poznámky pod čiarou k odkazom 1 a 2 znejú:</w:t>
      </w:r>
    </w:p>
    <w:p w:rsidR="00000000" w:rsidDel="00000000" w:rsidP="00000000" w:rsidRDefault="00000000" w:rsidRPr="00000000" w14:paraId="00000020">
      <w:pPr>
        <w:ind w:left="720" w:firstLine="0"/>
        <w:jc w:val="both"/>
        <w:rPr/>
      </w:pPr>
      <w:r w:rsidDel="00000000" w:rsidR="00000000" w:rsidRPr="00000000">
        <w:rPr>
          <w:highlight w:val="white"/>
          <w:rtl w:val="0"/>
        </w:rPr>
        <w:t xml:space="preserve">„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) § 79 zákona č. 563/2009 Z. z. o správe daní (daňový poriadok) a o zmene a doplnení niektorých zákonov v znení neskorších predpisov.</w:t>
      </w:r>
    </w:p>
    <w:p w:rsidR="00000000" w:rsidDel="00000000" w:rsidP="00000000" w:rsidRDefault="00000000" w:rsidRPr="00000000" w14:paraId="00000021">
      <w:pPr>
        <w:ind w:left="720" w:firstLine="0"/>
        <w:jc w:val="both"/>
        <w:rPr/>
      </w:pP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 § 55 ods. 6 a 7 zákona č. 563/2009 Z. z. v znení neskorších predpisov</w:t>
      </w:r>
      <w:r w:rsidDel="00000000" w:rsidR="00000000" w:rsidRPr="00000000">
        <w:rPr>
          <w:highlight w:val="white"/>
          <w:rtl w:val="0"/>
        </w:rPr>
        <w:t xml:space="preserve">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</w:t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315/2023 Z. z., zákona č. 508/2023 Z. z., zákona č. 530/2023 Z. z., zákona č. 46/2024 Z. z., zákona č. 87/2024 Z. z., zákona č. 248/2024 Z. z., zákona č. 278/2024 Z. z., zákona č. 279/2024 Z. z., zákona č. 355/2024 Z. z. a zákona č. .../2025 Z. z. sa mení takto: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425.19685039370086" w:firstLine="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V § 19 ods. 3 písm. j) sa za slovom </w:t>
      </w:r>
      <w:r w:rsidDel="00000000" w:rsidR="00000000" w:rsidRPr="00000000">
        <w:rPr>
          <w:highlight w:val="white"/>
          <w:rtl w:val="0"/>
        </w:rPr>
        <w:t xml:space="preserve">„</w:t>
      </w:r>
      <w:r w:rsidDel="00000000" w:rsidR="00000000" w:rsidRPr="00000000">
        <w:rPr>
          <w:rtl w:val="0"/>
        </w:rPr>
        <w:t xml:space="preserve">príjmov</w:t>
      </w:r>
      <w:r w:rsidDel="00000000" w:rsidR="00000000" w:rsidRPr="00000000">
        <w:rPr>
          <w:highlight w:val="white"/>
          <w:rtl w:val="0"/>
        </w:rPr>
        <w:t xml:space="preserve">“</w:t>
      </w:r>
      <w:r w:rsidDel="00000000" w:rsidR="00000000" w:rsidRPr="00000000">
        <w:rPr>
          <w:rtl w:val="0"/>
        </w:rPr>
        <w:t xml:space="preserve"> vypúšťa čiarka a slová </w:t>
      </w:r>
      <w:r w:rsidDel="00000000" w:rsidR="00000000" w:rsidRPr="00000000">
        <w:rPr>
          <w:highlight w:val="white"/>
          <w:rtl w:val="0"/>
        </w:rPr>
        <w:t xml:space="preserve">„daň z finančných transakcií</w:t>
      </w:r>
      <w:r w:rsidDel="00000000" w:rsidR="00000000" w:rsidRPr="00000000">
        <w:rPr>
          <w:vertAlign w:val="superscript"/>
          <w:rtl w:val="0"/>
        </w:rPr>
        <w:t xml:space="preserve">90ad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highlight w:val="white"/>
          <w:rtl w:val="0"/>
        </w:rPr>
        <w:t xml:space="preserve">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425.1968503937008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425.19685039370086" w:firstLine="0"/>
        <w:jc w:val="both"/>
        <w:rPr/>
      </w:pPr>
      <w:r w:rsidDel="00000000" w:rsidR="00000000" w:rsidRPr="00000000">
        <w:rPr>
          <w:rtl w:val="0"/>
        </w:rPr>
        <w:t xml:space="preserve">Poznámka pod čiarou k odkazu 90ad sa vypúšťa.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III </w:t>
      </w:r>
    </w:p>
    <w:p w:rsidR="00000000" w:rsidDel="00000000" w:rsidP="00000000" w:rsidRDefault="00000000" w:rsidRPr="00000000" w14:paraId="0000002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bookmarkStart w:colFirst="0" w:colLast="0" w:name="_heading=h.3rdcrjn" w:id="0"/>
      <w:bookmarkEnd w:id="0"/>
      <w:r w:rsidDel="00000000" w:rsidR="00000000" w:rsidRPr="00000000">
        <w:rPr>
          <w:rtl w:val="0"/>
        </w:rPr>
        <w:t xml:space="preserve">Zákon č. 563/2009 Z. z. o správe daní (daňový poriadok) a o zmene a doplnení niektorých zákonov v 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z., zákona č. 435/2013 Z. z., zákona č. 213/2014 Z. z., zákona č. 218/2014 Z. z., zákona č. 333/2014 Z. z., zákona č. 361/2014 Z. z., zákona č. 130/2015 Z. z., zákona č. 176/2015 Z. z., zákona č. 252/2015 Z. z., zákona č. 269/2015 Z. z., zákona č. 393/2015 Z. z., zákona č. 447/2015 Z. z., zákona č. 125/2016 Z. z., zákona č. 298/2016 Z. z., zákona č. 339/2016 Z. z., zákona č. 267/2017 Z. z., zákona č. 344/2017 Z. z., zákona č. 177/2018 Z. z., zákona č. 213/2018 Z. z., zákona č. 368/2018 Z. z., zákona č. 35/2019 Z. z., zákona č. 221/2019 Z. z., zákona č. 369/2019 Z. z., zákona č. 390/2019 Z. z., zákona č. 46/2020 Z. z., zákona č. 198/2020 Z. z., zákona č. 296/2020 Z. z., zákona č. 312/2020 Z. z., zákona č. 416/2020 Z. z., zákona č. 421/2020 Z. z., zákona č. 45/2021 Z. z., 395/2021 Z. z., zákona č. 408/2021 Z. z. zákona č. 39/2022 Z. z., zákona č. 250/2022 Z. z., zákona č. 325/2022 Z. z., zákona č. 395/2022 Z. z., zákona č. 433/2022 Z. z., zákona č. 496/2022 Z. z., zákona č. 519/2022 Z. z., zákona č. 59/2023 Z. z., zákona č. 507/2023 Z. z., zákona č. 508/2023 Z. z., zákona č. 87/2024 Z. z., zákona č. 102/2024 Z. z., zákona č. 251/2024 Z. z. a zákona č. 279/2024 Z. z. sa mení takto: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 poznámke pod čiarou k odkazu 1 sa vypúšťa citácia: „Zákon č. 279/2024 Z. z. o dani z finančných transakcií a o zmene a doplnení niektorých zákonov.“.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IV</w:t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Tento zákon nadobúda účinnosť </w:t>
      </w:r>
      <w:r w:rsidDel="00000000" w:rsidR="00000000" w:rsidRPr="00000000">
        <w:rPr>
          <w:rtl w:val="0"/>
        </w:rPr>
        <w:t xml:space="preserve">15. apríla 2025</w:t>
      </w:r>
      <w:r w:rsidDel="00000000" w:rsidR="00000000" w:rsidRPr="00000000">
        <w:rPr>
          <w:rtl w:val="0"/>
        </w:rPr>
        <w:t xml:space="preserve">. </w:t>
      </w:r>
    </w:p>
    <w:sectPr>
      <w:footerReference r:id="rId7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533F89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PtaChar" w:customStyle="1">
    <w:name w:val="Päta Char"/>
    <w:basedOn w:val="Predvolenpsmoodseku"/>
    <w:link w:val="Pta"/>
    <w:uiPriority w:val="99"/>
    <w:qFormat w:val="1"/>
    <w:rsid w:val="00905FD0"/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"/>
    <w:basedOn w:val="Normlny"/>
    <w:link w:val="OdsekzoznamuChar"/>
    <w:uiPriority w:val="34"/>
    <w:qFormat w:val="1"/>
    <w:rsid w:val="00905FD0"/>
    <w:pPr>
      <w:suppressAutoHyphens w:val="1"/>
      <w:ind w:left="708"/>
    </w:pPr>
    <w:rPr>
      <w:rFonts w:ascii="Arial" w:hAnsi="Arial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 w:val="1"/>
    <w:rsid w:val="00905FD0"/>
    <w:pPr>
      <w:tabs>
        <w:tab w:val="center" w:pos="4536"/>
        <w:tab w:val="right" w:pos="9072"/>
      </w:tabs>
      <w:suppressAutoHyphens w:val="1"/>
    </w:pPr>
    <w:rPr>
      <w:rFonts w:asciiTheme="minorHAnsi" w:cstheme="minorBidi" w:eastAsiaTheme="minorHAnsi" w:hAnsiTheme="minorHAnsi"/>
      <w:lang w:eastAsia="en-US"/>
    </w:rPr>
  </w:style>
  <w:style w:type="character" w:styleId="PtaChar1" w:customStyle="1">
    <w:name w:val="Päta Char1"/>
    <w:basedOn w:val="Predvolenpsmoodseku"/>
    <w:uiPriority w:val="99"/>
    <w:semiHidden w:val="1"/>
    <w:rsid w:val="00905FD0"/>
    <w:rPr>
      <w:sz w:val="22"/>
      <w:szCs w:val="22"/>
    </w:rPr>
  </w:style>
  <w:style w:type="paragraph" w:styleId="Bezriadkovania">
    <w:name w:val="No Spacing"/>
    <w:uiPriority w:val="1"/>
    <w:qFormat w:val="1"/>
    <w:rsid w:val="00905FD0"/>
    <w:rPr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905FD0"/>
    <w:pPr>
      <w:widowControl w:val="0"/>
      <w:autoSpaceDE w:val="0"/>
      <w:autoSpaceDN w:val="0"/>
      <w:adjustRightInd w:val="0"/>
      <w:jc w:val="both"/>
    </w:pPr>
    <w:rPr>
      <w:lang w:eastAsia="cs-CZ"/>
    </w:rPr>
  </w:style>
  <w:style w:type="character" w:styleId="ZkladntextChar" w:customStyle="1">
    <w:name w:val="Základný text Char"/>
    <w:basedOn w:val="Predvolenpsmoodseku"/>
    <w:link w:val="Zkladntext"/>
    <w:uiPriority w:val="99"/>
    <w:rsid w:val="00905FD0"/>
    <w:rPr>
      <w:rFonts w:ascii="Times New Roman" w:cs="Times New Roman" w:eastAsia="Times New Roman" w:hAnsi="Times New Roman"/>
      <w:lang w:eastAsia="cs-CZ"/>
    </w:rPr>
  </w:style>
  <w:style w:type="paragraph" w:styleId="Default" w:customStyle="1">
    <w:name w:val="Default"/>
    <w:uiPriority w:val="99"/>
    <w:rsid w:val="00905FD0"/>
    <w:pPr>
      <w:widowControl w:val="0"/>
      <w:autoSpaceDE w:val="0"/>
      <w:autoSpaceDN w:val="0"/>
      <w:adjustRightInd w:val="0"/>
    </w:pPr>
    <w:rPr>
      <w:rFonts w:ascii="Liberation Serif" w:cs="Liberation Serif" w:hAnsi="Liberation Serif"/>
      <w:color w:val="000000"/>
      <w:kern w:val="2"/>
      <w:lang w:bidi="hi-IN"/>
    </w:rPr>
  </w:style>
  <w:style w:type="character" w:styleId="Hypertextovprepojenie">
    <w:name w:val="Hyperlink"/>
    <w:basedOn w:val="Predvolenpsmoodseku"/>
    <w:uiPriority w:val="99"/>
    <w:rsid w:val="00905FD0"/>
    <w:rPr>
      <w:rFonts w:cs="Times New Roman"/>
      <w:color w:val="0000ff"/>
      <w:u w:val="single"/>
      <w:rtl w:val="0"/>
      <w:cs w:val="0"/>
    </w:rPr>
  </w:style>
  <w:style w:type="paragraph" w:styleId="Revzia">
    <w:name w:val="Revision"/>
    <w:hidden w:val="1"/>
    <w:uiPriority w:val="99"/>
    <w:semiHidden w:val="1"/>
    <w:rsid w:val="00E16FC4"/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BA12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 w:val="1"/>
    <w:rsid w:val="00BA123F"/>
    <w:pPr>
      <w:suppressAutoHyphens w:val="1"/>
      <w:spacing w:after="160"/>
    </w:pPr>
    <w:rPr>
      <w:rFonts w:asciiTheme="minorHAnsi" w:cstheme="minorBidi" w:eastAsiaTheme="minorHAnsi" w:hAnsiTheme="minorHAnsi"/>
      <w:sz w:val="20"/>
      <w:szCs w:val="20"/>
      <w:lang w:eastAsia="en-US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BA12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BA123F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BA123F"/>
    <w:rPr>
      <w:b w:val="1"/>
      <w:bCs w:val="1"/>
      <w:sz w:val="20"/>
      <w:szCs w:val="20"/>
    </w:rPr>
  </w:style>
  <w:style w:type="character" w:styleId="Nevyrieenzmienka">
    <w:name w:val="Unresolved Mention"/>
    <w:basedOn w:val="Predvolenpsmoodseku"/>
    <w:uiPriority w:val="99"/>
    <w:semiHidden w:val="1"/>
    <w:unhideWhenUsed w:val="1"/>
    <w:rsid w:val="006175E8"/>
    <w:rPr>
      <w:color w:val="605e5c"/>
      <w:shd w:color="auto" w:fill="e1dfdd" w:val="clear"/>
    </w:rPr>
  </w:style>
  <w:style w:type="character" w:styleId="OdsekzoznamuChar" w:customStyle="1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"/>
    <w:link w:val="Odsekzoznamu"/>
    <w:uiPriority w:val="34"/>
    <w:locked w:val="1"/>
    <w:rsid w:val="00324393"/>
    <w:rPr>
      <w:rFonts w:ascii="Arial" w:cs="Times New Roman" w:eastAsia="Times New Roman" w:hAnsi="Arial"/>
      <w:szCs w:val="20"/>
      <w:lang w:eastAsia="cs-CZ"/>
    </w:rPr>
  </w:style>
  <w:style w:type="table" w:styleId="Mriekatabuky">
    <w:name w:val="Table Grid"/>
    <w:basedOn w:val="Normlnatabuka"/>
    <w:uiPriority w:val="59"/>
    <w:rsid w:val="00324393"/>
    <w:rPr>
      <w:rFonts w:ascii="Arial Narrow" w:hAnsi="Arial Narrow"/>
      <w:sz w:val="22"/>
      <w:szCs w:val="36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uitHypertextovPrepojenie">
    <w:name w:val="FollowedHyperlink"/>
    <w:basedOn w:val="Predvolenpsmoodseku"/>
    <w:uiPriority w:val="99"/>
    <w:semiHidden w:val="1"/>
    <w:unhideWhenUsed w:val="1"/>
    <w:rsid w:val="00C15A39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 w:val="1"/>
    <w:unhideWhenUsed w:val="1"/>
    <w:rsid w:val="00533F89"/>
    <w:pPr>
      <w:spacing w:after="100" w:afterAutospacing="1" w:before="100" w:beforeAutospacing="1"/>
    </w:pPr>
  </w:style>
  <w:style w:type="numbering" w:styleId="Aktulnyzoznam1" w:customStyle="1">
    <w:name w:val="Aktuálny zoznam1"/>
    <w:uiPriority w:val="99"/>
    <w:rsid w:val="00BC403A"/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+F2UvBqpXynXHHqhIju3dDtfDg==">CgMxLjAyCWguM3JkY3JqbjgAciExQUpaQkRZYnFqLURoeElZNGZnSVhnamc3V2JMbnE2TmU=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2024-11-04T11:39:00Z</dcterms:created>
  <dc:creator>Dáša Blašková</dc:creator>
</cp:coreProperties>
</file>