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                         Výbor</w:t>
      </w:r>
    </w:p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Národnej rady Slovenskej republiky</w:t>
      </w:r>
    </w:p>
    <w:p w:rsidR="0024644B" w:rsidRPr="00C90861" w:rsidRDefault="0024644B" w:rsidP="0024644B">
      <w:pPr>
        <w:rPr>
          <w:szCs w:val="24"/>
        </w:rPr>
      </w:pPr>
      <w:r w:rsidRPr="00043307">
        <w:rPr>
          <w:b/>
          <w:bCs/>
          <w:i/>
          <w:szCs w:val="24"/>
        </w:rPr>
        <w:t xml:space="preserve">pre verejnú správu a regionálny rozvoj </w:t>
      </w:r>
      <w:r w:rsidRPr="00043307">
        <w:rPr>
          <w:szCs w:val="24"/>
        </w:rPr>
        <w:t xml:space="preserve">                                                                                                            </w:t>
      </w:r>
    </w:p>
    <w:p w:rsidR="0024644B" w:rsidRPr="00043307" w:rsidRDefault="0024644B" w:rsidP="004735E0">
      <w:pPr>
        <w:jc w:val="right"/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</w:t>
      </w:r>
      <w:r>
        <w:rPr>
          <w:szCs w:val="24"/>
        </w:rPr>
        <w:t xml:space="preserve">                     </w:t>
      </w:r>
      <w:r w:rsidR="004D31DF">
        <w:rPr>
          <w:szCs w:val="24"/>
        </w:rPr>
        <w:t>30</w:t>
      </w:r>
      <w:r w:rsidRPr="00043307">
        <w:rPr>
          <w:szCs w:val="24"/>
        </w:rPr>
        <w:t xml:space="preserve">. schôdza výboru                                                                                                     </w:t>
      </w:r>
    </w:p>
    <w:p w:rsidR="0024644B" w:rsidRPr="00043307" w:rsidRDefault="0024644B" w:rsidP="004735E0">
      <w:pPr>
        <w:ind w:left="2832" w:firstLine="708"/>
        <w:jc w:val="right"/>
        <w:rPr>
          <w:b/>
          <w:szCs w:val="24"/>
        </w:rPr>
      </w:pPr>
      <w:r w:rsidRPr="00043307">
        <w:rPr>
          <w:szCs w:val="24"/>
        </w:rPr>
        <w:t xml:space="preserve">     </w:t>
      </w:r>
      <w:r>
        <w:rPr>
          <w:szCs w:val="24"/>
        </w:rPr>
        <w:t xml:space="preserve">                                Čí</w:t>
      </w:r>
      <w:r w:rsidR="00761687">
        <w:rPr>
          <w:szCs w:val="24"/>
        </w:rPr>
        <w:t xml:space="preserve">slo: </w:t>
      </w:r>
      <w:r w:rsidR="004D31DF" w:rsidRPr="004D31DF">
        <w:rPr>
          <w:szCs w:val="24"/>
        </w:rPr>
        <w:t>KNR-VSRR-3789/2025</w:t>
      </w:r>
      <w:r w:rsidR="00761687">
        <w:rPr>
          <w:szCs w:val="24"/>
        </w:rPr>
        <w:t>-</w:t>
      </w:r>
      <w:r w:rsidR="00326F7C">
        <w:rPr>
          <w:szCs w:val="24"/>
        </w:rPr>
        <w:t>3</w:t>
      </w:r>
    </w:p>
    <w:p w:rsidR="0024644B" w:rsidRPr="00043307" w:rsidRDefault="0024644B" w:rsidP="0024644B">
      <w:pPr>
        <w:jc w:val="center"/>
        <w:rPr>
          <w:b/>
          <w:szCs w:val="24"/>
        </w:rPr>
      </w:pPr>
    </w:p>
    <w:p w:rsidR="0024644B" w:rsidRDefault="0024644B" w:rsidP="0024644B">
      <w:pPr>
        <w:jc w:val="center"/>
        <w:rPr>
          <w:b/>
          <w:szCs w:val="24"/>
        </w:rPr>
      </w:pPr>
    </w:p>
    <w:p w:rsidR="0024644B" w:rsidRDefault="0024644B" w:rsidP="0024644B">
      <w:pPr>
        <w:jc w:val="center"/>
        <w:rPr>
          <w:b/>
          <w:szCs w:val="24"/>
        </w:rPr>
      </w:pPr>
    </w:p>
    <w:p w:rsidR="004735E0" w:rsidRPr="00DC5AD4" w:rsidRDefault="00DC5AD4" w:rsidP="002464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C5AD4">
        <w:rPr>
          <w:b/>
          <w:sz w:val="28"/>
          <w:szCs w:val="28"/>
        </w:rPr>
        <w:t>99</w:t>
      </w:r>
    </w:p>
    <w:p w:rsidR="00117DED" w:rsidRPr="004735E0" w:rsidRDefault="00117DED" w:rsidP="0024644B">
      <w:pPr>
        <w:jc w:val="center"/>
        <w:rPr>
          <w:b/>
          <w:i/>
          <w:sz w:val="28"/>
          <w:szCs w:val="28"/>
        </w:rPr>
      </w:pPr>
    </w:p>
    <w:p w:rsidR="0024644B" w:rsidRDefault="0024644B" w:rsidP="0024644B">
      <w:pPr>
        <w:jc w:val="center"/>
        <w:rPr>
          <w:b/>
          <w:szCs w:val="24"/>
        </w:rPr>
      </w:pPr>
      <w:r w:rsidRPr="00043307">
        <w:rPr>
          <w:b/>
          <w:szCs w:val="24"/>
        </w:rPr>
        <w:t>U z n e s e n i</w:t>
      </w:r>
      <w:r w:rsidR="00117DED">
        <w:rPr>
          <w:b/>
          <w:szCs w:val="24"/>
        </w:rPr>
        <w:t> </w:t>
      </w:r>
      <w:r w:rsidRPr="00043307">
        <w:rPr>
          <w:b/>
          <w:szCs w:val="24"/>
        </w:rPr>
        <w:t>e</w:t>
      </w:r>
    </w:p>
    <w:p w:rsidR="00117DED" w:rsidRPr="00043307" w:rsidRDefault="00117DED" w:rsidP="0024644B">
      <w:pPr>
        <w:jc w:val="center"/>
        <w:rPr>
          <w:b/>
          <w:szCs w:val="24"/>
        </w:rPr>
      </w:pPr>
    </w:p>
    <w:p w:rsidR="0024644B" w:rsidRPr="00043307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Výboru Národnej rady Slovenskej republiky</w:t>
      </w:r>
    </w:p>
    <w:p w:rsidR="0024644B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pre verejnú správu a regionálny rozvoj</w:t>
      </w:r>
    </w:p>
    <w:p w:rsidR="00117DED" w:rsidRPr="00043307" w:rsidRDefault="00117DED" w:rsidP="0024644B">
      <w:pPr>
        <w:jc w:val="center"/>
        <w:rPr>
          <w:b/>
          <w:szCs w:val="24"/>
        </w:rPr>
      </w:pPr>
    </w:p>
    <w:p w:rsidR="0024644B" w:rsidRPr="00043307" w:rsidRDefault="00761687" w:rsidP="0024644B">
      <w:pPr>
        <w:jc w:val="center"/>
        <w:rPr>
          <w:b/>
          <w:szCs w:val="24"/>
        </w:rPr>
      </w:pPr>
      <w:r>
        <w:rPr>
          <w:b/>
          <w:szCs w:val="24"/>
        </w:rPr>
        <w:t>z </w:t>
      </w:r>
      <w:r w:rsidR="004D31DF">
        <w:rPr>
          <w:b/>
          <w:szCs w:val="24"/>
        </w:rPr>
        <w:t>5</w:t>
      </w:r>
      <w:r w:rsidR="0024644B" w:rsidRPr="00043307">
        <w:rPr>
          <w:b/>
          <w:szCs w:val="24"/>
        </w:rPr>
        <w:t xml:space="preserve">. </w:t>
      </w:r>
      <w:r w:rsidR="00911F08">
        <w:rPr>
          <w:b/>
          <w:szCs w:val="24"/>
        </w:rPr>
        <w:t>februára</w:t>
      </w:r>
      <w:r w:rsidR="004735E0">
        <w:rPr>
          <w:b/>
          <w:szCs w:val="24"/>
        </w:rPr>
        <w:t xml:space="preserve"> </w:t>
      </w:r>
      <w:r w:rsidR="0024644B" w:rsidRPr="00043307">
        <w:rPr>
          <w:b/>
          <w:szCs w:val="24"/>
        </w:rPr>
        <w:t>202</w:t>
      </w:r>
      <w:r w:rsidR="004735E0">
        <w:rPr>
          <w:b/>
          <w:szCs w:val="24"/>
        </w:rPr>
        <w:t>5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>
        <w:rPr>
          <w:szCs w:val="24"/>
        </w:rPr>
        <w:t xml:space="preserve">k </w:t>
      </w:r>
      <w:r w:rsidR="00F24120">
        <w:rPr>
          <w:szCs w:val="24"/>
        </w:rPr>
        <w:t>v</w:t>
      </w:r>
      <w:r w:rsidR="00F24120" w:rsidRPr="00F24120">
        <w:rPr>
          <w:szCs w:val="24"/>
        </w:rPr>
        <w:t>ládn</w:t>
      </w:r>
      <w:r w:rsidR="00F24120">
        <w:rPr>
          <w:szCs w:val="24"/>
        </w:rPr>
        <w:t>emu</w:t>
      </w:r>
      <w:r w:rsidR="00F24120" w:rsidRPr="00F24120">
        <w:rPr>
          <w:szCs w:val="24"/>
        </w:rPr>
        <w:t xml:space="preserve"> návrh</w:t>
      </w:r>
      <w:r w:rsidR="004D31DF">
        <w:rPr>
          <w:szCs w:val="24"/>
        </w:rPr>
        <w:t>u</w:t>
      </w:r>
      <w:r w:rsidR="00F24120" w:rsidRPr="00F24120">
        <w:rPr>
          <w:szCs w:val="24"/>
        </w:rPr>
        <w:t xml:space="preserve"> </w:t>
      </w:r>
      <w:r w:rsidR="004D31DF" w:rsidRPr="004D31DF">
        <w:rPr>
          <w:szCs w:val="24"/>
        </w:rPr>
        <w:t xml:space="preserve">zákona o zmene a doplnení niektorých zákonov v súvislosti so zmenami vyvolanými Stavebným zákonom </w:t>
      </w:r>
      <w:r w:rsidR="00F24120">
        <w:rPr>
          <w:szCs w:val="24"/>
        </w:rPr>
        <w:t xml:space="preserve">(tlač </w:t>
      </w:r>
      <w:r w:rsidR="004D31DF">
        <w:rPr>
          <w:szCs w:val="24"/>
        </w:rPr>
        <w:t>701</w:t>
      </w:r>
      <w:r w:rsidR="00F24120">
        <w:rPr>
          <w:szCs w:val="24"/>
        </w:rPr>
        <w:t>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Výbor Národnej rady Slovenskej republiky pre verejnú správu a regionálny rozvoj 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Default="0024644B" w:rsidP="0024644B">
      <w:pPr>
        <w:pStyle w:val="Zkladntext2"/>
        <w:spacing w:after="0" w:line="240" w:lineRule="auto"/>
        <w:ind w:firstLine="708"/>
        <w:rPr>
          <w:b/>
          <w:bCs/>
        </w:rPr>
      </w:pPr>
      <w:r w:rsidRPr="00043307">
        <w:rPr>
          <w:b/>
          <w:bCs/>
        </w:rPr>
        <w:t xml:space="preserve">A.  </w:t>
      </w:r>
      <w:r w:rsidR="00117DED">
        <w:rPr>
          <w:b/>
          <w:bCs/>
        </w:rPr>
        <w:t xml:space="preserve"> </w:t>
      </w:r>
      <w:r w:rsidRPr="00043307">
        <w:rPr>
          <w:b/>
          <w:bCs/>
        </w:rPr>
        <w:t>s ú h l a s</w:t>
      </w:r>
      <w:r w:rsidR="004735E0">
        <w:rPr>
          <w:b/>
          <w:bCs/>
        </w:rPr>
        <w:t> </w:t>
      </w:r>
      <w:r w:rsidRPr="00043307">
        <w:rPr>
          <w:b/>
          <w:bCs/>
        </w:rPr>
        <w:t>í</w:t>
      </w:r>
    </w:p>
    <w:p w:rsidR="004735E0" w:rsidRDefault="004735E0" w:rsidP="0024644B">
      <w:pPr>
        <w:pStyle w:val="Zkladntext2"/>
        <w:spacing w:after="0" w:line="240" w:lineRule="auto"/>
        <w:ind w:firstLine="708"/>
        <w:rPr>
          <w:b/>
          <w:bCs/>
        </w:rPr>
      </w:pPr>
    </w:p>
    <w:p w:rsidR="0024644B" w:rsidRPr="00043307" w:rsidRDefault="0024644B" w:rsidP="0024644B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s</w:t>
      </w:r>
      <w:r w:rsidR="00F24120">
        <w:rPr>
          <w:b/>
          <w:bCs/>
          <w:szCs w:val="24"/>
        </w:rPr>
        <w:t> </w:t>
      </w:r>
      <w:r w:rsidR="00F24120">
        <w:rPr>
          <w:szCs w:val="24"/>
        </w:rPr>
        <w:t>v</w:t>
      </w:r>
      <w:r w:rsidR="00F24120" w:rsidRPr="00F24120">
        <w:rPr>
          <w:szCs w:val="24"/>
        </w:rPr>
        <w:t>ládn</w:t>
      </w:r>
      <w:r w:rsidR="00F24120">
        <w:rPr>
          <w:szCs w:val="24"/>
        </w:rPr>
        <w:t xml:space="preserve">ym </w:t>
      </w:r>
      <w:r w:rsidR="00F24120" w:rsidRPr="00F24120">
        <w:rPr>
          <w:szCs w:val="24"/>
        </w:rPr>
        <w:t>návrh</w:t>
      </w:r>
      <w:r w:rsidR="00F24120">
        <w:rPr>
          <w:szCs w:val="24"/>
        </w:rPr>
        <w:t>om</w:t>
      </w:r>
      <w:r w:rsidR="00F24120" w:rsidRPr="00F24120">
        <w:rPr>
          <w:szCs w:val="24"/>
        </w:rPr>
        <w:t xml:space="preserve"> </w:t>
      </w:r>
      <w:r w:rsidR="004D31DF" w:rsidRPr="004D31DF">
        <w:rPr>
          <w:szCs w:val="24"/>
        </w:rPr>
        <w:t xml:space="preserve">zákona o zmene a doplnení niektorých zákonov v súvislosti so zmenami vyvolanými Stavebným zákonom </w:t>
      </w:r>
      <w:r w:rsidR="00F24120">
        <w:rPr>
          <w:szCs w:val="24"/>
        </w:rPr>
        <w:t xml:space="preserve">(tlač </w:t>
      </w:r>
      <w:r w:rsidR="004D31DF">
        <w:rPr>
          <w:szCs w:val="24"/>
        </w:rPr>
        <w:t>701</w:t>
      </w:r>
      <w:r w:rsidR="00F24120">
        <w:rPr>
          <w:szCs w:val="24"/>
        </w:rPr>
        <w:t>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rPr>
          <w:szCs w:val="24"/>
        </w:rPr>
      </w:pPr>
    </w:p>
    <w:p w:rsidR="0024644B" w:rsidRDefault="0024644B" w:rsidP="0024644B">
      <w:pPr>
        <w:pStyle w:val="Nadpis1"/>
        <w:rPr>
          <w:sz w:val="24"/>
          <w:szCs w:val="24"/>
        </w:rPr>
      </w:pPr>
      <w:r w:rsidRPr="00043307">
        <w:rPr>
          <w:sz w:val="24"/>
          <w:szCs w:val="24"/>
        </w:rPr>
        <w:tab/>
        <w:t xml:space="preserve">B. </w:t>
      </w:r>
      <w:r w:rsidR="00117DED">
        <w:rPr>
          <w:sz w:val="24"/>
          <w:szCs w:val="24"/>
        </w:rPr>
        <w:t xml:space="preserve"> </w:t>
      </w:r>
      <w:r w:rsidRPr="00043307">
        <w:rPr>
          <w:sz w:val="24"/>
          <w:szCs w:val="24"/>
        </w:rPr>
        <w:t>o d p o r ú č a</w:t>
      </w:r>
    </w:p>
    <w:p w:rsidR="0024644B" w:rsidRDefault="006D4D3B" w:rsidP="0024644B">
      <w:pPr>
        <w:rPr>
          <w:b/>
          <w:szCs w:val="24"/>
        </w:rPr>
      </w:pPr>
      <w:r>
        <w:rPr>
          <w:szCs w:val="24"/>
        </w:rPr>
        <w:t xml:space="preserve">  </w:t>
      </w:r>
      <w:r w:rsidR="0024644B" w:rsidRPr="00043307">
        <w:rPr>
          <w:szCs w:val="24"/>
        </w:rPr>
        <w:t xml:space="preserve">                </w:t>
      </w:r>
      <w:r w:rsidR="0024644B" w:rsidRPr="00043307">
        <w:rPr>
          <w:b/>
          <w:szCs w:val="24"/>
        </w:rPr>
        <w:t>Národnej rade Slovenskej republiky</w:t>
      </w:r>
    </w:p>
    <w:p w:rsidR="004735E0" w:rsidRPr="00043307" w:rsidRDefault="004735E0" w:rsidP="0024644B">
      <w:pPr>
        <w:rPr>
          <w:b/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 w:rsidRPr="00043307">
        <w:rPr>
          <w:szCs w:val="24"/>
        </w:rPr>
        <w:t xml:space="preserve">                </w:t>
      </w:r>
      <w:r w:rsidR="00F24120">
        <w:rPr>
          <w:szCs w:val="24"/>
        </w:rPr>
        <w:t>v</w:t>
      </w:r>
      <w:r w:rsidR="00F24120" w:rsidRPr="00F24120">
        <w:rPr>
          <w:szCs w:val="24"/>
        </w:rPr>
        <w:t>ládn</w:t>
      </w:r>
      <w:r w:rsidR="00F24120">
        <w:rPr>
          <w:szCs w:val="24"/>
        </w:rPr>
        <w:t xml:space="preserve">y </w:t>
      </w:r>
      <w:r w:rsidR="00F24120" w:rsidRPr="00F24120">
        <w:rPr>
          <w:szCs w:val="24"/>
        </w:rPr>
        <w:t xml:space="preserve">návrh </w:t>
      </w:r>
      <w:r w:rsidR="004D31DF" w:rsidRPr="004D31DF">
        <w:rPr>
          <w:szCs w:val="24"/>
        </w:rPr>
        <w:t xml:space="preserve">zákona o zmene a doplnení niektorých zákonov v súvislosti so zmenami vyvolanými Stavebným zákonom </w:t>
      </w:r>
      <w:r w:rsidR="00F24120">
        <w:rPr>
          <w:szCs w:val="24"/>
        </w:rPr>
        <w:t xml:space="preserve">(tlač </w:t>
      </w:r>
      <w:r w:rsidR="004D31DF">
        <w:rPr>
          <w:szCs w:val="24"/>
        </w:rPr>
        <w:t>701</w:t>
      </w:r>
      <w:r w:rsidR="00F24120">
        <w:rPr>
          <w:szCs w:val="24"/>
        </w:rPr>
        <w:t>)</w:t>
      </w:r>
      <w:r w:rsidRPr="00043307">
        <w:rPr>
          <w:szCs w:val="24"/>
        </w:rPr>
        <w:t xml:space="preserve"> </w:t>
      </w:r>
      <w:r w:rsidRPr="00043307">
        <w:rPr>
          <w:b/>
          <w:szCs w:val="24"/>
        </w:rPr>
        <w:t>schváliť</w:t>
      </w:r>
      <w:r w:rsidR="006D4D3B">
        <w:rPr>
          <w:b/>
          <w:szCs w:val="24"/>
        </w:rPr>
        <w:t xml:space="preserve"> </w:t>
      </w:r>
      <w:r w:rsidR="006D4D3B">
        <w:t>s</w:t>
      </w:r>
      <w:r w:rsidR="006D4D3B">
        <w:rPr>
          <w:bCs/>
        </w:rPr>
        <w:t xml:space="preserve"> pozmeňujúcimi </w:t>
      </w:r>
      <w:r w:rsidR="00F95858">
        <w:rPr>
          <w:bCs/>
        </w:rPr>
        <w:t xml:space="preserve">a doplňujúcimi </w:t>
      </w:r>
      <w:r w:rsidR="006D4D3B">
        <w:rPr>
          <w:bCs/>
        </w:rPr>
        <w:t xml:space="preserve">návrhmi, ktoré tvoria prílohu tohto </w:t>
      </w:r>
      <w:r w:rsidR="006D4D3B" w:rsidRPr="006D4D3B">
        <w:rPr>
          <w:bCs/>
        </w:rPr>
        <w:t>uznesenia</w:t>
      </w:r>
      <w:r w:rsidRPr="006D4D3B">
        <w:rPr>
          <w:szCs w:val="24"/>
        </w:rPr>
        <w:t>;</w:t>
      </w:r>
    </w:p>
    <w:p w:rsidR="0024644B" w:rsidRPr="00043307" w:rsidRDefault="0024644B" w:rsidP="0024644B">
      <w:pPr>
        <w:jc w:val="both"/>
        <w:rPr>
          <w:b/>
          <w:szCs w:val="24"/>
        </w:rPr>
      </w:pPr>
    </w:p>
    <w:p w:rsidR="0024644B" w:rsidRDefault="0024644B" w:rsidP="0024644B">
      <w:pPr>
        <w:jc w:val="both"/>
        <w:rPr>
          <w:b/>
          <w:bCs/>
          <w:szCs w:val="24"/>
        </w:rPr>
      </w:pPr>
      <w:r w:rsidRPr="00043307">
        <w:rPr>
          <w:b/>
          <w:bCs/>
          <w:szCs w:val="24"/>
        </w:rPr>
        <w:tab/>
      </w:r>
      <w:r>
        <w:rPr>
          <w:b/>
          <w:bCs/>
          <w:szCs w:val="24"/>
        </w:rPr>
        <w:t>C</w:t>
      </w:r>
      <w:r w:rsidRPr="00043307">
        <w:rPr>
          <w:b/>
          <w:bCs/>
          <w:szCs w:val="24"/>
        </w:rPr>
        <w:t xml:space="preserve">. </w:t>
      </w:r>
      <w:r w:rsidR="00117DED">
        <w:rPr>
          <w:b/>
          <w:bCs/>
          <w:szCs w:val="24"/>
        </w:rPr>
        <w:t xml:space="preserve"> </w:t>
      </w:r>
      <w:r w:rsidRPr="00043307">
        <w:rPr>
          <w:b/>
          <w:bCs/>
          <w:szCs w:val="24"/>
        </w:rPr>
        <w:t>u k l a d á</w:t>
      </w:r>
    </w:p>
    <w:p w:rsidR="004735E0" w:rsidRPr="00043307" w:rsidRDefault="004735E0" w:rsidP="0024644B">
      <w:pPr>
        <w:jc w:val="both"/>
        <w:rPr>
          <w:b/>
          <w:bCs/>
          <w:szCs w:val="24"/>
        </w:rPr>
      </w:pPr>
    </w:p>
    <w:p w:rsidR="0024644B" w:rsidRDefault="0024644B" w:rsidP="0024644B">
      <w:pPr>
        <w:jc w:val="both"/>
        <w:rPr>
          <w:b/>
          <w:bCs/>
          <w:szCs w:val="24"/>
        </w:rPr>
      </w:pPr>
      <w:r w:rsidRPr="00043307">
        <w:rPr>
          <w:b/>
          <w:bCs/>
          <w:szCs w:val="24"/>
        </w:rPr>
        <w:t xml:space="preserve">     </w:t>
      </w:r>
      <w:r w:rsidRPr="00043307">
        <w:rPr>
          <w:b/>
          <w:bCs/>
          <w:szCs w:val="24"/>
        </w:rPr>
        <w:tab/>
        <w:t xml:space="preserve">   </w:t>
      </w:r>
      <w:r w:rsidR="00117DED">
        <w:rPr>
          <w:b/>
          <w:bCs/>
          <w:szCs w:val="24"/>
        </w:rPr>
        <w:t xml:space="preserve"> </w:t>
      </w:r>
      <w:r w:rsidRPr="00043307">
        <w:rPr>
          <w:b/>
          <w:bCs/>
          <w:szCs w:val="24"/>
        </w:rPr>
        <w:t xml:space="preserve"> predsedovi výboru</w:t>
      </w:r>
    </w:p>
    <w:p w:rsidR="004735E0" w:rsidRPr="00043307" w:rsidRDefault="004735E0" w:rsidP="0024644B">
      <w:pPr>
        <w:jc w:val="both"/>
        <w:rPr>
          <w:b/>
          <w:bCs/>
          <w:szCs w:val="24"/>
        </w:rPr>
      </w:pPr>
    </w:p>
    <w:p w:rsidR="0024644B" w:rsidRPr="00C90861" w:rsidRDefault="0024644B" w:rsidP="004735E0">
      <w:pPr>
        <w:pStyle w:val="Zkladntext"/>
        <w:jc w:val="both"/>
      </w:pPr>
      <w:r w:rsidRPr="00043307">
        <w:tab/>
        <w:t xml:space="preserve">    </w:t>
      </w:r>
      <w:r w:rsidR="00117DED">
        <w:t>predložiť na rokovanie gestorského výboru návrh správy o výsledku prerokovania uvedeného materiálu vo výboroch</w:t>
      </w:r>
      <w:r w:rsidRPr="00043307">
        <w:t xml:space="preserve">. </w:t>
      </w:r>
    </w:p>
    <w:p w:rsidR="0024644B" w:rsidRPr="00043307" w:rsidRDefault="0024644B" w:rsidP="0024644B">
      <w:pPr>
        <w:pStyle w:val="Zkladntext"/>
        <w:spacing w:after="0"/>
        <w:rPr>
          <w:b/>
        </w:rPr>
      </w:pPr>
    </w:p>
    <w:p w:rsidR="004735E0" w:rsidRDefault="0024644B" w:rsidP="0024644B">
      <w:pPr>
        <w:pStyle w:val="Zkladntext"/>
        <w:spacing w:after="0"/>
        <w:rPr>
          <w:b/>
        </w:rPr>
      </w:pPr>
      <w:r w:rsidRPr="00043307">
        <w:rPr>
          <w:b/>
        </w:rPr>
        <w:t xml:space="preserve">                                                                                      </w:t>
      </w:r>
      <w:r w:rsidR="00FD5179">
        <w:rPr>
          <w:b/>
        </w:rPr>
        <w:t xml:space="preserve">        </w:t>
      </w:r>
    </w:p>
    <w:p w:rsidR="004735E0" w:rsidRDefault="004735E0" w:rsidP="0024644B">
      <w:pPr>
        <w:pStyle w:val="Zkladntext"/>
        <w:spacing w:after="0"/>
        <w:rPr>
          <w:b/>
        </w:rPr>
      </w:pPr>
    </w:p>
    <w:p w:rsidR="004735E0" w:rsidRDefault="004735E0" w:rsidP="0024644B">
      <w:pPr>
        <w:pStyle w:val="Zkladntext"/>
        <w:spacing w:after="0"/>
        <w:rPr>
          <w:b/>
        </w:rPr>
      </w:pPr>
    </w:p>
    <w:p w:rsidR="0024644B" w:rsidRPr="00043307" w:rsidRDefault="004735E0" w:rsidP="0024644B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FD5179">
        <w:rPr>
          <w:b/>
        </w:rPr>
        <w:t xml:space="preserve">Igor  JANCKULÍK, v. r. </w:t>
      </w:r>
    </w:p>
    <w:p w:rsidR="0024644B" w:rsidRPr="00043307" w:rsidRDefault="0024644B" w:rsidP="0024644B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                   podpredseda výboru </w:t>
      </w:r>
    </w:p>
    <w:p w:rsidR="0024644B" w:rsidRPr="00043307" w:rsidRDefault="00FD5179" w:rsidP="0024644B">
      <w:pPr>
        <w:rPr>
          <w:szCs w:val="24"/>
        </w:rPr>
      </w:pPr>
      <w:r>
        <w:rPr>
          <w:b/>
          <w:szCs w:val="24"/>
        </w:rPr>
        <w:t xml:space="preserve">Viliam  Z A H O R Č Á K, v. r. </w:t>
      </w:r>
    </w:p>
    <w:p w:rsidR="00C55BEB" w:rsidRDefault="0024644B" w:rsidP="0024644B">
      <w:pPr>
        <w:pStyle w:val="Zkladntext"/>
        <w:spacing w:after="0"/>
      </w:pPr>
      <w:r w:rsidRPr="00043307">
        <w:t xml:space="preserve"> </w:t>
      </w:r>
      <w:r w:rsidR="004735E0">
        <w:t xml:space="preserve">        </w:t>
      </w:r>
      <w:r w:rsidRPr="00043307">
        <w:t xml:space="preserve">overovateľ výboru                 </w:t>
      </w:r>
    </w:p>
    <w:p w:rsidR="00C55BEB" w:rsidRDefault="00C55BEB" w:rsidP="0024644B">
      <w:pPr>
        <w:pStyle w:val="Zkladntext"/>
        <w:spacing w:after="0"/>
      </w:pPr>
    </w:p>
    <w:p w:rsidR="00C55BEB" w:rsidRDefault="00C55BEB" w:rsidP="00C55BEB">
      <w:pPr>
        <w:jc w:val="right"/>
      </w:pPr>
      <w:r>
        <w:lastRenderedPageBreak/>
        <w:t xml:space="preserve">                                                                                              Príloha k uzneseniu č. 9</w:t>
      </w:r>
      <w:r w:rsidR="004D31DF">
        <w:t>9</w:t>
      </w:r>
      <w:r>
        <w:t xml:space="preserve"> – tlač </w:t>
      </w:r>
      <w:r w:rsidR="004D31DF">
        <w:t>701</w:t>
      </w:r>
    </w:p>
    <w:p w:rsidR="00C55BEB" w:rsidRDefault="00C55BEB" w:rsidP="00C55BEB">
      <w:pPr>
        <w:jc w:val="center"/>
      </w:pPr>
    </w:p>
    <w:p w:rsidR="00C55BEB" w:rsidRPr="00C55BEB" w:rsidRDefault="00C55BEB" w:rsidP="00C55BEB">
      <w:pPr>
        <w:jc w:val="center"/>
        <w:rPr>
          <w:b/>
        </w:rPr>
      </w:pPr>
      <w:r w:rsidRPr="00C55BEB">
        <w:rPr>
          <w:b/>
        </w:rPr>
        <w:t>Pozmeňujúce a doplňujúce návrhy</w:t>
      </w:r>
    </w:p>
    <w:p w:rsidR="00C55BEB" w:rsidRDefault="00C55BEB" w:rsidP="00C55BEB">
      <w:pPr>
        <w:jc w:val="center"/>
        <w:rPr>
          <w:szCs w:val="24"/>
        </w:rPr>
      </w:pPr>
      <w:r w:rsidRPr="00043307">
        <w:rPr>
          <w:szCs w:val="24"/>
        </w:rPr>
        <w:t xml:space="preserve">k </w:t>
      </w:r>
      <w:r w:rsidRPr="00395273">
        <w:rPr>
          <w:szCs w:val="24"/>
        </w:rPr>
        <w:t xml:space="preserve">vládnemu návrhu </w:t>
      </w:r>
      <w:r w:rsidR="004D31DF" w:rsidRPr="004D31DF">
        <w:rPr>
          <w:szCs w:val="24"/>
        </w:rPr>
        <w:t>zákona o zmene a doplnení niektorých zákonov v súvislosti so zmenami vyvolanými Stavebným zákonom</w:t>
      </w:r>
    </w:p>
    <w:p w:rsidR="00C55BEB" w:rsidRDefault="00C55BEB" w:rsidP="00C55BEB">
      <w:pPr>
        <w:jc w:val="center"/>
      </w:pPr>
      <w:r w:rsidRPr="006F6C68">
        <w:rPr>
          <w:szCs w:val="24"/>
        </w:rPr>
        <w:t xml:space="preserve">(tlač </w:t>
      </w:r>
      <w:r w:rsidR="004D31DF">
        <w:rPr>
          <w:szCs w:val="24"/>
        </w:rPr>
        <w:t>701</w:t>
      </w:r>
      <w:r w:rsidRPr="006F6C68">
        <w:rPr>
          <w:szCs w:val="24"/>
        </w:rPr>
        <w:t>)</w:t>
      </w:r>
    </w:p>
    <w:p w:rsidR="00C55BEB" w:rsidRDefault="00C55BEB" w:rsidP="00C55BEB">
      <w:r>
        <w:t>___________________________________________________________________________</w:t>
      </w:r>
    </w:p>
    <w:p w:rsidR="00C55BEB" w:rsidRDefault="00C55BEB" w:rsidP="0024644B">
      <w:pPr>
        <w:pStyle w:val="Zkladntext"/>
        <w:spacing w:after="0"/>
      </w:pPr>
    </w:p>
    <w:p w:rsidR="00FD4205" w:rsidRPr="00E313F4" w:rsidRDefault="00FD4205" w:rsidP="00FD4205">
      <w:pPr>
        <w:pStyle w:val="Odsekzoznamu"/>
        <w:numPr>
          <w:ilvl w:val="0"/>
          <w:numId w:val="13"/>
        </w:numPr>
        <w:suppressAutoHyphens/>
        <w:ind w:left="426" w:hanging="426"/>
        <w:jc w:val="both"/>
        <w:rPr>
          <w:b/>
        </w:rPr>
      </w:pPr>
      <w:r w:rsidRPr="00E313F4">
        <w:rPr>
          <w:b/>
        </w:rPr>
        <w:t>K čl. XXXIV, nové body</w:t>
      </w:r>
    </w:p>
    <w:p w:rsidR="00FD4205" w:rsidRPr="00E313F4" w:rsidRDefault="00FD4205" w:rsidP="00FD4205">
      <w:pPr>
        <w:pStyle w:val="Odsekzoznamu"/>
        <w:suppressAutoHyphens/>
        <w:ind w:left="426"/>
        <w:jc w:val="both"/>
        <w:rPr>
          <w:b/>
        </w:rPr>
      </w:pPr>
      <w:r w:rsidRPr="00E313F4">
        <w:t>Za doterajší bod 6 sa vkladajú nové body 7 a 8, ktoré znejú:</w:t>
      </w:r>
    </w:p>
    <w:p w:rsidR="00FD4205" w:rsidRPr="00E313F4" w:rsidRDefault="00FD4205" w:rsidP="00FD4205">
      <w:pPr>
        <w:pStyle w:val="Odsekzoznamu"/>
        <w:ind w:left="350"/>
        <w:jc w:val="both"/>
      </w:pPr>
      <w:r w:rsidRPr="00E313F4">
        <w:t>„7. V § 33 ods. 5 a 8 sa slová „1 a 6“ nahrádzajú slovami „1, 6 a 11“.</w:t>
      </w:r>
    </w:p>
    <w:p w:rsidR="00FD4205" w:rsidRPr="00E313F4" w:rsidRDefault="00FD4205" w:rsidP="00FD4205">
      <w:pPr>
        <w:pStyle w:val="Odsekzoznamu"/>
        <w:ind w:left="350"/>
        <w:jc w:val="both"/>
      </w:pPr>
    </w:p>
    <w:p w:rsidR="00FD4205" w:rsidRPr="00E313F4" w:rsidRDefault="00FD4205" w:rsidP="00FD4205">
      <w:pPr>
        <w:pStyle w:val="Odsekzoznamu"/>
        <w:ind w:left="350"/>
        <w:jc w:val="both"/>
      </w:pPr>
      <w:r w:rsidRPr="00E313F4">
        <w:t>8. V § 33 ods. 11 sa za slovo „úhrn“ vkladajú slová „alebo navýšený základ dane (čiastkový základ dane) podľa odseku 8“ a za slovo „úhrnom“ sa vkladajú slová „alebo navýšeným základom dane (čiastkovým základom dane) podľa odseku 8“.“.</w:t>
      </w:r>
    </w:p>
    <w:p w:rsidR="00FD4205" w:rsidRPr="00E313F4" w:rsidRDefault="00FD4205" w:rsidP="00FD4205">
      <w:pPr>
        <w:pStyle w:val="Odsekzoznamu"/>
        <w:ind w:left="350"/>
        <w:jc w:val="both"/>
      </w:pPr>
    </w:p>
    <w:p w:rsidR="00FD4205" w:rsidRPr="00E313F4" w:rsidRDefault="00FD4205" w:rsidP="00FD4205">
      <w:pPr>
        <w:ind w:left="350"/>
        <w:jc w:val="both"/>
        <w:rPr>
          <w:iCs/>
          <w:szCs w:val="24"/>
          <w:lang w:eastAsia="en-GB"/>
        </w:rPr>
      </w:pPr>
      <w:r w:rsidRPr="00E313F4">
        <w:rPr>
          <w:iCs/>
          <w:szCs w:val="24"/>
          <w:lang w:eastAsia="en-GB"/>
        </w:rPr>
        <w:t>Tieto body nadobúdajú účinnosť 15. marca 2025, čo sa primerane premietne do článku o účinnosti.</w:t>
      </w:r>
    </w:p>
    <w:p w:rsidR="00FD4205" w:rsidRPr="00E313F4" w:rsidRDefault="00FD4205" w:rsidP="00FD4205">
      <w:pPr>
        <w:pStyle w:val="Odsekzoznamu"/>
        <w:ind w:left="350"/>
      </w:pPr>
    </w:p>
    <w:p w:rsidR="00FD4205" w:rsidRPr="00E313F4" w:rsidRDefault="00FD4205" w:rsidP="00FD4205">
      <w:pPr>
        <w:ind w:left="1418" w:firstLine="5"/>
        <w:rPr>
          <w:szCs w:val="24"/>
        </w:rPr>
      </w:pPr>
      <w:r w:rsidRPr="00E313F4">
        <w:rPr>
          <w:szCs w:val="24"/>
        </w:rPr>
        <w:t xml:space="preserve">Z dôvodu právnej istoty sa spresňuje zámer </w:t>
      </w:r>
      <w:proofErr w:type="spellStart"/>
      <w:r w:rsidRPr="00E313F4">
        <w:rPr>
          <w:szCs w:val="24"/>
        </w:rPr>
        <w:t>vyklesávania</w:t>
      </w:r>
      <w:proofErr w:type="spellEnd"/>
      <w:r w:rsidRPr="00E313F4">
        <w:rPr>
          <w:szCs w:val="24"/>
        </w:rPr>
        <w:t xml:space="preserve"> nároku na daňový bonus pri vysokopríjmových domácnostiach v prípade navýšenia základu dane (čiastkového základu dane) daňovníka o základ dane (čiastkový základ dane) druhej oprávnenej osoby.</w:t>
      </w:r>
    </w:p>
    <w:p w:rsidR="00FD4205" w:rsidRPr="00FD4205" w:rsidRDefault="00FD4205" w:rsidP="00FD4205">
      <w:pPr>
        <w:rPr>
          <w:b/>
        </w:rPr>
      </w:pPr>
    </w:p>
    <w:p w:rsidR="00FD4205" w:rsidRPr="00E313F4" w:rsidRDefault="00FD4205" w:rsidP="00FD4205">
      <w:pPr>
        <w:pStyle w:val="Odsekzoznamu"/>
        <w:numPr>
          <w:ilvl w:val="0"/>
          <w:numId w:val="13"/>
        </w:numPr>
        <w:ind w:left="426" w:hanging="437"/>
      </w:pPr>
      <w:r w:rsidRPr="00E313F4">
        <w:rPr>
          <w:b/>
        </w:rPr>
        <w:t>K čl. XXXIV, doterajší bod 7</w:t>
      </w:r>
    </w:p>
    <w:p w:rsidR="00FD4205" w:rsidRPr="00E313F4" w:rsidRDefault="00FD4205" w:rsidP="00FD4205">
      <w:pPr>
        <w:pStyle w:val="Odsekzoznamu"/>
        <w:ind w:left="426"/>
      </w:pPr>
      <w:r w:rsidRPr="00E313F4">
        <w:t>Doterajší bod 7 znie:</w:t>
      </w:r>
    </w:p>
    <w:p w:rsidR="00FD4205" w:rsidRPr="00E313F4" w:rsidRDefault="00FD4205" w:rsidP="00FD4205">
      <w:pPr>
        <w:pStyle w:val="Odsekzoznamu"/>
        <w:ind w:left="350"/>
      </w:pPr>
      <w:r w:rsidRPr="00E313F4">
        <w:t>„7. Za § 52zzzc sa vkladajú § 52zzzd a 52zzze, ktoré vrátane nadpisov znejú:</w:t>
      </w:r>
    </w:p>
    <w:p w:rsidR="00FD4205" w:rsidRPr="00E313F4" w:rsidRDefault="00FD4205" w:rsidP="00FD4205">
      <w:pPr>
        <w:pStyle w:val="Odsekzoznamu"/>
        <w:ind w:left="350"/>
      </w:pPr>
    </w:p>
    <w:p w:rsidR="00FD4205" w:rsidRPr="00E313F4" w:rsidRDefault="00FD4205" w:rsidP="00FD4205">
      <w:pPr>
        <w:pStyle w:val="Odsekzoznamu"/>
        <w:ind w:left="350"/>
        <w:jc w:val="center"/>
      </w:pPr>
      <w:r w:rsidRPr="00E313F4">
        <w:t>„§ 52zzzd</w:t>
      </w:r>
    </w:p>
    <w:p w:rsidR="00FD4205" w:rsidRPr="00E313F4" w:rsidRDefault="00FD4205" w:rsidP="00FD4205">
      <w:pPr>
        <w:pStyle w:val="Odsekzoznamu"/>
        <w:ind w:left="350"/>
        <w:jc w:val="center"/>
      </w:pPr>
      <w:r w:rsidRPr="00E313F4">
        <w:t>Prechodné ustanovenie k úpravám účinným od 15. marca 2025</w:t>
      </w:r>
    </w:p>
    <w:p w:rsidR="00FD4205" w:rsidRPr="00E313F4" w:rsidRDefault="00FD4205" w:rsidP="00FD4205">
      <w:pPr>
        <w:pStyle w:val="Odsekzoznamu"/>
        <w:ind w:left="350"/>
        <w:jc w:val="center"/>
      </w:pPr>
    </w:p>
    <w:p w:rsidR="00FD4205" w:rsidRPr="00E313F4" w:rsidRDefault="00FD4205" w:rsidP="00FD4205">
      <w:pPr>
        <w:pStyle w:val="Odsekzoznamu"/>
        <w:ind w:left="350"/>
        <w:jc w:val="both"/>
      </w:pPr>
      <w:r w:rsidRPr="00E313F4">
        <w:t xml:space="preserve">Ustanovenia § 33 ods. 5, 8 a 11 v znení účinnom od 15. marca 2025 sa prvýkrát použijú pri podaní daňového priznania za zdaňovacie obdobie 2025.  </w:t>
      </w:r>
    </w:p>
    <w:p w:rsidR="00FD4205" w:rsidRPr="00E313F4" w:rsidRDefault="00FD4205" w:rsidP="00FD4205">
      <w:pPr>
        <w:pStyle w:val="Odsekzoznamu"/>
        <w:ind w:left="350"/>
        <w:jc w:val="center"/>
      </w:pPr>
    </w:p>
    <w:p w:rsidR="00FD4205" w:rsidRPr="00E313F4" w:rsidRDefault="00FD4205" w:rsidP="00FD4205">
      <w:pPr>
        <w:pStyle w:val="Odsekzoznamu"/>
        <w:ind w:left="350"/>
        <w:jc w:val="center"/>
      </w:pPr>
      <w:r w:rsidRPr="00E313F4">
        <w:t>§ 52zzze</w:t>
      </w:r>
    </w:p>
    <w:p w:rsidR="00FD4205" w:rsidRPr="00E313F4" w:rsidRDefault="00FD4205" w:rsidP="00FD4205">
      <w:pPr>
        <w:pStyle w:val="Odsekzoznamu"/>
        <w:ind w:left="350"/>
        <w:jc w:val="center"/>
      </w:pPr>
      <w:r w:rsidRPr="00E313F4">
        <w:t>Prechodné ustanovenie k úpravám účinným od 1. apríla 2025</w:t>
      </w:r>
    </w:p>
    <w:p w:rsidR="00FD4205" w:rsidRPr="00E313F4" w:rsidRDefault="00FD4205" w:rsidP="00FD4205">
      <w:pPr>
        <w:pStyle w:val="Odsekzoznamu"/>
        <w:ind w:left="350"/>
        <w:jc w:val="center"/>
      </w:pPr>
    </w:p>
    <w:p w:rsidR="00FD4205" w:rsidRPr="00E313F4" w:rsidRDefault="00FD4205" w:rsidP="00FD4205">
      <w:pPr>
        <w:pStyle w:val="Odsekzoznamu"/>
        <w:ind w:left="350"/>
        <w:jc w:val="both"/>
      </w:pPr>
      <w:r w:rsidRPr="00E313F4">
        <w:t>Na účely uplatnenia daňových odpisov sa budovy a stavby, pri ktorých bolo podľa zákona č. 50/1976 Zb. o územnom plánovaní a stavebnom poriadku (stavebný zákon) v znení neskorších predpisov v znení účinnom do 31. marca 2025 konanie začaté a právoplatne ukončené, a budovy a stavby, pri ktorých sa postupuje v súlade so Stavebným zákonom</w:t>
      </w:r>
      <w:r w:rsidRPr="00E313F4">
        <w:rPr>
          <w:vertAlign w:val="superscript"/>
        </w:rPr>
        <w:t>160</w:t>
      </w:r>
      <w:r w:rsidRPr="00E313F4">
        <w:t xml:space="preserve">) a pri ktorých dochádza po 31. marci 2025 k zmene vymedzenia charakteru stavby, považujú za budovy a stavby podľa zákona č. 50/1976 Zb. o územnom plánovaní a stavebnom poriadku (stavebný zákon) v znení neskorších predpisov v znení účinnom do 31. marca 2025.“. </w:t>
      </w:r>
    </w:p>
    <w:p w:rsidR="00FD4205" w:rsidRPr="00E313F4" w:rsidRDefault="00FD4205" w:rsidP="00FD4205">
      <w:pPr>
        <w:pStyle w:val="Odsekzoznamu"/>
        <w:ind w:left="350"/>
      </w:pPr>
    </w:p>
    <w:p w:rsidR="00FD4205" w:rsidRPr="00E313F4" w:rsidRDefault="00FD4205" w:rsidP="00FD4205">
      <w:pPr>
        <w:pStyle w:val="Odsekzoznamu"/>
        <w:ind w:left="350"/>
      </w:pPr>
      <w:r w:rsidRPr="00E313F4">
        <w:t xml:space="preserve">Poznámka pod čiarou k odkazu 160 znie: </w:t>
      </w:r>
    </w:p>
    <w:p w:rsidR="00FD4205" w:rsidRPr="00E313F4" w:rsidRDefault="00FD4205" w:rsidP="00FD4205">
      <w:pPr>
        <w:pStyle w:val="Odsekzoznamu"/>
        <w:ind w:left="350"/>
      </w:pPr>
      <w:r w:rsidRPr="00E313F4">
        <w:t>„</w:t>
      </w:r>
      <w:r w:rsidRPr="00E313F4">
        <w:rPr>
          <w:vertAlign w:val="superscript"/>
        </w:rPr>
        <w:t>160</w:t>
      </w:r>
      <w:r w:rsidRPr="00E313F4">
        <w:t>) § 84 ods. 4 až 7 Stavebného zákona.“.“.</w:t>
      </w:r>
    </w:p>
    <w:p w:rsidR="00FD4205" w:rsidRPr="00E313F4" w:rsidRDefault="00FD4205" w:rsidP="00FD4205">
      <w:pPr>
        <w:pStyle w:val="Odsekzoznamu"/>
        <w:ind w:left="350"/>
        <w:rPr>
          <w:b/>
        </w:rPr>
      </w:pPr>
    </w:p>
    <w:p w:rsidR="00FD4205" w:rsidRPr="00E313F4" w:rsidRDefault="00FD4205" w:rsidP="00FD4205">
      <w:pPr>
        <w:ind w:left="350"/>
        <w:rPr>
          <w:iCs/>
          <w:szCs w:val="24"/>
          <w:lang w:eastAsia="en-GB"/>
        </w:rPr>
      </w:pPr>
      <w:r w:rsidRPr="00E313F4">
        <w:rPr>
          <w:iCs/>
          <w:szCs w:val="24"/>
          <w:lang w:eastAsia="en-GB"/>
        </w:rPr>
        <w:t>§ 52zzzd v bode 7 nadobúda účinnosť 15. marca 2025 a § 52zzze v bode 7 nadobúda účinnosť 1. apríla 2025, čo sa primerane premietne do článku o účinnosti.</w:t>
      </w:r>
    </w:p>
    <w:p w:rsidR="00FD4205" w:rsidRPr="00E313F4" w:rsidRDefault="00FD4205" w:rsidP="00FD4205">
      <w:pPr>
        <w:rPr>
          <w:iCs/>
          <w:szCs w:val="24"/>
          <w:lang w:eastAsia="en-GB"/>
        </w:rPr>
      </w:pPr>
    </w:p>
    <w:p w:rsidR="00FD4205" w:rsidRDefault="00FD4205" w:rsidP="00FD4205">
      <w:pPr>
        <w:ind w:left="1418"/>
        <w:rPr>
          <w:szCs w:val="24"/>
        </w:rPr>
      </w:pPr>
      <w:r w:rsidRPr="00E313F4">
        <w:rPr>
          <w:iCs/>
          <w:szCs w:val="24"/>
        </w:rPr>
        <w:t xml:space="preserve">Dopĺňa sa prechodné ustanovenie, na základe </w:t>
      </w:r>
      <w:r w:rsidRPr="00E313F4">
        <w:rPr>
          <w:szCs w:val="24"/>
        </w:rPr>
        <w:t>ktorého</w:t>
      </w:r>
      <w:r w:rsidRPr="00E313F4">
        <w:rPr>
          <w:iCs/>
          <w:szCs w:val="24"/>
        </w:rPr>
        <w:t xml:space="preserve"> sa spresnenia v oblasti </w:t>
      </w:r>
      <w:proofErr w:type="spellStart"/>
      <w:r w:rsidRPr="00E313F4">
        <w:rPr>
          <w:szCs w:val="24"/>
        </w:rPr>
        <w:t>vyklesávania</w:t>
      </w:r>
      <w:proofErr w:type="spellEnd"/>
      <w:r w:rsidRPr="00E313F4">
        <w:rPr>
          <w:szCs w:val="24"/>
        </w:rPr>
        <w:t xml:space="preserve"> nároku na daňový bonus pri vysokopríjmových domácnostiach v prípade navýšenia základu dane (čiastkového základu dane) daňovníka o základ dane (čiastkový základ dane) druhej oprávnenej osoby použijú už pri podaní daňového priznania za rok 2025.</w:t>
      </w:r>
    </w:p>
    <w:p w:rsidR="00583F62" w:rsidRDefault="00583F62" w:rsidP="00583F62">
      <w:pPr>
        <w:jc w:val="both"/>
      </w:pPr>
    </w:p>
    <w:p w:rsidR="00FD4205" w:rsidRPr="00FA5D12" w:rsidRDefault="00FD4205" w:rsidP="00FD4205">
      <w:pPr>
        <w:pStyle w:val="Odsekzoznamu"/>
        <w:numPr>
          <w:ilvl w:val="0"/>
          <w:numId w:val="13"/>
        </w:numPr>
        <w:ind w:left="426" w:hanging="426"/>
      </w:pPr>
      <w:r w:rsidRPr="00136DD3">
        <w:t>Za doterajší článok LXXV sa vkladá nový článok LXXVI, ktorý znie:</w:t>
      </w:r>
    </w:p>
    <w:p w:rsidR="00FD4205" w:rsidRPr="003A196B" w:rsidRDefault="00FD4205" w:rsidP="00FD4205">
      <w:pPr>
        <w:jc w:val="center"/>
        <w:rPr>
          <w:szCs w:val="24"/>
        </w:rPr>
      </w:pPr>
    </w:p>
    <w:p w:rsidR="00FD4205" w:rsidRPr="003A196B" w:rsidRDefault="00FD4205" w:rsidP="00FD4205">
      <w:pPr>
        <w:jc w:val="center"/>
        <w:rPr>
          <w:szCs w:val="24"/>
        </w:rPr>
      </w:pPr>
      <w:r w:rsidRPr="003A196B">
        <w:rPr>
          <w:szCs w:val="24"/>
        </w:rPr>
        <w:t>„Čl. LXXVI</w:t>
      </w:r>
    </w:p>
    <w:p w:rsidR="00FD4205" w:rsidRPr="003A196B" w:rsidRDefault="00FD4205" w:rsidP="00FD4205">
      <w:pPr>
        <w:jc w:val="center"/>
        <w:rPr>
          <w:szCs w:val="24"/>
        </w:rPr>
      </w:pPr>
    </w:p>
    <w:p w:rsidR="00FD4205" w:rsidRPr="003A196B" w:rsidRDefault="00FD4205" w:rsidP="00FD4205">
      <w:pPr>
        <w:rPr>
          <w:szCs w:val="24"/>
        </w:rPr>
      </w:pPr>
      <w:r w:rsidRPr="003A196B">
        <w:rPr>
          <w:szCs w:val="24"/>
        </w:rPr>
        <w:t>Zákon č. 279/2024 Z. z. o dani z finančných transakcií a o zmene a doplnení niektorých zákonov v znení zákona č. 354/2024 Z. z. sa mení a dopĺňa takto:</w:t>
      </w:r>
    </w:p>
    <w:p w:rsidR="00FD4205" w:rsidRPr="003A196B" w:rsidRDefault="00FD4205" w:rsidP="00FD4205">
      <w:pPr>
        <w:rPr>
          <w:szCs w:val="24"/>
        </w:rPr>
      </w:pPr>
    </w:p>
    <w:p w:rsidR="00FD4205" w:rsidRPr="003A196B" w:rsidRDefault="00FD4205" w:rsidP="00FD4205">
      <w:pPr>
        <w:pStyle w:val="Odsekzoznamu"/>
        <w:numPr>
          <w:ilvl w:val="0"/>
          <w:numId w:val="17"/>
        </w:numPr>
        <w:shd w:val="clear" w:color="auto" w:fill="FFFFFF"/>
        <w:suppressAutoHyphens/>
        <w:spacing w:before="120"/>
        <w:jc w:val="both"/>
      </w:pPr>
      <w:r w:rsidRPr="003A196B">
        <w:t>V § 3 ods. 2 bode 1 sa na konci pripájajú tieto slová: „Úrad pre dohľad nad zdravotnou starostlivosťou,“.</w:t>
      </w:r>
    </w:p>
    <w:p w:rsidR="00FD4205" w:rsidRPr="003A196B" w:rsidRDefault="00FD4205" w:rsidP="00FD4205">
      <w:pPr>
        <w:pStyle w:val="Odsekzoznamu"/>
        <w:numPr>
          <w:ilvl w:val="0"/>
          <w:numId w:val="17"/>
        </w:numPr>
        <w:shd w:val="clear" w:color="auto" w:fill="FFFFFF"/>
        <w:suppressAutoHyphens/>
        <w:spacing w:before="120"/>
        <w:jc w:val="both"/>
      </w:pPr>
      <w:r w:rsidRPr="003A196B">
        <w:t>V § 3 sa odsek 2 dopĺňa šiestym až ôsmym bodom, ktoré znejú:</w:t>
      </w:r>
    </w:p>
    <w:p w:rsidR="00FD4205" w:rsidRPr="003A196B" w:rsidRDefault="00FD4205" w:rsidP="00FD4205">
      <w:pPr>
        <w:pStyle w:val="Odsekzoznamu"/>
        <w:shd w:val="clear" w:color="auto" w:fill="FFFFFF"/>
        <w:spacing w:before="120"/>
        <w:jc w:val="both"/>
      </w:pPr>
      <w:r w:rsidRPr="003A196B">
        <w:t>„6. diplomatická misia a konzulárny úrad so sídlom na území Slovenskej republiky okrem konzulárneho úradu vedeného honorárnym konzulom,</w:t>
      </w:r>
    </w:p>
    <w:p w:rsidR="00FD4205" w:rsidRPr="003A196B" w:rsidRDefault="00FD4205" w:rsidP="00FD4205">
      <w:pPr>
        <w:pStyle w:val="Odsekzoznamu"/>
        <w:shd w:val="clear" w:color="auto" w:fill="FFFFFF"/>
        <w:spacing w:before="120"/>
        <w:jc w:val="both"/>
      </w:pPr>
      <w:r w:rsidRPr="003A196B">
        <w:t>7. diplomatická misia a konzulárny úrad, ktoré sú akreditované pre Slovenskú republiku a majú sídlo mimo územia Slovenskej republiky, okrem konzulárneho úradu vedeného honorárnym konzulom,</w:t>
      </w:r>
    </w:p>
    <w:p w:rsidR="00FD4205" w:rsidRPr="003A196B" w:rsidRDefault="00FD4205" w:rsidP="00FD4205">
      <w:pPr>
        <w:pStyle w:val="Odsekzoznamu"/>
        <w:shd w:val="clear" w:color="auto" w:fill="FFFFFF"/>
        <w:spacing w:before="120"/>
        <w:jc w:val="both"/>
      </w:pPr>
      <w:r w:rsidRPr="003A196B">
        <w:t>8. škola a školské zariadenie zaradené do siete škôl a školských zariadení Slovenskej republiky, okrem školy a školského zariadenia, ktoré je obchodnou spoločnosťou.“.</w:t>
      </w:r>
    </w:p>
    <w:p w:rsidR="00FD4205" w:rsidRPr="003A196B" w:rsidRDefault="00FD4205" w:rsidP="00FD4205">
      <w:pPr>
        <w:pStyle w:val="Odsekzoznamu"/>
        <w:shd w:val="clear" w:color="auto" w:fill="FFFFFF"/>
        <w:spacing w:before="120" w:line="276" w:lineRule="atLeast"/>
        <w:jc w:val="both"/>
      </w:pPr>
      <w:r w:rsidRPr="003A196B">
        <w:t> </w:t>
      </w:r>
    </w:p>
    <w:p w:rsidR="00FD4205" w:rsidRPr="003A196B" w:rsidRDefault="00FD4205" w:rsidP="00FD4205">
      <w:pPr>
        <w:pStyle w:val="Odsekzoznamu"/>
        <w:numPr>
          <w:ilvl w:val="0"/>
          <w:numId w:val="17"/>
        </w:numPr>
        <w:suppressAutoHyphens/>
      </w:pPr>
      <w:r w:rsidRPr="003A196B">
        <w:t>V poznámke pod čiarou k odkazu 27b sa slová „7 písm. d)“ nahrádzajú slovami „12 ods. 5“.</w:t>
      </w:r>
    </w:p>
    <w:p w:rsidR="00FD4205" w:rsidRPr="003A196B" w:rsidRDefault="00FD4205" w:rsidP="00FD4205">
      <w:pPr>
        <w:pStyle w:val="Odsekzoznamu"/>
      </w:pPr>
    </w:p>
    <w:p w:rsidR="00FD4205" w:rsidRPr="003A196B" w:rsidRDefault="00FD4205" w:rsidP="00FD4205">
      <w:pPr>
        <w:pStyle w:val="Odsekzoznamu"/>
        <w:numPr>
          <w:ilvl w:val="0"/>
          <w:numId w:val="17"/>
        </w:numPr>
        <w:suppressAutoHyphens/>
        <w:jc w:val="both"/>
      </w:pPr>
      <w:r w:rsidRPr="003A196B">
        <w:t>V § 4 ods. 2 písm. w) sa na konci pripájajú tieto slová: „</w:t>
      </w:r>
      <w:bookmarkStart w:id="1" w:name="_Hlk189057582"/>
      <w:r w:rsidRPr="003A196B">
        <w:t xml:space="preserve">alebo </w:t>
      </w:r>
      <w:bookmarkEnd w:id="1"/>
      <w:r w:rsidRPr="003A196B">
        <w:t>platobná operácia advokáta na osobitnom účte vykonaná v súvislosti s odovzdaním alebo vrátením náhrady trov konania na základe rozhodnutia súdu.</w:t>
      </w:r>
      <w:r w:rsidRPr="003A196B">
        <w:rPr>
          <w:vertAlign w:val="superscript"/>
        </w:rPr>
        <w:t>27ba</w:t>
      </w:r>
      <w:r w:rsidRPr="003A196B">
        <w:t>)“.</w:t>
      </w:r>
    </w:p>
    <w:p w:rsidR="00FD4205" w:rsidRPr="003A196B" w:rsidRDefault="00FD4205" w:rsidP="00FD4205">
      <w:pPr>
        <w:pStyle w:val="Odsekzoznamu"/>
      </w:pPr>
    </w:p>
    <w:p w:rsidR="00FD4205" w:rsidRPr="003A196B" w:rsidRDefault="00FD4205" w:rsidP="00FD4205">
      <w:pPr>
        <w:pStyle w:val="Odsekzoznamu"/>
      </w:pPr>
      <w:r w:rsidRPr="003A196B">
        <w:t xml:space="preserve">Poznámka pod čiarou k odkazu 27ba znie: </w:t>
      </w:r>
    </w:p>
    <w:p w:rsidR="00FD4205" w:rsidRPr="003A196B" w:rsidRDefault="00FD4205" w:rsidP="00FD4205">
      <w:pPr>
        <w:pStyle w:val="Odsekzoznamu"/>
      </w:pPr>
      <w:r w:rsidRPr="003A196B">
        <w:t>„</w:t>
      </w:r>
      <w:r w:rsidRPr="003A196B">
        <w:rPr>
          <w:vertAlign w:val="superscript"/>
        </w:rPr>
        <w:t>27ba)</w:t>
      </w:r>
      <w:r w:rsidRPr="003A196B">
        <w:t xml:space="preserve"> § 263 Civilného sporového poriadku.“.</w:t>
      </w:r>
    </w:p>
    <w:p w:rsidR="00FD4205" w:rsidRPr="003A196B" w:rsidRDefault="00FD4205" w:rsidP="00FD4205">
      <w:pPr>
        <w:pStyle w:val="Odsekzoznamu"/>
        <w:rPr>
          <w:b/>
        </w:rPr>
      </w:pPr>
    </w:p>
    <w:p w:rsidR="00FD4205" w:rsidRPr="003A196B" w:rsidRDefault="00FD4205" w:rsidP="00FD4205">
      <w:pPr>
        <w:pStyle w:val="Odsekzoznamu"/>
        <w:numPr>
          <w:ilvl w:val="0"/>
          <w:numId w:val="17"/>
        </w:numPr>
        <w:suppressAutoHyphens/>
      </w:pPr>
      <w:r w:rsidRPr="003A196B">
        <w:t xml:space="preserve">V § 4 ods. 2 písm. </w:t>
      </w:r>
      <w:proofErr w:type="spellStart"/>
      <w:r w:rsidRPr="003A196B">
        <w:t>ab</w:t>
      </w:r>
      <w:proofErr w:type="spellEnd"/>
      <w:r w:rsidRPr="003A196B">
        <w:t>) sa slová „pokladnici z prostriedkov získaných na základe dotácií zo štátneho rozpočtu“ nahrádzajú slovami „pokladnici, ktorá nesúvisí s podnikateľskou činnosťou verejnej vysokej školy“.</w:t>
      </w:r>
    </w:p>
    <w:p w:rsidR="00FD4205" w:rsidRPr="003A196B" w:rsidRDefault="00FD4205" w:rsidP="00FD4205">
      <w:pPr>
        <w:pStyle w:val="Odsekzoznamu"/>
      </w:pPr>
    </w:p>
    <w:p w:rsidR="00FD4205" w:rsidRPr="003A196B" w:rsidRDefault="00FD4205" w:rsidP="00FD4205">
      <w:pPr>
        <w:pStyle w:val="Odsekzoznamu"/>
        <w:numPr>
          <w:ilvl w:val="0"/>
          <w:numId w:val="17"/>
        </w:numPr>
        <w:suppressAutoHyphens/>
        <w:jc w:val="both"/>
      </w:pPr>
      <w:bookmarkStart w:id="2" w:name="_Hlk189131527"/>
      <w:r w:rsidRPr="003A196B">
        <w:t>V § 10 ods. 5 sa na konci pripájajú tieto slová a veta: „a o sumu dane, ktorá bola vybratá alebo zaplatená z finančnej transakcie, ktorá sa vzťahuje na jeho činnosť vykonávanú v tuzemsku, na ktorú mu boli preúčtované náklady. Ak sa náklady súvisiace s vykonaním finančnej transakcie, ktorá sa vzťahuje na takúto činnosť daňovníka vykonávanú v tuzemsku preúčtujú viacerým daňovníkom, sumu dane podľa prvej vety si uplatnia v pomere, v akom im boli tieto náklady preúčtované“.</w:t>
      </w:r>
      <w:bookmarkEnd w:id="2"/>
    </w:p>
    <w:p w:rsidR="00FD4205" w:rsidRPr="003A196B" w:rsidRDefault="00FD4205" w:rsidP="00FD4205">
      <w:pPr>
        <w:rPr>
          <w:szCs w:val="24"/>
        </w:rPr>
      </w:pPr>
    </w:p>
    <w:p w:rsidR="00FD4205" w:rsidRPr="003A196B" w:rsidRDefault="00FD4205" w:rsidP="00FD4205">
      <w:pPr>
        <w:pStyle w:val="Odsekzoznamu"/>
        <w:numPr>
          <w:ilvl w:val="0"/>
          <w:numId w:val="17"/>
        </w:numPr>
        <w:suppressAutoHyphens/>
        <w:jc w:val="both"/>
      </w:pPr>
      <w:r w:rsidRPr="003A196B">
        <w:t>V § 12 ods. 3 sa číslo „30“ nahrádza číslom „60“.“.</w:t>
      </w:r>
    </w:p>
    <w:p w:rsidR="00FD4205" w:rsidRPr="003A196B" w:rsidRDefault="00FD4205" w:rsidP="00FD4205">
      <w:pPr>
        <w:pStyle w:val="Odsekzoznamu"/>
        <w:ind w:left="4248"/>
      </w:pPr>
    </w:p>
    <w:p w:rsidR="00FD4205" w:rsidRPr="003A196B" w:rsidRDefault="00FD4205" w:rsidP="00FD4205">
      <w:pPr>
        <w:pStyle w:val="Odsekzoznamu"/>
        <w:numPr>
          <w:ilvl w:val="0"/>
          <w:numId w:val="17"/>
        </w:numPr>
        <w:suppressAutoHyphens/>
        <w:jc w:val="both"/>
      </w:pPr>
      <w:r w:rsidRPr="003A196B">
        <w:t xml:space="preserve">V § 12 ods. 7 sa za slová „§ 4 ods. 2“ vkladajú slová „písm. c), e), f), j), l), m), o), q), r), v) až z), </w:t>
      </w:r>
      <w:proofErr w:type="spellStart"/>
      <w:r w:rsidRPr="003A196B">
        <w:t>ab</w:t>
      </w:r>
      <w:proofErr w:type="spellEnd"/>
      <w:r w:rsidRPr="003A196B">
        <w:t xml:space="preserve">), ad) až </w:t>
      </w:r>
      <w:proofErr w:type="spellStart"/>
      <w:r w:rsidRPr="003A196B">
        <w:t>ag</w:t>
      </w:r>
      <w:proofErr w:type="spellEnd"/>
      <w:r w:rsidRPr="003A196B">
        <w:t>)“.“.</w:t>
      </w:r>
    </w:p>
    <w:p w:rsidR="00FD4205" w:rsidRPr="003A196B" w:rsidRDefault="00FD4205" w:rsidP="00FD4205">
      <w:pPr>
        <w:rPr>
          <w:szCs w:val="24"/>
        </w:rPr>
      </w:pPr>
    </w:p>
    <w:p w:rsidR="00FD4205" w:rsidRPr="003A196B" w:rsidRDefault="00FD4205" w:rsidP="00FD4205">
      <w:pPr>
        <w:rPr>
          <w:szCs w:val="24"/>
        </w:rPr>
      </w:pPr>
      <w:r w:rsidRPr="003A196B">
        <w:rPr>
          <w:szCs w:val="24"/>
        </w:rPr>
        <w:lastRenderedPageBreak/>
        <w:t>Tento článok nadobúda účinnosť 15. marca 2025, čo sa primerane premietne do ustanovenia o účinnosti.</w:t>
      </w:r>
    </w:p>
    <w:p w:rsidR="00FD4205" w:rsidRPr="003A196B" w:rsidRDefault="00FD4205" w:rsidP="00FD4205">
      <w:pPr>
        <w:rPr>
          <w:szCs w:val="24"/>
        </w:rPr>
      </w:pPr>
    </w:p>
    <w:p w:rsidR="00FD4205" w:rsidRPr="003A196B" w:rsidRDefault="00FD4205" w:rsidP="00FD4205">
      <w:pPr>
        <w:jc w:val="both"/>
        <w:rPr>
          <w:szCs w:val="24"/>
        </w:rPr>
      </w:pPr>
      <w:r w:rsidRPr="003A196B">
        <w:rPr>
          <w:szCs w:val="24"/>
        </w:rPr>
        <w:t>Doterajší článok LXXVI sa primerane prečísluje.</w:t>
      </w:r>
    </w:p>
    <w:p w:rsidR="00FD4205" w:rsidRDefault="00FD4205" w:rsidP="00FD4205">
      <w:pPr>
        <w:pStyle w:val="Odsekzoznamu"/>
        <w:ind w:left="1418" w:hanging="11"/>
      </w:pPr>
    </w:p>
    <w:p w:rsidR="00FD4205" w:rsidRPr="003A196B" w:rsidRDefault="00FD4205" w:rsidP="00FD4205">
      <w:pPr>
        <w:pStyle w:val="Odsekzoznamu"/>
        <w:ind w:left="1418" w:hanging="11"/>
        <w:jc w:val="both"/>
      </w:pPr>
      <w:r w:rsidRPr="003A196B">
        <w:t>V bode 1 a 2 sa  navrhuje rozšíriť okruh oslobodených subjektov, ktoré sa nepovažujú za daňovníka na účely zákona.</w:t>
      </w:r>
    </w:p>
    <w:p w:rsidR="00FD4205" w:rsidRDefault="00FD4205" w:rsidP="00FD4205">
      <w:pPr>
        <w:pStyle w:val="Odsekzoznamu"/>
        <w:ind w:left="4248"/>
      </w:pPr>
    </w:p>
    <w:p w:rsidR="00FD4205" w:rsidRPr="003A196B" w:rsidRDefault="00FD4205" w:rsidP="00FD4205">
      <w:pPr>
        <w:pStyle w:val="Odsekzoznamu"/>
        <w:ind w:left="1418"/>
      </w:pPr>
      <w:r w:rsidRPr="003A196B">
        <w:t xml:space="preserve">V bode 3 a 5 sa precizujú ustanovenia zákona.  </w:t>
      </w:r>
    </w:p>
    <w:p w:rsidR="00FD4205" w:rsidRDefault="00FD4205" w:rsidP="00FD4205">
      <w:pPr>
        <w:pStyle w:val="Odsekzoznamu"/>
        <w:ind w:left="1418" w:hanging="11"/>
      </w:pPr>
    </w:p>
    <w:p w:rsidR="00FD4205" w:rsidRPr="003A196B" w:rsidRDefault="00FD4205" w:rsidP="00FD4205">
      <w:pPr>
        <w:pStyle w:val="Odsekzoznamu"/>
        <w:ind w:left="1418" w:hanging="11"/>
      </w:pPr>
      <w:r w:rsidRPr="003A196B">
        <w:t>V bode 4 sa oslobodzujú platobné operácie, ktorým advokát alebo advokátska spoločnosť sprostredkuje plnenia pre klienta, teda ide o nakladanie s cudzími finančnými prostriedkami.</w:t>
      </w:r>
    </w:p>
    <w:p w:rsidR="00FD4205" w:rsidRPr="003A196B" w:rsidRDefault="00FD4205" w:rsidP="00FD4205">
      <w:pPr>
        <w:pStyle w:val="Odsekzoznamu"/>
      </w:pPr>
    </w:p>
    <w:p w:rsidR="00FD4205" w:rsidRPr="003A196B" w:rsidRDefault="00FD4205" w:rsidP="00FD4205">
      <w:pPr>
        <w:pStyle w:val="Odsekzoznamu"/>
        <w:ind w:left="1418" w:hanging="11"/>
      </w:pPr>
      <w:r w:rsidRPr="003A196B">
        <w:t xml:space="preserve">V bode 6 sa upravuje možnosť odpočítania dane platiteľom dane, ktorá bola zrazená daňovníkovi v rámci tuzemského preúčtovania nákladov tak, aby sa vytvorili rovnaké podmienky ako pri preúčtovaní nákladov zo zahraničia. </w:t>
      </w:r>
    </w:p>
    <w:p w:rsidR="00FD4205" w:rsidRPr="003A196B" w:rsidRDefault="00FD4205" w:rsidP="00FD4205">
      <w:pPr>
        <w:pStyle w:val="Odsekzoznamu"/>
        <w:ind w:left="4248"/>
      </w:pPr>
    </w:p>
    <w:p w:rsidR="00FD4205" w:rsidRPr="003A196B" w:rsidRDefault="00FD4205" w:rsidP="00FD4205">
      <w:pPr>
        <w:pStyle w:val="Odsekzoznamu"/>
        <w:ind w:left="1418"/>
        <w:rPr>
          <w:b/>
          <w:bCs/>
        </w:rPr>
      </w:pPr>
      <w:r w:rsidRPr="003A196B">
        <w:rPr>
          <w:b/>
          <w:bCs/>
        </w:rPr>
        <w:t>Príklad 1 (subjekt v zahraničí a daňovník v SR)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 xml:space="preserve">Subjekt, ktorý nie je daňovníkom uhradí za Daňovníka A 3x platbu vo výške 100.000 € </w:t>
      </w:r>
      <w:r w:rsidRPr="003A196B">
        <w:br/>
        <w:t>(DFT neplatí). Tento subjekt preúčtuje náklady vo výške 300.000€ Daňovníkovi A.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A: Uhradí  preúčtované náklady vo výške 300.000 € subjektu, z prevodu ktorého mu banka vyberie DFT vo výške 40€ (300.000 x 0,004 max 40€).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 identifikuje jednotlivé transakcie.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V oznámení uvedie DFT vo výške: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120€=3x40€; 3 x (100.000 x 0,004 max 40€)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 si zníži daň o 40€, ktoré už vybrala banka. Daňovník A zaplatí DFT vo výške 120€-40€=80€.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Správca dane príjme celkovo DFT vo výške 120€.</w:t>
      </w:r>
    </w:p>
    <w:p w:rsidR="00FD4205" w:rsidRPr="003A196B" w:rsidRDefault="00FD4205" w:rsidP="00FD4205">
      <w:pPr>
        <w:pStyle w:val="Odsekzoznamu"/>
        <w:ind w:left="1418" w:hanging="11"/>
      </w:pPr>
      <w:r>
        <w:tab/>
      </w:r>
      <w:r w:rsidRPr="003A196B">
        <w:t>Banka podá oznámenie  o výške DFT: 40€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 uvedie v oznámení DFT v celkovej výške 80€.</w:t>
      </w:r>
    </w:p>
    <w:p w:rsidR="00FD4205" w:rsidRPr="003A196B" w:rsidRDefault="00FD4205" w:rsidP="00FD4205">
      <w:pPr>
        <w:ind w:left="1418"/>
        <w:rPr>
          <w:szCs w:val="24"/>
        </w:rPr>
      </w:pPr>
    </w:p>
    <w:p w:rsidR="00FD4205" w:rsidRPr="003A196B" w:rsidRDefault="00FD4205" w:rsidP="00FD4205">
      <w:pPr>
        <w:pStyle w:val="Odsekzoznamu"/>
        <w:ind w:left="1418"/>
        <w:rPr>
          <w:b/>
          <w:bCs/>
        </w:rPr>
      </w:pPr>
      <w:r w:rsidRPr="003A196B">
        <w:rPr>
          <w:b/>
          <w:bCs/>
        </w:rPr>
        <w:t>Príklad 2 (subjekt aj daňovník v SR)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Subjekt, ktorý je daňovníkom, uhradí za Daňovníka A 3x platbu vo výške 100.000 €. Banka subjektu vyberie DFT vo výške 120€.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Tento subjekt preúčtuje náklady vo výške 300.000€ Daňovníkovi A.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 uhradí  preúčtované náklady vo výške 300.000 € subjektu, z prevodu ktorého mu banka vyberie DFT vo výške 40€ (300.000 x 0,004 max 40€).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 identifikuje jednotlivé transakcie.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 xml:space="preserve">V oznámení uvedie DFT vo výške 120€=3x40€; 3 x (100.000 x 0,004 max 40€). 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 si zníži daň o 40€, ktoré už vybrala banka Daňovníkovi A </w:t>
      </w:r>
      <w:proofErr w:type="spellStart"/>
      <w:r w:rsidRPr="003A196B">
        <w:t>a</w:t>
      </w:r>
      <w:proofErr w:type="spellEnd"/>
      <w:r w:rsidRPr="003A196B">
        <w:t> zároveň o 120€, ktoré už vybrala banka od subjektu.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Daňovník A uvedie v oznámení DFT v celkovej výške 120€ -120€ -40€= - 40€ (preplatok).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t>Správca dane príjme celkovo DFT vo výške 120€.</w:t>
      </w:r>
    </w:p>
    <w:p w:rsidR="00FD4205" w:rsidRPr="003A196B" w:rsidRDefault="00FD4205" w:rsidP="00FD4205">
      <w:pPr>
        <w:pStyle w:val="Odsekzoznamu"/>
        <w:ind w:left="1418" w:hanging="11"/>
      </w:pPr>
      <w:r w:rsidRPr="003A196B">
        <w:lastRenderedPageBreak/>
        <w:t xml:space="preserve">Banka daňovníka  podá oznámenie  o výške DFT 40€ a banka subjektu podá oznámenie o výške DFT 120€. </w:t>
      </w:r>
    </w:p>
    <w:p w:rsidR="00FD4205" w:rsidRPr="003A196B" w:rsidRDefault="00FD4205" w:rsidP="00FD4205">
      <w:pPr>
        <w:pStyle w:val="Odsekzoznamu"/>
        <w:ind w:left="4248"/>
      </w:pPr>
    </w:p>
    <w:p w:rsidR="00FD4205" w:rsidRPr="003A196B" w:rsidRDefault="00FD4205" w:rsidP="00FD4205">
      <w:pPr>
        <w:pStyle w:val="Odsekzoznamu"/>
        <w:ind w:left="1418" w:hanging="11"/>
      </w:pPr>
      <w:r w:rsidRPr="003A196B">
        <w:t>V bode 7 sa upravuje lehota platiteľa dane na oznámenie vysvetlenia daňovníkovi o správnosti dane z 30 dní na 60 dní odo dňa doručenia žiadosti.</w:t>
      </w:r>
    </w:p>
    <w:p w:rsidR="00FD4205" w:rsidRDefault="00FD4205" w:rsidP="00FD4205">
      <w:pPr>
        <w:pStyle w:val="Odsekzoznamu"/>
        <w:ind w:left="1418" w:hanging="11"/>
      </w:pPr>
    </w:p>
    <w:p w:rsidR="00FD4205" w:rsidRDefault="00FD4205" w:rsidP="00FD4205">
      <w:pPr>
        <w:pStyle w:val="Odsekzoznamu"/>
        <w:ind w:left="1418" w:hanging="11"/>
      </w:pPr>
      <w:r w:rsidRPr="003A196B">
        <w:t>V bode 8 sa v súlade s potrebami aplikačnej praxe precizuje ustanovenie zákona v súvislosti s preukazovaním skutočnosti podmieňujúcej oslobodenie od dane.</w:t>
      </w:r>
    </w:p>
    <w:p w:rsidR="00FD4205" w:rsidRDefault="00FD4205" w:rsidP="00583F62">
      <w:pPr>
        <w:jc w:val="both"/>
      </w:pPr>
    </w:p>
    <w:p w:rsidR="00583F62" w:rsidRPr="00FA677B" w:rsidRDefault="00583F62" w:rsidP="00583F62">
      <w:pPr>
        <w:jc w:val="both"/>
      </w:pPr>
    </w:p>
    <w:p w:rsidR="001941B9" w:rsidRPr="00C2603E" w:rsidRDefault="001941B9" w:rsidP="001941B9">
      <w:pPr>
        <w:pStyle w:val="Odsekzoznamu"/>
        <w:ind w:left="567" w:hanging="567"/>
        <w:jc w:val="both"/>
      </w:pPr>
    </w:p>
    <w:sectPr w:rsidR="001941B9" w:rsidRPr="00C2603E" w:rsidSect="00C55B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3205"/>
    <w:multiLevelType w:val="hybridMultilevel"/>
    <w:tmpl w:val="74EC1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6EC"/>
    <w:multiLevelType w:val="hybridMultilevel"/>
    <w:tmpl w:val="31FA8A3E"/>
    <w:lvl w:ilvl="0" w:tplc="B242383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4AE2"/>
    <w:multiLevelType w:val="multilevel"/>
    <w:tmpl w:val="153C1084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0" w:hanging="180"/>
      </w:pPr>
    </w:lvl>
  </w:abstractNum>
  <w:abstractNum w:abstractNumId="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263C7"/>
    <w:multiLevelType w:val="hybridMultilevel"/>
    <w:tmpl w:val="A47E2570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74529"/>
    <w:multiLevelType w:val="multilevel"/>
    <w:tmpl w:val="FE687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89B21DE"/>
    <w:multiLevelType w:val="hybridMultilevel"/>
    <w:tmpl w:val="D266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  <w:num w:numId="15">
    <w:abstractNumId w:val="14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DF"/>
    <w:rsid w:val="000B2A62"/>
    <w:rsid w:val="00117DED"/>
    <w:rsid w:val="00174C1B"/>
    <w:rsid w:val="001941B9"/>
    <w:rsid w:val="0024644B"/>
    <w:rsid w:val="00326F7C"/>
    <w:rsid w:val="004151DF"/>
    <w:rsid w:val="004735E0"/>
    <w:rsid w:val="004D31DF"/>
    <w:rsid w:val="00583F62"/>
    <w:rsid w:val="005D6D26"/>
    <w:rsid w:val="006D4D3B"/>
    <w:rsid w:val="00761687"/>
    <w:rsid w:val="007E14BB"/>
    <w:rsid w:val="00911F08"/>
    <w:rsid w:val="00C55BEB"/>
    <w:rsid w:val="00CC14A3"/>
    <w:rsid w:val="00DC5AD4"/>
    <w:rsid w:val="00F24120"/>
    <w:rsid w:val="00F95858"/>
    <w:rsid w:val="00FD4205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4EDC0"/>
  <w15:chartTrackingRefBased/>
  <w15:docId w15:val="{4193A6EE-4E69-4A36-BEE4-98A8AA60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4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644B"/>
    <w:pPr>
      <w:keepNext/>
      <w:jc w:val="both"/>
      <w:outlineLvl w:val="0"/>
    </w:pPr>
    <w:rPr>
      <w:b/>
      <w:bCs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644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4644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644B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44B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List Paragraph,tabulky"/>
    <w:basedOn w:val="Normlny"/>
    <w:link w:val="OdsekzoznamuChar"/>
    <w:uiPriority w:val="34"/>
    <w:qFormat/>
    <w:rsid w:val="00C55BEB"/>
    <w:pPr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,tabulky Char"/>
    <w:basedOn w:val="Predvolenpsmoodseku"/>
    <w:link w:val="Odsekzoznamu"/>
    <w:uiPriority w:val="34"/>
    <w:qFormat/>
    <w:locked/>
    <w:rsid w:val="00C55B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941B9"/>
    <w:pPr>
      <w:ind w:left="284" w:right="-284"/>
    </w:pPr>
    <w:rPr>
      <w:rFonts w:eastAsiaTheme="minorEastAsia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41B9"/>
    <w:rPr>
      <w:rFonts w:ascii="Times New Roman" w:eastAsiaTheme="minorEastAsia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941B9"/>
    <w:pPr>
      <w:ind w:firstLine="284"/>
    </w:pPr>
    <w:rPr>
      <w:rFonts w:eastAsia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941B9"/>
    <w:rPr>
      <w:rFonts w:ascii="Times New Roman" w:eastAsia="Calibri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1941B9"/>
    <w:rPr>
      <w:rFonts w:ascii="Times New Roman" w:eastAsiaTheme="minorEastAsia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1941B9"/>
    <w:pPr>
      <w:tabs>
        <w:tab w:val="center" w:pos="4536"/>
        <w:tab w:val="right" w:pos="9072"/>
      </w:tabs>
      <w:ind w:left="284" w:right="-284"/>
    </w:pPr>
    <w:rPr>
      <w:rFonts w:eastAsiaTheme="minorEastAsia" w:cstheme="minorBidi"/>
    </w:rPr>
  </w:style>
  <w:style w:type="character" w:customStyle="1" w:styleId="HlavikaChar1">
    <w:name w:val="Hlavička Char1"/>
    <w:basedOn w:val="Predvolenpsmoodseku"/>
    <w:uiPriority w:val="99"/>
    <w:semiHidden/>
    <w:rsid w:val="001941B9"/>
    <w:rPr>
      <w:rFonts w:ascii="Times New Roman" w:eastAsia="Times New Roman" w:hAnsi="Times New Roman" w:cs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3F62"/>
    <w:pPr>
      <w:spacing w:after="200"/>
      <w:ind w:left="0" w:right="0"/>
    </w:pPr>
    <w:rPr>
      <w:rFonts w:asciiTheme="minorHAnsi" w:eastAsia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3F62"/>
    <w:rPr>
      <w:rFonts w:ascii="Times New Roman" w:eastAsiaTheme="minorEastAsia" w:hAnsi="Times New Roman"/>
      <w:b/>
      <w:bCs/>
      <w:sz w:val="20"/>
      <w:szCs w:val="20"/>
    </w:rPr>
  </w:style>
  <w:style w:type="paragraph" w:styleId="Zoznam">
    <w:name w:val="List"/>
    <w:basedOn w:val="Zkladntext"/>
    <w:rsid w:val="00583F62"/>
    <w:pPr>
      <w:suppressAutoHyphens/>
      <w:spacing w:after="140" w:line="276" w:lineRule="auto"/>
      <w:ind w:left="434" w:hanging="10"/>
      <w:jc w:val="both"/>
    </w:pPr>
    <w:rPr>
      <w:rFonts w:cs="Mang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1377</Words>
  <Characters>7051</Characters>
  <Application>Microsoft Office Word</Application>
  <DocSecurity>0</DocSecurity>
  <Lines>213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20</cp:revision>
  <cp:lastPrinted>2025-02-05T09:35:00Z</cp:lastPrinted>
  <dcterms:created xsi:type="dcterms:W3CDTF">2024-11-20T11:59:00Z</dcterms:created>
  <dcterms:modified xsi:type="dcterms:W3CDTF">2025-02-05T09:36:00Z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1d09f5dbacc5bd0a37b660334af8ba530a7f83fb6ac07477867d19c4c89e6b38</vt:lpwstr>
  </property>
</Properties>
</file>