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D4F" w:rsidRDefault="00A77B27">
      <w:pPr>
        <w:suppressAutoHyphens/>
        <w:spacing w:before="120" w:after="0" w:line="276" w:lineRule="auto"/>
        <w:jc w:val="center"/>
        <w:rPr>
          <w:rFonts w:ascii="Book Antiqua" w:eastAsia="Book Antiqua" w:hAnsi="Book Antiqua" w:cs="Book Antiqua"/>
        </w:rPr>
      </w:pPr>
      <w:bookmarkStart w:id="0" w:name="_GoBack"/>
      <w:bookmarkEnd w:id="0"/>
      <w:r>
        <w:rPr>
          <w:rFonts w:ascii="Book Antiqua" w:hAnsi="Book Antiqua"/>
          <w:b/>
          <w:bCs/>
          <w:caps/>
          <w:spacing w:val="-1"/>
        </w:rPr>
        <w:t>Dôvodov</w:t>
      </w:r>
      <w:r>
        <w:rPr>
          <w:rFonts w:ascii="Book Antiqua" w:hAnsi="Book Antiqua"/>
          <w:b/>
          <w:bCs/>
          <w:caps/>
          <w:spacing w:val="-1"/>
          <w:lang w:val="pt-PT"/>
        </w:rPr>
        <w:t xml:space="preserve">á </w:t>
      </w:r>
      <w:r>
        <w:rPr>
          <w:rFonts w:ascii="Book Antiqua" w:hAnsi="Book Antiqua"/>
          <w:b/>
          <w:bCs/>
          <w:caps/>
          <w:spacing w:val="-1"/>
        </w:rPr>
        <w:t>správa</w:t>
      </w:r>
    </w:p>
    <w:p w:rsidR="00633D4F" w:rsidRDefault="00A77B27">
      <w:pPr>
        <w:suppressAutoHyphens/>
        <w:spacing w:before="120" w:after="0" w:line="276" w:lineRule="auto"/>
        <w:jc w:val="both"/>
        <w:rPr>
          <w:rFonts w:ascii="Book Antiqua" w:eastAsia="Book Antiqua" w:hAnsi="Book Antiqua" w:cs="Book Antiqua"/>
          <w:b/>
          <w:bCs/>
        </w:rPr>
      </w:pPr>
      <w:r>
        <w:rPr>
          <w:rFonts w:ascii="Book Antiqua" w:hAnsi="Book Antiqua"/>
          <w:b/>
          <w:bCs/>
        </w:rPr>
        <w:t>A. Všeobecná časť</w:t>
      </w:r>
    </w:p>
    <w:p w:rsidR="00633D4F" w:rsidRPr="004F720D" w:rsidRDefault="00A77B27">
      <w:pPr>
        <w:suppressAutoHyphens/>
        <w:spacing w:before="120" w:after="0" w:line="276" w:lineRule="auto"/>
        <w:ind w:firstLine="708"/>
        <w:jc w:val="both"/>
        <w:rPr>
          <w:rFonts w:ascii="Book Antiqua" w:eastAsia="Book Antiqua" w:hAnsi="Book Antiqua" w:cs="Book Antiqua"/>
          <w:noProof/>
        </w:rPr>
      </w:pPr>
      <w:bookmarkStart w:id="1" w:name="_Hlk127446710"/>
      <w:r w:rsidRPr="004F720D">
        <w:rPr>
          <w:rFonts w:ascii="Book Antiqua" w:hAnsi="Book Antiqua"/>
          <w:noProof/>
        </w:rPr>
        <w:t>Návrh zákona, ktorým sa mení zákon č. 222/2004 Z. z. o dani z pridanej hodnoty v znení neskorších predpisov (ďalej len „návrh zákona</w:t>
      </w:r>
      <w:r w:rsidRPr="004F720D">
        <w:rPr>
          <w:rFonts w:ascii="Book Antiqua" w:hAnsi="Book Antiqua"/>
          <w:noProof/>
          <w:rtl/>
        </w:rPr>
        <w:t>“</w:t>
      </w:r>
      <w:r w:rsidRPr="004F720D">
        <w:rPr>
          <w:rFonts w:ascii="Book Antiqua" w:hAnsi="Book Antiqua"/>
          <w:noProof/>
        </w:rPr>
        <w:t xml:space="preserve">) </w:t>
      </w:r>
      <w:bookmarkEnd w:id="1"/>
      <w:r w:rsidRPr="004F720D">
        <w:rPr>
          <w:rFonts w:ascii="Book Antiqua" w:hAnsi="Book Antiqua"/>
          <w:noProof/>
        </w:rPr>
        <w:t xml:space="preserve">predkladá na rokovanie Národnej rady </w:t>
      </w:r>
      <w:bookmarkStart w:id="2" w:name="_Hlk127865084"/>
      <w:r w:rsidRPr="004F720D">
        <w:rPr>
          <w:rFonts w:ascii="Book Antiqua" w:hAnsi="Book Antiqua"/>
          <w:noProof/>
        </w:rPr>
        <w:t xml:space="preserve">Slovenskej republiky skupina </w:t>
      </w:r>
      <w:bookmarkEnd w:id="2"/>
      <w:r w:rsidRPr="004F720D">
        <w:rPr>
          <w:rFonts w:ascii="Book Antiqua" w:hAnsi="Book Antiqua"/>
          <w:noProof/>
        </w:rPr>
        <w:t>poslancov Národnej rady Slovenskej republiky.</w:t>
      </w:r>
    </w:p>
    <w:p w:rsidR="00633D4F" w:rsidRPr="004F720D" w:rsidRDefault="00A77B27">
      <w:pPr>
        <w:suppressAutoHyphens/>
        <w:spacing w:before="120" w:after="0" w:line="276" w:lineRule="auto"/>
        <w:ind w:firstLine="708"/>
        <w:jc w:val="both"/>
        <w:rPr>
          <w:rFonts w:ascii="Book Antiqua" w:eastAsia="Book Antiqua" w:hAnsi="Book Antiqua" w:cs="Book Antiqua"/>
          <w:noProof/>
        </w:rPr>
      </w:pPr>
      <w:r w:rsidRPr="004F720D">
        <w:rPr>
          <w:rFonts w:ascii="Book Antiqua" w:hAnsi="Book Antiqua"/>
          <w:noProof/>
        </w:rPr>
        <w:t xml:space="preserve">Bezprecedentné skokové navýšenie základnej sadzby DPH z 20% na 23% vláda SR obhajovala potrebou konsolidácie verejných financií a zníženia dlhu Slovenskej republiky. Po predstavení a následnom schválení rozpočtu verejnej správy na roky 2025 – 2027 je však jasné, že z novozískaných približne 1,2 mld. € z vyššej sadzby DPH na znižovanie dlhu či ozdravovanie verejných financií nie je použité nič a dlh bude aj naďalej rekordne narastať. </w:t>
      </w:r>
    </w:p>
    <w:p w:rsidR="00633D4F" w:rsidRPr="004F720D" w:rsidRDefault="00A77B27">
      <w:pPr>
        <w:suppressAutoHyphens/>
        <w:spacing w:before="120" w:after="0" w:line="276" w:lineRule="auto"/>
        <w:ind w:firstLine="708"/>
        <w:jc w:val="both"/>
        <w:rPr>
          <w:rFonts w:ascii="Book Antiqua" w:eastAsia="Book Antiqua" w:hAnsi="Book Antiqua" w:cs="Book Antiqua"/>
          <w:noProof/>
        </w:rPr>
      </w:pPr>
      <w:r w:rsidRPr="004F720D">
        <w:rPr>
          <w:rFonts w:ascii="Book Antiqua" w:hAnsi="Book Antiqua"/>
          <w:noProof/>
        </w:rPr>
        <w:t xml:space="preserve">Celkový deficit verejnej správy SR v roku 2024 dosiahol takmer 8 miliárd eur, čo predstavuje </w:t>
      </w:r>
      <w:r w:rsidRPr="004F720D">
        <w:rPr>
          <w:rFonts w:ascii="Book Antiqua" w:hAnsi="Book Antiqua"/>
          <w:b/>
          <w:bCs/>
          <w:noProof/>
        </w:rPr>
        <w:t>takmer 6 %</w:t>
      </w:r>
      <w:r w:rsidRPr="004F720D">
        <w:rPr>
          <w:rFonts w:ascii="Book Antiqua" w:hAnsi="Book Antiqua"/>
          <w:noProof/>
        </w:rPr>
        <w:t xml:space="preserve"> z hrubého domáceho produktu (HDP) Slovenskej republiky. Pre porovnanie, </w:t>
      </w:r>
      <w:r w:rsidR="0039296D" w:rsidRPr="0039296D">
        <w:rPr>
          <w:rFonts w:ascii="Book Antiqua" w:hAnsi="Book Antiqua"/>
          <w:b/>
          <w:noProof/>
        </w:rPr>
        <w:t xml:space="preserve">počas vlády Igora Matoviča v čase najväčších kríz bol deficit v priemere </w:t>
      </w:r>
      <w:r w:rsidR="0039296D">
        <w:rPr>
          <w:rFonts w:ascii="Book Antiqua" w:hAnsi="Book Antiqua"/>
          <w:b/>
          <w:noProof/>
        </w:rPr>
        <w:t>na úrovni</w:t>
      </w:r>
      <w:r w:rsidR="0039296D" w:rsidRPr="0039296D">
        <w:rPr>
          <w:rFonts w:ascii="Book Antiqua" w:hAnsi="Book Antiqua"/>
          <w:b/>
          <w:noProof/>
        </w:rPr>
        <w:t xml:space="preserve"> 4%</w:t>
      </w:r>
      <w:r w:rsidR="0039296D">
        <w:rPr>
          <w:rFonts w:ascii="Book Antiqua" w:hAnsi="Book Antiqua"/>
          <w:b/>
          <w:noProof/>
        </w:rPr>
        <w:t xml:space="preserve"> HDP</w:t>
      </w:r>
      <w:r w:rsidR="0039296D">
        <w:rPr>
          <w:rFonts w:ascii="Book Antiqua" w:hAnsi="Book Antiqua"/>
          <w:noProof/>
        </w:rPr>
        <w:t>. P</w:t>
      </w:r>
      <w:r w:rsidRPr="004F720D">
        <w:rPr>
          <w:rFonts w:ascii="Book Antiqua" w:hAnsi="Book Antiqua"/>
          <w:noProof/>
        </w:rPr>
        <w:t xml:space="preserve">odľa Rady pre rozpočtovú zodpovednosť bol deficit po skončení vlády Eduarda Hegera na úrovni </w:t>
      </w:r>
      <w:r w:rsidRPr="004D30D6">
        <w:rPr>
          <w:rFonts w:ascii="Book Antiqua" w:hAnsi="Book Antiqua"/>
          <w:b/>
          <w:noProof/>
        </w:rPr>
        <w:t>4,4 % HDP</w:t>
      </w:r>
      <w:r w:rsidRPr="004F720D">
        <w:rPr>
          <w:rFonts w:ascii="Book Antiqua" w:hAnsi="Book Antiqua"/>
          <w:noProof/>
        </w:rPr>
        <w:t xml:space="preserve"> a po skončení úradníckej vlády Ľudovíta Ódora na úrovni </w:t>
      </w:r>
      <w:r w:rsidRPr="004D30D6">
        <w:rPr>
          <w:rFonts w:ascii="Book Antiqua" w:hAnsi="Book Antiqua"/>
          <w:b/>
          <w:noProof/>
        </w:rPr>
        <w:t>4,5 % HDP</w:t>
      </w:r>
      <w:r w:rsidRPr="004F720D">
        <w:rPr>
          <w:rFonts w:ascii="Book Antiqua" w:hAnsi="Book Antiqua"/>
          <w:noProof/>
        </w:rPr>
        <w:t xml:space="preserve">. Z uvedeného je zrejmé, že súčasná vláda hospodárila v porovnaní so svojimi predchodcami výrazne horšie a konsolidácia je použitá len na zakrytie ďalšieho plytvania. </w:t>
      </w:r>
    </w:p>
    <w:p w:rsidR="00633D4F" w:rsidRPr="004F720D" w:rsidRDefault="00A77B27">
      <w:pPr>
        <w:suppressAutoHyphens/>
        <w:spacing w:before="120" w:after="0" w:line="276" w:lineRule="auto"/>
        <w:ind w:firstLine="708"/>
        <w:jc w:val="both"/>
        <w:rPr>
          <w:rFonts w:ascii="Book Antiqua" w:eastAsia="Book Antiqua" w:hAnsi="Book Antiqua" w:cs="Book Antiqua"/>
          <w:noProof/>
        </w:rPr>
      </w:pPr>
      <w:r w:rsidRPr="004F720D">
        <w:rPr>
          <w:rFonts w:ascii="Book Antiqua" w:hAnsi="Book Antiqua"/>
          <w:noProof/>
        </w:rPr>
        <w:t>Súčasná vláda napriek schváleným konsolidačným opatreniam v hodnote približne 4,2 miliardy €, ktoré každého občana pripravia o 800 eur ročne, nie je schopná pri deficite verejných financií dosiahnuť ani len úroveň z obdobia, keď v roku 2023 začala vládnuť. Štátny rozpočet na rok 2025 totiž ráta so schodkom vo výške 6,37 mld. €</w:t>
      </w:r>
      <w:r w:rsidRPr="004F720D">
        <w:rPr>
          <w:rFonts w:ascii="Book Antiqua" w:hAnsi="Book Antiqua"/>
          <w:noProof/>
          <w:vertAlign w:val="superscript"/>
        </w:rPr>
        <w:t xml:space="preserve"> </w:t>
      </w:r>
      <w:r w:rsidRPr="004F720D">
        <w:rPr>
          <w:rFonts w:ascii="Book Antiqua" w:hAnsi="Book Antiqua"/>
          <w:noProof/>
        </w:rPr>
        <w:t xml:space="preserve">čo predstavuje </w:t>
      </w:r>
      <w:r w:rsidRPr="004F720D">
        <w:rPr>
          <w:rFonts w:ascii="Book Antiqua" w:hAnsi="Book Antiqua"/>
          <w:b/>
          <w:bCs/>
          <w:noProof/>
        </w:rPr>
        <w:t xml:space="preserve">4,7 </w:t>
      </w:r>
      <w:r w:rsidRPr="0039296D">
        <w:rPr>
          <w:rFonts w:ascii="Book Antiqua" w:hAnsi="Book Antiqua"/>
          <w:b/>
          <w:bCs/>
          <w:noProof/>
        </w:rPr>
        <w:t xml:space="preserve">% </w:t>
      </w:r>
      <w:r w:rsidRPr="0039296D">
        <w:rPr>
          <w:rFonts w:ascii="Book Antiqua" w:hAnsi="Book Antiqua"/>
          <w:b/>
          <w:noProof/>
        </w:rPr>
        <w:t>HDP</w:t>
      </w:r>
      <w:r w:rsidRPr="004F720D">
        <w:rPr>
          <w:rFonts w:ascii="Book Antiqua" w:hAnsi="Book Antiqua"/>
          <w:noProof/>
        </w:rPr>
        <w:t>.</w:t>
      </w:r>
      <w:r w:rsidR="0039296D">
        <w:rPr>
          <w:rFonts w:ascii="Book Antiqua" w:hAnsi="Book Antiqua"/>
          <w:noProof/>
        </w:rPr>
        <w:t xml:space="preserve"> </w:t>
      </w:r>
      <w:r w:rsidRPr="004F720D">
        <w:rPr>
          <w:rFonts w:ascii="Book Antiqua" w:hAnsi="Book Antiqua"/>
          <w:noProof/>
        </w:rPr>
        <w:t xml:space="preserve"> </w:t>
      </w:r>
    </w:p>
    <w:p w:rsidR="00633D4F" w:rsidRPr="004F720D" w:rsidRDefault="00A77B27">
      <w:pPr>
        <w:suppressAutoHyphens/>
        <w:spacing w:before="120" w:after="0" w:line="276" w:lineRule="auto"/>
        <w:ind w:firstLine="708"/>
        <w:jc w:val="both"/>
        <w:rPr>
          <w:rFonts w:ascii="Book Antiqua" w:eastAsia="Book Antiqua" w:hAnsi="Book Antiqua" w:cs="Book Antiqua"/>
          <w:noProof/>
        </w:rPr>
      </w:pPr>
      <w:r w:rsidRPr="004F720D">
        <w:rPr>
          <w:rFonts w:ascii="Book Antiqua" w:hAnsi="Book Antiqua"/>
          <w:noProof/>
        </w:rPr>
        <w:t>Je teda zrejmé, že vláda síce deklarovala znižovanie dlhu Slovenskej republiky, no ani 4,2 miliardy € vybratých z peňaženiek obyvateľov Slovenska nedokázala využiť na akékoľvek zníženie zadĺženia. Práve naopak, zadĺženie rekordne zvyšuje a 4,2 miliardy € sa stráca vo vládnych výdavkoch.</w:t>
      </w:r>
    </w:p>
    <w:p w:rsidR="00633D4F" w:rsidRPr="004F720D" w:rsidRDefault="00A77B27">
      <w:pPr>
        <w:suppressAutoHyphens/>
        <w:spacing w:before="120" w:after="0" w:line="276" w:lineRule="auto"/>
        <w:ind w:firstLine="708"/>
        <w:jc w:val="both"/>
        <w:rPr>
          <w:rFonts w:ascii="Book Antiqua" w:eastAsia="Book Antiqua" w:hAnsi="Book Antiqua" w:cs="Book Antiqua"/>
          <w:noProof/>
          <w:color w:val="FF0000"/>
          <w:u w:color="FF0000"/>
        </w:rPr>
      </w:pPr>
      <w:r w:rsidRPr="004F720D">
        <w:rPr>
          <w:rFonts w:ascii="Book Antiqua" w:hAnsi="Book Antiqua"/>
          <w:noProof/>
        </w:rPr>
        <w:t xml:space="preserve">Vláda celú ťarchu konsolidácie ponechala na pleciach občanov prostredníctvom zvýšených daní a poplatkov a absolútne rezignovala na hospodárne nakladanie s verejnými prostriedkami. V časoch konsolidácie a zvyšovania daní a poplatkov si členovia vlády ostentatívne zdvojnásobili platy na 10 tis. eur mesačne, zriadili nepotrebné ministerstvo cestovného ruchu a športu v sume 240 mil. €, členovia vlády míňajú milióny eur na zbytočné bussiness lietadlá, státisíce eur za luxusné limuzíny či rekonštrukciu rezidencie pre predsedu parlamentu, desaťtisíce eur za nové aranžmány štátnej hymny, schválenie doživotnej renty pre premiéra a podobne.  </w:t>
      </w:r>
    </w:p>
    <w:p w:rsidR="00633D4F" w:rsidRPr="004F720D" w:rsidRDefault="00A77B27">
      <w:pPr>
        <w:suppressAutoHyphens/>
        <w:spacing w:before="120" w:after="0" w:line="276" w:lineRule="auto"/>
        <w:ind w:firstLine="708"/>
        <w:jc w:val="both"/>
        <w:rPr>
          <w:rFonts w:ascii="Book Antiqua" w:hAnsi="Book Antiqua"/>
          <w:noProof/>
        </w:rPr>
      </w:pPr>
      <w:r w:rsidRPr="004F720D">
        <w:rPr>
          <w:rFonts w:ascii="Book Antiqua" w:hAnsi="Book Antiqua"/>
          <w:noProof/>
        </w:rPr>
        <w:t>To znamená, že napriek najdrastickejšiemu zvýšeniu základnej sadzby DPH dlh Slovenskej republiky aj naďalej rastie, a to ešte vyšším tempom.</w:t>
      </w:r>
    </w:p>
    <w:p w:rsidR="00A77B27" w:rsidRPr="004F720D" w:rsidRDefault="00E968BF">
      <w:pPr>
        <w:suppressAutoHyphens/>
        <w:spacing w:before="120" w:after="0" w:line="276" w:lineRule="auto"/>
        <w:ind w:firstLine="708"/>
        <w:jc w:val="both"/>
        <w:rPr>
          <w:rFonts w:ascii="Book Antiqua" w:hAnsi="Book Antiqua"/>
          <w:noProof/>
        </w:rPr>
      </w:pPr>
      <w:r w:rsidRPr="004F720D">
        <w:rPr>
          <w:rFonts w:ascii="Book Antiqua" w:hAnsi="Book Antiqua"/>
          <w:noProof/>
        </w:rPr>
        <w:t xml:space="preserve">Zvýšenie príjmov štátu cez vyššiu DPH je tým najjednodušchím, no zároveň aj najmenej vhodným spôsobom. Vyššia DPH rovnako postihuje všetky skupiny obyvateľstva, bez ohľadu na ich finančné možnosti. Nejestvujú tu žiadne výnimky pre obyvateľov, ktorým v dôsledku zvýšenia cien hrozí prepadnutie sa do pásma chudoby. Neadresnosť a </w:t>
      </w:r>
      <w:r w:rsidRPr="004F720D">
        <w:rPr>
          <w:rFonts w:ascii="Book Antiqua" w:hAnsi="Book Antiqua"/>
          <w:noProof/>
        </w:rPr>
        <w:lastRenderedPageBreak/>
        <w:t xml:space="preserve">všeobecnosť základnej sadzby DPH tak najviac ohrozuje nízkopríjmové skupiny obyvateľstva. </w:t>
      </w:r>
    </w:p>
    <w:p w:rsidR="00E968BF" w:rsidRPr="004F720D" w:rsidRDefault="00A77B27">
      <w:pPr>
        <w:suppressAutoHyphens/>
        <w:spacing w:before="120" w:after="0" w:line="276" w:lineRule="auto"/>
        <w:ind w:firstLine="708"/>
        <w:jc w:val="both"/>
        <w:rPr>
          <w:rFonts w:ascii="Book Antiqua" w:eastAsia="Book Antiqua" w:hAnsi="Book Antiqua" w:cs="Book Antiqua"/>
          <w:noProof/>
        </w:rPr>
      </w:pPr>
      <w:r w:rsidRPr="004F720D">
        <w:rPr>
          <w:rFonts w:ascii="Book Antiqua" w:hAnsi="Book Antiqua"/>
          <w:noProof/>
        </w:rPr>
        <w:t>Zvýšenie základnej sadzby DPH o 3% na jednej strane prináša</w:t>
      </w:r>
      <w:r w:rsidR="00CC3007" w:rsidRPr="004F720D">
        <w:rPr>
          <w:rFonts w:ascii="Book Antiqua" w:hAnsi="Book Antiqua"/>
          <w:noProof/>
        </w:rPr>
        <w:t xml:space="preserve"> na Slovensko drahotu do obchodov</w:t>
      </w:r>
      <w:r w:rsidRPr="004F720D">
        <w:rPr>
          <w:rFonts w:ascii="Book Antiqua" w:hAnsi="Book Antiqua"/>
          <w:noProof/>
        </w:rPr>
        <w:t xml:space="preserve"> a služieb a na druhej strane núti firmy ešte väčšmi </w:t>
      </w:r>
      <w:r w:rsidR="00CC3007" w:rsidRPr="004F720D">
        <w:rPr>
          <w:rFonts w:ascii="Book Antiqua" w:hAnsi="Book Antiqua"/>
          <w:noProof/>
        </w:rPr>
        <w:t>optimalizovať platenie</w:t>
      </w:r>
      <w:r w:rsidRPr="004F720D">
        <w:rPr>
          <w:rFonts w:ascii="Book Antiqua" w:hAnsi="Book Antiqua"/>
          <w:noProof/>
        </w:rPr>
        <w:t xml:space="preserve"> daní</w:t>
      </w:r>
      <w:r w:rsidR="00CC3007" w:rsidRPr="004F720D">
        <w:rPr>
          <w:rFonts w:ascii="Book Antiqua" w:hAnsi="Book Antiqua"/>
          <w:noProof/>
        </w:rPr>
        <w:t xml:space="preserve">. Už dnes sú evidované prípady malých obchodov a prevádzok, ktoré rušia platobné terminály či presúvajú sídla svojich firiem do zahraničia. </w:t>
      </w:r>
      <w:r w:rsidRPr="004F720D">
        <w:rPr>
          <w:rFonts w:ascii="Book Antiqua" w:hAnsi="Book Antiqua"/>
          <w:noProof/>
        </w:rPr>
        <w:t xml:space="preserve"> </w:t>
      </w:r>
      <w:r w:rsidR="00E968BF" w:rsidRPr="004F720D">
        <w:rPr>
          <w:rFonts w:ascii="Book Antiqua" w:hAnsi="Book Antiqua"/>
          <w:noProof/>
        </w:rPr>
        <w:t xml:space="preserve"> </w:t>
      </w:r>
    </w:p>
    <w:p w:rsidR="00633D4F" w:rsidRPr="004F720D" w:rsidRDefault="00A77B27">
      <w:pPr>
        <w:suppressAutoHyphens/>
        <w:spacing w:before="120" w:after="0" w:line="276" w:lineRule="auto"/>
        <w:ind w:firstLine="708"/>
        <w:jc w:val="both"/>
        <w:rPr>
          <w:rFonts w:ascii="Book Antiqua" w:eastAsia="Book Antiqua" w:hAnsi="Book Antiqua" w:cs="Book Antiqua"/>
          <w:noProof/>
        </w:rPr>
      </w:pPr>
      <w:r w:rsidRPr="004F720D">
        <w:rPr>
          <w:rFonts w:ascii="Book Antiqua" w:hAnsi="Book Antiqua"/>
          <w:noProof/>
        </w:rPr>
        <w:t xml:space="preserve">V kontexte minuloročného zvýšenia takmer 900 správnych poplatkov, zrušenia rodičovského dôchodku, zmien v daňovom bonuse na dieťa či zavedení tzv. transakčnej dane, no najmä výrazných navýšeniach rozpočtov ministerstiev a ďalších ústredných orgánov štátnej správy je zrejmé, že zvýšenie základnej sadzby DPH z 20% na 23% neplní svoj proklamovaný účel. </w:t>
      </w:r>
    </w:p>
    <w:p w:rsidR="00633D4F" w:rsidRPr="004F720D" w:rsidRDefault="00A77B27">
      <w:pPr>
        <w:suppressAutoHyphens/>
        <w:spacing w:before="120" w:after="0" w:line="276" w:lineRule="auto"/>
        <w:ind w:firstLine="708"/>
        <w:jc w:val="both"/>
        <w:rPr>
          <w:rFonts w:ascii="Book Antiqua" w:eastAsia="Book Antiqua" w:hAnsi="Book Antiqua" w:cs="Book Antiqua"/>
          <w:noProof/>
        </w:rPr>
      </w:pPr>
      <w:r w:rsidRPr="004F720D">
        <w:rPr>
          <w:rFonts w:ascii="Book Antiqua" w:hAnsi="Book Antiqua"/>
          <w:noProof/>
        </w:rPr>
        <w:t xml:space="preserve">Na základe vyššie uvedených skutočností </w:t>
      </w:r>
      <w:r w:rsidRPr="004F720D">
        <w:rPr>
          <w:rFonts w:ascii="Book Antiqua" w:hAnsi="Book Antiqua"/>
          <w:b/>
          <w:bCs/>
          <w:noProof/>
        </w:rPr>
        <w:t>sa navrhuje vrátiť základnú sadzbu DPH zo súčasných 23% na pôvodných 20%</w:t>
      </w:r>
      <w:r w:rsidRPr="004F720D">
        <w:rPr>
          <w:rFonts w:ascii="Book Antiqua" w:hAnsi="Book Antiqua"/>
          <w:noProof/>
        </w:rPr>
        <w:t>.</w:t>
      </w:r>
    </w:p>
    <w:p w:rsidR="00633D4F" w:rsidRPr="004F720D" w:rsidRDefault="00A77B27">
      <w:pPr>
        <w:suppressAutoHyphens/>
        <w:spacing w:before="120" w:after="0" w:line="276" w:lineRule="auto"/>
        <w:ind w:firstLine="708"/>
        <w:jc w:val="both"/>
        <w:rPr>
          <w:rFonts w:ascii="Book Antiqua" w:eastAsia="Book Antiqua" w:hAnsi="Book Antiqua" w:cs="Book Antiqua"/>
          <w:noProof/>
        </w:rPr>
      </w:pPr>
      <w:r w:rsidRPr="004F720D">
        <w:rPr>
          <w:rFonts w:ascii="Book Antiqua" w:hAnsi="Book Antiqua"/>
          <w:noProof/>
        </w:rPr>
        <w:t xml:space="preserve">Návrh zákona má negatívny vplyv na rozpočet verejnej správy, no zakladá pozitívne sociálne vplyvy pozitívne vplýva aj na podnikateľské prostredie. Návrh zákona nemá žiaden vplyv na životné prostredie, na informatizáciu spoločnosti, na služby verejnej správy pre občana a nezakladá ani žiadne vplyvy na manželstvo, rodičovstvo a rodinu. </w:t>
      </w:r>
    </w:p>
    <w:p w:rsidR="00633D4F" w:rsidRPr="004F720D" w:rsidRDefault="00A77B27">
      <w:pPr>
        <w:suppressAutoHyphens/>
        <w:spacing w:before="120" w:after="0" w:line="276" w:lineRule="auto"/>
        <w:ind w:firstLine="708"/>
        <w:jc w:val="both"/>
        <w:rPr>
          <w:rFonts w:ascii="Book Antiqua" w:eastAsia="Book Antiqua" w:hAnsi="Book Antiqua" w:cs="Book Antiqua"/>
          <w:b/>
          <w:bCs/>
          <w:noProof/>
        </w:rPr>
      </w:pPr>
      <w:r w:rsidRPr="004F720D">
        <w:rPr>
          <w:rFonts w:ascii="Book Antiqua" w:hAnsi="Book Antiqua"/>
          <w:noProof/>
        </w:rPr>
        <w:t>Návrh ústavného zákona je v súlade s Ústavou Slovenskej republiky, ústavnými zákonmi, nálezmi Ústavného súdu Slovenskej republiky, medzinárodnými zmluvami a inými medzinárodnými dokumentmi, ktorými je Slovenská republika viazaná a súčasne je v súlade s právom Európskej únie.</w:t>
      </w:r>
    </w:p>
    <w:p w:rsidR="00633D4F" w:rsidRPr="004F720D" w:rsidRDefault="00633D4F">
      <w:pPr>
        <w:suppressAutoHyphens/>
        <w:spacing w:before="120" w:after="0" w:line="276" w:lineRule="auto"/>
        <w:ind w:firstLine="708"/>
        <w:jc w:val="both"/>
        <w:rPr>
          <w:rFonts w:ascii="Book Antiqua" w:eastAsia="Book Antiqua" w:hAnsi="Book Antiqua" w:cs="Book Antiqua"/>
          <w:b/>
          <w:bCs/>
          <w:noProof/>
        </w:rPr>
      </w:pPr>
    </w:p>
    <w:p w:rsidR="00633D4F" w:rsidRPr="004F720D" w:rsidRDefault="00A77B27">
      <w:pPr>
        <w:spacing w:after="0" w:line="240" w:lineRule="auto"/>
        <w:rPr>
          <w:noProof/>
        </w:rPr>
      </w:pPr>
      <w:r w:rsidRPr="004F720D">
        <w:rPr>
          <w:rFonts w:ascii="Arial Unicode MS" w:hAnsi="Arial Unicode MS"/>
          <w:noProof/>
        </w:rPr>
        <w:br w:type="page"/>
      </w:r>
    </w:p>
    <w:p w:rsidR="00633D4F" w:rsidRPr="004F720D" w:rsidRDefault="00A77B27">
      <w:pPr>
        <w:tabs>
          <w:tab w:val="left" w:pos="970"/>
        </w:tabs>
        <w:suppressAutoHyphens/>
        <w:spacing w:before="120" w:after="0" w:line="276" w:lineRule="auto"/>
        <w:jc w:val="both"/>
        <w:rPr>
          <w:rFonts w:ascii="Book Antiqua" w:eastAsia="Book Antiqua" w:hAnsi="Book Antiqua" w:cs="Book Antiqua"/>
          <w:b/>
          <w:bCs/>
          <w:noProof/>
        </w:rPr>
      </w:pPr>
      <w:r w:rsidRPr="004F720D">
        <w:rPr>
          <w:rFonts w:ascii="Book Antiqua" w:hAnsi="Book Antiqua"/>
          <w:b/>
          <w:bCs/>
          <w:noProof/>
        </w:rPr>
        <w:lastRenderedPageBreak/>
        <w:t>B. Osobitná časť</w:t>
      </w:r>
    </w:p>
    <w:p w:rsidR="00633D4F" w:rsidRPr="004F720D" w:rsidRDefault="00A77B27">
      <w:pPr>
        <w:suppressAutoHyphens/>
        <w:spacing w:before="120" w:after="0" w:line="276" w:lineRule="auto"/>
        <w:ind w:firstLine="708"/>
        <w:jc w:val="both"/>
        <w:rPr>
          <w:rFonts w:ascii="Book Antiqua" w:eastAsia="Book Antiqua" w:hAnsi="Book Antiqua" w:cs="Book Antiqua"/>
          <w:noProof/>
        </w:rPr>
      </w:pPr>
      <w:r w:rsidRPr="004F720D">
        <w:rPr>
          <w:rFonts w:ascii="Book Antiqua" w:hAnsi="Book Antiqua"/>
          <w:noProof/>
        </w:rPr>
        <w:t>Celkový deficit verejnej správy SR v roku 2024 vo výške takmer 8 miliárd eur dvojnásobne prekonal aj deficity pandemických a krízových rokov 2020 až 2023. Slovenská republika nemala tak vysoký schodok štátneho rozpočtu ani v časoch kedy bola v dôsledku prakticky nulových hotovostných rezerv a vzniku celosvetovej covidovej pandémie, vojny na Ukrajine a s tým súvisiacim rastom cien energií a inflácie nútená vynakladať obrovské množstvo financií na pomoc obyvateľstvu a zabezpečenie riadneho chodu štátu.</w:t>
      </w:r>
    </w:p>
    <w:p w:rsidR="00633D4F" w:rsidRPr="004F720D" w:rsidRDefault="00A77B27">
      <w:pPr>
        <w:suppressAutoHyphens/>
        <w:spacing w:before="120" w:after="0" w:line="276" w:lineRule="auto"/>
        <w:ind w:firstLine="708"/>
        <w:jc w:val="both"/>
        <w:rPr>
          <w:rFonts w:ascii="Book Antiqua" w:eastAsia="Book Antiqua" w:hAnsi="Book Antiqua" w:cs="Book Antiqua"/>
          <w:noProof/>
        </w:rPr>
      </w:pPr>
      <w:r w:rsidRPr="004F720D">
        <w:rPr>
          <w:rFonts w:ascii="Book Antiqua" w:hAnsi="Book Antiqua"/>
          <w:noProof/>
        </w:rPr>
        <w:t>Deficit prekračujúci 6 resp. 8 miliárd eur dva roky po sebe (2024 a 2025), bez nutnosti vynakladania financií na nepredvídateľné okolnosti akými boli už uvedené krízy, a napriek zavedeniu nových daní (napr. transakčná daň), zvýšeniu viac ako 900 správnych poplatkov, zrušeniu množstva sociálnych benefitov (napr. zrušenie rodičovského dôchodku, zníženiu daňových bonusov na dieťa atď.) a skokovému drastickému zvýšeniu DPH z 20% na 23% svedči o absolútnom amaterizme a neschopnosti hospodárenia s verejnými financiami.</w:t>
      </w:r>
    </w:p>
    <w:p w:rsidR="00633D4F" w:rsidRPr="004F720D" w:rsidRDefault="00A77B27">
      <w:pPr>
        <w:suppressAutoHyphens/>
        <w:spacing w:before="120" w:after="0" w:line="276" w:lineRule="auto"/>
        <w:ind w:firstLine="708"/>
        <w:jc w:val="both"/>
        <w:rPr>
          <w:rFonts w:ascii="Book Antiqua" w:eastAsia="Book Antiqua" w:hAnsi="Book Antiqua" w:cs="Book Antiqua"/>
          <w:noProof/>
        </w:rPr>
      </w:pPr>
      <w:r w:rsidRPr="004F720D">
        <w:rPr>
          <w:rFonts w:ascii="Book Antiqua" w:hAnsi="Book Antiqua"/>
          <w:noProof/>
        </w:rPr>
        <w:t xml:space="preserve">Občania Slovenskej republiky sa skrz 3% navýšenie základnej sadzby DPH z vlastných peňazí skladajú na dvojnásobné platy členov vlády no hlavne na neraz nekontrolované plytvanie verejnými zdrojmi. Či už ide o stámiliónové nákupy vojenskej techniky alebo menšie zákazky na ostatných ministerstvách, princíp ostáva nezmenený – namiesto efektívneho a hospodárenia štátu pri nakladaní s verejnými financiami, nesú bremeno vysokých výdavkov štátu ekonomicky aktívny občania a firmy. </w:t>
      </w:r>
    </w:p>
    <w:p w:rsidR="00633D4F" w:rsidRPr="004F720D" w:rsidRDefault="00A77B27">
      <w:pPr>
        <w:suppressAutoHyphens/>
        <w:spacing w:before="120" w:after="0" w:line="276" w:lineRule="auto"/>
        <w:ind w:firstLine="708"/>
        <w:jc w:val="both"/>
        <w:rPr>
          <w:rFonts w:ascii="Book Antiqua" w:eastAsia="Book Antiqua" w:hAnsi="Book Antiqua" w:cs="Book Antiqua"/>
          <w:noProof/>
        </w:rPr>
      </w:pPr>
      <w:r w:rsidRPr="004F720D">
        <w:rPr>
          <w:rFonts w:ascii="Book Antiqua" w:hAnsi="Book Antiqua"/>
          <w:noProof/>
        </w:rPr>
        <w:t xml:space="preserve">Schválený zákon o štátnom rozpočte na rok 2025 jasne preukázal, že vláda sa spreneverila svojmu záväzku, že prostredníctvom vyššej DPH zníži verejný dlh a ozdraví verejné financie. </w:t>
      </w:r>
    </w:p>
    <w:p w:rsidR="00633D4F" w:rsidRPr="004F720D" w:rsidRDefault="00A77B27">
      <w:pPr>
        <w:suppressAutoHyphens/>
        <w:spacing w:before="120" w:after="0" w:line="276" w:lineRule="auto"/>
        <w:ind w:firstLine="708"/>
        <w:jc w:val="both"/>
        <w:rPr>
          <w:rFonts w:ascii="Book Antiqua" w:eastAsia="Book Antiqua" w:hAnsi="Book Antiqua" w:cs="Book Antiqua"/>
          <w:noProof/>
          <w:color w:val="FF0000"/>
          <w:u w:color="FF0000"/>
        </w:rPr>
      </w:pPr>
      <w:r w:rsidRPr="004F720D">
        <w:rPr>
          <w:rFonts w:ascii="Book Antiqua" w:hAnsi="Book Antiqua"/>
          <w:noProof/>
        </w:rPr>
        <w:t xml:space="preserve">Na základe vyššie uvedených skutočností sa preto navrhuje znížiť základnú sadzbu DPH zo súčasných 23% na pôvodných 20%.  </w:t>
      </w:r>
    </w:p>
    <w:p w:rsidR="00633D4F" w:rsidRPr="004F720D" w:rsidRDefault="00633D4F">
      <w:pPr>
        <w:suppressAutoHyphens/>
        <w:spacing w:before="120" w:after="120" w:line="276" w:lineRule="auto"/>
        <w:jc w:val="both"/>
        <w:rPr>
          <w:rFonts w:ascii="Book Antiqua" w:eastAsia="Book Antiqua" w:hAnsi="Book Antiqua" w:cs="Book Antiqua"/>
          <w:noProof/>
        </w:rPr>
      </w:pPr>
    </w:p>
    <w:p w:rsidR="00633D4F" w:rsidRPr="004F720D" w:rsidRDefault="00A77B27">
      <w:pPr>
        <w:suppressAutoHyphens/>
        <w:spacing w:before="120" w:after="120" w:line="276" w:lineRule="auto"/>
        <w:jc w:val="both"/>
        <w:rPr>
          <w:rFonts w:ascii="Book Antiqua" w:eastAsia="Book Antiqua" w:hAnsi="Book Antiqua" w:cs="Book Antiqua"/>
          <w:b/>
          <w:bCs/>
          <w:noProof/>
        </w:rPr>
      </w:pPr>
      <w:r w:rsidRPr="004F720D">
        <w:rPr>
          <w:rFonts w:ascii="Book Antiqua" w:hAnsi="Book Antiqua"/>
          <w:b/>
          <w:bCs/>
          <w:noProof/>
        </w:rPr>
        <w:t>K Čl. II</w:t>
      </w:r>
    </w:p>
    <w:p w:rsidR="00633D4F" w:rsidRPr="004F720D" w:rsidRDefault="00A77B27">
      <w:pPr>
        <w:suppressAutoHyphens/>
        <w:spacing w:before="120" w:after="120" w:line="276" w:lineRule="auto"/>
        <w:ind w:firstLine="708"/>
        <w:jc w:val="both"/>
        <w:rPr>
          <w:rFonts w:ascii="Book Antiqua" w:eastAsia="Book Antiqua" w:hAnsi="Book Antiqua" w:cs="Book Antiqua"/>
          <w:noProof/>
        </w:rPr>
      </w:pPr>
      <w:r w:rsidRPr="004F720D">
        <w:rPr>
          <w:rFonts w:ascii="Book Antiqua" w:hAnsi="Book Antiqua"/>
          <w:noProof/>
        </w:rPr>
        <w:t>Navrhuje sa účinnosť zákona, a to od 1. jú</w:t>
      </w:r>
      <w:r w:rsidR="00CB09EF" w:rsidRPr="004F720D">
        <w:rPr>
          <w:rFonts w:ascii="Book Antiqua" w:hAnsi="Book Antiqua"/>
          <w:noProof/>
        </w:rPr>
        <w:t>l</w:t>
      </w:r>
      <w:r w:rsidRPr="004F720D">
        <w:rPr>
          <w:rFonts w:ascii="Book Antiqua" w:hAnsi="Book Antiqua"/>
          <w:noProof/>
        </w:rPr>
        <w:t>a 2025.</w:t>
      </w:r>
    </w:p>
    <w:p w:rsidR="00633D4F" w:rsidRPr="004F720D" w:rsidRDefault="00633D4F">
      <w:pPr>
        <w:suppressAutoHyphens/>
        <w:spacing w:before="120" w:after="0" w:line="276" w:lineRule="auto"/>
        <w:jc w:val="both"/>
        <w:rPr>
          <w:rFonts w:ascii="Book Antiqua" w:eastAsia="Book Antiqua" w:hAnsi="Book Antiqua" w:cs="Book Antiqua"/>
          <w:noProof/>
        </w:rPr>
      </w:pPr>
    </w:p>
    <w:p w:rsidR="00633D4F" w:rsidRPr="004F720D" w:rsidRDefault="00633D4F">
      <w:pPr>
        <w:spacing w:before="120" w:after="0" w:line="276" w:lineRule="auto"/>
        <w:rPr>
          <w:rFonts w:ascii="Book Antiqua" w:eastAsia="Book Antiqua" w:hAnsi="Book Antiqua" w:cs="Book Antiqua"/>
          <w:noProof/>
        </w:rPr>
      </w:pPr>
    </w:p>
    <w:p w:rsidR="00633D4F" w:rsidRPr="004F720D" w:rsidRDefault="00633D4F">
      <w:pPr>
        <w:spacing w:before="120" w:after="0" w:line="276" w:lineRule="auto"/>
        <w:rPr>
          <w:rFonts w:ascii="Book Antiqua" w:eastAsia="Book Antiqua" w:hAnsi="Book Antiqua" w:cs="Book Antiqua"/>
          <w:noProof/>
        </w:rPr>
      </w:pPr>
    </w:p>
    <w:p w:rsidR="00633D4F" w:rsidRPr="004F720D" w:rsidRDefault="00633D4F">
      <w:pPr>
        <w:spacing w:before="120" w:after="0" w:line="276" w:lineRule="auto"/>
        <w:rPr>
          <w:rFonts w:ascii="Book Antiqua" w:eastAsia="Book Antiqua" w:hAnsi="Book Antiqua" w:cs="Book Antiqua"/>
          <w:noProof/>
        </w:rPr>
      </w:pPr>
    </w:p>
    <w:p w:rsidR="00633D4F" w:rsidRPr="004F720D" w:rsidRDefault="00633D4F">
      <w:pPr>
        <w:spacing w:before="120" w:after="0" w:line="276" w:lineRule="auto"/>
        <w:rPr>
          <w:rFonts w:ascii="Book Antiqua" w:eastAsia="Book Antiqua" w:hAnsi="Book Antiqua" w:cs="Book Antiqua"/>
          <w:noProof/>
        </w:rPr>
      </w:pPr>
    </w:p>
    <w:p w:rsidR="00633D4F" w:rsidRPr="004F720D" w:rsidRDefault="00A77B27">
      <w:pPr>
        <w:spacing w:after="0" w:line="240" w:lineRule="auto"/>
        <w:rPr>
          <w:noProof/>
        </w:rPr>
      </w:pPr>
      <w:r w:rsidRPr="004F720D">
        <w:rPr>
          <w:rFonts w:ascii="Arial Unicode MS" w:hAnsi="Arial Unicode MS"/>
          <w:caps/>
          <w:noProof/>
          <w:spacing w:val="-1"/>
        </w:rPr>
        <w:br w:type="page"/>
      </w:r>
    </w:p>
    <w:p w:rsidR="00633D4F" w:rsidRPr="004F720D" w:rsidRDefault="00A77B27">
      <w:pPr>
        <w:spacing w:before="120" w:after="0" w:line="276" w:lineRule="auto"/>
        <w:jc w:val="center"/>
        <w:rPr>
          <w:rFonts w:ascii="Book Antiqua" w:eastAsia="Book Antiqua" w:hAnsi="Book Antiqua" w:cs="Book Antiqua"/>
          <w:noProof/>
        </w:rPr>
      </w:pPr>
      <w:r w:rsidRPr="004F720D">
        <w:rPr>
          <w:rFonts w:ascii="Book Antiqua" w:hAnsi="Book Antiqua"/>
          <w:b/>
          <w:bCs/>
          <w:caps/>
          <w:noProof/>
          <w:spacing w:val="-1"/>
        </w:rPr>
        <w:lastRenderedPageBreak/>
        <w:t>DOLOŽKA ZLUČITEĽNOSTI</w:t>
      </w:r>
    </w:p>
    <w:p w:rsidR="00633D4F" w:rsidRPr="004F720D" w:rsidRDefault="00A77B27">
      <w:pPr>
        <w:spacing w:before="120" w:after="0" w:line="276" w:lineRule="auto"/>
        <w:jc w:val="center"/>
        <w:rPr>
          <w:rFonts w:ascii="Book Antiqua" w:eastAsia="Book Antiqua" w:hAnsi="Book Antiqua" w:cs="Book Antiqua"/>
          <w:noProof/>
        </w:rPr>
      </w:pPr>
      <w:r w:rsidRPr="004F720D">
        <w:rPr>
          <w:rFonts w:ascii="Book Antiqua" w:hAnsi="Book Antiqua"/>
          <w:b/>
          <w:bCs/>
          <w:noProof/>
        </w:rPr>
        <w:t>návrhu zákona</w:t>
      </w:r>
      <w:r w:rsidRPr="004F720D">
        <w:rPr>
          <w:rFonts w:ascii="Book Antiqua" w:hAnsi="Book Antiqua"/>
          <w:noProof/>
        </w:rPr>
        <w:t xml:space="preserve"> </w:t>
      </w:r>
      <w:r w:rsidRPr="004F720D">
        <w:rPr>
          <w:rFonts w:ascii="Book Antiqua" w:hAnsi="Book Antiqua"/>
          <w:b/>
          <w:bCs/>
          <w:noProof/>
        </w:rPr>
        <w:t>s právom Európskej únie</w:t>
      </w:r>
    </w:p>
    <w:p w:rsidR="00633D4F" w:rsidRPr="004F720D" w:rsidRDefault="00633D4F">
      <w:pPr>
        <w:spacing w:before="120" w:after="0" w:line="276" w:lineRule="auto"/>
        <w:jc w:val="both"/>
        <w:rPr>
          <w:rFonts w:ascii="Book Antiqua" w:eastAsia="Book Antiqua" w:hAnsi="Book Antiqua" w:cs="Book Antiqua"/>
          <w:noProof/>
        </w:rPr>
      </w:pPr>
    </w:p>
    <w:p w:rsidR="00633D4F" w:rsidRPr="004F720D" w:rsidRDefault="00A77B27">
      <w:pPr>
        <w:spacing w:before="120" w:after="0" w:line="276" w:lineRule="auto"/>
        <w:jc w:val="both"/>
        <w:rPr>
          <w:rFonts w:ascii="Book Antiqua" w:eastAsia="Book Antiqua" w:hAnsi="Book Antiqua" w:cs="Book Antiqua"/>
          <w:noProof/>
        </w:rPr>
      </w:pPr>
      <w:r w:rsidRPr="004F720D">
        <w:rPr>
          <w:rFonts w:ascii="Book Antiqua" w:hAnsi="Book Antiqua"/>
          <w:b/>
          <w:bCs/>
          <w:noProof/>
        </w:rPr>
        <w:t>1. Navrhovateľ ústavného zákona:</w:t>
      </w:r>
      <w:r w:rsidRPr="004F720D">
        <w:rPr>
          <w:rFonts w:ascii="Book Antiqua" w:hAnsi="Book Antiqua"/>
          <w:noProof/>
        </w:rPr>
        <w:t xml:space="preserve"> skupina poslancov Národnej rady Slovenskej republiky </w:t>
      </w:r>
    </w:p>
    <w:p w:rsidR="00633D4F" w:rsidRPr="004F720D" w:rsidRDefault="00633D4F">
      <w:pPr>
        <w:spacing w:before="120" w:after="0" w:line="276" w:lineRule="auto"/>
        <w:jc w:val="both"/>
        <w:rPr>
          <w:rFonts w:ascii="Book Antiqua" w:eastAsia="Book Antiqua" w:hAnsi="Book Antiqua" w:cs="Book Antiqua"/>
          <w:noProof/>
        </w:rPr>
      </w:pPr>
    </w:p>
    <w:p w:rsidR="00633D4F" w:rsidRPr="004F720D" w:rsidRDefault="00A77B27">
      <w:pPr>
        <w:spacing w:before="120" w:after="0" w:line="276" w:lineRule="auto"/>
        <w:jc w:val="both"/>
        <w:rPr>
          <w:rFonts w:ascii="Book Antiqua" w:eastAsia="Book Antiqua" w:hAnsi="Book Antiqua" w:cs="Book Antiqua"/>
          <w:noProof/>
        </w:rPr>
      </w:pPr>
      <w:r w:rsidRPr="004F720D">
        <w:rPr>
          <w:rFonts w:ascii="Book Antiqua" w:hAnsi="Book Antiqua"/>
          <w:b/>
          <w:bCs/>
          <w:noProof/>
        </w:rPr>
        <w:t>2. Názov návrhu ústavného zákona:</w:t>
      </w:r>
      <w:r w:rsidRPr="004F720D">
        <w:rPr>
          <w:rFonts w:ascii="Book Antiqua" w:hAnsi="Book Antiqua"/>
          <w:noProof/>
        </w:rPr>
        <w:t xml:space="preserve"> návrh zákona, ktorým sa mení zákon č. 222/2004 Z. z. o dani z pridanej hodnoty v znení neskorších predpisov</w:t>
      </w:r>
    </w:p>
    <w:p w:rsidR="00633D4F" w:rsidRPr="004F720D" w:rsidRDefault="00633D4F">
      <w:pPr>
        <w:spacing w:before="120" w:after="0" w:line="276" w:lineRule="auto"/>
        <w:jc w:val="both"/>
        <w:rPr>
          <w:rFonts w:ascii="Book Antiqua" w:eastAsia="Book Antiqua" w:hAnsi="Book Antiqua" w:cs="Book Antiqua"/>
          <w:noProof/>
        </w:rPr>
      </w:pPr>
    </w:p>
    <w:p w:rsidR="00633D4F" w:rsidRPr="004F720D" w:rsidRDefault="00A77B27">
      <w:pPr>
        <w:spacing w:before="120" w:after="0" w:line="276" w:lineRule="auto"/>
        <w:jc w:val="both"/>
        <w:rPr>
          <w:rFonts w:ascii="Book Antiqua" w:eastAsia="Book Antiqua" w:hAnsi="Book Antiqua" w:cs="Book Antiqua"/>
          <w:b/>
          <w:bCs/>
          <w:noProof/>
        </w:rPr>
      </w:pPr>
      <w:r w:rsidRPr="004F720D">
        <w:rPr>
          <w:rFonts w:ascii="Book Antiqua" w:hAnsi="Book Antiqua"/>
          <w:b/>
          <w:bCs/>
          <w:noProof/>
        </w:rPr>
        <w:t>3. Predmet návrhu zákona:</w:t>
      </w:r>
    </w:p>
    <w:p w:rsidR="00633D4F" w:rsidRPr="004F720D" w:rsidRDefault="00A77B27">
      <w:pPr>
        <w:numPr>
          <w:ilvl w:val="0"/>
          <w:numId w:val="2"/>
        </w:numPr>
        <w:spacing w:before="120" w:after="0" w:line="276" w:lineRule="auto"/>
        <w:jc w:val="both"/>
        <w:rPr>
          <w:rFonts w:ascii="Book Antiqua" w:hAnsi="Book Antiqua"/>
          <w:b/>
          <w:bCs/>
          <w:noProof/>
        </w:rPr>
      </w:pPr>
      <w:r w:rsidRPr="004F720D">
        <w:rPr>
          <w:rFonts w:ascii="Book Antiqua" w:hAnsi="Book Antiqua"/>
          <w:b/>
          <w:bCs/>
          <w:noProof/>
        </w:rPr>
        <w:t>je upravený v primárnom práve Európskej únie, a to v:</w:t>
      </w:r>
    </w:p>
    <w:p w:rsidR="00633D4F" w:rsidRPr="004F720D" w:rsidRDefault="00A77B27">
      <w:pPr>
        <w:spacing w:before="120" w:after="0" w:line="276" w:lineRule="auto"/>
        <w:ind w:left="720"/>
        <w:jc w:val="both"/>
        <w:rPr>
          <w:rFonts w:ascii="Book Antiqua" w:eastAsia="Book Antiqua" w:hAnsi="Book Antiqua" w:cs="Book Antiqua"/>
          <w:noProof/>
        </w:rPr>
      </w:pPr>
      <w:r w:rsidRPr="004F720D">
        <w:rPr>
          <w:rFonts w:ascii="Book Antiqua" w:hAnsi="Book Antiqua"/>
          <w:noProof/>
        </w:rPr>
        <w:t>- čl. 113 Zmluvy o fungovaní Európskej únie (Ú. v. EÚ C 202, 7. 6. 2016) v platnom znení.</w:t>
      </w:r>
    </w:p>
    <w:p w:rsidR="00633D4F" w:rsidRPr="004F720D" w:rsidRDefault="00A77B27">
      <w:pPr>
        <w:numPr>
          <w:ilvl w:val="0"/>
          <w:numId w:val="2"/>
        </w:numPr>
        <w:spacing w:before="120" w:after="0" w:line="276" w:lineRule="auto"/>
        <w:jc w:val="both"/>
        <w:rPr>
          <w:rFonts w:ascii="Book Antiqua" w:hAnsi="Book Antiqua"/>
          <w:b/>
          <w:bCs/>
          <w:noProof/>
        </w:rPr>
      </w:pPr>
      <w:r w:rsidRPr="004F720D">
        <w:rPr>
          <w:rFonts w:ascii="Book Antiqua" w:hAnsi="Book Antiqua"/>
          <w:b/>
          <w:bCs/>
          <w:noProof/>
        </w:rPr>
        <w:t xml:space="preserve">je upravený v sekundárnom práve Európskej únie, a to v: </w:t>
      </w:r>
    </w:p>
    <w:p w:rsidR="00633D4F" w:rsidRPr="004F720D" w:rsidRDefault="00A77B27">
      <w:pPr>
        <w:spacing w:before="120" w:after="0" w:line="276" w:lineRule="auto"/>
        <w:ind w:left="720"/>
        <w:jc w:val="both"/>
        <w:rPr>
          <w:rFonts w:ascii="Book Antiqua" w:eastAsia="Book Antiqua" w:hAnsi="Book Antiqua" w:cs="Book Antiqua"/>
          <w:noProof/>
        </w:rPr>
      </w:pPr>
      <w:r w:rsidRPr="004F720D">
        <w:rPr>
          <w:rFonts w:ascii="Book Antiqua" w:hAnsi="Book Antiqua"/>
          <w:noProof/>
        </w:rPr>
        <w:t>- smernica Rady 2006/112/ES z  28. novembra 2006 o spoločnom systéme dane z pridanej hodnoty (Ú. v. EÚ L 347, 11. 12. 2006) v platnom znení, gestor: MF SR,</w:t>
      </w:r>
    </w:p>
    <w:p w:rsidR="00633D4F" w:rsidRPr="004F720D" w:rsidRDefault="00A77B27">
      <w:pPr>
        <w:spacing w:before="120" w:after="0" w:line="276" w:lineRule="auto"/>
        <w:ind w:left="720"/>
        <w:jc w:val="both"/>
        <w:rPr>
          <w:rFonts w:ascii="Book Antiqua" w:eastAsia="Book Antiqua" w:hAnsi="Book Antiqua" w:cs="Book Antiqua"/>
          <w:noProof/>
        </w:rPr>
      </w:pPr>
      <w:r w:rsidRPr="004F720D">
        <w:rPr>
          <w:rFonts w:ascii="Book Antiqua" w:hAnsi="Book Antiqua"/>
          <w:noProof/>
        </w:rPr>
        <w:t>- smernica Rady (EÚ) 2018/912 z 22. júna 2018, ktorou sa mení smernica 2006/112/ES o spoločnom systéme dane z pridanej hodnoty, pokiaľ ide o povinnosť uplatňovať minimálnu štandardnú sadzbu (Ú. v. EÚ L 162, 27.6.2018), gestor: MF SR,</w:t>
      </w:r>
    </w:p>
    <w:p w:rsidR="00633D4F" w:rsidRPr="004F720D" w:rsidRDefault="00A77B27">
      <w:pPr>
        <w:numPr>
          <w:ilvl w:val="0"/>
          <w:numId w:val="2"/>
        </w:numPr>
        <w:spacing w:before="120" w:after="0" w:line="276" w:lineRule="auto"/>
        <w:jc w:val="both"/>
        <w:rPr>
          <w:rFonts w:ascii="Book Antiqua" w:hAnsi="Book Antiqua"/>
          <w:b/>
          <w:bCs/>
          <w:noProof/>
        </w:rPr>
      </w:pPr>
      <w:r w:rsidRPr="004F720D">
        <w:rPr>
          <w:rFonts w:ascii="Book Antiqua" w:hAnsi="Book Antiqua"/>
          <w:b/>
          <w:bCs/>
          <w:noProof/>
        </w:rPr>
        <w:t>nie je obsiahnutý v judikatúre Súdneho dvora Európskej únie.</w:t>
      </w:r>
    </w:p>
    <w:p w:rsidR="00633D4F" w:rsidRPr="004F720D" w:rsidRDefault="00633D4F">
      <w:pPr>
        <w:rPr>
          <w:rFonts w:ascii="Book Antiqua" w:eastAsia="Book Antiqua" w:hAnsi="Book Antiqua" w:cs="Book Antiqua"/>
          <w:b/>
          <w:bCs/>
          <w:noProof/>
        </w:rPr>
      </w:pPr>
    </w:p>
    <w:p w:rsidR="00633D4F" w:rsidRPr="004F720D" w:rsidRDefault="00A77B27">
      <w:pPr>
        <w:rPr>
          <w:rFonts w:ascii="Book Antiqua" w:eastAsia="Book Antiqua" w:hAnsi="Book Antiqua" w:cs="Book Antiqua"/>
          <w:b/>
          <w:bCs/>
          <w:noProof/>
        </w:rPr>
      </w:pPr>
      <w:r w:rsidRPr="004F720D">
        <w:rPr>
          <w:rFonts w:ascii="Book Antiqua" w:hAnsi="Book Antiqua"/>
          <w:b/>
          <w:bCs/>
          <w:noProof/>
        </w:rPr>
        <w:t>4. Záväzky Slovenskej republiky vo vzťahu k Európskej únii:</w:t>
      </w:r>
    </w:p>
    <w:p w:rsidR="00633D4F" w:rsidRPr="004F720D" w:rsidRDefault="00A77B27">
      <w:pPr>
        <w:pStyle w:val="Odsekzoznamu"/>
        <w:numPr>
          <w:ilvl w:val="0"/>
          <w:numId w:val="4"/>
        </w:numPr>
        <w:rPr>
          <w:rFonts w:ascii="Book Antiqua" w:hAnsi="Book Antiqua"/>
          <w:noProof/>
        </w:rPr>
      </w:pPr>
      <w:r w:rsidRPr="004F720D">
        <w:rPr>
          <w:rFonts w:ascii="Book Antiqua" w:hAnsi="Book Antiqua"/>
          <w:noProof/>
        </w:rPr>
        <w:t>Lehota na prebratie smernice 2006/112/ES bola stanovená do 1. 1. 2008.</w:t>
      </w:r>
    </w:p>
    <w:p w:rsidR="00633D4F" w:rsidRPr="004F720D" w:rsidRDefault="00A77B27">
      <w:pPr>
        <w:pStyle w:val="Odsekzoznamu"/>
        <w:rPr>
          <w:rFonts w:ascii="Book Antiqua" w:eastAsia="Book Antiqua" w:hAnsi="Book Antiqua" w:cs="Book Antiqua"/>
          <w:noProof/>
        </w:rPr>
      </w:pPr>
      <w:r w:rsidRPr="004F720D">
        <w:rPr>
          <w:rFonts w:ascii="Book Antiqua" w:hAnsi="Book Antiqua"/>
          <w:noProof/>
        </w:rPr>
        <w:t>Lehota na prebratie smernice (EÚ) 2018/912 bola stanovená do 1. 9. 2018.</w:t>
      </w:r>
    </w:p>
    <w:p w:rsidR="00633D4F" w:rsidRPr="004F720D" w:rsidRDefault="00633D4F">
      <w:pPr>
        <w:pStyle w:val="Odsekzoznamu"/>
        <w:rPr>
          <w:rFonts w:ascii="Book Antiqua" w:eastAsia="Book Antiqua" w:hAnsi="Book Antiqua" w:cs="Book Antiqua"/>
          <w:noProof/>
        </w:rPr>
      </w:pPr>
    </w:p>
    <w:p w:rsidR="00633D4F" w:rsidRPr="004F720D" w:rsidRDefault="00A77B27">
      <w:pPr>
        <w:pStyle w:val="Odsekzoznamu"/>
        <w:numPr>
          <w:ilvl w:val="0"/>
          <w:numId w:val="4"/>
        </w:numPr>
        <w:rPr>
          <w:rFonts w:ascii="Book Antiqua" w:hAnsi="Book Antiqua"/>
          <w:noProof/>
        </w:rPr>
      </w:pPr>
      <w:r w:rsidRPr="004F720D">
        <w:rPr>
          <w:rFonts w:ascii="Book Antiqua" w:hAnsi="Book Antiqua"/>
          <w:noProof/>
        </w:rPr>
        <w:t>Proti Slovenskej republike nebolo začaté konanie v rámci „EÚ Pilot</w:t>
      </w:r>
      <w:r w:rsidRPr="004F720D">
        <w:rPr>
          <w:rFonts w:ascii="Book Antiqua" w:hAnsi="Book Antiqua"/>
          <w:noProof/>
          <w:rtl/>
        </w:rPr>
        <w:t>“</w:t>
      </w:r>
      <w:r w:rsidRPr="004F720D">
        <w:rPr>
          <w:rFonts w:ascii="Book Antiqua" w:hAnsi="Book Antiqua"/>
          <w:noProof/>
        </w:rPr>
        <w:t>, ani nebol začatý postup</w:t>
      </w:r>
      <w:r w:rsidRPr="004F720D">
        <w:rPr>
          <w:rFonts w:ascii="Book Antiqua" w:hAnsi="Book Antiqua"/>
          <w:noProof/>
          <w:spacing w:val="-1"/>
        </w:rPr>
        <w:t xml:space="preserve"> </w:t>
      </w:r>
      <w:r w:rsidRPr="004F720D">
        <w:rPr>
          <w:rFonts w:ascii="Book Antiqua" w:hAnsi="Book Antiqua"/>
          <w:noProof/>
        </w:rPr>
        <w:t>EK</w:t>
      </w:r>
      <w:r w:rsidRPr="004F720D">
        <w:rPr>
          <w:rFonts w:ascii="Book Antiqua" w:hAnsi="Book Antiqua"/>
          <w:noProof/>
          <w:spacing w:val="-1"/>
        </w:rPr>
        <w:t xml:space="preserve"> </w:t>
      </w:r>
      <w:r w:rsidRPr="004F720D">
        <w:rPr>
          <w:rFonts w:ascii="Book Antiqua" w:hAnsi="Book Antiqua"/>
          <w:noProof/>
        </w:rPr>
        <w:t>ako</w:t>
      </w:r>
      <w:r w:rsidRPr="004F720D">
        <w:rPr>
          <w:rFonts w:ascii="Book Antiqua" w:hAnsi="Book Antiqua"/>
          <w:noProof/>
          <w:spacing w:val="-1"/>
        </w:rPr>
        <w:t xml:space="preserve"> </w:t>
      </w:r>
      <w:r w:rsidRPr="004F720D">
        <w:rPr>
          <w:rFonts w:ascii="Book Antiqua" w:hAnsi="Book Antiqua"/>
          <w:noProof/>
        </w:rPr>
        <w:t>aj</w:t>
      </w:r>
      <w:r w:rsidRPr="004F720D">
        <w:rPr>
          <w:rFonts w:ascii="Book Antiqua" w:hAnsi="Book Antiqua"/>
          <w:noProof/>
          <w:spacing w:val="-1"/>
        </w:rPr>
        <w:t xml:space="preserve"> </w:t>
      </w:r>
      <w:r w:rsidRPr="004F720D">
        <w:rPr>
          <w:rFonts w:ascii="Book Antiqua" w:hAnsi="Book Antiqua"/>
          <w:noProof/>
        </w:rPr>
        <w:t>nebolo</w:t>
      </w:r>
      <w:r w:rsidRPr="004F720D">
        <w:rPr>
          <w:rFonts w:ascii="Book Antiqua" w:hAnsi="Book Antiqua"/>
          <w:noProof/>
          <w:spacing w:val="-1"/>
        </w:rPr>
        <w:t xml:space="preserve"> </w:t>
      </w:r>
      <w:r w:rsidRPr="004F720D">
        <w:rPr>
          <w:rFonts w:ascii="Book Antiqua" w:hAnsi="Book Antiqua"/>
          <w:noProof/>
        </w:rPr>
        <w:t>začaté</w:t>
      </w:r>
      <w:r w:rsidRPr="004F720D">
        <w:rPr>
          <w:rFonts w:ascii="Book Antiqua" w:hAnsi="Book Antiqua"/>
          <w:noProof/>
          <w:spacing w:val="-1"/>
        </w:rPr>
        <w:t xml:space="preserve"> </w:t>
      </w:r>
      <w:r w:rsidRPr="004F720D">
        <w:rPr>
          <w:rFonts w:ascii="Book Antiqua" w:hAnsi="Book Antiqua"/>
          <w:noProof/>
        </w:rPr>
        <w:t>konanie</w:t>
      </w:r>
      <w:r w:rsidRPr="004F720D">
        <w:rPr>
          <w:rFonts w:ascii="Book Antiqua" w:hAnsi="Book Antiqua"/>
          <w:noProof/>
          <w:spacing w:val="-1"/>
        </w:rPr>
        <w:t xml:space="preserve"> </w:t>
      </w:r>
      <w:r w:rsidRPr="004F720D">
        <w:rPr>
          <w:rFonts w:ascii="Book Antiqua" w:hAnsi="Book Antiqua"/>
          <w:noProof/>
        </w:rPr>
        <w:t>Súdneho</w:t>
      </w:r>
      <w:r w:rsidRPr="004F720D">
        <w:rPr>
          <w:rFonts w:ascii="Book Antiqua" w:hAnsi="Book Antiqua"/>
          <w:noProof/>
          <w:spacing w:val="-1"/>
        </w:rPr>
        <w:t xml:space="preserve"> </w:t>
      </w:r>
      <w:r w:rsidRPr="004F720D">
        <w:rPr>
          <w:rFonts w:ascii="Book Antiqua" w:hAnsi="Book Antiqua"/>
          <w:noProof/>
        </w:rPr>
        <w:t>dvora</w:t>
      </w:r>
      <w:r w:rsidRPr="004F720D">
        <w:rPr>
          <w:rFonts w:ascii="Book Antiqua" w:hAnsi="Book Antiqua"/>
          <w:noProof/>
          <w:spacing w:val="-1"/>
        </w:rPr>
        <w:t xml:space="preserve"> </w:t>
      </w:r>
      <w:r w:rsidRPr="004F720D">
        <w:rPr>
          <w:rFonts w:ascii="Book Antiqua" w:hAnsi="Book Antiqua"/>
          <w:noProof/>
        </w:rPr>
        <w:t>EÚ</w:t>
      </w:r>
      <w:r w:rsidRPr="004F720D">
        <w:rPr>
          <w:rFonts w:ascii="Book Antiqua" w:hAnsi="Book Antiqua"/>
          <w:noProof/>
          <w:spacing w:val="-1"/>
        </w:rPr>
        <w:t xml:space="preserve"> </w:t>
      </w:r>
      <w:r w:rsidRPr="004F720D">
        <w:rPr>
          <w:rFonts w:ascii="Book Antiqua" w:hAnsi="Book Antiqua"/>
          <w:noProof/>
        </w:rPr>
        <w:t>proti</w:t>
      </w:r>
      <w:r w:rsidRPr="004F720D">
        <w:rPr>
          <w:rFonts w:ascii="Book Antiqua" w:hAnsi="Book Antiqua"/>
          <w:noProof/>
          <w:spacing w:val="-1"/>
        </w:rPr>
        <w:t xml:space="preserve"> </w:t>
      </w:r>
      <w:r w:rsidRPr="004F720D">
        <w:rPr>
          <w:rFonts w:ascii="Book Antiqua" w:hAnsi="Book Antiqua"/>
          <w:noProof/>
        </w:rPr>
        <w:t>SR</w:t>
      </w:r>
      <w:r w:rsidRPr="004F720D">
        <w:rPr>
          <w:rFonts w:ascii="Book Antiqua" w:hAnsi="Book Antiqua"/>
          <w:noProof/>
          <w:spacing w:val="-1"/>
        </w:rPr>
        <w:t xml:space="preserve"> </w:t>
      </w:r>
      <w:r w:rsidRPr="004F720D">
        <w:rPr>
          <w:rFonts w:ascii="Book Antiqua" w:hAnsi="Book Antiqua"/>
          <w:noProof/>
        </w:rPr>
        <w:t>podľa</w:t>
      </w:r>
      <w:r w:rsidRPr="004F720D">
        <w:rPr>
          <w:rFonts w:ascii="Book Antiqua" w:hAnsi="Book Antiqua"/>
          <w:noProof/>
          <w:spacing w:val="-1"/>
        </w:rPr>
        <w:t xml:space="preserve"> </w:t>
      </w:r>
      <w:r w:rsidRPr="004F720D">
        <w:rPr>
          <w:rFonts w:ascii="Book Antiqua" w:hAnsi="Book Antiqua"/>
          <w:noProof/>
        </w:rPr>
        <w:t>čl.</w:t>
      </w:r>
      <w:r w:rsidRPr="004F720D">
        <w:rPr>
          <w:rFonts w:ascii="Book Antiqua" w:hAnsi="Book Antiqua"/>
          <w:noProof/>
          <w:spacing w:val="-1"/>
        </w:rPr>
        <w:t xml:space="preserve"> </w:t>
      </w:r>
      <w:r w:rsidRPr="004F720D">
        <w:rPr>
          <w:rFonts w:ascii="Book Antiqua" w:hAnsi="Book Antiqua"/>
          <w:noProof/>
        </w:rPr>
        <w:t>258</w:t>
      </w:r>
      <w:r w:rsidRPr="004F720D">
        <w:rPr>
          <w:rFonts w:ascii="Book Antiqua" w:hAnsi="Book Antiqua"/>
          <w:noProof/>
          <w:spacing w:val="-1"/>
        </w:rPr>
        <w:t xml:space="preserve"> </w:t>
      </w:r>
      <w:r w:rsidRPr="004F720D">
        <w:rPr>
          <w:rFonts w:ascii="Book Antiqua" w:hAnsi="Book Antiqua"/>
          <w:noProof/>
        </w:rPr>
        <w:t>až 260 Zmluvy o fungovaní Európskej únie.</w:t>
      </w:r>
    </w:p>
    <w:p w:rsidR="00633D4F" w:rsidRPr="004F720D" w:rsidRDefault="00633D4F">
      <w:pPr>
        <w:pStyle w:val="Odsekzoznamu"/>
        <w:rPr>
          <w:rFonts w:ascii="Book Antiqua" w:eastAsia="Book Antiqua" w:hAnsi="Book Antiqua" w:cs="Book Antiqua"/>
          <w:noProof/>
        </w:rPr>
      </w:pPr>
    </w:p>
    <w:p w:rsidR="00633D4F" w:rsidRPr="004F720D" w:rsidRDefault="00A77B27">
      <w:pPr>
        <w:pStyle w:val="Odsekzoznamu"/>
        <w:numPr>
          <w:ilvl w:val="0"/>
          <w:numId w:val="4"/>
        </w:numPr>
        <w:rPr>
          <w:rFonts w:ascii="Book Antiqua" w:hAnsi="Book Antiqua"/>
          <w:noProof/>
        </w:rPr>
      </w:pPr>
      <w:r w:rsidRPr="004F720D">
        <w:rPr>
          <w:rFonts w:ascii="Book Antiqua" w:hAnsi="Book Antiqua"/>
          <w:noProof/>
        </w:rPr>
        <w:t>Smernica</w:t>
      </w:r>
      <w:r w:rsidRPr="004F720D">
        <w:rPr>
          <w:rFonts w:ascii="Book Antiqua" w:hAnsi="Book Antiqua"/>
          <w:noProof/>
          <w:spacing w:val="-1"/>
        </w:rPr>
        <w:t xml:space="preserve"> </w:t>
      </w:r>
      <w:r w:rsidRPr="004F720D">
        <w:rPr>
          <w:rFonts w:ascii="Book Antiqua" w:hAnsi="Book Antiqua"/>
          <w:noProof/>
        </w:rPr>
        <w:t>2006/112/ES</w:t>
      </w:r>
      <w:r w:rsidRPr="004F720D">
        <w:rPr>
          <w:rFonts w:ascii="Book Antiqua" w:hAnsi="Book Antiqua"/>
          <w:noProof/>
          <w:spacing w:val="-1"/>
        </w:rPr>
        <w:t xml:space="preserve"> </w:t>
      </w:r>
      <w:r w:rsidRPr="004F720D">
        <w:rPr>
          <w:rFonts w:ascii="Book Antiqua" w:hAnsi="Book Antiqua"/>
          <w:noProof/>
        </w:rPr>
        <w:t>bola</w:t>
      </w:r>
      <w:r w:rsidRPr="004F720D">
        <w:rPr>
          <w:rFonts w:ascii="Book Antiqua" w:hAnsi="Book Antiqua"/>
          <w:noProof/>
          <w:spacing w:val="-1"/>
        </w:rPr>
        <w:t xml:space="preserve"> </w:t>
      </w:r>
      <w:r w:rsidRPr="004F720D">
        <w:rPr>
          <w:rFonts w:ascii="Book Antiqua" w:hAnsi="Book Antiqua"/>
          <w:noProof/>
        </w:rPr>
        <w:t>prebratá</w:t>
      </w:r>
      <w:r w:rsidRPr="004F720D">
        <w:rPr>
          <w:rFonts w:ascii="Book Antiqua" w:hAnsi="Book Antiqua"/>
          <w:noProof/>
          <w:spacing w:val="-1"/>
        </w:rPr>
        <w:t xml:space="preserve"> </w:t>
      </w:r>
      <w:r w:rsidRPr="004F720D">
        <w:rPr>
          <w:rFonts w:ascii="Book Antiqua" w:hAnsi="Book Antiqua"/>
          <w:noProof/>
        </w:rPr>
        <w:t>do</w:t>
      </w:r>
      <w:r w:rsidRPr="004F720D">
        <w:rPr>
          <w:rFonts w:ascii="Book Antiqua" w:hAnsi="Book Antiqua"/>
          <w:noProof/>
          <w:spacing w:val="-1"/>
        </w:rPr>
        <w:t xml:space="preserve"> </w:t>
      </w:r>
      <w:r w:rsidRPr="004F720D">
        <w:rPr>
          <w:rFonts w:ascii="Book Antiqua" w:hAnsi="Book Antiqua"/>
          <w:noProof/>
        </w:rPr>
        <w:t>zákona</w:t>
      </w:r>
      <w:r w:rsidRPr="004F720D">
        <w:rPr>
          <w:rFonts w:ascii="Book Antiqua" w:hAnsi="Book Antiqua"/>
          <w:noProof/>
          <w:spacing w:val="-1"/>
        </w:rPr>
        <w:t xml:space="preserve"> </w:t>
      </w:r>
      <w:r w:rsidRPr="004F720D">
        <w:rPr>
          <w:rFonts w:ascii="Book Antiqua" w:hAnsi="Book Antiqua"/>
          <w:noProof/>
        </w:rPr>
        <w:t>č.</w:t>
      </w:r>
      <w:r w:rsidRPr="004F720D">
        <w:rPr>
          <w:rFonts w:ascii="Book Antiqua" w:hAnsi="Book Antiqua"/>
          <w:noProof/>
          <w:spacing w:val="-1"/>
        </w:rPr>
        <w:t xml:space="preserve"> </w:t>
      </w:r>
      <w:r w:rsidRPr="004F720D">
        <w:rPr>
          <w:rFonts w:ascii="Book Antiqua" w:hAnsi="Book Antiqua"/>
          <w:noProof/>
        </w:rPr>
        <w:t>222/2004</w:t>
      </w:r>
      <w:r w:rsidRPr="004F720D">
        <w:rPr>
          <w:rFonts w:ascii="Book Antiqua" w:hAnsi="Book Antiqua"/>
          <w:noProof/>
          <w:spacing w:val="-1"/>
        </w:rPr>
        <w:t xml:space="preserve"> </w:t>
      </w:r>
      <w:r w:rsidRPr="004F720D">
        <w:rPr>
          <w:rFonts w:ascii="Book Antiqua" w:hAnsi="Book Antiqua"/>
          <w:noProof/>
        </w:rPr>
        <w:t>Z.</w:t>
      </w:r>
      <w:r w:rsidRPr="004F720D">
        <w:rPr>
          <w:rFonts w:ascii="Book Antiqua" w:hAnsi="Book Antiqua"/>
          <w:noProof/>
          <w:spacing w:val="-1"/>
        </w:rPr>
        <w:t xml:space="preserve"> </w:t>
      </w:r>
      <w:r w:rsidRPr="004F720D">
        <w:rPr>
          <w:rFonts w:ascii="Book Antiqua" w:hAnsi="Book Antiqua"/>
          <w:noProof/>
        </w:rPr>
        <w:t>z.</w:t>
      </w:r>
      <w:r w:rsidRPr="004F720D">
        <w:rPr>
          <w:rFonts w:ascii="Book Antiqua" w:hAnsi="Book Antiqua"/>
          <w:noProof/>
          <w:spacing w:val="-1"/>
        </w:rPr>
        <w:t xml:space="preserve"> </w:t>
      </w:r>
      <w:r w:rsidRPr="004F720D">
        <w:rPr>
          <w:rFonts w:ascii="Book Antiqua" w:hAnsi="Book Antiqua"/>
          <w:noProof/>
        </w:rPr>
        <w:t>o dani</w:t>
      </w:r>
      <w:r w:rsidRPr="004F720D">
        <w:rPr>
          <w:rFonts w:ascii="Book Antiqua" w:hAnsi="Book Antiqua"/>
          <w:noProof/>
          <w:spacing w:val="-1"/>
        </w:rPr>
        <w:t xml:space="preserve"> </w:t>
      </w:r>
      <w:r w:rsidRPr="004F720D">
        <w:rPr>
          <w:rFonts w:ascii="Book Antiqua" w:hAnsi="Book Antiqua"/>
          <w:noProof/>
        </w:rPr>
        <w:t>z pridanej hodnoty v znení neskorších predpisov.</w:t>
      </w:r>
    </w:p>
    <w:p w:rsidR="00633D4F" w:rsidRPr="004F720D" w:rsidRDefault="00A77B27">
      <w:pPr>
        <w:ind w:left="708"/>
        <w:rPr>
          <w:rFonts w:ascii="Book Antiqua" w:eastAsia="Book Antiqua" w:hAnsi="Book Antiqua" w:cs="Book Antiqua"/>
          <w:noProof/>
        </w:rPr>
      </w:pPr>
      <w:r w:rsidRPr="004F720D">
        <w:rPr>
          <w:rFonts w:ascii="Book Antiqua" w:hAnsi="Book Antiqua"/>
          <w:noProof/>
        </w:rPr>
        <w:t>Smernica</w:t>
      </w:r>
      <w:r w:rsidRPr="004F720D">
        <w:rPr>
          <w:rFonts w:ascii="Book Antiqua" w:hAnsi="Book Antiqua"/>
          <w:noProof/>
          <w:spacing w:val="-1"/>
        </w:rPr>
        <w:t xml:space="preserve"> </w:t>
      </w:r>
      <w:r w:rsidRPr="004F720D">
        <w:rPr>
          <w:rFonts w:ascii="Book Antiqua" w:hAnsi="Book Antiqua"/>
          <w:noProof/>
        </w:rPr>
        <w:t>(EÚ)</w:t>
      </w:r>
      <w:r w:rsidRPr="004F720D">
        <w:rPr>
          <w:rFonts w:ascii="Book Antiqua" w:hAnsi="Book Antiqua"/>
          <w:noProof/>
          <w:spacing w:val="-1"/>
        </w:rPr>
        <w:t xml:space="preserve"> </w:t>
      </w:r>
      <w:r w:rsidRPr="004F720D">
        <w:rPr>
          <w:rFonts w:ascii="Book Antiqua" w:hAnsi="Book Antiqua"/>
          <w:noProof/>
        </w:rPr>
        <w:t>2018/912</w:t>
      </w:r>
      <w:r w:rsidRPr="004F720D">
        <w:rPr>
          <w:rFonts w:ascii="Book Antiqua" w:hAnsi="Book Antiqua"/>
          <w:noProof/>
          <w:spacing w:val="-1"/>
        </w:rPr>
        <w:t xml:space="preserve"> </w:t>
      </w:r>
      <w:r w:rsidRPr="004F720D">
        <w:rPr>
          <w:rFonts w:ascii="Book Antiqua" w:hAnsi="Book Antiqua"/>
          <w:noProof/>
        </w:rPr>
        <w:t>bola</w:t>
      </w:r>
      <w:r w:rsidRPr="004F720D">
        <w:rPr>
          <w:rFonts w:ascii="Book Antiqua" w:hAnsi="Book Antiqua"/>
          <w:noProof/>
          <w:spacing w:val="-1"/>
        </w:rPr>
        <w:t xml:space="preserve"> </w:t>
      </w:r>
      <w:r w:rsidRPr="004F720D">
        <w:rPr>
          <w:rFonts w:ascii="Book Antiqua" w:hAnsi="Book Antiqua"/>
          <w:noProof/>
        </w:rPr>
        <w:t>prebratá</w:t>
      </w:r>
      <w:r w:rsidRPr="004F720D">
        <w:rPr>
          <w:rFonts w:ascii="Book Antiqua" w:hAnsi="Book Antiqua"/>
          <w:noProof/>
          <w:spacing w:val="-1"/>
        </w:rPr>
        <w:t xml:space="preserve"> </w:t>
      </w:r>
      <w:r w:rsidRPr="004F720D">
        <w:rPr>
          <w:rFonts w:ascii="Book Antiqua" w:hAnsi="Book Antiqua"/>
          <w:noProof/>
        </w:rPr>
        <w:t>do</w:t>
      </w:r>
      <w:r w:rsidRPr="004F720D">
        <w:rPr>
          <w:rFonts w:ascii="Book Antiqua" w:hAnsi="Book Antiqua"/>
          <w:noProof/>
          <w:spacing w:val="-1"/>
        </w:rPr>
        <w:t xml:space="preserve"> </w:t>
      </w:r>
      <w:r w:rsidRPr="004F720D">
        <w:rPr>
          <w:rFonts w:ascii="Book Antiqua" w:hAnsi="Book Antiqua"/>
          <w:noProof/>
        </w:rPr>
        <w:t>zákona</w:t>
      </w:r>
      <w:r w:rsidRPr="004F720D">
        <w:rPr>
          <w:rFonts w:ascii="Book Antiqua" w:hAnsi="Book Antiqua"/>
          <w:noProof/>
          <w:spacing w:val="-1"/>
        </w:rPr>
        <w:t xml:space="preserve"> </w:t>
      </w:r>
      <w:r w:rsidRPr="004F720D">
        <w:rPr>
          <w:rFonts w:ascii="Book Antiqua" w:hAnsi="Book Antiqua"/>
          <w:noProof/>
        </w:rPr>
        <w:t>č.</w:t>
      </w:r>
      <w:r w:rsidRPr="004F720D">
        <w:rPr>
          <w:rFonts w:ascii="Book Antiqua" w:hAnsi="Book Antiqua"/>
          <w:noProof/>
          <w:spacing w:val="-1"/>
        </w:rPr>
        <w:t xml:space="preserve"> </w:t>
      </w:r>
      <w:r w:rsidRPr="004F720D">
        <w:rPr>
          <w:rFonts w:ascii="Book Antiqua" w:hAnsi="Book Antiqua"/>
          <w:noProof/>
        </w:rPr>
        <w:t>222/2004</w:t>
      </w:r>
      <w:r w:rsidRPr="004F720D">
        <w:rPr>
          <w:rFonts w:ascii="Book Antiqua" w:hAnsi="Book Antiqua"/>
          <w:noProof/>
          <w:spacing w:val="-1"/>
        </w:rPr>
        <w:t xml:space="preserve"> </w:t>
      </w:r>
      <w:r w:rsidRPr="004F720D">
        <w:rPr>
          <w:rFonts w:ascii="Book Antiqua" w:hAnsi="Book Antiqua"/>
          <w:noProof/>
        </w:rPr>
        <w:t>Z.</w:t>
      </w:r>
      <w:r w:rsidRPr="004F720D">
        <w:rPr>
          <w:rFonts w:ascii="Book Antiqua" w:hAnsi="Book Antiqua"/>
          <w:noProof/>
          <w:spacing w:val="-1"/>
        </w:rPr>
        <w:t xml:space="preserve"> </w:t>
      </w:r>
      <w:r w:rsidRPr="004F720D">
        <w:rPr>
          <w:rFonts w:ascii="Book Antiqua" w:hAnsi="Book Antiqua"/>
          <w:noProof/>
        </w:rPr>
        <w:t>z.</w:t>
      </w:r>
      <w:r w:rsidRPr="004F720D">
        <w:rPr>
          <w:rFonts w:ascii="Book Antiqua" w:hAnsi="Book Antiqua"/>
          <w:noProof/>
          <w:spacing w:val="-1"/>
        </w:rPr>
        <w:t xml:space="preserve"> </w:t>
      </w:r>
      <w:r w:rsidRPr="004F720D">
        <w:rPr>
          <w:rFonts w:ascii="Book Antiqua" w:hAnsi="Book Antiqua"/>
          <w:noProof/>
        </w:rPr>
        <w:t>o dani</w:t>
      </w:r>
      <w:r w:rsidRPr="004F720D">
        <w:rPr>
          <w:rFonts w:ascii="Book Antiqua" w:hAnsi="Book Antiqua"/>
          <w:noProof/>
          <w:spacing w:val="-1"/>
        </w:rPr>
        <w:t xml:space="preserve"> </w:t>
      </w:r>
      <w:r w:rsidRPr="004F720D">
        <w:rPr>
          <w:rFonts w:ascii="Book Antiqua" w:hAnsi="Book Antiqua"/>
          <w:noProof/>
        </w:rPr>
        <w:t>z pridanej hodnoty v znení neskorších predpisov.</w:t>
      </w:r>
    </w:p>
    <w:p w:rsidR="00633D4F" w:rsidRPr="004F720D" w:rsidRDefault="00A77B27">
      <w:pPr>
        <w:spacing w:after="0" w:line="240" w:lineRule="auto"/>
        <w:rPr>
          <w:rFonts w:ascii="Book Antiqua" w:eastAsia="Book Antiqua" w:hAnsi="Book Antiqua" w:cs="Book Antiqua"/>
          <w:noProof/>
        </w:rPr>
      </w:pPr>
      <w:r w:rsidRPr="004F720D">
        <w:rPr>
          <w:rFonts w:ascii="Book Antiqua" w:hAnsi="Book Antiqua"/>
          <w:b/>
          <w:bCs/>
          <w:noProof/>
        </w:rPr>
        <w:t>5. Návrh zákona je zlučiteľný s právom Európskej únie:</w:t>
      </w:r>
    </w:p>
    <w:p w:rsidR="00633D4F" w:rsidRPr="004F720D" w:rsidRDefault="00633D4F">
      <w:pPr>
        <w:spacing w:line="240" w:lineRule="auto"/>
        <w:rPr>
          <w:rFonts w:ascii="Book Antiqua" w:eastAsia="Book Antiqua" w:hAnsi="Book Antiqua" w:cs="Book Antiqua"/>
          <w:noProof/>
        </w:rPr>
      </w:pPr>
    </w:p>
    <w:p w:rsidR="00633D4F" w:rsidRPr="004F720D" w:rsidRDefault="00A77B27">
      <w:pPr>
        <w:ind w:firstLine="708"/>
        <w:rPr>
          <w:rFonts w:ascii="Book Antiqua" w:eastAsia="Book Antiqua" w:hAnsi="Book Antiqua" w:cs="Book Antiqua"/>
          <w:noProof/>
        </w:rPr>
      </w:pPr>
      <w:r w:rsidRPr="004F720D">
        <w:rPr>
          <w:rFonts w:ascii="Book Antiqua" w:hAnsi="Book Antiqua"/>
          <w:noProof/>
        </w:rPr>
        <w:t>úplne.</w:t>
      </w:r>
    </w:p>
    <w:p w:rsidR="00633D4F" w:rsidRPr="004F720D" w:rsidRDefault="00A77B27">
      <w:pPr>
        <w:pageBreakBefore/>
        <w:suppressAutoHyphens/>
        <w:spacing w:after="120" w:line="240" w:lineRule="auto"/>
        <w:jc w:val="center"/>
        <w:rPr>
          <w:rFonts w:ascii="Book Antiqua" w:eastAsia="Book Antiqua" w:hAnsi="Book Antiqua" w:cs="Book Antiqua"/>
          <w:noProof/>
          <w:sz w:val="24"/>
          <w:szCs w:val="24"/>
        </w:rPr>
      </w:pPr>
      <w:r w:rsidRPr="004F720D">
        <w:rPr>
          <w:rFonts w:ascii="Book Antiqua" w:hAnsi="Book Antiqua"/>
          <w:b/>
          <w:bCs/>
          <w:noProof/>
          <w:sz w:val="24"/>
          <w:szCs w:val="24"/>
        </w:rPr>
        <w:lastRenderedPageBreak/>
        <w:t>Doložka vybraných vplyvov</w:t>
      </w:r>
    </w:p>
    <w:p w:rsidR="00633D4F" w:rsidRPr="004F720D" w:rsidRDefault="00633D4F">
      <w:pPr>
        <w:suppressAutoHyphens/>
        <w:spacing w:after="0" w:line="100" w:lineRule="atLeast"/>
        <w:ind w:left="426"/>
        <w:rPr>
          <w:rFonts w:ascii="Book Antiqua" w:eastAsia="Book Antiqua" w:hAnsi="Book Antiqua" w:cs="Book Antiqua"/>
          <w:b/>
          <w:bCs/>
          <w:noProof/>
          <w:sz w:val="20"/>
          <w:szCs w:val="20"/>
        </w:rPr>
      </w:pPr>
    </w:p>
    <w:tbl>
      <w:tblPr>
        <w:tblStyle w:val="TableNormal"/>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764"/>
        <w:gridCol w:w="534"/>
        <w:gridCol w:w="1295"/>
        <w:gridCol w:w="281"/>
        <w:gridCol w:w="251"/>
        <w:gridCol w:w="1118"/>
        <w:gridCol w:w="281"/>
        <w:gridCol w:w="259"/>
        <w:gridCol w:w="1283"/>
      </w:tblGrid>
      <w:tr w:rsidR="00633D4F" w:rsidRPr="004F720D">
        <w:trPr>
          <w:trHeight w:val="270"/>
        </w:trPr>
        <w:tc>
          <w:tcPr>
            <w:tcW w:w="9066" w:type="dxa"/>
            <w:gridSpan w:val="9"/>
            <w:tcBorders>
              <w:top w:val="single" w:sz="4" w:space="0" w:color="000000"/>
              <w:left w:val="single" w:sz="4" w:space="0" w:color="000000"/>
              <w:bottom w:val="single" w:sz="4" w:space="0" w:color="000000"/>
              <w:right w:val="single" w:sz="4" w:space="0" w:color="000000"/>
            </w:tcBorders>
            <w:shd w:val="clear" w:color="auto" w:fill="E2E2E2"/>
            <w:tcMar>
              <w:top w:w="80" w:type="dxa"/>
              <w:left w:w="80" w:type="dxa"/>
              <w:bottom w:w="80" w:type="dxa"/>
              <w:right w:w="80" w:type="dxa"/>
            </w:tcMar>
          </w:tcPr>
          <w:p w:rsidR="00633D4F" w:rsidRPr="004F720D" w:rsidRDefault="00A77B27">
            <w:pPr>
              <w:numPr>
                <w:ilvl w:val="0"/>
                <w:numId w:val="5"/>
              </w:numPr>
              <w:rPr>
                <w:rFonts w:ascii="Book Antiqua" w:hAnsi="Book Antiqua"/>
                <w:b/>
                <w:bCs/>
                <w:noProof/>
                <w:sz w:val="20"/>
                <w:szCs w:val="20"/>
              </w:rPr>
            </w:pPr>
            <w:r w:rsidRPr="004F720D">
              <w:rPr>
                <w:rFonts w:ascii="Book Antiqua" w:hAnsi="Book Antiqua"/>
                <w:b/>
                <w:bCs/>
                <w:noProof/>
                <w:sz w:val="20"/>
                <w:szCs w:val="20"/>
              </w:rPr>
              <w:t>Základné údaje</w:t>
            </w:r>
          </w:p>
        </w:tc>
      </w:tr>
      <w:tr w:rsidR="00633D4F" w:rsidRPr="004F720D">
        <w:trPr>
          <w:trHeight w:val="270"/>
        </w:trPr>
        <w:tc>
          <w:tcPr>
            <w:tcW w:w="9066" w:type="dxa"/>
            <w:gridSpan w:val="9"/>
            <w:tcBorders>
              <w:top w:val="single" w:sz="4" w:space="0" w:color="000000"/>
              <w:left w:val="single" w:sz="4" w:space="0" w:color="000000"/>
              <w:bottom w:val="single" w:sz="4" w:space="0" w:color="FFFFFF"/>
              <w:right w:val="single" w:sz="4" w:space="0" w:color="000000"/>
            </w:tcBorders>
            <w:shd w:val="clear" w:color="auto" w:fill="E2E2E2"/>
            <w:tcMar>
              <w:top w:w="80" w:type="dxa"/>
              <w:left w:w="222" w:type="dxa"/>
              <w:bottom w:w="80" w:type="dxa"/>
              <w:right w:w="80" w:type="dxa"/>
            </w:tcMar>
          </w:tcPr>
          <w:p w:rsidR="00633D4F" w:rsidRPr="004F720D" w:rsidRDefault="00A77B27">
            <w:pPr>
              <w:suppressAutoHyphens/>
              <w:spacing w:after="0" w:line="100" w:lineRule="atLeast"/>
              <w:ind w:left="142"/>
              <w:rPr>
                <w:noProof/>
              </w:rPr>
            </w:pPr>
            <w:r w:rsidRPr="004F720D">
              <w:rPr>
                <w:rFonts w:ascii="Book Antiqua" w:hAnsi="Book Antiqua"/>
                <w:b/>
                <w:bCs/>
                <w:noProof/>
                <w:sz w:val="20"/>
                <w:szCs w:val="20"/>
              </w:rPr>
              <w:t>Názov návrhu zákona</w:t>
            </w:r>
          </w:p>
        </w:tc>
      </w:tr>
      <w:tr w:rsidR="00633D4F" w:rsidRPr="004F720D">
        <w:trPr>
          <w:trHeight w:val="569"/>
        </w:trPr>
        <w:tc>
          <w:tcPr>
            <w:tcW w:w="9066" w:type="dxa"/>
            <w:gridSpan w:val="9"/>
            <w:tcBorders>
              <w:top w:val="single" w:sz="4" w:space="0" w:color="FFFFFF"/>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3D4F" w:rsidRPr="004F720D" w:rsidRDefault="00A77B27">
            <w:pPr>
              <w:suppressAutoHyphens/>
              <w:spacing w:after="120" w:line="276" w:lineRule="auto"/>
              <w:jc w:val="both"/>
              <w:rPr>
                <w:noProof/>
              </w:rPr>
            </w:pPr>
            <w:r w:rsidRPr="004F720D">
              <w:rPr>
                <w:rFonts w:ascii="Book Antiqua" w:hAnsi="Book Antiqua"/>
                <w:noProof/>
                <w:sz w:val="20"/>
                <w:szCs w:val="20"/>
              </w:rPr>
              <w:t>Návrh zákona, ktorým sa mení zákon č. 222/2004 Z. z. o dani z pridanej hodnoty v znení neskorších predpisov</w:t>
            </w:r>
          </w:p>
        </w:tc>
      </w:tr>
      <w:tr w:rsidR="00633D4F" w:rsidRPr="004F720D">
        <w:trPr>
          <w:trHeight w:val="270"/>
        </w:trPr>
        <w:tc>
          <w:tcPr>
            <w:tcW w:w="9066" w:type="dxa"/>
            <w:gridSpan w:val="9"/>
            <w:tcBorders>
              <w:top w:val="single" w:sz="4" w:space="0" w:color="000000"/>
              <w:left w:val="single" w:sz="4" w:space="0" w:color="000000"/>
              <w:bottom w:val="single" w:sz="4" w:space="0" w:color="FFFFFF"/>
              <w:right w:val="single" w:sz="4" w:space="0" w:color="000000"/>
            </w:tcBorders>
            <w:shd w:val="clear" w:color="auto" w:fill="E2E2E2"/>
            <w:tcMar>
              <w:top w:w="80" w:type="dxa"/>
              <w:left w:w="222" w:type="dxa"/>
              <w:bottom w:w="80" w:type="dxa"/>
              <w:right w:w="80" w:type="dxa"/>
            </w:tcMar>
          </w:tcPr>
          <w:p w:rsidR="00633D4F" w:rsidRPr="004F720D" w:rsidRDefault="00A77B27">
            <w:pPr>
              <w:suppressAutoHyphens/>
              <w:spacing w:after="0" w:line="100" w:lineRule="atLeast"/>
              <w:ind w:left="142"/>
              <w:rPr>
                <w:noProof/>
              </w:rPr>
            </w:pPr>
            <w:r w:rsidRPr="004F720D">
              <w:rPr>
                <w:rFonts w:ascii="Book Antiqua" w:hAnsi="Book Antiqua"/>
                <w:b/>
                <w:bCs/>
                <w:noProof/>
                <w:sz w:val="20"/>
                <w:szCs w:val="20"/>
              </w:rPr>
              <w:t>Navrhovateľ (a spolunavrhovatelia)</w:t>
            </w:r>
          </w:p>
        </w:tc>
      </w:tr>
      <w:tr w:rsidR="00633D4F" w:rsidRPr="004F720D">
        <w:trPr>
          <w:trHeight w:val="530"/>
        </w:trPr>
        <w:tc>
          <w:tcPr>
            <w:tcW w:w="9066" w:type="dxa"/>
            <w:gridSpan w:val="9"/>
            <w:tcBorders>
              <w:top w:val="single" w:sz="4" w:space="0" w:color="FFFFFF"/>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noProof/>
                <w:sz w:val="20"/>
                <w:szCs w:val="20"/>
              </w:rPr>
              <w:t>skupina poslancov Národnej rady Slovenskej republiky</w:t>
            </w:r>
          </w:p>
        </w:tc>
      </w:tr>
      <w:tr w:rsidR="00633D4F" w:rsidRPr="004F720D">
        <w:trPr>
          <w:trHeight w:val="270"/>
        </w:trPr>
        <w:tc>
          <w:tcPr>
            <w:tcW w:w="9066" w:type="dxa"/>
            <w:gridSpan w:val="9"/>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rsidR="00633D4F" w:rsidRPr="004F720D" w:rsidRDefault="00633D4F">
            <w:pPr>
              <w:rPr>
                <w:noProof/>
              </w:rPr>
            </w:pPr>
          </w:p>
        </w:tc>
      </w:tr>
      <w:tr w:rsidR="00633D4F" w:rsidRPr="004F720D">
        <w:trPr>
          <w:trHeight w:val="270"/>
        </w:trPr>
        <w:tc>
          <w:tcPr>
            <w:tcW w:w="9066" w:type="dxa"/>
            <w:gridSpan w:val="9"/>
            <w:tcBorders>
              <w:top w:val="single" w:sz="4" w:space="0" w:color="000000"/>
              <w:left w:val="single" w:sz="4" w:space="0" w:color="000000"/>
              <w:bottom w:val="single" w:sz="4" w:space="0" w:color="FFFFFF"/>
              <w:right w:val="single" w:sz="4" w:space="0" w:color="000000"/>
            </w:tcBorders>
            <w:shd w:val="clear" w:color="auto" w:fill="E2E2E2"/>
            <w:tcMar>
              <w:top w:w="80" w:type="dxa"/>
              <w:left w:w="80" w:type="dxa"/>
              <w:bottom w:w="80" w:type="dxa"/>
              <w:right w:w="80" w:type="dxa"/>
            </w:tcMar>
          </w:tcPr>
          <w:p w:rsidR="00633D4F" w:rsidRPr="004F720D" w:rsidRDefault="00A77B27">
            <w:pPr>
              <w:numPr>
                <w:ilvl w:val="0"/>
                <w:numId w:val="7"/>
              </w:numPr>
              <w:spacing w:after="0" w:line="240" w:lineRule="auto"/>
              <w:rPr>
                <w:rFonts w:ascii="Book Antiqua" w:hAnsi="Book Antiqua"/>
                <w:b/>
                <w:bCs/>
                <w:noProof/>
                <w:sz w:val="20"/>
                <w:szCs w:val="20"/>
              </w:rPr>
            </w:pPr>
            <w:r w:rsidRPr="004F720D">
              <w:rPr>
                <w:rFonts w:ascii="Book Antiqua" w:hAnsi="Book Antiqua"/>
                <w:b/>
                <w:bCs/>
                <w:noProof/>
                <w:sz w:val="20"/>
                <w:szCs w:val="20"/>
              </w:rPr>
              <w:t>Definovanie problému</w:t>
            </w:r>
          </w:p>
        </w:tc>
      </w:tr>
      <w:tr w:rsidR="00633D4F" w:rsidRPr="004F720D">
        <w:trPr>
          <w:trHeight w:val="2350"/>
        </w:trPr>
        <w:tc>
          <w:tcPr>
            <w:tcW w:w="9066" w:type="dxa"/>
            <w:gridSpan w:val="9"/>
            <w:tcBorders>
              <w:top w:val="single" w:sz="4" w:space="0" w:color="FFFFFF"/>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33D4F" w:rsidRPr="004F720D" w:rsidRDefault="00A77B27">
            <w:pPr>
              <w:suppressAutoHyphens/>
              <w:spacing w:after="0" w:line="100" w:lineRule="atLeast"/>
              <w:jc w:val="both"/>
              <w:rPr>
                <w:rFonts w:ascii="Book Antiqua" w:eastAsia="Book Antiqua" w:hAnsi="Book Antiqua" w:cs="Book Antiqua"/>
                <w:i/>
                <w:iCs/>
                <w:noProof/>
                <w:sz w:val="20"/>
                <w:szCs w:val="20"/>
              </w:rPr>
            </w:pPr>
            <w:r w:rsidRPr="004F720D">
              <w:rPr>
                <w:rFonts w:ascii="Book Antiqua" w:hAnsi="Book Antiqua"/>
                <w:i/>
                <w:iCs/>
                <w:noProof/>
                <w:sz w:val="20"/>
                <w:szCs w:val="20"/>
              </w:rPr>
              <w:t>Uveďte základné problémy, ktoré sú dôvodom vypracovania predkladaného materiálu (dôvody majú presne poukázať na problém, ktorý existuje a je nutné ho predloženým materiálom riešiť).</w:t>
            </w:r>
          </w:p>
          <w:p w:rsidR="00633D4F" w:rsidRPr="004F720D" w:rsidRDefault="00633D4F">
            <w:pPr>
              <w:suppressAutoHyphens/>
              <w:spacing w:after="0" w:line="100" w:lineRule="atLeast"/>
              <w:jc w:val="both"/>
              <w:rPr>
                <w:rFonts w:ascii="Book Antiqua" w:eastAsia="Book Antiqua" w:hAnsi="Book Antiqua" w:cs="Book Antiqua"/>
                <w:i/>
                <w:iCs/>
                <w:noProof/>
                <w:sz w:val="20"/>
                <w:szCs w:val="20"/>
              </w:rPr>
            </w:pPr>
          </w:p>
          <w:p w:rsidR="00633D4F" w:rsidRPr="004F720D" w:rsidRDefault="00A77B27">
            <w:pPr>
              <w:suppressAutoHyphens/>
              <w:spacing w:after="0" w:line="100" w:lineRule="atLeast"/>
              <w:jc w:val="both"/>
              <w:rPr>
                <w:noProof/>
              </w:rPr>
            </w:pPr>
            <w:r w:rsidRPr="004F720D">
              <w:rPr>
                <w:rFonts w:ascii="Book Antiqua" w:hAnsi="Book Antiqua"/>
                <w:noProof/>
                <w:sz w:val="20"/>
                <w:szCs w:val="20"/>
              </w:rPr>
              <w:t xml:space="preserve">Skokové a bez akejkoľvek verejnej diskusie zavedené najvyššie zvýšenie základnej sadzby DPH z 20 % na 23 % malo do rozpočtu priniesť 1,2 mld. € ročne, ktoré mali byť použité na zníženie dlhu Slovenskej republiky a zlepšenie stavu verejných financií, to sa však nedeje. Získané financie sú použité na opatrenia, ktoré nie sú v čase konsolidácie nevyhnutné (napr. zvýšenie výdavkov na zbrojenie a pod.). Zisk 1,2 mld. € sa nijakým spôsobom nepremietol do sumy predpokladaného deficitu štátneho rozpočtu, ktorý má byť aj v roku 2025 v sume 6,3 mld. €. </w:t>
            </w:r>
          </w:p>
        </w:tc>
      </w:tr>
      <w:tr w:rsidR="00633D4F" w:rsidRPr="004F720D">
        <w:trPr>
          <w:trHeight w:val="275"/>
        </w:trPr>
        <w:tc>
          <w:tcPr>
            <w:tcW w:w="9066" w:type="dxa"/>
            <w:gridSpan w:val="9"/>
            <w:tcBorders>
              <w:top w:val="single" w:sz="4" w:space="0" w:color="000000"/>
              <w:left w:val="single" w:sz="4" w:space="0" w:color="000000"/>
              <w:bottom w:val="nil"/>
              <w:right w:val="single" w:sz="4" w:space="0" w:color="000000"/>
            </w:tcBorders>
            <w:shd w:val="clear" w:color="auto" w:fill="E2E2E2"/>
            <w:tcMar>
              <w:top w:w="80" w:type="dxa"/>
              <w:left w:w="80" w:type="dxa"/>
              <w:bottom w:w="80" w:type="dxa"/>
              <w:right w:w="80" w:type="dxa"/>
            </w:tcMar>
          </w:tcPr>
          <w:p w:rsidR="00633D4F" w:rsidRPr="004F720D" w:rsidRDefault="00A77B27">
            <w:pPr>
              <w:numPr>
                <w:ilvl w:val="0"/>
                <w:numId w:val="9"/>
              </w:numPr>
              <w:spacing w:after="0" w:line="240" w:lineRule="auto"/>
              <w:rPr>
                <w:rFonts w:ascii="Book Antiqua" w:hAnsi="Book Antiqua"/>
                <w:b/>
                <w:bCs/>
                <w:noProof/>
                <w:sz w:val="20"/>
                <w:szCs w:val="20"/>
              </w:rPr>
            </w:pPr>
            <w:r w:rsidRPr="004F720D">
              <w:rPr>
                <w:rFonts w:ascii="Book Antiqua" w:hAnsi="Book Antiqua"/>
                <w:b/>
                <w:bCs/>
                <w:noProof/>
                <w:sz w:val="20"/>
                <w:szCs w:val="20"/>
              </w:rPr>
              <w:t>Ciele a výsledný stav</w:t>
            </w:r>
          </w:p>
        </w:tc>
      </w:tr>
      <w:tr w:rsidR="00633D4F" w:rsidRPr="004F720D">
        <w:trPr>
          <w:trHeight w:val="1315"/>
        </w:trPr>
        <w:tc>
          <w:tcPr>
            <w:tcW w:w="9066" w:type="dxa"/>
            <w:gridSpan w:val="9"/>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33D4F" w:rsidRPr="004F720D" w:rsidRDefault="00A77B27">
            <w:pPr>
              <w:suppressAutoHyphens/>
              <w:spacing w:after="0" w:line="100" w:lineRule="atLeast"/>
              <w:rPr>
                <w:rFonts w:ascii="Book Antiqua" w:eastAsia="Book Antiqua" w:hAnsi="Book Antiqua" w:cs="Book Antiqua"/>
                <w:i/>
                <w:iCs/>
                <w:noProof/>
                <w:sz w:val="20"/>
                <w:szCs w:val="20"/>
              </w:rPr>
            </w:pPr>
            <w:r w:rsidRPr="004F720D">
              <w:rPr>
                <w:rFonts w:ascii="Book Antiqua" w:hAnsi="Book Antiqua"/>
                <w:i/>
                <w:iCs/>
                <w:noProof/>
                <w:sz w:val="20"/>
                <w:szCs w:val="20"/>
              </w:rPr>
              <w:t xml:space="preserve">Uveďte hlavné ciele predkladaného materiálu (aký výsledný stav má byť prijatím materiálu dosiahnutý, pričom dosiahnutý stav musí byť odlišný od stavu popísaného v bode 2. Definovanie problému). </w:t>
            </w:r>
          </w:p>
          <w:p w:rsidR="00633D4F" w:rsidRPr="004F720D" w:rsidRDefault="00633D4F">
            <w:pPr>
              <w:suppressAutoHyphens/>
              <w:spacing w:after="0" w:line="100" w:lineRule="atLeast"/>
              <w:jc w:val="both"/>
              <w:rPr>
                <w:rFonts w:ascii="Book Antiqua" w:eastAsia="Book Antiqua" w:hAnsi="Book Antiqua" w:cs="Book Antiqua"/>
                <w:i/>
                <w:iCs/>
                <w:noProof/>
                <w:sz w:val="20"/>
                <w:szCs w:val="20"/>
              </w:rPr>
            </w:pPr>
          </w:p>
          <w:p w:rsidR="00633D4F" w:rsidRPr="004F720D" w:rsidRDefault="00A77B27">
            <w:pPr>
              <w:suppressAutoHyphens/>
              <w:spacing w:after="0" w:line="100" w:lineRule="atLeast"/>
              <w:jc w:val="both"/>
              <w:rPr>
                <w:noProof/>
              </w:rPr>
            </w:pPr>
            <w:r w:rsidRPr="004F720D">
              <w:rPr>
                <w:rFonts w:ascii="Book Antiqua" w:hAnsi="Book Antiqua"/>
                <w:noProof/>
                <w:sz w:val="20"/>
                <w:szCs w:val="20"/>
              </w:rPr>
              <w:t>Cieľom predkladaného návrhu zákona je navrátenie 20 % základnej sadzby DPH čo bude mať výrazne pozitívne sociálne vplyvy a vplyvy na podnikateľské prostredie.</w:t>
            </w:r>
          </w:p>
        </w:tc>
      </w:tr>
      <w:tr w:rsidR="00633D4F" w:rsidRPr="004F720D">
        <w:trPr>
          <w:trHeight w:val="275"/>
        </w:trPr>
        <w:tc>
          <w:tcPr>
            <w:tcW w:w="9066" w:type="dxa"/>
            <w:gridSpan w:val="9"/>
            <w:tcBorders>
              <w:top w:val="single" w:sz="4" w:space="0" w:color="000000"/>
              <w:left w:val="single" w:sz="4" w:space="0" w:color="000000"/>
              <w:bottom w:val="nil"/>
              <w:right w:val="single" w:sz="4" w:space="0" w:color="000000"/>
            </w:tcBorders>
            <w:shd w:val="clear" w:color="auto" w:fill="E2E2E2"/>
            <w:tcMar>
              <w:top w:w="80" w:type="dxa"/>
              <w:left w:w="80" w:type="dxa"/>
              <w:bottom w:w="80" w:type="dxa"/>
              <w:right w:w="80" w:type="dxa"/>
            </w:tcMar>
          </w:tcPr>
          <w:p w:rsidR="00633D4F" w:rsidRPr="004F720D" w:rsidRDefault="00A77B27">
            <w:pPr>
              <w:numPr>
                <w:ilvl w:val="0"/>
                <w:numId w:val="11"/>
              </w:numPr>
              <w:spacing w:after="0" w:line="240" w:lineRule="auto"/>
              <w:rPr>
                <w:rFonts w:ascii="Book Antiqua" w:hAnsi="Book Antiqua"/>
                <w:b/>
                <w:bCs/>
                <w:noProof/>
                <w:sz w:val="20"/>
                <w:szCs w:val="20"/>
              </w:rPr>
            </w:pPr>
            <w:r w:rsidRPr="004F720D">
              <w:rPr>
                <w:rFonts w:ascii="Book Antiqua" w:hAnsi="Book Antiqua"/>
                <w:b/>
                <w:bCs/>
                <w:noProof/>
                <w:sz w:val="20"/>
                <w:szCs w:val="20"/>
              </w:rPr>
              <w:t>Dotknuté subjekty</w:t>
            </w:r>
          </w:p>
        </w:tc>
      </w:tr>
      <w:tr w:rsidR="00633D4F" w:rsidRPr="004F720D">
        <w:trPr>
          <w:trHeight w:val="795"/>
        </w:trPr>
        <w:tc>
          <w:tcPr>
            <w:tcW w:w="9066" w:type="dxa"/>
            <w:gridSpan w:val="9"/>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33D4F" w:rsidRPr="004F720D" w:rsidRDefault="00A77B27">
            <w:pPr>
              <w:suppressAutoHyphens/>
              <w:spacing w:after="0" w:line="100" w:lineRule="atLeast"/>
              <w:rPr>
                <w:rFonts w:ascii="Book Antiqua" w:eastAsia="Book Antiqua" w:hAnsi="Book Antiqua" w:cs="Book Antiqua"/>
                <w:b/>
                <w:bCs/>
                <w:noProof/>
                <w:sz w:val="20"/>
                <w:szCs w:val="20"/>
              </w:rPr>
            </w:pPr>
            <w:r w:rsidRPr="004F720D">
              <w:rPr>
                <w:rFonts w:ascii="Book Antiqua" w:hAnsi="Book Antiqua"/>
                <w:i/>
                <w:iCs/>
                <w:noProof/>
                <w:sz w:val="20"/>
                <w:szCs w:val="20"/>
              </w:rPr>
              <w:t xml:space="preserve">Uveďte subjekty, ktorých sa zmeny predkladaného materiálu dotknú priamo aj nepriamo: </w:t>
            </w:r>
          </w:p>
          <w:p w:rsidR="00633D4F" w:rsidRPr="004F720D" w:rsidRDefault="00633D4F">
            <w:pPr>
              <w:suppressAutoHyphens/>
              <w:spacing w:after="0" w:line="100" w:lineRule="atLeast"/>
              <w:rPr>
                <w:rFonts w:ascii="Book Antiqua" w:eastAsia="Book Antiqua" w:hAnsi="Book Antiqua" w:cs="Book Antiqua"/>
                <w:b/>
                <w:bCs/>
                <w:noProof/>
                <w:sz w:val="20"/>
                <w:szCs w:val="20"/>
              </w:rPr>
            </w:pPr>
          </w:p>
          <w:p w:rsidR="00633D4F" w:rsidRPr="004F720D" w:rsidRDefault="00A77B27">
            <w:pPr>
              <w:suppressAutoHyphens/>
              <w:spacing w:after="0" w:line="100" w:lineRule="atLeast"/>
              <w:jc w:val="both"/>
              <w:rPr>
                <w:noProof/>
              </w:rPr>
            </w:pPr>
            <w:r w:rsidRPr="004F720D">
              <w:rPr>
                <w:rFonts w:ascii="Book Antiqua" w:hAnsi="Book Antiqua"/>
                <w:noProof/>
                <w:sz w:val="20"/>
                <w:szCs w:val="20"/>
              </w:rPr>
              <w:t>Všetky fyzické a právnické osoby v Slovenskej republike.</w:t>
            </w:r>
          </w:p>
        </w:tc>
      </w:tr>
      <w:tr w:rsidR="00633D4F" w:rsidRPr="004F720D">
        <w:trPr>
          <w:trHeight w:val="275"/>
        </w:trPr>
        <w:tc>
          <w:tcPr>
            <w:tcW w:w="9066" w:type="dxa"/>
            <w:gridSpan w:val="9"/>
            <w:tcBorders>
              <w:top w:val="single" w:sz="4" w:space="0" w:color="000000"/>
              <w:left w:val="single" w:sz="4" w:space="0" w:color="000000"/>
              <w:bottom w:val="nil"/>
              <w:right w:val="single" w:sz="4" w:space="0" w:color="000000"/>
            </w:tcBorders>
            <w:shd w:val="clear" w:color="auto" w:fill="E2E2E2"/>
            <w:tcMar>
              <w:top w:w="80" w:type="dxa"/>
              <w:left w:w="80" w:type="dxa"/>
              <w:bottom w:w="80" w:type="dxa"/>
              <w:right w:w="80" w:type="dxa"/>
            </w:tcMar>
          </w:tcPr>
          <w:p w:rsidR="00633D4F" w:rsidRPr="004F720D" w:rsidRDefault="00A77B27">
            <w:pPr>
              <w:numPr>
                <w:ilvl w:val="0"/>
                <w:numId w:val="13"/>
              </w:numPr>
              <w:spacing w:after="0" w:line="240" w:lineRule="auto"/>
              <w:rPr>
                <w:rFonts w:ascii="Book Antiqua" w:hAnsi="Book Antiqua"/>
                <w:b/>
                <w:bCs/>
                <w:noProof/>
                <w:sz w:val="20"/>
                <w:szCs w:val="20"/>
              </w:rPr>
            </w:pPr>
            <w:r w:rsidRPr="004F720D">
              <w:rPr>
                <w:rFonts w:ascii="Book Antiqua" w:hAnsi="Book Antiqua"/>
                <w:b/>
                <w:bCs/>
                <w:noProof/>
                <w:sz w:val="20"/>
                <w:szCs w:val="20"/>
              </w:rPr>
              <w:t>Alternatívne riešenia</w:t>
            </w:r>
          </w:p>
        </w:tc>
      </w:tr>
      <w:tr w:rsidR="00633D4F" w:rsidRPr="004F720D">
        <w:trPr>
          <w:trHeight w:val="1575"/>
        </w:trPr>
        <w:tc>
          <w:tcPr>
            <w:tcW w:w="9066" w:type="dxa"/>
            <w:gridSpan w:val="9"/>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33D4F" w:rsidRPr="004F720D" w:rsidRDefault="00A77B27">
            <w:pPr>
              <w:suppressAutoHyphens/>
              <w:spacing w:after="0" w:line="100" w:lineRule="atLeast"/>
              <w:jc w:val="both"/>
              <w:rPr>
                <w:rFonts w:ascii="Book Antiqua" w:eastAsia="Book Antiqua" w:hAnsi="Book Antiqua" w:cs="Book Antiqua"/>
                <w:i/>
                <w:iCs/>
                <w:noProof/>
                <w:sz w:val="20"/>
                <w:szCs w:val="20"/>
              </w:rPr>
            </w:pPr>
            <w:r w:rsidRPr="004F720D">
              <w:rPr>
                <w:rFonts w:ascii="Book Antiqua" w:hAnsi="Book Antiqua"/>
                <w:i/>
                <w:iCs/>
                <w:noProof/>
                <w:sz w:val="20"/>
                <w:szCs w:val="20"/>
              </w:rPr>
              <w:t>Aké alternatívne riešenia vedúce k stanovenému cieľu boli identifikované a posudzované pre riešenie definovaného problé</w:t>
            </w:r>
            <w:r w:rsidRPr="004F720D">
              <w:rPr>
                <w:rFonts w:ascii="Book Antiqua" w:hAnsi="Book Antiqua"/>
                <w:i/>
                <w:iCs/>
                <w:noProof/>
                <w:sz w:val="20"/>
                <w:szCs w:val="20"/>
                <w:lang w:eastAsia="zh-TW"/>
              </w:rPr>
              <w:t>mu?</w:t>
            </w:r>
          </w:p>
          <w:p w:rsidR="00633D4F" w:rsidRPr="004F720D" w:rsidRDefault="00A77B27">
            <w:pPr>
              <w:suppressAutoHyphens/>
              <w:spacing w:after="0" w:line="100" w:lineRule="atLeast"/>
              <w:jc w:val="both"/>
              <w:rPr>
                <w:rFonts w:ascii="Book Antiqua" w:eastAsia="Book Antiqua" w:hAnsi="Book Antiqua" w:cs="Book Antiqua"/>
                <w:i/>
                <w:iCs/>
                <w:noProof/>
                <w:sz w:val="20"/>
                <w:szCs w:val="20"/>
              </w:rPr>
            </w:pPr>
            <w:r w:rsidRPr="004F720D">
              <w:rPr>
                <w:rFonts w:ascii="Book Antiqua" w:hAnsi="Book Antiqua"/>
                <w:i/>
                <w:iCs/>
                <w:noProof/>
                <w:sz w:val="20"/>
                <w:szCs w:val="20"/>
              </w:rPr>
              <w:t>Nulový variant - uveďte dôsledky, ku ktorým by došlo v prípade nevykonania úprav v predkladanom materiáli a alternatívne riešenia/spôsoby dosiahnutia cieľov uvedených v bode 3.</w:t>
            </w:r>
          </w:p>
          <w:p w:rsidR="00633D4F" w:rsidRPr="004F720D" w:rsidRDefault="00633D4F">
            <w:pPr>
              <w:suppressAutoHyphens/>
              <w:spacing w:after="0" w:line="100" w:lineRule="atLeast"/>
              <w:jc w:val="both"/>
              <w:rPr>
                <w:rFonts w:ascii="Book Antiqua" w:eastAsia="Book Antiqua" w:hAnsi="Book Antiqua" w:cs="Book Antiqua"/>
                <w:i/>
                <w:iCs/>
                <w:noProof/>
                <w:sz w:val="20"/>
                <w:szCs w:val="20"/>
              </w:rPr>
            </w:pPr>
          </w:p>
          <w:p w:rsidR="00633D4F" w:rsidRPr="004F720D" w:rsidRDefault="00A77B27">
            <w:pPr>
              <w:suppressAutoHyphens/>
              <w:spacing w:after="0" w:line="100" w:lineRule="atLeast"/>
              <w:jc w:val="both"/>
              <w:rPr>
                <w:noProof/>
              </w:rPr>
            </w:pPr>
            <w:r w:rsidRPr="004F720D">
              <w:rPr>
                <w:rFonts w:ascii="Book Antiqua" w:hAnsi="Book Antiqua"/>
                <w:noProof/>
                <w:sz w:val="20"/>
                <w:szCs w:val="20"/>
              </w:rPr>
              <w:t>Bezpredmetné</w:t>
            </w:r>
          </w:p>
        </w:tc>
      </w:tr>
      <w:tr w:rsidR="00633D4F" w:rsidRPr="004F720D">
        <w:trPr>
          <w:trHeight w:val="270"/>
        </w:trPr>
        <w:tc>
          <w:tcPr>
            <w:tcW w:w="9066" w:type="dxa"/>
            <w:gridSpan w:val="9"/>
            <w:tcBorders>
              <w:top w:val="single" w:sz="4" w:space="0" w:color="000000"/>
              <w:left w:val="single" w:sz="4" w:space="0" w:color="000000"/>
              <w:bottom w:val="single" w:sz="4" w:space="0" w:color="FFFFFF"/>
              <w:right w:val="single" w:sz="4" w:space="0" w:color="000000"/>
            </w:tcBorders>
            <w:shd w:val="clear" w:color="auto" w:fill="E2E2E2"/>
            <w:tcMar>
              <w:top w:w="80" w:type="dxa"/>
              <w:left w:w="80" w:type="dxa"/>
              <w:bottom w:w="80" w:type="dxa"/>
              <w:right w:w="80" w:type="dxa"/>
            </w:tcMar>
          </w:tcPr>
          <w:p w:rsidR="00633D4F" w:rsidRPr="004F720D" w:rsidRDefault="00A77B27">
            <w:pPr>
              <w:numPr>
                <w:ilvl w:val="0"/>
                <w:numId w:val="15"/>
              </w:numPr>
              <w:spacing w:after="0" w:line="240" w:lineRule="auto"/>
              <w:rPr>
                <w:rFonts w:ascii="Book Antiqua" w:hAnsi="Book Antiqua"/>
                <w:b/>
                <w:bCs/>
                <w:noProof/>
                <w:sz w:val="20"/>
                <w:szCs w:val="20"/>
              </w:rPr>
            </w:pPr>
            <w:r w:rsidRPr="004F720D">
              <w:rPr>
                <w:rFonts w:ascii="Book Antiqua" w:hAnsi="Book Antiqua"/>
                <w:b/>
                <w:bCs/>
                <w:noProof/>
                <w:sz w:val="20"/>
                <w:szCs w:val="20"/>
              </w:rPr>
              <w:t>Vykonávacie predpisy</w:t>
            </w:r>
          </w:p>
        </w:tc>
      </w:tr>
      <w:tr w:rsidR="00633D4F" w:rsidRPr="004F720D">
        <w:trPr>
          <w:trHeight w:val="275"/>
        </w:trPr>
        <w:tc>
          <w:tcPr>
            <w:tcW w:w="6125" w:type="dxa"/>
            <w:gridSpan w:val="5"/>
            <w:tcBorders>
              <w:top w:val="single" w:sz="4" w:space="0" w:color="FFFFFF"/>
              <w:left w:val="single" w:sz="4" w:space="0" w:color="000000"/>
              <w:bottom w:val="nil"/>
              <w:right w:val="nil"/>
            </w:tcBorders>
            <w:shd w:val="clear" w:color="auto" w:fill="FFFFFF"/>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i/>
                <w:iCs/>
                <w:noProof/>
                <w:sz w:val="20"/>
                <w:szCs w:val="20"/>
              </w:rPr>
              <w:t>Predpokladá sa prijatie/zmena  vykonávací</w:t>
            </w:r>
            <w:r w:rsidRPr="004F720D">
              <w:rPr>
                <w:rFonts w:ascii="Book Antiqua" w:hAnsi="Book Antiqua"/>
                <w:i/>
                <w:iCs/>
                <w:noProof/>
                <w:sz w:val="20"/>
                <w:szCs w:val="20"/>
                <w:lang w:eastAsia="zh-TW"/>
              </w:rPr>
              <w:t>ch predpisov?</w:t>
            </w:r>
          </w:p>
        </w:tc>
        <w:tc>
          <w:tcPr>
            <w:tcW w:w="1399" w:type="dxa"/>
            <w:gridSpan w:val="2"/>
            <w:tcBorders>
              <w:top w:val="single" w:sz="4" w:space="0" w:color="FFFFFF"/>
              <w:left w:val="nil"/>
              <w:bottom w:val="nil"/>
              <w:right w:val="nil"/>
            </w:tcBorders>
            <w:shd w:val="clear" w:color="auto" w:fill="FFFFFF"/>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r w:rsidRPr="004F720D">
              <w:rPr>
                <w:rFonts w:ascii="Book Antiqua" w:hAnsi="Book Antiqua"/>
                <w:b/>
                <w:bCs/>
                <w:noProof/>
                <w:sz w:val="20"/>
                <w:szCs w:val="20"/>
              </w:rPr>
              <w:t xml:space="preserve">  Áno</w:t>
            </w:r>
          </w:p>
        </w:tc>
        <w:tc>
          <w:tcPr>
            <w:tcW w:w="1540" w:type="dxa"/>
            <w:gridSpan w:val="2"/>
            <w:tcBorders>
              <w:top w:val="single" w:sz="4" w:space="0" w:color="FFFFFF"/>
              <w:left w:val="nil"/>
              <w:bottom w:val="nil"/>
              <w:right w:val="single" w:sz="4" w:space="0" w:color="000000"/>
            </w:tcBorders>
            <w:shd w:val="clear" w:color="auto" w:fill="FFFFFF"/>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r w:rsidRPr="004F720D">
              <w:rPr>
                <w:rFonts w:ascii="Book Antiqua" w:hAnsi="Book Antiqua"/>
                <w:b/>
                <w:bCs/>
                <w:noProof/>
                <w:sz w:val="20"/>
                <w:szCs w:val="20"/>
              </w:rPr>
              <w:t xml:space="preserve">  Nie</w:t>
            </w:r>
          </w:p>
        </w:tc>
      </w:tr>
      <w:tr w:rsidR="00633D4F" w:rsidRPr="004F720D">
        <w:trPr>
          <w:trHeight w:val="535"/>
        </w:trPr>
        <w:tc>
          <w:tcPr>
            <w:tcW w:w="9066" w:type="dxa"/>
            <w:gridSpan w:val="9"/>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i/>
                <w:iCs/>
                <w:noProof/>
                <w:sz w:val="20"/>
                <w:szCs w:val="20"/>
              </w:rPr>
              <w:lastRenderedPageBreak/>
              <w:t>Ak áno, uveďte ktoré oblasti budú nimi upravené, resp. ktorých vykonávacích predpisov sa zmena dotkne:</w:t>
            </w:r>
          </w:p>
        </w:tc>
      </w:tr>
      <w:tr w:rsidR="00633D4F" w:rsidRPr="004F720D">
        <w:trPr>
          <w:trHeight w:val="270"/>
        </w:trPr>
        <w:tc>
          <w:tcPr>
            <w:tcW w:w="9066" w:type="dxa"/>
            <w:gridSpan w:val="9"/>
            <w:tcBorders>
              <w:top w:val="single" w:sz="4" w:space="0" w:color="000000"/>
              <w:left w:val="single" w:sz="4" w:space="0" w:color="000000"/>
              <w:bottom w:val="single" w:sz="4" w:space="0" w:color="FFFFFF"/>
              <w:right w:val="single" w:sz="4" w:space="0" w:color="000000"/>
            </w:tcBorders>
            <w:shd w:val="clear" w:color="auto" w:fill="E2E2E2"/>
            <w:tcMar>
              <w:top w:w="80" w:type="dxa"/>
              <w:left w:w="80" w:type="dxa"/>
              <w:bottom w:w="80" w:type="dxa"/>
              <w:right w:w="80" w:type="dxa"/>
            </w:tcMar>
          </w:tcPr>
          <w:p w:rsidR="00633D4F" w:rsidRPr="004F720D" w:rsidRDefault="00A77B27">
            <w:pPr>
              <w:numPr>
                <w:ilvl w:val="0"/>
                <w:numId w:val="17"/>
              </w:numPr>
              <w:spacing w:after="0" w:line="240" w:lineRule="auto"/>
              <w:rPr>
                <w:rFonts w:ascii="Book Antiqua" w:hAnsi="Book Antiqua"/>
                <w:b/>
                <w:bCs/>
                <w:noProof/>
                <w:sz w:val="20"/>
                <w:szCs w:val="20"/>
              </w:rPr>
            </w:pPr>
            <w:r w:rsidRPr="004F720D">
              <w:rPr>
                <w:rFonts w:ascii="Book Antiqua" w:hAnsi="Book Antiqua"/>
                <w:b/>
                <w:bCs/>
                <w:noProof/>
                <w:sz w:val="20"/>
                <w:szCs w:val="20"/>
              </w:rPr>
              <w:t xml:space="preserve">Transpozícia práva EÚ </w:t>
            </w:r>
          </w:p>
        </w:tc>
      </w:tr>
      <w:tr w:rsidR="00633D4F" w:rsidRPr="004F720D">
        <w:trPr>
          <w:trHeight w:val="1055"/>
        </w:trPr>
        <w:tc>
          <w:tcPr>
            <w:tcW w:w="9066" w:type="dxa"/>
            <w:gridSpan w:val="9"/>
            <w:tcBorders>
              <w:top w:val="single" w:sz="4" w:space="0" w:color="FFFFFF"/>
              <w:left w:val="single" w:sz="4" w:space="0" w:color="000000"/>
              <w:bottom w:val="nil"/>
              <w:right w:val="single" w:sz="4" w:space="0" w:color="000000"/>
            </w:tcBorders>
            <w:shd w:val="clear" w:color="auto" w:fill="FFFFFF"/>
            <w:tcMar>
              <w:top w:w="80" w:type="dxa"/>
              <w:left w:w="80" w:type="dxa"/>
              <w:bottom w:w="80" w:type="dxa"/>
              <w:right w:w="80" w:type="dxa"/>
            </w:tcMar>
          </w:tcPr>
          <w:p w:rsidR="00633D4F" w:rsidRPr="004F720D" w:rsidRDefault="00A77B27">
            <w:pPr>
              <w:suppressAutoHyphens/>
              <w:spacing w:after="0" w:line="100" w:lineRule="atLeast"/>
              <w:jc w:val="both"/>
              <w:rPr>
                <w:rFonts w:ascii="Book Antiqua" w:eastAsia="Book Antiqua" w:hAnsi="Book Antiqua" w:cs="Book Antiqua"/>
                <w:i/>
                <w:iCs/>
                <w:noProof/>
                <w:sz w:val="20"/>
                <w:szCs w:val="20"/>
              </w:rPr>
            </w:pPr>
            <w:r w:rsidRPr="004F720D">
              <w:rPr>
                <w:rFonts w:ascii="Book Antiqua" w:hAnsi="Book Antiqua"/>
                <w:i/>
                <w:iCs/>
                <w:noProof/>
                <w:sz w:val="20"/>
                <w:szCs w:val="20"/>
              </w:rPr>
              <w:t>Uveďte, v ktorých konkrétnych ustanoveniach (paragrafy, články, body, atď.) ide národná právna úprava nad rámec minimálnych požiadaviek EÚ (tzv. goldplating) spolu s odôvodnením opodstatnenosti presahu.</w:t>
            </w:r>
          </w:p>
          <w:p w:rsidR="00633D4F" w:rsidRPr="004F720D" w:rsidRDefault="00633D4F">
            <w:pPr>
              <w:suppressAutoHyphens/>
              <w:spacing w:after="0" w:line="100" w:lineRule="atLeast"/>
              <w:jc w:val="both"/>
              <w:rPr>
                <w:rFonts w:ascii="Book Antiqua" w:eastAsia="Book Antiqua" w:hAnsi="Book Antiqua" w:cs="Book Antiqua"/>
                <w:i/>
                <w:iCs/>
                <w:noProof/>
                <w:sz w:val="20"/>
                <w:szCs w:val="20"/>
              </w:rPr>
            </w:pPr>
          </w:p>
          <w:p w:rsidR="00633D4F" w:rsidRPr="004F720D" w:rsidRDefault="00CB09EF">
            <w:pPr>
              <w:suppressAutoHyphens/>
              <w:spacing w:after="0" w:line="100" w:lineRule="atLeast"/>
              <w:jc w:val="both"/>
              <w:rPr>
                <w:noProof/>
              </w:rPr>
            </w:pPr>
            <w:r w:rsidRPr="004F720D">
              <w:rPr>
                <w:rFonts w:ascii="Book Antiqua" w:hAnsi="Book Antiqua"/>
                <w:noProof/>
                <w:sz w:val="20"/>
                <w:szCs w:val="20"/>
              </w:rPr>
              <w:t>B</w:t>
            </w:r>
            <w:r w:rsidR="00A77B27" w:rsidRPr="004F720D">
              <w:rPr>
                <w:rFonts w:ascii="Book Antiqua" w:hAnsi="Book Antiqua"/>
                <w:noProof/>
                <w:sz w:val="20"/>
                <w:szCs w:val="20"/>
              </w:rPr>
              <w:t>ezpredmetné</w:t>
            </w:r>
          </w:p>
        </w:tc>
      </w:tr>
      <w:tr w:rsidR="00633D4F" w:rsidRPr="004F720D">
        <w:trPr>
          <w:trHeight w:val="275"/>
        </w:trPr>
        <w:tc>
          <w:tcPr>
            <w:tcW w:w="9066" w:type="dxa"/>
            <w:gridSpan w:val="9"/>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33D4F" w:rsidRPr="004F720D" w:rsidRDefault="00633D4F">
            <w:pPr>
              <w:rPr>
                <w:noProof/>
              </w:rPr>
            </w:pPr>
          </w:p>
        </w:tc>
      </w:tr>
      <w:tr w:rsidR="00633D4F" w:rsidRPr="004F720D">
        <w:trPr>
          <w:trHeight w:val="270"/>
        </w:trPr>
        <w:tc>
          <w:tcPr>
            <w:tcW w:w="9066" w:type="dxa"/>
            <w:gridSpan w:val="9"/>
            <w:tcBorders>
              <w:top w:val="single" w:sz="4" w:space="0" w:color="000000"/>
              <w:left w:val="single" w:sz="4" w:space="0" w:color="000000"/>
              <w:bottom w:val="single" w:sz="4" w:space="0" w:color="FFFFFF"/>
              <w:right w:val="single" w:sz="4" w:space="0" w:color="000000"/>
            </w:tcBorders>
            <w:shd w:val="clear" w:color="auto" w:fill="E2E2E2"/>
            <w:tcMar>
              <w:top w:w="80" w:type="dxa"/>
              <w:left w:w="80" w:type="dxa"/>
              <w:bottom w:w="80" w:type="dxa"/>
              <w:right w:w="80" w:type="dxa"/>
            </w:tcMar>
          </w:tcPr>
          <w:p w:rsidR="00633D4F" w:rsidRPr="004F720D" w:rsidRDefault="00A77B27">
            <w:pPr>
              <w:numPr>
                <w:ilvl w:val="0"/>
                <w:numId w:val="19"/>
              </w:numPr>
              <w:spacing w:after="0" w:line="240" w:lineRule="auto"/>
              <w:rPr>
                <w:rFonts w:ascii="Book Antiqua" w:hAnsi="Book Antiqua"/>
                <w:b/>
                <w:bCs/>
                <w:noProof/>
                <w:sz w:val="20"/>
                <w:szCs w:val="20"/>
              </w:rPr>
            </w:pPr>
            <w:r w:rsidRPr="004F720D">
              <w:rPr>
                <w:rFonts w:ascii="Book Antiqua" w:hAnsi="Book Antiqua"/>
                <w:b/>
                <w:bCs/>
                <w:noProof/>
                <w:sz w:val="20"/>
                <w:szCs w:val="20"/>
              </w:rPr>
              <w:t>Preskúmanie účelnosti</w:t>
            </w:r>
          </w:p>
        </w:tc>
      </w:tr>
      <w:tr w:rsidR="00633D4F" w:rsidRPr="004F720D">
        <w:trPr>
          <w:trHeight w:val="1570"/>
        </w:trPr>
        <w:tc>
          <w:tcPr>
            <w:tcW w:w="9066" w:type="dxa"/>
            <w:gridSpan w:val="9"/>
            <w:tcBorders>
              <w:top w:val="single" w:sz="4" w:space="0" w:color="FFFFFF"/>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33D4F" w:rsidRPr="004F720D" w:rsidRDefault="00A77B27">
            <w:pPr>
              <w:suppressAutoHyphens/>
              <w:spacing w:after="0" w:line="100" w:lineRule="atLeast"/>
              <w:rPr>
                <w:rFonts w:ascii="Book Antiqua" w:eastAsia="Book Antiqua" w:hAnsi="Book Antiqua" w:cs="Book Antiqua"/>
                <w:i/>
                <w:iCs/>
                <w:noProof/>
                <w:sz w:val="20"/>
                <w:szCs w:val="20"/>
              </w:rPr>
            </w:pPr>
            <w:r w:rsidRPr="004F720D">
              <w:rPr>
                <w:rFonts w:ascii="Book Antiqua" w:hAnsi="Book Antiqua"/>
                <w:i/>
                <w:iCs/>
                <w:noProof/>
                <w:sz w:val="20"/>
                <w:szCs w:val="20"/>
              </w:rPr>
              <w:t xml:space="preserve">Uveďte termín, kedy by malo dôjsť k preskúmaniu účinnosti a účelnosti predkladaného materiálu. </w:t>
            </w:r>
          </w:p>
          <w:p w:rsidR="00633D4F" w:rsidRPr="004F720D" w:rsidRDefault="00A77B27">
            <w:pPr>
              <w:suppressAutoHyphens/>
              <w:spacing w:after="0" w:line="100" w:lineRule="atLeast"/>
              <w:jc w:val="both"/>
              <w:rPr>
                <w:rFonts w:ascii="Book Antiqua" w:eastAsia="Book Antiqua" w:hAnsi="Book Antiqua" w:cs="Book Antiqua"/>
                <w:noProof/>
                <w:sz w:val="20"/>
                <w:szCs w:val="20"/>
              </w:rPr>
            </w:pPr>
            <w:r w:rsidRPr="004F720D">
              <w:rPr>
                <w:rFonts w:ascii="Book Antiqua" w:hAnsi="Book Antiqua"/>
                <w:noProof/>
                <w:sz w:val="20"/>
                <w:szCs w:val="20"/>
              </w:rPr>
              <w:t>Efekt legislatívnej zmeny bude citeľný prakticky okamžite po jej účinnosti, avšak preskúmanie účelnosti navrhujeme po jednom roku.</w:t>
            </w:r>
          </w:p>
          <w:p w:rsidR="00633D4F" w:rsidRPr="004F720D" w:rsidRDefault="00633D4F">
            <w:pPr>
              <w:suppressAutoHyphens/>
              <w:spacing w:after="0" w:line="100" w:lineRule="atLeast"/>
              <w:rPr>
                <w:rFonts w:ascii="Book Antiqua" w:eastAsia="Book Antiqua" w:hAnsi="Book Antiqua" w:cs="Book Antiqua"/>
                <w:i/>
                <w:iCs/>
                <w:noProof/>
                <w:sz w:val="20"/>
                <w:szCs w:val="20"/>
              </w:rPr>
            </w:pPr>
          </w:p>
          <w:p w:rsidR="00633D4F" w:rsidRPr="004F720D" w:rsidRDefault="00A77B27">
            <w:pPr>
              <w:suppressAutoHyphens/>
              <w:spacing w:after="0" w:line="100" w:lineRule="atLeast"/>
              <w:rPr>
                <w:rFonts w:ascii="Book Antiqua" w:eastAsia="Book Antiqua" w:hAnsi="Book Antiqua" w:cs="Book Antiqua"/>
                <w:i/>
                <w:iCs/>
                <w:noProof/>
                <w:sz w:val="20"/>
                <w:szCs w:val="20"/>
              </w:rPr>
            </w:pPr>
            <w:r w:rsidRPr="004F720D">
              <w:rPr>
                <w:rFonts w:ascii="Book Antiqua" w:hAnsi="Book Antiqua"/>
                <w:i/>
                <w:iCs/>
                <w:noProof/>
                <w:sz w:val="20"/>
                <w:szCs w:val="20"/>
              </w:rPr>
              <w:t>Uveďte kritériá, na základe ktorých bude preskúmanie vykonané.</w:t>
            </w:r>
          </w:p>
          <w:p w:rsidR="00633D4F" w:rsidRPr="004F720D" w:rsidRDefault="00A77B27">
            <w:pPr>
              <w:suppressAutoHyphens/>
              <w:spacing w:after="0" w:line="100" w:lineRule="atLeast"/>
              <w:rPr>
                <w:noProof/>
              </w:rPr>
            </w:pPr>
            <w:r w:rsidRPr="004F720D">
              <w:rPr>
                <w:rFonts w:ascii="Book Antiqua" w:hAnsi="Book Antiqua"/>
                <w:noProof/>
                <w:sz w:val="20"/>
                <w:szCs w:val="20"/>
              </w:rPr>
              <w:t>Časové kritérium.</w:t>
            </w:r>
          </w:p>
        </w:tc>
      </w:tr>
      <w:tr w:rsidR="00633D4F" w:rsidRPr="004F720D">
        <w:trPr>
          <w:trHeight w:val="270"/>
        </w:trPr>
        <w:tc>
          <w:tcPr>
            <w:tcW w:w="9066" w:type="dxa"/>
            <w:gridSpan w:val="9"/>
            <w:tcBorders>
              <w:top w:val="single" w:sz="4" w:space="0" w:color="000000"/>
              <w:left w:val="single" w:sz="4" w:space="0" w:color="000000"/>
              <w:bottom w:val="single" w:sz="4" w:space="0" w:color="000000"/>
              <w:right w:val="single" w:sz="4" w:space="0" w:color="000000"/>
            </w:tcBorders>
            <w:shd w:val="clear" w:color="auto" w:fill="E2E2E2"/>
            <w:tcMar>
              <w:top w:w="80" w:type="dxa"/>
              <w:left w:w="80" w:type="dxa"/>
              <w:bottom w:w="80" w:type="dxa"/>
              <w:right w:w="80" w:type="dxa"/>
            </w:tcMar>
            <w:vAlign w:val="center"/>
          </w:tcPr>
          <w:p w:rsidR="00633D4F" w:rsidRPr="004F720D" w:rsidRDefault="00A77B27">
            <w:pPr>
              <w:numPr>
                <w:ilvl w:val="0"/>
                <w:numId w:val="21"/>
              </w:numPr>
              <w:spacing w:after="0" w:line="240" w:lineRule="auto"/>
              <w:rPr>
                <w:rFonts w:ascii="Book Antiqua" w:hAnsi="Book Antiqua"/>
                <w:b/>
                <w:bCs/>
                <w:noProof/>
                <w:sz w:val="20"/>
                <w:szCs w:val="20"/>
              </w:rPr>
            </w:pPr>
            <w:r w:rsidRPr="004F720D">
              <w:rPr>
                <w:rFonts w:ascii="Book Antiqua" w:hAnsi="Book Antiqua"/>
                <w:b/>
                <w:bCs/>
                <w:noProof/>
                <w:sz w:val="20"/>
                <w:szCs w:val="20"/>
              </w:rPr>
              <w:t>Vybrané vplyvy materiálu</w:t>
            </w:r>
          </w:p>
        </w:tc>
      </w:tr>
      <w:tr w:rsidR="00633D4F" w:rsidRPr="004F720D">
        <w:trPr>
          <w:trHeight w:val="275"/>
        </w:trPr>
        <w:tc>
          <w:tcPr>
            <w:tcW w:w="3764" w:type="dxa"/>
            <w:tcBorders>
              <w:top w:val="single" w:sz="4" w:space="0" w:color="000000"/>
              <w:left w:val="single" w:sz="4" w:space="0" w:color="000000"/>
              <w:bottom w:val="nil"/>
              <w:right w:val="single" w:sz="4" w:space="0" w:color="000000"/>
            </w:tcBorders>
            <w:shd w:val="clear" w:color="auto" w:fill="E2E2E2"/>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Vplyvy na rozpočet verejnej správy</w:t>
            </w:r>
          </w:p>
        </w:tc>
        <w:tc>
          <w:tcPr>
            <w:tcW w:w="534" w:type="dxa"/>
            <w:tcBorders>
              <w:top w:val="single" w:sz="4" w:space="0" w:color="000000"/>
              <w:left w:val="single" w:sz="4" w:space="0" w:color="000000"/>
              <w:bottom w:val="dotted"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295" w:type="dxa"/>
            <w:tcBorders>
              <w:top w:val="single" w:sz="4" w:space="0" w:color="000000"/>
              <w:left w:val="nil"/>
              <w:bottom w:val="dotted"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Pozitívne</w:t>
            </w:r>
          </w:p>
        </w:tc>
        <w:tc>
          <w:tcPr>
            <w:tcW w:w="531" w:type="dxa"/>
            <w:gridSpan w:val="2"/>
            <w:tcBorders>
              <w:top w:val="single" w:sz="4" w:space="0" w:color="000000"/>
              <w:left w:val="nil"/>
              <w:bottom w:val="dotted"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118" w:type="dxa"/>
            <w:tcBorders>
              <w:top w:val="single" w:sz="4" w:space="0" w:color="000000"/>
              <w:left w:val="nil"/>
              <w:bottom w:val="dotted"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Žiadne</w:t>
            </w:r>
          </w:p>
        </w:tc>
        <w:tc>
          <w:tcPr>
            <w:tcW w:w="540" w:type="dxa"/>
            <w:gridSpan w:val="2"/>
            <w:tcBorders>
              <w:top w:val="single" w:sz="4" w:space="0" w:color="000000"/>
              <w:left w:val="nil"/>
              <w:bottom w:val="dotted"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280" w:type="dxa"/>
            <w:tcBorders>
              <w:top w:val="single" w:sz="4" w:space="0" w:color="000000"/>
              <w:left w:val="nil"/>
              <w:bottom w:val="dotted" w:sz="4" w:space="0" w:color="000000"/>
              <w:right w:val="single" w:sz="4" w:space="0" w:color="000000"/>
            </w:tcBorders>
            <w:shd w:val="clear" w:color="auto" w:fill="auto"/>
            <w:tcMar>
              <w:top w:w="80" w:type="dxa"/>
              <w:left w:w="114" w:type="dxa"/>
              <w:bottom w:w="80" w:type="dxa"/>
              <w:right w:w="80" w:type="dxa"/>
            </w:tcMar>
          </w:tcPr>
          <w:p w:rsidR="00633D4F" w:rsidRPr="004F720D" w:rsidRDefault="00A77B27">
            <w:pPr>
              <w:suppressAutoHyphens/>
              <w:spacing w:after="0" w:line="100" w:lineRule="atLeast"/>
              <w:ind w:left="34"/>
              <w:rPr>
                <w:noProof/>
              </w:rPr>
            </w:pPr>
            <w:r w:rsidRPr="004F720D">
              <w:rPr>
                <w:rFonts w:ascii="Book Antiqua" w:hAnsi="Book Antiqua"/>
                <w:b/>
                <w:bCs/>
                <w:noProof/>
                <w:sz w:val="20"/>
                <w:szCs w:val="20"/>
              </w:rPr>
              <w:t>Negatívne</w:t>
            </w:r>
          </w:p>
        </w:tc>
      </w:tr>
      <w:tr w:rsidR="00633D4F" w:rsidRPr="004F720D">
        <w:trPr>
          <w:trHeight w:val="1320"/>
        </w:trPr>
        <w:tc>
          <w:tcPr>
            <w:tcW w:w="3764" w:type="dxa"/>
            <w:tcBorders>
              <w:top w:val="nil"/>
              <w:left w:val="single" w:sz="4" w:space="0" w:color="000000"/>
              <w:bottom w:val="nil"/>
              <w:right w:val="single" w:sz="4" w:space="0" w:color="000000"/>
            </w:tcBorders>
            <w:shd w:val="clear" w:color="auto" w:fill="E2E2E2"/>
            <w:tcMar>
              <w:top w:w="80" w:type="dxa"/>
              <w:left w:w="80" w:type="dxa"/>
              <w:bottom w:w="80" w:type="dxa"/>
              <w:right w:w="80" w:type="dxa"/>
            </w:tcMar>
          </w:tcPr>
          <w:p w:rsidR="00633D4F" w:rsidRPr="004F720D" w:rsidRDefault="00A77B27">
            <w:pPr>
              <w:suppressAutoHyphens/>
              <w:spacing w:after="0" w:line="100" w:lineRule="atLeast"/>
              <w:rPr>
                <w:rFonts w:ascii="Book Antiqua" w:eastAsia="Book Antiqua" w:hAnsi="Book Antiqua" w:cs="Book Antiqua"/>
                <w:noProof/>
                <w:sz w:val="20"/>
                <w:szCs w:val="20"/>
              </w:rPr>
            </w:pPr>
            <w:r w:rsidRPr="004F720D">
              <w:rPr>
                <w:rFonts w:ascii="Book Antiqua" w:hAnsi="Book Antiqua"/>
                <w:noProof/>
                <w:sz w:val="20"/>
                <w:szCs w:val="20"/>
              </w:rPr>
              <w:t xml:space="preserve">    z toho rozpočtovo zabezpečené vplyvy,         </w:t>
            </w:r>
          </w:p>
          <w:p w:rsidR="00633D4F" w:rsidRPr="004F720D" w:rsidRDefault="00A77B27">
            <w:pPr>
              <w:suppressAutoHyphens/>
              <w:spacing w:after="0" w:line="100" w:lineRule="atLeast"/>
              <w:rPr>
                <w:rFonts w:ascii="Book Antiqua" w:eastAsia="Book Antiqua" w:hAnsi="Book Antiqua" w:cs="Book Antiqua"/>
                <w:noProof/>
                <w:sz w:val="20"/>
                <w:szCs w:val="20"/>
              </w:rPr>
            </w:pPr>
            <w:r w:rsidRPr="004F720D">
              <w:rPr>
                <w:rFonts w:ascii="Book Antiqua" w:hAnsi="Book Antiqua"/>
                <w:noProof/>
                <w:sz w:val="20"/>
                <w:szCs w:val="20"/>
              </w:rPr>
              <w:t xml:space="preserve">    v prípade identifikovaného negatívneho </w:t>
            </w:r>
          </w:p>
          <w:p w:rsidR="00633D4F" w:rsidRPr="004F720D" w:rsidRDefault="00A77B27">
            <w:pPr>
              <w:suppressAutoHyphens/>
              <w:spacing w:after="0" w:line="100" w:lineRule="atLeast"/>
              <w:rPr>
                <w:noProof/>
              </w:rPr>
            </w:pPr>
            <w:r w:rsidRPr="004F720D">
              <w:rPr>
                <w:rFonts w:ascii="Book Antiqua" w:hAnsi="Book Antiqua"/>
                <w:noProof/>
                <w:sz w:val="20"/>
                <w:szCs w:val="20"/>
              </w:rPr>
              <w:t xml:space="preserve">    vplyvu</w:t>
            </w:r>
          </w:p>
        </w:tc>
        <w:tc>
          <w:tcPr>
            <w:tcW w:w="534" w:type="dxa"/>
            <w:tcBorders>
              <w:top w:val="dotted" w:sz="4" w:space="0" w:color="000000"/>
              <w:left w:val="single" w:sz="4" w:space="0" w:color="000000"/>
              <w:bottom w:val="dotted"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295" w:type="dxa"/>
            <w:tcBorders>
              <w:top w:val="dotted" w:sz="4" w:space="0" w:color="000000"/>
              <w:left w:val="nil"/>
              <w:bottom w:val="dotted"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rPr>
                <w:noProof/>
              </w:rPr>
            </w:pPr>
            <w:r w:rsidRPr="004F720D">
              <w:rPr>
                <w:rFonts w:ascii="Book Antiqua" w:hAnsi="Book Antiqua"/>
                <w:noProof/>
                <w:sz w:val="20"/>
                <w:szCs w:val="20"/>
              </w:rPr>
              <w:t>Áno</w:t>
            </w:r>
          </w:p>
        </w:tc>
        <w:tc>
          <w:tcPr>
            <w:tcW w:w="531" w:type="dxa"/>
            <w:gridSpan w:val="2"/>
            <w:tcBorders>
              <w:top w:val="dotted" w:sz="4" w:space="0" w:color="000000"/>
              <w:left w:val="nil"/>
              <w:bottom w:val="dotted"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noProof/>
                <w:sz w:val="20"/>
                <w:szCs w:val="20"/>
              </w:rPr>
              <w:t>☐</w:t>
            </w:r>
          </w:p>
        </w:tc>
        <w:tc>
          <w:tcPr>
            <w:tcW w:w="1118" w:type="dxa"/>
            <w:tcBorders>
              <w:top w:val="dotted" w:sz="4" w:space="0" w:color="000000"/>
              <w:left w:val="nil"/>
              <w:bottom w:val="dotted"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rPr>
                <w:noProof/>
              </w:rPr>
            </w:pPr>
            <w:r w:rsidRPr="004F720D">
              <w:rPr>
                <w:rFonts w:ascii="Book Antiqua" w:hAnsi="Book Antiqua"/>
                <w:noProof/>
                <w:sz w:val="20"/>
                <w:szCs w:val="20"/>
              </w:rPr>
              <w:t>Nie</w:t>
            </w:r>
          </w:p>
        </w:tc>
        <w:tc>
          <w:tcPr>
            <w:tcW w:w="540" w:type="dxa"/>
            <w:gridSpan w:val="2"/>
            <w:tcBorders>
              <w:top w:val="dotted" w:sz="4" w:space="0" w:color="000000"/>
              <w:left w:val="nil"/>
              <w:bottom w:val="dotted"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noProof/>
                <w:sz w:val="20"/>
                <w:szCs w:val="20"/>
              </w:rPr>
              <w:t>☐</w:t>
            </w:r>
          </w:p>
        </w:tc>
        <w:tc>
          <w:tcPr>
            <w:tcW w:w="1280" w:type="dxa"/>
            <w:tcBorders>
              <w:top w:val="dotted" w:sz="4" w:space="0" w:color="000000"/>
              <w:left w:val="nil"/>
              <w:bottom w:val="dotted" w:sz="4" w:space="0" w:color="000000"/>
              <w:right w:val="single" w:sz="4" w:space="0" w:color="000000"/>
            </w:tcBorders>
            <w:shd w:val="clear" w:color="auto" w:fill="auto"/>
            <w:tcMar>
              <w:top w:w="80" w:type="dxa"/>
              <w:left w:w="114" w:type="dxa"/>
              <w:bottom w:w="80" w:type="dxa"/>
              <w:right w:w="80" w:type="dxa"/>
            </w:tcMar>
            <w:vAlign w:val="center"/>
          </w:tcPr>
          <w:p w:rsidR="00633D4F" w:rsidRPr="004F720D" w:rsidRDefault="00A77B27">
            <w:pPr>
              <w:suppressAutoHyphens/>
              <w:spacing w:after="0" w:line="100" w:lineRule="atLeast"/>
              <w:ind w:left="34"/>
              <w:rPr>
                <w:noProof/>
              </w:rPr>
            </w:pPr>
            <w:r w:rsidRPr="004F720D">
              <w:rPr>
                <w:rFonts w:ascii="Book Antiqua" w:hAnsi="Book Antiqua"/>
                <w:noProof/>
                <w:sz w:val="20"/>
                <w:szCs w:val="20"/>
              </w:rPr>
              <w:t>Čiastočne</w:t>
            </w:r>
          </w:p>
        </w:tc>
      </w:tr>
      <w:tr w:rsidR="00633D4F" w:rsidRPr="004F720D">
        <w:trPr>
          <w:trHeight w:val="540"/>
        </w:trPr>
        <w:tc>
          <w:tcPr>
            <w:tcW w:w="3764" w:type="dxa"/>
            <w:tcBorders>
              <w:top w:val="nil"/>
              <w:left w:val="single" w:sz="4" w:space="0" w:color="000000"/>
              <w:bottom w:val="nil"/>
              <w:right w:val="single" w:sz="4" w:space="0" w:color="000000"/>
            </w:tcBorders>
            <w:shd w:val="clear" w:color="auto" w:fill="E2E2E2"/>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v tom vplyvy na rozpočty obcí a vyšších územných celkov</w:t>
            </w:r>
          </w:p>
        </w:tc>
        <w:tc>
          <w:tcPr>
            <w:tcW w:w="534" w:type="dxa"/>
            <w:tcBorders>
              <w:top w:val="dotted" w:sz="4" w:space="0" w:color="000000"/>
              <w:left w:val="single" w:sz="4" w:space="0" w:color="000000"/>
              <w:bottom w:val="dotted"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295" w:type="dxa"/>
            <w:tcBorders>
              <w:top w:val="dotted" w:sz="4" w:space="0" w:color="000000"/>
              <w:left w:val="nil"/>
              <w:bottom w:val="dotted"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Pozitívne</w:t>
            </w:r>
          </w:p>
        </w:tc>
        <w:tc>
          <w:tcPr>
            <w:tcW w:w="531" w:type="dxa"/>
            <w:gridSpan w:val="2"/>
            <w:tcBorders>
              <w:top w:val="dotted" w:sz="4" w:space="0" w:color="000000"/>
              <w:left w:val="nil"/>
              <w:bottom w:val="dotted"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118" w:type="dxa"/>
            <w:tcBorders>
              <w:top w:val="dotted" w:sz="4" w:space="0" w:color="000000"/>
              <w:left w:val="nil"/>
              <w:bottom w:val="dotted"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Žiadne</w:t>
            </w:r>
          </w:p>
        </w:tc>
        <w:tc>
          <w:tcPr>
            <w:tcW w:w="540" w:type="dxa"/>
            <w:gridSpan w:val="2"/>
            <w:tcBorders>
              <w:top w:val="dotted" w:sz="4" w:space="0" w:color="000000"/>
              <w:left w:val="nil"/>
              <w:bottom w:val="dotted"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280" w:type="dxa"/>
            <w:tcBorders>
              <w:top w:val="dotted" w:sz="4" w:space="0" w:color="000000"/>
              <w:left w:val="nil"/>
              <w:bottom w:val="dotted" w:sz="4" w:space="0" w:color="000000"/>
              <w:right w:val="single" w:sz="4" w:space="0" w:color="000000"/>
            </w:tcBorders>
            <w:shd w:val="clear" w:color="auto" w:fill="auto"/>
            <w:tcMar>
              <w:top w:w="80" w:type="dxa"/>
              <w:left w:w="114" w:type="dxa"/>
              <w:bottom w:w="80" w:type="dxa"/>
              <w:right w:w="80" w:type="dxa"/>
            </w:tcMar>
          </w:tcPr>
          <w:p w:rsidR="00633D4F" w:rsidRPr="004F720D" w:rsidRDefault="00A77B27">
            <w:pPr>
              <w:suppressAutoHyphens/>
              <w:spacing w:after="0" w:line="100" w:lineRule="atLeast"/>
              <w:ind w:left="34"/>
              <w:rPr>
                <w:noProof/>
              </w:rPr>
            </w:pPr>
            <w:r w:rsidRPr="004F720D">
              <w:rPr>
                <w:rFonts w:ascii="Book Antiqua" w:hAnsi="Book Antiqua"/>
                <w:b/>
                <w:bCs/>
                <w:noProof/>
                <w:sz w:val="20"/>
                <w:szCs w:val="20"/>
              </w:rPr>
              <w:t>Negatívne</w:t>
            </w:r>
          </w:p>
        </w:tc>
      </w:tr>
      <w:tr w:rsidR="00633D4F" w:rsidRPr="004F720D">
        <w:trPr>
          <w:trHeight w:val="1055"/>
        </w:trPr>
        <w:tc>
          <w:tcPr>
            <w:tcW w:w="3764" w:type="dxa"/>
            <w:tcBorders>
              <w:top w:val="nil"/>
              <w:left w:val="single" w:sz="4" w:space="0" w:color="000000"/>
              <w:bottom w:val="single" w:sz="4" w:space="0" w:color="000000"/>
              <w:right w:val="single" w:sz="4" w:space="0" w:color="000000"/>
            </w:tcBorders>
            <w:shd w:val="clear" w:color="auto" w:fill="E2E2E2"/>
            <w:tcMar>
              <w:top w:w="80" w:type="dxa"/>
              <w:left w:w="251" w:type="dxa"/>
              <w:bottom w:w="80" w:type="dxa"/>
              <w:right w:w="80" w:type="dxa"/>
            </w:tcMar>
          </w:tcPr>
          <w:p w:rsidR="00633D4F" w:rsidRPr="004F720D" w:rsidRDefault="00A77B27">
            <w:pPr>
              <w:suppressAutoHyphens/>
              <w:spacing w:after="0" w:line="100" w:lineRule="atLeast"/>
              <w:ind w:left="171"/>
              <w:rPr>
                <w:rFonts w:ascii="Book Antiqua" w:eastAsia="Book Antiqua" w:hAnsi="Book Antiqua" w:cs="Book Antiqua"/>
                <w:noProof/>
                <w:sz w:val="20"/>
                <w:szCs w:val="20"/>
              </w:rPr>
            </w:pPr>
            <w:r w:rsidRPr="004F720D">
              <w:rPr>
                <w:rFonts w:ascii="Book Antiqua" w:hAnsi="Book Antiqua"/>
                <w:noProof/>
                <w:sz w:val="20"/>
                <w:szCs w:val="20"/>
              </w:rPr>
              <w:t>z toho rozpočtovo zabezpečené vplyvy,</w:t>
            </w:r>
          </w:p>
          <w:p w:rsidR="00633D4F" w:rsidRPr="004F720D" w:rsidRDefault="00A77B27">
            <w:pPr>
              <w:suppressAutoHyphens/>
              <w:spacing w:after="0" w:line="100" w:lineRule="atLeast"/>
              <w:ind w:left="171"/>
              <w:rPr>
                <w:noProof/>
              </w:rPr>
            </w:pPr>
            <w:r w:rsidRPr="004F720D">
              <w:rPr>
                <w:rFonts w:ascii="Book Antiqua" w:hAnsi="Book Antiqua"/>
                <w:noProof/>
                <w:sz w:val="20"/>
                <w:szCs w:val="20"/>
              </w:rPr>
              <w:t>v prípade identifikovaného negatívneho vplyvu</w:t>
            </w:r>
          </w:p>
        </w:tc>
        <w:tc>
          <w:tcPr>
            <w:tcW w:w="534" w:type="dxa"/>
            <w:tcBorders>
              <w:top w:val="dotted"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noProof/>
                <w:sz w:val="20"/>
                <w:szCs w:val="20"/>
              </w:rPr>
              <w:t>☐</w:t>
            </w:r>
          </w:p>
        </w:tc>
        <w:tc>
          <w:tcPr>
            <w:tcW w:w="1295" w:type="dxa"/>
            <w:tcBorders>
              <w:top w:val="dotted"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rPr>
                <w:noProof/>
              </w:rPr>
            </w:pPr>
            <w:r w:rsidRPr="004F720D">
              <w:rPr>
                <w:rFonts w:ascii="Book Antiqua" w:hAnsi="Book Antiqua"/>
                <w:noProof/>
                <w:sz w:val="20"/>
                <w:szCs w:val="20"/>
              </w:rPr>
              <w:t>Áno</w:t>
            </w:r>
          </w:p>
        </w:tc>
        <w:tc>
          <w:tcPr>
            <w:tcW w:w="531" w:type="dxa"/>
            <w:gridSpan w:val="2"/>
            <w:tcBorders>
              <w:top w:val="dotted"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jc w:val="center"/>
              <w:rPr>
                <w:noProof/>
              </w:rPr>
            </w:pPr>
            <w:r w:rsidRPr="004F720D">
              <w:rPr>
                <w:rFonts w:ascii="MS Gothic" w:eastAsia="MS Gothic" w:hAnsi="MS Gothic" w:cs="MS Gothic"/>
                <w:noProof/>
                <w:sz w:val="20"/>
                <w:szCs w:val="20"/>
              </w:rPr>
              <w:t>☐</w:t>
            </w:r>
          </w:p>
        </w:tc>
        <w:tc>
          <w:tcPr>
            <w:tcW w:w="1118" w:type="dxa"/>
            <w:tcBorders>
              <w:top w:val="dotted"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rPr>
                <w:noProof/>
              </w:rPr>
            </w:pPr>
            <w:r w:rsidRPr="004F720D">
              <w:rPr>
                <w:rFonts w:ascii="Book Antiqua" w:hAnsi="Book Antiqua"/>
                <w:noProof/>
                <w:sz w:val="20"/>
                <w:szCs w:val="20"/>
              </w:rPr>
              <w:t>Nie</w:t>
            </w:r>
          </w:p>
        </w:tc>
        <w:tc>
          <w:tcPr>
            <w:tcW w:w="540" w:type="dxa"/>
            <w:gridSpan w:val="2"/>
            <w:tcBorders>
              <w:top w:val="dotted"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noProof/>
                <w:sz w:val="20"/>
                <w:szCs w:val="20"/>
              </w:rPr>
              <w:t>☐</w:t>
            </w:r>
          </w:p>
        </w:tc>
        <w:tc>
          <w:tcPr>
            <w:tcW w:w="1280" w:type="dxa"/>
            <w:tcBorders>
              <w:top w:val="dotted" w:sz="4" w:space="0" w:color="000000"/>
              <w:left w:val="nil"/>
              <w:bottom w:val="single" w:sz="4" w:space="0" w:color="000000"/>
              <w:right w:val="single" w:sz="4" w:space="0" w:color="000000"/>
            </w:tcBorders>
            <w:shd w:val="clear" w:color="auto" w:fill="auto"/>
            <w:tcMar>
              <w:top w:w="80" w:type="dxa"/>
              <w:left w:w="114" w:type="dxa"/>
              <w:bottom w:w="80" w:type="dxa"/>
              <w:right w:w="80" w:type="dxa"/>
            </w:tcMar>
            <w:vAlign w:val="center"/>
          </w:tcPr>
          <w:p w:rsidR="00633D4F" w:rsidRPr="004F720D" w:rsidRDefault="00A77B27">
            <w:pPr>
              <w:suppressAutoHyphens/>
              <w:spacing w:after="0" w:line="100" w:lineRule="atLeast"/>
              <w:ind w:left="34"/>
              <w:rPr>
                <w:noProof/>
              </w:rPr>
            </w:pPr>
            <w:r w:rsidRPr="004F720D">
              <w:rPr>
                <w:rFonts w:ascii="Book Antiqua" w:hAnsi="Book Antiqua"/>
                <w:noProof/>
                <w:sz w:val="20"/>
                <w:szCs w:val="20"/>
              </w:rPr>
              <w:t>Čiastočne</w:t>
            </w:r>
          </w:p>
        </w:tc>
      </w:tr>
      <w:tr w:rsidR="00633D4F" w:rsidRPr="004F720D">
        <w:trPr>
          <w:trHeight w:val="275"/>
        </w:trPr>
        <w:tc>
          <w:tcPr>
            <w:tcW w:w="3764" w:type="dxa"/>
            <w:tcBorders>
              <w:top w:val="single" w:sz="4" w:space="0" w:color="000000"/>
              <w:left w:val="single" w:sz="4" w:space="0" w:color="000000"/>
              <w:bottom w:val="nil"/>
              <w:right w:val="single" w:sz="4" w:space="0" w:color="000000"/>
            </w:tcBorders>
            <w:shd w:val="clear" w:color="auto" w:fill="E2E2E2"/>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Vplyvy na podnikateľské prostredie</w:t>
            </w:r>
          </w:p>
        </w:tc>
        <w:tc>
          <w:tcPr>
            <w:tcW w:w="534" w:type="dxa"/>
            <w:tcBorders>
              <w:top w:val="single" w:sz="4" w:space="0" w:color="000000"/>
              <w:left w:val="single" w:sz="4" w:space="0" w:color="000000"/>
              <w:bottom w:val="dotted"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jc w:val="center"/>
              <w:rPr>
                <w:noProof/>
              </w:rPr>
            </w:pPr>
            <w:r w:rsidRPr="004F720D">
              <w:rPr>
                <w:rFonts w:ascii="MS Gothic" w:eastAsia="MS Gothic" w:hAnsi="MS Gothic" w:cs="MS Gothic"/>
                <w:b/>
                <w:bCs/>
                <w:noProof/>
                <w:sz w:val="20"/>
                <w:szCs w:val="20"/>
              </w:rPr>
              <w:t>☒</w:t>
            </w:r>
          </w:p>
        </w:tc>
        <w:tc>
          <w:tcPr>
            <w:tcW w:w="1295" w:type="dxa"/>
            <w:tcBorders>
              <w:top w:val="single" w:sz="4" w:space="0" w:color="000000"/>
              <w:left w:val="nil"/>
              <w:bottom w:val="dotted"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rPr>
                <w:noProof/>
              </w:rPr>
            </w:pPr>
            <w:r w:rsidRPr="004F720D">
              <w:rPr>
                <w:rFonts w:ascii="Book Antiqua" w:hAnsi="Book Antiqua"/>
                <w:b/>
                <w:bCs/>
                <w:noProof/>
                <w:sz w:val="20"/>
                <w:szCs w:val="20"/>
              </w:rPr>
              <w:t>Pozitívne</w:t>
            </w:r>
          </w:p>
        </w:tc>
        <w:tc>
          <w:tcPr>
            <w:tcW w:w="531" w:type="dxa"/>
            <w:gridSpan w:val="2"/>
            <w:tcBorders>
              <w:top w:val="single" w:sz="4" w:space="0" w:color="000000"/>
              <w:left w:val="nil"/>
              <w:bottom w:val="dotted"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jc w:val="center"/>
              <w:rPr>
                <w:noProof/>
              </w:rPr>
            </w:pPr>
            <w:r w:rsidRPr="004F720D">
              <w:rPr>
                <w:rFonts w:ascii="MS Gothic" w:eastAsia="MS Gothic" w:hAnsi="MS Gothic" w:cs="MS Gothic"/>
                <w:b/>
                <w:bCs/>
                <w:noProof/>
                <w:sz w:val="20"/>
                <w:szCs w:val="20"/>
              </w:rPr>
              <w:t>☐</w:t>
            </w:r>
          </w:p>
        </w:tc>
        <w:tc>
          <w:tcPr>
            <w:tcW w:w="1118" w:type="dxa"/>
            <w:tcBorders>
              <w:top w:val="single" w:sz="4" w:space="0" w:color="000000"/>
              <w:left w:val="nil"/>
              <w:bottom w:val="dotted"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rPr>
                <w:noProof/>
              </w:rPr>
            </w:pPr>
            <w:r w:rsidRPr="004F720D">
              <w:rPr>
                <w:rFonts w:ascii="Book Antiqua" w:hAnsi="Book Antiqua"/>
                <w:b/>
                <w:bCs/>
                <w:noProof/>
                <w:sz w:val="20"/>
                <w:szCs w:val="20"/>
              </w:rPr>
              <w:t>Žiadne</w:t>
            </w:r>
          </w:p>
        </w:tc>
        <w:tc>
          <w:tcPr>
            <w:tcW w:w="540" w:type="dxa"/>
            <w:gridSpan w:val="2"/>
            <w:tcBorders>
              <w:top w:val="single" w:sz="4" w:space="0" w:color="000000"/>
              <w:left w:val="nil"/>
              <w:bottom w:val="dotted"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jc w:val="center"/>
              <w:rPr>
                <w:noProof/>
              </w:rPr>
            </w:pPr>
            <w:r w:rsidRPr="004F720D">
              <w:rPr>
                <w:rFonts w:ascii="MS Gothic" w:eastAsia="MS Gothic" w:hAnsi="MS Gothic" w:cs="MS Gothic"/>
                <w:b/>
                <w:bCs/>
                <w:noProof/>
                <w:sz w:val="20"/>
                <w:szCs w:val="20"/>
              </w:rPr>
              <w:t>☐</w:t>
            </w:r>
          </w:p>
        </w:tc>
        <w:tc>
          <w:tcPr>
            <w:tcW w:w="1280" w:type="dxa"/>
            <w:tcBorders>
              <w:top w:val="single" w:sz="4" w:space="0" w:color="000000"/>
              <w:left w:val="nil"/>
              <w:bottom w:val="dotted" w:sz="4" w:space="0" w:color="000000"/>
              <w:right w:val="single" w:sz="4" w:space="0" w:color="000000"/>
            </w:tcBorders>
            <w:shd w:val="clear" w:color="auto" w:fill="auto"/>
            <w:tcMar>
              <w:top w:w="80" w:type="dxa"/>
              <w:left w:w="134" w:type="dxa"/>
              <w:bottom w:w="80" w:type="dxa"/>
              <w:right w:w="80" w:type="dxa"/>
            </w:tcMar>
            <w:vAlign w:val="center"/>
          </w:tcPr>
          <w:p w:rsidR="00633D4F" w:rsidRPr="004F720D" w:rsidRDefault="00A77B27">
            <w:pPr>
              <w:suppressAutoHyphens/>
              <w:spacing w:after="0" w:line="100" w:lineRule="atLeast"/>
              <w:ind w:left="54"/>
              <w:rPr>
                <w:noProof/>
              </w:rPr>
            </w:pPr>
            <w:r w:rsidRPr="004F720D">
              <w:rPr>
                <w:rFonts w:ascii="Book Antiqua" w:hAnsi="Book Antiqua"/>
                <w:b/>
                <w:bCs/>
                <w:noProof/>
                <w:sz w:val="20"/>
                <w:szCs w:val="20"/>
              </w:rPr>
              <w:t>Negatívne</w:t>
            </w:r>
          </w:p>
        </w:tc>
      </w:tr>
      <w:tr w:rsidR="00633D4F" w:rsidRPr="004F720D">
        <w:trPr>
          <w:trHeight w:val="275"/>
        </w:trPr>
        <w:tc>
          <w:tcPr>
            <w:tcW w:w="3764" w:type="dxa"/>
            <w:tcBorders>
              <w:top w:val="nil"/>
              <w:left w:val="single" w:sz="4" w:space="0" w:color="000000"/>
              <w:bottom w:val="single" w:sz="4" w:space="0" w:color="000000"/>
              <w:right w:val="single" w:sz="4" w:space="0" w:color="000000"/>
            </w:tcBorders>
            <w:shd w:val="clear" w:color="auto" w:fill="E2E2E2"/>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noProof/>
                <w:sz w:val="20"/>
                <w:szCs w:val="20"/>
              </w:rPr>
              <w:t xml:space="preserve">   predpokladané vyčíslenie:</w:t>
            </w:r>
          </w:p>
        </w:tc>
        <w:tc>
          <w:tcPr>
            <w:tcW w:w="534" w:type="dxa"/>
            <w:tcBorders>
              <w:top w:val="dotted"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633D4F" w:rsidRPr="004F720D" w:rsidRDefault="00633D4F">
            <w:pPr>
              <w:rPr>
                <w:noProof/>
              </w:rPr>
            </w:pPr>
          </w:p>
        </w:tc>
        <w:tc>
          <w:tcPr>
            <w:tcW w:w="1576" w:type="dxa"/>
            <w:gridSpan w:val="2"/>
            <w:tcBorders>
              <w:top w:val="dotted"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633D4F" w:rsidRPr="004F720D" w:rsidRDefault="00633D4F">
            <w:pPr>
              <w:rPr>
                <w:noProof/>
              </w:rPr>
            </w:pPr>
          </w:p>
        </w:tc>
        <w:tc>
          <w:tcPr>
            <w:tcW w:w="250" w:type="dxa"/>
            <w:tcBorders>
              <w:top w:val="dotted"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633D4F" w:rsidRPr="004F720D" w:rsidRDefault="00633D4F">
            <w:pPr>
              <w:rPr>
                <w:noProof/>
              </w:rPr>
            </w:pPr>
          </w:p>
        </w:tc>
        <w:tc>
          <w:tcPr>
            <w:tcW w:w="1118" w:type="dxa"/>
            <w:tcBorders>
              <w:top w:val="dotted"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633D4F" w:rsidRPr="004F720D" w:rsidRDefault="00633D4F">
            <w:pPr>
              <w:rPr>
                <w:noProof/>
              </w:rPr>
            </w:pPr>
          </w:p>
        </w:tc>
        <w:tc>
          <w:tcPr>
            <w:tcW w:w="540" w:type="dxa"/>
            <w:gridSpan w:val="2"/>
            <w:tcBorders>
              <w:top w:val="dotted"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633D4F" w:rsidRPr="004F720D" w:rsidRDefault="00633D4F">
            <w:pPr>
              <w:rPr>
                <w:noProof/>
              </w:rPr>
            </w:pPr>
          </w:p>
        </w:tc>
        <w:tc>
          <w:tcPr>
            <w:tcW w:w="1280" w:type="dxa"/>
            <w:tcBorders>
              <w:top w:val="dotted"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633D4F" w:rsidRPr="004F720D" w:rsidRDefault="00633D4F">
            <w:pPr>
              <w:rPr>
                <w:noProof/>
              </w:rPr>
            </w:pPr>
          </w:p>
        </w:tc>
      </w:tr>
      <w:tr w:rsidR="00633D4F" w:rsidRPr="004F720D">
        <w:trPr>
          <w:trHeight w:val="270"/>
        </w:trPr>
        <w:tc>
          <w:tcPr>
            <w:tcW w:w="3764" w:type="dxa"/>
            <w:tcBorders>
              <w:top w:val="single" w:sz="4" w:space="0" w:color="000000"/>
              <w:left w:val="single" w:sz="4" w:space="0" w:color="000000"/>
              <w:bottom w:val="single" w:sz="4" w:space="0" w:color="000000"/>
              <w:right w:val="single" w:sz="4" w:space="0" w:color="000000"/>
            </w:tcBorders>
            <w:shd w:val="clear" w:color="auto" w:fill="E2E2E2"/>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Sociálne vplyvy</w:t>
            </w:r>
          </w:p>
        </w:tc>
        <w:tc>
          <w:tcPr>
            <w:tcW w:w="53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29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Pozitívne</w:t>
            </w:r>
          </w:p>
        </w:tc>
        <w:tc>
          <w:tcPr>
            <w:tcW w:w="531"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1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Žiadne</w:t>
            </w:r>
          </w:p>
        </w:tc>
        <w:tc>
          <w:tcPr>
            <w:tcW w:w="540"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280" w:type="dxa"/>
            <w:tcBorders>
              <w:top w:val="single" w:sz="4" w:space="0" w:color="000000"/>
              <w:left w:val="nil"/>
              <w:bottom w:val="single" w:sz="4" w:space="0" w:color="000000"/>
              <w:right w:val="single" w:sz="4" w:space="0" w:color="000000"/>
            </w:tcBorders>
            <w:shd w:val="clear" w:color="auto" w:fill="auto"/>
            <w:tcMar>
              <w:top w:w="80" w:type="dxa"/>
              <w:left w:w="134" w:type="dxa"/>
              <w:bottom w:w="80" w:type="dxa"/>
              <w:right w:w="80" w:type="dxa"/>
            </w:tcMar>
          </w:tcPr>
          <w:p w:rsidR="00633D4F" w:rsidRPr="004F720D" w:rsidRDefault="00A77B27">
            <w:pPr>
              <w:suppressAutoHyphens/>
              <w:spacing w:after="0" w:line="100" w:lineRule="atLeast"/>
              <w:ind w:left="54"/>
              <w:rPr>
                <w:noProof/>
              </w:rPr>
            </w:pPr>
            <w:r w:rsidRPr="004F720D">
              <w:rPr>
                <w:rFonts w:ascii="Book Antiqua" w:hAnsi="Book Antiqua"/>
                <w:b/>
                <w:bCs/>
                <w:noProof/>
                <w:sz w:val="20"/>
                <w:szCs w:val="20"/>
              </w:rPr>
              <w:t>Negatívne</w:t>
            </w:r>
          </w:p>
        </w:tc>
      </w:tr>
      <w:tr w:rsidR="00633D4F" w:rsidRPr="004F720D">
        <w:trPr>
          <w:trHeight w:val="270"/>
        </w:trPr>
        <w:tc>
          <w:tcPr>
            <w:tcW w:w="3764" w:type="dxa"/>
            <w:tcBorders>
              <w:top w:val="single" w:sz="4" w:space="0" w:color="000000"/>
              <w:left w:val="single" w:sz="4" w:space="0" w:color="000000"/>
              <w:bottom w:val="single" w:sz="4" w:space="0" w:color="000000"/>
              <w:right w:val="single" w:sz="4" w:space="0" w:color="000000"/>
            </w:tcBorders>
            <w:shd w:val="clear" w:color="auto" w:fill="E2E2E2"/>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Vplyvy na životné prostredie</w:t>
            </w:r>
          </w:p>
        </w:tc>
        <w:tc>
          <w:tcPr>
            <w:tcW w:w="53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29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Pozitívne</w:t>
            </w:r>
          </w:p>
        </w:tc>
        <w:tc>
          <w:tcPr>
            <w:tcW w:w="531"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1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Žiadne</w:t>
            </w:r>
          </w:p>
        </w:tc>
        <w:tc>
          <w:tcPr>
            <w:tcW w:w="540"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280" w:type="dxa"/>
            <w:tcBorders>
              <w:top w:val="single" w:sz="4" w:space="0" w:color="000000"/>
              <w:left w:val="nil"/>
              <w:bottom w:val="single" w:sz="4" w:space="0" w:color="000000"/>
              <w:right w:val="single" w:sz="4" w:space="0" w:color="000000"/>
            </w:tcBorders>
            <w:shd w:val="clear" w:color="auto" w:fill="auto"/>
            <w:tcMar>
              <w:top w:w="80" w:type="dxa"/>
              <w:left w:w="134" w:type="dxa"/>
              <w:bottom w:w="80" w:type="dxa"/>
              <w:right w:w="80" w:type="dxa"/>
            </w:tcMar>
          </w:tcPr>
          <w:p w:rsidR="00633D4F" w:rsidRPr="004F720D" w:rsidRDefault="00A77B27">
            <w:pPr>
              <w:suppressAutoHyphens/>
              <w:spacing w:after="0" w:line="100" w:lineRule="atLeast"/>
              <w:ind w:left="54"/>
              <w:rPr>
                <w:noProof/>
              </w:rPr>
            </w:pPr>
            <w:r w:rsidRPr="004F720D">
              <w:rPr>
                <w:rFonts w:ascii="Book Antiqua" w:hAnsi="Book Antiqua"/>
                <w:b/>
                <w:bCs/>
                <w:noProof/>
                <w:sz w:val="20"/>
                <w:szCs w:val="20"/>
              </w:rPr>
              <w:t>Negatívne</w:t>
            </w:r>
          </w:p>
        </w:tc>
      </w:tr>
      <w:tr w:rsidR="00633D4F" w:rsidRPr="004F720D">
        <w:trPr>
          <w:trHeight w:val="270"/>
        </w:trPr>
        <w:tc>
          <w:tcPr>
            <w:tcW w:w="3764" w:type="dxa"/>
            <w:tcBorders>
              <w:top w:val="single" w:sz="4" w:space="0" w:color="000000"/>
              <w:left w:val="single" w:sz="4" w:space="0" w:color="000000"/>
              <w:bottom w:val="single" w:sz="4" w:space="0" w:color="000000"/>
              <w:right w:val="single" w:sz="4" w:space="0" w:color="000000"/>
            </w:tcBorders>
            <w:shd w:val="clear" w:color="auto" w:fill="E2E2E2"/>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Vplyvy na informatizáciu spoločnosti</w:t>
            </w:r>
          </w:p>
        </w:tc>
        <w:tc>
          <w:tcPr>
            <w:tcW w:w="534"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29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Pozitívne</w:t>
            </w:r>
          </w:p>
        </w:tc>
        <w:tc>
          <w:tcPr>
            <w:tcW w:w="531"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11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rPr>
                <w:noProof/>
              </w:rPr>
            </w:pPr>
            <w:r w:rsidRPr="004F720D">
              <w:rPr>
                <w:rFonts w:ascii="Book Antiqua" w:hAnsi="Book Antiqua"/>
                <w:b/>
                <w:bCs/>
                <w:noProof/>
                <w:sz w:val="20"/>
                <w:szCs w:val="20"/>
              </w:rPr>
              <w:t>Žiadne</w:t>
            </w:r>
          </w:p>
        </w:tc>
        <w:tc>
          <w:tcPr>
            <w:tcW w:w="540"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280" w:type="dxa"/>
            <w:tcBorders>
              <w:top w:val="single" w:sz="4" w:space="0" w:color="000000"/>
              <w:left w:val="nil"/>
              <w:bottom w:val="single" w:sz="4" w:space="0" w:color="000000"/>
              <w:right w:val="single" w:sz="4" w:space="0" w:color="000000"/>
            </w:tcBorders>
            <w:shd w:val="clear" w:color="auto" w:fill="auto"/>
            <w:tcMar>
              <w:top w:w="80" w:type="dxa"/>
              <w:left w:w="134" w:type="dxa"/>
              <w:bottom w:w="80" w:type="dxa"/>
              <w:right w:w="80" w:type="dxa"/>
            </w:tcMar>
          </w:tcPr>
          <w:p w:rsidR="00633D4F" w:rsidRPr="004F720D" w:rsidRDefault="00A77B27">
            <w:pPr>
              <w:suppressAutoHyphens/>
              <w:spacing w:after="0" w:line="100" w:lineRule="atLeast"/>
              <w:ind w:left="54"/>
              <w:rPr>
                <w:noProof/>
              </w:rPr>
            </w:pPr>
            <w:r w:rsidRPr="004F720D">
              <w:rPr>
                <w:rFonts w:ascii="Book Antiqua" w:hAnsi="Book Antiqua"/>
                <w:b/>
                <w:bCs/>
                <w:noProof/>
                <w:sz w:val="20"/>
                <w:szCs w:val="20"/>
              </w:rPr>
              <w:t>Negatívne</w:t>
            </w:r>
          </w:p>
        </w:tc>
      </w:tr>
    </w:tbl>
    <w:p w:rsidR="00633D4F" w:rsidRPr="004F720D" w:rsidRDefault="00633D4F">
      <w:pPr>
        <w:widowControl w:val="0"/>
        <w:suppressAutoHyphens/>
        <w:spacing w:after="0" w:line="240" w:lineRule="auto"/>
        <w:rPr>
          <w:rFonts w:ascii="Book Antiqua" w:eastAsia="Book Antiqua" w:hAnsi="Book Antiqua" w:cs="Book Antiqua"/>
          <w:b/>
          <w:bCs/>
          <w:noProof/>
          <w:sz w:val="20"/>
          <w:szCs w:val="20"/>
        </w:rPr>
      </w:pPr>
    </w:p>
    <w:tbl>
      <w:tblPr>
        <w:tblStyle w:val="TableNormal"/>
        <w:tblW w:w="91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812"/>
        <w:gridCol w:w="541"/>
        <w:gridCol w:w="1152"/>
        <w:gridCol w:w="160"/>
        <w:gridCol w:w="538"/>
        <w:gridCol w:w="1133"/>
        <w:gridCol w:w="547"/>
        <w:gridCol w:w="1297"/>
      </w:tblGrid>
      <w:tr w:rsidR="00633D4F" w:rsidRPr="004F720D">
        <w:trPr>
          <w:trHeight w:val="535"/>
        </w:trPr>
        <w:tc>
          <w:tcPr>
            <w:tcW w:w="3812" w:type="dxa"/>
            <w:tcBorders>
              <w:top w:val="single" w:sz="4" w:space="0" w:color="000000"/>
              <w:left w:val="single" w:sz="4" w:space="0" w:color="000000"/>
              <w:bottom w:val="nil"/>
              <w:right w:val="single" w:sz="4" w:space="0" w:color="000000"/>
            </w:tcBorders>
            <w:shd w:val="clear" w:color="auto" w:fill="E2E2E2"/>
            <w:tcMar>
              <w:top w:w="80" w:type="dxa"/>
              <w:left w:w="80" w:type="dxa"/>
              <w:bottom w:w="80" w:type="dxa"/>
              <w:right w:w="80" w:type="dxa"/>
            </w:tcMar>
          </w:tcPr>
          <w:p w:rsidR="00633D4F" w:rsidRPr="004F720D" w:rsidRDefault="00A77B27">
            <w:pPr>
              <w:suppressAutoHyphens/>
              <w:spacing w:after="0" w:line="240" w:lineRule="auto"/>
              <w:rPr>
                <w:noProof/>
              </w:rPr>
            </w:pPr>
            <w:r w:rsidRPr="004F720D">
              <w:rPr>
                <w:rFonts w:ascii="Book Antiqua" w:hAnsi="Book Antiqua"/>
                <w:b/>
                <w:bCs/>
                <w:noProof/>
                <w:sz w:val="20"/>
                <w:szCs w:val="20"/>
              </w:rPr>
              <w:t>Vplyvy na služby verejnej správy pre občana</w:t>
            </w:r>
          </w:p>
        </w:tc>
        <w:tc>
          <w:tcPr>
            <w:tcW w:w="541"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633D4F" w:rsidRPr="004F720D" w:rsidRDefault="00633D4F">
            <w:pPr>
              <w:rPr>
                <w:noProof/>
              </w:rPr>
            </w:pPr>
          </w:p>
        </w:tc>
        <w:tc>
          <w:tcPr>
            <w:tcW w:w="1152" w:type="dxa"/>
            <w:tcBorders>
              <w:top w:val="single" w:sz="4" w:space="0" w:color="000000"/>
              <w:left w:val="nil"/>
              <w:bottom w:val="nil"/>
              <w:right w:val="nil"/>
            </w:tcBorders>
            <w:shd w:val="clear" w:color="auto" w:fill="auto"/>
            <w:tcMar>
              <w:top w:w="80" w:type="dxa"/>
              <w:left w:w="80" w:type="dxa"/>
              <w:bottom w:w="80" w:type="dxa"/>
              <w:right w:w="80" w:type="dxa"/>
            </w:tcMar>
          </w:tcPr>
          <w:p w:rsidR="00633D4F" w:rsidRPr="004F720D" w:rsidRDefault="00633D4F">
            <w:pPr>
              <w:rPr>
                <w:noProof/>
              </w:rPr>
            </w:pPr>
          </w:p>
        </w:tc>
        <w:tc>
          <w:tcPr>
            <w:tcW w:w="698"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633D4F" w:rsidRPr="004F720D" w:rsidRDefault="00633D4F">
            <w:pPr>
              <w:rPr>
                <w:noProof/>
              </w:rPr>
            </w:pPr>
          </w:p>
        </w:tc>
        <w:tc>
          <w:tcPr>
            <w:tcW w:w="1133" w:type="dxa"/>
            <w:tcBorders>
              <w:top w:val="single" w:sz="4" w:space="0" w:color="000000"/>
              <w:left w:val="nil"/>
              <w:bottom w:val="nil"/>
              <w:right w:val="nil"/>
            </w:tcBorders>
            <w:shd w:val="clear" w:color="auto" w:fill="auto"/>
            <w:tcMar>
              <w:top w:w="80" w:type="dxa"/>
              <w:left w:w="80" w:type="dxa"/>
              <w:bottom w:w="80" w:type="dxa"/>
              <w:right w:w="80" w:type="dxa"/>
            </w:tcMar>
          </w:tcPr>
          <w:p w:rsidR="00633D4F" w:rsidRPr="004F720D" w:rsidRDefault="00633D4F">
            <w:pPr>
              <w:rPr>
                <w:noProof/>
              </w:rPr>
            </w:pPr>
          </w:p>
        </w:tc>
        <w:tc>
          <w:tcPr>
            <w:tcW w:w="547" w:type="dxa"/>
            <w:tcBorders>
              <w:top w:val="single" w:sz="4" w:space="0" w:color="000000"/>
              <w:left w:val="nil"/>
              <w:bottom w:val="nil"/>
              <w:right w:val="nil"/>
            </w:tcBorders>
            <w:shd w:val="clear" w:color="auto" w:fill="auto"/>
            <w:tcMar>
              <w:top w:w="80" w:type="dxa"/>
              <w:left w:w="80" w:type="dxa"/>
              <w:bottom w:w="80" w:type="dxa"/>
              <w:right w:w="80" w:type="dxa"/>
            </w:tcMar>
          </w:tcPr>
          <w:p w:rsidR="00633D4F" w:rsidRPr="004F720D" w:rsidRDefault="00633D4F">
            <w:pPr>
              <w:rPr>
                <w:noProof/>
              </w:rPr>
            </w:pPr>
          </w:p>
        </w:tc>
        <w:tc>
          <w:tcPr>
            <w:tcW w:w="1297" w:type="dxa"/>
            <w:tcBorders>
              <w:top w:val="single" w:sz="4" w:space="0" w:color="000000"/>
              <w:left w:val="nil"/>
              <w:bottom w:val="nil"/>
              <w:right w:val="single" w:sz="4" w:space="0" w:color="000000"/>
            </w:tcBorders>
            <w:shd w:val="clear" w:color="auto" w:fill="auto"/>
            <w:tcMar>
              <w:top w:w="80" w:type="dxa"/>
              <w:left w:w="134" w:type="dxa"/>
              <w:bottom w:w="80" w:type="dxa"/>
              <w:right w:w="80" w:type="dxa"/>
            </w:tcMar>
          </w:tcPr>
          <w:p w:rsidR="00633D4F" w:rsidRPr="004F720D" w:rsidRDefault="00633D4F">
            <w:pPr>
              <w:rPr>
                <w:noProof/>
              </w:rPr>
            </w:pPr>
          </w:p>
        </w:tc>
      </w:tr>
      <w:tr w:rsidR="00633D4F" w:rsidRPr="004F720D">
        <w:trPr>
          <w:trHeight w:val="280"/>
        </w:trPr>
        <w:tc>
          <w:tcPr>
            <w:tcW w:w="3812" w:type="dxa"/>
            <w:tcBorders>
              <w:top w:val="nil"/>
              <w:left w:val="single" w:sz="4" w:space="0" w:color="000000"/>
              <w:bottom w:val="nil"/>
              <w:right w:val="single" w:sz="4" w:space="0" w:color="000000"/>
            </w:tcBorders>
            <w:shd w:val="clear" w:color="auto" w:fill="E2E2E2"/>
            <w:tcMar>
              <w:top w:w="80" w:type="dxa"/>
              <w:left w:w="80" w:type="dxa"/>
              <w:bottom w:w="80" w:type="dxa"/>
              <w:right w:w="80" w:type="dxa"/>
            </w:tcMar>
          </w:tcPr>
          <w:p w:rsidR="00633D4F" w:rsidRPr="004F720D" w:rsidRDefault="00633D4F">
            <w:pPr>
              <w:rPr>
                <w:noProof/>
              </w:rPr>
            </w:pPr>
          </w:p>
        </w:tc>
        <w:tc>
          <w:tcPr>
            <w:tcW w:w="541" w:type="dxa"/>
            <w:tcBorders>
              <w:top w:val="nil"/>
              <w:left w:val="single" w:sz="4" w:space="0" w:color="000000"/>
              <w:bottom w:val="dotted"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240" w:lineRule="auto"/>
              <w:jc w:val="center"/>
              <w:rPr>
                <w:noProof/>
              </w:rPr>
            </w:pPr>
            <w:r w:rsidRPr="004F720D">
              <w:rPr>
                <w:rFonts w:ascii="Segoe UI Symbol" w:eastAsia="Segoe UI Symbol" w:hAnsi="Segoe UI Symbol" w:cs="Segoe UI Symbol"/>
                <w:b/>
                <w:bCs/>
                <w:noProof/>
                <w:sz w:val="20"/>
                <w:szCs w:val="20"/>
              </w:rPr>
              <w:t>☐</w:t>
            </w:r>
          </w:p>
        </w:tc>
        <w:tc>
          <w:tcPr>
            <w:tcW w:w="1312" w:type="dxa"/>
            <w:gridSpan w:val="2"/>
            <w:tcBorders>
              <w:top w:val="nil"/>
              <w:left w:val="nil"/>
              <w:bottom w:val="dotted"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240" w:lineRule="auto"/>
              <w:rPr>
                <w:noProof/>
              </w:rPr>
            </w:pPr>
            <w:r w:rsidRPr="004F720D">
              <w:rPr>
                <w:rFonts w:ascii="Book Antiqua" w:hAnsi="Book Antiqua"/>
                <w:b/>
                <w:bCs/>
                <w:noProof/>
                <w:sz w:val="20"/>
                <w:szCs w:val="20"/>
              </w:rPr>
              <w:t>Pozitívne</w:t>
            </w:r>
          </w:p>
        </w:tc>
        <w:tc>
          <w:tcPr>
            <w:tcW w:w="538" w:type="dxa"/>
            <w:tcBorders>
              <w:top w:val="nil"/>
              <w:left w:val="nil"/>
              <w:bottom w:val="dotted"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240" w:lineRule="auto"/>
              <w:jc w:val="center"/>
              <w:rPr>
                <w:noProof/>
              </w:rPr>
            </w:pPr>
            <w:r w:rsidRPr="004F720D">
              <w:rPr>
                <w:rFonts w:ascii="Segoe UI Symbol" w:eastAsia="Segoe UI Symbol" w:hAnsi="Segoe UI Symbol" w:cs="Segoe UI Symbol"/>
                <w:b/>
                <w:bCs/>
                <w:noProof/>
                <w:sz w:val="20"/>
                <w:szCs w:val="20"/>
              </w:rPr>
              <w:t>☒</w:t>
            </w:r>
          </w:p>
        </w:tc>
        <w:tc>
          <w:tcPr>
            <w:tcW w:w="1133" w:type="dxa"/>
            <w:tcBorders>
              <w:top w:val="nil"/>
              <w:left w:val="nil"/>
              <w:bottom w:val="dotted"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240" w:lineRule="auto"/>
              <w:rPr>
                <w:noProof/>
              </w:rPr>
            </w:pPr>
            <w:r w:rsidRPr="004F720D">
              <w:rPr>
                <w:rFonts w:ascii="Book Antiqua" w:hAnsi="Book Antiqua"/>
                <w:b/>
                <w:bCs/>
                <w:noProof/>
                <w:sz w:val="20"/>
                <w:szCs w:val="20"/>
              </w:rPr>
              <w:t>Žiadne</w:t>
            </w:r>
          </w:p>
        </w:tc>
        <w:tc>
          <w:tcPr>
            <w:tcW w:w="547" w:type="dxa"/>
            <w:tcBorders>
              <w:top w:val="nil"/>
              <w:left w:val="nil"/>
              <w:bottom w:val="dotted" w:sz="4" w:space="0" w:color="000000"/>
              <w:right w:val="nil"/>
            </w:tcBorders>
            <w:shd w:val="clear" w:color="auto" w:fill="auto"/>
            <w:tcMar>
              <w:top w:w="80" w:type="dxa"/>
              <w:left w:w="80" w:type="dxa"/>
              <w:bottom w:w="80" w:type="dxa"/>
              <w:right w:w="80" w:type="dxa"/>
            </w:tcMar>
          </w:tcPr>
          <w:p w:rsidR="00633D4F" w:rsidRPr="004F720D" w:rsidRDefault="00A77B27">
            <w:pPr>
              <w:suppressAutoHyphens/>
              <w:spacing w:after="0" w:line="240" w:lineRule="auto"/>
              <w:jc w:val="center"/>
              <w:rPr>
                <w:noProof/>
              </w:rPr>
            </w:pPr>
            <w:r w:rsidRPr="004F720D">
              <w:rPr>
                <w:rFonts w:ascii="Segoe UI Symbol" w:eastAsia="Segoe UI Symbol" w:hAnsi="Segoe UI Symbol" w:cs="Segoe UI Symbol"/>
                <w:b/>
                <w:bCs/>
                <w:noProof/>
                <w:sz w:val="20"/>
                <w:szCs w:val="20"/>
              </w:rPr>
              <w:t>☐</w:t>
            </w:r>
          </w:p>
        </w:tc>
        <w:tc>
          <w:tcPr>
            <w:tcW w:w="1297" w:type="dxa"/>
            <w:tcBorders>
              <w:top w:val="nil"/>
              <w:left w:val="nil"/>
              <w:bottom w:val="dotted" w:sz="4" w:space="0" w:color="000000"/>
              <w:right w:val="single" w:sz="4" w:space="0" w:color="000000"/>
            </w:tcBorders>
            <w:shd w:val="clear" w:color="auto" w:fill="auto"/>
            <w:tcMar>
              <w:top w:w="80" w:type="dxa"/>
              <w:left w:w="134" w:type="dxa"/>
              <w:bottom w:w="80" w:type="dxa"/>
              <w:right w:w="80" w:type="dxa"/>
            </w:tcMar>
          </w:tcPr>
          <w:p w:rsidR="00633D4F" w:rsidRPr="004F720D" w:rsidRDefault="00A77B27">
            <w:pPr>
              <w:suppressAutoHyphens/>
              <w:spacing w:after="0" w:line="240" w:lineRule="auto"/>
              <w:ind w:left="54"/>
              <w:rPr>
                <w:noProof/>
              </w:rPr>
            </w:pPr>
            <w:r w:rsidRPr="004F720D">
              <w:rPr>
                <w:rFonts w:ascii="Book Antiqua" w:hAnsi="Book Antiqua"/>
                <w:b/>
                <w:bCs/>
                <w:noProof/>
                <w:sz w:val="20"/>
                <w:szCs w:val="20"/>
              </w:rPr>
              <w:t>Negatívne</w:t>
            </w:r>
          </w:p>
        </w:tc>
      </w:tr>
    </w:tbl>
    <w:p w:rsidR="00633D4F" w:rsidRPr="004F720D" w:rsidRDefault="00633D4F">
      <w:pPr>
        <w:widowControl w:val="0"/>
        <w:suppressAutoHyphens/>
        <w:spacing w:after="0" w:line="240" w:lineRule="auto"/>
        <w:rPr>
          <w:rFonts w:ascii="Book Antiqua" w:eastAsia="Book Antiqua" w:hAnsi="Book Antiqua" w:cs="Book Antiqua"/>
          <w:b/>
          <w:bCs/>
          <w:noProof/>
          <w:sz w:val="20"/>
          <w:szCs w:val="20"/>
        </w:rPr>
      </w:pPr>
    </w:p>
    <w:tbl>
      <w:tblPr>
        <w:tblStyle w:val="TableNormal"/>
        <w:tblW w:w="91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812"/>
        <w:gridCol w:w="541"/>
        <w:gridCol w:w="1312"/>
        <w:gridCol w:w="538"/>
        <w:gridCol w:w="1133"/>
        <w:gridCol w:w="547"/>
        <w:gridCol w:w="1297"/>
      </w:tblGrid>
      <w:tr w:rsidR="00633D4F" w:rsidRPr="004F720D">
        <w:trPr>
          <w:trHeight w:val="530"/>
        </w:trPr>
        <w:tc>
          <w:tcPr>
            <w:tcW w:w="3812" w:type="dxa"/>
            <w:tcBorders>
              <w:top w:val="single" w:sz="4" w:space="0" w:color="000000"/>
              <w:left w:val="single" w:sz="4" w:space="0" w:color="000000"/>
              <w:bottom w:val="single" w:sz="4" w:space="0" w:color="000000"/>
              <w:right w:val="single" w:sz="4" w:space="0" w:color="000000"/>
            </w:tcBorders>
            <w:shd w:val="clear" w:color="auto" w:fill="E2E2E2"/>
            <w:tcMar>
              <w:top w:w="80" w:type="dxa"/>
              <w:left w:w="80" w:type="dxa"/>
              <w:bottom w:w="80" w:type="dxa"/>
              <w:right w:w="80" w:type="dxa"/>
            </w:tcMar>
          </w:tcPr>
          <w:p w:rsidR="00633D4F" w:rsidRPr="004F720D" w:rsidRDefault="00A77B27">
            <w:pPr>
              <w:suppressAutoHyphens/>
              <w:spacing w:line="100" w:lineRule="atLeast"/>
              <w:rPr>
                <w:noProof/>
              </w:rPr>
            </w:pPr>
            <w:r w:rsidRPr="004F720D">
              <w:rPr>
                <w:rFonts w:ascii="Book Antiqua" w:hAnsi="Book Antiqua"/>
                <w:b/>
                <w:bCs/>
                <w:noProof/>
                <w:sz w:val="20"/>
                <w:szCs w:val="20"/>
              </w:rPr>
              <w:lastRenderedPageBreak/>
              <w:t>Vplyvy na manželstvo, rodičovstvo, rodinu a deti</w:t>
            </w:r>
          </w:p>
        </w:tc>
        <w:tc>
          <w:tcPr>
            <w:tcW w:w="54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jc w:val="center"/>
              <w:rPr>
                <w:noProof/>
              </w:rPr>
            </w:pPr>
            <w:r w:rsidRPr="004F720D">
              <w:rPr>
                <w:rFonts w:ascii="MS Gothic" w:eastAsia="MS Gothic" w:hAnsi="MS Gothic" w:cs="MS Gothic"/>
                <w:b/>
                <w:bCs/>
                <w:noProof/>
                <w:sz w:val="20"/>
                <w:szCs w:val="20"/>
              </w:rPr>
              <w:t>☐</w:t>
            </w:r>
          </w:p>
        </w:tc>
        <w:tc>
          <w:tcPr>
            <w:tcW w:w="131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rPr>
                <w:noProof/>
              </w:rPr>
            </w:pPr>
            <w:r w:rsidRPr="004F720D">
              <w:rPr>
                <w:rFonts w:ascii="Book Antiqua" w:hAnsi="Book Antiqua"/>
                <w:b/>
                <w:bCs/>
                <w:noProof/>
                <w:sz w:val="20"/>
                <w:szCs w:val="20"/>
              </w:rPr>
              <w:t>Pozitívne</w:t>
            </w:r>
          </w:p>
        </w:tc>
        <w:tc>
          <w:tcPr>
            <w:tcW w:w="53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jc w:val="center"/>
              <w:rPr>
                <w:noProof/>
              </w:rPr>
            </w:pPr>
            <w:r w:rsidRPr="004F720D">
              <w:rPr>
                <w:rFonts w:ascii="MS Gothic" w:eastAsia="MS Gothic" w:hAnsi="MS Gothic" w:cs="MS Gothic"/>
                <w:b/>
                <w:bCs/>
                <w:noProof/>
                <w:sz w:val="20"/>
                <w:szCs w:val="20"/>
              </w:rPr>
              <w:t>☒</w:t>
            </w:r>
          </w:p>
        </w:tc>
        <w:tc>
          <w:tcPr>
            <w:tcW w:w="113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rPr>
                <w:noProof/>
              </w:rPr>
            </w:pPr>
            <w:r w:rsidRPr="004F720D">
              <w:rPr>
                <w:rFonts w:ascii="Book Antiqua" w:hAnsi="Book Antiqua"/>
                <w:b/>
                <w:bCs/>
                <w:noProof/>
                <w:sz w:val="20"/>
                <w:szCs w:val="20"/>
              </w:rPr>
              <w:t>Žiadne</w:t>
            </w:r>
          </w:p>
        </w:tc>
        <w:tc>
          <w:tcPr>
            <w:tcW w:w="54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633D4F" w:rsidRPr="004F720D" w:rsidRDefault="00A77B27">
            <w:pPr>
              <w:suppressAutoHyphens/>
              <w:spacing w:after="0" w:line="100" w:lineRule="atLeast"/>
              <w:jc w:val="center"/>
              <w:rPr>
                <w:noProof/>
              </w:rPr>
            </w:pPr>
            <w:r w:rsidRPr="004F720D">
              <w:rPr>
                <w:rFonts w:ascii="Segoe UI Symbol" w:eastAsia="Segoe UI Symbol" w:hAnsi="Segoe UI Symbol" w:cs="Segoe UI Symbol"/>
                <w:b/>
                <w:bCs/>
                <w:noProof/>
                <w:sz w:val="20"/>
                <w:szCs w:val="20"/>
              </w:rPr>
              <w:t>☐</w:t>
            </w:r>
          </w:p>
        </w:tc>
        <w:tc>
          <w:tcPr>
            <w:tcW w:w="1297" w:type="dxa"/>
            <w:tcBorders>
              <w:top w:val="single" w:sz="4" w:space="0" w:color="000000"/>
              <w:left w:val="nil"/>
              <w:bottom w:val="single" w:sz="4" w:space="0" w:color="000000"/>
              <w:right w:val="single" w:sz="4" w:space="0" w:color="000000"/>
            </w:tcBorders>
            <w:shd w:val="clear" w:color="auto" w:fill="auto"/>
            <w:tcMar>
              <w:top w:w="80" w:type="dxa"/>
              <w:left w:w="134" w:type="dxa"/>
              <w:bottom w:w="80" w:type="dxa"/>
              <w:right w:w="80" w:type="dxa"/>
            </w:tcMar>
            <w:vAlign w:val="center"/>
          </w:tcPr>
          <w:p w:rsidR="00633D4F" w:rsidRPr="004F720D" w:rsidRDefault="00A77B27">
            <w:pPr>
              <w:suppressAutoHyphens/>
              <w:spacing w:after="0" w:line="100" w:lineRule="atLeast"/>
              <w:ind w:left="54"/>
              <w:rPr>
                <w:noProof/>
              </w:rPr>
            </w:pPr>
            <w:r w:rsidRPr="004F720D">
              <w:rPr>
                <w:rFonts w:ascii="Book Antiqua" w:hAnsi="Book Antiqua"/>
                <w:b/>
                <w:bCs/>
                <w:noProof/>
                <w:sz w:val="20"/>
                <w:szCs w:val="20"/>
              </w:rPr>
              <w:t>Negatívne</w:t>
            </w:r>
          </w:p>
        </w:tc>
      </w:tr>
    </w:tbl>
    <w:p w:rsidR="00633D4F" w:rsidRPr="004F720D" w:rsidRDefault="00633D4F">
      <w:pPr>
        <w:widowControl w:val="0"/>
        <w:suppressAutoHyphens/>
        <w:spacing w:after="0" w:line="240" w:lineRule="auto"/>
        <w:rPr>
          <w:rFonts w:ascii="Book Antiqua" w:eastAsia="Book Antiqua" w:hAnsi="Book Antiqua" w:cs="Book Antiqua"/>
          <w:b/>
          <w:bCs/>
          <w:noProof/>
          <w:sz w:val="20"/>
          <w:szCs w:val="20"/>
        </w:rPr>
      </w:pPr>
    </w:p>
    <w:p w:rsidR="00633D4F" w:rsidRPr="004F720D" w:rsidRDefault="00633D4F">
      <w:pPr>
        <w:suppressAutoHyphens/>
        <w:spacing w:after="0" w:line="240" w:lineRule="auto"/>
        <w:ind w:right="141"/>
        <w:rPr>
          <w:rFonts w:ascii="Book Antiqua" w:eastAsia="Book Antiqua" w:hAnsi="Book Antiqua" w:cs="Book Antiqua"/>
          <w:b/>
          <w:bCs/>
          <w:noProof/>
          <w:sz w:val="20"/>
          <w:szCs w:val="20"/>
        </w:rPr>
      </w:pPr>
    </w:p>
    <w:tbl>
      <w:tblPr>
        <w:tblStyle w:val="TableNormal"/>
        <w:tblW w:w="91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176"/>
      </w:tblGrid>
      <w:tr w:rsidR="00633D4F" w:rsidRPr="004F720D">
        <w:trPr>
          <w:trHeight w:val="275"/>
        </w:trPr>
        <w:tc>
          <w:tcPr>
            <w:tcW w:w="9176" w:type="dxa"/>
            <w:tcBorders>
              <w:top w:val="single" w:sz="4" w:space="0" w:color="000000"/>
              <w:left w:val="single" w:sz="4" w:space="0" w:color="000000"/>
              <w:bottom w:val="nil"/>
              <w:right w:val="single" w:sz="4" w:space="0" w:color="000000"/>
            </w:tcBorders>
            <w:shd w:val="clear" w:color="auto" w:fill="E2E2E2"/>
            <w:tcMar>
              <w:top w:w="80" w:type="dxa"/>
              <w:left w:w="80" w:type="dxa"/>
              <w:bottom w:w="80" w:type="dxa"/>
              <w:right w:w="80" w:type="dxa"/>
            </w:tcMar>
          </w:tcPr>
          <w:p w:rsidR="00633D4F" w:rsidRPr="004F720D" w:rsidRDefault="00A77B27">
            <w:pPr>
              <w:numPr>
                <w:ilvl w:val="0"/>
                <w:numId w:val="23"/>
              </w:numPr>
              <w:rPr>
                <w:rFonts w:ascii="Book Antiqua" w:hAnsi="Book Antiqua"/>
                <w:b/>
                <w:bCs/>
                <w:noProof/>
                <w:sz w:val="20"/>
                <w:szCs w:val="20"/>
              </w:rPr>
            </w:pPr>
            <w:r w:rsidRPr="004F720D">
              <w:rPr>
                <w:rFonts w:ascii="Book Antiqua" w:hAnsi="Book Antiqua"/>
                <w:b/>
                <w:bCs/>
                <w:noProof/>
                <w:sz w:val="20"/>
                <w:szCs w:val="20"/>
              </w:rPr>
              <w:t>Poznámky</w:t>
            </w:r>
          </w:p>
        </w:tc>
      </w:tr>
      <w:tr w:rsidR="00633D4F" w:rsidRPr="004F720D">
        <w:trPr>
          <w:trHeight w:val="8515"/>
        </w:trPr>
        <w:tc>
          <w:tcPr>
            <w:tcW w:w="9176"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3D4F" w:rsidRPr="004F720D" w:rsidRDefault="00A77B27">
            <w:pPr>
              <w:suppressAutoHyphens/>
              <w:spacing w:after="0" w:line="100" w:lineRule="atLeast"/>
              <w:jc w:val="both"/>
              <w:rPr>
                <w:rFonts w:ascii="Book Antiqua" w:eastAsia="Book Antiqua" w:hAnsi="Book Antiqua" w:cs="Book Antiqua"/>
                <w:i/>
                <w:iCs/>
                <w:noProof/>
                <w:sz w:val="20"/>
                <w:szCs w:val="20"/>
              </w:rPr>
            </w:pPr>
            <w:r w:rsidRPr="004F720D">
              <w:rPr>
                <w:rFonts w:ascii="Book Antiqua" w:hAnsi="Book Antiqua"/>
                <w:i/>
                <w:iCs/>
                <w:noProof/>
                <w:sz w:val="20"/>
                <w:szCs w:val="20"/>
              </w:rPr>
              <w:t xml:space="preserve">V prípade potreby uveďte doplňujúce informácie k identifikovaným vplyvom. </w:t>
            </w:r>
          </w:p>
          <w:p w:rsidR="00633D4F" w:rsidRPr="004F720D" w:rsidRDefault="00633D4F">
            <w:pPr>
              <w:suppressAutoHyphens/>
              <w:spacing w:after="0" w:line="100" w:lineRule="atLeast"/>
              <w:jc w:val="both"/>
              <w:rPr>
                <w:rFonts w:ascii="Book Antiqua" w:eastAsia="Book Antiqua" w:hAnsi="Book Antiqua" w:cs="Book Antiqua"/>
                <w:i/>
                <w:iCs/>
                <w:noProof/>
                <w:sz w:val="20"/>
                <w:szCs w:val="20"/>
              </w:rPr>
            </w:pPr>
          </w:p>
          <w:p w:rsidR="00633D4F" w:rsidRPr="004F720D" w:rsidRDefault="00A77B27">
            <w:pPr>
              <w:suppressAutoHyphens/>
              <w:spacing w:after="0" w:line="100" w:lineRule="atLeast"/>
              <w:jc w:val="both"/>
              <w:rPr>
                <w:rFonts w:ascii="Book Antiqua" w:eastAsia="Book Antiqua" w:hAnsi="Book Antiqua" w:cs="Book Antiqua"/>
                <w:i/>
                <w:iCs/>
                <w:noProof/>
                <w:sz w:val="20"/>
                <w:szCs w:val="20"/>
              </w:rPr>
            </w:pPr>
            <w:r w:rsidRPr="004F720D">
              <w:rPr>
                <w:rFonts w:ascii="Book Antiqua" w:hAnsi="Book Antiqua"/>
                <w:i/>
                <w:iCs/>
                <w:noProof/>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633D4F" w:rsidRPr="004F720D" w:rsidRDefault="00A77B27">
            <w:pPr>
              <w:suppressAutoHyphens/>
              <w:spacing w:before="120" w:after="0" w:line="100" w:lineRule="atLeast"/>
              <w:jc w:val="both"/>
              <w:rPr>
                <w:rFonts w:ascii="Book Antiqua" w:eastAsia="Book Antiqua" w:hAnsi="Book Antiqua" w:cs="Book Antiqua"/>
                <w:noProof/>
                <w:sz w:val="20"/>
                <w:szCs w:val="20"/>
              </w:rPr>
            </w:pPr>
            <w:r w:rsidRPr="004F720D">
              <w:rPr>
                <w:rFonts w:ascii="Book Antiqua" w:hAnsi="Book Antiqua"/>
                <w:noProof/>
                <w:sz w:val="20"/>
                <w:szCs w:val="20"/>
              </w:rPr>
              <w:t>Zníženie základnej sadzby DPH z 23% na 20% bude mať negatívny vplyv na rozpočet verejnej správy, ktorý sa odhaduje na 1,2 až 1,3 mld. € ročne. Výpadok tak významnej sumy je možné dosiahnuť kombináciou nižšie uvedených opatrení legislatívneho aj nelegislatívneho charakteru, napríklad:</w:t>
            </w:r>
          </w:p>
          <w:p w:rsidR="00633D4F" w:rsidRPr="004F720D" w:rsidRDefault="00A77B27">
            <w:pPr>
              <w:pStyle w:val="Odsekzoznamu"/>
              <w:numPr>
                <w:ilvl w:val="0"/>
                <w:numId w:val="24"/>
              </w:numPr>
              <w:suppressAutoHyphens/>
              <w:spacing w:before="120" w:line="100" w:lineRule="atLeast"/>
              <w:jc w:val="both"/>
              <w:rPr>
                <w:rFonts w:ascii="Book Antiqua" w:hAnsi="Book Antiqua"/>
                <w:i/>
                <w:iCs/>
                <w:noProof/>
                <w:sz w:val="20"/>
                <w:szCs w:val="20"/>
              </w:rPr>
            </w:pPr>
            <w:r w:rsidRPr="004F720D">
              <w:rPr>
                <w:rFonts w:ascii="Book Antiqua" w:hAnsi="Book Antiqua"/>
                <w:noProof/>
                <w:sz w:val="20"/>
                <w:szCs w:val="20"/>
              </w:rPr>
              <w:t>primeraným znížením rozpočtovaných výdavkov pre Ministerstvo obrany SR, najmä pokiaľ ide o výdavky na obmenu či dokúpenie novej vojenskej techniky (obmena nákladných vozidiel sa odhaduje na 700 mil. bez DPH, nákup systémov protivzdušnej obrany v sume 554 mil. € bez DPH, prehodnotiť zámery resp. množstvo ďalšej novej vojenskej techniky, v desiatkach až stovkách miliónov eur.</w:t>
            </w:r>
          </w:p>
          <w:p w:rsidR="00633D4F" w:rsidRPr="004F720D" w:rsidRDefault="00A77B27">
            <w:pPr>
              <w:pStyle w:val="Odsekzoznamu"/>
              <w:numPr>
                <w:ilvl w:val="0"/>
                <w:numId w:val="24"/>
              </w:numPr>
              <w:suppressAutoHyphens/>
              <w:spacing w:before="120" w:line="100" w:lineRule="atLeast"/>
              <w:jc w:val="both"/>
              <w:rPr>
                <w:rFonts w:ascii="Book Antiqua" w:hAnsi="Book Antiqua"/>
                <w:i/>
                <w:iCs/>
                <w:noProof/>
                <w:sz w:val="20"/>
                <w:szCs w:val="20"/>
              </w:rPr>
            </w:pPr>
            <w:r w:rsidRPr="004F720D">
              <w:rPr>
                <w:rFonts w:ascii="Book Antiqua" w:hAnsi="Book Antiqua"/>
                <w:noProof/>
                <w:sz w:val="20"/>
                <w:szCs w:val="20"/>
              </w:rPr>
              <w:t xml:space="preserve">predĺžením resp. znovuzavedením tzv. solidárneho príspevku v zmysle zákona 519/2022 Z. z. o solidárnom príspevku z činností v odvetviach ropy, zemného plynu, uhlia a rafinérií a o doplnení niektorých zákonov do polovice roka 2025, ktorého výnos by mohol prevýšiť sumu 100 mil. eur.  </w:t>
            </w:r>
          </w:p>
          <w:p w:rsidR="00633D4F" w:rsidRPr="004F720D" w:rsidRDefault="00A77B27">
            <w:pPr>
              <w:pStyle w:val="Odsekzoznamu"/>
              <w:numPr>
                <w:ilvl w:val="0"/>
                <w:numId w:val="24"/>
              </w:numPr>
              <w:suppressAutoHyphens/>
              <w:spacing w:before="120" w:line="100" w:lineRule="atLeast"/>
              <w:jc w:val="both"/>
              <w:rPr>
                <w:rFonts w:ascii="Book Antiqua" w:hAnsi="Book Antiqua"/>
                <w:i/>
                <w:iCs/>
                <w:noProof/>
                <w:sz w:val="20"/>
                <w:szCs w:val="20"/>
              </w:rPr>
            </w:pPr>
            <w:r w:rsidRPr="004F720D">
              <w:rPr>
                <w:rFonts w:ascii="Book Antiqua" w:hAnsi="Book Antiqua"/>
                <w:noProof/>
                <w:sz w:val="20"/>
                <w:szCs w:val="20"/>
              </w:rPr>
              <w:t>zavedenie zákona o hmotnej zodpovednosti verejných funkcionárov  a sprísnenie zákona o verejnom obstarávaní – až príliš často sme svedkami plytvania, resp. mimoriadne nehospodárneho nakladania s verejnými prostriedkami, hoci po formálnej stránke nemusí nevyhnutne dôjsť k porušeniu zákonov. Takýto stav následne spôsobuje, nedostatok verejných financií a napríklad aj zvýšenie základnej sadzby DPH, ktorý to vykompenzuje,</w:t>
            </w:r>
          </w:p>
          <w:p w:rsidR="00633D4F" w:rsidRPr="004F720D" w:rsidRDefault="00A77B27">
            <w:pPr>
              <w:pStyle w:val="Odsekzoznamu"/>
              <w:numPr>
                <w:ilvl w:val="0"/>
                <w:numId w:val="24"/>
              </w:numPr>
              <w:suppressAutoHyphens/>
              <w:spacing w:before="120" w:line="100" w:lineRule="atLeast"/>
              <w:jc w:val="both"/>
              <w:rPr>
                <w:rFonts w:ascii="Book Antiqua" w:hAnsi="Book Antiqua"/>
                <w:i/>
                <w:iCs/>
                <w:noProof/>
                <w:sz w:val="20"/>
                <w:szCs w:val="20"/>
              </w:rPr>
            </w:pPr>
            <w:r w:rsidRPr="004F720D">
              <w:rPr>
                <w:rFonts w:ascii="Book Antiqua" w:hAnsi="Book Antiqua"/>
                <w:noProof/>
                <w:sz w:val="20"/>
                <w:szCs w:val="20"/>
              </w:rPr>
              <w:t xml:space="preserve">zlepšenie daňovej medzery, od ktorej možno očakávať príjem v desiatkach miliónov eur.  </w:t>
            </w:r>
          </w:p>
          <w:p w:rsidR="00633D4F" w:rsidRPr="004F720D" w:rsidRDefault="00633D4F">
            <w:pPr>
              <w:suppressAutoHyphens/>
              <w:spacing w:before="120" w:after="0" w:line="100" w:lineRule="atLeast"/>
              <w:jc w:val="both"/>
              <w:rPr>
                <w:rFonts w:ascii="Book Antiqua" w:eastAsia="Book Antiqua" w:hAnsi="Book Antiqua" w:cs="Book Antiqua"/>
                <w:i/>
                <w:iCs/>
                <w:noProof/>
                <w:sz w:val="20"/>
                <w:szCs w:val="20"/>
              </w:rPr>
            </w:pPr>
          </w:p>
          <w:p w:rsidR="00633D4F" w:rsidRPr="004F720D" w:rsidRDefault="00A77B27">
            <w:pPr>
              <w:suppressAutoHyphens/>
              <w:spacing w:before="120" w:after="0" w:line="100" w:lineRule="atLeast"/>
              <w:jc w:val="both"/>
              <w:rPr>
                <w:rFonts w:ascii="Book Antiqua" w:eastAsia="Book Antiqua" w:hAnsi="Book Antiqua" w:cs="Book Antiqua"/>
                <w:noProof/>
                <w:sz w:val="20"/>
                <w:szCs w:val="20"/>
              </w:rPr>
            </w:pPr>
            <w:r w:rsidRPr="004F720D">
              <w:rPr>
                <w:rFonts w:ascii="Book Antiqua" w:hAnsi="Book Antiqua"/>
                <w:noProof/>
                <w:sz w:val="20"/>
                <w:szCs w:val="20"/>
              </w:rPr>
              <w:t xml:space="preserve">Naopak, možno očakávať výrazne pozitívne sociálne vplyvy. Zvýšenie základnej sadzby DPH totiž zaťažuje všetkých obyvateľov rovnako, nehľadiac na ich sociálno-ekonomické postavenie. </w:t>
            </w:r>
          </w:p>
          <w:p w:rsidR="00633D4F" w:rsidRPr="004F720D" w:rsidRDefault="00A77B27">
            <w:pPr>
              <w:suppressAutoHyphens/>
              <w:spacing w:before="120" w:after="0" w:line="100" w:lineRule="atLeast"/>
              <w:jc w:val="both"/>
              <w:rPr>
                <w:noProof/>
              </w:rPr>
            </w:pPr>
            <w:r w:rsidRPr="004F720D">
              <w:rPr>
                <w:rFonts w:ascii="Book Antiqua" w:hAnsi="Book Antiqua"/>
                <w:noProof/>
                <w:sz w:val="20"/>
                <w:szCs w:val="20"/>
              </w:rPr>
              <w:t>Návrh zákona nebude mať žiaden vplyv na životné prostredie, na informatizáciu spoločnosti, na služby verejnej správy pre občana a nezakladá ani žiadne vplyvy na manželstvo, rodičovstvo a rodinu.</w:t>
            </w:r>
          </w:p>
        </w:tc>
      </w:tr>
      <w:tr w:rsidR="00633D4F" w:rsidRPr="004F720D">
        <w:trPr>
          <w:trHeight w:val="270"/>
        </w:trPr>
        <w:tc>
          <w:tcPr>
            <w:tcW w:w="9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3D4F" w:rsidRPr="004F720D" w:rsidRDefault="00A77B27">
            <w:pPr>
              <w:numPr>
                <w:ilvl w:val="0"/>
                <w:numId w:val="26"/>
              </w:numPr>
              <w:spacing w:after="0" w:line="240" w:lineRule="auto"/>
              <w:rPr>
                <w:rFonts w:ascii="Book Antiqua" w:hAnsi="Book Antiqua"/>
                <w:b/>
                <w:bCs/>
                <w:noProof/>
                <w:sz w:val="20"/>
                <w:szCs w:val="20"/>
              </w:rPr>
            </w:pPr>
            <w:r w:rsidRPr="004F720D">
              <w:rPr>
                <w:rFonts w:ascii="Book Antiqua" w:hAnsi="Book Antiqua"/>
                <w:b/>
                <w:bCs/>
                <w:noProof/>
                <w:sz w:val="20"/>
                <w:szCs w:val="20"/>
              </w:rPr>
              <w:t xml:space="preserve">Kontakt na spracovateľa/súčinnosť </w:t>
            </w:r>
          </w:p>
        </w:tc>
      </w:tr>
      <w:tr w:rsidR="00633D4F" w:rsidRPr="004F720D">
        <w:trPr>
          <w:trHeight w:val="1067"/>
        </w:trPr>
        <w:tc>
          <w:tcPr>
            <w:tcW w:w="9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3D4F" w:rsidRPr="004F720D" w:rsidRDefault="00A77B27">
            <w:pPr>
              <w:suppressAutoHyphens/>
              <w:spacing w:after="0" w:line="100" w:lineRule="atLeast"/>
              <w:rPr>
                <w:rFonts w:ascii="Book Antiqua" w:eastAsia="Book Antiqua" w:hAnsi="Book Antiqua" w:cs="Book Antiqua"/>
                <w:i/>
                <w:iCs/>
                <w:noProof/>
                <w:sz w:val="20"/>
                <w:szCs w:val="20"/>
              </w:rPr>
            </w:pPr>
            <w:r w:rsidRPr="004F720D">
              <w:rPr>
                <w:rFonts w:ascii="Book Antiqua" w:hAnsi="Book Antiqua"/>
                <w:i/>
                <w:iCs/>
                <w:noProof/>
                <w:sz w:val="20"/>
                <w:szCs w:val="20"/>
              </w:rPr>
              <w:t>Vypracovali ste návrh zákona v súčinnosti s príslušným ministerstvom?</w:t>
            </w:r>
            <w:r w:rsidRPr="004F720D">
              <w:rPr>
                <w:rFonts w:ascii="Book Antiqua" w:hAnsi="Book Antiqua"/>
                <w:b/>
                <w:bCs/>
                <w:noProof/>
                <w:sz w:val="20"/>
                <w:szCs w:val="20"/>
              </w:rPr>
              <w:t xml:space="preserve">                </w:t>
            </w:r>
            <w:r w:rsidRPr="004F720D">
              <w:rPr>
                <w:rFonts w:ascii="Segoe UI Symbol" w:eastAsia="Segoe UI Symbol" w:hAnsi="Segoe UI Symbol" w:cs="Segoe UI Symbol"/>
                <w:b/>
                <w:bCs/>
                <w:noProof/>
                <w:sz w:val="20"/>
                <w:szCs w:val="20"/>
              </w:rPr>
              <w:t>☐</w:t>
            </w:r>
            <w:r w:rsidRPr="004F720D">
              <w:rPr>
                <w:rFonts w:ascii="Book Antiqua" w:hAnsi="Book Antiqua"/>
                <w:b/>
                <w:bCs/>
                <w:noProof/>
                <w:sz w:val="20"/>
                <w:szCs w:val="20"/>
              </w:rPr>
              <w:t xml:space="preserve">     Áno              </w:t>
            </w:r>
            <w:r w:rsidRPr="004F720D">
              <w:rPr>
                <w:rFonts w:ascii="Segoe UI Symbol" w:eastAsia="Segoe UI Symbol" w:hAnsi="Segoe UI Symbol" w:cs="Segoe UI Symbol"/>
                <w:b/>
                <w:bCs/>
                <w:noProof/>
                <w:sz w:val="20"/>
                <w:szCs w:val="20"/>
              </w:rPr>
              <w:t>☒</w:t>
            </w:r>
            <w:r w:rsidRPr="004F720D">
              <w:rPr>
                <w:rFonts w:ascii="Book Antiqua" w:hAnsi="Book Antiqua"/>
                <w:b/>
                <w:bCs/>
                <w:noProof/>
                <w:sz w:val="20"/>
                <w:szCs w:val="20"/>
              </w:rPr>
              <w:t xml:space="preserve">  Nie</w:t>
            </w:r>
          </w:p>
          <w:p w:rsidR="00633D4F" w:rsidRPr="004F720D" w:rsidRDefault="00633D4F">
            <w:pPr>
              <w:suppressAutoHyphens/>
              <w:spacing w:after="0" w:line="100" w:lineRule="atLeast"/>
              <w:rPr>
                <w:rFonts w:ascii="Book Antiqua" w:eastAsia="Book Antiqua" w:hAnsi="Book Antiqua" w:cs="Book Antiqua"/>
                <w:i/>
                <w:iCs/>
                <w:noProof/>
                <w:sz w:val="20"/>
                <w:szCs w:val="20"/>
              </w:rPr>
            </w:pPr>
          </w:p>
          <w:p w:rsidR="00633D4F" w:rsidRPr="004F720D" w:rsidRDefault="00A77B27">
            <w:pPr>
              <w:suppressAutoHyphens/>
              <w:spacing w:after="0" w:line="100" w:lineRule="atLeast"/>
              <w:rPr>
                <w:noProof/>
              </w:rPr>
            </w:pPr>
            <w:r w:rsidRPr="004F720D">
              <w:rPr>
                <w:rFonts w:ascii="Book Antiqua" w:hAnsi="Book Antiqua"/>
                <w:i/>
                <w:iCs/>
                <w:noProof/>
                <w:sz w:val="20"/>
                <w:szCs w:val="20"/>
              </w:rPr>
              <w:t>Uveďte údaje na kontaktnú osobu, ktorú je možné kontaktovať v súvislosti s posúdením vybraných vplyvov.</w:t>
            </w:r>
          </w:p>
        </w:tc>
      </w:tr>
      <w:tr w:rsidR="00633D4F" w:rsidRPr="004F720D">
        <w:trPr>
          <w:trHeight w:val="270"/>
        </w:trPr>
        <w:tc>
          <w:tcPr>
            <w:tcW w:w="9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3D4F" w:rsidRPr="004F720D" w:rsidRDefault="00A77B27">
            <w:pPr>
              <w:numPr>
                <w:ilvl w:val="0"/>
                <w:numId w:val="28"/>
              </w:numPr>
              <w:spacing w:after="0" w:line="240" w:lineRule="auto"/>
              <w:rPr>
                <w:rFonts w:ascii="Book Antiqua" w:hAnsi="Book Antiqua"/>
                <w:b/>
                <w:bCs/>
                <w:noProof/>
                <w:sz w:val="20"/>
                <w:szCs w:val="20"/>
              </w:rPr>
            </w:pPr>
            <w:r w:rsidRPr="004F720D">
              <w:rPr>
                <w:rFonts w:ascii="Book Antiqua" w:hAnsi="Book Antiqua"/>
                <w:b/>
                <w:bCs/>
                <w:noProof/>
                <w:sz w:val="20"/>
                <w:szCs w:val="20"/>
              </w:rPr>
              <w:t>Stanovisko gestorov</w:t>
            </w:r>
          </w:p>
        </w:tc>
      </w:tr>
      <w:tr w:rsidR="00633D4F" w:rsidRPr="004F720D">
        <w:trPr>
          <w:trHeight w:val="1343"/>
        </w:trPr>
        <w:tc>
          <w:tcPr>
            <w:tcW w:w="9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3D4F" w:rsidRPr="004F720D" w:rsidRDefault="00A77B27">
            <w:pPr>
              <w:suppressAutoHyphens/>
              <w:spacing w:after="0" w:line="100" w:lineRule="atLeast"/>
              <w:rPr>
                <w:rFonts w:ascii="Book Antiqua" w:eastAsia="Book Antiqua" w:hAnsi="Book Antiqua" w:cs="Book Antiqua"/>
                <w:i/>
                <w:iCs/>
                <w:noProof/>
                <w:sz w:val="20"/>
                <w:szCs w:val="20"/>
              </w:rPr>
            </w:pPr>
            <w:r w:rsidRPr="004F720D">
              <w:rPr>
                <w:rFonts w:ascii="Book Antiqua" w:hAnsi="Book Antiqua"/>
                <w:i/>
                <w:iCs/>
                <w:noProof/>
                <w:sz w:val="20"/>
                <w:szCs w:val="20"/>
              </w:rPr>
              <w:lastRenderedPageBreak/>
              <w:t>Stanovisko Ministerstva financií SR</w:t>
            </w:r>
            <w:r w:rsidRPr="004F720D">
              <w:rPr>
                <w:rFonts w:ascii="Book Antiqua" w:hAnsi="Book Antiqua"/>
                <w:b/>
                <w:bCs/>
                <w:noProof/>
                <w:sz w:val="20"/>
                <w:szCs w:val="20"/>
              </w:rPr>
              <w:t xml:space="preserve">                                                         </w:t>
            </w:r>
            <w:r w:rsidRPr="004F720D">
              <w:rPr>
                <w:rFonts w:ascii="Segoe UI Symbol" w:eastAsia="Segoe UI Symbol" w:hAnsi="Segoe UI Symbol" w:cs="Segoe UI Symbol"/>
                <w:b/>
                <w:bCs/>
                <w:noProof/>
                <w:sz w:val="20"/>
                <w:szCs w:val="20"/>
              </w:rPr>
              <w:t>☒</w:t>
            </w:r>
            <w:r w:rsidRPr="004F720D">
              <w:rPr>
                <w:rFonts w:ascii="Book Antiqua" w:hAnsi="Book Antiqua"/>
                <w:b/>
                <w:bCs/>
                <w:noProof/>
                <w:sz w:val="20"/>
                <w:szCs w:val="20"/>
              </w:rPr>
              <w:t xml:space="preserve">     vyžiadané              </w:t>
            </w:r>
            <w:r w:rsidRPr="004F720D">
              <w:rPr>
                <w:rFonts w:ascii="Segoe UI Symbol" w:eastAsia="Segoe UI Symbol" w:hAnsi="Segoe UI Symbol" w:cs="Segoe UI Symbol"/>
                <w:b/>
                <w:bCs/>
                <w:noProof/>
                <w:sz w:val="20"/>
                <w:szCs w:val="20"/>
              </w:rPr>
              <w:t>☐</w:t>
            </w:r>
            <w:r w:rsidRPr="004F720D">
              <w:rPr>
                <w:rFonts w:ascii="Book Antiqua" w:hAnsi="Book Antiqua"/>
                <w:b/>
                <w:bCs/>
                <w:noProof/>
                <w:sz w:val="20"/>
                <w:szCs w:val="20"/>
              </w:rPr>
              <w:t xml:space="preserve"> priložené</w:t>
            </w:r>
          </w:p>
          <w:p w:rsidR="00633D4F" w:rsidRPr="004F720D" w:rsidRDefault="00A77B27">
            <w:pPr>
              <w:suppressAutoHyphens/>
              <w:spacing w:after="0" w:line="100" w:lineRule="atLeast"/>
              <w:jc w:val="both"/>
              <w:rPr>
                <w:rFonts w:ascii="Book Antiqua" w:eastAsia="Book Antiqua" w:hAnsi="Book Antiqua" w:cs="Book Antiqua"/>
                <w:i/>
                <w:iCs/>
                <w:noProof/>
                <w:sz w:val="20"/>
                <w:szCs w:val="20"/>
              </w:rPr>
            </w:pPr>
            <w:r w:rsidRPr="004F720D">
              <w:rPr>
                <w:rFonts w:ascii="Book Antiqua" w:hAnsi="Book Antiqua"/>
                <w:i/>
                <w:iCs/>
                <w:noProof/>
                <w:sz w:val="20"/>
                <w:szCs w:val="20"/>
              </w:rPr>
              <w:t xml:space="preserve">Stanovisko Ministerstva hospodárstva SR                                         </w:t>
            </w:r>
            <w:r w:rsidRPr="004F720D">
              <w:rPr>
                <w:rFonts w:ascii="Book Antiqua" w:hAnsi="Book Antiqua"/>
                <w:b/>
                <w:bCs/>
                <w:noProof/>
                <w:sz w:val="20"/>
                <w:szCs w:val="20"/>
              </w:rPr>
              <w:t xml:space="preserve">       </w:t>
            </w:r>
            <w:r w:rsidRPr="004F720D">
              <w:rPr>
                <w:rFonts w:ascii="Segoe UI Symbol" w:eastAsia="Segoe UI Symbol" w:hAnsi="Segoe UI Symbol" w:cs="Segoe UI Symbol"/>
                <w:b/>
                <w:bCs/>
                <w:noProof/>
                <w:sz w:val="20"/>
                <w:szCs w:val="20"/>
              </w:rPr>
              <w:t>☒</w:t>
            </w:r>
            <w:r w:rsidRPr="004F720D">
              <w:rPr>
                <w:rFonts w:ascii="Book Antiqua" w:hAnsi="Book Antiqua"/>
                <w:b/>
                <w:bCs/>
                <w:noProof/>
                <w:sz w:val="20"/>
                <w:szCs w:val="20"/>
              </w:rPr>
              <w:t xml:space="preserve">     vyžiadané              </w:t>
            </w:r>
            <w:r w:rsidRPr="004F720D">
              <w:rPr>
                <w:rFonts w:ascii="Segoe UI Symbol" w:eastAsia="Segoe UI Symbol" w:hAnsi="Segoe UI Symbol" w:cs="Segoe UI Symbol"/>
                <w:b/>
                <w:bCs/>
                <w:noProof/>
                <w:sz w:val="20"/>
                <w:szCs w:val="20"/>
              </w:rPr>
              <w:t>☐</w:t>
            </w:r>
            <w:r w:rsidRPr="004F720D">
              <w:rPr>
                <w:rFonts w:ascii="Book Antiqua" w:hAnsi="Book Antiqua"/>
                <w:b/>
                <w:bCs/>
                <w:noProof/>
                <w:sz w:val="20"/>
                <w:szCs w:val="20"/>
              </w:rPr>
              <w:t xml:space="preserve">  priložené</w:t>
            </w:r>
          </w:p>
          <w:p w:rsidR="00633D4F" w:rsidRPr="004F720D" w:rsidRDefault="00633D4F">
            <w:pPr>
              <w:suppressAutoHyphens/>
              <w:spacing w:after="0" w:line="100" w:lineRule="atLeast"/>
              <w:rPr>
                <w:rFonts w:ascii="Book Antiqua" w:eastAsia="Book Antiqua" w:hAnsi="Book Antiqua" w:cs="Book Antiqua"/>
                <w:i/>
                <w:iCs/>
                <w:noProof/>
                <w:sz w:val="20"/>
                <w:szCs w:val="20"/>
              </w:rPr>
            </w:pPr>
          </w:p>
          <w:p w:rsidR="00633D4F" w:rsidRPr="004F720D" w:rsidRDefault="00A77B27">
            <w:pPr>
              <w:suppressAutoHyphens/>
              <w:spacing w:after="0" w:line="100" w:lineRule="atLeast"/>
              <w:rPr>
                <w:noProof/>
              </w:rPr>
            </w:pPr>
            <w:r w:rsidRPr="004F720D">
              <w:rPr>
                <w:rFonts w:ascii="Book Antiqua" w:hAnsi="Book Antiqua"/>
                <w:i/>
                <w:iCs/>
                <w:noProof/>
                <w:sz w:val="20"/>
                <w:szCs w:val="20"/>
              </w:rPr>
              <w:t>V prípade potreby uveďte doplňujúce informácie alebo poznámky k stanovisku.</w:t>
            </w:r>
          </w:p>
        </w:tc>
      </w:tr>
    </w:tbl>
    <w:p w:rsidR="00633D4F" w:rsidRPr="004F720D" w:rsidRDefault="00633D4F">
      <w:pPr>
        <w:widowControl w:val="0"/>
        <w:suppressAutoHyphens/>
        <w:spacing w:after="0" w:line="240" w:lineRule="auto"/>
        <w:rPr>
          <w:rFonts w:ascii="Book Antiqua" w:eastAsia="Book Antiqua" w:hAnsi="Book Antiqua" w:cs="Book Antiqua"/>
          <w:b/>
          <w:bCs/>
          <w:noProof/>
          <w:sz w:val="20"/>
          <w:szCs w:val="20"/>
        </w:rPr>
      </w:pPr>
    </w:p>
    <w:p w:rsidR="00633D4F" w:rsidRPr="004F720D" w:rsidRDefault="00633D4F">
      <w:pPr>
        <w:suppressAutoHyphens/>
        <w:spacing w:after="0" w:line="100" w:lineRule="atLeast"/>
        <w:rPr>
          <w:rFonts w:ascii="Book Antiqua" w:eastAsia="Book Antiqua" w:hAnsi="Book Antiqua" w:cs="Book Antiqua"/>
          <w:b/>
          <w:bCs/>
          <w:caps/>
          <w:noProof/>
          <w:spacing w:val="30"/>
          <w:sz w:val="24"/>
          <w:szCs w:val="24"/>
        </w:rPr>
      </w:pPr>
    </w:p>
    <w:p w:rsidR="00633D4F" w:rsidRPr="004F720D" w:rsidRDefault="00633D4F">
      <w:pPr>
        <w:suppressAutoHyphens/>
        <w:spacing w:before="120" w:after="0" w:line="100" w:lineRule="atLeast"/>
        <w:jc w:val="center"/>
        <w:rPr>
          <w:noProof/>
        </w:rPr>
      </w:pPr>
    </w:p>
    <w:sectPr w:rsidR="00633D4F" w:rsidRPr="004F720D">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38C" w:rsidRDefault="00C8438C">
      <w:pPr>
        <w:spacing w:after="0" w:line="240" w:lineRule="auto"/>
      </w:pPr>
      <w:r>
        <w:separator/>
      </w:r>
    </w:p>
  </w:endnote>
  <w:endnote w:type="continuationSeparator" w:id="0">
    <w:p w:rsidR="00C8438C" w:rsidRDefault="00C84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B27" w:rsidRDefault="00A77B27">
    <w:pPr>
      <w:pStyle w:val="Pta"/>
      <w:tabs>
        <w:tab w:val="clear" w:pos="9072"/>
        <w:tab w:val="right" w:pos="9046"/>
      </w:tabs>
      <w:jc w:val="right"/>
    </w:pPr>
    <w:r>
      <w:fldChar w:fldCharType="begin"/>
    </w:r>
    <w:r>
      <w:instrText xml:space="preserve"> PAGE </w:instrText>
    </w:r>
    <w:r>
      <w:fldChar w:fldCharType="separate"/>
    </w:r>
    <w:r w:rsidR="00F572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38C" w:rsidRDefault="00C8438C">
      <w:pPr>
        <w:spacing w:after="0" w:line="240" w:lineRule="auto"/>
      </w:pPr>
      <w:r>
        <w:separator/>
      </w:r>
    </w:p>
  </w:footnote>
  <w:footnote w:type="continuationSeparator" w:id="0">
    <w:p w:rsidR="00C8438C" w:rsidRDefault="00C84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B27" w:rsidRDefault="00A77B27">
    <w:pPr>
      <w:pStyle w:val="Hlavikaapt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877F8"/>
    <w:multiLevelType w:val="hybridMultilevel"/>
    <w:tmpl w:val="509494B0"/>
    <w:lvl w:ilvl="0" w:tplc="B5C26148">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9BE1478">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6CE0A52">
      <w:start w:val="1"/>
      <w:numFmt w:val="lowerRoman"/>
      <w:lvlText w:val="%3."/>
      <w:lvlJc w:val="left"/>
      <w:pPr>
        <w:ind w:left="186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57C4686E">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AD6E420">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46C60E2">
      <w:start w:val="1"/>
      <w:numFmt w:val="lowerRoman"/>
      <w:lvlText w:val="%6."/>
      <w:lvlJc w:val="left"/>
      <w:pPr>
        <w:ind w:left="402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4A94A61E">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A1CCF7C">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65ED2EC">
      <w:start w:val="1"/>
      <w:numFmt w:val="lowerRoman"/>
      <w:lvlText w:val="%9."/>
      <w:lvlJc w:val="left"/>
      <w:pPr>
        <w:ind w:left="6186"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F57021"/>
    <w:multiLevelType w:val="hybridMultilevel"/>
    <w:tmpl w:val="70887DF0"/>
    <w:numStyleLink w:val="Importovantl2"/>
  </w:abstractNum>
  <w:abstractNum w:abstractNumId="2" w15:restartNumberingAfterBreak="0">
    <w:nsid w:val="22497029"/>
    <w:multiLevelType w:val="hybridMultilevel"/>
    <w:tmpl w:val="675E0EDA"/>
    <w:lvl w:ilvl="0" w:tplc="202469DC">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DDEA040">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1E23782">
      <w:start w:val="1"/>
      <w:numFmt w:val="lowerRoman"/>
      <w:lvlText w:val="%3."/>
      <w:lvlJc w:val="left"/>
      <w:pPr>
        <w:ind w:left="186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EEB67C3E">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110A9CC">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C063B7C">
      <w:start w:val="1"/>
      <w:numFmt w:val="lowerRoman"/>
      <w:lvlText w:val="%6."/>
      <w:lvlJc w:val="left"/>
      <w:pPr>
        <w:ind w:left="402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80DE51D6">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074A254">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93458C8">
      <w:start w:val="1"/>
      <w:numFmt w:val="lowerRoman"/>
      <w:lvlText w:val="%9."/>
      <w:lvlJc w:val="left"/>
      <w:pPr>
        <w:ind w:left="6186"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277607"/>
    <w:multiLevelType w:val="hybridMultilevel"/>
    <w:tmpl w:val="68980E1E"/>
    <w:lvl w:ilvl="0" w:tplc="0C3A5BCE">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B689572">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C2FE76">
      <w:start w:val="1"/>
      <w:numFmt w:val="lowerRoman"/>
      <w:lvlText w:val="%3."/>
      <w:lvlJc w:val="left"/>
      <w:pPr>
        <w:ind w:left="186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84AC3080">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E802BB2">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1102902">
      <w:start w:val="1"/>
      <w:numFmt w:val="lowerRoman"/>
      <w:lvlText w:val="%6."/>
      <w:lvlJc w:val="left"/>
      <w:pPr>
        <w:ind w:left="402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8A8459B8">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C4E4AFE">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902CF80">
      <w:start w:val="1"/>
      <w:numFmt w:val="lowerRoman"/>
      <w:lvlText w:val="%9."/>
      <w:lvlJc w:val="left"/>
      <w:pPr>
        <w:ind w:left="6186"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960779"/>
    <w:multiLevelType w:val="hybridMultilevel"/>
    <w:tmpl w:val="8516018E"/>
    <w:numStyleLink w:val="Importovantl1"/>
  </w:abstractNum>
  <w:abstractNum w:abstractNumId="5" w15:restartNumberingAfterBreak="0">
    <w:nsid w:val="2A9847BC"/>
    <w:multiLevelType w:val="hybridMultilevel"/>
    <w:tmpl w:val="6BD08012"/>
    <w:lvl w:ilvl="0" w:tplc="9E6C1FB8">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5CE4A64">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9BA8ADC">
      <w:start w:val="1"/>
      <w:numFmt w:val="lowerRoman"/>
      <w:lvlText w:val="%3."/>
      <w:lvlJc w:val="left"/>
      <w:pPr>
        <w:ind w:left="186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8E2E0FDA">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A767CD4">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7E830D4">
      <w:start w:val="1"/>
      <w:numFmt w:val="lowerRoman"/>
      <w:lvlText w:val="%6."/>
      <w:lvlJc w:val="left"/>
      <w:pPr>
        <w:ind w:left="402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C602B1A2">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74E3968">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75EF404">
      <w:start w:val="1"/>
      <w:numFmt w:val="lowerRoman"/>
      <w:lvlText w:val="%9."/>
      <w:lvlJc w:val="left"/>
      <w:pPr>
        <w:ind w:left="6186"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13F0D5B"/>
    <w:multiLevelType w:val="hybridMultilevel"/>
    <w:tmpl w:val="05726618"/>
    <w:lvl w:ilvl="0" w:tplc="38C43018">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8A0580C">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9B890EE">
      <w:start w:val="1"/>
      <w:numFmt w:val="lowerRoman"/>
      <w:lvlText w:val="%3."/>
      <w:lvlJc w:val="left"/>
      <w:pPr>
        <w:ind w:left="186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6E10C684">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D82F94">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2DE9E4C">
      <w:start w:val="1"/>
      <w:numFmt w:val="lowerRoman"/>
      <w:lvlText w:val="%6."/>
      <w:lvlJc w:val="left"/>
      <w:pPr>
        <w:ind w:left="402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6B5288DE">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0D053A8">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7124C90">
      <w:start w:val="1"/>
      <w:numFmt w:val="lowerRoman"/>
      <w:lvlText w:val="%9."/>
      <w:lvlJc w:val="left"/>
      <w:pPr>
        <w:ind w:left="6186"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1AC3E9B"/>
    <w:multiLevelType w:val="hybridMultilevel"/>
    <w:tmpl w:val="EE3E4C78"/>
    <w:lvl w:ilvl="0" w:tplc="268895B2">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F6AE638">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AFAC058">
      <w:start w:val="1"/>
      <w:numFmt w:val="lowerRoman"/>
      <w:lvlText w:val="%3."/>
      <w:lvlJc w:val="left"/>
      <w:pPr>
        <w:ind w:left="186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7A9659EC">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55A0578">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48A6044">
      <w:start w:val="1"/>
      <w:numFmt w:val="lowerRoman"/>
      <w:lvlText w:val="%6."/>
      <w:lvlJc w:val="left"/>
      <w:pPr>
        <w:ind w:left="402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91641542">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95E9062">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0266B4A">
      <w:start w:val="1"/>
      <w:numFmt w:val="lowerRoman"/>
      <w:lvlText w:val="%9."/>
      <w:lvlJc w:val="left"/>
      <w:pPr>
        <w:ind w:left="6186"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0411B"/>
    <w:multiLevelType w:val="hybridMultilevel"/>
    <w:tmpl w:val="F04E9CC4"/>
    <w:lvl w:ilvl="0" w:tplc="765E8C8A">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87835C2">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DA635A4">
      <w:start w:val="1"/>
      <w:numFmt w:val="lowerRoman"/>
      <w:lvlText w:val="%3."/>
      <w:lvlJc w:val="left"/>
      <w:pPr>
        <w:ind w:left="186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664CF1A4">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FC26B7C">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6828846">
      <w:start w:val="1"/>
      <w:numFmt w:val="lowerRoman"/>
      <w:lvlText w:val="%6."/>
      <w:lvlJc w:val="left"/>
      <w:pPr>
        <w:ind w:left="402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4C8AD6B2">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6F4D82C">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1886190">
      <w:start w:val="1"/>
      <w:numFmt w:val="lowerRoman"/>
      <w:lvlText w:val="%9."/>
      <w:lvlJc w:val="left"/>
      <w:pPr>
        <w:ind w:left="6186"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0405FE"/>
    <w:multiLevelType w:val="hybridMultilevel"/>
    <w:tmpl w:val="38242076"/>
    <w:lvl w:ilvl="0" w:tplc="C2BE6AAA">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0A618EC">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9C26E08">
      <w:start w:val="1"/>
      <w:numFmt w:val="lowerRoman"/>
      <w:lvlText w:val="%3."/>
      <w:lvlJc w:val="left"/>
      <w:pPr>
        <w:ind w:left="186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9E9E8664">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BB6B358">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D280708">
      <w:start w:val="1"/>
      <w:numFmt w:val="lowerRoman"/>
      <w:lvlText w:val="%6."/>
      <w:lvlJc w:val="left"/>
      <w:pPr>
        <w:ind w:left="402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1D9A00E8">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E0E04FC">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E3C21D0">
      <w:start w:val="1"/>
      <w:numFmt w:val="lowerRoman"/>
      <w:lvlText w:val="%9."/>
      <w:lvlJc w:val="left"/>
      <w:pPr>
        <w:ind w:left="6186"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089075C"/>
    <w:multiLevelType w:val="hybridMultilevel"/>
    <w:tmpl w:val="FDEC0948"/>
    <w:lvl w:ilvl="0" w:tplc="88EA2214">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E989626">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6104644">
      <w:start w:val="1"/>
      <w:numFmt w:val="lowerRoman"/>
      <w:lvlText w:val="%3."/>
      <w:lvlJc w:val="left"/>
      <w:pPr>
        <w:ind w:left="186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0794F6EA">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9CCBFC8">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2BC5EC6">
      <w:start w:val="1"/>
      <w:numFmt w:val="lowerRoman"/>
      <w:lvlText w:val="%6."/>
      <w:lvlJc w:val="left"/>
      <w:pPr>
        <w:ind w:left="402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5E708D56">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C4EB94C">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C347066">
      <w:start w:val="1"/>
      <w:numFmt w:val="lowerRoman"/>
      <w:lvlText w:val="%9."/>
      <w:lvlJc w:val="left"/>
      <w:pPr>
        <w:ind w:left="6186"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907949"/>
    <w:multiLevelType w:val="hybridMultilevel"/>
    <w:tmpl w:val="70887DF0"/>
    <w:styleLink w:val="Importovantl2"/>
    <w:lvl w:ilvl="0" w:tplc="BE58C84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005C0E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8CDDD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CEA6B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D009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62812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9B45B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3A30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F0118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BB106DD"/>
    <w:multiLevelType w:val="hybridMultilevel"/>
    <w:tmpl w:val="1408ED6C"/>
    <w:lvl w:ilvl="0" w:tplc="E052627A">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E30140A">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2CEB0D4">
      <w:start w:val="1"/>
      <w:numFmt w:val="lowerRoman"/>
      <w:lvlText w:val="%3."/>
      <w:lvlJc w:val="left"/>
      <w:pPr>
        <w:ind w:left="186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63CE30A4">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56A2A8C">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ADAE42E">
      <w:start w:val="1"/>
      <w:numFmt w:val="lowerRoman"/>
      <w:lvlText w:val="%6."/>
      <w:lvlJc w:val="left"/>
      <w:pPr>
        <w:ind w:left="402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6C103A0C">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78A3240">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9665902">
      <w:start w:val="1"/>
      <w:numFmt w:val="lowerRoman"/>
      <w:lvlText w:val="%9."/>
      <w:lvlJc w:val="left"/>
      <w:pPr>
        <w:ind w:left="6186"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7BC0E0E"/>
    <w:multiLevelType w:val="hybridMultilevel"/>
    <w:tmpl w:val="D6900202"/>
    <w:lvl w:ilvl="0" w:tplc="6794FF94">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004BFBA">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06E6F78">
      <w:start w:val="1"/>
      <w:numFmt w:val="lowerRoman"/>
      <w:lvlText w:val="%3."/>
      <w:lvlJc w:val="left"/>
      <w:pPr>
        <w:ind w:left="186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ACF004C8">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57EE82E">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26E163C">
      <w:start w:val="1"/>
      <w:numFmt w:val="lowerRoman"/>
      <w:lvlText w:val="%6."/>
      <w:lvlJc w:val="left"/>
      <w:pPr>
        <w:ind w:left="402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5360FA50">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160E314">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A8871E8">
      <w:start w:val="1"/>
      <w:numFmt w:val="lowerRoman"/>
      <w:lvlText w:val="%9."/>
      <w:lvlJc w:val="left"/>
      <w:pPr>
        <w:ind w:left="6186"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EC951B8"/>
    <w:multiLevelType w:val="hybridMultilevel"/>
    <w:tmpl w:val="8516018E"/>
    <w:styleLink w:val="Importovantl1"/>
    <w:lvl w:ilvl="0" w:tplc="118ED1C2">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1A93F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C903A8A">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9AC2C6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C4C2BA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6E4A4CC">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8E9CA1F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B2485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8B09D2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94B0EF5"/>
    <w:multiLevelType w:val="hybridMultilevel"/>
    <w:tmpl w:val="23E6AF4A"/>
    <w:lvl w:ilvl="0" w:tplc="5D587A98">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658F51A">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BFEA390">
      <w:start w:val="1"/>
      <w:numFmt w:val="lowerRoman"/>
      <w:lvlText w:val="%3."/>
      <w:lvlJc w:val="left"/>
      <w:pPr>
        <w:ind w:left="186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71BCB578">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E4C6844">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A503814">
      <w:start w:val="1"/>
      <w:numFmt w:val="lowerRoman"/>
      <w:lvlText w:val="%6."/>
      <w:lvlJc w:val="left"/>
      <w:pPr>
        <w:ind w:left="4026"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B7EA4206">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3881E58">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4B45048">
      <w:start w:val="1"/>
      <w:numFmt w:val="lowerRoman"/>
      <w:lvlText w:val="%9."/>
      <w:lvlJc w:val="left"/>
      <w:pPr>
        <w:ind w:left="6186"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A240642"/>
    <w:multiLevelType w:val="hybridMultilevel"/>
    <w:tmpl w:val="83B427D2"/>
    <w:lvl w:ilvl="0" w:tplc="0AACAC5C">
      <w:start w:val="1"/>
      <w:numFmt w:val="bullet"/>
      <w:lvlText w:val="-"/>
      <w:lvlJc w:val="left"/>
      <w:pPr>
        <w:ind w:left="720" w:hanging="360"/>
      </w:pPr>
      <w:rPr>
        <w:rFonts w:ascii="Book Antiqua" w:eastAsia="Book Antiqua" w:hAnsi="Book Antiqua" w:cs="Book Antiqu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648317C">
      <w:start w:val="1"/>
      <w:numFmt w:val="bullet"/>
      <w:lvlText w:val="o"/>
      <w:lvlJc w:val="left"/>
      <w:pPr>
        <w:ind w:left="1440" w:hanging="360"/>
      </w:pPr>
      <w:rPr>
        <w:rFonts w:ascii="Book Antiqua" w:eastAsia="Book Antiqua" w:hAnsi="Book Antiqua" w:cs="Book Antiqu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8CC6EDE">
      <w:start w:val="1"/>
      <w:numFmt w:val="bullet"/>
      <w:lvlText w:val="▪"/>
      <w:lvlJc w:val="left"/>
      <w:pPr>
        <w:ind w:left="2160" w:hanging="360"/>
      </w:pPr>
      <w:rPr>
        <w:rFonts w:ascii="Book Antiqua" w:eastAsia="Book Antiqua" w:hAnsi="Book Antiqua" w:cs="Book Antiqu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CE0B4B4">
      <w:start w:val="1"/>
      <w:numFmt w:val="bullet"/>
      <w:lvlText w:val="•"/>
      <w:lvlJc w:val="left"/>
      <w:pPr>
        <w:ind w:left="2880" w:hanging="360"/>
      </w:pPr>
      <w:rPr>
        <w:rFonts w:ascii="Book Antiqua" w:eastAsia="Book Antiqua" w:hAnsi="Book Antiqua" w:cs="Book Antiqu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7A89B84">
      <w:start w:val="1"/>
      <w:numFmt w:val="bullet"/>
      <w:lvlText w:val="o"/>
      <w:lvlJc w:val="left"/>
      <w:pPr>
        <w:ind w:left="3600" w:hanging="360"/>
      </w:pPr>
      <w:rPr>
        <w:rFonts w:ascii="Book Antiqua" w:eastAsia="Book Antiqua" w:hAnsi="Book Antiqua" w:cs="Book Antiqu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E16418E">
      <w:start w:val="1"/>
      <w:numFmt w:val="bullet"/>
      <w:lvlText w:val="▪"/>
      <w:lvlJc w:val="left"/>
      <w:pPr>
        <w:ind w:left="4320" w:hanging="360"/>
      </w:pPr>
      <w:rPr>
        <w:rFonts w:ascii="Book Antiqua" w:eastAsia="Book Antiqua" w:hAnsi="Book Antiqua" w:cs="Book Antiqu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6F22ABE">
      <w:start w:val="1"/>
      <w:numFmt w:val="bullet"/>
      <w:lvlText w:val="•"/>
      <w:lvlJc w:val="left"/>
      <w:pPr>
        <w:ind w:left="5040" w:hanging="360"/>
      </w:pPr>
      <w:rPr>
        <w:rFonts w:ascii="Book Antiqua" w:eastAsia="Book Antiqua" w:hAnsi="Book Antiqua" w:cs="Book Antiqu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56212D0">
      <w:start w:val="1"/>
      <w:numFmt w:val="bullet"/>
      <w:lvlText w:val="o"/>
      <w:lvlJc w:val="left"/>
      <w:pPr>
        <w:ind w:left="5760" w:hanging="360"/>
      </w:pPr>
      <w:rPr>
        <w:rFonts w:ascii="Book Antiqua" w:eastAsia="Book Antiqua" w:hAnsi="Book Antiqua" w:cs="Book Antiqu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B4EDE78">
      <w:start w:val="1"/>
      <w:numFmt w:val="bullet"/>
      <w:lvlText w:val="▪"/>
      <w:lvlJc w:val="left"/>
      <w:pPr>
        <w:ind w:left="6480" w:hanging="360"/>
      </w:pPr>
      <w:rPr>
        <w:rFonts w:ascii="Book Antiqua" w:eastAsia="Book Antiqua" w:hAnsi="Book Antiqua" w:cs="Book Antiqu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4"/>
  </w:num>
  <w:num w:numId="2">
    <w:abstractNumId w:val="4"/>
  </w:num>
  <w:num w:numId="3">
    <w:abstractNumId w:val="11"/>
  </w:num>
  <w:num w:numId="4">
    <w:abstractNumId w:val="1"/>
  </w:num>
  <w:num w:numId="5">
    <w:abstractNumId w:val="8"/>
  </w:num>
  <w:num w:numId="6">
    <w:abstractNumId w:val="9"/>
  </w:num>
  <w:num w:numId="7">
    <w:abstractNumId w:val="9"/>
    <w:lvlOverride w:ilvl="0">
      <w:startOverride w:val="2"/>
    </w:lvlOverride>
  </w:num>
  <w:num w:numId="8">
    <w:abstractNumId w:val="12"/>
  </w:num>
  <w:num w:numId="9">
    <w:abstractNumId w:val="12"/>
    <w:lvlOverride w:ilvl="0">
      <w:startOverride w:val="3"/>
    </w:lvlOverride>
  </w:num>
  <w:num w:numId="10">
    <w:abstractNumId w:val="0"/>
  </w:num>
  <w:num w:numId="11">
    <w:abstractNumId w:val="0"/>
    <w:lvlOverride w:ilvl="0">
      <w:startOverride w:val="4"/>
    </w:lvlOverride>
  </w:num>
  <w:num w:numId="12">
    <w:abstractNumId w:val="3"/>
  </w:num>
  <w:num w:numId="13">
    <w:abstractNumId w:val="3"/>
    <w:lvlOverride w:ilvl="0">
      <w:startOverride w:val="5"/>
    </w:lvlOverride>
  </w:num>
  <w:num w:numId="14">
    <w:abstractNumId w:val="15"/>
  </w:num>
  <w:num w:numId="15">
    <w:abstractNumId w:val="15"/>
    <w:lvlOverride w:ilvl="0">
      <w:startOverride w:val="6"/>
    </w:lvlOverride>
  </w:num>
  <w:num w:numId="16">
    <w:abstractNumId w:val="6"/>
  </w:num>
  <w:num w:numId="17">
    <w:abstractNumId w:val="6"/>
    <w:lvlOverride w:ilvl="0">
      <w:startOverride w:val="7"/>
    </w:lvlOverride>
  </w:num>
  <w:num w:numId="18">
    <w:abstractNumId w:val="13"/>
  </w:num>
  <w:num w:numId="19">
    <w:abstractNumId w:val="13"/>
    <w:lvlOverride w:ilvl="0">
      <w:startOverride w:val="8"/>
    </w:lvlOverride>
  </w:num>
  <w:num w:numId="20">
    <w:abstractNumId w:val="2"/>
  </w:num>
  <w:num w:numId="21">
    <w:abstractNumId w:val="2"/>
    <w:lvlOverride w:ilvl="0">
      <w:startOverride w:val="9"/>
    </w:lvlOverride>
  </w:num>
  <w:num w:numId="22">
    <w:abstractNumId w:val="5"/>
  </w:num>
  <w:num w:numId="23">
    <w:abstractNumId w:val="5"/>
    <w:lvlOverride w:ilvl="0">
      <w:startOverride w:val="10"/>
    </w:lvlOverride>
  </w:num>
  <w:num w:numId="24">
    <w:abstractNumId w:val="16"/>
  </w:num>
  <w:num w:numId="25">
    <w:abstractNumId w:val="7"/>
  </w:num>
  <w:num w:numId="26">
    <w:abstractNumId w:val="7"/>
    <w:lvlOverride w:ilvl="0">
      <w:startOverride w:val="11"/>
    </w:lvlOverride>
  </w:num>
  <w:num w:numId="27">
    <w:abstractNumId w:val="10"/>
  </w:num>
  <w:num w:numId="28">
    <w:abstractNumId w:val="10"/>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DE"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4F"/>
    <w:rsid w:val="0039296D"/>
    <w:rsid w:val="004D30D6"/>
    <w:rsid w:val="004F720D"/>
    <w:rsid w:val="00633D4F"/>
    <w:rsid w:val="009E6E10"/>
    <w:rsid w:val="00A77B27"/>
    <w:rsid w:val="00C8438C"/>
    <w:rsid w:val="00CB09EF"/>
    <w:rsid w:val="00CC3007"/>
    <w:rsid w:val="00E968BF"/>
    <w:rsid w:val="00EF53CB"/>
    <w:rsid w:val="00F572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6CE6B-071C-4AA0-9E8F-B382C42E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pPr>
      <w:spacing w:after="160" w:line="259" w:lineRule="auto"/>
    </w:pPr>
    <w:rPr>
      <w:rFonts w:ascii="Calibri" w:hAnsi="Calibri" w:cs="Arial Unicode MS"/>
      <w:color w:val="000000"/>
      <w:sz w:val="22"/>
      <w:szCs w:val="22"/>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ta">
    <w:name w:val="footer"/>
    <w:pPr>
      <w:tabs>
        <w:tab w:val="center" w:pos="4536"/>
        <w:tab w:val="right" w:pos="9072"/>
      </w:tabs>
      <w:suppressAutoHyphens/>
      <w:spacing w:line="100" w:lineRule="atLeast"/>
    </w:pPr>
    <w:rPr>
      <w:rFonts w:cs="Arial Unicode MS"/>
      <w:color w:val="000000"/>
      <w:sz w:val="24"/>
      <w:szCs w:val="24"/>
      <w:u w:color="000000"/>
    </w:rPr>
  </w:style>
  <w:style w:type="numbering" w:customStyle="1" w:styleId="Importovantl1">
    <w:name w:val="Importovaný štýl 1"/>
    <w:pPr>
      <w:numPr>
        <w:numId w:val="1"/>
      </w:numPr>
    </w:pPr>
  </w:style>
  <w:style w:type="paragraph" w:styleId="Odsekzoznamu">
    <w:name w:val="List Paragraph"/>
    <w:pPr>
      <w:ind w:left="720"/>
    </w:pPr>
    <w:rPr>
      <w:rFonts w:ascii="Calibri" w:hAnsi="Calibri" w:cs="Arial Unicode MS"/>
      <w:color w:val="000000"/>
      <w:sz w:val="22"/>
      <w:szCs w:val="22"/>
      <w:u w:color="000000"/>
    </w:rPr>
  </w:style>
  <w:style w:type="numbering" w:customStyle="1" w:styleId="Importovantl2">
    <w:name w:val="Importovaný štýl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2163</Words>
  <Characters>12330</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Matovič, Igor, (asistent)</dc:creator>
  <cp:lastModifiedBy>Klub SLOVENSKO, ZA ĽUDÍ, KÚ</cp:lastModifiedBy>
  <cp:revision>2</cp:revision>
  <dcterms:created xsi:type="dcterms:W3CDTF">2025-01-17T10:30:00Z</dcterms:created>
  <dcterms:modified xsi:type="dcterms:W3CDTF">2025-01-17T10:30:00Z</dcterms:modified>
</cp:coreProperties>
</file>