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0F1D534" w14:textId="77777777" w:rsidR="002B0BE5" w:rsidRPr="00365558" w:rsidRDefault="002B0BE5" w:rsidP="00365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5CB9AB" w14:textId="7339F0A6" w:rsidR="002431FF" w:rsidRDefault="002431FF" w:rsidP="0024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Hlk112401678"/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dopĺňa </w:t>
      </w:r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</w:t>
      </w:r>
      <w:r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v znení neskorších predpisov predklad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ajú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poslanci Národnej rady Slove</w:t>
      </w:r>
      <w:r w:rsidR="00E544C2">
        <w:rPr>
          <w:rFonts w:ascii="Times New Roman" w:hAnsi="Times New Roman"/>
          <w:sz w:val="24"/>
          <w:szCs w:val="24"/>
          <w:shd w:val="clear" w:color="auto" w:fill="FFFFFF"/>
        </w:rPr>
        <w:t>nskej republiky Marián Viskupič, Vladimíra Marcinková, Vladimír Ledecký a Jana Bittó Cigániková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5B70800B" w14:textId="0CBCF10F" w:rsidR="00365558" w:rsidRDefault="00365558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4CEF27C" w14:textId="558B4673" w:rsidR="0092605B" w:rsidRPr="00A44ACE" w:rsidRDefault="00F27D9A" w:rsidP="00A44A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Cieľom návrhu zákona je</w:t>
      </w:r>
      <w:r w:rsidR="000F7656"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92605B" w:rsidRPr="00A44AC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zvýšenie hranice pre povinnú (obratovú) registráciu pre platenie dane z pridanej hodnoty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 zo súčasnej úrovne </w:t>
      </w:r>
      <w:r w:rsidR="00E544C2">
        <w:rPr>
          <w:rFonts w:ascii="Times New Roman" w:hAnsi="Times New Roman"/>
          <w:b/>
          <w:bCs/>
          <w:sz w:val="24"/>
          <w:szCs w:val="24"/>
        </w:rPr>
        <w:t>50 000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 eur</w:t>
      </w:r>
      <w:r w:rsidR="00E544C2">
        <w:rPr>
          <w:rFonts w:ascii="Times New Roman" w:hAnsi="Times New Roman"/>
          <w:b/>
          <w:bCs/>
          <w:sz w:val="24"/>
          <w:szCs w:val="24"/>
        </w:rPr>
        <w:t>. re</w:t>
      </w:r>
      <w:bookmarkStart w:id="1" w:name="_GoBack"/>
      <w:bookmarkEnd w:id="1"/>
      <w:r w:rsidR="00E544C2">
        <w:rPr>
          <w:rFonts w:ascii="Times New Roman" w:hAnsi="Times New Roman"/>
          <w:b/>
          <w:bCs/>
          <w:sz w:val="24"/>
          <w:szCs w:val="24"/>
        </w:rPr>
        <w:t>sp. 62 500 eur</w:t>
      </w:r>
      <w:r w:rsidR="0092605B" w:rsidRPr="00A44ACE">
        <w:rPr>
          <w:rFonts w:ascii="Times New Roman" w:hAnsi="Times New Roman"/>
          <w:b/>
          <w:bCs/>
          <w:sz w:val="24"/>
          <w:szCs w:val="24"/>
        </w:rPr>
        <w:t xml:space="preserve"> na sumu 75 000 eur. </w:t>
      </w:r>
      <w:r w:rsidR="00EE715A" w:rsidRPr="00A44ACE">
        <w:rPr>
          <w:rFonts w:ascii="Times New Roman" w:hAnsi="Times New Roman"/>
          <w:b/>
          <w:bCs/>
          <w:sz w:val="24"/>
          <w:szCs w:val="24"/>
        </w:rPr>
        <w:t xml:space="preserve">Možnosť dobrovoľnej registrácie pre platenie dane z pridanej hodnoty zostáva zachovaná. </w:t>
      </w:r>
    </w:p>
    <w:p w14:paraId="151F347D" w14:textId="77777777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64650E" w14:textId="5734518B" w:rsid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Súčasná legislatíva pozná </w:t>
      </w:r>
      <w:r w:rsidR="00BC555A">
        <w:rPr>
          <w:rFonts w:ascii="Times New Roman" w:hAnsi="Times New Roman"/>
          <w:sz w:val="24"/>
          <w:szCs w:val="24"/>
        </w:rPr>
        <w:t>dva</w:t>
      </w:r>
      <w:r>
        <w:rPr>
          <w:rFonts w:ascii="Times New Roman" w:hAnsi="Times New Roman"/>
          <w:sz w:val="24"/>
          <w:szCs w:val="24"/>
        </w:rPr>
        <w:t xml:space="preserve"> typy registrácie na  platenie dane z pridanej hodnoty a síce </w:t>
      </w:r>
      <w:r w:rsidRPr="00E544C2">
        <w:rPr>
          <w:rFonts w:ascii="Times New Roman" w:hAnsi="Times New Roman"/>
          <w:sz w:val="24"/>
          <w:szCs w:val="24"/>
        </w:rPr>
        <w:t>dobrovoľnú a povinn</w:t>
      </w:r>
      <w:r w:rsidR="00BC555A" w:rsidRPr="00E544C2">
        <w:rPr>
          <w:rFonts w:ascii="Times New Roman" w:hAnsi="Times New Roman"/>
          <w:sz w:val="24"/>
          <w:szCs w:val="24"/>
        </w:rPr>
        <w:t>ú</w:t>
      </w:r>
      <w:r w:rsidRPr="00E544C2">
        <w:rPr>
          <w:rFonts w:ascii="Times New Roman" w:hAnsi="Times New Roman"/>
          <w:sz w:val="24"/>
          <w:szCs w:val="24"/>
        </w:rPr>
        <w:t xml:space="preserve">. Na dobrovoľnú registráciu nie je právny nárok a povoľuje ju finančná správa na základe žiadosti daňového subjektu. Povinne sa registrovať musí zdaniteľná osoba, 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ak za najviac 12 predchádzajúcich po sebe nasledujúcich kalendárnych mesiacov dosiahla </w:t>
      </w:r>
      <w:r w:rsidRPr="00E544C2">
        <w:rPr>
          <w:rStyle w:val="Siln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obrat</w:t>
      </w:r>
      <w:r w:rsidRPr="00E544C2">
        <w:rPr>
          <w:rStyle w:val="Siln"/>
          <w:rFonts w:ascii="Times New Roman" w:hAnsi="Times New Roman"/>
          <w:bCs w:val="0"/>
          <w:sz w:val="24"/>
          <w:szCs w:val="24"/>
          <w:shd w:val="clear" w:color="auto" w:fill="FFFFFF"/>
        </w:rPr>
        <w:t xml:space="preserve"> </w:t>
      </w:r>
      <w:r w:rsidR="00E544C2" w:rsidRPr="00E544C2">
        <w:rPr>
          <w:rFonts w:ascii="Times New Roman" w:hAnsi="Times New Roman"/>
          <w:bCs/>
          <w:sz w:val="24"/>
          <w:szCs w:val="24"/>
        </w:rPr>
        <w:t>50 000 eur. resp. 62 500 eur</w:t>
      </w:r>
      <w:r w:rsidRPr="00E544C2">
        <w:rPr>
          <w:rStyle w:val="Siln"/>
          <w:rFonts w:ascii="Times New Roman" w:hAnsi="Times New Roman"/>
          <w:bCs w:val="0"/>
          <w:sz w:val="24"/>
          <w:szCs w:val="24"/>
          <w:shd w:val="clear" w:color="auto" w:fill="FFFFFF"/>
        </w:rPr>
        <w:t>.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 Žiadosť o registráciu je zdaniteľná osoba </w:t>
      </w:r>
      <w:r w:rsidRPr="00E544C2">
        <w:rPr>
          <w:rStyle w:val="Siln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povinná</w:t>
      </w:r>
      <w:r w:rsidRPr="00E544C2">
        <w:rPr>
          <w:rFonts w:ascii="Times New Roman" w:hAnsi="Times New Roman"/>
          <w:sz w:val="24"/>
          <w:szCs w:val="24"/>
          <w:shd w:val="clear" w:color="auto" w:fill="FFFFFF"/>
        </w:rPr>
        <w:t> podať do 20</w:t>
      </w:r>
      <w:r w:rsidRPr="00EE715A">
        <w:rPr>
          <w:rFonts w:ascii="Times New Roman" w:hAnsi="Times New Roman"/>
          <w:sz w:val="24"/>
          <w:szCs w:val="24"/>
          <w:shd w:val="clear" w:color="auto" w:fill="FFFFFF"/>
        </w:rPr>
        <w:t xml:space="preserve">. dňa kalendárneho mesiaca, ktorý nasleduje po mesiaci, v ktorom dosiahla zákonom stanovený obrat. </w:t>
      </w:r>
    </w:p>
    <w:p w14:paraId="7D64C43B" w14:textId="77777777" w:rsidR="00EE715A" w:rsidRPr="00EE715A" w:rsidRDefault="00EE71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F22086" w14:textId="77777777" w:rsidR="00A44ACE" w:rsidRDefault="00995D17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Povinná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(obratová)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registrácia pre slovenské podnikateľské subjekty najčastejším dôvodom pre registráciu 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>platenia dane z pridanej hodnoty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. </w:t>
      </w:r>
      <w:r w:rsidR="00BE555A"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Povinnosť platiť daň z pridanej hodnoty so sebou prináša najmä administratívnu záťaž. </w:t>
      </w:r>
    </w:p>
    <w:p w14:paraId="544E68AB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A093115" w14:textId="0C57CD38" w:rsidR="00A44ACE" w:rsidRDefault="00BE55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Stanovenie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 vyššej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hranice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 xml:space="preserve"> nad ktorú je daňový subjekt povinný platiť daň z pridanej hodnoty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>, chráni drobných podnikateľov pre neúme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rnou administratívnou záťažou a umožňuje im tak venovať viac času samotnej podnikateľskej činnosti a menej času neproduktívnej administratíve. Vyššia hranica povinnej registrácie </w:t>
      </w:r>
      <w:r w:rsidRPr="00BE555A">
        <w:rPr>
          <w:rFonts w:ascii="Times New Roman" w:hAnsi="Times New Roman"/>
          <w:sz w:val="24"/>
          <w:szCs w:val="24"/>
          <w:shd w:val="clear" w:color="auto" w:fill="FFFFFF"/>
        </w:rPr>
        <w:t>má význam aj z pohľadu štá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tu – časť malých podnikateľov zvykne optimalizovať svoje tržby tak, aby nepresiahli hranicu povinnej registrácie. Toto umelo znižuje ekonomickú aktivitu a vedie aj k možným daňovým únikom. Zvýšenie hranice jednoznačne podporí podnikateľskú aktivitu, zníži administratívu na strane podnikateľa i štátu a podporí hospodársky rast Slovenska.   </w:t>
      </w:r>
    </w:p>
    <w:p w14:paraId="5A327D7F" w14:textId="77777777" w:rsidR="00A44ACE" w:rsidRDefault="00A44ACE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24BB00" w14:textId="279B1DC0" w:rsidR="00EE715A" w:rsidRPr="00BE555A" w:rsidRDefault="00BE555A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Hranica pre povinnú (obratovú) registráciu na platenia dane z pridanej hodnoty sa naposledy zvyšovala od 1. júla 2009 počas prvej vlády Roberta Fica. </w:t>
      </w:r>
      <w:r w:rsidR="00BC555A"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15 rokov je dlhá doba. </w:t>
      </w:r>
      <w:r w:rsidR="00A44ACE"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Vtedajších </w:t>
      </w:r>
      <w:r w:rsidR="00E544C2" w:rsidRPr="00E544C2">
        <w:rPr>
          <w:rFonts w:ascii="Times New Roman" w:hAnsi="Times New Roman"/>
          <w:bCs/>
          <w:sz w:val="24"/>
          <w:szCs w:val="24"/>
        </w:rPr>
        <w:t xml:space="preserve">50 000 eur. resp. 62 500 eur </w:t>
      </w:r>
      <w:r w:rsidR="00A44ACE"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už nezodpovedá dnešným </w:t>
      </w:r>
      <w:r w:rsidR="00E544C2" w:rsidRPr="00E544C2">
        <w:rPr>
          <w:rFonts w:ascii="Times New Roman" w:hAnsi="Times New Roman"/>
          <w:bCs/>
          <w:sz w:val="24"/>
          <w:szCs w:val="24"/>
        </w:rPr>
        <w:t xml:space="preserve">50 000 eur. resp. 62 500 eur </w:t>
      </w:r>
      <w:r w:rsidR="00A44ACE"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a tak ako každá pevná suma v legislatíve by sa aj táto suma mala </w:t>
      </w:r>
      <w:r w:rsidR="00BC555A"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v určitých intervaloch zvyšovať </w:t>
      </w:r>
      <w:r w:rsidR="00A00338" w:rsidRPr="00E544C2">
        <w:rPr>
          <w:rFonts w:ascii="Times New Roman" w:hAnsi="Times New Roman"/>
          <w:sz w:val="24"/>
          <w:szCs w:val="24"/>
          <w:shd w:val="clear" w:color="auto" w:fill="FFFFFF"/>
        </w:rPr>
        <w:t>o infláciu, teda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 xml:space="preserve"> o koľko sa v ekonomike zvýšila mzdová i cenová </w:t>
      </w:r>
      <w:r w:rsidR="00324DD0">
        <w:rPr>
          <w:rFonts w:ascii="Times New Roman" w:hAnsi="Times New Roman"/>
          <w:sz w:val="24"/>
          <w:szCs w:val="24"/>
          <w:shd w:val="clear" w:color="auto" w:fill="FFFFFF"/>
        </w:rPr>
        <w:t>ú</w:t>
      </w:r>
      <w:r w:rsidR="00A00338">
        <w:rPr>
          <w:rFonts w:ascii="Times New Roman" w:hAnsi="Times New Roman"/>
          <w:sz w:val="24"/>
          <w:szCs w:val="24"/>
          <w:shd w:val="clear" w:color="auto" w:fill="FFFFFF"/>
        </w:rPr>
        <w:t>roveň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Predložený návrh preto symbolicky, k 15. výročiu 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tejto legislatívnej zmeny </w:t>
      </w:r>
      <w:r w:rsidR="00E544C2">
        <w:rPr>
          <w:rFonts w:ascii="Times New Roman" w:hAnsi="Times New Roman"/>
          <w:sz w:val="24"/>
          <w:szCs w:val="24"/>
          <w:shd w:val="clear" w:color="auto" w:fill="FFFFFF"/>
        </w:rPr>
        <w:t>(teda k 1. júlu 2025</w:t>
      </w:r>
      <w:r w:rsidR="00BC555A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>navrhuje opätovné zvýšenie tejto sumy a to o približne 50%, čo veľmi približne zodpovedá posunu cenovej a </w:t>
      </w:r>
      <w:r w:rsidR="000D0CE8">
        <w:rPr>
          <w:rFonts w:ascii="Times New Roman" w:hAnsi="Times New Roman"/>
          <w:sz w:val="24"/>
          <w:szCs w:val="24"/>
          <w:shd w:val="clear" w:color="auto" w:fill="FFFFFF"/>
        </w:rPr>
        <w:t>mzdovej</w:t>
      </w:r>
      <w:r w:rsidR="00A44ACE">
        <w:rPr>
          <w:rFonts w:ascii="Times New Roman" w:hAnsi="Times New Roman"/>
          <w:sz w:val="24"/>
          <w:szCs w:val="24"/>
          <w:shd w:val="clear" w:color="auto" w:fill="FFFFFF"/>
        </w:rPr>
        <w:t xml:space="preserve"> hladiny oproti roku 2009. </w:t>
      </w:r>
    </w:p>
    <w:p w14:paraId="3678AA8B" w14:textId="77777777" w:rsidR="000F7656" w:rsidRPr="003D6C0D" w:rsidRDefault="000F7656" w:rsidP="00A44A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8A93C1" w14:textId="40AD5AC7" w:rsidR="00F27D9A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  <w:r w:rsidRPr="004629D9">
        <w:t xml:space="preserve">Návrh zákona </w:t>
      </w:r>
      <w:r>
        <w:t xml:space="preserve">bude mať </w:t>
      </w:r>
      <w:r w:rsidR="00DE1197">
        <w:t xml:space="preserve">negatívny </w:t>
      </w:r>
      <w:r w:rsidRPr="004629D9">
        <w:t>vplyv na rozpočet verejnej správy</w:t>
      </w:r>
      <w:r>
        <w:t xml:space="preserve">, bude mať </w:t>
      </w:r>
      <w:r w:rsidR="003D6C0D">
        <w:t xml:space="preserve">pozitívne </w:t>
      </w:r>
      <w:r>
        <w:t>sociálne vplyvy a</w:t>
      </w:r>
      <w:r w:rsidR="003D6C0D">
        <w:t>ko aj pozitívny v</w:t>
      </w:r>
      <w:r>
        <w:t>plyvy na podnikateľské prostredie</w:t>
      </w:r>
      <w:r w:rsidR="003D6C0D">
        <w:t xml:space="preserve">. Návrh zákona nebude mať  vplyv na </w:t>
      </w:r>
      <w:r>
        <w:t>ž</w:t>
      </w:r>
      <w:r w:rsidRPr="004629D9">
        <w:t>ivotné prostredie, informatizáciu, 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14:paraId="12AC14C4" w14:textId="77777777" w:rsidR="00A44ACE" w:rsidRPr="004629D9" w:rsidRDefault="00A44ACE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</w:pPr>
    </w:p>
    <w:p w14:paraId="72532D2D" w14:textId="77777777" w:rsidR="00F27D9A" w:rsidRPr="00FB097C" w:rsidRDefault="00F27D9A" w:rsidP="00A44ACE">
      <w:pPr>
        <w:pStyle w:val="title-doc-oj-reference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FB097C">
        <w:lastRenderedPageBreak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BF8FDEC" w14:textId="20074D21" w:rsidR="00F27D9A" w:rsidRDefault="00F27D9A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326C041" w14:textId="10AA7294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E2207F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2CD23C2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2E2D9B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61A055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4FDAA08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5661B62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8F73920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7FF38D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791AA3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E9CEA0B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0FB40FD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86AF5E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2EE3998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36B419E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CDAD4E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245454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C3845A1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8130A0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A674426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705C085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1CD67CB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166D9C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9723477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B7A1CFC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E55A141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37EED41F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E82B9D4" w14:textId="77777777" w:rsidR="002431FF" w:rsidRDefault="002431FF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77777777" w:rsidR="00314307" w:rsidRPr="00314307" w:rsidRDefault="00314307" w:rsidP="000711F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Všeobecná časť</w:t>
      </w:r>
    </w:p>
    <w:p w14:paraId="31F7AE99" w14:textId="77777777" w:rsidR="00365558" w:rsidRP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652D0" w14:textId="61CEB591" w:rsidR="000B3A0D" w:rsidRDefault="000B3A0D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1 </w:t>
      </w:r>
      <w:r w:rsidRPr="00CE1F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3C3E72C" w14:textId="77777777" w:rsidR="00F45A16" w:rsidRDefault="00F45A16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36909B62" w14:textId="7440324F" w:rsidR="00F45A16" w:rsidRPr="00E544C2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4C2">
        <w:rPr>
          <w:rFonts w:ascii="Times New Roman" w:hAnsi="Times New Roman"/>
          <w:sz w:val="24"/>
          <w:szCs w:val="24"/>
          <w:shd w:val="clear" w:color="auto" w:fill="FFFFFF"/>
        </w:rPr>
        <w:t xml:space="preserve">V § 4 ods. 1, v ktorom je upravená registračná povinnosť, sa navrhuje zvýšenie sumy </w:t>
      </w:r>
      <w:r w:rsidR="00E544C2" w:rsidRPr="00E544C2">
        <w:rPr>
          <w:rFonts w:ascii="Times New Roman" w:hAnsi="Times New Roman"/>
          <w:bCs/>
          <w:sz w:val="24"/>
          <w:szCs w:val="24"/>
        </w:rPr>
        <w:t xml:space="preserve">50 000 eur. resp. 62 500 eur 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na sumu 75 000 eur. </w:t>
      </w:r>
    </w:p>
    <w:p w14:paraId="10B3DF66" w14:textId="7B5D5524" w:rsidR="005E0C24" w:rsidRDefault="005E0C24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2 </w:t>
      </w:r>
    </w:p>
    <w:p w14:paraId="469848FA" w14:textId="5B34853F" w:rsidR="00C77573" w:rsidRDefault="00C77573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59CB43" w14:textId="20D1447D" w:rsidR="00F45A16" w:rsidRPr="00F45A16" w:rsidRDefault="00F45A16" w:rsidP="00F45A16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4C2">
        <w:rPr>
          <w:rFonts w:ascii="Times New Roman" w:hAnsi="Times New Roman"/>
          <w:sz w:val="24"/>
          <w:szCs w:val="24"/>
        </w:rPr>
        <w:t>Vzhľadom na zvýšenie sumy</w:t>
      </w:r>
      <w:r w:rsidRPr="00E544C2">
        <w:rPr>
          <w:rFonts w:ascii="Times New Roman" w:hAnsi="Times New Roman"/>
          <w:bCs/>
          <w:sz w:val="24"/>
          <w:szCs w:val="24"/>
        </w:rPr>
        <w:t xml:space="preserve"> </w:t>
      </w:r>
      <w:r w:rsidR="00E544C2" w:rsidRPr="00E544C2">
        <w:rPr>
          <w:rFonts w:ascii="Times New Roman" w:hAnsi="Times New Roman"/>
          <w:bCs/>
          <w:sz w:val="24"/>
          <w:szCs w:val="24"/>
        </w:rPr>
        <w:t xml:space="preserve">50 000 eur. resp. 62 500 eur 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na sumu 75 000 eur sa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>navrhuje</w:t>
      </w:r>
      <w:r w:rsidRPr="00E544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 xml:space="preserve">rovnaké zvýšenie </w:t>
      </w:r>
      <w:r w:rsidR="00BC555A" w:rsidRPr="00E544C2">
        <w:rPr>
          <w:rFonts w:ascii="Times New Roman" w:hAnsi="Times New Roman"/>
          <w:color w:val="000000"/>
          <w:sz w:val="24"/>
          <w:szCs w:val="24"/>
        </w:rPr>
        <w:t xml:space="preserve">aj v </w:t>
      </w:r>
      <w:r w:rsidR="001A6832" w:rsidRPr="00E544C2">
        <w:rPr>
          <w:rFonts w:ascii="Times New Roman" w:hAnsi="Times New Roman"/>
          <w:color w:val="000000"/>
          <w:sz w:val="24"/>
          <w:szCs w:val="24"/>
        </w:rPr>
        <w:t>súvisiacich ustanoveniach</w:t>
      </w:r>
      <w:r w:rsidR="001A683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27A12B" w14:textId="77777777" w:rsidR="001A6832" w:rsidRP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A6832">
        <w:rPr>
          <w:rFonts w:ascii="Times New Roman" w:hAnsi="Times New Roman"/>
          <w:b/>
          <w:bCs/>
          <w:sz w:val="24"/>
          <w:szCs w:val="24"/>
        </w:rPr>
        <w:t>K bodu 3</w:t>
      </w:r>
    </w:p>
    <w:p w14:paraId="23552C92" w14:textId="77777777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164627" w14:textId="77BAE3F3" w:rsidR="001A6832" w:rsidRDefault="001A6832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súvislosti sa prechodom na novú úpravu sa navrhuje prechodné ustanovenie; obdobné prechodné ustanovenie platilo aj od 1. júla 2009 (§ 85g)</w:t>
      </w:r>
      <w:r w:rsidR="00BC555A">
        <w:rPr>
          <w:rFonts w:ascii="Times New Roman" w:hAnsi="Times New Roman"/>
          <w:sz w:val="24"/>
          <w:szCs w:val="24"/>
        </w:rPr>
        <w:t>.</w:t>
      </w:r>
    </w:p>
    <w:p w14:paraId="5F8E0692" w14:textId="78DCD64D" w:rsidR="005E0C24" w:rsidRPr="00CE1F31" w:rsidRDefault="00D81E2D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CAC2F9" w14:textId="77777777" w:rsidR="000B3A0D" w:rsidRPr="0037493D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711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6118476C" w:rsidR="000B3A0D" w:rsidRPr="004C52E7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92605B">
        <w:rPr>
          <w:rFonts w:ascii="Times New Roman" w:hAnsi="Times New Roman"/>
          <w:sz w:val="24"/>
          <w:szCs w:val="24"/>
        </w:rPr>
        <w:t xml:space="preserve">júla </w:t>
      </w:r>
      <w:r w:rsidR="00E544C2">
        <w:rPr>
          <w:rFonts w:ascii="Times New Roman" w:hAnsi="Times New Roman"/>
          <w:sz w:val="24"/>
          <w:szCs w:val="24"/>
        </w:rPr>
        <w:t>2025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0708F" w14:textId="77777777" w:rsidR="002D0BDE" w:rsidRDefault="002D0BDE">
      <w:pPr>
        <w:spacing w:after="0" w:line="240" w:lineRule="auto"/>
      </w:pPr>
      <w:r>
        <w:separator/>
      </w:r>
    </w:p>
  </w:endnote>
  <w:endnote w:type="continuationSeparator" w:id="0">
    <w:p w14:paraId="0C78BF61" w14:textId="77777777" w:rsidR="002D0BDE" w:rsidRDefault="002D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ED3B" w14:textId="3EAAD43A" w:rsidR="007A7B7B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E544C2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7A7B7B" w:rsidRPr="00A51353" w:rsidRDefault="007A7B7B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BD3E" w14:textId="77777777" w:rsidR="002D0BDE" w:rsidRDefault="002D0BDE">
      <w:pPr>
        <w:spacing w:after="0" w:line="240" w:lineRule="auto"/>
      </w:pPr>
      <w:r>
        <w:separator/>
      </w:r>
    </w:p>
  </w:footnote>
  <w:footnote w:type="continuationSeparator" w:id="0">
    <w:p w14:paraId="1412ADBC" w14:textId="77777777" w:rsidR="002D0BDE" w:rsidRDefault="002D0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94C284F"/>
    <w:multiLevelType w:val="hybridMultilevel"/>
    <w:tmpl w:val="4078A472"/>
    <w:lvl w:ilvl="0" w:tplc="C22CB6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16"/>
  </w:num>
  <w:num w:numId="5">
    <w:abstractNumId w:val="13"/>
  </w:num>
  <w:num w:numId="6">
    <w:abstractNumId w:val="1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  <w:num w:numId="14">
    <w:abstractNumId w:val="6"/>
  </w:num>
  <w:num w:numId="15">
    <w:abstractNumId w:val="0"/>
  </w:num>
  <w:num w:numId="16">
    <w:abstractNumId w:val="10"/>
  </w:num>
  <w:num w:numId="17">
    <w:abstractNumId w:val="12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0D"/>
    <w:rsid w:val="0004018E"/>
    <w:rsid w:val="000711F0"/>
    <w:rsid w:val="000B3A0D"/>
    <w:rsid w:val="000C5A8E"/>
    <w:rsid w:val="000D0CE8"/>
    <w:rsid w:val="000F7656"/>
    <w:rsid w:val="00100470"/>
    <w:rsid w:val="00130001"/>
    <w:rsid w:val="00137170"/>
    <w:rsid w:val="001A6832"/>
    <w:rsid w:val="001E2520"/>
    <w:rsid w:val="002431FF"/>
    <w:rsid w:val="00257A5D"/>
    <w:rsid w:val="00275C76"/>
    <w:rsid w:val="002B0BE5"/>
    <w:rsid w:val="002D0BDE"/>
    <w:rsid w:val="00314307"/>
    <w:rsid w:val="00324DD0"/>
    <w:rsid w:val="00353025"/>
    <w:rsid w:val="00365558"/>
    <w:rsid w:val="00395D48"/>
    <w:rsid w:val="003D6C0D"/>
    <w:rsid w:val="003E7391"/>
    <w:rsid w:val="003F5E47"/>
    <w:rsid w:val="004337A1"/>
    <w:rsid w:val="00440C3A"/>
    <w:rsid w:val="004917FD"/>
    <w:rsid w:val="004C0974"/>
    <w:rsid w:val="004E18C1"/>
    <w:rsid w:val="004F75B0"/>
    <w:rsid w:val="00557AE2"/>
    <w:rsid w:val="00585302"/>
    <w:rsid w:val="00591CAC"/>
    <w:rsid w:val="005D6B9B"/>
    <w:rsid w:val="005E0C24"/>
    <w:rsid w:val="00605976"/>
    <w:rsid w:val="0060631D"/>
    <w:rsid w:val="00650103"/>
    <w:rsid w:val="00681BF2"/>
    <w:rsid w:val="006B6348"/>
    <w:rsid w:val="006C0BAC"/>
    <w:rsid w:val="00724559"/>
    <w:rsid w:val="00751ED4"/>
    <w:rsid w:val="00761BB7"/>
    <w:rsid w:val="007938C9"/>
    <w:rsid w:val="007A7B7B"/>
    <w:rsid w:val="0080412A"/>
    <w:rsid w:val="008D50E1"/>
    <w:rsid w:val="00903C79"/>
    <w:rsid w:val="0092605B"/>
    <w:rsid w:val="00952FC3"/>
    <w:rsid w:val="00966D9A"/>
    <w:rsid w:val="00995D17"/>
    <w:rsid w:val="009C149C"/>
    <w:rsid w:val="00A00338"/>
    <w:rsid w:val="00A1343B"/>
    <w:rsid w:val="00A37893"/>
    <w:rsid w:val="00A44ACE"/>
    <w:rsid w:val="00A6707C"/>
    <w:rsid w:val="00A839C2"/>
    <w:rsid w:val="00AA55C3"/>
    <w:rsid w:val="00BB10F8"/>
    <w:rsid w:val="00BC21E2"/>
    <w:rsid w:val="00BC555A"/>
    <w:rsid w:val="00BE555A"/>
    <w:rsid w:val="00C20A8C"/>
    <w:rsid w:val="00C51475"/>
    <w:rsid w:val="00C55B54"/>
    <w:rsid w:val="00C61F6D"/>
    <w:rsid w:val="00C71A56"/>
    <w:rsid w:val="00C77573"/>
    <w:rsid w:val="00CA2771"/>
    <w:rsid w:val="00CB5161"/>
    <w:rsid w:val="00CE1F31"/>
    <w:rsid w:val="00D81E2D"/>
    <w:rsid w:val="00D93D89"/>
    <w:rsid w:val="00DE1197"/>
    <w:rsid w:val="00E14F13"/>
    <w:rsid w:val="00E3032B"/>
    <w:rsid w:val="00E544C2"/>
    <w:rsid w:val="00EE715A"/>
    <w:rsid w:val="00F27D9A"/>
    <w:rsid w:val="00F45A16"/>
    <w:rsid w:val="00F617DD"/>
    <w:rsid w:val="00FA3E19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26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Klub Sloboda a Solidarita</cp:lastModifiedBy>
  <cp:revision>3</cp:revision>
  <cp:lastPrinted>2023-04-13T12:57:00Z</cp:lastPrinted>
  <dcterms:created xsi:type="dcterms:W3CDTF">2025-01-17T12:51:00Z</dcterms:created>
  <dcterms:modified xsi:type="dcterms:W3CDTF">2025-01-17T12:56:00Z</dcterms:modified>
</cp:coreProperties>
</file>